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C2" w:rsidRPr="005427FA" w:rsidRDefault="002550C2" w:rsidP="005427FA">
      <w:pPr>
        <w:spacing w:line="360" w:lineRule="auto"/>
        <w:jc w:val="both"/>
        <w:rPr>
          <w:rFonts w:ascii="Book Antiqua" w:hAnsi="Book Antiqua" w:cs="Tahoma"/>
          <w:b/>
          <w:color w:val="000000"/>
        </w:rPr>
      </w:pPr>
      <w:r w:rsidRPr="005427FA">
        <w:rPr>
          <w:rFonts w:ascii="Book Antiqua" w:hAnsi="Book Antiqua" w:cs="Tahoma"/>
          <w:b/>
          <w:color w:val="0000FF"/>
        </w:rPr>
        <w:t xml:space="preserve">Name of journal: </w:t>
      </w:r>
      <w:r w:rsidRPr="005427FA">
        <w:rPr>
          <w:rFonts w:ascii="Book Antiqua" w:hAnsi="Book Antiqua" w:cs="Tahoma"/>
          <w:b/>
          <w:color w:val="000000"/>
        </w:rPr>
        <w:t>World Journal of Gastroenterology</w:t>
      </w:r>
    </w:p>
    <w:p w:rsidR="002550C2" w:rsidRPr="005427FA" w:rsidRDefault="002550C2" w:rsidP="005427FA">
      <w:pPr>
        <w:spacing w:line="360" w:lineRule="auto"/>
        <w:jc w:val="both"/>
        <w:rPr>
          <w:rFonts w:ascii="Book Antiqua" w:eastAsia="宋体" w:hAnsi="Book Antiqua" w:cs="Tahoma"/>
          <w:b/>
          <w:color w:val="0000FF"/>
          <w:lang w:eastAsia="zh-CN"/>
        </w:rPr>
      </w:pPr>
      <w:r w:rsidRPr="005427FA">
        <w:rPr>
          <w:rFonts w:ascii="Book Antiqua" w:hAnsi="Book Antiqua" w:cs="Tahoma"/>
          <w:b/>
          <w:color w:val="0000FF"/>
        </w:rPr>
        <w:t xml:space="preserve">ESPS Manuscript NO: </w:t>
      </w:r>
      <w:r w:rsidRPr="005427FA">
        <w:rPr>
          <w:rFonts w:ascii="Book Antiqua" w:eastAsia="宋体" w:hAnsi="Book Antiqua" w:cs="Tahoma"/>
          <w:b/>
          <w:color w:val="0000FF"/>
          <w:lang w:eastAsia="zh-CN"/>
        </w:rPr>
        <w:t>2060</w:t>
      </w:r>
    </w:p>
    <w:p w:rsidR="002550C2" w:rsidRPr="005427FA" w:rsidRDefault="002550C2" w:rsidP="005427FA">
      <w:pPr>
        <w:spacing w:line="360" w:lineRule="auto"/>
        <w:jc w:val="both"/>
        <w:rPr>
          <w:rFonts w:ascii="Book Antiqua" w:hAnsi="Book Antiqua" w:cs="Tahoma"/>
          <w:b/>
          <w:color w:val="0000FF"/>
        </w:rPr>
      </w:pPr>
      <w:r w:rsidRPr="005427FA">
        <w:rPr>
          <w:rFonts w:ascii="Book Antiqua" w:hAnsi="Book Antiqua" w:cs="Tahoma"/>
          <w:b/>
          <w:color w:val="0000FF"/>
        </w:rPr>
        <w:t xml:space="preserve">Columns: </w:t>
      </w:r>
      <w:r w:rsidRPr="005427FA">
        <w:rPr>
          <w:rFonts w:ascii="Book Antiqua" w:hAnsi="Book Antiqua" w:cs="Tahoma"/>
          <w:b/>
          <w:color w:val="000000"/>
        </w:rPr>
        <w:t>FRONTIER</w:t>
      </w:r>
    </w:p>
    <w:p w:rsidR="002550C2" w:rsidRPr="005427FA" w:rsidRDefault="002550C2" w:rsidP="005427FA">
      <w:pPr>
        <w:spacing w:line="360" w:lineRule="auto"/>
        <w:jc w:val="both"/>
        <w:rPr>
          <w:rStyle w:val="a3"/>
          <w:rFonts w:ascii="Book Antiqua" w:hAnsi="Book Antiqua" w:cs="Tahoma"/>
          <w:b/>
          <w:bCs/>
          <w:i w:val="0"/>
          <w:iCs/>
          <w:u w:val="single"/>
        </w:rPr>
      </w:pPr>
    </w:p>
    <w:p w:rsidR="002550C2" w:rsidRPr="005427FA" w:rsidRDefault="002550C2" w:rsidP="005427FA">
      <w:pPr>
        <w:spacing w:line="360" w:lineRule="auto"/>
        <w:jc w:val="both"/>
        <w:rPr>
          <w:rStyle w:val="a3"/>
          <w:rFonts w:ascii="Book Antiqua" w:hAnsi="Book Antiqua" w:cs="Tahoma"/>
          <w:b/>
          <w:bCs/>
          <w:i w:val="0"/>
          <w:iCs/>
        </w:rPr>
      </w:pPr>
      <w:r w:rsidRPr="005427FA">
        <w:rPr>
          <w:rStyle w:val="a3"/>
          <w:rFonts w:ascii="Book Antiqua" w:hAnsi="Book Antiqua" w:cs="Tahoma"/>
          <w:b/>
          <w:bCs/>
          <w:i w:val="0"/>
          <w:iCs/>
        </w:rPr>
        <w:t xml:space="preserve">Mechanisms, prevention and clinical implications of NSAID-enteropathy </w:t>
      </w:r>
    </w:p>
    <w:p w:rsidR="002550C2" w:rsidRDefault="002550C2" w:rsidP="005427FA">
      <w:pPr>
        <w:spacing w:line="360" w:lineRule="auto"/>
        <w:jc w:val="both"/>
        <w:rPr>
          <w:rStyle w:val="a3"/>
          <w:rFonts w:ascii="Book Antiqua" w:eastAsia="宋体" w:hAnsi="Book Antiqua" w:cs="Tahoma"/>
          <w:b/>
          <w:bCs/>
          <w:iCs/>
          <w:lang w:eastAsia="zh-CN"/>
        </w:rPr>
      </w:pPr>
    </w:p>
    <w:p w:rsidR="002550C2" w:rsidRPr="00DA40CD" w:rsidRDefault="002550C2" w:rsidP="005427FA">
      <w:pPr>
        <w:spacing w:line="360" w:lineRule="auto"/>
        <w:jc w:val="both"/>
        <w:rPr>
          <w:rStyle w:val="a3"/>
          <w:rFonts w:ascii="Book Antiqua" w:eastAsia="宋体" w:hAnsi="Book Antiqua" w:cs="Tahoma"/>
          <w:bCs/>
          <w:iCs/>
          <w:lang w:eastAsia="zh-CN"/>
        </w:rPr>
      </w:pPr>
      <w:r w:rsidRPr="00DA40CD">
        <w:rPr>
          <w:rStyle w:val="a3"/>
          <w:rFonts w:ascii="Book Antiqua" w:hAnsi="Book Antiqua" w:cs="Tahoma"/>
          <w:bCs/>
          <w:i w:val="0"/>
          <w:iCs/>
        </w:rPr>
        <w:t>Wallace</w:t>
      </w:r>
      <w:r w:rsidRPr="00DA40CD">
        <w:rPr>
          <w:rFonts w:ascii="Book Antiqua" w:hAnsi="Book Antiqua"/>
        </w:rPr>
        <w:t xml:space="preserve"> </w:t>
      </w:r>
      <w:r w:rsidRPr="00DA40CD">
        <w:rPr>
          <w:rFonts w:ascii="Book Antiqua" w:eastAsia="宋体" w:hAnsi="Book Antiqua"/>
          <w:lang w:eastAsia="zh-CN"/>
        </w:rPr>
        <w:t xml:space="preserve">JL. </w:t>
      </w:r>
      <w:r w:rsidRPr="00DA40CD">
        <w:rPr>
          <w:rFonts w:ascii="Book Antiqua" w:hAnsi="Book Antiqua"/>
        </w:rPr>
        <w:t>NSAID-Induced Enteropathy</w:t>
      </w:r>
    </w:p>
    <w:p w:rsidR="002550C2" w:rsidRDefault="002550C2" w:rsidP="005427FA">
      <w:pPr>
        <w:spacing w:line="360" w:lineRule="auto"/>
        <w:jc w:val="both"/>
        <w:rPr>
          <w:rStyle w:val="a3"/>
          <w:rFonts w:ascii="Book Antiqua" w:eastAsia="宋体" w:hAnsi="Book Antiqua" w:cs="Tahoma"/>
          <w:bCs/>
          <w:i w:val="0"/>
          <w:iCs/>
          <w:lang w:eastAsia="zh-CN"/>
        </w:rPr>
      </w:pPr>
    </w:p>
    <w:p w:rsidR="002550C2" w:rsidRPr="005427FA" w:rsidRDefault="002550C2" w:rsidP="005427FA">
      <w:pPr>
        <w:spacing w:line="360" w:lineRule="auto"/>
        <w:jc w:val="both"/>
        <w:rPr>
          <w:rStyle w:val="a3"/>
          <w:rFonts w:ascii="Book Antiqua" w:hAnsi="Book Antiqua" w:cs="Tahoma"/>
          <w:bCs/>
          <w:i w:val="0"/>
          <w:iCs/>
        </w:rPr>
      </w:pPr>
      <w:r w:rsidRPr="005427FA">
        <w:rPr>
          <w:rStyle w:val="a3"/>
          <w:rFonts w:ascii="Book Antiqua" w:hAnsi="Book Antiqua" w:cs="Tahoma"/>
          <w:bCs/>
          <w:i w:val="0"/>
          <w:iCs/>
        </w:rPr>
        <w:t>John L Wallace</w:t>
      </w:r>
    </w:p>
    <w:p w:rsidR="002550C2" w:rsidRPr="005427FA" w:rsidRDefault="002550C2" w:rsidP="005427FA">
      <w:pPr>
        <w:spacing w:line="360" w:lineRule="auto"/>
        <w:jc w:val="both"/>
        <w:rPr>
          <w:rStyle w:val="a3"/>
          <w:rFonts w:ascii="Book Antiqua" w:hAnsi="Book Antiqua" w:cs="Tahoma"/>
          <w:bCs/>
          <w:i w:val="0"/>
          <w:iCs/>
        </w:rPr>
      </w:pPr>
    </w:p>
    <w:p w:rsidR="002550C2" w:rsidRPr="005427FA" w:rsidRDefault="002550C2" w:rsidP="005427FA">
      <w:pPr>
        <w:spacing w:line="360" w:lineRule="auto"/>
        <w:jc w:val="both"/>
        <w:rPr>
          <w:rFonts w:ascii="Book Antiqua" w:hAnsi="Book Antiqua"/>
        </w:rPr>
      </w:pPr>
      <w:r w:rsidRPr="001E035A">
        <w:rPr>
          <w:rStyle w:val="a3"/>
          <w:rFonts w:ascii="Book Antiqua" w:hAnsi="Book Antiqua" w:cs="Tahoma"/>
          <w:b/>
          <w:bCs/>
          <w:i w:val="0"/>
          <w:iCs/>
        </w:rPr>
        <w:t>John L Wallace,</w:t>
      </w:r>
      <w:r>
        <w:rPr>
          <w:rStyle w:val="a3"/>
          <w:rFonts w:ascii="Book Antiqua" w:eastAsia="宋体" w:hAnsi="Book Antiqua" w:cs="Tahoma"/>
          <w:bCs/>
          <w:i w:val="0"/>
          <w:iCs/>
          <w:lang w:eastAsia="zh-CN"/>
        </w:rPr>
        <w:t xml:space="preserve"> </w:t>
      </w:r>
      <w:r w:rsidRPr="005427FA">
        <w:rPr>
          <w:rFonts w:ascii="Book Antiqua" w:hAnsi="Book Antiqua"/>
        </w:rPr>
        <w:t xml:space="preserve">Farncombe Family Digestive Health Research Institute, </w:t>
      </w:r>
      <w:smartTag w:uri="urn:schemas-microsoft-com:office:smarttags" w:element="PlaceName">
        <w:r w:rsidRPr="005427FA">
          <w:rPr>
            <w:rFonts w:ascii="Book Antiqua" w:hAnsi="Book Antiqua"/>
          </w:rPr>
          <w:t>McMaster</w:t>
        </w:r>
      </w:smartTag>
      <w:r w:rsidRPr="005427FA">
        <w:rPr>
          <w:rFonts w:ascii="Book Antiqua" w:hAnsi="Book Antiqua"/>
        </w:rPr>
        <w:t xml:space="preserve"> </w:t>
      </w:r>
      <w:smartTag w:uri="urn:schemas-microsoft-com:office:smarttags" w:element="PlaceType">
        <w:r w:rsidRPr="005427FA">
          <w:rPr>
            <w:rFonts w:ascii="Book Antiqua" w:hAnsi="Book Antiqua"/>
          </w:rPr>
          <w:t>University</w:t>
        </w:r>
      </w:smartTag>
      <w:r w:rsidRPr="005427FA">
        <w:rPr>
          <w:rFonts w:ascii="Book Antiqua" w:hAnsi="Book Antiqua"/>
        </w:rPr>
        <w:t>,</w:t>
      </w:r>
      <w:r>
        <w:rPr>
          <w:rFonts w:ascii="Book Antiqua" w:eastAsia="宋体" w:hAnsi="Book Antiqua"/>
          <w:lang w:eastAsia="zh-CN"/>
        </w:rPr>
        <w:t xml:space="preserve"> </w:t>
      </w:r>
      <w:smartTag w:uri="urn:schemas-microsoft-com:office:smarttags" w:element="place">
        <w:smartTag w:uri="urn:schemas-microsoft-com:office:smarttags" w:element="City">
          <w:r w:rsidRPr="005427FA">
            <w:rPr>
              <w:rFonts w:ascii="Book Antiqua" w:hAnsi="Book Antiqua"/>
            </w:rPr>
            <w:t>Hamilton</w:t>
          </w:r>
        </w:smartTag>
        <w:r w:rsidRPr="005427FA">
          <w:rPr>
            <w:rFonts w:ascii="Book Antiqua" w:hAnsi="Book Antiqua"/>
          </w:rPr>
          <w:t xml:space="preserve">, </w:t>
        </w:r>
        <w:smartTag w:uri="urn:schemas-microsoft-com:office:smarttags" w:element="State">
          <w:r w:rsidRPr="007B2581">
            <w:rPr>
              <w:rFonts w:ascii="Book Antiqua" w:hAnsi="Book Antiqua"/>
            </w:rPr>
            <w:t>ON</w:t>
          </w:r>
        </w:smartTag>
        <w:r w:rsidRPr="005427FA">
          <w:rPr>
            <w:rFonts w:ascii="Book Antiqua" w:hAnsi="Book Antiqua"/>
          </w:rPr>
          <w:t xml:space="preserve"> </w:t>
        </w:r>
        <w:smartTag w:uri="urn:schemas-microsoft-com:office:smarttags" w:element="PostalCode">
          <w:r w:rsidRPr="005427FA">
            <w:rPr>
              <w:rFonts w:ascii="Book Antiqua" w:hAnsi="Book Antiqua"/>
            </w:rPr>
            <w:t>L8S 4K1</w:t>
          </w:r>
        </w:smartTag>
        <w:r w:rsidRPr="005427FA">
          <w:rPr>
            <w:rFonts w:ascii="Book Antiqua" w:hAnsi="Book Antiqua"/>
          </w:rPr>
          <w:t xml:space="preserve">, </w:t>
        </w:r>
        <w:smartTag w:uri="urn:schemas-microsoft-com:office:smarttags" w:element="country-region">
          <w:r w:rsidRPr="005427FA">
            <w:rPr>
              <w:rFonts w:ascii="Book Antiqua" w:hAnsi="Book Antiqua"/>
            </w:rPr>
            <w:t>Canada</w:t>
          </w:r>
        </w:smartTag>
      </w:smartTag>
    </w:p>
    <w:p w:rsidR="002550C2" w:rsidRDefault="002550C2" w:rsidP="005427FA">
      <w:pPr>
        <w:spacing w:line="360" w:lineRule="auto"/>
        <w:jc w:val="both"/>
        <w:rPr>
          <w:rStyle w:val="a3"/>
          <w:rFonts w:ascii="Book Antiqua" w:eastAsia="宋体" w:hAnsi="Book Antiqua" w:cs="Tahoma"/>
          <w:b/>
          <w:bCs/>
          <w:i w:val="0"/>
          <w:iCs/>
          <w:lang w:eastAsia="zh-CN"/>
        </w:rPr>
      </w:pPr>
    </w:p>
    <w:p w:rsidR="002550C2" w:rsidRPr="005427FA" w:rsidRDefault="002550C2" w:rsidP="005427FA">
      <w:pPr>
        <w:spacing w:line="360" w:lineRule="auto"/>
        <w:jc w:val="both"/>
        <w:rPr>
          <w:rFonts w:ascii="Book Antiqua" w:hAnsi="Book Antiqua"/>
        </w:rPr>
      </w:pPr>
      <w:r w:rsidRPr="001E035A">
        <w:rPr>
          <w:rStyle w:val="a3"/>
          <w:rFonts w:ascii="Book Antiqua" w:hAnsi="Book Antiqua" w:cs="Tahoma"/>
          <w:b/>
          <w:bCs/>
          <w:i w:val="0"/>
          <w:iCs/>
        </w:rPr>
        <w:t>John L Wallace,</w:t>
      </w:r>
      <w:r>
        <w:rPr>
          <w:rStyle w:val="a3"/>
          <w:rFonts w:ascii="Book Antiqua" w:eastAsia="宋体" w:hAnsi="Book Antiqua" w:cs="Tahoma"/>
          <w:b/>
          <w:bCs/>
          <w:i w:val="0"/>
          <w:iCs/>
          <w:lang w:eastAsia="zh-CN"/>
        </w:rPr>
        <w:t xml:space="preserve"> </w:t>
      </w:r>
      <w:r w:rsidRPr="005427FA">
        <w:rPr>
          <w:rFonts w:ascii="Book Antiqua" w:hAnsi="Book Antiqua"/>
        </w:rPr>
        <w:t xml:space="preserve">Inflammation Research Network, </w:t>
      </w:r>
      <w:smartTag w:uri="urn:schemas-microsoft-com:office:smarttags" w:element="PlaceType">
        <w:r w:rsidRPr="005427FA">
          <w:rPr>
            <w:rFonts w:ascii="Book Antiqua" w:hAnsi="Book Antiqua"/>
          </w:rPr>
          <w:t>University</w:t>
        </w:r>
      </w:smartTag>
      <w:r w:rsidRPr="005427FA">
        <w:rPr>
          <w:rFonts w:ascii="Book Antiqua" w:hAnsi="Book Antiqua"/>
        </w:rPr>
        <w:t xml:space="preserve"> of </w:t>
      </w:r>
      <w:smartTag w:uri="urn:schemas-microsoft-com:office:smarttags" w:element="PlaceName">
        <w:r w:rsidRPr="005427FA">
          <w:rPr>
            <w:rFonts w:ascii="Book Antiqua" w:hAnsi="Book Antiqua"/>
          </w:rPr>
          <w:t>Calgary</w:t>
        </w:r>
      </w:smartTag>
      <w:r w:rsidRPr="005427FA">
        <w:rPr>
          <w:rFonts w:ascii="Book Antiqua" w:hAnsi="Book Antiqua"/>
        </w:rPr>
        <w:t xml:space="preserve">, </w:t>
      </w:r>
      <w:smartTag w:uri="urn:schemas-microsoft-com:office:smarttags" w:element="place">
        <w:r w:rsidRPr="005427FA">
          <w:rPr>
            <w:rFonts w:ascii="Book Antiqua" w:hAnsi="Book Antiqua"/>
          </w:rPr>
          <w:t xml:space="preserve">3330 Hospital Drive NW, </w:t>
        </w:r>
        <w:smartTag w:uri="urn:schemas-microsoft-com:office:smarttags" w:element="City">
          <w:r w:rsidRPr="005427FA">
            <w:rPr>
              <w:rFonts w:ascii="Book Antiqua" w:hAnsi="Book Antiqua"/>
            </w:rPr>
            <w:t>Calgary</w:t>
          </w:r>
        </w:smartTag>
        <w:r w:rsidRPr="005427FA">
          <w:rPr>
            <w:rFonts w:ascii="Book Antiqua" w:hAnsi="Book Antiqua"/>
          </w:rPr>
          <w:t xml:space="preserve">, </w:t>
        </w:r>
        <w:smartTag w:uri="urn:schemas-microsoft-com:office:smarttags" w:element="State">
          <w:r w:rsidRPr="005427FA">
            <w:rPr>
              <w:rFonts w:ascii="Book Antiqua" w:hAnsi="Book Antiqua"/>
            </w:rPr>
            <w:t>Alberta</w:t>
          </w:r>
        </w:smartTag>
        <w:r w:rsidRPr="005427FA">
          <w:rPr>
            <w:rFonts w:ascii="Book Antiqua" w:hAnsi="Book Antiqua"/>
          </w:rPr>
          <w:t xml:space="preserve">, </w:t>
        </w:r>
        <w:smartTag w:uri="urn:schemas-microsoft-com:office:smarttags" w:element="PostalCode">
          <w:r w:rsidRPr="005427FA">
            <w:rPr>
              <w:rFonts w:ascii="Book Antiqua" w:hAnsi="Book Antiqua"/>
            </w:rPr>
            <w:t>T2N 4N1</w:t>
          </w:r>
        </w:smartTag>
        <w:r w:rsidRPr="005427FA">
          <w:rPr>
            <w:rFonts w:ascii="Book Antiqua" w:hAnsi="Book Antiqua"/>
          </w:rPr>
          <w:t xml:space="preserve">, </w:t>
        </w:r>
        <w:smartTag w:uri="urn:schemas-microsoft-com:office:smarttags" w:element="country-region">
          <w:r w:rsidRPr="005427FA">
            <w:rPr>
              <w:rFonts w:ascii="Book Antiqua" w:hAnsi="Book Antiqua"/>
            </w:rPr>
            <w:t>Canada</w:t>
          </w:r>
        </w:smartTag>
      </w:smartTag>
    </w:p>
    <w:p w:rsidR="002550C2" w:rsidRDefault="002550C2" w:rsidP="005427FA">
      <w:pPr>
        <w:spacing w:line="360" w:lineRule="auto"/>
        <w:jc w:val="both"/>
        <w:rPr>
          <w:rFonts w:ascii="Book Antiqua" w:eastAsia="宋体" w:hAnsi="Book Antiqua"/>
          <w:lang w:eastAsia="zh-CN"/>
        </w:rPr>
      </w:pPr>
    </w:p>
    <w:p w:rsidR="002550C2" w:rsidRDefault="002550C2" w:rsidP="005427FA">
      <w:pPr>
        <w:spacing w:line="360" w:lineRule="auto"/>
        <w:jc w:val="both"/>
        <w:rPr>
          <w:rFonts w:ascii="Book Antiqua" w:eastAsia="宋体" w:hAnsi="Book Antiqua" w:cs="Tahoma"/>
          <w:spacing w:val="-5"/>
          <w:lang w:eastAsia="zh-CN"/>
        </w:rPr>
      </w:pPr>
      <w:bookmarkStart w:id="0" w:name="OLE_LINK103"/>
      <w:bookmarkStart w:id="1" w:name="OLE_LINK104"/>
      <w:r w:rsidRPr="00967EDE">
        <w:rPr>
          <w:rFonts w:ascii="Book Antiqua" w:hAnsi="Book Antiqua"/>
          <w:b/>
          <w:lang w:eastAsia="ja-JP"/>
        </w:rPr>
        <w:t>Author contributions:</w:t>
      </w:r>
      <w:bookmarkEnd w:id="0"/>
      <w:bookmarkEnd w:id="1"/>
      <w:r>
        <w:rPr>
          <w:rFonts w:ascii="Book Antiqua" w:eastAsia="宋体" w:hAnsi="Book Antiqua"/>
          <w:b/>
          <w:lang w:eastAsia="zh-CN"/>
        </w:rPr>
        <w:t xml:space="preserve"> </w:t>
      </w:r>
      <w:r w:rsidRPr="007D6C34">
        <w:rPr>
          <w:rStyle w:val="a3"/>
          <w:rFonts w:ascii="Book Antiqua" w:hAnsi="Book Antiqua" w:cs="Tahoma"/>
          <w:bCs/>
          <w:i w:val="0"/>
          <w:iCs/>
        </w:rPr>
        <w:t>Wallace</w:t>
      </w:r>
      <w:r w:rsidRPr="007D6C34">
        <w:rPr>
          <w:rFonts w:ascii="Book Antiqua" w:hAnsi="Book Antiqua"/>
        </w:rPr>
        <w:t xml:space="preserve"> </w:t>
      </w:r>
      <w:r w:rsidRPr="007D6C34">
        <w:rPr>
          <w:rFonts w:ascii="Book Antiqua" w:eastAsia="宋体" w:hAnsi="Book Antiqua"/>
          <w:lang w:eastAsia="zh-CN"/>
        </w:rPr>
        <w:t>JL</w:t>
      </w:r>
      <w:r w:rsidRPr="007D6C34">
        <w:rPr>
          <w:rFonts w:ascii="Book Antiqua" w:hAnsi="Book Antiqua" w:cs="Tahoma"/>
          <w:spacing w:val="-5"/>
        </w:rPr>
        <w:t xml:space="preserve"> </w:t>
      </w:r>
      <w:r w:rsidRPr="00295BDC">
        <w:rPr>
          <w:rFonts w:ascii="Book Antiqua" w:hAnsi="Book Antiqua" w:cs="Tahoma"/>
          <w:spacing w:val="-5"/>
        </w:rPr>
        <w:t>solely contributed to this paper.</w:t>
      </w:r>
    </w:p>
    <w:p w:rsidR="002550C2" w:rsidRPr="00E22699" w:rsidRDefault="002550C2" w:rsidP="005427FA">
      <w:pPr>
        <w:spacing w:line="360" w:lineRule="auto"/>
        <w:jc w:val="both"/>
        <w:rPr>
          <w:rFonts w:ascii="Book Antiqua" w:eastAsia="宋体" w:hAnsi="Book Antiqua"/>
          <w:lang w:eastAsia="zh-CN"/>
        </w:rPr>
      </w:pPr>
    </w:p>
    <w:p w:rsidR="002550C2" w:rsidRPr="005427FA" w:rsidRDefault="002550C2" w:rsidP="005427FA">
      <w:pPr>
        <w:spacing w:line="360" w:lineRule="auto"/>
        <w:jc w:val="both"/>
        <w:rPr>
          <w:rFonts w:ascii="Book Antiqua" w:hAnsi="Book Antiqua"/>
        </w:rPr>
      </w:pPr>
      <w:r w:rsidRPr="009039A9">
        <w:rPr>
          <w:rFonts w:ascii="Book Antiqua" w:hAnsi="Book Antiqua"/>
          <w:b/>
        </w:rPr>
        <w:t>Supported by</w:t>
      </w:r>
      <w:r w:rsidRPr="005427FA">
        <w:rPr>
          <w:rFonts w:ascii="Book Antiqua" w:hAnsi="Book Antiqua"/>
        </w:rPr>
        <w:t xml:space="preserve"> A grant from the Canadian Institutes of Health Research</w:t>
      </w:r>
    </w:p>
    <w:p w:rsidR="002550C2" w:rsidRDefault="002550C2" w:rsidP="005427FA">
      <w:pPr>
        <w:spacing w:line="360" w:lineRule="auto"/>
        <w:jc w:val="both"/>
        <w:rPr>
          <w:rFonts w:ascii="Book Antiqua" w:eastAsia="宋体" w:hAnsi="Book Antiqua"/>
          <w:lang w:eastAsia="zh-CN"/>
        </w:rPr>
      </w:pPr>
    </w:p>
    <w:p w:rsidR="002550C2" w:rsidRPr="005427FA" w:rsidRDefault="002550C2" w:rsidP="008F3976">
      <w:pPr>
        <w:spacing w:line="360" w:lineRule="auto"/>
        <w:jc w:val="both"/>
        <w:rPr>
          <w:rFonts w:ascii="Book Antiqua" w:hAnsi="Book Antiqua"/>
        </w:rPr>
      </w:pPr>
      <w:r w:rsidRPr="005C6A5F">
        <w:rPr>
          <w:rFonts w:ascii="Book Antiqua" w:hAnsi="Book Antiqua"/>
          <w:b/>
          <w:color w:val="000000"/>
        </w:rPr>
        <w:t>Correspondence to:</w:t>
      </w:r>
      <w:r>
        <w:rPr>
          <w:rFonts w:ascii="Book Antiqua" w:eastAsia="宋体" w:hAnsi="Book Antiqua"/>
          <w:b/>
          <w:color w:val="000000"/>
          <w:lang w:eastAsia="zh-CN"/>
        </w:rPr>
        <w:t xml:space="preserve"> </w:t>
      </w:r>
      <w:r w:rsidRPr="007B2581">
        <w:rPr>
          <w:rFonts w:ascii="Book Antiqua" w:hAnsi="Book Antiqua"/>
          <w:b/>
        </w:rPr>
        <w:t>John L Wallac</w:t>
      </w:r>
      <w:r w:rsidRPr="00660E27">
        <w:rPr>
          <w:rFonts w:ascii="Book Antiqua" w:hAnsi="Book Antiqua"/>
          <w:b/>
        </w:rPr>
        <w:t>e</w:t>
      </w:r>
      <w:r w:rsidRPr="00660E27">
        <w:rPr>
          <w:rFonts w:ascii="Book Antiqua" w:eastAsia="宋体" w:hAnsi="Book Antiqua"/>
          <w:b/>
          <w:lang w:eastAsia="zh-CN"/>
        </w:rPr>
        <w:t>,</w:t>
      </w:r>
      <w:r w:rsidRPr="00660E27">
        <w:rPr>
          <w:rStyle w:val="a3"/>
          <w:rFonts w:ascii="Book Antiqua" w:hAnsi="Book Antiqua" w:cs="Tahoma"/>
          <w:b/>
          <w:bCs/>
          <w:i w:val="0"/>
          <w:iCs/>
        </w:rPr>
        <w:t xml:space="preserve"> PhD, MBA, FRSC</w:t>
      </w:r>
      <w:r w:rsidRPr="00660E27">
        <w:rPr>
          <w:rStyle w:val="a3"/>
          <w:rFonts w:ascii="Book Antiqua" w:eastAsia="宋体" w:hAnsi="Book Antiqua" w:cs="Tahoma"/>
          <w:b/>
          <w:bCs/>
          <w:i w:val="0"/>
          <w:iCs/>
          <w:lang w:eastAsia="zh-CN"/>
        </w:rPr>
        <w:t>,</w:t>
      </w:r>
      <w:r w:rsidRPr="00660E27">
        <w:rPr>
          <w:rFonts w:ascii="Book Antiqua" w:eastAsia="宋体" w:hAnsi="Book Antiqua"/>
          <w:b/>
          <w:lang w:eastAsia="zh-CN"/>
        </w:rPr>
        <w:t xml:space="preserve"> </w:t>
      </w:r>
      <w:r w:rsidRPr="005427FA">
        <w:rPr>
          <w:rFonts w:ascii="Book Antiqua" w:hAnsi="Book Antiqua"/>
        </w:rPr>
        <w:t xml:space="preserve">Farncombe Family Digestive Health Research Institute, </w:t>
      </w:r>
      <w:r w:rsidRPr="007B2581">
        <w:rPr>
          <w:rFonts w:ascii="Book Antiqua" w:hAnsi="Book Antiqua"/>
        </w:rPr>
        <w:t>McMaster University</w:t>
      </w:r>
      <w:r>
        <w:rPr>
          <w:rFonts w:ascii="Book Antiqua" w:eastAsia="宋体" w:hAnsi="Book Antiqua"/>
          <w:lang w:eastAsia="zh-CN"/>
        </w:rPr>
        <w:t xml:space="preserve">, </w:t>
      </w:r>
      <w:r w:rsidRPr="007B2581">
        <w:rPr>
          <w:rFonts w:ascii="Book Antiqua" w:hAnsi="Book Antiqua"/>
        </w:rPr>
        <w:t>1280 Main Street West, HSC-3N4</w:t>
      </w:r>
      <w:r>
        <w:rPr>
          <w:rFonts w:ascii="Book Antiqua" w:eastAsia="宋体" w:hAnsi="Book Antiqua"/>
          <w:lang w:eastAsia="zh-CN"/>
        </w:rPr>
        <w:t xml:space="preserve">, </w:t>
      </w:r>
      <w:r w:rsidRPr="007B2581">
        <w:rPr>
          <w:rFonts w:ascii="Book Antiqua" w:hAnsi="Book Antiqua"/>
        </w:rPr>
        <w:t xml:space="preserve">Hamilton, </w:t>
      </w:r>
      <w:bookmarkStart w:id="2" w:name="OLE_LINK3"/>
      <w:bookmarkStart w:id="3" w:name="OLE_LINK4"/>
      <w:r w:rsidRPr="007B2581">
        <w:rPr>
          <w:rFonts w:ascii="Book Antiqua" w:hAnsi="Book Antiqua"/>
        </w:rPr>
        <w:t xml:space="preserve">ON </w:t>
      </w:r>
      <w:bookmarkEnd w:id="2"/>
      <w:bookmarkEnd w:id="3"/>
      <w:r w:rsidRPr="007B2581">
        <w:rPr>
          <w:rFonts w:ascii="Book Antiqua" w:hAnsi="Book Antiqua"/>
        </w:rPr>
        <w:t>L8S 4K1, Canada</w:t>
      </w:r>
      <w:r>
        <w:rPr>
          <w:rFonts w:ascii="Book Antiqua" w:eastAsia="宋体" w:hAnsi="Book Antiqua"/>
          <w:lang w:eastAsia="zh-CN"/>
        </w:rPr>
        <w:t xml:space="preserve">. </w:t>
      </w:r>
      <w:r w:rsidRPr="005427FA">
        <w:rPr>
          <w:rFonts w:ascii="Book Antiqua" w:hAnsi="Book Antiqua"/>
        </w:rPr>
        <w:t>altapharm@hotmail.com</w:t>
      </w:r>
    </w:p>
    <w:p w:rsidR="002550C2" w:rsidRPr="006F5491" w:rsidRDefault="002550C2" w:rsidP="008F3976">
      <w:pPr>
        <w:spacing w:line="360" w:lineRule="auto"/>
        <w:rPr>
          <w:rFonts w:ascii="Book Antiqua" w:hAnsi="Book Antiqua"/>
          <w:color w:val="000000"/>
        </w:rPr>
      </w:pPr>
      <w:bookmarkStart w:id="4" w:name="OLE_LINK76"/>
      <w:bookmarkStart w:id="5" w:name="OLE_LINK77"/>
      <w:r w:rsidRPr="005C6A5F">
        <w:rPr>
          <w:rFonts w:ascii="Book Antiqua" w:hAnsi="Book Antiqua"/>
          <w:b/>
          <w:color w:val="000000"/>
        </w:rPr>
        <w:t>Telephone:</w:t>
      </w:r>
      <w:r>
        <w:rPr>
          <w:rFonts w:ascii="Book Antiqua" w:hAnsi="Book Antiqua"/>
          <w:color w:val="000000"/>
        </w:rPr>
        <w:t xml:space="preserve"> </w:t>
      </w:r>
      <w:r w:rsidRPr="005427FA">
        <w:rPr>
          <w:rFonts w:ascii="Book Antiqua" w:hAnsi="Book Antiqua"/>
        </w:rPr>
        <w:t>+1</w:t>
      </w:r>
      <w:r>
        <w:rPr>
          <w:rFonts w:ascii="Book Antiqua" w:eastAsia="宋体" w:hAnsi="Book Antiqua"/>
          <w:lang w:eastAsia="zh-CN"/>
        </w:rPr>
        <w:t>-</w:t>
      </w:r>
      <w:r w:rsidRPr="005427FA">
        <w:rPr>
          <w:rFonts w:ascii="Book Antiqua" w:hAnsi="Book Antiqua"/>
        </w:rPr>
        <w:t>905</w:t>
      </w:r>
      <w:r>
        <w:rPr>
          <w:rFonts w:ascii="Book Antiqua" w:eastAsia="宋体" w:hAnsi="Book Antiqua"/>
          <w:lang w:eastAsia="zh-CN"/>
        </w:rPr>
        <w:t>-</w:t>
      </w:r>
      <w:r>
        <w:rPr>
          <w:rFonts w:ascii="Book Antiqua" w:hAnsi="Book Antiqua"/>
        </w:rPr>
        <w:t>515</w:t>
      </w:r>
      <w:r w:rsidRPr="005427FA">
        <w:rPr>
          <w:rFonts w:ascii="Book Antiqua" w:hAnsi="Book Antiqua"/>
        </w:rPr>
        <w:t>6132</w:t>
      </w:r>
      <w:r>
        <w:rPr>
          <w:rFonts w:ascii="Book Antiqua" w:eastAsia="宋体" w:hAnsi="Book Antiqua"/>
          <w:lang w:eastAsia="zh-CN"/>
        </w:rPr>
        <w:t xml:space="preserve">            </w:t>
      </w:r>
      <w:r>
        <w:rPr>
          <w:rFonts w:ascii="Book Antiqua" w:hAnsi="Book Antiqua"/>
          <w:color w:val="000000"/>
        </w:rPr>
        <w:t xml:space="preserve"> </w:t>
      </w:r>
      <w:r w:rsidRPr="005C6A5F">
        <w:rPr>
          <w:rFonts w:ascii="Book Antiqua" w:hAnsi="Book Antiqua"/>
          <w:b/>
          <w:color w:val="000000"/>
        </w:rPr>
        <w:t xml:space="preserve">Fax: </w:t>
      </w:r>
      <w:r w:rsidRPr="005427FA">
        <w:rPr>
          <w:rFonts w:ascii="Book Antiqua" w:hAnsi="Book Antiqua"/>
        </w:rPr>
        <w:t>+1</w:t>
      </w:r>
      <w:r>
        <w:rPr>
          <w:rFonts w:ascii="Book Antiqua" w:eastAsia="宋体" w:hAnsi="Book Antiqua"/>
          <w:lang w:eastAsia="zh-CN"/>
        </w:rPr>
        <w:t>-</w:t>
      </w:r>
      <w:r w:rsidRPr="005427FA">
        <w:rPr>
          <w:rFonts w:ascii="Book Antiqua" w:hAnsi="Book Antiqua"/>
        </w:rPr>
        <w:t>905</w:t>
      </w:r>
      <w:r>
        <w:rPr>
          <w:rFonts w:ascii="Book Antiqua" w:eastAsia="宋体" w:hAnsi="Book Antiqua"/>
          <w:lang w:eastAsia="zh-CN"/>
        </w:rPr>
        <w:t>-</w:t>
      </w:r>
      <w:r>
        <w:rPr>
          <w:rFonts w:ascii="Book Antiqua" w:hAnsi="Book Antiqua"/>
        </w:rPr>
        <w:t>528</w:t>
      </w:r>
      <w:r w:rsidRPr="005427FA">
        <w:rPr>
          <w:rFonts w:ascii="Book Antiqua" w:hAnsi="Book Antiqua"/>
        </w:rPr>
        <w:t>9862</w:t>
      </w:r>
      <w:r>
        <w:rPr>
          <w:rFonts w:ascii="Book Antiqua" w:hAnsi="Book Antiqua"/>
        </w:rPr>
        <w:t xml:space="preserve"> </w:t>
      </w:r>
    </w:p>
    <w:p w:rsidR="002550C2" w:rsidRDefault="002550C2" w:rsidP="008F3976">
      <w:pPr>
        <w:spacing w:line="360" w:lineRule="auto"/>
        <w:rPr>
          <w:rFonts w:ascii="Book Antiqua" w:eastAsia="宋体" w:hAnsi="Book Antiqua"/>
          <w:b/>
          <w:color w:val="000000"/>
          <w:lang w:eastAsia="zh-CN"/>
        </w:rPr>
      </w:pPr>
    </w:p>
    <w:p w:rsidR="002550C2" w:rsidRPr="00433AF5" w:rsidRDefault="002550C2" w:rsidP="008F3976">
      <w:pPr>
        <w:spacing w:line="360" w:lineRule="auto"/>
        <w:rPr>
          <w:rFonts w:ascii="Book Antiqua" w:eastAsia="宋体" w:hAnsi="Book Antiqua"/>
          <w:b/>
          <w:color w:val="000000"/>
          <w:lang w:eastAsia="zh-CN"/>
        </w:rPr>
      </w:pPr>
      <w:r w:rsidRPr="005C6A5F">
        <w:rPr>
          <w:rFonts w:ascii="Book Antiqua" w:hAnsi="Book Antiqua"/>
          <w:b/>
          <w:color w:val="000000"/>
        </w:rPr>
        <w:t>Received:</w:t>
      </w:r>
      <w:r>
        <w:rPr>
          <w:rFonts w:ascii="Book Antiqua" w:hAnsi="Book Antiqua"/>
          <w:b/>
          <w:color w:val="000000"/>
        </w:rPr>
        <w:t xml:space="preserve"> </w:t>
      </w:r>
      <w:bookmarkStart w:id="6" w:name="OLE_LINK6"/>
      <w:bookmarkStart w:id="7" w:name="OLE_LINK7"/>
      <w:bookmarkStart w:id="8" w:name="OLE_LINK65"/>
      <w:r w:rsidRPr="00421E83">
        <w:rPr>
          <w:rFonts w:ascii="Book Antiqua" w:hAnsi="Book Antiqua"/>
        </w:rPr>
        <w:t>January</w:t>
      </w:r>
      <w:bookmarkEnd w:id="6"/>
      <w:bookmarkEnd w:id="7"/>
      <w:bookmarkEnd w:id="8"/>
      <w:r>
        <w:rPr>
          <w:rFonts w:ascii="Book Antiqua" w:eastAsia="宋体" w:hAnsi="Book Antiqua"/>
          <w:b/>
          <w:color w:val="000000"/>
          <w:lang w:eastAsia="zh-CN"/>
        </w:rPr>
        <w:t xml:space="preserve"> </w:t>
      </w:r>
      <w:r w:rsidRPr="00810B98">
        <w:rPr>
          <w:rFonts w:ascii="Book Antiqua" w:eastAsia="宋体" w:hAnsi="Book Antiqua"/>
          <w:color w:val="000000"/>
          <w:lang w:eastAsia="zh-CN"/>
        </w:rPr>
        <w:t>23, 2013</w:t>
      </w:r>
      <w:r>
        <w:rPr>
          <w:rFonts w:ascii="Book Antiqua" w:eastAsia="宋体" w:hAnsi="Book Antiqua"/>
          <w:b/>
          <w:color w:val="000000"/>
          <w:lang w:eastAsia="zh-CN"/>
        </w:rPr>
        <w:t xml:space="preserve">               </w:t>
      </w:r>
      <w:r w:rsidRPr="005C6A5F">
        <w:rPr>
          <w:rFonts w:ascii="Book Antiqua" w:hAnsi="Book Antiqua"/>
          <w:b/>
          <w:color w:val="000000"/>
        </w:rPr>
        <w:t xml:space="preserve">Revised: </w:t>
      </w:r>
      <w:r w:rsidRPr="00433AF5">
        <w:rPr>
          <w:rFonts w:ascii="Book Antiqua" w:hAnsi="Book Antiqua"/>
          <w:color w:val="000000"/>
        </w:rPr>
        <w:t>March</w:t>
      </w:r>
      <w:r w:rsidRPr="00433AF5">
        <w:rPr>
          <w:rFonts w:ascii="Book Antiqua" w:eastAsia="宋体" w:hAnsi="Book Antiqua"/>
          <w:color w:val="000000"/>
          <w:lang w:eastAsia="zh-CN"/>
        </w:rPr>
        <w:t xml:space="preserve"> 6, 2013</w:t>
      </w:r>
    </w:p>
    <w:p w:rsidR="002550C2" w:rsidRPr="003408E1" w:rsidRDefault="00201E10" w:rsidP="008F3976">
      <w:pPr>
        <w:spacing w:line="360" w:lineRule="auto"/>
        <w:rPr>
          <w:rFonts w:ascii="Book Antiqua" w:hAnsi="Book Antiqua"/>
          <w:b/>
          <w:color w:val="000000"/>
        </w:rPr>
      </w:pPr>
      <w:r>
        <w:rPr>
          <w:rFonts w:ascii="Book Antiqua" w:hAnsi="Book Antiqua"/>
          <w:b/>
          <w:color w:val="000000"/>
        </w:rPr>
        <w:t>Accepted:</w:t>
      </w:r>
      <w:r w:rsidRPr="00201E10">
        <w:rPr>
          <w:rFonts w:ascii="Book Antiqua" w:hAnsi="Book Antiqua"/>
          <w:color w:val="000000"/>
        </w:rPr>
        <w:t xml:space="preserve"> </w:t>
      </w:r>
      <w:r w:rsidRPr="00433AF5">
        <w:rPr>
          <w:rFonts w:ascii="Book Antiqua" w:hAnsi="Book Antiqua"/>
          <w:color w:val="000000"/>
        </w:rPr>
        <w:t>March</w:t>
      </w:r>
      <w:r>
        <w:rPr>
          <w:rFonts w:ascii="Book Antiqua" w:eastAsia="宋体" w:hAnsi="Book Antiqua"/>
          <w:color w:val="000000"/>
          <w:lang w:eastAsia="zh-CN"/>
        </w:rPr>
        <w:t xml:space="preserve"> 7</w:t>
      </w:r>
      <w:r w:rsidRPr="00433AF5">
        <w:rPr>
          <w:rFonts w:ascii="Book Antiqua" w:eastAsia="宋体" w:hAnsi="Book Antiqua"/>
          <w:color w:val="000000"/>
          <w:lang w:eastAsia="zh-CN"/>
        </w:rPr>
        <w:t>, 2013</w:t>
      </w:r>
    </w:p>
    <w:p w:rsidR="002550C2" w:rsidRPr="005C6A5F" w:rsidRDefault="002550C2" w:rsidP="008F3976">
      <w:pPr>
        <w:spacing w:line="360" w:lineRule="auto"/>
        <w:rPr>
          <w:rFonts w:ascii="Book Antiqua" w:hAnsi="Book Antiqua"/>
          <w:color w:val="000000"/>
        </w:rPr>
      </w:pPr>
      <w:r w:rsidRPr="005C6A5F">
        <w:rPr>
          <w:rFonts w:ascii="Book Antiqua" w:hAnsi="Book Antiqua"/>
          <w:b/>
          <w:color w:val="000000"/>
        </w:rPr>
        <w:t xml:space="preserve">Published online: </w:t>
      </w:r>
    </w:p>
    <w:bookmarkEnd w:id="4"/>
    <w:bookmarkEnd w:id="5"/>
    <w:p w:rsidR="002550C2" w:rsidRPr="008F3976" w:rsidRDefault="002550C2" w:rsidP="005427FA">
      <w:pPr>
        <w:spacing w:line="360" w:lineRule="auto"/>
        <w:jc w:val="both"/>
        <w:rPr>
          <w:rFonts w:ascii="Book Antiqua" w:eastAsia="宋体" w:hAnsi="Book Antiqua"/>
          <w:b/>
          <w:color w:val="000000"/>
          <w:lang w:eastAsia="zh-CN"/>
        </w:rPr>
      </w:pPr>
    </w:p>
    <w:p w:rsidR="002550C2" w:rsidRPr="007B2581" w:rsidRDefault="002550C2" w:rsidP="005427FA">
      <w:pPr>
        <w:spacing w:line="360" w:lineRule="auto"/>
        <w:jc w:val="both"/>
        <w:rPr>
          <w:rFonts w:ascii="Book Antiqua" w:eastAsia="宋体" w:hAnsi="Book Antiqua"/>
          <w:lang w:eastAsia="zh-CN"/>
        </w:rPr>
      </w:pPr>
    </w:p>
    <w:p w:rsidR="002550C2" w:rsidRPr="00DB4DBB" w:rsidRDefault="002550C2" w:rsidP="005427FA">
      <w:pPr>
        <w:spacing w:line="360" w:lineRule="auto"/>
        <w:jc w:val="both"/>
        <w:rPr>
          <w:rFonts w:ascii="Book Antiqua" w:hAnsi="Book Antiqua"/>
          <w:b/>
        </w:rPr>
      </w:pPr>
      <w:r w:rsidRPr="00DB4DBB">
        <w:rPr>
          <w:rFonts w:ascii="Book Antiqua" w:hAnsi="Book Antiqua"/>
          <w:b/>
        </w:rPr>
        <w:t>Abstract</w:t>
      </w:r>
    </w:p>
    <w:p w:rsidR="002550C2" w:rsidRPr="005427FA" w:rsidRDefault="002550C2" w:rsidP="005427FA">
      <w:pPr>
        <w:spacing w:line="360" w:lineRule="auto"/>
        <w:jc w:val="both"/>
        <w:rPr>
          <w:rFonts w:ascii="Book Antiqua" w:hAnsi="Book Antiqua"/>
        </w:rPr>
      </w:pPr>
      <w:r w:rsidRPr="005427FA">
        <w:rPr>
          <w:rFonts w:ascii="Book Antiqua" w:hAnsi="Book Antiqua"/>
        </w:rPr>
        <w:t>This article reviews the latest developments in understanding the pathogenesis, detection and treatment of small intestinal damage and bleeding caused by nonsteroidal anti-inflammatory drugs (NSAIDs). With improvements in the detection of NSAID-induced damage in the small intestine, it is now clear that this injury and the associated bleeding occurs more frequently that that occurring in the stomach and duodenum, and can also be regarded as more dangerous.</w:t>
      </w:r>
      <w:r>
        <w:rPr>
          <w:rFonts w:ascii="Book Antiqua" w:hAnsi="Book Antiqua"/>
        </w:rPr>
        <w:t xml:space="preserve"> </w:t>
      </w:r>
      <w:r w:rsidRPr="005427FA">
        <w:rPr>
          <w:rFonts w:ascii="Book Antiqua" w:hAnsi="Book Antiqua"/>
        </w:rPr>
        <w:t>However, there are no proven-effective therapies for NSAID-enteropathy, and detection remains a challenge, particularly because of the poor correlation between tissue injury and symptoms. Moreover, recent studies suggest that commonly used drugs for protecting the upper gastrointestinal tract (</w:t>
      </w:r>
      <w:r w:rsidRPr="00270312">
        <w:rPr>
          <w:rFonts w:ascii="Book Antiqua" w:hAnsi="Book Antiqua"/>
          <w:i/>
        </w:rPr>
        <w:t>i.e.</w:t>
      </w:r>
      <w:r w:rsidRPr="005427FA">
        <w:rPr>
          <w:rFonts w:ascii="Book Antiqua" w:hAnsi="Book Antiqua"/>
        </w:rPr>
        <w:t>, proton pump inhibitors) can significantly worsen NSAID-induced damage in the small intestine. The pathogenesis of NSAID-enteropathy is complex, but studies in animal models are shedding light on the key factors that contribute to ulceration and bleeding, and are providing clues to the development of effective therapies and prevention strategies</w:t>
      </w:r>
      <w:r>
        <w:rPr>
          <w:rFonts w:ascii="Book Antiqua" w:hAnsi="Book Antiqua"/>
        </w:rPr>
        <w:t xml:space="preserve">. </w:t>
      </w:r>
      <w:r w:rsidRPr="005427FA">
        <w:rPr>
          <w:rFonts w:ascii="Book Antiqua" w:hAnsi="Book Antiqua"/>
        </w:rPr>
        <w:t>Novel NSAIDs that do not cause small intestinal damage in animal models offer hope for a solution to this serious adverse effect of one of the most widely used classes of drugs.</w:t>
      </w:r>
    </w:p>
    <w:p w:rsidR="002550C2" w:rsidRDefault="002550C2" w:rsidP="005427FA">
      <w:pPr>
        <w:spacing w:line="360" w:lineRule="auto"/>
        <w:jc w:val="both"/>
        <w:rPr>
          <w:rFonts w:ascii="Book Antiqua" w:eastAsia="宋体" w:hAnsi="Book Antiqua" w:cs="Tahoma"/>
          <w:b/>
          <w:lang w:eastAsia="zh-CN"/>
        </w:rPr>
      </w:pPr>
    </w:p>
    <w:p w:rsidR="002550C2" w:rsidRPr="005C6A5F" w:rsidRDefault="002550C2" w:rsidP="00270312">
      <w:pPr>
        <w:spacing w:line="360" w:lineRule="auto"/>
        <w:rPr>
          <w:rFonts w:ascii="Book Antiqua" w:hAnsi="Book Antiqua"/>
          <w:color w:val="000000"/>
        </w:rPr>
      </w:pPr>
      <w:r w:rsidRPr="005C6A5F">
        <w:rPr>
          <w:rFonts w:ascii="Book Antiqua" w:hAnsi="Book Antiqua"/>
        </w:rPr>
        <w:t>© 201</w:t>
      </w:r>
      <w:r>
        <w:rPr>
          <w:rFonts w:ascii="Book Antiqua" w:hAnsi="Book Antiqua"/>
        </w:rPr>
        <w:t xml:space="preserve">3 </w:t>
      </w:r>
      <w:r w:rsidRPr="005C6A5F">
        <w:rPr>
          <w:rFonts w:ascii="Book Antiqua" w:hAnsi="Book Antiqua"/>
        </w:rPr>
        <w:t>Baishideng. All rights reserved.</w:t>
      </w:r>
    </w:p>
    <w:p w:rsidR="002550C2" w:rsidRPr="00270312" w:rsidRDefault="002550C2" w:rsidP="005427FA">
      <w:pPr>
        <w:spacing w:line="360" w:lineRule="auto"/>
        <w:jc w:val="both"/>
        <w:rPr>
          <w:rFonts w:ascii="Book Antiqua" w:eastAsia="宋体" w:hAnsi="Book Antiqua" w:cs="Tahoma"/>
          <w:b/>
          <w:lang w:eastAsia="zh-CN"/>
        </w:rPr>
      </w:pPr>
    </w:p>
    <w:p w:rsidR="002550C2" w:rsidRPr="00A36B96" w:rsidRDefault="002550C2" w:rsidP="005427FA">
      <w:pPr>
        <w:spacing w:line="360" w:lineRule="auto"/>
        <w:jc w:val="both"/>
        <w:rPr>
          <w:rStyle w:val="ac"/>
          <w:rFonts w:ascii="Book Antiqua" w:eastAsia="宋体" w:hAnsi="Book Antiqua"/>
          <w:b w:val="0"/>
          <w:bCs/>
          <w:lang w:eastAsia="zh-CN"/>
        </w:rPr>
      </w:pPr>
      <w:r w:rsidRPr="005427FA">
        <w:rPr>
          <w:rFonts w:ascii="Book Antiqua" w:hAnsi="Book Antiqua" w:cs="Tahoma"/>
          <w:b/>
        </w:rPr>
        <w:t>Key</w:t>
      </w:r>
      <w:r>
        <w:rPr>
          <w:rFonts w:ascii="Book Antiqua" w:eastAsia="宋体" w:hAnsi="Book Antiqua" w:cs="Tahoma"/>
          <w:b/>
          <w:lang w:eastAsia="zh-CN"/>
        </w:rPr>
        <w:t xml:space="preserve"> </w:t>
      </w:r>
      <w:r w:rsidRPr="005427FA">
        <w:rPr>
          <w:rFonts w:ascii="Book Antiqua" w:hAnsi="Book Antiqua" w:cs="Tahoma"/>
          <w:b/>
        </w:rPr>
        <w:t>words:</w:t>
      </w:r>
      <w:r>
        <w:rPr>
          <w:rFonts w:ascii="Book Antiqua" w:hAnsi="Book Antiqua" w:cs="Tahoma"/>
          <w:b/>
        </w:rPr>
        <w:t xml:space="preserve"> </w:t>
      </w:r>
      <w:r w:rsidRPr="005427FA">
        <w:rPr>
          <w:rFonts w:ascii="Book Antiqua" w:hAnsi="Book Antiqua" w:cs="Tahoma"/>
        </w:rPr>
        <w:t>Anti-inflammatory;</w:t>
      </w:r>
      <w:r>
        <w:rPr>
          <w:rFonts w:ascii="Book Antiqua" w:hAnsi="Book Antiqua" w:cs="Tahoma"/>
        </w:rPr>
        <w:t xml:space="preserve"> </w:t>
      </w:r>
      <w:r w:rsidRPr="005427FA">
        <w:rPr>
          <w:rFonts w:ascii="Book Antiqua" w:hAnsi="Book Antiqua" w:cs="Tahoma"/>
        </w:rPr>
        <w:t>Ulcer;</w:t>
      </w:r>
      <w:r>
        <w:rPr>
          <w:rFonts w:ascii="Book Antiqua" w:hAnsi="Book Antiqua" w:cs="Tahoma"/>
        </w:rPr>
        <w:t xml:space="preserve"> </w:t>
      </w:r>
      <w:r w:rsidRPr="005427FA">
        <w:rPr>
          <w:rFonts w:ascii="Book Antiqua" w:hAnsi="Book Antiqua" w:cs="Tahoma"/>
        </w:rPr>
        <w:t>Prostaglandin; Non-steroidal;</w:t>
      </w:r>
      <w:r>
        <w:rPr>
          <w:rFonts w:ascii="Book Antiqua" w:hAnsi="Book Antiqua" w:cs="Tahoma"/>
        </w:rPr>
        <w:t xml:space="preserve"> </w:t>
      </w:r>
      <w:r w:rsidRPr="005427FA">
        <w:rPr>
          <w:rFonts w:ascii="Book Antiqua" w:hAnsi="Book Antiqua" w:cs="Tahoma"/>
        </w:rPr>
        <w:t>Bleeding;</w:t>
      </w:r>
      <w:r>
        <w:rPr>
          <w:rFonts w:ascii="Book Antiqua" w:hAnsi="Book Antiqua" w:cs="Tahoma"/>
        </w:rPr>
        <w:t xml:space="preserve"> </w:t>
      </w:r>
      <w:r w:rsidRPr="005427FA">
        <w:rPr>
          <w:rFonts w:ascii="Book Antiqua" w:hAnsi="Book Antiqua"/>
        </w:rPr>
        <w:t>Intestinal; Bile; Enterohepatic; Bacteria; Hydrogen sulfide; Aspirin; Hemorrhage</w:t>
      </w:r>
    </w:p>
    <w:p w:rsidR="002550C2" w:rsidRDefault="002550C2" w:rsidP="005427FA">
      <w:pPr>
        <w:spacing w:line="360" w:lineRule="auto"/>
        <w:jc w:val="both"/>
        <w:rPr>
          <w:rStyle w:val="ac"/>
          <w:rFonts w:ascii="Book Antiqua" w:eastAsia="宋体" w:hAnsi="Book Antiqua"/>
          <w:b w:val="0"/>
          <w:bCs/>
          <w:lang w:eastAsia="zh-CN"/>
        </w:rPr>
      </w:pPr>
    </w:p>
    <w:p w:rsidR="002550C2" w:rsidRPr="005427FA" w:rsidRDefault="002550C2" w:rsidP="006D58F7">
      <w:pPr>
        <w:spacing w:line="360" w:lineRule="auto"/>
        <w:jc w:val="both"/>
        <w:rPr>
          <w:rFonts w:ascii="Book Antiqua" w:hAnsi="Book Antiqua"/>
        </w:rPr>
      </w:pPr>
      <w:r w:rsidRPr="006B10CF">
        <w:rPr>
          <w:rFonts w:ascii="Book Antiqua" w:eastAsia="Arial Unicode MS" w:hAnsi="Book Antiqua" w:cs="Arial Unicode MS"/>
          <w:b/>
        </w:rPr>
        <w:t>Core tip</w:t>
      </w:r>
      <w:r>
        <w:rPr>
          <w:rFonts w:ascii="Book Antiqua" w:eastAsia="Arial Unicode MS" w:hAnsi="Book Antiqua" w:cs="Arial Unicode MS"/>
          <w:b/>
        </w:rPr>
        <w:t>:</w:t>
      </w:r>
      <w:r>
        <w:rPr>
          <w:rFonts w:ascii="Book Antiqua" w:eastAsia="Arial Unicode MS" w:hAnsi="Book Antiqua" w:cs="Arial Unicode MS"/>
          <w:b/>
          <w:lang w:eastAsia="zh-CN"/>
        </w:rPr>
        <w:t xml:space="preserve"> </w:t>
      </w:r>
      <w:r w:rsidRPr="005427FA">
        <w:rPr>
          <w:rFonts w:ascii="Book Antiqua" w:hAnsi="Book Antiqua"/>
        </w:rPr>
        <w:t>The pathogenesis of nonsteroidal anti-inflammatory drugs (NSAIDs)-enteropathy is complex, but studies in animal models are shedding light on the key factors that contribute to ulceration and bleeding, and are providing clues to the development of effective therapies and prevention strategies</w:t>
      </w:r>
      <w:r>
        <w:rPr>
          <w:rFonts w:ascii="Book Antiqua" w:hAnsi="Book Antiqua"/>
        </w:rPr>
        <w:t xml:space="preserve">. </w:t>
      </w:r>
      <w:r w:rsidRPr="005427FA">
        <w:rPr>
          <w:rFonts w:ascii="Book Antiqua" w:hAnsi="Book Antiqua"/>
        </w:rPr>
        <w:t xml:space="preserve">Novel NSAIDs </w:t>
      </w:r>
      <w:r w:rsidRPr="005427FA">
        <w:rPr>
          <w:rFonts w:ascii="Book Antiqua" w:hAnsi="Book Antiqua"/>
        </w:rPr>
        <w:lastRenderedPageBreak/>
        <w:t>that do not cause small intestinal damage in animal models offer hope for a solution to this serious adverse effect of one of the most widely used classes of drugs.</w:t>
      </w:r>
    </w:p>
    <w:p w:rsidR="002550C2" w:rsidRPr="006D58F7" w:rsidRDefault="002550C2" w:rsidP="005427FA">
      <w:pPr>
        <w:spacing w:line="360" w:lineRule="auto"/>
        <w:jc w:val="both"/>
        <w:rPr>
          <w:rFonts w:ascii="Book Antiqua" w:eastAsia="Arial Unicode MS" w:hAnsi="Book Antiqua" w:cs="Arial Unicode MS"/>
          <w:b/>
          <w:lang w:eastAsia="zh-CN"/>
        </w:rPr>
      </w:pPr>
    </w:p>
    <w:p w:rsidR="002550C2" w:rsidRPr="0044503D" w:rsidRDefault="002550C2" w:rsidP="005B50E6">
      <w:pPr>
        <w:spacing w:line="360" w:lineRule="auto"/>
        <w:jc w:val="both"/>
        <w:rPr>
          <w:rStyle w:val="a3"/>
          <w:rFonts w:ascii="Book Antiqua" w:eastAsia="宋体" w:hAnsi="Book Antiqua" w:cs="Tahoma"/>
          <w:bCs/>
          <w:i w:val="0"/>
          <w:iCs/>
          <w:lang w:eastAsia="zh-CN"/>
        </w:rPr>
      </w:pPr>
      <w:r w:rsidRPr="0044503D">
        <w:rPr>
          <w:rStyle w:val="a3"/>
          <w:rFonts w:ascii="Book Antiqua" w:hAnsi="Book Antiqua" w:cs="Tahoma"/>
          <w:bCs/>
          <w:i w:val="0"/>
          <w:iCs/>
        </w:rPr>
        <w:t>Wallace</w:t>
      </w:r>
      <w:r w:rsidRPr="0044503D">
        <w:rPr>
          <w:rFonts w:ascii="Book Antiqua" w:hAnsi="Book Antiqua"/>
        </w:rPr>
        <w:t xml:space="preserve"> </w:t>
      </w:r>
      <w:r w:rsidRPr="0044503D">
        <w:rPr>
          <w:rFonts w:ascii="Book Antiqua" w:eastAsia="宋体" w:hAnsi="Book Antiqua"/>
          <w:lang w:eastAsia="zh-CN"/>
        </w:rPr>
        <w:t xml:space="preserve">JL. </w:t>
      </w:r>
      <w:r w:rsidRPr="0044503D">
        <w:rPr>
          <w:rStyle w:val="a3"/>
          <w:rFonts w:ascii="Book Antiqua" w:hAnsi="Book Antiqua" w:cs="Tahoma"/>
          <w:bCs/>
          <w:i w:val="0"/>
          <w:iCs/>
        </w:rPr>
        <w:t>Mechanisms, prevention and clinical implications of NSAID-enteropathy</w:t>
      </w:r>
      <w:r>
        <w:rPr>
          <w:rStyle w:val="a3"/>
          <w:rFonts w:ascii="Book Antiqua" w:eastAsia="宋体" w:hAnsi="Book Antiqua" w:cs="Tahoma"/>
          <w:bCs/>
          <w:i w:val="0"/>
          <w:iCs/>
          <w:lang w:eastAsia="zh-CN"/>
        </w:rPr>
        <w:t xml:space="preserve">. </w:t>
      </w:r>
    </w:p>
    <w:p w:rsidR="002550C2" w:rsidRPr="00CE4867" w:rsidRDefault="002550C2" w:rsidP="005B50E6">
      <w:pPr>
        <w:spacing w:line="360" w:lineRule="auto"/>
        <w:jc w:val="both"/>
        <w:rPr>
          <w:rFonts w:ascii="Book Antiqua" w:hAnsi="Book Antiqua"/>
        </w:rPr>
      </w:pPr>
      <w:bookmarkStart w:id="9" w:name="OLE_LINK46"/>
      <w:bookmarkStart w:id="10" w:name="OLE_LINK47"/>
      <w:bookmarkStart w:id="11" w:name="OLE_LINK61"/>
      <w:bookmarkStart w:id="12" w:name="OLE_LINK84"/>
      <w:bookmarkStart w:id="13" w:name="OLE_LINK90"/>
      <w:r w:rsidRPr="00CE4867">
        <w:rPr>
          <w:rFonts w:ascii="Book Antiqua" w:hAnsi="Book Antiqua"/>
        </w:rPr>
        <w:t xml:space="preserve">Available from: URL: </w:t>
      </w:r>
    </w:p>
    <w:p w:rsidR="002550C2" w:rsidRPr="00CE4867" w:rsidRDefault="002550C2" w:rsidP="005B50E6">
      <w:pPr>
        <w:spacing w:line="360" w:lineRule="auto"/>
        <w:jc w:val="both"/>
        <w:rPr>
          <w:rFonts w:ascii="Book Antiqua" w:hAnsi="Book Antiqua"/>
        </w:rPr>
      </w:pPr>
      <w:r w:rsidRPr="00CE4867">
        <w:rPr>
          <w:rFonts w:ascii="Book Antiqua" w:hAnsi="Book Antiqua"/>
        </w:rPr>
        <w:t>DOI:</w:t>
      </w:r>
    </w:p>
    <w:bookmarkEnd w:id="9"/>
    <w:bookmarkEnd w:id="10"/>
    <w:bookmarkEnd w:id="11"/>
    <w:bookmarkEnd w:id="12"/>
    <w:bookmarkEnd w:id="13"/>
    <w:p w:rsidR="002550C2" w:rsidRPr="0044503D" w:rsidRDefault="002550C2" w:rsidP="005427FA">
      <w:pPr>
        <w:spacing w:line="360" w:lineRule="auto"/>
        <w:jc w:val="both"/>
        <w:rPr>
          <w:rFonts w:ascii="Book Antiqua" w:eastAsia="Arial Unicode MS" w:hAnsi="Book Antiqua" w:cs="Arial Unicode MS"/>
          <w:lang w:eastAsia="zh-CN"/>
        </w:rPr>
      </w:pPr>
    </w:p>
    <w:p w:rsidR="002550C2" w:rsidRDefault="002550C2" w:rsidP="005427FA">
      <w:pPr>
        <w:spacing w:line="360" w:lineRule="auto"/>
        <w:jc w:val="both"/>
        <w:rPr>
          <w:rFonts w:ascii="Book Antiqua" w:eastAsia="Arial Unicode MS" w:hAnsi="Book Antiqua" w:cs="Arial Unicode MS"/>
          <w:b/>
          <w:lang w:eastAsia="zh-CN"/>
        </w:rPr>
      </w:pPr>
    </w:p>
    <w:p w:rsidR="002550C2" w:rsidRPr="005427FA" w:rsidRDefault="002550C2" w:rsidP="005427FA">
      <w:pPr>
        <w:spacing w:line="360" w:lineRule="auto"/>
        <w:jc w:val="both"/>
        <w:rPr>
          <w:rFonts w:ascii="Book Antiqua" w:hAnsi="Book Antiqua"/>
          <w:b/>
          <w:u w:val="single"/>
        </w:rPr>
      </w:pPr>
      <w:r w:rsidRPr="005427FA">
        <w:rPr>
          <w:rFonts w:ascii="Book Antiqua" w:hAnsi="Book Antiqua"/>
          <w:b/>
          <w:u w:val="single"/>
        </w:rPr>
        <w:br w:type="page"/>
      </w:r>
    </w:p>
    <w:p w:rsidR="002550C2" w:rsidRPr="006D4823" w:rsidRDefault="002550C2" w:rsidP="005427FA">
      <w:pPr>
        <w:spacing w:line="360" w:lineRule="auto"/>
        <w:jc w:val="both"/>
        <w:rPr>
          <w:rFonts w:ascii="Book Antiqua" w:hAnsi="Book Antiqua"/>
          <w:b/>
        </w:rPr>
      </w:pPr>
      <w:r w:rsidRPr="006D4823">
        <w:rPr>
          <w:rFonts w:ascii="Book Antiqua" w:hAnsi="Book Antiqua"/>
          <w:b/>
        </w:rPr>
        <w:t>INTRODUCTION</w:t>
      </w:r>
    </w:p>
    <w:p w:rsidR="002550C2" w:rsidRPr="005427FA" w:rsidRDefault="002550C2" w:rsidP="006D4823">
      <w:pPr>
        <w:spacing w:line="360" w:lineRule="auto"/>
        <w:jc w:val="both"/>
        <w:rPr>
          <w:rFonts w:ascii="Book Antiqua" w:hAnsi="Book Antiqua"/>
        </w:rPr>
      </w:pPr>
      <w:r w:rsidRPr="005427FA">
        <w:rPr>
          <w:rFonts w:ascii="Book Antiqua" w:hAnsi="Book Antiqua"/>
        </w:rPr>
        <w:t>Nonsteroidal anti-inflammatory drugs (NSAIDs) are among the widely used prescription and over-the-counter medications.</w:t>
      </w:r>
      <w:r>
        <w:rPr>
          <w:rFonts w:ascii="Book Antiqua" w:hAnsi="Book Antiqua"/>
        </w:rPr>
        <w:t xml:space="preserve"> </w:t>
      </w:r>
      <w:r w:rsidRPr="005427FA">
        <w:rPr>
          <w:rFonts w:ascii="Book Antiqua" w:hAnsi="Book Antiqua"/>
        </w:rPr>
        <w:t>They are used to treat the symptoms of a variety of inflammatory conditions, most notably osteoarthritis, rheumatoid arthritis, ankylosing spondylitis and gout.</w:t>
      </w:r>
      <w:r>
        <w:rPr>
          <w:rFonts w:ascii="Book Antiqua" w:hAnsi="Book Antiqua"/>
        </w:rPr>
        <w:t xml:space="preserve"> </w:t>
      </w:r>
      <w:r w:rsidRPr="005427FA">
        <w:rPr>
          <w:rFonts w:ascii="Book Antiqua" w:hAnsi="Book Antiqua"/>
        </w:rPr>
        <w:t>In such conditions, NSAIDs are used chronically, and the affected patients frequently have co-morbidities such as hypertension, diabetes and obesity, as well as often also taking glucocorticoids or anti-coagulants.</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By inhibiting the activity of cyclo-oxygenase (COX), NSAIDs prevent the formation of prostaglandin (PG) H</w:t>
      </w:r>
      <w:r w:rsidRPr="005427FA">
        <w:rPr>
          <w:rFonts w:ascii="Book Antiqua" w:hAnsi="Book Antiqua"/>
          <w:vertAlign w:val="subscript"/>
        </w:rPr>
        <w:t>2</w:t>
      </w:r>
      <w:r w:rsidRPr="005427FA">
        <w:rPr>
          <w:rFonts w:ascii="Book Antiqua" w:hAnsi="Book Antiqua"/>
        </w:rPr>
        <w:t>, which is the precursor for the production of all other PG and thromboxane subtypes.</w:t>
      </w:r>
      <w:r>
        <w:rPr>
          <w:rFonts w:ascii="Book Antiqua" w:hAnsi="Book Antiqua"/>
        </w:rPr>
        <w:t xml:space="preserve"> </w:t>
      </w:r>
      <w:r w:rsidRPr="005427FA">
        <w:rPr>
          <w:rFonts w:ascii="Book Antiqua" w:hAnsi="Book Antiqua"/>
        </w:rPr>
        <w:t>Most NSAIDs inhibit COX activity in a competitive fashion, whereas aspirin is an irreversible inhibitor of the enzyme.</w:t>
      </w:r>
      <w:r>
        <w:rPr>
          <w:rFonts w:ascii="Book Antiqua" w:hAnsi="Book Antiqua"/>
        </w:rPr>
        <w:t xml:space="preserve"> </w:t>
      </w:r>
      <w:r w:rsidRPr="005427FA">
        <w:rPr>
          <w:rFonts w:ascii="Book Antiqua" w:hAnsi="Book Antiqua"/>
        </w:rPr>
        <w:t>Indeed, the ability of aspirin to irreversibly inhibit thromboxane synthesis by platelets, and the lack of capacity of platelets to synthesize more COX, underlie the utility of chronic, low-dose aspirin as an anti-thrombotic drug, reducing the incidence of several adverse cardiovascular events (</w:t>
      </w:r>
      <w:r w:rsidRPr="004B3AAE">
        <w:rPr>
          <w:rFonts w:ascii="Book Antiqua" w:hAnsi="Book Antiqua"/>
          <w:i/>
        </w:rPr>
        <w:t>e.g.</w:t>
      </w:r>
      <w:r w:rsidRPr="005427FA">
        <w:rPr>
          <w:rFonts w:ascii="Book Antiqua" w:hAnsi="Book Antiqua"/>
        </w:rPr>
        <w:t>, stroke, myocardial infarction).</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Inhibition of COX is central to the major anti-inflammatory actions of NSAIDs.</w:t>
      </w:r>
      <w:r>
        <w:rPr>
          <w:rFonts w:ascii="Book Antiqua" w:hAnsi="Book Antiqua"/>
        </w:rPr>
        <w:t xml:space="preserve"> </w:t>
      </w:r>
      <w:r w:rsidRPr="005427FA">
        <w:rPr>
          <w:rFonts w:ascii="Book Antiqua" w:hAnsi="Book Antiqua"/>
        </w:rPr>
        <w:t>By inhibiting the production of PGs (particularly PGE</w:t>
      </w:r>
      <w:r w:rsidRPr="005427FA">
        <w:rPr>
          <w:rFonts w:ascii="Book Antiqua" w:hAnsi="Book Antiqua"/>
          <w:vertAlign w:val="subscript"/>
        </w:rPr>
        <w:t>2</w:t>
      </w:r>
      <w:r w:rsidRPr="005427FA">
        <w:rPr>
          <w:rFonts w:ascii="Book Antiqua" w:hAnsi="Book Antiqua"/>
        </w:rPr>
        <w:t xml:space="preserve"> and PGI</w:t>
      </w:r>
      <w:r w:rsidRPr="005427FA">
        <w:rPr>
          <w:rFonts w:ascii="Book Antiqua" w:hAnsi="Book Antiqua"/>
          <w:vertAlign w:val="subscript"/>
        </w:rPr>
        <w:t>2</w:t>
      </w:r>
      <w:r w:rsidRPr="005427FA">
        <w:rPr>
          <w:rFonts w:ascii="Book Antiqua" w:hAnsi="Book Antiqua"/>
        </w:rPr>
        <w:t>), NSAIDs reduce two key elements of inflammation:</w:t>
      </w:r>
      <w:r>
        <w:rPr>
          <w:rFonts w:ascii="Book Antiqua" w:hAnsi="Book Antiqua"/>
        </w:rPr>
        <w:t xml:space="preserve"> </w:t>
      </w:r>
      <w:r w:rsidRPr="005427FA">
        <w:rPr>
          <w:rFonts w:ascii="Book Antiqua" w:hAnsi="Book Antiqua"/>
        </w:rPr>
        <w:t>vasodilation and pain.</w:t>
      </w:r>
      <w:r>
        <w:rPr>
          <w:rFonts w:ascii="Book Antiqua" w:hAnsi="Book Antiqua"/>
        </w:rPr>
        <w:t xml:space="preserve"> </w:t>
      </w:r>
      <w:r w:rsidRPr="005427FA">
        <w:rPr>
          <w:rFonts w:ascii="Book Antiqua" w:hAnsi="Book Antiqua"/>
        </w:rPr>
        <w:t>By reducing blood flow to a damaged and inflamed site, NSAIDs also contribute to a reduction of edema.</w:t>
      </w:r>
      <w:r>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Unfortunately, PGs do not only contribute to the cardinal signs of inflammation.</w:t>
      </w:r>
      <w:r>
        <w:rPr>
          <w:rFonts w:ascii="Book Antiqua" w:hAnsi="Book Antiqua"/>
        </w:rPr>
        <w:t xml:space="preserve"> </w:t>
      </w:r>
      <w:r w:rsidRPr="005427FA">
        <w:rPr>
          <w:rFonts w:ascii="Book Antiqua" w:hAnsi="Book Antiqua"/>
        </w:rPr>
        <w:t>They also play important roles in many physiological processes.</w:t>
      </w:r>
      <w:r>
        <w:rPr>
          <w:rFonts w:ascii="Book Antiqua" w:hAnsi="Book Antiqua"/>
        </w:rPr>
        <w:t xml:space="preserve"> </w:t>
      </w:r>
      <w:r w:rsidRPr="005427FA">
        <w:rPr>
          <w:rFonts w:ascii="Book Antiqua" w:hAnsi="Book Antiqua"/>
        </w:rPr>
        <w:t>In the gastrointestinal (GI) tract, PGs are very important mediators of mucosal defence and repair</w:t>
      </w:r>
      <w:r w:rsidRPr="005427FA">
        <w:rPr>
          <w:rFonts w:ascii="Book Antiqua" w:hAnsi="Book Antiqua"/>
          <w:vertAlign w:val="superscript"/>
        </w:rPr>
        <w:t>[1]</w:t>
      </w:r>
      <w:r w:rsidRPr="005427FA">
        <w:rPr>
          <w:rFonts w:ascii="Book Antiqua" w:hAnsi="Book Antiqua"/>
        </w:rPr>
        <w:t>.</w:t>
      </w:r>
      <w:r>
        <w:rPr>
          <w:rFonts w:ascii="Book Antiqua" w:hAnsi="Book Antiqua"/>
        </w:rPr>
        <w:t xml:space="preserve"> </w:t>
      </w:r>
      <w:r w:rsidRPr="005427FA">
        <w:rPr>
          <w:rFonts w:ascii="Book Antiqua" w:hAnsi="Book Antiqua"/>
        </w:rPr>
        <w:t>Inhibition of their synthesis renders GI tissues much more susceptible to damage induced by luminal irritants (including gastric acid and bile), and less able to restore mucosal structure and function after injury</w:t>
      </w:r>
      <w:r w:rsidRPr="005427FA">
        <w:rPr>
          <w:rFonts w:ascii="Book Antiqua" w:hAnsi="Book Antiqua"/>
          <w:vertAlign w:val="superscript"/>
        </w:rPr>
        <w:t>[1]</w:t>
      </w:r>
      <w:r w:rsidRPr="005427FA">
        <w:rPr>
          <w:rFonts w:ascii="Book Antiqua" w:hAnsi="Book Antiqua"/>
        </w:rPr>
        <w:t>.</w:t>
      </w:r>
      <w:r>
        <w:rPr>
          <w:rFonts w:ascii="Book Antiqua" w:hAnsi="Book Antiqua"/>
        </w:rPr>
        <w:t xml:space="preserve"> </w:t>
      </w:r>
      <w:r w:rsidRPr="005427FA">
        <w:rPr>
          <w:rFonts w:ascii="Book Antiqua" w:hAnsi="Book Antiqua"/>
        </w:rPr>
        <w:lastRenderedPageBreak/>
        <w:t>Suppression of PG synthesis is the key effect of NSAIDs that leads to gastro-duodenal ulceration and bleeding.</w:t>
      </w:r>
      <w:r>
        <w:rPr>
          <w:rFonts w:ascii="Book Antiqua" w:hAnsi="Book Antiqua"/>
        </w:rPr>
        <w:t xml:space="preserve"> </w:t>
      </w:r>
      <w:r w:rsidRPr="005427FA">
        <w:rPr>
          <w:rFonts w:ascii="Book Antiqua" w:hAnsi="Book Antiqua"/>
        </w:rPr>
        <w:t>However, several other effects of NSAIDs appear to be central to the ability of these drugs to cause damage in the small intestine.</w:t>
      </w:r>
    </w:p>
    <w:p w:rsidR="002550C2" w:rsidRPr="005427FA" w:rsidRDefault="002550C2" w:rsidP="005427FA">
      <w:pPr>
        <w:spacing w:line="360" w:lineRule="auto"/>
        <w:jc w:val="both"/>
        <w:rPr>
          <w:rFonts w:ascii="Book Antiqua" w:hAnsi="Book Antiqua"/>
        </w:rPr>
      </w:pPr>
    </w:p>
    <w:p w:rsidR="002550C2" w:rsidRPr="00795608" w:rsidRDefault="002550C2" w:rsidP="005427FA">
      <w:pPr>
        <w:spacing w:line="360" w:lineRule="auto"/>
        <w:jc w:val="both"/>
        <w:rPr>
          <w:rFonts w:ascii="Book Antiqua" w:hAnsi="Book Antiqua"/>
          <w:b/>
        </w:rPr>
      </w:pPr>
      <w:r w:rsidRPr="00795608">
        <w:rPr>
          <w:rFonts w:ascii="Book Antiqua" w:hAnsi="Book Antiqua"/>
          <w:b/>
        </w:rPr>
        <w:t>OVERVIEW OF THE CLINICAL PROBLEM</w:t>
      </w:r>
    </w:p>
    <w:p w:rsidR="002550C2" w:rsidRPr="005427FA" w:rsidRDefault="002550C2" w:rsidP="00795608">
      <w:pPr>
        <w:spacing w:line="360" w:lineRule="auto"/>
        <w:jc w:val="both"/>
        <w:rPr>
          <w:rFonts w:ascii="Book Antiqua" w:hAnsi="Book Antiqua"/>
        </w:rPr>
      </w:pPr>
      <w:r w:rsidRPr="005427FA">
        <w:rPr>
          <w:rFonts w:ascii="Book Antiqua" w:hAnsi="Book Antiqua"/>
        </w:rPr>
        <w:t>For several decades, the ability of NSAIDs to induce significant damage to the small intestine was largely unappreciated, being over-shadowed by the attention paid to damage induced by these agents in the stomach and proximal duodenum.</w:t>
      </w:r>
      <w:r>
        <w:rPr>
          <w:rFonts w:ascii="Book Antiqua" w:hAnsi="Book Antiqua"/>
        </w:rPr>
        <w:t xml:space="preserve"> </w:t>
      </w:r>
      <w:r w:rsidRPr="005427FA">
        <w:rPr>
          <w:rFonts w:ascii="Book Antiqua" w:hAnsi="Book Antiqua"/>
        </w:rPr>
        <w:t>The prevalence and clinical significance of NSAID-enteropathy continues to be greatly under-recognized.</w:t>
      </w:r>
      <w:r>
        <w:rPr>
          <w:rFonts w:ascii="Book Antiqua" w:hAnsi="Book Antiqua"/>
        </w:rPr>
        <w:t xml:space="preserve"> </w:t>
      </w:r>
      <w:r w:rsidRPr="005427FA">
        <w:rPr>
          <w:rFonts w:ascii="Book Antiqua" w:hAnsi="Book Antiqua"/>
        </w:rPr>
        <w:t>NSAID-induced enteropathy and bleeding occur more frequently that NSAID-induced gastropathy</w:t>
      </w:r>
      <w:r w:rsidRPr="005427FA">
        <w:rPr>
          <w:rFonts w:ascii="Book Antiqua" w:hAnsi="Book Antiqua"/>
          <w:vertAlign w:val="superscript"/>
        </w:rPr>
        <w:t>[2,3]</w:t>
      </w:r>
      <w:r w:rsidRPr="005427FA">
        <w:rPr>
          <w:rFonts w:ascii="Book Antiqua" w:hAnsi="Book Antiqua"/>
        </w:rPr>
        <w:t>.</w:t>
      </w:r>
      <w:r>
        <w:rPr>
          <w:rFonts w:ascii="Book Antiqua" w:hAnsi="Book Antiqua"/>
        </w:rPr>
        <w:t xml:space="preserve"> </w:t>
      </w:r>
      <w:r w:rsidRPr="005427FA">
        <w:rPr>
          <w:rFonts w:ascii="Book Antiqua" w:hAnsi="Book Antiqua"/>
        </w:rPr>
        <w:t xml:space="preserve">Significant small intestinal damage and bleeding can be observed in </w:t>
      </w:r>
      <w:r>
        <w:rPr>
          <w:rFonts w:ascii="Book Antiqua" w:eastAsia="宋体" w:hAnsi="Book Antiqua"/>
          <w:lang w:eastAsia="zh-CN"/>
        </w:rPr>
        <w:t xml:space="preserve">about </w:t>
      </w:r>
      <w:r>
        <w:rPr>
          <w:rFonts w:ascii="Book Antiqua" w:hAnsi="Book Antiqua"/>
        </w:rPr>
        <w:t>70% of chronic NSAID users</w:t>
      </w:r>
      <w:r w:rsidRPr="005427FA">
        <w:rPr>
          <w:rFonts w:ascii="Book Antiqua" w:hAnsi="Book Antiqua"/>
          <w:vertAlign w:val="superscript"/>
        </w:rPr>
        <w:t>[4,5]</w:t>
      </w:r>
      <w:r w:rsidRPr="005427FA">
        <w:rPr>
          <w:rFonts w:ascii="Book Antiqua" w:hAnsi="Book Antiqua"/>
        </w:rPr>
        <w:t>, and in the majority of patients the injury is sub-clinical</w:t>
      </w:r>
      <w:r w:rsidRPr="005427FA">
        <w:rPr>
          <w:rFonts w:ascii="Book Antiqua" w:hAnsi="Book Antiqua"/>
          <w:vertAlign w:val="superscript"/>
        </w:rPr>
        <w:t>[6]</w:t>
      </w:r>
      <w:r w:rsidRPr="005427FA">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 xml:space="preserve"> Unlike the case for NSAID-gastropathy, there are no proven-effective preventative therapies for NSAID-enteropathy, and the pathogenesis is poorly understood</w:t>
      </w:r>
      <w:r w:rsidRPr="005427FA">
        <w:rPr>
          <w:rFonts w:ascii="Book Antiqua" w:hAnsi="Book Antiqua"/>
          <w:vertAlign w:val="superscript"/>
        </w:rPr>
        <w:t>[7]</w:t>
      </w:r>
      <w:r w:rsidRPr="005427FA">
        <w:rPr>
          <w:rFonts w:ascii="Book Antiqua" w:hAnsi="Book Antiqua"/>
        </w:rPr>
        <w:t>.</w:t>
      </w:r>
      <w:r>
        <w:rPr>
          <w:rFonts w:ascii="Book Antiqua" w:hAnsi="Book Antiqua"/>
        </w:rPr>
        <w:t xml:space="preserve"> </w:t>
      </w:r>
      <w:r w:rsidRPr="005427FA">
        <w:rPr>
          <w:rFonts w:ascii="Book Antiqua" w:hAnsi="Book Antiqua"/>
        </w:rPr>
        <w:t>Iron-deficient anemia is a common first presentation of NSAID-enteropathy, and serious complications can include massive bleeding, perforation and strictures, sometimes leading to death</w:t>
      </w:r>
      <w:r w:rsidRPr="005427FA">
        <w:rPr>
          <w:rFonts w:ascii="Book Antiqua" w:hAnsi="Book Antiqua"/>
          <w:vertAlign w:val="superscript"/>
        </w:rPr>
        <w:t>[2,6,8]</w:t>
      </w:r>
      <w:r w:rsidRPr="005427FA">
        <w:rPr>
          <w:rFonts w:ascii="Book Antiqua" w:hAnsi="Book Antiqua"/>
        </w:rPr>
        <w:t>.</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Aspirin is the most commonly used NSAID, and it is a very frequent cause of small intestinal bleeding.</w:t>
      </w:r>
      <w:r>
        <w:rPr>
          <w:rFonts w:ascii="Book Antiqua" w:hAnsi="Book Antiqua"/>
        </w:rPr>
        <w:t xml:space="preserve"> </w:t>
      </w:r>
      <w:r w:rsidRPr="005427FA">
        <w:rPr>
          <w:rFonts w:ascii="Book Antiqua" w:hAnsi="Book Antiqua"/>
        </w:rPr>
        <w:t xml:space="preserve">In the </w:t>
      </w:r>
      <w:smartTag w:uri="urn:schemas-microsoft-com:office:smarttags" w:element="country-region">
        <w:r w:rsidRPr="00A36B96">
          <w:rPr>
            <w:rFonts w:ascii="Book Antiqua" w:hAnsi="Book Antiqua"/>
          </w:rPr>
          <w:t>United States</w:t>
        </w:r>
      </w:smartTag>
      <w:r w:rsidRPr="00A36B96">
        <w:rPr>
          <w:rFonts w:ascii="Book Antiqua" w:hAnsi="Book Antiqua"/>
        </w:rPr>
        <w:t xml:space="preserve"> </w:t>
      </w:r>
      <w:r w:rsidRPr="005427FA">
        <w:rPr>
          <w:rFonts w:ascii="Book Antiqua" w:hAnsi="Book Antiqua"/>
        </w:rPr>
        <w:t xml:space="preserve">and </w:t>
      </w:r>
      <w:smartTag w:uri="urn:schemas-microsoft-com:office:smarttags" w:element="country-region">
        <w:r w:rsidRPr="005427FA">
          <w:rPr>
            <w:rFonts w:ascii="Book Antiqua" w:hAnsi="Book Antiqua"/>
          </w:rPr>
          <w:t>Europe</w:t>
        </w:r>
      </w:smartTag>
      <w:r w:rsidRPr="005427FA">
        <w:rPr>
          <w:rFonts w:ascii="Book Antiqua" w:hAnsi="Book Antiqua"/>
        </w:rPr>
        <w:t>, in over 50% of cases, aspirin has been identified as the precipitator of GI bleeding leading to hospital admissions</w:t>
      </w:r>
      <w:r w:rsidRPr="005427FA">
        <w:rPr>
          <w:rFonts w:ascii="Book Antiqua" w:hAnsi="Book Antiqua"/>
          <w:vertAlign w:val="superscript"/>
        </w:rPr>
        <w:t>[3,9,10]</w:t>
      </w:r>
      <w:r w:rsidRPr="005427FA">
        <w:rPr>
          <w:rFonts w:ascii="Book Antiqua" w:hAnsi="Book Antiqua"/>
        </w:rPr>
        <w:t>.</w:t>
      </w:r>
      <w:r>
        <w:rPr>
          <w:rFonts w:ascii="Book Antiqua" w:hAnsi="Book Antiqua"/>
        </w:rPr>
        <w:t xml:space="preserve"> </w:t>
      </w:r>
      <w:r w:rsidRPr="005427FA">
        <w:rPr>
          <w:rFonts w:ascii="Book Antiqua" w:hAnsi="Book Antiqua"/>
        </w:rPr>
        <w:t>Aspirin-induced small intestinal damage appears to occur more frequently when the aspirin is enteric-coated</w:t>
      </w:r>
      <w:r w:rsidRPr="005427FA">
        <w:rPr>
          <w:rFonts w:ascii="Book Antiqua" w:hAnsi="Book Antiqua"/>
          <w:vertAlign w:val="superscript"/>
        </w:rPr>
        <w:t>[8,11]</w:t>
      </w:r>
      <w:r w:rsidRPr="005427FA">
        <w:rPr>
          <w:rFonts w:ascii="Book Antiqua" w:hAnsi="Book Antiqua"/>
        </w:rPr>
        <w:t>. There is a lack of recognition of the frequency and potential severity of aspirin-induced lower GI injury, particularly when the aspirin is given at low doses for cardiovascular protection.</w:t>
      </w:r>
      <w:r>
        <w:rPr>
          <w:rFonts w:ascii="Book Antiqua" w:hAnsi="Book Antiqua"/>
        </w:rPr>
        <w:t xml:space="preserve"> </w:t>
      </w:r>
      <w:r w:rsidRPr="005427FA">
        <w:rPr>
          <w:rFonts w:ascii="Book Antiqua" w:hAnsi="Book Antiqua"/>
        </w:rPr>
        <w:t>In a recent clinical trial that involved over 1200 patients taking aspirin and another anti-platelet therapy for cardiovascular protection, lower GI bleeding was found to occur 3-times more frequently than upper GI bleeding</w:t>
      </w:r>
      <w:r w:rsidRPr="005427FA">
        <w:rPr>
          <w:rFonts w:ascii="Book Antiqua" w:hAnsi="Book Antiqua"/>
          <w:vertAlign w:val="superscript"/>
        </w:rPr>
        <w:t>[12]</w:t>
      </w:r>
      <w:r w:rsidRPr="005427FA">
        <w:rPr>
          <w:rFonts w:ascii="Book Antiqua" w:hAnsi="Book Antiqua"/>
        </w:rPr>
        <w:t>.</w:t>
      </w:r>
      <w:r>
        <w:rPr>
          <w:rFonts w:ascii="Book Antiqua" w:hAnsi="Book Antiqua"/>
        </w:rPr>
        <w:t xml:space="preserve"> </w:t>
      </w:r>
      <w:r w:rsidRPr="005427FA">
        <w:rPr>
          <w:rFonts w:ascii="Book Antiqua" w:hAnsi="Book Antiqua"/>
        </w:rPr>
        <w:lastRenderedPageBreak/>
        <w:t xml:space="preserve">Zhu </w:t>
      </w:r>
      <w:r w:rsidRPr="001F075D">
        <w:rPr>
          <w:rFonts w:ascii="Book Antiqua" w:hAnsi="Book Antiqua"/>
          <w:i/>
        </w:rPr>
        <w:t>et al</w:t>
      </w:r>
      <w:r w:rsidRPr="005427FA">
        <w:rPr>
          <w:rFonts w:ascii="Book Antiqua" w:hAnsi="Book Antiqua"/>
          <w:vertAlign w:val="superscript"/>
        </w:rPr>
        <w:t>[13]</w:t>
      </w:r>
      <w:r w:rsidRPr="005427FA">
        <w:rPr>
          <w:rFonts w:ascii="Book Antiqua" w:hAnsi="Book Antiqua"/>
        </w:rPr>
        <w:t xml:space="preserve"> reported that only about 3.5% of patients prescribed low-dose ASA also received a prescription for a proton pump inhibitor (PPI), histamine H</w:t>
      </w:r>
      <w:r w:rsidRPr="005427FA">
        <w:rPr>
          <w:rFonts w:ascii="Book Antiqua" w:hAnsi="Book Antiqua"/>
          <w:vertAlign w:val="subscript"/>
        </w:rPr>
        <w:t>2</w:t>
      </w:r>
      <w:r w:rsidRPr="005427FA">
        <w:rPr>
          <w:rFonts w:ascii="Book Antiqua" w:hAnsi="Book Antiqua"/>
        </w:rPr>
        <w:t xml:space="preserve"> receptor antagonist (H</w:t>
      </w:r>
      <w:r w:rsidRPr="005427FA">
        <w:rPr>
          <w:rFonts w:ascii="Book Antiqua" w:hAnsi="Book Antiqua"/>
          <w:vertAlign w:val="subscript"/>
        </w:rPr>
        <w:t>2</w:t>
      </w:r>
      <w:r w:rsidRPr="005427FA">
        <w:rPr>
          <w:rFonts w:ascii="Book Antiqua" w:hAnsi="Book Antiqua"/>
        </w:rPr>
        <w:t>RA) or muco-protective drug, suggesting that the prescribing physicians did not recognize the potential for GI adverse effects of low-dose aspirin. The pathogenesis of aspirin-induced small intestinal damage differs in several respects to that of the ulceration caused by other NSAIDs (discussed in more detail below).</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Selective COX-2 inhibitors were introduced to the marketplace at the beginning of this century with a promise of GI safety</w:t>
      </w:r>
      <w:r w:rsidRPr="005427FA">
        <w:rPr>
          <w:rFonts w:ascii="Book Antiqua" w:hAnsi="Book Antiqua"/>
          <w:vertAlign w:val="superscript"/>
        </w:rPr>
        <w:t>[14,15]</w:t>
      </w:r>
      <w:r w:rsidRPr="005427FA">
        <w:rPr>
          <w:rFonts w:ascii="Book Antiqua" w:hAnsi="Book Antiqua"/>
        </w:rPr>
        <w:t>.</w:t>
      </w:r>
      <w:r>
        <w:rPr>
          <w:rFonts w:ascii="Book Antiqua" w:hAnsi="Book Antiqua"/>
        </w:rPr>
        <w:t xml:space="preserve"> </w:t>
      </w:r>
      <w:r w:rsidRPr="005427FA">
        <w:rPr>
          <w:rFonts w:ascii="Book Antiqua" w:hAnsi="Book Antiqua"/>
        </w:rPr>
        <w:t>While some selective COX-2 inhibitors produce less gastroduodenal damage in some circumstances, the promise of these drugs has been largely unfulfilled</w:t>
      </w:r>
      <w:r w:rsidRPr="005427FA">
        <w:rPr>
          <w:rFonts w:ascii="Book Antiqua" w:hAnsi="Book Antiqua"/>
          <w:vertAlign w:val="superscript"/>
        </w:rPr>
        <w:t>[16,17]</w:t>
      </w:r>
      <w:r w:rsidRPr="005427FA">
        <w:rPr>
          <w:rFonts w:ascii="Book Antiqua" w:hAnsi="Book Antiqua"/>
        </w:rPr>
        <w:t>.</w:t>
      </w:r>
      <w:r>
        <w:rPr>
          <w:rFonts w:ascii="Book Antiqua" w:hAnsi="Book Antiqua"/>
        </w:rPr>
        <w:t xml:space="preserve"> </w:t>
      </w:r>
      <w:r w:rsidRPr="005427FA">
        <w:rPr>
          <w:rFonts w:ascii="Book Antiqua" w:hAnsi="Book Antiqua"/>
        </w:rPr>
        <w:t>Selective COX-2 inhibitors cause small intestinal damage and bleeding (the latter effect is somewhat surprising given the minimal inhibitory effects these drugs of these drugs on platelet function).</w:t>
      </w:r>
      <w:r>
        <w:rPr>
          <w:rFonts w:ascii="Book Antiqua" w:hAnsi="Book Antiqua"/>
        </w:rPr>
        <w:t xml:space="preserve"> </w:t>
      </w:r>
      <w:r w:rsidRPr="005427FA">
        <w:rPr>
          <w:rFonts w:ascii="Book Antiqua" w:hAnsi="Book Antiqua"/>
        </w:rPr>
        <w:t>McCarthy</w:t>
      </w:r>
      <w:r w:rsidRPr="005427FA">
        <w:rPr>
          <w:rFonts w:ascii="Book Antiqua" w:hAnsi="Book Antiqua"/>
          <w:vertAlign w:val="superscript"/>
        </w:rPr>
        <w:t>[3]</w:t>
      </w:r>
      <w:r w:rsidRPr="005427FA">
        <w:rPr>
          <w:rFonts w:ascii="Book Antiqua" w:hAnsi="Book Antiqua"/>
        </w:rPr>
        <w:t xml:space="preserve"> noted that in the VIGOR study, the majority of the GI bleeds originated from lesions in the small intestine (distal to the ligament of Treitz):</w:t>
      </w:r>
      <w:r>
        <w:rPr>
          <w:rFonts w:ascii="Book Antiqua" w:hAnsi="Book Antiqua"/>
        </w:rPr>
        <w:t xml:space="preserve"> </w:t>
      </w:r>
      <w:r w:rsidRPr="005427FA">
        <w:rPr>
          <w:rFonts w:ascii="Book Antiqua" w:hAnsi="Book Antiqua"/>
        </w:rPr>
        <w:t>58% of the GI bleeds in patients taking rofecoxib and 52% of the GI bleeds in patients taking naproxen</w:t>
      </w:r>
      <w:r w:rsidRPr="005427FA">
        <w:rPr>
          <w:rFonts w:ascii="Book Antiqua" w:hAnsi="Book Antiqua"/>
          <w:vertAlign w:val="superscript"/>
        </w:rPr>
        <w:t>[13]</w:t>
      </w:r>
      <w:r w:rsidRPr="005427FA">
        <w:rPr>
          <w:rFonts w:ascii="Book Antiqua" w:hAnsi="Book Antiqua"/>
        </w:rPr>
        <w:t>.</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There are several reasons for the lack of recognition of the prevalence and seriousness of NSAID-enteropathy.</w:t>
      </w:r>
      <w:r>
        <w:rPr>
          <w:rFonts w:ascii="Book Antiqua" w:hAnsi="Book Antiqua"/>
        </w:rPr>
        <w:t xml:space="preserve"> </w:t>
      </w:r>
      <w:r w:rsidRPr="005427FA">
        <w:rPr>
          <w:rFonts w:ascii="Book Antiqua" w:hAnsi="Book Antiqua"/>
        </w:rPr>
        <w:t>First, it is more difficult to detect small bowel damage than that induced by NSAIDs in the stomach and proximal duodenum: “The single most important reason for underestimating the clinical importance of NSAID enteropathy is the difficulty in making a diagnosis”</w:t>
      </w:r>
      <w:r w:rsidRPr="005427FA">
        <w:rPr>
          <w:rFonts w:ascii="Book Antiqua" w:hAnsi="Book Antiqua"/>
          <w:vertAlign w:val="superscript"/>
        </w:rPr>
        <w:t>[2]</w:t>
      </w:r>
      <w:r w:rsidRPr="005427FA">
        <w:rPr>
          <w:rFonts w:ascii="Book Antiqua" w:hAnsi="Book Antiqua"/>
        </w:rPr>
        <w:t>.</w:t>
      </w:r>
      <w:r>
        <w:rPr>
          <w:rFonts w:ascii="Book Antiqua" w:hAnsi="Book Antiqua"/>
        </w:rPr>
        <w:t xml:space="preserve"> </w:t>
      </w:r>
      <w:r w:rsidRPr="005427FA">
        <w:rPr>
          <w:rFonts w:ascii="Book Antiqua" w:hAnsi="Book Antiqua"/>
        </w:rPr>
        <w:t>Second, there is a poor correlation between NSAID-induced small intestinal damage and clinical symptoms.</w:t>
      </w:r>
      <w:r>
        <w:rPr>
          <w:rFonts w:ascii="Book Antiqua" w:hAnsi="Book Antiqua"/>
        </w:rPr>
        <w:t xml:space="preserve"> </w:t>
      </w:r>
      <w:r w:rsidRPr="005427FA">
        <w:rPr>
          <w:rFonts w:ascii="Book Antiqua" w:hAnsi="Book Antiqua"/>
        </w:rPr>
        <w:t>The vast majority of NSAID-enteropathy is sub-clinical</w:t>
      </w:r>
      <w:r w:rsidRPr="005427FA">
        <w:rPr>
          <w:rFonts w:ascii="Book Antiqua" w:hAnsi="Book Antiqua"/>
          <w:vertAlign w:val="superscript"/>
        </w:rPr>
        <w:t>[6]</w:t>
      </w:r>
      <w:r w:rsidRPr="005427FA">
        <w:rPr>
          <w:rFonts w:ascii="Book Antiqua" w:hAnsi="Book Antiqua"/>
        </w:rPr>
        <w:t>, and when there are symptoms, they are largely non-specific (including iron deficiency anemia, occult blood, diarrhea, hypoalbuminemia, and malabsorption of vitamin B</w:t>
      </w:r>
      <w:r w:rsidRPr="005427FA">
        <w:rPr>
          <w:rFonts w:ascii="Book Antiqua" w:hAnsi="Book Antiqua"/>
          <w:vertAlign w:val="subscript"/>
        </w:rPr>
        <w:t>12</w:t>
      </w:r>
      <w:r w:rsidRPr="005427FA">
        <w:rPr>
          <w:rFonts w:ascii="Book Antiqua" w:hAnsi="Book Antiqua"/>
        </w:rPr>
        <w:t xml:space="preserve"> and/or bile acids).</w:t>
      </w:r>
      <w:r>
        <w:rPr>
          <w:rFonts w:ascii="Book Antiqua" w:hAnsi="Book Antiqua"/>
        </w:rPr>
        <w:t xml:space="preserve"> </w:t>
      </w:r>
      <w:r w:rsidRPr="005427FA">
        <w:rPr>
          <w:rFonts w:ascii="Book Antiqua" w:hAnsi="Book Antiqua"/>
        </w:rPr>
        <w:t>Thirdly, some researchers have argued that the focus of large pharmaceutical companies on the development of ‘gastroprotective’ drugs, such as H</w:t>
      </w:r>
      <w:r w:rsidRPr="005427FA">
        <w:rPr>
          <w:rFonts w:ascii="Book Antiqua" w:hAnsi="Book Antiqua"/>
          <w:vertAlign w:val="subscript"/>
        </w:rPr>
        <w:t>2</w:t>
      </w:r>
      <w:r w:rsidRPr="005427FA">
        <w:rPr>
          <w:rFonts w:ascii="Book Antiqua" w:hAnsi="Book Antiqua"/>
        </w:rPr>
        <w:t xml:space="preserve">RA, PPI, and putative gastric-sparing drugs (selective COX-2 </w:t>
      </w:r>
      <w:r w:rsidRPr="005427FA">
        <w:rPr>
          <w:rFonts w:ascii="Book Antiqua" w:hAnsi="Book Antiqua"/>
        </w:rPr>
        <w:lastRenderedPageBreak/>
        <w:t>inhibitors, NSAID pro-drugs) has led to a preoccupation of physicians and researchers with the stomach and proximal duodenum, at the expense of consideration of the detrimental effects of NSAIDs in the small (and large) intestine.</w:t>
      </w:r>
      <w:r>
        <w:rPr>
          <w:rFonts w:ascii="Book Antiqua" w:hAnsi="Book Antiqua"/>
        </w:rPr>
        <w:t xml:space="preserve"> </w:t>
      </w:r>
      <w:r w:rsidRPr="005427FA">
        <w:rPr>
          <w:rFonts w:ascii="Book Antiqua" w:hAnsi="Book Antiqua"/>
        </w:rPr>
        <w:t>The fact that there are no proven-effective treatments for NSAID-enteropathy likely also contributes to the lack of recognition of this serious condition</w:t>
      </w:r>
      <w:r w:rsidRPr="005427FA">
        <w:rPr>
          <w:rFonts w:ascii="Book Antiqua" w:hAnsi="Book Antiqua"/>
          <w:vertAlign w:val="superscript"/>
        </w:rPr>
        <w:t>[7]</w:t>
      </w:r>
      <w:r w:rsidRPr="005427FA">
        <w:rPr>
          <w:rFonts w:ascii="Book Antiqua" w:hAnsi="Book Antiqua"/>
        </w:rPr>
        <w:t>.</w:t>
      </w:r>
    </w:p>
    <w:p w:rsidR="002550C2" w:rsidRPr="005427FA" w:rsidRDefault="002550C2" w:rsidP="005427FA">
      <w:pPr>
        <w:spacing w:line="360" w:lineRule="auto"/>
        <w:jc w:val="both"/>
        <w:rPr>
          <w:rFonts w:ascii="Book Antiqua" w:hAnsi="Book Antiqua"/>
          <w:u w:val="single"/>
        </w:rPr>
      </w:pPr>
    </w:p>
    <w:p w:rsidR="002550C2" w:rsidRPr="00B151D7" w:rsidRDefault="002550C2" w:rsidP="005427FA">
      <w:pPr>
        <w:spacing w:line="360" w:lineRule="auto"/>
        <w:jc w:val="both"/>
        <w:rPr>
          <w:rFonts w:ascii="Book Antiqua" w:hAnsi="Book Antiqua"/>
          <w:b/>
        </w:rPr>
      </w:pPr>
      <w:r w:rsidRPr="00B151D7">
        <w:rPr>
          <w:rFonts w:ascii="Book Antiqua" w:hAnsi="Book Antiqua"/>
          <w:b/>
        </w:rPr>
        <w:t>DETECTION OF NSAID-ENTEROPATHY</w:t>
      </w:r>
    </w:p>
    <w:p w:rsidR="002550C2" w:rsidRPr="005427FA" w:rsidRDefault="002550C2" w:rsidP="00B151D7">
      <w:pPr>
        <w:spacing w:line="360" w:lineRule="auto"/>
        <w:jc w:val="both"/>
        <w:rPr>
          <w:rFonts w:ascii="Book Antiqua" w:hAnsi="Book Antiqua"/>
        </w:rPr>
      </w:pPr>
      <w:r w:rsidRPr="005427FA">
        <w:rPr>
          <w:rFonts w:ascii="Book Antiqua" w:hAnsi="Book Antiqua"/>
        </w:rPr>
        <w:t>Until recently, detection of NSAID-enteropathy has been very difficult, with most of the evidence for its occurrence coming from post-mortem studies or through indirect measures of intestinal bleeding</w:t>
      </w:r>
      <w:r w:rsidRPr="005427FA">
        <w:rPr>
          <w:rFonts w:ascii="Book Antiqua" w:hAnsi="Book Antiqua"/>
          <w:vertAlign w:val="superscript"/>
        </w:rPr>
        <w:t>[4,18, 19]</w:t>
      </w:r>
      <w:r w:rsidRPr="005427FA">
        <w:rPr>
          <w:rFonts w:ascii="Book Antiqua" w:hAnsi="Book Antiqua"/>
        </w:rPr>
        <w:t>.</w:t>
      </w:r>
      <w:r>
        <w:rPr>
          <w:rFonts w:ascii="Book Antiqua" w:hAnsi="Book Antiqua"/>
        </w:rPr>
        <w:t xml:space="preserve"> </w:t>
      </w:r>
      <w:r w:rsidRPr="005427FA">
        <w:rPr>
          <w:rFonts w:ascii="Book Antiqua" w:hAnsi="Book Antiqua"/>
        </w:rPr>
        <w:t>Several indirect methods for detecting and measuring the severity of NSAID-enteropathy were developed, prior to improved endoscopic techniques for viewing the small intestine becoming widely available.</w:t>
      </w:r>
      <w:r>
        <w:rPr>
          <w:rFonts w:ascii="Book Antiqua" w:hAnsi="Book Antiqua"/>
        </w:rPr>
        <w:t xml:space="preserve"> </w:t>
      </w:r>
      <w:r w:rsidRPr="005427FA">
        <w:rPr>
          <w:rFonts w:ascii="Book Antiqua" w:hAnsi="Book Antiqua"/>
        </w:rPr>
        <w:t>These included measuring small intestinal permeability with sugars</w:t>
      </w:r>
      <w:r w:rsidRPr="005427FA">
        <w:rPr>
          <w:rFonts w:ascii="Book Antiqua" w:hAnsi="Book Antiqua"/>
          <w:vertAlign w:val="superscript"/>
        </w:rPr>
        <w:t>[20,21]</w:t>
      </w:r>
      <w:r w:rsidRPr="005427FA">
        <w:rPr>
          <w:rFonts w:ascii="Book Antiqua" w:hAnsi="Book Antiqua"/>
        </w:rPr>
        <w:t xml:space="preserve"> or small molecular weight radioactive probes</w:t>
      </w:r>
      <w:r w:rsidRPr="005427FA">
        <w:rPr>
          <w:rFonts w:ascii="Book Antiqua" w:hAnsi="Book Antiqua"/>
          <w:vertAlign w:val="superscript"/>
        </w:rPr>
        <w:t>[22]</w:t>
      </w:r>
      <w:r w:rsidRPr="005427FA">
        <w:rPr>
          <w:rFonts w:ascii="Book Antiqua" w:hAnsi="Book Antiqua"/>
        </w:rPr>
        <w:t>, measuring bleeding (presumed of intestinal origin) with radiolabelled red blood cells</w:t>
      </w:r>
      <w:r w:rsidRPr="005427FA">
        <w:rPr>
          <w:rFonts w:ascii="Book Antiqua" w:hAnsi="Book Antiqua"/>
          <w:vertAlign w:val="superscript"/>
        </w:rPr>
        <w:t>[23]</w:t>
      </w:r>
      <w:r w:rsidRPr="005427FA">
        <w:rPr>
          <w:rFonts w:ascii="Book Antiqua" w:hAnsi="Book Antiqua"/>
        </w:rPr>
        <w:t>, and measuring leukocyte markers in the small intestine (radiographically)</w:t>
      </w:r>
      <w:r w:rsidRPr="005427FA">
        <w:rPr>
          <w:rFonts w:ascii="Book Antiqua" w:hAnsi="Book Antiqua"/>
          <w:vertAlign w:val="superscript"/>
        </w:rPr>
        <w:t>[24]</w:t>
      </w:r>
      <w:r w:rsidRPr="005427FA">
        <w:rPr>
          <w:rFonts w:ascii="Book Antiqua" w:hAnsi="Book Antiqua"/>
        </w:rPr>
        <w:t xml:space="preserve"> or in feces</w:t>
      </w:r>
      <w:r w:rsidRPr="005427FA">
        <w:rPr>
          <w:rFonts w:ascii="Book Antiqua" w:hAnsi="Book Antiqua"/>
          <w:vertAlign w:val="superscript"/>
        </w:rPr>
        <w:t>[25]</w:t>
      </w:r>
      <w:r w:rsidRPr="005427FA">
        <w:rPr>
          <w:rFonts w:ascii="Book Antiqua" w:hAnsi="Book Antiqua"/>
        </w:rPr>
        <w:t>.</w:t>
      </w:r>
      <w:r>
        <w:rPr>
          <w:rFonts w:ascii="Book Antiqua" w:hAnsi="Book Antiqua"/>
        </w:rPr>
        <w:t xml:space="preserve"> </w:t>
      </w:r>
      <w:r w:rsidRPr="005427FA">
        <w:rPr>
          <w:rFonts w:ascii="Book Antiqua" w:hAnsi="Book Antiqua"/>
        </w:rPr>
        <w:t>All of these methods provide useful information, but none have become recognized as a ‘gold standard’ for detecting and quantifying enteropathy, because of lack of specificity and/or sensitivity.</w:t>
      </w:r>
      <w:r>
        <w:rPr>
          <w:rFonts w:ascii="Book Antiqua" w:hAnsi="Book Antiqua"/>
        </w:rPr>
        <w:t xml:space="preserve"> </w:t>
      </w:r>
      <w:r w:rsidRPr="005427FA">
        <w:rPr>
          <w:rFonts w:ascii="Book Antiqua" w:hAnsi="Book Antiqua"/>
        </w:rPr>
        <w:t>However, with video capsule endoscopy (VCE) and double-balloon enteroscopy, it is now possible to directly visualize of NSAID-induced damage and bleeding throughout the small intestine.</w:t>
      </w:r>
      <w:r>
        <w:rPr>
          <w:rFonts w:ascii="Book Antiqua" w:hAnsi="Book Antiqua"/>
        </w:rPr>
        <w:t xml:space="preserve"> </w:t>
      </w:r>
      <w:r w:rsidRPr="005427FA">
        <w:rPr>
          <w:rFonts w:ascii="Book Antiqua" w:hAnsi="Book Antiqua"/>
        </w:rPr>
        <w:t>Using these methods, it has become clear that NSAID-enteropathy occurs frequently, even in low-risk subjects (healthy, young volunteers) with low-risk treatment protocols (short-term ingestion of NSAIDs, sometimes together with a ‘gastro-protective’ agent).</w:t>
      </w:r>
      <w:r>
        <w:rPr>
          <w:rFonts w:ascii="Book Antiqua" w:hAnsi="Book Antiqua"/>
        </w:rPr>
        <w:t xml:space="preserve"> </w:t>
      </w:r>
      <w:r w:rsidRPr="005427FA">
        <w:rPr>
          <w:rFonts w:ascii="Book Antiqua" w:hAnsi="Book Antiqua"/>
        </w:rPr>
        <w:t xml:space="preserve">For example, using VCE, Graham </w:t>
      </w:r>
      <w:r w:rsidRPr="001F075D">
        <w:rPr>
          <w:rFonts w:ascii="Book Antiqua" w:hAnsi="Book Antiqua"/>
          <w:i/>
        </w:rPr>
        <w:t>et al</w:t>
      </w:r>
      <w:r w:rsidRPr="005427FA">
        <w:rPr>
          <w:rFonts w:ascii="Book Antiqua" w:hAnsi="Book Antiqua"/>
          <w:vertAlign w:val="superscript"/>
        </w:rPr>
        <w:t>[5]</w:t>
      </w:r>
      <w:r w:rsidRPr="005427FA">
        <w:rPr>
          <w:rFonts w:ascii="Book Antiqua" w:hAnsi="Book Antiqua"/>
        </w:rPr>
        <w:t xml:space="preserve"> found a high prevalence of ulcers in long-term NSAID users.</w:t>
      </w:r>
      <w:r>
        <w:rPr>
          <w:rFonts w:ascii="Book Antiqua" w:hAnsi="Book Antiqua"/>
        </w:rPr>
        <w:t xml:space="preserve"> </w:t>
      </w:r>
      <w:r w:rsidRPr="005427FA">
        <w:rPr>
          <w:rFonts w:ascii="Book Antiqua" w:hAnsi="Book Antiqua"/>
        </w:rPr>
        <w:t xml:space="preserve">More than 70% of these patients (taking NSAID for more than 3 </w:t>
      </w:r>
      <w:r>
        <w:rPr>
          <w:rFonts w:ascii="Book Antiqua" w:hAnsi="Book Antiqua"/>
        </w:rPr>
        <w:t>mo</w:t>
      </w:r>
      <w:r w:rsidRPr="005427FA">
        <w:rPr>
          <w:rFonts w:ascii="Book Antiqua" w:hAnsi="Book Antiqua"/>
        </w:rPr>
        <w:t>) had intestinal inflammation accompanied by bleeding and protein loss.</w:t>
      </w:r>
      <w:r>
        <w:rPr>
          <w:rFonts w:ascii="Book Antiqua" w:hAnsi="Book Antiqua"/>
        </w:rPr>
        <w:t xml:space="preserve"> </w:t>
      </w:r>
      <w:r w:rsidRPr="005427FA">
        <w:rPr>
          <w:rFonts w:ascii="Book Antiqua" w:hAnsi="Book Antiqua"/>
        </w:rPr>
        <w:t xml:space="preserve">Symptoms </w:t>
      </w:r>
      <w:r w:rsidRPr="005427FA">
        <w:rPr>
          <w:rFonts w:ascii="Book Antiqua" w:hAnsi="Book Antiqua"/>
        </w:rPr>
        <w:lastRenderedPageBreak/>
        <w:t xml:space="preserve">persisted after stopping the therapy (by as long as 16 </w:t>
      </w:r>
      <w:r>
        <w:rPr>
          <w:rFonts w:ascii="Book Antiqua" w:hAnsi="Book Antiqua"/>
        </w:rPr>
        <w:t>mo</w:t>
      </w:r>
      <w:r w:rsidRPr="005427FA">
        <w:rPr>
          <w:rFonts w:ascii="Book Antiqua" w:hAnsi="Book Antiqua"/>
        </w:rPr>
        <w:t xml:space="preserve"> in some patients).</w:t>
      </w:r>
      <w:r>
        <w:rPr>
          <w:rFonts w:ascii="Book Antiqua" w:hAnsi="Book Antiqua"/>
        </w:rPr>
        <w:t xml:space="preserve"> </w:t>
      </w:r>
      <w:r w:rsidRPr="005427FA">
        <w:rPr>
          <w:rFonts w:ascii="Book Antiqua" w:hAnsi="Book Antiqua"/>
        </w:rPr>
        <w:t xml:space="preserve">Maiden </w:t>
      </w:r>
      <w:r w:rsidRPr="001F075D">
        <w:rPr>
          <w:rFonts w:ascii="Book Antiqua" w:hAnsi="Book Antiqua"/>
          <w:i/>
        </w:rPr>
        <w:t>et al</w:t>
      </w:r>
      <w:r w:rsidRPr="005427FA">
        <w:rPr>
          <w:rFonts w:ascii="Book Antiqua" w:hAnsi="Book Antiqua"/>
          <w:vertAlign w:val="superscript"/>
        </w:rPr>
        <w:t>[25]</w:t>
      </w:r>
      <w:r w:rsidRPr="005427FA">
        <w:rPr>
          <w:rFonts w:ascii="Book Antiqua" w:hAnsi="Book Antiqua"/>
        </w:rPr>
        <w:t xml:space="preserve"> reported gross damage in 68% of healthy volunteers taking diclofenac plus omeprazole for 2 </w:t>
      </w:r>
      <w:r>
        <w:rPr>
          <w:rFonts w:ascii="Book Antiqua" w:hAnsi="Book Antiqua"/>
        </w:rPr>
        <w:t>wk</w:t>
      </w:r>
      <w:r w:rsidRPr="005427FA">
        <w:rPr>
          <w:rFonts w:ascii="Book Antiqua" w:hAnsi="Book Antiqua"/>
        </w:rPr>
        <w:t>.</w:t>
      </w:r>
      <w:r>
        <w:rPr>
          <w:rFonts w:ascii="Book Antiqua" w:hAnsi="Book Antiqua"/>
        </w:rPr>
        <w:t xml:space="preserve"> </w:t>
      </w:r>
      <w:r w:rsidRPr="005427FA">
        <w:rPr>
          <w:rFonts w:ascii="Book Antiqua" w:hAnsi="Book Antiqua"/>
        </w:rPr>
        <w:t xml:space="preserve">Even low-dose aspirin was found to cause significant small intestinal damage with short-term administration; thus, Endo </w:t>
      </w:r>
      <w:r w:rsidRPr="001F075D">
        <w:rPr>
          <w:rFonts w:ascii="Book Antiqua" w:hAnsi="Book Antiqua"/>
          <w:i/>
        </w:rPr>
        <w:t>et al</w:t>
      </w:r>
      <w:r w:rsidRPr="005427FA">
        <w:rPr>
          <w:rFonts w:ascii="Book Antiqua" w:hAnsi="Book Antiqua"/>
          <w:vertAlign w:val="superscript"/>
        </w:rPr>
        <w:t>[26]</w:t>
      </w:r>
      <w:r w:rsidRPr="005427FA">
        <w:rPr>
          <w:rFonts w:ascii="Book Antiqua" w:hAnsi="Book Antiqua"/>
        </w:rPr>
        <w:t xml:space="preserve"> reported that 80% of patients taking low-dose aspirin for 2 </w:t>
      </w:r>
      <w:r>
        <w:rPr>
          <w:rFonts w:ascii="Book Antiqua" w:hAnsi="Book Antiqua"/>
        </w:rPr>
        <w:t>wk</w:t>
      </w:r>
      <w:r w:rsidRPr="005427FA">
        <w:rPr>
          <w:rFonts w:ascii="Book Antiqua" w:hAnsi="Book Antiqua"/>
        </w:rPr>
        <w:t xml:space="preserve"> had intestinal damage.</w:t>
      </w:r>
    </w:p>
    <w:p w:rsidR="002550C2" w:rsidRPr="005427FA" w:rsidRDefault="002550C2" w:rsidP="005427FA">
      <w:pPr>
        <w:spacing w:line="360" w:lineRule="auto"/>
        <w:jc w:val="both"/>
        <w:rPr>
          <w:rFonts w:ascii="Book Antiqua" w:hAnsi="Book Antiqua"/>
        </w:rPr>
      </w:pPr>
    </w:p>
    <w:p w:rsidR="002550C2" w:rsidRPr="0065232A" w:rsidRDefault="002550C2" w:rsidP="005427FA">
      <w:pPr>
        <w:spacing w:line="360" w:lineRule="auto"/>
        <w:jc w:val="both"/>
        <w:rPr>
          <w:rFonts w:ascii="Book Antiqua" w:hAnsi="Book Antiqua"/>
          <w:b/>
        </w:rPr>
      </w:pPr>
      <w:r w:rsidRPr="0065232A">
        <w:rPr>
          <w:rFonts w:ascii="Book Antiqua" w:hAnsi="Book Antiqua"/>
          <w:b/>
        </w:rPr>
        <w:t>POLYPHARMACY CONUNDRUM: SHIFTING GI INJURY MORE DISTALLY</w:t>
      </w:r>
    </w:p>
    <w:p w:rsidR="002550C2" w:rsidRPr="005427FA" w:rsidRDefault="002550C2" w:rsidP="0065232A">
      <w:pPr>
        <w:spacing w:line="360" w:lineRule="auto"/>
        <w:jc w:val="both"/>
        <w:rPr>
          <w:rFonts w:ascii="Book Antiqua" w:hAnsi="Book Antiqua"/>
        </w:rPr>
      </w:pPr>
      <w:r w:rsidRPr="005427FA">
        <w:rPr>
          <w:rFonts w:ascii="Book Antiqua" w:hAnsi="Book Antiqua"/>
        </w:rPr>
        <w:t>Animal studies of NSAID injury to the GI tract usually involve the use of healthy animals.</w:t>
      </w:r>
      <w:r>
        <w:rPr>
          <w:rFonts w:ascii="Book Antiqua" w:hAnsi="Book Antiqua"/>
        </w:rPr>
        <w:t xml:space="preserve"> </w:t>
      </w:r>
      <w:r w:rsidRPr="005427FA">
        <w:rPr>
          <w:rFonts w:ascii="Book Antiqua" w:hAnsi="Book Antiqua"/>
        </w:rPr>
        <w:t>Of course, the people most commonly taking NSAIDs on a chronic basis are those with chronic illnesses, and more often than not, they are affected by more than one disease.</w:t>
      </w:r>
      <w:r>
        <w:rPr>
          <w:rFonts w:ascii="Book Antiqua" w:hAnsi="Book Antiqua"/>
        </w:rPr>
        <w:t xml:space="preserve"> </w:t>
      </w:r>
      <w:r w:rsidRPr="005427FA">
        <w:rPr>
          <w:rFonts w:ascii="Book Antiqua" w:hAnsi="Book Antiqua"/>
        </w:rPr>
        <w:t>It is also the case that disorders such as rheumatoid arthritis, obesity and diabetes can increase the susceptibility of the patient to the GI (and other) adverse effects of NSAIDs</w:t>
      </w:r>
      <w:r w:rsidRPr="005427FA">
        <w:rPr>
          <w:rFonts w:ascii="Book Antiqua" w:hAnsi="Book Antiqua"/>
          <w:vertAlign w:val="superscript"/>
        </w:rPr>
        <w:t>[27-29]</w:t>
      </w:r>
      <w:r w:rsidRPr="005427FA">
        <w:rPr>
          <w:rFonts w:ascii="Book Antiqua" w:hAnsi="Book Antiqua"/>
        </w:rPr>
        <w:t>.</w:t>
      </w:r>
      <w:r>
        <w:rPr>
          <w:rFonts w:ascii="Book Antiqua" w:hAnsi="Book Antiqua"/>
        </w:rPr>
        <w:t xml:space="preserve"> </w:t>
      </w:r>
      <w:r w:rsidRPr="005427FA">
        <w:rPr>
          <w:rFonts w:ascii="Book Antiqua" w:hAnsi="Book Antiqua"/>
        </w:rPr>
        <w:t>Moreover, these patients are often taking a number of different drugs, which can also affect susceptibility to NSAID-induce GI injury and bleeding.</w:t>
      </w:r>
      <w:r>
        <w:rPr>
          <w:rFonts w:ascii="Book Antiqua" w:hAnsi="Book Antiqua"/>
        </w:rPr>
        <w:t xml:space="preserve"> </w:t>
      </w:r>
      <w:r w:rsidRPr="005427FA">
        <w:rPr>
          <w:rFonts w:ascii="Book Antiqua" w:hAnsi="Book Antiqua"/>
        </w:rPr>
        <w:t>Polypharmacy is now commonplace, even in patients that do not have disorders other than the one for which NSAID therapy is indicated.</w:t>
      </w:r>
      <w:r>
        <w:rPr>
          <w:rFonts w:ascii="Book Antiqua" w:hAnsi="Book Antiqua"/>
        </w:rPr>
        <w:t xml:space="preserve"> </w:t>
      </w:r>
      <w:r w:rsidRPr="005427FA">
        <w:rPr>
          <w:rFonts w:ascii="Book Antiqua" w:hAnsi="Book Antiqua"/>
        </w:rPr>
        <w:t>Consider a disorder like osteoarthritis, which is more common in the elderly.</w:t>
      </w:r>
      <w:r>
        <w:rPr>
          <w:rFonts w:ascii="Book Antiqua" w:hAnsi="Book Antiqua"/>
        </w:rPr>
        <w:t xml:space="preserve"> </w:t>
      </w:r>
      <w:r w:rsidRPr="005427FA">
        <w:rPr>
          <w:rFonts w:ascii="Book Antiqua" w:hAnsi="Book Antiqua"/>
        </w:rPr>
        <w:t>Cardiovascular diseases are common in this group of patients, often leading to co-prescription of low-dose aspirin and sometimes of other anticoagulants.</w:t>
      </w:r>
      <w:r>
        <w:rPr>
          <w:rFonts w:ascii="Book Antiqua" w:hAnsi="Book Antiqua"/>
        </w:rPr>
        <w:t xml:space="preserve"> </w:t>
      </w:r>
      <w:r w:rsidRPr="005427FA">
        <w:rPr>
          <w:rFonts w:ascii="Book Antiqua" w:hAnsi="Book Antiqua"/>
        </w:rPr>
        <w:t>Low-dose aspirin is also frequently co-prescribed with selective COX-2 inhibitors and conventional NSAIDs because of concerns about the elevated risk of serious cardiovascular events in patients taking those drugs</w:t>
      </w:r>
      <w:r w:rsidRPr="005427FA">
        <w:rPr>
          <w:rFonts w:ascii="Book Antiqua" w:hAnsi="Book Antiqua"/>
          <w:vertAlign w:val="superscript"/>
        </w:rPr>
        <w:t>[30]</w:t>
      </w:r>
      <w:r w:rsidRPr="005427FA">
        <w:rPr>
          <w:rFonts w:ascii="Book Antiqua" w:hAnsi="Book Antiqua"/>
        </w:rPr>
        <w:t>.</w:t>
      </w:r>
      <w:r>
        <w:rPr>
          <w:rFonts w:ascii="Book Antiqua" w:hAnsi="Book Antiqua"/>
        </w:rPr>
        <w:t xml:space="preserve"> </w:t>
      </w:r>
      <w:r w:rsidRPr="005427FA">
        <w:rPr>
          <w:rFonts w:ascii="Book Antiqua" w:hAnsi="Book Antiqua"/>
        </w:rPr>
        <w:t>Of course, co-administration of low-dose aspirin together with a selective COX-2 inhibitor essentially eliminates any advantage, in terms of upper GI safety, of the selective COX-2 inhibitor as compared to a conventional NSAID</w:t>
      </w:r>
      <w:r w:rsidRPr="005427FA">
        <w:rPr>
          <w:rFonts w:ascii="Book Antiqua" w:hAnsi="Book Antiqua"/>
          <w:vertAlign w:val="superscript"/>
        </w:rPr>
        <w:t>[15,31-33]</w:t>
      </w:r>
      <w:r w:rsidRPr="005427FA">
        <w:rPr>
          <w:rFonts w:ascii="Book Antiqua" w:hAnsi="Book Antiqua"/>
        </w:rPr>
        <w:t>.</w:t>
      </w:r>
      <w:r>
        <w:rPr>
          <w:rFonts w:ascii="Book Antiqua" w:hAnsi="Book Antiqua"/>
        </w:rPr>
        <w:t xml:space="preserve"> </w:t>
      </w:r>
      <w:r w:rsidRPr="005427FA">
        <w:rPr>
          <w:rFonts w:ascii="Book Antiqua" w:hAnsi="Book Antiqua"/>
        </w:rPr>
        <w:t>To reduce the expected upper GI toxicity of the combination of an NSAID and low-dose aspirin, PPIs are typically prescribed as well.</w:t>
      </w:r>
      <w:r>
        <w:rPr>
          <w:rFonts w:ascii="Book Antiqua" w:hAnsi="Book Antiqua"/>
        </w:rPr>
        <w:t xml:space="preserve"> </w:t>
      </w:r>
      <w:r w:rsidRPr="005427FA">
        <w:rPr>
          <w:rFonts w:ascii="Book Antiqua" w:hAnsi="Book Antiqua"/>
        </w:rPr>
        <w:t xml:space="preserve">Indeed, there </w:t>
      </w:r>
      <w:r w:rsidRPr="005427FA">
        <w:rPr>
          <w:rFonts w:ascii="Book Antiqua" w:hAnsi="Book Antiqua"/>
        </w:rPr>
        <w:lastRenderedPageBreak/>
        <w:t>are now fixed-dose, enteric-coated, combination tablets available that contain an NSAID and a PPI</w:t>
      </w:r>
      <w:r w:rsidRPr="005427FA">
        <w:rPr>
          <w:rFonts w:ascii="Book Antiqua" w:hAnsi="Book Antiqua"/>
          <w:vertAlign w:val="superscript"/>
        </w:rPr>
        <w:t>[34]</w:t>
      </w:r>
      <w:r w:rsidRPr="005427FA">
        <w:rPr>
          <w:rFonts w:ascii="Book Antiqua" w:hAnsi="Book Antiqua"/>
        </w:rPr>
        <w:t>.</w:t>
      </w:r>
      <w:r>
        <w:rPr>
          <w:rFonts w:ascii="Book Antiqua" w:hAnsi="Book Antiqua"/>
        </w:rPr>
        <w:t xml:space="preserve"> </w:t>
      </w:r>
      <w:r w:rsidRPr="005427FA">
        <w:rPr>
          <w:rFonts w:ascii="Book Antiqua" w:hAnsi="Book Antiqua"/>
        </w:rPr>
        <w:t>While there is strong evidence for PPIs reducing the severity of damage and bleeding in the stomach and duodenum, where the role of acid in the production of damage has been clearly demonstrated</w:t>
      </w:r>
      <w:r w:rsidRPr="005427FA">
        <w:rPr>
          <w:rFonts w:ascii="Book Antiqua" w:hAnsi="Book Antiqua"/>
          <w:vertAlign w:val="superscript"/>
        </w:rPr>
        <w:t>[1,35]</w:t>
      </w:r>
      <w:r w:rsidRPr="005427FA">
        <w:rPr>
          <w:rFonts w:ascii="Book Antiqua" w:hAnsi="Book Antiqua"/>
        </w:rPr>
        <w:t>, there is no evidence to suggest that a PPI (or other anti-secretory drug) would reduce the severity of NSAID-induced enteropathy.</w:t>
      </w:r>
      <w:r>
        <w:rPr>
          <w:rFonts w:ascii="Book Antiqua" w:hAnsi="Book Antiqua"/>
        </w:rPr>
        <w:t xml:space="preserve"> </w:t>
      </w:r>
      <w:r w:rsidRPr="005427FA">
        <w:rPr>
          <w:rFonts w:ascii="Book Antiqua" w:hAnsi="Book Antiqua"/>
        </w:rPr>
        <w:t>Indeed, antisecretory drugs have been described as “useless either in preventing or treating mucosal lesions” induced by NSAIDs in the intestine</w:t>
      </w:r>
      <w:r w:rsidRPr="005427FA">
        <w:rPr>
          <w:rFonts w:ascii="Book Antiqua" w:hAnsi="Book Antiqua"/>
          <w:vertAlign w:val="superscript"/>
        </w:rPr>
        <w:t>[36]</w:t>
      </w:r>
      <w:r w:rsidRPr="005427FA">
        <w:rPr>
          <w:rFonts w:ascii="Book Antiqua" w:hAnsi="Book Antiqua"/>
        </w:rPr>
        <w:t>. It is worth repeating that the majority of damage and bleeding caused by NSAIDs occurs in the small intestine, distal to the ligament of Treitz</w:t>
      </w:r>
      <w:r w:rsidRPr="005427FA">
        <w:rPr>
          <w:rFonts w:ascii="Book Antiqua" w:hAnsi="Book Antiqua"/>
          <w:vertAlign w:val="superscript"/>
        </w:rPr>
        <w:t>[3,13]</w:t>
      </w:r>
      <w:r w:rsidRPr="005427FA">
        <w:rPr>
          <w:rFonts w:ascii="Book Antiqua" w:hAnsi="Book Antiqua"/>
        </w:rPr>
        <w:t>.</w:t>
      </w:r>
      <w:r>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Using a rat model, we attempted to replicate common clinical scenarios of polypharmacy to determine the effects on the small intestine</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Groups of rats were treated with combinations of anti-inflammatory doses of NSAIDs (naproxen, celecoxib or a novel hydrogen sulfide-releasing NSAID, ATB-346)</w:t>
      </w:r>
      <w:r w:rsidRPr="005427FA">
        <w:rPr>
          <w:rFonts w:ascii="Book Antiqua" w:hAnsi="Book Antiqua"/>
          <w:vertAlign w:val="superscript"/>
        </w:rPr>
        <w:t>[38]</w:t>
      </w:r>
      <w:r w:rsidRPr="005427FA">
        <w:rPr>
          <w:rFonts w:ascii="Book Antiqua" w:hAnsi="Book Antiqua"/>
        </w:rPr>
        <w:t>, a PPI (omeprazole or lanzoprazole) and an anti-thrombotic dose of aspirin.</w:t>
      </w:r>
      <w:r>
        <w:rPr>
          <w:rFonts w:ascii="Book Antiqua" w:hAnsi="Book Antiqua"/>
        </w:rPr>
        <w:t xml:space="preserve"> </w:t>
      </w:r>
      <w:r w:rsidRPr="005427FA">
        <w:rPr>
          <w:rFonts w:ascii="Book Antiqua" w:hAnsi="Book Antiqua"/>
        </w:rPr>
        <w:t>In rats that received only the NSAID, the levels of small intestinal damage and bleeding were very low (Fig</w:t>
      </w:r>
      <w:r>
        <w:rPr>
          <w:rFonts w:ascii="Book Antiqua" w:eastAsia="宋体" w:hAnsi="Book Antiqua"/>
          <w:lang w:eastAsia="zh-CN"/>
        </w:rPr>
        <w:t>ures</w:t>
      </w:r>
      <w:r>
        <w:rPr>
          <w:rFonts w:ascii="Book Antiqua" w:hAnsi="Book Antiqua"/>
        </w:rPr>
        <w:t xml:space="preserve"> </w:t>
      </w:r>
      <w:r w:rsidRPr="005427FA">
        <w:rPr>
          <w:rFonts w:ascii="Book Antiqua" w:hAnsi="Book Antiqua"/>
        </w:rPr>
        <w:t>1 and 2).</w:t>
      </w:r>
      <w:r>
        <w:rPr>
          <w:rFonts w:ascii="Book Antiqua" w:hAnsi="Book Antiqua"/>
        </w:rPr>
        <w:t xml:space="preserve"> </w:t>
      </w:r>
      <w:r w:rsidRPr="005427FA">
        <w:rPr>
          <w:rFonts w:ascii="Book Antiqua" w:hAnsi="Book Antiqua"/>
        </w:rPr>
        <w:t>However, when co-administered with a PPI or with low-dose aspirin, the levels of small intestinal damage and bleeding in rats treated with naproxen or celecoxib increased significantly (Fig</w:t>
      </w:r>
      <w:r>
        <w:rPr>
          <w:rFonts w:ascii="Book Antiqua" w:eastAsia="宋体" w:hAnsi="Book Antiqua"/>
          <w:lang w:eastAsia="zh-CN"/>
        </w:rPr>
        <w:t>ures</w:t>
      </w:r>
      <w:r w:rsidRPr="005427FA">
        <w:rPr>
          <w:rFonts w:ascii="Book Antiqua" w:hAnsi="Book Antiqua"/>
        </w:rPr>
        <w:t xml:space="preserve"> 1 and 2).</w:t>
      </w:r>
      <w:r>
        <w:rPr>
          <w:rFonts w:ascii="Book Antiqua" w:hAnsi="Book Antiqua"/>
        </w:rPr>
        <w:t xml:space="preserve"> </w:t>
      </w:r>
      <w:r w:rsidRPr="005427FA">
        <w:rPr>
          <w:rFonts w:ascii="Book Antiqua" w:hAnsi="Book Antiqua"/>
        </w:rPr>
        <w:t xml:space="preserve">This effect has been confirmed in a recent study by Satoh </w:t>
      </w:r>
      <w:r w:rsidRPr="001F075D">
        <w:rPr>
          <w:rFonts w:ascii="Book Antiqua" w:hAnsi="Book Antiqua"/>
          <w:i/>
        </w:rPr>
        <w:t>et al</w:t>
      </w:r>
      <w:r w:rsidRPr="005427FA">
        <w:rPr>
          <w:rFonts w:ascii="Book Antiqua" w:hAnsi="Book Antiqua"/>
          <w:vertAlign w:val="superscript"/>
        </w:rPr>
        <w:t>[39]</w:t>
      </w:r>
      <w:r w:rsidRPr="005427FA">
        <w:rPr>
          <w:rFonts w:ascii="Book Antiqua" w:hAnsi="Book Antiqua"/>
        </w:rPr>
        <w:t>. The combination of an NSAID with both a PPI and low-dose aspirin resulted in extensive damage and bleeding (the latter was evident post-mortem and also by marked decreases in hematocrit).</w:t>
      </w:r>
      <w:r>
        <w:rPr>
          <w:rFonts w:ascii="Book Antiqua" w:hAnsi="Book Antiqua"/>
        </w:rPr>
        <w:t xml:space="preserve"> </w:t>
      </w:r>
      <w:r w:rsidRPr="005427FA">
        <w:rPr>
          <w:rFonts w:ascii="Book Antiqua" w:hAnsi="Book Antiqua"/>
        </w:rPr>
        <w:t>ATB-346 did not produce small intestinal damage alone or in combination with a PPI and/or low-dose aspirin (Fig</w:t>
      </w:r>
      <w:r>
        <w:rPr>
          <w:rFonts w:ascii="Book Antiqua" w:eastAsia="宋体" w:hAnsi="Book Antiqua"/>
          <w:lang w:eastAsia="zh-CN"/>
        </w:rPr>
        <w:t>ure</w:t>
      </w:r>
      <w:r w:rsidRPr="005427FA">
        <w:rPr>
          <w:rFonts w:ascii="Book Antiqua" w:hAnsi="Book Antiqua"/>
        </w:rPr>
        <w:t xml:space="preserve"> 2).</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We then performed experiments to try to determine the mechanisms underlying the exacerbation of small intestinal damage by the PPIs.</w:t>
      </w:r>
      <w:r>
        <w:rPr>
          <w:rFonts w:ascii="Book Antiqua" w:hAnsi="Book Antiqua"/>
        </w:rPr>
        <w:t xml:space="preserve"> </w:t>
      </w:r>
      <w:r w:rsidRPr="005427FA">
        <w:rPr>
          <w:rFonts w:ascii="Book Antiqua" w:hAnsi="Book Antiqua"/>
        </w:rPr>
        <w:t>As discussed in more detail below, there is evidence that the bacteria residing in the small intestine play a significant role in the pathogenesis of NSAID-enteropathy.</w:t>
      </w:r>
      <w:r>
        <w:rPr>
          <w:rFonts w:ascii="Book Antiqua" w:hAnsi="Book Antiqua"/>
        </w:rPr>
        <w:t xml:space="preserve"> </w:t>
      </w:r>
      <w:r w:rsidRPr="005427FA">
        <w:rPr>
          <w:rFonts w:ascii="Book Antiqua" w:hAnsi="Book Antiqua"/>
        </w:rPr>
        <w:t xml:space="preserve">Given </w:t>
      </w:r>
      <w:r w:rsidRPr="005427FA">
        <w:rPr>
          <w:rFonts w:ascii="Book Antiqua" w:hAnsi="Book Antiqua"/>
        </w:rPr>
        <w:lastRenderedPageBreak/>
        <w:t>the evidence that marked suppression of gastric acid secretion by PPIs can alter the numbers of bacteria in the small intestine</w:t>
      </w:r>
      <w:r w:rsidRPr="005427FA">
        <w:rPr>
          <w:rFonts w:ascii="Book Antiqua" w:hAnsi="Book Antiqua"/>
          <w:vertAlign w:val="superscript"/>
        </w:rPr>
        <w:t>[40-42]</w:t>
      </w:r>
      <w:r w:rsidRPr="005427FA">
        <w:rPr>
          <w:rFonts w:ascii="Book Antiqua" w:hAnsi="Book Antiqua"/>
        </w:rPr>
        <w:t>, we focused our investigation on potential changes in intestinal microbiota.</w:t>
      </w:r>
      <w:r>
        <w:rPr>
          <w:rFonts w:ascii="Book Antiqua" w:hAnsi="Book Antiqua"/>
        </w:rPr>
        <w:t xml:space="preserve"> </w:t>
      </w:r>
      <w:r w:rsidRPr="005427FA">
        <w:rPr>
          <w:rFonts w:ascii="Book Antiqua" w:hAnsi="Book Antiqua"/>
        </w:rPr>
        <w:t>Treatment of rats with omeprazole resulted in a dramatic shift in the types of bacteria in the small intestine (dysbiosis).</w:t>
      </w:r>
      <w:r>
        <w:rPr>
          <w:rFonts w:ascii="Book Antiqua" w:hAnsi="Book Antiqua"/>
        </w:rPr>
        <w:t xml:space="preserve"> </w:t>
      </w:r>
      <w:r w:rsidRPr="005427FA">
        <w:rPr>
          <w:rFonts w:ascii="Book Antiqua" w:hAnsi="Book Antiqua"/>
        </w:rPr>
        <w:t xml:space="preserve">In particular, there was a marked reduction of the Actinobacteria, particularly of </w:t>
      </w:r>
      <w:r w:rsidRPr="005427FA">
        <w:rPr>
          <w:rFonts w:ascii="Book Antiqua" w:hAnsi="Book Antiqua"/>
          <w:i/>
        </w:rPr>
        <w:t xml:space="preserve">Bifidobacteria </w:t>
      </w:r>
      <w:r w:rsidRPr="005427FA">
        <w:rPr>
          <w:rFonts w:ascii="Book Antiqua" w:hAnsi="Book Antiqua"/>
        </w:rPr>
        <w:t>spp</w:t>
      </w:r>
      <w:r w:rsidRPr="005427FA">
        <w:rPr>
          <w:rFonts w:ascii="Book Antiqua" w:hAnsi="Book Antiqua"/>
          <w:i/>
        </w:rPr>
        <w:t>.</w:t>
      </w:r>
      <w:r w:rsidRPr="005427FA">
        <w:rPr>
          <w:rFonts w:ascii="Book Antiqua" w:hAnsi="Book Antiqua"/>
        </w:rPr>
        <w:t xml:space="preserve"> (&gt;</w:t>
      </w:r>
      <w:r>
        <w:rPr>
          <w:rFonts w:ascii="Book Antiqua" w:eastAsia="宋体" w:hAnsi="Book Antiqua"/>
          <w:lang w:eastAsia="zh-CN"/>
        </w:rPr>
        <w:t xml:space="preserve"> </w:t>
      </w:r>
      <w:r w:rsidRPr="005427FA">
        <w:rPr>
          <w:rFonts w:ascii="Book Antiqua" w:hAnsi="Book Antiqua"/>
        </w:rPr>
        <w:t>80% reduction in the jejunum).</w:t>
      </w:r>
      <w:r>
        <w:rPr>
          <w:rFonts w:ascii="Book Antiqua" w:hAnsi="Book Antiqua"/>
        </w:rPr>
        <w:t xml:space="preserve"> </w:t>
      </w:r>
      <w:r w:rsidRPr="005427FA">
        <w:rPr>
          <w:rFonts w:ascii="Book Antiqua" w:hAnsi="Book Antiqua"/>
        </w:rPr>
        <w:t>This diminution of</w:t>
      </w:r>
      <w:r>
        <w:rPr>
          <w:rFonts w:ascii="Book Antiqua" w:hAnsi="Book Antiqua"/>
        </w:rPr>
        <w:t xml:space="preserve"> </w:t>
      </w:r>
      <w:r w:rsidRPr="005427FA">
        <w:rPr>
          <w:rFonts w:ascii="Book Antiqua" w:hAnsi="Book Antiqua"/>
          <w:i/>
        </w:rPr>
        <w:t>Bifidobacteria</w:t>
      </w:r>
      <w:r w:rsidRPr="005427FA">
        <w:rPr>
          <w:rFonts w:ascii="Book Antiqua" w:hAnsi="Book Antiqua"/>
        </w:rPr>
        <w:t xml:space="preserve"> was an important factor in the PPI-induced increase in NSAID-induced intestinal damage: replenishment of intestinal </w:t>
      </w:r>
      <w:r w:rsidRPr="005427FA">
        <w:rPr>
          <w:rFonts w:ascii="Book Antiqua" w:hAnsi="Book Antiqua"/>
          <w:i/>
        </w:rPr>
        <w:t>Bifidobacteria</w:t>
      </w:r>
      <w:r w:rsidRPr="005427FA">
        <w:rPr>
          <w:rFonts w:ascii="Book Antiqua" w:hAnsi="Book Antiqua"/>
        </w:rPr>
        <w:t xml:space="preserve"> in PPI-treated rats reduced levels of naproxen-induced intestinal damage those seen in rats not receiving a PPI.</w:t>
      </w:r>
      <w:r>
        <w:rPr>
          <w:rFonts w:ascii="Book Antiqua" w:hAnsi="Book Antiqua"/>
        </w:rPr>
        <w:t xml:space="preserve"> </w:t>
      </w:r>
      <w:r w:rsidRPr="005427FA">
        <w:rPr>
          <w:rFonts w:ascii="Book Antiqua" w:hAnsi="Book Antiqua"/>
        </w:rPr>
        <w:t>Further evidence that it was the dysbiosis induced by the PPI that resulted in elevated susceptibility to NSAID-enteropathy came from studies of germ-free mice</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Groups of germ-free mice were colonized with intestinal contents from rats that had been treated with a PPI or vehicle.</w:t>
      </w:r>
      <w:r>
        <w:rPr>
          <w:rFonts w:ascii="Book Antiqua" w:hAnsi="Book Antiqua"/>
        </w:rPr>
        <w:t xml:space="preserve"> </w:t>
      </w:r>
      <w:r w:rsidRPr="005427FA">
        <w:rPr>
          <w:rFonts w:ascii="Book Antiqua" w:hAnsi="Book Antiqua"/>
        </w:rPr>
        <w:t xml:space="preserve">Beginning one week later, the mice were treated with naproxen for 4 </w:t>
      </w:r>
      <w:r>
        <w:rPr>
          <w:rFonts w:ascii="Book Antiqua" w:hAnsi="Book Antiqua"/>
        </w:rPr>
        <w:t>d</w:t>
      </w:r>
      <w:r w:rsidRPr="005427FA">
        <w:rPr>
          <w:rFonts w:ascii="Book Antiqua" w:hAnsi="Book Antiqua"/>
        </w:rPr>
        <w:t>, and the severity of intestinal damage was then blindly evaluated.</w:t>
      </w:r>
      <w:r>
        <w:rPr>
          <w:rFonts w:ascii="Book Antiqua" w:hAnsi="Book Antiqua"/>
        </w:rPr>
        <w:t xml:space="preserve"> </w:t>
      </w:r>
      <w:r w:rsidRPr="005427FA">
        <w:rPr>
          <w:rFonts w:ascii="Book Antiqua" w:hAnsi="Book Antiqua"/>
        </w:rPr>
        <w:t>Mice that had been colonized with bacteria from PPI-treated rats developed significantly worse intestinal damage than those colonized with bacteria from vehicle-treated rats.</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While no clinical studies have been published that directly tested the hypothesis that treatment with PPIs could cause dysbiosis and thereby exacerbate NSAID-induced intestinal damage, there are several reports with data that are consistent with our hypothesis, as summarized by Daniell</w:t>
      </w:r>
      <w:r w:rsidRPr="005427FA">
        <w:rPr>
          <w:rFonts w:ascii="Book Antiqua" w:hAnsi="Book Antiqua"/>
          <w:vertAlign w:val="superscript"/>
        </w:rPr>
        <w:t>[43]</w:t>
      </w:r>
      <w:r w:rsidRPr="005427FA">
        <w:rPr>
          <w:rFonts w:ascii="Book Antiqua" w:hAnsi="Book Antiqua"/>
        </w:rPr>
        <w:t>.</w:t>
      </w:r>
      <w:r>
        <w:rPr>
          <w:rFonts w:ascii="Book Antiqua" w:hAnsi="Book Antiqua"/>
        </w:rPr>
        <w:t xml:space="preserve"> </w:t>
      </w:r>
      <w:r w:rsidRPr="005427FA">
        <w:rPr>
          <w:rFonts w:ascii="Book Antiqua" w:hAnsi="Book Antiqua"/>
        </w:rPr>
        <w:t>In addition to numerous studies documenting that PPIs altering the gut microbiota, resulting in diarrhea</w:t>
      </w:r>
      <w:r w:rsidRPr="005427FA">
        <w:rPr>
          <w:rFonts w:ascii="Book Antiqua" w:hAnsi="Book Antiqua"/>
          <w:vertAlign w:val="superscript"/>
        </w:rPr>
        <w:t>[40-42, 44]</w:t>
      </w:r>
      <w:r w:rsidRPr="005427FA">
        <w:rPr>
          <w:rFonts w:ascii="Book Antiqua" w:hAnsi="Book Antiqua"/>
        </w:rPr>
        <w:t>, there is evidence from two studies for the presence of intestinal inflammation (detected by elevated fecal calprotectin levels) in patients taking PPIs</w:t>
      </w:r>
      <w:r w:rsidRPr="005427FA">
        <w:rPr>
          <w:rFonts w:ascii="Book Antiqua" w:hAnsi="Book Antiqua"/>
          <w:vertAlign w:val="superscript"/>
        </w:rPr>
        <w:t>[45,46]</w:t>
      </w:r>
      <w:r w:rsidRPr="005427FA">
        <w:rPr>
          <w:rFonts w:ascii="Book Antiqua" w:hAnsi="Book Antiqua"/>
        </w:rPr>
        <w:t>, and evidence for microscopic colitis in patients taking NSAIDs or PPIs</w:t>
      </w:r>
      <w:r w:rsidRPr="005427FA">
        <w:rPr>
          <w:rFonts w:ascii="Book Antiqua" w:hAnsi="Book Antiqua"/>
          <w:vertAlign w:val="superscript"/>
        </w:rPr>
        <w:t>[47-49]</w:t>
      </w:r>
      <w:r w:rsidRPr="005427FA">
        <w:rPr>
          <w:rFonts w:ascii="Book Antiqua" w:hAnsi="Book Antiqua"/>
        </w:rPr>
        <w:t>, and particularly in patients taking both types of drugs concurrently</w:t>
      </w:r>
      <w:r w:rsidRPr="005427FA">
        <w:rPr>
          <w:rFonts w:ascii="Book Antiqua" w:hAnsi="Book Antiqua"/>
          <w:vertAlign w:val="superscript"/>
        </w:rPr>
        <w:t>[49]</w:t>
      </w:r>
      <w:r w:rsidRPr="005427FA">
        <w:rPr>
          <w:rFonts w:ascii="Book Antiqua" w:hAnsi="Book Antiqua"/>
        </w:rPr>
        <w:t>.</w:t>
      </w:r>
      <w:r>
        <w:rPr>
          <w:rFonts w:ascii="Book Antiqua" w:hAnsi="Book Antiqua"/>
        </w:rPr>
        <w:t xml:space="preserve"> </w:t>
      </w:r>
      <w:r w:rsidRPr="005427FA">
        <w:rPr>
          <w:rFonts w:ascii="Book Antiqua" w:hAnsi="Book Antiqua"/>
        </w:rPr>
        <w:t>In addition, two studies reported greater small intestinal damage in healthy volunteers taking an NSAID plus a PPI as compared to a group taking only a selective COX-2 inhibitor</w:t>
      </w:r>
      <w:r w:rsidRPr="005427FA">
        <w:rPr>
          <w:rFonts w:ascii="Book Antiqua" w:hAnsi="Book Antiqua"/>
          <w:vertAlign w:val="superscript"/>
        </w:rPr>
        <w:t>[50,51]</w:t>
      </w:r>
      <w:r w:rsidRPr="005427FA">
        <w:rPr>
          <w:rFonts w:ascii="Book Antiqua" w:hAnsi="Book Antiqua"/>
        </w:rPr>
        <w:t xml:space="preserve">, and it is now clear that the </w:t>
      </w:r>
      <w:r w:rsidRPr="005427FA">
        <w:rPr>
          <w:rFonts w:ascii="Book Antiqua" w:hAnsi="Book Antiqua"/>
        </w:rPr>
        <w:lastRenderedPageBreak/>
        <w:t>ability of selective COX-2 inhibitors to damage the small intestine is comparable to that of non-selective NSAIDs</w:t>
      </w:r>
      <w:r w:rsidRPr="005427FA">
        <w:rPr>
          <w:rFonts w:ascii="Book Antiqua" w:hAnsi="Book Antiqua"/>
          <w:vertAlign w:val="superscript"/>
        </w:rPr>
        <w:t>[17]</w:t>
      </w:r>
      <w:r w:rsidRPr="005427FA">
        <w:rPr>
          <w:rFonts w:ascii="Book Antiqua" w:hAnsi="Book Antiqua"/>
        </w:rPr>
        <w:t>.</w:t>
      </w:r>
      <w:r>
        <w:rPr>
          <w:rFonts w:ascii="Book Antiqua" w:hAnsi="Book Antiqua"/>
        </w:rPr>
        <w:t xml:space="preserve"> </w:t>
      </w:r>
    </w:p>
    <w:p w:rsidR="002550C2" w:rsidRPr="005427FA" w:rsidRDefault="002550C2" w:rsidP="005427FA">
      <w:pPr>
        <w:spacing w:line="360" w:lineRule="auto"/>
        <w:jc w:val="both"/>
        <w:rPr>
          <w:rFonts w:ascii="Book Antiqua" w:hAnsi="Book Antiqua"/>
        </w:rPr>
      </w:pPr>
    </w:p>
    <w:p w:rsidR="002550C2" w:rsidRPr="003A0F8D" w:rsidRDefault="002550C2" w:rsidP="005427FA">
      <w:pPr>
        <w:spacing w:line="360" w:lineRule="auto"/>
        <w:jc w:val="both"/>
        <w:rPr>
          <w:rFonts w:ascii="Book Antiqua" w:hAnsi="Book Antiqua"/>
          <w:b/>
        </w:rPr>
      </w:pPr>
      <w:r w:rsidRPr="003A0F8D">
        <w:rPr>
          <w:rFonts w:ascii="Book Antiqua" w:hAnsi="Book Antiqua"/>
          <w:b/>
        </w:rPr>
        <w:t>PATHOGENESIS</w:t>
      </w:r>
    </w:p>
    <w:p w:rsidR="002550C2" w:rsidRPr="005427FA" w:rsidRDefault="002550C2" w:rsidP="007E070C">
      <w:pPr>
        <w:spacing w:line="360" w:lineRule="auto"/>
        <w:jc w:val="both"/>
        <w:rPr>
          <w:rFonts w:ascii="Book Antiqua" w:hAnsi="Book Antiqua"/>
        </w:rPr>
      </w:pPr>
      <w:r w:rsidRPr="005427FA">
        <w:rPr>
          <w:rFonts w:ascii="Book Antiqua" w:hAnsi="Book Antiqua"/>
        </w:rPr>
        <w:t>The key to development of treatments and prevention strategies for NSAID-enteropathy lies in better understanding of the pathogenesis of this injury.</w:t>
      </w:r>
      <w:r>
        <w:rPr>
          <w:rFonts w:ascii="Book Antiqua" w:hAnsi="Book Antiqua"/>
        </w:rPr>
        <w:t xml:space="preserve"> </w:t>
      </w:r>
      <w:r w:rsidRPr="005427FA">
        <w:rPr>
          <w:rFonts w:ascii="Book Antiqua" w:hAnsi="Book Antiqua"/>
        </w:rPr>
        <w:t>Fortunately, the animal models of NSAID enteropathy are very good, reproducible and simple, and can serve as useful tools for gaining a better understanding of the pathogenesis of this disorder and for testing potential therapeutic/preventative agents.</w:t>
      </w:r>
      <w:r>
        <w:rPr>
          <w:rFonts w:ascii="Book Antiqua" w:hAnsi="Book Antiqua"/>
        </w:rPr>
        <w:t xml:space="preserve"> </w:t>
      </w:r>
      <w:r w:rsidRPr="005427FA">
        <w:rPr>
          <w:rFonts w:ascii="Book Antiqua" w:hAnsi="Book Antiqua"/>
        </w:rPr>
        <w:t>Administration of NSAIDs to rats, for example, results in ulceration predominantly in the distal jejunum and ileum</w:t>
      </w:r>
      <w:r w:rsidRPr="005427FA">
        <w:rPr>
          <w:rFonts w:ascii="Book Antiqua" w:hAnsi="Book Antiqua"/>
          <w:vertAlign w:val="superscript"/>
        </w:rPr>
        <w:t>[52]</w:t>
      </w:r>
      <w:r w:rsidRPr="005427FA">
        <w:rPr>
          <w:rFonts w:ascii="Book Antiqua" w:hAnsi="Book Antiqua"/>
        </w:rPr>
        <w:t>, the same regions where ulcers are concentrated humans</w:t>
      </w:r>
      <w:r w:rsidRPr="005427FA">
        <w:rPr>
          <w:rFonts w:ascii="Book Antiqua" w:hAnsi="Book Antiqua"/>
          <w:vertAlign w:val="superscript"/>
        </w:rPr>
        <w:t>[53,54]</w:t>
      </w:r>
      <w:r w:rsidRPr="005427FA">
        <w:rPr>
          <w:rFonts w:ascii="Book Antiqua" w:hAnsi="Book Antiqua"/>
        </w:rPr>
        <w:t>. While there will undoubtedly be some differences between rodent models and humans, the existing data suggest that the animal models will be predictive in terms of treatment and prevention strategies.</w:t>
      </w:r>
      <w:r>
        <w:rPr>
          <w:rFonts w:ascii="Book Antiqua" w:hAnsi="Book Antiqua"/>
        </w:rPr>
        <w:t xml:space="preserve"> </w:t>
      </w:r>
      <w:r w:rsidRPr="005427FA">
        <w:rPr>
          <w:rFonts w:ascii="Book Antiqua" w:hAnsi="Book Antiqua"/>
        </w:rPr>
        <w:t>Figure 3 shows some of the key mechanisms suggested to be involved in NSAID-enteropathy, which are discussed in more detail below.</w:t>
      </w:r>
    </w:p>
    <w:p w:rsidR="002550C2" w:rsidRPr="005427FA" w:rsidRDefault="002550C2" w:rsidP="005427FA">
      <w:pPr>
        <w:spacing w:line="360" w:lineRule="auto"/>
        <w:jc w:val="both"/>
        <w:rPr>
          <w:rFonts w:ascii="Book Antiqua" w:hAnsi="Book Antiqua"/>
        </w:rPr>
      </w:pPr>
    </w:p>
    <w:p w:rsidR="002550C2" w:rsidRPr="00B02229" w:rsidRDefault="002550C2" w:rsidP="005427FA">
      <w:pPr>
        <w:spacing w:line="360" w:lineRule="auto"/>
        <w:jc w:val="both"/>
        <w:rPr>
          <w:rFonts w:ascii="Book Antiqua" w:hAnsi="Book Antiqua"/>
          <w:b/>
          <w:i/>
        </w:rPr>
      </w:pPr>
      <w:r w:rsidRPr="00B02229">
        <w:rPr>
          <w:rFonts w:ascii="Book Antiqua" w:hAnsi="Book Antiqua"/>
          <w:b/>
          <w:i/>
        </w:rPr>
        <w:t>Inhibition of cyclooxygenase activity</w:t>
      </w:r>
    </w:p>
    <w:p w:rsidR="002550C2" w:rsidRPr="005427FA" w:rsidRDefault="002550C2" w:rsidP="00B02229">
      <w:pPr>
        <w:spacing w:line="360" w:lineRule="auto"/>
        <w:jc w:val="both"/>
        <w:rPr>
          <w:rFonts w:ascii="Book Antiqua" w:hAnsi="Book Antiqua"/>
        </w:rPr>
      </w:pPr>
      <w:r w:rsidRPr="005427FA">
        <w:rPr>
          <w:rFonts w:ascii="Book Antiqua" w:hAnsi="Book Antiqua"/>
        </w:rPr>
        <w:t>Flower and Vane first suggested the existence of more than one isoform of COX in 1972</w:t>
      </w:r>
      <w:r w:rsidRPr="005427FA">
        <w:rPr>
          <w:rFonts w:ascii="Book Antiqua" w:hAnsi="Book Antiqua"/>
          <w:vertAlign w:val="superscript"/>
        </w:rPr>
        <w:t>[55]</w:t>
      </w:r>
      <w:r w:rsidRPr="005427FA">
        <w:rPr>
          <w:rFonts w:ascii="Book Antiqua" w:hAnsi="Book Antiqua"/>
        </w:rPr>
        <w:t>.</w:t>
      </w:r>
      <w:r>
        <w:rPr>
          <w:rFonts w:ascii="Book Antiqua" w:hAnsi="Book Antiqua"/>
        </w:rPr>
        <w:t xml:space="preserve"> </w:t>
      </w:r>
      <w:r w:rsidRPr="005427FA">
        <w:rPr>
          <w:rFonts w:ascii="Book Antiqua" w:hAnsi="Book Antiqua"/>
        </w:rPr>
        <w:t>It was almost 20 years later that the two isoforms, now known as COX-1 and COX-2, were sequenced</w:t>
      </w:r>
      <w:r w:rsidRPr="005427FA">
        <w:rPr>
          <w:rFonts w:ascii="Book Antiqua" w:hAnsi="Book Antiqua"/>
          <w:vertAlign w:val="superscript"/>
        </w:rPr>
        <w:t>[56,57]</w:t>
      </w:r>
      <w:r w:rsidRPr="005427FA">
        <w:rPr>
          <w:rFonts w:ascii="Book Antiqua" w:hAnsi="Book Antiqua"/>
        </w:rPr>
        <w:t>.</w:t>
      </w:r>
      <w:r>
        <w:rPr>
          <w:rFonts w:ascii="Book Antiqua" w:hAnsi="Book Antiqua"/>
        </w:rPr>
        <w:t xml:space="preserve"> </w:t>
      </w:r>
      <w:r w:rsidRPr="005427FA">
        <w:rPr>
          <w:rFonts w:ascii="Book Antiqua" w:hAnsi="Book Antiqua"/>
        </w:rPr>
        <w:t>In the decade that followed, a tremendous amount of research was focused on understanding the physiology and pharmacology of these enzymes, largely fueled by the interest of several large pharmaceutical companies in the notion that selective inhibitors of COX-2 would provide all of the anti-inflammatory activities of NSAIDs without the major adverse effects.</w:t>
      </w:r>
      <w:r>
        <w:rPr>
          <w:rFonts w:ascii="Book Antiqua" w:hAnsi="Book Antiqua"/>
        </w:rPr>
        <w:t xml:space="preserve"> </w:t>
      </w:r>
      <w:r w:rsidRPr="005427FA">
        <w:rPr>
          <w:rFonts w:ascii="Book Antiqua" w:hAnsi="Book Antiqua"/>
        </w:rPr>
        <w:t xml:space="preserve">However, as the science of COX-2 caught up with the marketing of COX-2, it became evident that the delineation of functions of the two COX isoforms was not so clear-cut as had been proposed and heavily </w:t>
      </w:r>
      <w:r w:rsidRPr="005427FA">
        <w:rPr>
          <w:rFonts w:ascii="Book Antiqua" w:hAnsi="Book Antiqua"/>
        </w:rPr>
        <w:lastRenderedPageBreak/>
        <w:t>promoted. COX-1 contributes significantly to inflammation while COX-2 contributes significantly to many physiological functions, including mucosal defence</w:t>
      </w:r>
      <w:r w:rsidRPr="005427FA">
        <w:rPr>
          <w:rFonts w:ascii="Book Antiqua" w:hAnsi="Book Antiqua"/>
          <w:vertAlign w:val="superscript"/>
        </w:rPr>
        <w:t>[58]</w:t>
      </w:r>
      <w:r w:rsidRPr="005427FA">
        <w:rPr>
          <w:rFonts w:ascii="Book Antiqua" w:hAnsi="Book Antiqua"/>
        </w:rPr>
        <w:t>.</w:t>
      </w:r>
      <w:r>
        <w:rPr>
          <w:rFonts w:ascii="Book Antiqua" w:hAnsi="Book Antiqua"/>
        </w:rPr>
        <w:t xml:space="preserve"> </w:t>
      </w:r>
      <w:r w:rsidRPr="005427FA">
        <w:rPr>
          <w:rFonts w:ascii="Book Antiqua" w:hAnsi="Book Antiqua"/>
        </w:rPr>
        <w:t>This was shown clearly both by studies of mice lacking the gene for one of the COX isoforms and pharmacological studies</w:t>
      </w:r>
      <w:r w:rsidRPr="005427FA">
        <w:rPr>
          <w:rFonts w:ascii="Book Antiqua" w:hAnsi="Book Antiqua"/>
          <w:vertAlign w:val="superscript"/>
        </w:rPr>
        <w:t>[59-63]</w:t>
      </w:r>
      <w:r w:rsidRPr="005427FA">
        <w:rPr>
          <w:rFonts w:ascii="Book Antiqua" w:hAnsi="Book Antiqua"/>
        </w:rPr>
        <w:t>.</w:t>
      </w:r>
      <w:r>
        <w:rPr>
          <w:rFonts w:ascii="Book Antiqua" w:hAnsi="Book Antiqua"/>
        </w:rPr>
        <w:t xml:space="preserve"> </w:t>
      </w:r>
      <w:r w:rsidRPr="005427FA">
        <w:rPr>
          <w:rFonts w:ascii="Book Antiqua" w:hAnsi="Book Antiqua"/>
        </w:rPr>
        <w:t>A striking finding from our laboratory was that injection of carrageenan into the hind-paw of COX-2-deficient mice resulted in inflammation that did not resolve, as it would in a normal mouse</w:t>
      </w:r>
      <w:r w:rsidRPr="005427FA">
        <w:rPr>
          <w:rFonts w:ascii="Book Antiqua" w:hAnsi="Book Antiqua"/>
          <w:vertAlign w:val="superscript"/>
        </w:rPr>
        <w:t>[60]</w:t>
      </w:r>
      <w:r w:rsidRPr="005427FA">
        <w:rPr>
          <w:rFonts w:ascii="Book Antiqua" w:hAnsi="Book Antiqua"/>
        </w:rPr>
        <w:t>, suggesting an important role for COX-2-derived</w:t>
      </w:r>
      <w:r>
        <w:rPr>
          <w:rFonts w:ascii="Book Antiqua" w:hAnsi="Book Antiqua"/>
        </w:rPr>
        <w:t xml:space="preserve"> </w:t>
      </w:r>
      <w:r w:rsidRPr="005427FA">
        <w:rPr>
          <w:rFonts w:ascii="Book Antiqua" w:hAnsi="Book Antiqua"/>
        </w:rPr>
        <w:t>prostanoids in resolution of inflammation and healing.</w:t>
      </w:r>
      <w:r>
        <w:rPr>
          <w:rFonts w:ascii="Book Antiqua" w:hAnsi="Book Antiqua"/>
        </w:rPr>
        <w:t xml:space="preserve"> </w:t>
      </w:r>
      <w:r w:rsidRPr="005427FA">
        <w:rPr>
          <w:rFonts w:ascii="Book Antiqua" w:hAnsi="Book Antiqua"/>
        </w:rPr>
        <w:t>Gilroy and colleagues provided compelling evidence from animal models of pleurisy showing the same, and identifying specific COX-2-derived prostanoids that contributed significantly to down-regulating inflammation</w:t>
      </w:r>
      <w:r w:rsidRPr="005427FA">
        <w:rPr>
          <w:rFonts w:ascii="Book Antiqua" w:hAnsi="Book Antiqua"/>
          <w:vertAlign w:val="superscript"/>
        </w:rPr>
        <w:t>[61]</w:t>
      </w:r>
      <w:r w:rsidRPr="005427FA">
        <w:rPr>
          <w:rFonts w:ascii="Book Antiqua" w:hAnsi="Book Antiqua"/>
        </w:rPr>
        <w:t>.</w:t>
      </w:r>
      <w:r>
        <w:rPr>
          <w:rFonts w:ascii="Book Antiqua" w:hAnsi="Book Antiqua"/>
        </w:rPr>
        <w:t xml:space="preserve"> </w:t>
      </w:r>
      <w:r w:rsidRPr="005427FA">
        <w:rPr>
          <w:rFonts w:ascii="Book Antiqua" w:hAnsi="Book Antiqua"/>
        </w:rPr>
        <w:t xml:space="preserve">Serhan </w:t>
      </w:r>
      <w:r w:rsidRPr="00497718">
        <w:rPr>
          <w:rFonts w:ascii="Book Antiqua" w:eastAsia="宋体" w:hAnsi="Book Antiqua"/>
          <w:i/>
          <w:lang w:eastAsia="zh-CN"/>
        </w:rPr>
        <w:t>et al</w:t>
      </w:r>
      <w:r w:rsidRPr="005427FA">
        <w:rPr>
          <w:rFonts w:ascii="Book Antiqua" w:hAnsi="Book Antiqua"/>
          <w:vertAlign w:val="superscript"/>
        </w:rPr>
        <w:t>[64]</w:t>
      </w:r>
      <w:r w:rsidRPr="005427FA">
        <w:rPr>
          <w:rFonts w:ascii="Book Antiqua" w:hAnsi="Book Antiqua"/>
        </w:rPr>
        <w:t xml:space="preserve"> described a family of previously unrecognized lipid mediators (lipoxins, resolvins, protectins), some of which were derived from COX-2, that act at several levels of the inflammatory cascade to ‘turn off’ inflammation and allow for a coordinated restoration of tissue homeostasis</w:t>
      </w:r>
      <w:r w:rsidRPr="005427FA">
        <w:rPr>
          <w:rFonts w:ascii="Book Antiqua" w:hAnsi="Book Antiqua"/>
          <w:vertAlign w:val="superscript"/>
        </w:rPr>
        <w:t>[65]</w:t>
      </w:r>
      <w:r w:rsidRPr="005427FA">
        <w:rPr>
          <w:rFonts w:ascii="Book Antiqua" w:hAnsi="Book Antiqua"/>
        </w:rPr>
        <w:t>.</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The same was true in the GI tract, as COX-2-derived prostanoids were found to contribute significantly to maintenance of the integrity of the tissue, to repair of mucosal injury and to resolution of inflammation</w:t>
      </w:r>
      <w:r w:rsidRPr="005427FA">
        <w:rPr>
          <w:rFonts w:ascii="Book Antiqua" w:hAnsi="Book Antiqua"/>
          <w:vertAlign w:val="superscript"/>
        </w:rPr>
        <w:t>[58]</w:t>
      </w:r>
      <w:r w:rsidRPr="005427FA">
        <w:rPr>
          <w:rFonts w:ascii="Book Antiqua" w:hAnsi="Book Antiqua"/>
        </w:rPr>
        <w:t>.</w:t>
      </w:r>
      <w:r>
        <w:rPr>
          <w:rFonts w:ascii="Book Antiqua" w:hAnsi="Book Antiqua"/>
        </w:rPr>
        <w:t xml:space="preserve"> </w:t>
      </w:r>
      <w:r w:rsidRPr="005427FA">
        <w:rPr>
          <w:rFonts w:ascii="Book Antiqua" w:hAnsi="Book Antiqua"/>
        </w:rPr>
        <w:t>Thus, COX-2 is the isoform that produces PGs at the margins of gastric ulcers, which contribute significantly to the healing of those ulcers</w:t>
      </w:r>
      <w:r w:rsidRPr="005427FA">
        <w:rPr>
          <w:rFonts w:ascii="Book Antiqua" w:hAnsi="Book Antiqua"/>
          <w:vertAlign w:val="superscript"/>
        </w:rPr>
        <w:t>[66,67]</w:t>
      </w:r>
      <w:r w:rsidRPr="005427FA">
        <w:rPr>
          <w:rFonts w:ascii="Book Antiqua" w:hAnsi="Book Antiqua"/>
        </w:rPr>
        <w:t>.</w:t>
      </w:r>
      <w:r>
        <w:rPr>
          <w:rFonts w:ascii="Book Antiqua" w:hAnsi="Book Antiqua"/>
        </w:rPr>
        <w:t xml:space="preserve"> </w:t>
      </w:r>
      <w:r w:rsidRPr="005427FA">
        <w:rPr>
          <w:rFonts w:ascii="Book Antiqua" w:hAnsi="Book Antiqua"/>
        </w:rPr>
        <w:t>In the colon, prostaglandins derived from COX-2 play a very important role in down-regulating inflammation and promoting repair of mucosal injury</w:t>
      </w:r>
      <w:r w:rsidRPr="005427FA">
        <w:rPr>
          <w:rFonts w:ascii="Book Antiqua" w:hAnsi="Book Antiqua"/>
          <w:vertAlign w:val="superscript"/>
        </w:rPr>
        <w:t>[52,68,69]</w:t>
      </w:r>
      <w:r w:rsidRPr="005427FA">
        <w:rPr>
          <w:rFonts w:ascii="Book Antiqua" w:hAnsi="Book Antiqua"/>
        </w:rPr>
        <w:t>.</w:t>
      </w:r>
      <w:r>
        <w:rPr>
          <w:rFonts w:ascii="Book Antiqua" w:hAnsi="Book Antiqua"/>
        </w:rPr>
        <w:t xml:space="preserve"> </w:t>
      </w:r>
      <w:r w:rsidRPr="005427FA">
        <w:rPr>
          <w:rFonts w:ascii="Book Antiqua" w:hAnsi="Book Antiqua"/>
        </w:rPr>
        <w:t>Suppression of COX-2 activity has been shown to exacerbate experimental colitis</w:t>
      </w:r>
      <w:r w:rsidRPr="005427FA">
        <w:rPr>
          <w:rFonts w:ascii="Book Antiqua" w:hAnsi="Book Antiqua"/>
          <w:vertAlign w:val="superscript"/>
        </w:rPr>
        <w:t>[52,69]</w:t>
      </w:r>
      <w:r w:rsidRPr="005427FA">
        <w:rPr>
          <w:rFonts w:ascii="Book Antiqua" w:hAnsi="Book Antiqua"/>
        </w:rPr>
        <w:t>.</w:t>
      </w:r>
      <w:r>
        <w:rPr>
          <w:rFonts w:ascii="Book Antiqua" w:hAnsi="Book Antiqua"/>
        </w:rPr>
        <w:t xml:space="preserve"> </w:t>
      </w:r>
      <w:r w:rsidRPr="005427FA">
        <w:rPr>
          <w:rFonts w:ascii="Book Antiqua" w:hAnsi="Book Antiqua"/>
        </w:rPr>
        <w:t xml:space="preserve">Indeed, COX-2 is up-regulated throughout the GI tract when the tissue is injured or when there is insufficient PG production </w:t>
      </w:r>
      <w:r w:rsidRPr="001F075D">
        <w:rPr>
          <w:rFonts w:ascii="Book Antiqua" w:hAnsi="Book Antiqua"/>
          <w:i/>
        </w:rPr>
        <w:t>via</w:t>
      </w:r>
      <w:r w:rsidRPr="005427FA">
        <w:rPr>
          <w:rFonts w:ascii="Book Antiqua" w:hAnsi="Book Antiqua"/>
        </w:rPr>
        <w:t xml:space="preserve"> COX-1</w:t>
      </w:r>
      <w:r w:rsidRPr="005427FA">
        <w:rPr>
          <w:rFonts w:ascii="Book Antiqua" w:hAnsi="Book Antiqua"/>
          <w:vertAlign w:val="superscript"/>
        </w:rPr>
        <w:t>[52,63,70]</w:t>
      </w:r>
      <w:r w:rsidRPr="005427FA">
        <w:rPr>
          <w:rFonts w:ascii="Book Antiqua" w:hAnsi="Book Antiqua"/>
        </w:rPr>
        <w:t>.</w:t>
      </w:r>
      <w:r>
        <w:rPr>
          <w:rFonts w:ascii="Book Antiqua" w:hAnsi="Book Antiqua"/>
        </w:rPr>
        <w:t xml:space="preserve"> </w:t>
      </w:r>
      <w:r w:rsidRPr="005427FA">
        <w:rPr>
          <w:rFonts w:ascii="Book Antiqua" w:hAnsi="Book Antiqua"/>
        </w:rPr>
        <w:t>For example, COX-2 is rapidly induced in the stomach in response to suppression of COX-1 by aspirin</w:t>
      </w:r>
      <w:r w:rsidRPr="005427FA">
        <w:rPr>
          <w:rFonts w:ascii="Book Antiqua" w:hAnsi="Book Antiqua"/>
          <w:vertAlign w:val="superscript"/>
        </w:rPr>
        <w:t>[70]</w:t>
      </w:r>
      <w:r w:rsidRPr="005427FA">
        <w:rPr>
          <w:rFonts w:ascii="Book Antiqua" w:hAnsi="Book Antiqua"/>
        </w:rPr>
        <w:t>, and it helps to enhance mucosal defence in such circumstances.</w:t>
      </w:r>
      <w:r>
        <w:rPr>
          <w:rFonts w:ascii="Book Antiqua" w:hAnsi="Book Antiqua"/>
        </w:rPr>
        <w:t xml:space="preserve"> </w:t>
      </w:r>
      <w:r w:rsidRPr="005427FA">
        <w:rPr>
          <w:rFonts w:ascii="Book Antiqua" w:hAnsi="Book Antiqua"/>
        </w:rPr>
        <w:t xml:space="preserve">One of the mechanisms through which this is achieved is </w:t>
      </w:r>
      <w:r w:rsidRPr="001F075D">
        <w:rPr>
          <w:rFonts w:ascii="Book Antiqua" w:hAnsi="Book Antiqua"/>
          <w:i/>
        </w:rPr>
        <w:t>via</w:t>
      </w:r>
      <w:r w:rsidRPr="005427FA">
        <w:rPr>
          <w:rFonts w:ascii="Book Antiqua" w:hAnsi="Book Antiqua"/>
        </w:rPr>
        <w:t xml:space="preserve"> the production, </w:t>
      </w:r>
      <w:r w:rsidRPr="001F075D">
        <w:rPr>
          <w:rFonts w:ascii="Book Antiqua" w:hAnsi="Book Antiqua"/>
          <w:i/>
        </w:rPr>
        <w:t>via</w:t>
      </w:r>
      <w:r w:rsidRPr="005427FA">
        <w:rPr>
          <w:rFonts w:ascii="Book Antiqua" w:hAnsi="Book Antiqua"/>
        </w:rPr>
        <w:t xml:space="preserve"> COX-2, of a potent gastroprotective and anti-inflammatory substance, 15-epi-lipoxin </w:t>
      </w:r>
      <w:r w:rsidRPr="005427FA">
        <w:rPr>
          <w:rFonts w:ascii="Book Antiqua" w:hAnsi="Book Antiqua"/>
        </w:rPr>
        <w:lastRenderedPageBreak/>
        <w:t>A</w:t>
      </w:r>
      <w:r w:rsidRPr="005427FA">
        <w:rPr>
          <w:rFonts w:ascii="Book Antiqua" w:hAnsi="Book Antiqua"/>
          <w:vertAlign w:val="subscript"/>
        </w:rPr>
        <w:t>4</w:t>
      </w:r>
      <w:r w:rsidRPr="005427FA">
        <w:rPr>
          <w:rFonts w:ascii="Book Antiqua" w:hAnsi="Book Antiqua"/>
          <w:vertAlign w:val="superscript"/>
        </w:rPr>
        <w:t>[71,72]</w:t>
      </w:r>
      <w:r w:rsidRPr="005427FA">
        <w:rPr>
          <w:rFonts w:ascii="Book Antiqua" w:hAnsi="Book Antiqua"/>
        </w:rPr>
        <w:t>.</w:t>
      </w:r>
      <w:r>
        <w:rPr>
          <w:rFonts w:ascii="Book Antiqua" w:hAnsi="Book Antiqua"/>
        </w:rPr>
        <w:t xml:space="preserve"> </w:t>
      </w:r>
      <w:r w:rsidRPr="005427FA">
        <w:rPr>
          <w:rFonts w:ascii="Book Antiqua" w:hAnsi="Book Antiqua"/>
        </w:rPr>
        <w:t>Induction of damage in the stomach, in the absence of any other toxic challenge, requires suppression of both COX-1 and COX-2</w:t>
      </w:r>
      <w:r w:rsidRPr="005427FA">
        <w:rPr>
          <w:rFonts w:ascii="Book Antiqua" w:hAnsi="Book Antiqua"/>
          <w:vertAlign w:val="superscript"/>
        </w:rPr>
        <w:t>[62]</w:t>
      </w:r>
      <w:r w:rsidRPr="005427FA">
        <w:rPr>
          <w:rFonts w:ascii="Book Antiqua" w:hAnsi="Book Antiqua"/>
        </w:rPr>
        <w:t>, and this also appears to be the case in the small intestine</w:t>
      </w:r>
      <w:r w:rsidRPr="005427FA">
        <w:rPr>
          <w:rFonts w:ascii="Book Antiqua" w:hAnsi="Book Antiqua"/>
          <w:vertAlign w:val="superscript"/>
        </w:rPr>
        <w:t>[63]</w:t>
      </w:r>
      <w:r w:rsidRPr="005427FA">
        <w:rPr>
          <w:rFonts w:ascii="Book Antiqua" w:hAnsi="Book Antiqua"/>
        </w:rPr>
        <w:t>.</w:t>
      </w:r>
      <w:r>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Clinical studies generally show that selective COX-2 inhibitors produce less gastroduodenal injury and bleeding than conventional NSAIDs, but the small intestinal damage may not differ substantially between the two sub-classes of NSAIDs.</w:t>
      </w:r>
      <w:r>
        <w:rPr>
          <w:rFonts w:ascii="Book Antiqua" w:hAnsi="Book Antiqua"/>
        </w:rPr>
        <w:t xml:space="preserve"> </w:t>
      </w:r>
      <w:r w:rsidRPr="005427FA">
        <w:rPr>
          <w:rFonts w:ascii="Book Antiqua" w:hAnsi="Book Antiqua"/>
        </w:rPr>
        <w:t xml:space="preserve">For example, Maiden </w:t>
      </w:r>
      <w:r w:rsidRPr="001F075D">
        <w:rPr>
          <w:rFonts w:ascii="Book Antiqua" w:hAnsi="Book Antiqua"/>
          <w:i/>
        </w:rPr>
        <w:t>et al</w:t>
      </w:r>
      <w:r w:rsidRPr="005427FA">
        <w:rPr>
          <w:rFonts w:ascii="Book Antiqua" w:hAnsi="Book Antiqua"/>
          <w:vertAlign w:val="superscript"/>
        </w:rPr>
        <w:t xml:space="preserve">[73] </w:t>
      </w:r>
      <w:r w:rsidRPr="005427FA">
        <w:rPr>
          <w:rFonts w:ascii="Book Antiqua" w:hAnsi="Book Antiqua"/>
        </w:rPr>
        <w:t xml:space="preserve">performed a VCE study comparing the enteropathy produced in patients on long-term NSAID or selective COX-2 inhibitor therapy, and the key finding was that NSAIDs and selective COX-2 inhibitors produced comparable levels of small bowel damage (small intestinal injury was observed in 50% of the patients treated with a selective COX-2 inhibitor </w:t>
      </w:r>
      <w:r w:rsidRPr="000B6E17">
        <w:rPr>
          <w:rFonts w:ascii="Book Antiqua" w:eastAsia="宋体" w:hAnsi="Book Antiqua"/>
          <w:i/>
          <w:lang w:eastAsia="zh-CN"/>
        </w:rPr>
        <w:t>vs</w:t>
      </w:r>
      <w:r w:rsidRPr="005427FA">
        <w:rPr>
          <w:rFonts w:ascii="Book Antiqua" w:hAnsi="Book Antiqua"/>
        </w:rPr>
        <w:t xml:space="preserve"> 62% of patents treated with a conventional NSAID; not significantly different).</w:t>
      </w:r>
      <w:r>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While suppression of COX activity undoubtedly contributes to the pathogenesis of NSAID-enteropathy, it is clear that other factors probably play a more significant role.</w:t>
      </w:r>
      <w:r>
        <w:rPr>
          <w:rFonts w:ascii="Book Antiqua" w:hAnsi="Book Antiqua"/>
        </w:rPr>
        <w:t xml:space="preserve"> </w:t>
      </w:r>
      <w:r w:rsidRPr="005427FA">
        <w:rPr>
          <w:rFonts w:ascii="Book Antiqua" w:hAnsi="Book Antiqua"/>
        </w:rPr>
        <w:t>Suppression of COX activity likely contributes to this disorder mainly through the impairment of repair processes, such as angiogenesis</w:t>
      </w:r>
      <w:r w:rsidRPr="005427FA">
        <w:rPr>
          <w:rFonts w:ascii="Book Antiqua" w:hAnsi="Book Antiqua"/>
          <w:vertAlign w:val="superscript"/>
        </w:rPr>
        <w:t>[74]</w:t>
      </w:r>
      <w:r w:rsidRPr="005427FA">
        <w:rPr>
          <w:rFonts w:ascii="Book Antiqua" w:hAnsi="Book Antiqua"/>
        </w:rPr>
        <w:t>, and through inhibition of platelet aggregation, leading to bleeding.</w:t>
      </w:r>
      <w:r>
        <w:rPr>
          <w:rFonts w:ascii="Book Antiqua" w:hAnsi="Book Antiqua"/>
        </w:rPr>
        <w:t xml:space="preserve"> </w:t>
      </w:r>
      <w:r w:rsidRPr="005427FA">
        <w:rPr>
          <w:rFonts w:ascii="Book Antiqua" w:hAnsi="Book Antiqua"/>
        </w:rPr>
        <w:t>The latter effect, however, is most apparent with aspirin, which irreversibly inhibits platelet COX-1, and with NSAIDs that have a long half-life.</w:t>
      </w:r>
    </w:p>
    <w:p w:rsidR="002550C2" w:rsidRPr="005427FA" w:rsidRDefault="002550C2" w:rsidP="005427FA">
      <w:pPr>
        <w:spacing w:line="360" w:lineRule="auto"/>
        <w:jc w:val="both"/>
        <w:rPr>
          <w:rFonts w:ascii="Book Antiqua" w:hAnsi="Book Antiqua"/>
        </w:rPr>
      </w:pPr>
    </w:p>
    <w:p w:rsidR="002550C2" w:rsidRPr="00B02229" w:rsidRDefault="002550C2" w:rsidP="005427FA">
      <w:pPr>
        <w:spacing w:line="360" w:lineRule="auto"/>
        <w:jc w:val="both"/>
        <w:rPr>
          <w:rFonts w:ascii="Book Antiqua" w:hAnsi="Book Antiqua"/>
          <w:b/>
          <w:i/>
        </w:rPr>
      </w:pPr>
      <w:r w:rsidRPr="00B02229">
        <w:rPr>
          <w:rFonts w:ascii="Book Antiqua" w:hAnsi="Book Antiqua"/>
          <w:b/>
          <w:i/>
        </w:rPr>
        <w:t>Mitochondrial injury</w:t>
      </w:r>
    </w:p>
    <w:p w:rsidR="002550C2" w:rsidRPr="005427FA" w:rsidRDefault="002550C2" w:rsidP="00B02229">
      <w:pPr>
        <w:spacing w:line="360" w:lineRule="auto"/>
        <w:jc w:val="both"/>
        <w:rPr>
          <w:rFonts w:ascii="Book Antiqua" w:hAnsi="Book Antiqua"/>
        </w:rPr>
      </w:pPr>
      <w:r w:rsidRPr="005427FA">
        <w:rPr>
          <w:rFonts w:ascii="Book Antiqua" w:hAnsi="Book Antiqua"/>
        </w:rPr>
        <w:t>One of the earliest changes that can be detected after NSAID administration, in addition to inhibition of COX activity, is mitochondrial injury</w:t>
      </w:r>
      <w:r w:rsidRPr="005427FA">
        <w:rPr>
          <w:rFonts w:ascii="Book Antiqua" w:hAnsi="Book Antiqua"/>
          <w:vertAlign w:val="superscript"/>
        </w:rPr>
        <w:t>[75]</w:t>
      </w:r>
      <w:r w:rsidRPr="005427FA">
        <w:rPr>
          <w:rFonts w:ascii="Book Antiqua" w:hAnsi="Book Antiqua"/>
        </w:rPr>
        <w:t>.</w:t>
      </w:r>
      <w:r>
        <w:rPr>
          <w:rFonts w:ascii="Book Antiqua" w:hAnsi="Book Antiqua"/>
        </w:rPr>
        <w:t xml:space="preserve"> </w:t>
      </w:r>
      <w:r w:rsidRPr="005427FA">
        <w:rPr>
          <w:rFonts w:ascii="Book Antiqua" w:hAnsi="Book Antiqua"/>
        </w:rPr>
        <w:t xml:space="preserve">Morphological evidence of mitochondrial damage can be detected within 1 h of administration of an NSAID to rats, and </w:t>
      </w:r>
      <w:r w:rsidRPr="005427FA">
        <w:rPr>
          <w:rFonts w:ascii="Book Antiqua" w:hAnsi="Book Antiqua"/>
          <w:i/>
        </w:rPr>
        <w:t>in vitro</w:t>
      </w:r>
      <w:r w:rsidRPr="005427FA">
        <w:rPr>
          <w:rFonts w:ascii="Book Antiqua" w:hAnsi="Book Antiqua"/>
        </w:rPr>
        <w:t xml:space="preserve"> studies of liver showed that the NSAID could rapidly cause uncoupling of oxidative phosphorylation</w:t>
      </w:r>
      <w:r w:rsidRPr="005427FA">
        <w:rPr>
          <w:rFonts w:ascii="Book Antiqua" w:hAnsi="Book Antiqua"/>
          <w:vertAlign w:val="superscript"/>
        </w:rPr>
        <w:t>[75]</w:t>
      </w:r>
      <w:r w:rsidRPr="005427FA">
        <w:rPr>
          <w:rFonts w:ascii="Book Antiqua" w:hAnsi="Book Antiqua"/>
        </w:rPr>
        <w:t>.</w:t>
      </w:r>
      <w:r>
        <w:rPr>
          <w:rFonts w:ascii="Book Antiqua" w:hAnsi="Book Antiqua"/>
        </w:rPr>
        <w:t xml:space="preserve"> </w:t>
      </w:r>
      <w:r w:rsidRPr="005427FA">
        <w:rPr>
          <w:rFonts w:ascii="Book Antiqua" w:hAnsi="Book Antiqua"/>
        </w:rPr>
        <w:t xml:space="preserve">This provides a mechanistic explanation for the ability of NSAIDs to damage intestinal epithelial cells and to increase epithelial permeability, as have been demonstrated by </w:t>
      </w:r>
      <w:r w:rsidRPr="005427FA">
        <w:rPr>
          <w:rFonts w:ascii="Book Antiqua" w:hAnsi="Book Antiqua"/>
        </w:rPr>
        <w:lastRenderedPageBreak/>
        <w:t xml:space="preserve">several groups </w:t>
      </w:r>
      <w:r w:rsidRPr="005427FA">
        <w:rPr>
          <w:rFonts w:ascii="Book Antiqua" w:hAnsi="Book Antiqua"/>
          <w:vertAlign w:val="superscript"/>
        </w:rPr>
        <w:t>[22,52,76]</w:t>
      </w:r>
      <w:r w:rsidRPr="005427FA">
        <w:rPr>
          <w:rFonts w:ascii="Book Antiqua" w:hAnsi="Book Antiqua"/>
        </w:rPr>
        <w:t>.</w:t>
      </w:r>
      <w:r>
        <w:rPr>
          <w:rFonts w:ascii="Book Antiqua" w:hAnsi="Book Antiqua"/>
        </w:rPr>
        <w:t xml:space="preserve"> </w:t>
      </w:r>
      <w:r w:rsidRPr="005427FA">
        <w:rPr>
          <w:rFonts w:ascii="Book Antiqua" w:hAnsi="Book Antiqua"/>
        </w:rPr>
        <w:t>On the other hand, this mechanism does not explain the localization of ulcers in the jejunum and ileum in animal models and in humans.</w:t>
      </w:r>
      <w:r>
        <w:rPr>
          <w:rFonts w:ascii="Book Antiqua" w:hAnsi="Book Antiqua"/>
        </w:rPr>
        <w:t xml:space="preserve"> </w:t>
      </w:r>
      <w:r w:rsidRPr="005427FA">
        <w:rPr>
          <w:rFonts w:ascii="Book Antiqua" w:hAnsi="Book Antiqua"/>
        </w:rPr>
        <w:t xml:space="preserve">In their endoscopic study of diclofenac-induced small intestinal injury, Fujimori </w:t>
      </w:r>
      <w:r w:rsidRPr="001F075D">
        <w:rPr>
          <w:rFonts w:ascii="Book Antiqua" w:hAnsi="Book Antiqua"/>
          <w:i/>
        </w:rPr>
        <w:t>et al</w:t>
      </w:r>
      <w:r w:rsidRPr="005427FA">
        <w:rPr>
          <w:rFonts w:ascii="Book Antiqua" w:hAnsi="Book Antiqua"/>
          <w:vertAlign w:val="superscript"/>
        </w:rPr>
        <w:t>[54]</w:t>
      </w:r>
      <w:r w:rsidRPr="005427FA">
        <w:rPr>
          <w:rFonts w:ascii="Book Antiqua" w:hAnsi="Book Antiqua"/>
        </w:rPr>
        <w:t xml:space="preserve"> observed denuded regions throughout the small intestine (perhaps indicative of a topical erosive effect), but ulcers were concentrated in the distal jejunum and ileum.</w:t>
      </w:r>
    </w:p>
    <w:p w:rsidR="002550C2" w:rsidRPr="005427FA" w:rsidRDefault="002550C2" w:rsidP="005427FA">
      <w:pPr>
        <w:spacing w:line="360" w:lineRule="auto"/>
        <w:jc w:val="both"/>
        <w:rPr>
          <w:rFonts w:ascii="Book Antiqua" w:hAnsi="Book Antiqua"/>
        </w:rPr>
      </w:pPr>
    </w:p>
    <w:p w:rsidR="002550C2" w:rsidRPr="00B02229" w:rsidRDefault="002550C2" w:rsidP="005427FA">
      <w:pPr>
        <w:spacing w:line="360" w:lineRule="auto"/>
        <w:jc w:val="both"/>
        <w:rPr>
          <w:rFonts w:ascii="Book Antiqua" w:hAnsi="Book Antiqua"/>
          <w:b/>
          <w:i/>
        </w:rPr>
      </w:pPr>
      <w:r w:rsidRPr="00B02229">
        <w:rPr>
          <w:rFonts w:ascii="Book Antiqua" w:hAnsi="Book Antiqua"/>
          <w:b/>
          <w:i/>
        </w:rPr>
        <w:t>Role of bile and enterohepatic circulation</w:t>
      </w:r>
    </w:p>
    <w:p w:rsidR="002550C2" w:rsidRPr="005427FA" w:rsidRDefault="002550C2" w:rsidP="00B02229">
      <w:pPr>
        <w:spacing w:line="360" w:lineRule="auto"/>
        <w:jc w:val="both"/>
        <w:rPr>
          <w:rFonts w:ascii="Book Antiqua" w:hAnsi="Book Antiqua"/>
        </w:rPr>
      </w:pPr>
      <w:r w:rsidRPr="005427FA">
        <w:rPr>
          <w:rFonts w:ascii="Book Antiqua" w:hAnsi="Book Antiqua"/>
        </w:rPr>
        <w:t>Several observations suggest important roles for bile and for enterohepatic circulation of NSAIDs in the pathogenesis of NSAID-enteropathy (Fig</w:t>
      </w:r>
      <w:r>
        <w:rPr>
          <w:rFonts w:ascii="Book Antiqua" w:eastAsia="宋体" w:hAnsi="Book Antiqua"/>
          <w:lang w:eastAsia="zh-CN"/>
        </w:rPr>
        <w:t>ure</w:t>
      </w:r>
      <w:r w:rsidRPr="005427FA">
        <w:rPr>
          <w:rFonts w:ascii="Book Antiqua" w:hAnsi="Book Antiqua"/>
        </w:rPr>
        <w:t xml:space="preserve"> 3).</w:t>
      </w:r>
      <w:r>
        <w:rPr>
          <w:rFonts w:ascii="Book Antiqua" w:hAnsi="Book Antiqua"/>
        </w:rPr>
        <w:t xml:space="preserve"> </w:t>
      </w:r>
      <w:r w:rsidRPr="005427FA">
        <w:rPr>
          <w:rFonts w:ascii="Book Antiqua" w:hAnsi="Book Antiqua"/>
        </w:rPr>
        <w:t>Ligation of the bile duct in rats prevents NSAID-induced intestinal damage</w:t>
      </w:r>
      <w:r w:rsidRPr="005427FA">
        <w:rPr>
          <w:rFonts w:ascii="Book Antiqua" w:hAnsi="Book Antiqua"/>
          <w:vertAlign w:val="superscript"/>
        </w:rPr>
        <w:t>[75-78]</w:t>
      </w:r>
      <w:r w:rsidRPr="005427FA">
        <w:rPr>
          <w:rFonts w:ascii="Book Antiqua" w:hAnsi="Book Antiqua"/>
        </w:rPr>
        <w:t>. There have also been reports that NSAIDs that do not re-circulate enterohepatically do not cause small intestinal damage</w:t>
      </w:r>
      <w:r w:rsidRPr="005427FA">
        <w:rPr>
          <w:rFonts w:ascii="Book Antiqua" w:hAnsi="Book Antiqua"/>
          <w:vertAlign w:val="superscript"/>
        </w:rPr>
        <w:t>[52,75]</w:t>
      </w:r>
      <w:r w:rsidRPr="005427FA">
        <w:rPr>
          <w:rFonts w:ascii="Book Antiqua" w:hAnsi="Book Antiqua"/>
        </w:rPr>
        <w:t>, although aspirin is a notable exception, at least when administered intraduodenally or in an enteric-coated formulation</w:t>
      </w:r>
      <w:r w:rsidRPr="005427FA">
        <w:rPr>
          <w:rFonts w:ascii="Book Antiqua" w:hAnsi="Book Antiqua"/>
          <w:vertAlign w:val="superscript"/>
        </w:rPr>
        <w:t>[11,78]</w:t>
      </w:r>
      <w:r w:rsidRPr="005427FA">
        <w:rPr>
          <w:rFonts w:ascii="Book Antiqua" w:hAnsi="Book Antiqua"/>
        </w:rPr>
        <w:t>.</w:t>
      </w:r>
      <w:r>
        <w:rPr>
          <w:rFonts w:ascii="Book Antiqua" w:hAnsi="Book Antiqua"/>
        </w:rPr>
        <w:t xml:space="preserve"> </w:t>
      </w:r>
      <w:r w:rsidRPr="005427FA">
        <w:rPr>
          <w:rFonts w:ascii="Book Antiqua" w:hAnsi="Book Antiqua"/>
        </w:rPr>
        <w:t>Also, in rats lacking the hepatocanalicular conjugate export pump, which is required for excretion of conjugated NSAIDs into bile, but not for the flow of bile itself, intestinal damage induced by an NSAID (diclofenac) was prevented</w:t>
      </w:r>
      <w:r w:rsidRPr="005427FA">
        <w:rPr>
          <w:rFonts w:ascii="Book Antiqua" w:hAnsi="Book Antiqua"/>
          <w:vertAlign w:val="superscript"/>
        </w:rPr>
        <w:t>[79]</w:t>
      </w:r>
      <w:r w:rsidRPr="005427FA">
        <w:rPr>
          <w:rFonts w:ascii="Book Antiqua" w:hAnsi="Book Antiqua"/>
        </w:rPr>
        <w:t>.</w:t>
      </w:r>
      <w:r>
        <w:rPr>
          <w:rFonts w:ascii="Book Antiqua" w:hAnsi="Book Antiqua"/>
        </w:rPr>
        <w:t xml:space="preserve"> </w:t>
      </w:r>
      <w:r w:rsidRPr="005427FA">
        <w:rPr>
          <w:rFonts w:ascii="Book Antiqua" w:hAnsi="Book Antiqua"/>
        </w:rPr>
        <w:t>On the other hand, induction of higher expression of the export pump aggravated NSAID-induced intestinal damage</w:t>
      </w:r>
      <w:r w:rsidRPr="005427FA">
        <w:rPr>
          <w:rFonts w:ascii="Book Antiqua" w:hAnsi="Book Antiqua"/>
          <w:vertAlign w:val="superscript"/>
        </w:rPr>
        <w:t>[79]</w:t>
      </w:r>
      <w:r w:rsidRPr="005427FA">
        <w:rPr>
          <w:rFonts w:ascii="Book Antiqua" w:hAnsi="Book Antiqua"/>
        </w:rPr>
        <w:t>.</w:t>
      </w:r>
      <w:r>
        <w:rPr>
          <w:rFonts w:ascii="Book Antiqua" w:hAnsi="Book Antiqua"/>
        </w:rPr>
        <w:t xml:space="preserve"> </w:t>
      </w:r>
      <w:r w:rsidRPr="005427FA">
        <w:rPr>
          <w:rFonts w:ascii="Book Antiqua" w:hAnsi="Book Antiqua"/>
        </w:rPr>
        <w:t>A number of studies have demonstrated that a combination of an NSAID and bile is damaging to intestinal epithelial cells</w:t>
      </w:r>
      <w:r w:rsidRPr="005427FA">
        <w:rPr>
          <w:rFonts w:ascii="Book Antiqua" w:hAnsi="Book Antiqua"/>
          <w:vertAlign w:val="superscript"/>
        </w:rPr>
        <w:t>[80,81]</w:t>
      </w:r>
      <w:r w:rsidRPr="005427FA">
        <w:rPr>
          <w:rFonts w:ascii="Book Antiqua" w:hAnsi="Book Antiqua"/>
        </w:rPr>
        <w:t xml:space="preserve"> and non-GI cells</w:t>
      </w:r>
      <w:r w:rsidRPr="005427FA">
        <w:rPr>
          <w:rFonts w:ascii="Book Antiqua" w:hAnsi="Book Antiqua"/>
          <w:vertAlign w:val="superscript"/>
        </w:rPr>
        <w:t>[82]</w:t>
      </w:r>
      <w:r w:rsidRPr="005427FA">
        <w:rPr>
          <w:rFonts w:ascii="Book Antiqua" w:hAnsi="Book Antiqua"/>
        </w:rPr>
        <w:t>.</w:t>
      </w:r>
      <w:r>
        <w:rPr>
          <w:rFonts w:ascii="Book Antiqua" w:hAnsi="Book Antiqua"/>
        </w:rPr>
        <w:t xml:space="preserve"> </w:t>
      </w:r>
      <w:r w:rsidRPr="005427FA">
        <w:rPr>
          <w:rFonts w:ascii="Book Antiqua" w:hAnsi="Book Antiqua"/>
        </w:rPr>
        <w:t>It is noteworthy that in all of these studies, it was secondary bile acids that were found, in combination with NSAIDs, to be effective in damaging cells.</w:t>
      </w:r>
      <w:r>
        <w:rPr>
          <w:rFonts w:ascii="Book Antiqua" w:hAnsi="Book Antiqua"/>
        </w:rPr>
        <w:t xml:space="preserve"> </w:t>
      </w:r>
      <w:r w:rsidRPr="005427FA">
        <w:rPr>
          <w:rFonts w:ascii="Book Antiqua" w:hAnsi="Book Antiqua"/>
        </w:rPr>
        <w:t>Moreover, it has been shown that administration of an NSAID to rats results in increased concentrations of secondary bile acids in bile</w:t>
      </w:r>
      <w:r w:rsidRPr="005427FA">
        <w:rPr>
          <w:rFonts w:ascii="Book Antiqua" w:hAnsi="Book Antiqua"/>
          <w:vertAlign w:val="superscript"/>
        </w:rPr>
        <w:t>[83]</w:t>
      </w:r>
      <w:r w:rsidRPr="005427FA">
        <w:rPr>
          <w:rFonts w:ascii="Book Antiqua" w:hAnsi="Book Antiqua"/>
        </w:rPr>
        <w:t>.</w:t>
      </w:r>
      <w:r>
        <w:rPr>
          <w:rFonts w:ascii="Book Antiqua" w:hAnsi="Book Antiqua"/>
        </w:rPr>
        <w:t xml:space="preserve"> </w:t>
      </w:r>
      <w:r w:rsidRPr="005427FA">
        <w:rPr>
          <w:rFonts w:ascii="Book Antiqua" w:hAnsi="Book Antiqua"/>
        </w:rPr>
        <w:t>Thus, when an NSAID recirculates enterohepatically, the intestinal epithelium is repeatedly exposed to a damaging combination of the NSAID and bile.</w:t>
      </w:r>
      <w:r>
        <w:rPr>
          <w:rFonts w:ascii="Book Antiqua" w:hAnsi="Book Antiqua"/>
        </w:rPr>
        <w:t xml:space="preserve"> </w:t>
      </w:r>
      <w:r w:rsidRPr="005427FA">
        <w:rPr>
          <w:rFonts w:ascii="Book Antiqua" w:hAnsi="Book Antiqua"/>
        </w:rPr>
        <w:t xml:space="preserve">If this were the primary mechanism of injury in NSAID-enteropathy, however, one would expect to see ulcers produced where the highest concentrations of NSAID and bile would be </w:t>
      </w:r>
      <w:r w:rsidRPr="005427FA">
        <w:rPr>
          <w:rFonts w:ascii="Book Antiqua" w:hAnsi="Book Antiqua"/>
        </w:rPr>
        <w:lastRenderedPageBreak/>
        <w:t>found (</w:t>
      </w:r>
      <w:r w:rsidRPr="00270312">
        <w:rPr>
          <w:rFonts w:ascii="Book Antiqua" w:hAnsi="Book Antiqua"/>
          <w:i/>
        </w:rPr>
        <w:t>i.e.</w:t>
      </w:r>
      <w:r w:rsidRPr="005427FA">
        <w:rPr>
          <w:rFonts w:ascii="Book Antiqua" w:hAnsi="Book Antiqua"/>
        </w:rPr>
        <w:t>, near the Sphincter of Oddi), whereas the most severe tissue injury is concentrated in the more distal parts of the small intestine</w:t>
      </w:r>
      <w:r w:rsidRPr="005427FA">
        <w:rPr>
          <w:rFonts w:ascii="Book Antiqua" w:hAnsi="Book Antiqua"/>
          <w:vertAlign w:val="superscript"/>
        </w:rPr>
        <w:t>[54]</w:t>
      </w:r>
      <w:r w:rsidRPr="005427FA">
        <w:rPr>
          <w:rFonts w:ascii="Book Antiqua" w:hAnsi="Book Antiqua"/>
        </w:rPr>
        <w:t xml:space="preserve">. It has been suggested that the sites of ulceration correspond to the sites of NSAID re-absorption, and related to the deconjugation of the NSAIDs at those sites by bacterial </w:t>
      </w:r>
      <w:r w:rsidRPr="005427FA">
        <w:rPr>
          <w:rFonts w:ascii="Book Antiqua" w:hAnsi="Book Antiqua" w:cs="Lucida Grande"/>
          <w:color w:val="000000"/>
        </w:rPr>
        <w:t>β</w:t>
      </w:r>
      <w:r w:rsidRPr="005427FA">
        <w:rPr>
          <w:rFonts w:ascii="Book Antiqua" w:hAnsi="Book Antiqua"/>
        </w:rPr>
        <w:t>-glucuronidases</w:t>
      </w:r>
      <w:r w:rsidRPr="005427FA">
        <w:rPr>
          <w:rFonts w:ascii="Book Antiqua" w:hAnsi="Book Antiqua"/>
          <w:vertAlign w:val="superscript"/>
        </w:rPr>
        <w:t>[79,84-86]</w:t>
      </w:r>
      <w:r w:rsidRPr="005427FA">
        <w:rPr>
          <w:rFonts w:ascii="Book Antiqua" w:hAnsi="Book Antiqua"/>
        </w:rPr>
        <w:t>.</w:t>
      </w:r>
      <w:r>
        <w:rPr>
          <w:rFonts w:ascii="Book Antiqua" w:hAnsi="Book Antiqua"/>
        </w:rPr>
        <w:t xml:space="preserve"> </w:t>
      </w:r>
    </w:p>
    <w:p w:rsidR="002550C2" w:rsidRPr="005427FA" w:rsidRDefault="002550C2" w:rsidP="005427FA">
      <w:pPr>
        <w:spacing w:line="360" w:lineRule="auto"/>
        <w:jc w:val="both"/>
        <w:rPr>
          <w:rFonts w:ascii="Book Antiqua" w:hAnsi="Book Antiqua"/>
        </w:rPr>
      </w:pPr>
    </w:p>
    <w:p w:rsidR="002550C2" w:rsidRPr="00B02229" w:rsidRDefault="002550C2" w:rsidP="005427FA">
      <w:pPr>
        <w:spacing w:line="360" w:lineRule="auto"/>
        <w:jc w:val="both"/>
        <w:rPr>
          <w:rFonts w:ascii="Book Antiqua" w:hAnsi="Book Antiqua"/>
          <w:b/>
          <w:i/>
        </w:rPr>
      </w:pPr>
      <w:r w:rsidRPr="00B02229">
        <w:rPr>
          <w:rFonts w:ascii="Book Antiqua" w:hAnsi="Book Antiqua"/>
          <w:b/>
          <w:i/>
        </w:rPr>
        <w:t>Role of bacteria</w:t>
      </w:r>
    </w:p>
    <w:p w:rsidR="002550C2" w:rsidRPr="005427FA" w:rsidRDefault="002550C2" w:rsidP="00B02229">
      <w:pPr>
        <w:spacing w:line="360" w:lineRule="auto"/>
        <w:jc w:val="both"/>
        <w:rPr>
          <w:rFonts w:ascii="Book Antiqua" w:hAnsi="Book Antiqua"/>
        </w:rPr>
      </w:pPr>
      <w:r w:rsidRPr="005427FA">
        <w:rPr>
          <w:rFonts w:ascii="Book Antiqua" w:hAnsi="Book Antiqua"/>
        </w:rPr>
        <w:t>There is an abundance of evidence that intestinal bacteria contribute to the pathogenesis of NSAID-enteropathy, but it remains unclear if there is a primary role, initiating the tissue damage, or just a secondary role, exacerbating tissue injury and impeding repair.</w:t>
      </w:r>
      <w:r>
        <w:rPr>
          <w:rFonts w:ascii="Book Antiqua" w:hAnsi="Book Antiqua"/>
        </w:rPr>
        <w:t xml:space="preserve"> </w:t>
      </w:r>
      <w:r w:rsidRPr="005427FA">
        <w:rPr>
          <w:rFonts w:ascii="Book Antiqua" w:hAnsi="Book Antiqua"/>
        </w:rPr>
        <w:t>One of the key observations leading some to propose a primary role of bacteria in NSAID-enteropathy is that germ-free rats and mice develop little or no intestinal damage when given an NSAID, but when colonized by gram-negative bacteria, these animals become susceptible to NSAID-enteropathy</w:t>
      </w:r>
      <w:r w:rsidRPr="005427FA">
        <w:rPr>
          <w:rFonts w:ascii="Book Antiqua" w:hAnsi="Book Antiqua"/>
          <w:vertAlign w:val="superscript"/>
        </w:rPr>
        <w:t>[87,88]</w:t>
      </w:r>
      <w:r w:rsidRPr="005427FA">
        <w:rPr>
          <w:rFonts w:ascii="Book Antiqua" w:hAnsi="Book Antiqua"/>
        </w:rPr>
        <w:t>.</w:t>
      </w:r>
      <w:r>
        <w:rPr>
          <w:rFonts w:ascii="Book Antiqua" w:hAnsi="Book Antiqua"/>
        </w:rPr>
        <w:t xml:space="preserve"> </w:t>
      </w:r>
      <w:r w:rsidRPr="005427FA">
        <w:rPr>
          <w:rFonts w:ascii="Book Antiqua" w:hAnsi="Book Antiqua"/>
        </w:rPr>
        <w:t>Several studies have documented dramatic shifts in the types of bacteria in the small intestine following NSAID administration, with increases in gram-negative bacteria generally being observed, and a concomitant reduction in gram-positive bacteria</w:t>
      </w:r>
      <w:r w:rsidRPr="005427FA">
        <w:rPr>
          <w:rFonts w:ascii="Book Antiqua" w:hAnsi="Book Antiqua"/>
          <w:vertAlign w:val="superscript"/>
        </w:rPr>
        <w:t>[89-93]</w:t>
      </w:r>
      <w:r w:rsidRPr="005427FA">
        <w:rPr>
          <w:rFonts w:ascii="Book Antiqua" w:hAnsi="Book Antiqua"/>
        </w:rPr>
        <w:t>.</w:t>
      </w:r>
      <w:r>
        <w:rPr>
          <w:rFonts w:ascii="Book Antiqua" w:hAnsi="Book Antiqua"/>
        </w:rPr>
        <w:t xml:space="preserve"> </w:t>
      </w:r>
      <w:r w:rsidRPr="005427FA">
        <w:rPr>
          <w:rFonts w:ascii="Book Antiqua" w:hAnsi="Book Antiqua"/>
        </w:rPr>
        <w:t xml:space="preserve">In some studies, there appeared to be an enrichment of specific bacteria, such as </w:t>
      </w:r>
      <w:r w:rsidRPr="005427FA">
        <w:rPr>
          <w:rFonts w:ascii="Book Antiqua" w:hAnsi="Book Antiqua"/>
          <w:i/>
        </w:rPr>
        <w:t>Enterococcus faecalis, Clostridium, Bacteroides</w:t>
      </w:r>
      <w:r w:rsidRPr="005427FA">
        <w:rPr>
          <w:rFonts w:ascii="Book Antiqua" w:hAnsi="Book Antiqua"/>
        </w:rPr>
        <w:t xml:space="preserve"> and </w:t>
      </w:r>
      <w:r w:rsidRPr="007B7446">
        <w:rPr>
          <w:rFonts w:ascii="Book Antiqua" w:hAnsi="Book Antiqua"/>
          <w:i/>
        </w:rPr>
        <w:t>Escherichia coli</w:t>
      </w:r>
      <w:r w:rsidRPr="007B7446">
        <w:rPr>
          <w:rFonts w:ascii="Book Antiqua" w:hAnsi="Book Antiqua"/>
        </w:rPr>
        <w:t xml:space="preserve"> </w:t>
      </w:r>
      <w:r>
        <w:rPr>
          <w:rFonts w:ascii="Book Antiqua" w:eastAsia="宋体" w:hAnsi="Book Antiqua"/>
          <w:lang w:eastAsia="zh-CN"/>
        </w:rPr>
        <w:t>(</w:t>
      </w:r>
      <w:r w:rsidRPr="005427FA">
        <w:rPr>
          <w:rFonts w:ascii="Book Antiqua" w:hAnsi="Book Antiqua"/>
          <w:i/>
        </w:rPr>
        <w:t>E. coli</w:t>
      </w:r>
      <w:r>
        <w:rPr>
          <w:rFonts w:ascii="Book Antiqua" w:eastAsia="宋体" w:hAnsi="Book Antiqua"/>
          <w:i/>
          <w:lang w:eastAsia="zh-CN"/>
        </w:rPr>
        <w:t>)</w:t>
      </w:r>
      <w:r w:rsidRPr="005427FA">
        <w:rPr>
          <w:rFonts w:ascii="Book Antiqua" w:hAnsi="Book Antiqua"/>
          <w:vertAlign w:val="superscript"/>
        </w:rPr>
        <w:t>[89-91]</w:t>
      </w:r>
      <w:r w:rsidRPr="005427FA">
        <w:rPr>
          <w:rFonts w:ascii="Book Antiqua" w:hAnsi="Book Antiqua"/>
        </w:rPr>
        <w:t>.</w:t>
      </w:r>
      <w:r>
        <w:rPr>
          <w:rFonts w:ascii="Book Antiqua" w:hAnsi="Book Antiqua"/>
        </w:rPr>
        <w:t xml:space="preserve"> </w:t>
      </w:r>
      <w:r w:rsidRPr="005427FA">
        <w:rPr>
          <w:rFonts w:ascii="Book Antiqua" w:hAnsi="Book Antiqua"/>
        </w:rPr>
        <w:t>A number of studies reported protective effects of antibiotics against NSAID-enteropathy, particularly when the antibiotics were effective in reducing number of gram-negative bacteria</w:t>
      </w:r>
      <w:r w:rsidRPr="005427FA">
        <w:rPr>
          <w:rFonts w:ascii="Book Antiqua" w:hAnsi="Book Antiqua"/>
          <w:vertAlign w:val="superscript"/>
        </w:rPr>
        <w:t>[88,89,93,94]</w:t>
      </w:r>
      <w:r w:rsidRPr="005427FA">
        <w:rPr>
          <w:rFonts w:ascii="Book Antiqua" w:hAnsi="Book Antiqua"/>
        </w:rPr>
        <w:t>.</w:t>
      </w:r>
      <w:r>
        <w:rPr>
          <w:rFonts w:ascii="Book Antiqua" w:hAnsi="Book Antiqua"/>
        </w:rPr>
        <w:t xml:space="preserve"> </w:t>
      </w:r>
      <w:r w:rsidRPr="005427FA">
        <w:rPr>
          <w:rFonts w:ascii="Book Antiqua" w:hAnsi="Book Antiqua"/>
        </w:rPr>
        <w:t>Similarly, some probiotics have been reported to reduce the severity of NSAID-enteropathy, especially when they prevent increases in the number of gram-negative bacteria in the intestine</w:t>
      </w:r>
      <w:r w:rsidRPr="005427FA">
        <w:rPr>
          <w:rFonts w:ascii="Book Antiqua" w:hAnsi="Book Antiqua"/>
          <w:vertAlign w:val="superscript"/>
        </w:rPr>
        <w:t>[93,95,96]</w:t>
      </w:r>
      <w:r w:rsidRPr="005427FA">
        <w:rPr>
          <w:rFonts w:ascii="Book Antiqua" w:hAnsi="Book Antiqua"/>
        </w:rPr>
        <w:t>.</w:t>
      </w:r>
      <w:r>
        <w:rPr>
          <w:rFonts w:ascii="Book Antiqua" w:hAnsi="Book Antiqua"/>
        </w:rPr>
        <w:t xml:space="preserve"> </w:t>
      </w:r>
      <w:r w:rsidRPr="005427FA">
        <w:rPr>
          <w:rFonts w:ascii="Book Antiqua" w:hAnsi="Book Antiqua"/>
        </w:rPr>
        <w:t>Despite a considerable number of studies examining the potential contribution of bacteria to NSAID-enteropathy, there remains a lack of clear evidence for a primary role of bacteria in initiation of tissue injury.</w:t>
      </w:r>
      <w:r>
        <w:rPr>
          <w:rFonts w:ascii="Book Antiqua" w:hAnsi="Book Antiqua"/>
        </w:rPr>
        <w:t xml:space="preserve"> </w:t>
      </w:r>
      <w:r w:rsidRPr="005427FA">
        <w:rPr>
          <w:rFonts w:ascii="Book Antiqua" w:hAnsi="Book Antiqua"/>
        </w:rPr>
        <w:t>Bacteria rapidly colonize sites of ulceration and can interfere with ulcer healing</w:t>
      </w:r>
      <w:r w:rsidRPr="005427FA">
        <w:rPr>
          <w:rFonts w:ascii="Book Antiqua" w:hAnsi="Book Antiqua"/>
          <w:vertAlign w:val="superscript"/>
        </w:rPr>
        <w:t>[97,98]</w:t>
      </w:r>
      <w:r w:rsidRPr="005427FA">
        <w:rPr>
          <w:rFonts w:ascii="Book Antiqua" w:hAnsi="Book Antiqua"/>
        </w:rPr>
        <w:t>.</w:t>
      </w:r>
      <w:r>
        <w:rPr>
          <w:rFonts w:ascii="Book Antiqua" w:hAnsi="Book Antiqua"/>
        </w:rPr>
        <w:t xml:space="preserve"> </w:t>
      </w:r>
      <w:r w:rsidRPr="005427FA">
        <w:rPr>
          <w:rFonts w:ascii="Book Antiqua" w:hAnsi="Book Antiqua"/>
        </w:rPr>
        <w:t xml:space="preserve">In one of the earliest papers on the pathogenesis </w:t>
      </w:r>
      <w:r w:rsidRPr="005427FA">
        <w:rPr>
          <w:rFonts w:ascii="Book Antiqua" w:hAnsi="Book Antiqua"/>
        </w:rPr>
        <w:lastRenderedPageBreak/>
        <w:t xml:space="preserve">of NSAID-enteropathy, Kent </w:t>
      </w:r>
      <w:r w:rsidRPr="001F075D">
        <w:rPr>
          <w:rFonts w:ascii="Book Antiqua" w:hAnsi="Book Antiqua"/>
          <w:i/>
        </w:rPr>
        <w:t>et al</w:t>
      </w:r>
      <w:r w:rsidRPr="005427FA">
        <w:rPr>
          <w:rFonts w:ascii="Book Antiqua" w:hAnsi="Book Antiqua"/>
          <w:vertAlign w:val="superscript"/>
        </w:rPr>
        <w:t>[89]</w:t>
      </w:r>
      <w:r w:rsidRPr="005427FA">
        <w:rPr>
          <w:rFonts w:ascii="Book Antiqua" w:hAnsi="Book Antiqua"/>
        </w:rPr>
        <w:t xml:space="preserve"> remarked “since the antibiotics do not prevent completely the ulceration, we think that these agents reduce the severity of the lesion by allowing healing to start sooner”.</w:t>
      </w:r>
      <w:r>
        <w:rPr>
          <w:rFonts w:ascii="Book Antiqua" w:hAnsi="Book Antiqua"/>
        </w:rPr>
        <w:t xml:space="preserve"> </w:t>
      </w:r>
      <w:r w:rsidRPr="005427FA">
        <w:rPr>
          <w:rFonts w:ascii="Book Antiqua" w:hAnsi="Book Antiqua"/>
        </w:rPr>
        <w:t xml:space="preserve">A similar conclusion was drawn by Yamada </w:t>
      </w:r>
      <w:r w:rsidRPr="001F075D">
        <w:rPr>
          <w:rFonts w:ascii="Book Antiqua" w:hAnsi="Book Antiqua"/>
          <w:i/>
        </w:rPr>
        <w:t>et al</w:t>
      </w:r>
      <w:r w:rsidRPr="005427FA">
        <w:rPr>
          <w:rFonts w:ascii="Book Antiqua" w:hAnsi="Book Antiqua"/>
          <w:vertAlign w:val="superscript"/>
        </w:rPr>
        <w:t>[99]</w:t>
      </w:r>
      <w:r w:rsidRPr="005427FA">
        <w:rPr>
          <w:rFonts w:ascii="Book Antiqua" w:hAnsi="Book Antiqua"/>
        </w:rPr>
        <w:t>.</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The apparent importance of gram-negative bacteria in the pathogenesis of NSAID-enteropathy is consistent with reports of a role for lipopolysaccharide (LPS) in driving tissue inflammation and impairment of ulcer healing.</w:t>
      </w:r>
      <w:r>
        <w:rPr>
          <w:rFonts w:ascii="Book Antiqua" w:hAnsi="Book Antiqua"/>
        </w:rPr>
        <w:t xml:space="preserve"> </w:t>
      </w:r>
      <w:r w:rsidRPr="005427FA">
        <w:rPr>
          <w:rFonts w:ascii="Book Antiqua" w:hAnsi="Book Antiqua"/>
        </w:rPr>
        <w:t xml:space="preserve">Hagiwara showed that heat-killed </w:t>
      </w:r>
      <w:r w:rsidRPr="005427FA">
        <w:rPr>
          <w:rFonts w:ascii="Book Antiqua" w:hAnsi="Book Antiqua"/>
          <w:i/>
        </w:rPr>
        <w:t>E. coli</w:t>
      </w:r>
      <w:r w:rsidRPr="005427FA">
        <w:rPr>
          <w:rFonts w:ascii="Book Antiqua" w:hAnsi="Book Antiqua"/>
        </w:rPr>
        <w:t xml:space="preserve"> and their purified LPS caused ‘deterioration’ of NSAID-induced ileal ulcers, but could not cause ulcers themselves in the absence of the NSAID)</w:t>
      </w:r>
      <w:r w:rsidRPr="005427FA">
        <w:rPr>
          <w:rFonts w:ascii="Book Antiqua" w:hAnsi="Book Antiqua"/>
          <w:vertAlign w:val="superscript"/>
        </w:rPr>
        <w:t>[91]</w:t>
      </w:r>
      <w:r w:rsidRPr="005427FA">
        <w:rPr>
          <w:rFonts w:ascii="Book Antiqua" w:hAnsi="Book Antiqua"/>
        </w:rPr>
        <w:t>.</w:t>
      </w:r>
      <w:r>
        <w:rPr>
          <w:rFonts w:ascii="Book Antiqua" w:hAnsi="Book Antiqua"/>
        </w:rPr>
        <w:t xml:space="preserve"> </w:t>
      </w:r>
      <w:r w:rsidRPr="005427FA">
        <w:rPr>
          <w:rFonts w:ascii="Book Antiqua" w:hAnsi="Book Antiqua"/>
        </w:rPr>
        <w:t xml:space="preserve">Koga </w:t>
      </w:r>
      <w:r w:rsidRPr="001F075D">
        <w:rPr>
          <w:rFonts w:ascii="Book Antiqua" w:hAnsi="Book Antiqua"/>
          <w:i/>
        </w:rPr>
        <w:t>et al</w:t>
      </w:r>
      <w:r w:rsidRPr="005427FA">
        <w:rPr>
          <w:rFonts w:ascii="Book Antiqua" w:hAnsi="Book Antiqua"/>
          <w:vertAlign w:val="superscript"/>
        </w:rPr>
        <w:t>[94]</w:t>
      </w:r>
      <w:r w:rsidRPr="005427FA">
        <w:rPr>
          <w:rFonts w:ascii="Book Antiqua" w:hAnsi="Book Antiqua"/>
        </w:rPr>
        <w:t xml:space="preserve"> reported that systemic administration of LPS reversed the beneficial effects of an antibiotic in reducing the severity of NSAID-enteropathy in rats, and further demonstrated that T cell function was not required for NSAIDs to induce intestinal ulceration. Watanabe </w:t>
      </w:r>
      <w:r w:rsidRPr="001F075D">
        <w:rPr>
          <w:rFonts w:ascii="Book Antiqua" w:hAnsi="Book Antiqua"/>
          <w:i/>
        </w:rPr>
        <w:t>et al</w:t>
      </w:r>
      <w:r w:rsidRPr="005427FA">
        <w:rPr>
          <w:rFonts w:ascii="Book Antiqua" w:hAnsi="Book Antiqua"/>
          <w:vertAlign w:val="superscript"/>
        </w:rPr>
        <w:t>[93]</w:t>
      </w:r>
      <w:r>
        <w:rPr>
          <w:rFonts w:ascii="Book Antiqua" w:eastAsia="宋体" w:hAnsi="Book Antiqua"/>
          <w:vertAlign w:val="superscript"/>
          <w:lang w:eastAsia="zh-CN"/>
        </w:rPr>
        <w:t xml:space="preserve"> </w:t>
      </w:r>
      <w:r w:rsidRPr="005427FA">
        <w:rPr>
          <w:rFonts w:ascii="Book Antiqua" w:hAnsi="Book Antiqua"/>
        </w:rPr>
        <w:t>emonstrated that mice lacking the endotoxin receptor, toll-like receptor-4, developed much less (</w:t>
      </w:r>
      <w:r>
        <w:rPr>
          <w:rFonts w:ascii="Book Antiqua" w:eastAsia="宋体" w:hAnsi="Book Antiqua"/>
          <w:lang w:eastAsia="zh-CN"/>
        </w:rPr>
        <w:t xml:space="preserve">about </w:t>
      </w:r>
      <w:r w:rsidRPr="005427FA">
        <w:rPr>
          <w:rFonts w:ascii="Book Antiqua" w:hAnsi="Book Antiqua"/>
        </w:rPr>
        <w:t>80%) intestinal damage when given an NSAID than the normal counterparts.</w:t>
      </w:r>
      <w:r>
        <w:rPr>
          <w:rFonts w:ascii="Book Antiqua" w:hAnsi="Book Antiqua"/>
        </w:rPr>
        <w:t xml:space="preserve"> </w:t>
      </w:r>
      <w:r w:rsidRPr="005427FA">
        <w:rPr>
          <w:rFonts w:ascii="Book Antiqua" w:hAnsi="Book Antiqua"/>
        </w:rPr>
        <w:t>These data are once again consistent with the notion that bacteria play a secondary role in NSAID-enteropathy, exacerbating tissue injury and interfering with ulcer healing.</w:t>
      </w:r>
      <w:r>
        <w:rPr>
          <w:rFonts w:ascii="Book Antiqua" w:hAnsi="Book Antiqua"/>
        </w:rPr>
        <w:t xml:space="preserve"> </w:t>
      </w:r>
      <w:r w:rsidRPr="005427FA">
        <w:rPr>
          <w:rFonts w:ascii="Book Antiqua" w:hAnsi="Book Antiqua"/>
        </w:rPr>
        <w:t>These effects may be in part attributable to activation of neutrophils in the mucosal microcirculation, which has been shown to contribute significantly to ulceration</w:t>
      </w:r>
      <w:r w:rsidRPr="005427FA">
        <w:rPr>
          <w:rFonts w:ascii="Book Antiqua" w:hAnsi="Book Antiqua"/>
          <w:vertAlign w:val="superscript"/>
        </w:rPr>
        <w:t>[100-103]</w:t>
      </w:r>
      <w:r w:rsidRPr="005427FA">
        <w:rPr>
          <w:rFonts w:ascii="Book Antiqua" w:hAnsi="Book Antiqua"/>
        </w:rPr>
        <w:t>, and local generation of TNF</w:t>
      </w:r>
      <w:r w:rsidRPr="005427FA">
        <w:rPr>
          <w:rFonts w:ascii="Book Antiqua" w:hAnsi="Book Antiqua" w:cs="Lucida Grande"/>
          <w:color w:val="000000"/>
        </w:rPr>
        <w:t>α</w:t>
      </w:r>
      <w:r w:rsidRPr="005427FA">
        <w:rPr>
          <w:rFonts w:ascii="Book Antiqua" w:hAnsi="Book Antiqua"/>
        </w:rPr>
        <w:t xml:space="preserve"> may be one of the main triggers leading to neutrophil recruitment and/or activation</w:t>
      </w:r>
      <w:r w:rsidRPr="005427FA">
        <w:rPr>
          <w:rFonts w:ascii="Book Antiqua" w:hAnsi="Book Antiqua"/>
          <w:vertAlign w:val="superscript"/>
        </w:rPr>
        <w:t>[93, 105-107]</w:t>
      </w:r>
      <w:r w:rsidRPr="005427FA">
        <w:rPr>
          <w:rFonts w:ascii="Book Antiqua" w:hAnsi="Book Antiqua"/>
        </w:rPr>
        <w:t>.</w:t>
      </w:r>
      <w:r>
        <w:rPr>
          <w:rFonts w:ascii="Book Antiqua" w:hAnsi="Book Antiqua"/>
        </w:rPr>
        <w:t xml:space="preserve"> </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As mentioned above, one of the key observations supporting an important role of bacteria in the pathogenesis of NSAID-enteropathy was that germ-free animals do not develop significant small intestinal damage following NSAID administration</w:t>
      </w:r>
      <w:r w:rsidRPr="005427FA">
        <w:rPr>
          <w:rFonts w:ascii="Book Antiqua" w:hAnsi="Book Antiqua"/>
          <w:vertAlign w:val="superscript"/>
        </w:rPr>
        <w:t>[75-78]</w:t>
      </w:r>
      <w:r w:rsidRPr="005427FA">
        <w:rPr>
          <w:rFonts w:ascii="Book Antiqua" w:hAnsi="Book Antiqua"/>
        </w:rPr>
        <w:t>.</w:t>
      </w:r>
      <w:r>
        <w:rPr>
          <w:rFonts w:ascii="Book Antiqua" w:hAnsi="Book Antiqua"/>
        </w:rPr>
        <w:t xml:space="preserve"> </w:t>
      </w:r>
      <w:r w:rsidRPr="005427FA">
        <w:rPr>
          <w:rFonts w:ascii="Book Antiqua" w:hAnsi="Book Antiqua"/>
        </w:rPr>
        <w:t>However, one must bear in mind that ligation of the bile duct blocks the secretion of bile and the enterohepatic circulation of NSAIDs, both of which have been implicated in intestinal injury by these drugs (Fig</w:t>
      </w:r>
      <w:r>
        <w:rPr>
          <w:rFonts w:ascii="Book Antiqua" w:eastAsia="宋体" w:hAnsi="Book Antiqua"/>
          <w:lang w:eastAsia="zh-CN"/>
        </w:rPr>
        <w:t>ure</w:t>
      </w:r>
      <w:r w:rsidRPr="005427FA">
        <w:rPr>
          <w:rFonts w:ascii="Book Antiqua" w:hAnsi="Book Antiqua"/>
        </w:rPr>
        <w:t xml:space="preserve"> 3).</w:t>
      </w:r>
      <w:r>
        <w:rPr>
          <w:rFonts w:ascii="Book Antiqua" w:hAnsi="Book Antiqua"/>
        </w:rPr>
        <w:t xml:space="preserve"> </w:t>
      </w:r>
      <w:r w:rsidRPr="005427FA">
        <w:rPr>
          <w:rFonts w:ascii="Book Antiqua" w:hAnsi="Book Antiqua"/>
        </w:rPr>
        <w:t xml:space="preserve">The conversion of primary bile acids to secondary bile acids is dependent on </w:t>
      </w:r>
      <w:r w:rsidRPr="005427FA">
        <w:rPr>
          <w:rFonts w:ascii="Book Antiqua" w:hAnsi="Book Antiqua"/>
        </w:rPr>
        <w:lastRenderedPageBreak/>
        <w:t>intestinal bacterial enzymes.</w:t>
      </w:r>
      <w:r>
        <w:rPr>
          <w:rFonts w:ascii="Book Antiqua" w:hAnsi="Book Antiqua"/>
        </w:rPr>
        <w:t xml:space="preserve"> </w:t>
      </w:r>
      <w:r w:rsidRPr="005427FA">
        <w:rPr>
          <w:rFonts w:ascii="Book Antiqua" w:hAnsi="Book Antiqua"/>
        </w:rPr>
        <w:t>Thus, germ-free animals lack secondary bile acids.</w:t>
      </w:r>
      <w:r>
        <w:rPr>
          <w:rFonts w:ascii="Book Antiqua" w:hAnsi="Book Antiqua"/>
        </w:rPr>
        <w:t xml:space="preserve"> </w:t>
      </w:r>
      <w:r w:rsidRPr="005427FA">
        <w:rPr>
          <w:rFonts w:ascii="Book Antiqua" w:hAnsi="Book Antiqua"/>
        </w:rPr>
        <w:t>As mentioned above, most studies that have shown that bile acids (alone or in combination with an NSAID) can cause damage to intestinal epithelial cells have used secondary, rather than primary bile acids</w:t>
      </w:r>
      <w:r w:rsidRPr="005427FA">
        <w:rPr>
          <w:rFonts w:ascii="Book Antiqua" w:hAnsi="Book Antiqua"/>
          <w:vertAlign w:val="superscript"/>
        </w:rPr>
        <w:t>[80,81]</w:t>
      </w:r>
      <w:r w:rsidRPr="005427FA">
        <w:rPr>
          <w:rFonts w:ascii="Book Antiqua" w:hAnsi="Book Antiqua"/>
        </w:rPr>
        <w:t>.</w:t>
      </w:r>
      <w:r>
        <w:rPr>
          <w:rFonts w:ascii="Book Antiqua" w:hAnsi="Book Antiqua"/>
        </w:rPr>
        <w:t xml:space="preserve"> </w:t>
      </w:r>
      <w:r w:rsidRPr="005427FA">
        <w:rPr>
          <w:rFonts w:ascii="Book Antiqua" w:hAnsi="Book Antiqua"/>
        </w:rPr>
        <w:t xml:space="preserve">Moreover, the re-absorption of NSAIDs in the distal small intestine is largely dependent on bacterial </w:t>
      </w:r>
      <w:r w:rsidRPr="005427FA">
        <w:rPr>
          <w:rFonts w:ascii="Book Antiqua" w:hAnsi="Book Antiqua" w:cs="Lucida Grande"/>
          <w:color w:val="000000"/>
        </w:rPr>
        <w:t>β</w:t>
      </w:r>
      <w:r w:rsidRPr="005427FA">
        <w:rPr>
          <w:rFonts w:ascii="Book Antiqua" w:hAnsi="Book Antiqua"/>
        </w:rPr>
        <w:t>-glucuronidase activity, which de-conjugates NSAID-glucuronides, allowing the NSAID to be transported across the epithelium</w:t>
      </w:r>
      <w:r w:rsidRPr="005427FA">
        <w:rPr>
          <w:rFonts w:ascii="Book Antiqua" w:hAnsi="Book Antiqua"/>
          <w:vertAlign w:val="superscript"/>
        </w:rPr>
        <w:t>[84]</w:t>
      </w:r>
      <w:r w:rsidRPr="005427FA">
        <w:rPr>
          <w:rFonts w:ascii="Book Antiqua" w:hAnsi="Book Antiqua"/>
        </w:rPr>
        <w:t>.</w:t>
      </w:r>
      <w:r>
        <w:rPr>
          <w:rFonts w:ascii="Book Antiqua" w:hAnsi="Book Antiqua"/>
        </w:rPr>
        <w:t xml:space="preserve"> </w:t>
      </w:r>
      <w:r w:rsidRPr="005427FA">
        <w:rPr>
          <w:rFonts w:ascii="Book Antiqua" w:hAnsi="Book Antiqua"/>
        </w:rPr>
        <w:t>Enterohepatic circulation of NSAIDs is negligible in animals that lack intestinal bacteria, resulting in decreased exposure of the intestine to the NSAID, and therefore decreased tissue injury.</w:t>
      </w:r>
      <w:r>
        <w:rPr>
          <w:rFonts w:ascii="Book Antiqua" w:hAnsi="Book Antiqua"/>
        </w:rPr>
        <w:t xml:space="preserve"> </w:t>
      </w:r>
      <w:r w:rsidRPr="005427FA">
        <w:rPr>
          <w:rFonts w:ascii="Book Antiqua" w:hAnsi="Book Antiqua"/>
        </w:rPr>
        <w:t xml:space="preserve">Recently, LoGuidice </w:t>
      </w:r>
      <w:r w:rsidRPr="001F075D">
        <w:rPr>
          <w:rFonts w:ascii="Book Antiqua" w:hAnsi="Book Antiqua"/>
          <w:i/>
        </w:rPr>
        <w:t>et al</w:t>
      </w:r>
      <w:r w:rsidRPr="005427FA">
        <w:rPr>
          <w:rFonts w:ascii="Book Antiqua" w:hAnsi="Book Antiqua"/>
          <w:vertAlign w:val="superscript"/>
        </w:rPr>
        <w:t>[85]</w:t>
      </w:r>
      <w:r w:rsidRPr="005427FA">
        <w:rPr>
          <w:rFonts w:ascii="Book Antiqua" w:hAnsi="Book Antiqua"/>
        </w:rPr>
        <w:t xml:space="preserve"> demonstrated that an inhibitor of bacterial </w:t>
      </w:r>
      <w:r w:rsidRPr="005427FA">
        <w:rPr>
          <w:rFonts w:ascii="Book Antiqua" w:hAnsi="Book Antiqua" w:cs="Lucida Grande"/>
          <w:color w:val="000000"/>
        </w:rPr>
        <w:t>β</w:t>
      </w:r>
      <w:r w:rsidRPr="005427FA">
        <w:rPr>
          <w:rFonts w:ascii="Book Antiqua" w:hAnsi="Book Antiqua"/>
        </w:rPr>
        <w:t>-glucuronidase could significantly reduce the severity of diclofenac-induced small intestinal injury in mice.</w:t>
      </w:r>
      <w:r>
        <w:rPr>
          <w:rFonts w:ascii="Book Antiqua" w:hAnsi="Book Antiqua"/>
        </w:rPr>
        <w:t xml:space="preserve"> </w:t>
      </w:r>
      <w:r w:rsidRPr="005427FA">
        <w:rPr>
          <w:rFonts w:ascii="Book Antiqua" w:hAnsi="Book Antiqua" w:cs="Lucida Grande"/>
          <w:color w:val="000000"/>
        </w:rPr>
        <w:t>β</w:t>
      </w:r>
      <w:r w:rsidRPr="005427FA">
        <w:rPr>
          <w:rFonts w:ascii="Book Antiqua" w:hAnsi="Book Antiqua"/>
        </w:rPr>
        <w:t xml:space="preserve">-glucuronidase has been shown to be expressed in </w:t>
      </w:r>
      <w:r w:rsidRPr="005427FA">
        <w:rPr>
          <w:rFonts w:ascii="Book Antiqua" w:hAnsi="Book Antiqua"/>
          <w:i/>
        </w:rPr>
        <w:t>Clostridium</w:t>
      </w:r>
      <w:r w:rsidRPr="005427FA">
        <w:rPr>
          <w:rFonts w:ascii="Book Antiqua" w:hAnsi="Book Antiqua"/>
        </w:rPr>
        <w:t xml:space="preserve">, </w:t>
      </w:r>
      <w:r w:rsidRPr="005427FA">
        <w:rPr>
          <w:rFonts w:ascii="Book Antiqua" w:hAnsi="Book Antiqua"/>
          <w:i/>
        </w:rPr>
        <w:t>Peptostreptococcus</w:t>
      </w:r>
      <w:r w:rsidRPr="005427FA">
        <w:rPr>
          <w:rFonts w:ascii="Book Antiqua" w:hAnsi="Book Antiqua"/>
        </w:rPr>
        <w:t xml:space="preserve">, </w:t>
      </w:r>
      <w:r w:rsidRPr="005427FA">
        <w:rPr>
          <w:rFonts w:ascii="Book Antiqua" w:hAnsi="Book Antiqua"/>
          <w:i/>
        </w:rPr>
        <w:t>Staphylococcus</w:t>
      </w:r>
      <w:r w:rsidRPr="005427FA">
        <w:rPr>
          <w:rFonts w:ascii="Book Antiqua" w:hAnsi="Book Antiqua"/>
        </w:rPr>
        <w:t xml:space="preserve"> and </w:t>
      </w:r>
      <w:r w:rsidRPr="005427FA">
        <w:rPr>
          <w:rFonts w:ascii="Book Antiqua" w:hAnsi="Book Antiqua"/>
          <w:i/>
        </w:rPr>
        <w:t>E. coli</w:t>
      </w:r>
      <w:r w:rsidRPr="005427FA">
        <w:rPr>
          <w:rFonts w:ascii="Book Antiqua" w:hAnsi="Book Antiqua"/>
        </w:rPr>
        <w:t xml:space="preserve"> </w:t>
      </w:r>
      <w:r w:rsidRPr="005427FA">
        <w:rPr>
          <w:rFonts w:ascii="Book Antiqua" w:hAnsi="Book Antiqua"/>
          <w:vertAlign w:val="superscript"/>
        </w:rPr>
        <w:t>[85,108]</w:t>
      </w:r>
      <w:r w:rsidRPr="005427FA">
        <w:rPr>
          <w:rFonts w:ascii="Book Antiqua" w:hAnsi="Book Antiqua"/>
        </w:rPr>
        <w:t>.</w:t>
      </w:r>
    </w:p>
    <w:p w:rsidR="002550C2" w:rsidRPr="00AE77F9" w:rsidRDefault="002550C2" w:rsidP="005427FA">
      <w:pPr>
        <w:spacing w:line="360" w:lineRule="auto"/>
        <w:jc w:val="both"/>
        <w:rPr>
          <w:rFonts w:ascii="Book Antiqua" w:eastAsia="宋体" w:hAnsi="Book Antiqua"/>
          <w:lang w:eastAsia="zh-CN"/>
        </w:rPr>
      </w:pPr>
    </w:p>
    <w:p w:rsidR="002550C2" w:rsidRPr="00B02229" w:rsidRDefault="002550C2" w:rsidP="005427FA">
      <w:pPr>
        <w:spacing w:line="360" w:lineRule="auto"/>
        <w:jc w:val="both"/>
        <w:rPr>
          <w:rFonts w:ascii="Book Antiqua" w:hAnsi="Book Antiqua"/>
          <w:b/>
        </w:rPr>
      </w:pPr>
      <w:r w:rsidRPr="00B02229">
        <w:rPr>
          <w:rFonts w:ascii="Book Antiqua" w:hAnsi="Book Antiqua"/>
          <w:b/>
        </w:rPr>
        <w:t>TREATING AND PREVENTING NSAID-ENTEROPATHY</w:t>
      </w:r>
    </w:p>
    <w:p w:rsidR="002550C2" w:rsidRPr="005427FA" w:rsidRDefault="002550C2" w:rsidP="00B02229">
      <w:pPr>
        <w:spacing w:line="360" w:lineRule="auto"/>
        <w:jc w:val="both"/>
        <w:rPr>
          <w:rFonts w:ascii="Book Antiqua" w:hAnsi="Book Antiqua"/>
        </w:rPr>
      </w:pPr>
      <w:r w:rsidRPr="005427FA">
        <w:rPr>
          <w:rFonts w:ascii="Book Antiqua" w:hAnsi="Book Antiqua"/>
        </w:rPr>
        <w:t>In sharp contrast to NSAID-induced gastroduodenal damage, where several options are available to provide protection to a patient, no treatments or prevention strategies for NSAID-enteropathy have been convincingly shown to be effective.</w:t>
      </w:r>
      <w:r>
        <w:rPr>
          <w:rFonts w:ascii="Book Antiqua" w:hAnsi="Book Antiqua"/>
        </w:rPr>
        <w:t xml:space="preserve"> </w:t>
      </w:r>
      <w:r w:rsidRPr="005427FA">
        <w:rPr>
          <w:rFonts w:ascii="Book Antiqua" w:hAnsi="Book Antiqua"/>
        </w:rPr>
        <w:t>As outlined above, PPIs provide upper GI protection against NSAIDs but worsen NSAID-enteropathy in animals, and there is emerging evidence that the same is the case in humans.</w:t>
      </w:r>
      <w:r>
        <w:rPr>
          <w:rFonts w:ascii="Book Antiqua" w:hAnsi="Book Antiqua"/>
        </w:rPr>
        <w:t xml:space="preserve"> </w:t>
      </w:r>
      <w:r w:rsidRPr="005427FA">
        <w:rPr>
          <w:rFonts w:ascii="Book Antiqua" w:hAnsi="Book Antiqua"/>
        </w:rPr>
        <w:t>There are novel NSAIDs in development that do not cause enteropathy in animals (discussed below).</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Misoprostol, metronidazole and sulfasalazine have all been suggested to be beneficial in treatment or prevention of NSAID-enteropathy in humans, but the studies suggesting this had significant limitations (open-label, not controlled, and/or small sample sizes)</w:t>
      </w:r>
      <w:r w:rsidRPr="005427FA">
        <w:rPr>
          <w:rFonts w:ascii="Book Antiqua" w:hAnsi="Book Antiqua"/>
          <w:vertAlign w:val="superscript"/>
        </w:rPr>
        <w:t>[22,24,109-111]</w:t>
      </w:r>
      <w:r w:rsidRPr="005427FA">
        <w:rPr>
          <w:rFonts w:ascii="Book Antiqua" w:hAnsi="Book Antiqua"/>
        </w:rPr>
        <w:t>.</w:t>
      </w:r>
      <w:r>
        <w:rPr>
          <w:rFonts w:ascii="Book Antiqua" w:hAnsi="Book Antiqua"/>
        </w:rPr>
        <w:t xml:space="preserve"> </w:t>
      </w:r>
      <w:r w:rsidRPr="005427FA">
        <w:rPr>
          <w:rFonts w:ascii="Book Antiqua" w:hAnsi="Book Antiqua"/>
        </w:rPr>
        <w:t>Misoprostol, H</w:t>
      </w:r>
      <w:r w:rsidRPr="005427FA">
        <w:rPr>
          <w:rFonts w:ascii="Book Antiqua" w:hAnsi="Book Antiqua"/>
          <w:vertAlign w:val="subscript"/>
        </w:rPr>
        <w:t>2</w:t>
      </w:r>
      <w:r w:rsidRPr="005427FA">
        <w:rPr>
          <w:rFonts w:ascii="Book Antiqua" w:hAnsi="Book Antiqua"/>
        </w:rPr>
        <w:t>RA and sucralfate were found to be ineffective in reducing NSAID-induced intestinal permeability in humans</w:t>
      </w:r>
      <w:r w:rsidRPr="005427FA">
        <w:rPr>
          <w:rFonts w:ascii="Book Antiqua" w:hAnsi="Book Antiqua"/>
          <w:vertAlign w:val="superscript"/>
        </w:rPr>
        <w:t>[112,113]</w:t>
      </w:r>
      <w:r w:rsidRPr="005427FA">
        <w:rPr>
          <w:rFonts w:ascii="Book Antiqua" w:hAnsi="Book Antiqua"/>
        </w:rPr>
        <w:t>, though in one, open-label study misoprostol reduced the elevated intestinal permeability induced by indomethacin</w:t>
      </w:r>
      <w:r w:rsidRPr="005427FA">
        <w:rPr>
          <w:rFonts w:ascii="Book Antiqua" w:hAnsi="Book Antiqua"/>
          <w:vertAlign w:val="superscript"/>
        </w:rPr>
        <w:t>[114]</w:t>
      </w:r>
      <w:r w:rsidRPr="005427FA">
        <w:rPr>
          <w:rFonts w:ascii="Book Antiqua" w:hAnsi="Book Antiqua"/>
        </w:rPr>
        <w:t>.</w:t>
      </w:r>
      <w:r>
        <w:rPr>
          <w:rFonts w:ascii="Book Antiqua" w:hAnsi="Book Antiqua"/>
        </w:rPr>
        <w:t xml:space="preserve"> </w:t>
      </w:r>
      <w:r w:rsidRPr="005427FA">
        <w:rPr>
          <w:rFonts w:ascii="Book Antiqua" w:hAnsi="Book Antiqua"/>
        </w:rPr>
        <w:t xml:space="preserve">Based on the animal data </w:t>
      </w:r>
      <w:r w:rsidRPr="005427FA">
        <w:rPr>
          <w:rFonts w:ascii="Book Antiqua" w:hAnsi="Book Antiqua"/>
        </w:rPr>
        <w:lastRenderedPageBreak/>
        <w:t>showing beneficial effects of metronidazole in reducing NSAID-enteropathy</w:t>
      </w:r>
      <w:r w:rsidRPr="005427FA">
        <w:rPr>
          <w:rFonts w:ascii="Book Antiqua" w:hAnsi="Book Antiqua"/>
          <w:vertAlign w:val="superscript"/>
        </w:rPr>
        <w:t>[99]</w:t>
      </w:r>
      <w:r w:rsidRPr="005427FA">
        <w:rPr>
          <w:rFonts w:ascii="Book Antiqua" w:hAnsi="Book Antiqua"/>
        </w:rPr>
        <w:t>,</w:t>
      </w:r>
      <w:r>
        <w:rPr>
          <w:rFonts w:ascii="Book Antiqua" w:hAnsi="Book Antiqua"/>
        </w:rPr>
        <w:t xml:space="preserve"> </w:t>
      </w:r>
      <w:r w:rsidRPr="005427FA">
        <w:rPr>
          <w:rFonts w:ascii="Book Antiqua" w:hAnsi="Book Antiqua"/>
        </w:rPr>
        <w:t xml:space="preserve">Bjarnason </w:t>
      </w:r>
      <w:r w:rsidRPr="001F075D">
        <w:rPr>
          <w:rFonts w:ascii="Book Antiqua" w:hAnsi="Book Antiqua"/>
          <w:i/>
        </w:rPr>
        <w:t>et al</w:t>
      </w:r>
      <w:r w:rsidRPr="005427FA">
        <w:rPr>
          <w:rFonts w:ascii="Book Antiqua" w:hAnsi="Book Antiqua"/>
          <w:vertAlign w:val="superscript"/>
        </w:rPr>
        <w:t>[24]</w:t>
      </w:r>
      <w:r w:rsidRPr="005427FA">
        <w:rPr>
          <w:rFonts w:ascii="Book Antiqua" w:hAnsi="Book Antiqua"/>
          <w:b/>
        </w:rPr>
        <w:t xml:space="preserve"> </w:t>
      </w:r>
      <w:r w:rsidRPr="005427FA">
        <w:rPr>
          <w:rFonts w:ascii="Book Antiqua" w:hAnsi="Book Antiqua"/>
        </w:rPr>
        <w:t>performed an open-label human study of chronic NSAID users.</w:t>
      </w:r>
      <w:r>
        <w:rPr>
          <w:rFonts w:ascii="Book Antiqua" w:hAnsi="Book Antiqua"/>
        </w:rPr>
        <w:t xml:space="preserve"> </w:t>
      </w:r>
      <w:r w:rsidRPr="005427FA">
        <w:rPr>
          <w:rFonts w:ascii="Book Antiqua" w:hAnsi="Book Antiqua"/>
        </w:rPr>
        <w:t xml:space="preserve">The patients took metronidazole for 2-12 </w:t>
      </w:r>
      <w:r>
        <w:rPr>
          <w:rFonts w:ascii="Book Antiqua" w:hAnsi="Book Antiqua"/>
        </w:rPr>
        <w:t>wk</w:t>
      </w:r>
      <w:r w:rsidRPr="005427FA">
        <w:rPr>
          <w:rFonts w:ascii="Book Antiqua" w:hAnsi="Book Antiqua"/>
        </w:rPr>
        <w:t xml:space="preserve"> while continuing their NSAID treatment.</w:t>
      </w:r>
      <w:r>
        <w:rPr>
          <w:rFonts w:ascii="Book Antiqua" w:hAnsi="Book Antiqua"/>
        </w:rPr>
        <w:t xml:space="preserve"> </w:t>
      </w:r>
      <w:r w:rsidRPr="005427FA">
        <w:rPr>
          <w:rFonts w:ascii="Book Antiqua" w:hAnsi="Book Antiqua"/>
        </w:rPr>
        <w:t xml:space="preserve">The endpoints were fecal excretion of </w:t>
      </w:r>
      <w:r w:rsidRPr="005427FA">
        <w:rPr>
          <w:rFonts w:ascii="Book Antiqua" w:hAnsi="Book Antiqua"/>
          <w:vertAlign w:val="superscript"/>
        </w:rPr>
        <w:t>51</w:t>
      </w:r>
      <w:r w:rsidRPr="005427FA">
        <w:rPr>
          <w:rFonts w:ascii="Book Antiqua" w:hAnsi="Book Antiqua"/>
        </w:rPr>
        <w:t xml:space="preserve">Cr-labeled erythrocytes and </w:t>
      </w:r>
      <w:r w:rsidRPr="005427FA">
        <w:rPr>
          <w:rFonts w:ascii="Book Antiqua" w:hAnsi="Book Antiqua"/>
          <w:vertAlign w:val="superscript"/>
        </w:rPr>
        <w:t>111</w:t>
      </w:r>
      <w:r w:rsidRPr="005427FA">
        <w:rPr>
          <w:rFonts w:ascii="Book Antiqua" w:hAnsi="Book Antiqua"/>
        </w:rPr>
        <w:t>In-labelled neutrophils.</w:t>
      </w:r>
      <w:r>
        <w:rPr>
          <w:rFonts w:ascii="Book Antiqua" w:hAnsi="Book Antiqua"/>
        </w:rPr>
        <w:t xml:space="preserve"> </w:t>
      </w:r>
      <w:r w:rsidRPr="005427FA">
        <w:rPr>
          <w:rFonts w:ascii="Book Antiqua" w:hAnsi="Book Antiqua"/>
        </w:rPr>
        <w:t>Both markers declined significantly during metronidazole treatment, leading the authors to conclude that “these results suggest that the neutrophil is the main damaging effector cell in NSAID induced enteropathy” and that the main chemoattractant “may be a metronidazole sensitive microbe”.</w:t>
      </w:r>
    </w:p>
    <w:p w:rsidR="002550C2" w:rsidRPr="005427FA" w:rsidRDefault="002550C2" w:rsidP="005427FA">
      <w:pPr>
        <w:spacing w:line="360" w:lineRule="auto"/>
        <w:jc w:val="both"/>
        <w:rPr>
          <w:rFonts w:ascii="Book Antiqua" w:hAnsi="Book Antiqua"/>
        </w:rPr>
      </w:pPr>
      <w:r w:rsidRPr="005427FA">
        <w:rPr>
          <w:rFonts w:ascii="Book Antiqua" w:hAnsi="Book Antiqua"/>
        </w:rPr>
        <w:tab/>
        <w:t>The observations from animal studies that NSAID-enteropathy was accompanied by dramatic shifts in numbers and types of intestinal bacteria led to a number of studies of the potential value of probiotics for treatment or prevention of NSAID-enteropathy.</w:t>
      </w:r>
      <w:r>
        <w:rPr>
          <w:rFonts w:ascii="Book Antiqua" w:hAnsi="Book Antiqua"/>
        </w:rPr>
        <w:t xml:space="preserve"> </w:t>
      </w:r>
      <w:r w:rsidRPr="005427FA">
        <w:rPr>
          <w:rFonts w:ascii="Book Antiqua" w:hAnsi="Book Antiqua"/>
        </w:rPr>
        <w:t xml:space="preserve">In studies in rats, Kinouchi </w:t>
      </w:r>
      <w:r w:rsidRPr="001F075D">
        <w:rPr>
          <w:rFonts w:ascii="Book Antiqua" w:hAnsi="Book Antiqua"/>
          <w:i/>
        </w:rPr>
        <w:t>et al</w:t>
      </w:r>
      <w:r w:rsidRPr="005427FA">
        <w:rPr>
          <w:rFonts w:ascii="Book Antiqua" w:hAnsi="Book Antiqua"/>
          <w:vertAlign w:val="superscript"/>
        </w:rPr>
        <w:t>[95]</w:t>
      </w:r>
      <w:r>
        <w:rPr>
          <w:rFonts w:ascii="Book Antiqua" w:eastAsia="宋体" w:hAnsi="Book Antiqua"/>
          <w:vertAlign w:val="superscript"/>
          <w:lang w:eastAsia="zh-CN"/>
        </w:rPr>
        <w:t xml:space="preserve"> </w:t>
      </w:r>
      <w:r w:rsidRPr="005427FA">
        <w:rPr>
          <w:rFonts w:ascii="Book Antiqua" w:hAnsi="Book Antiqua"/>
        </w:rPr>
        <w:t xml:space="preserve">demonstrated that </w:t>
      </w:r>
      <w:r w:rsidRPr="005427FA">
        <w:rPr>
          <w:rFonts w:ascii="Book Antiqua" w:hAnsi="Book Antiqua"/>
          <w:i/>
        </w:rPr>
        <w:t>Lactobacillus acidophilus</w:t>
      </w:r>
      <w:r w:rsidRPr="005427FA">
        <w:rPr>
          <w:rFonts w:ascii="Book Antiqua" w:hAnsi="Book Antiqua"/>
        </w:rPr>
        <w:t xml:space="preserve"> and </w:t>
      </w:r>
      <w:r w:rsidRPr="005427FA">
        <w:rPr>
          <w:rFonts w:ascii="Book Antiqua" w:hAnsi="Book Antiqua"/>
          <w:i/>
        </w:rPr>
        <w:t>Bifidobacteria adolescentis</w:t>
      </w:r>
      <w:r w:rsidRPr="005427FA">
        <w:rPr>
          <w:rFonts w:ascii="Book Antiqua" w:hAnsi="Book Antiqua"/>
        </w:rPr>
        <w:t xml:space="preserve"> administration markedly reduced the severity of NSAID-induced ileal ulceration.</w:t>
      </w:r>
      <w:r>
        <w:rPr>
          <w:rFonts w:ascii="Book Antiqua" w:hAnsi="Book Antiqua"/>
        </w:rPr>
        <w:t xml:space="preserve"> </w:t>
      </w:r>
      <w:r w:rsidRPr="005427FA">
        <w:rPr>
          <w:rFonts w:ascii="Book Antiqua" w:hAnsi="Book Antiqua"/>
        </w:rPr>
        <w:t xml:space="preserve">Syer </w:t>
      </w:r>
      <w:r w:rsidRPr="001F075D">
        <w:rPr>
          <w:rFonts w:ascii="Book Antiqua" w:hAnsi="Book Antiqua"/>
          <w:i/>
        </w:rPr>
        <w:t>et al</w:t>
      </w:r>
      <w:r w:rsidRPr="005427FA">
        <w:rPr>
          <w:rFonts w:ascii="Book Antiqua" w:hAnsi="Book Antiqua"/>
          <w:vertAlign w:val="superscript"/>
        </w:rPr>
        <w:t>[96]</w:t>
      </w:r>
      <w:r w:rsidRPr="005427FA">
        <w:rPr>
          <w:rFonts w:ascii="Book Antiqua" w:hAnsi="Book Antiqua"/>
        </w:rPr>
        <w:t xml:space="preserve"> also showed a marked protective effect of </w:t>
      </w:r>
      <w:r w:rsidRPr="005427FA">
        <w:rPr>
          <w:rFonts w:ascii="Book Antiqua" w:hAnsi="Book Antiqua"/>
          <w:i/>
        </w:rPr>
        <w:t>Bifidobacteria adolescentis</w:t>
      </w:r>
      <w:r w:rsidRPr="005427FA">
        <w:rPr>
          <w:rFonts w:ascii="Book Antiqua" w:hAnsi="Book Antiqua"/>
        </w:rPr>
        <w:t xml:space="preserve"> in a rat model of NSAID-enteropathy.</w:t>
      </w:r>
      <w:r>
        <w:rPr>
          <w:rFonts w:ascii="Book Antiqua" w:hAnsi="Book Antiqua"/>
        </w:rPr>
        <w:t xml:space="preserve"> </w:t>
      </w:r>
      <w:r w:rsidRPr="005427FA">
        <w:rPr>
          <w:rFonts w:ascii="Book Antiqua" w:hAnsi="Book Antiqua"/>
        </w:rPr>
        <w:t>Only two clinical trials of a probiotic for NSAID-enteropathy have been reported to date.</w:t>
      </w:r>
      <w:r>
        <w:rPr>
          <w:rFonts w:ascii="Book Antiqua" w:hAnsi="Book Antiqua"/>
        </w:rPr>
        <w:t xml:space="preserve"> </w:t>
      </w:r>
      <w:r w:rsidRPr="005427FA">
        <w:rPr>
          <w:rFonts w:ascii="Book Antiqua" w:hAnsi="Book Antiqua"/>
        </w:rPr>
        <w:t xml:space="preserve">Montalto </w:t>
      </w:r>
      <w:r w:rsidRPr="001F075D">
        <w:rPr>
          <w:rFonts w:ascii="Book Antiqua" w:hAnsi="Book Antiqua"/>
          <w:i/>
        </w:rPr>
        <w:t>et al</w:t>
      </w:r>
      <w:r w:rsidRPr="005427FA">
        <w:rPr>
          <w:rFonts w:ascii="Book Antiqua" w:hAnsi="Book Antiqua"/>
          <w:vertAlign w:val="superscript"/>
        </w:rPr>
        <w:t>[115]</w:t>
      </w:r>
      <w:r>
        <w:rPr>
          <w:rFonts w:ascii="Book Antiqua" w:eastAsia="宋体" w:hAnsi="Book Antiqua"/>
          <w:vertAlign w:val="superscript"/>
          <w:lang w:eastAsia="zh-CN"/>
        </w:rPr>
        <w:t xml:space="preserve"> </w:t>
      </w:r>
      <w:r w:rsidRPr="005427FA">
        <w:rPr>
          <w:rFonts w:ascii="Book Antiqua" w:hAnsi="Book Antiqua"/>
        </w:rPr>
        <w:t>performed a randomized, double-bind, placebo-controlled trial of VSL#3, a probiotic formulation consisting of 8 different live bacteria.</w:t>
      </w:r>
      <w:r>
        <w:rPr>
          <w:rFonts w:ascii="Book Antiqua" w:hAnsi="Book Antiqua"/>
        </w:rPr>
        <w:t xml:space="preserve"> </w:t>
      </w:r>
      <w:r w:rsidRPr="005427FA">
        <w:rPr>
          <w:rFonts w:ascii="Book Antiqua" w:hAnsi="Book Antiqua"/>
        </w:rPr>
        <w:t xml:space="preserve">Volunteers received indomethacin daily for 4 </w:t>
      </w:r>
      <w:r>
        <w:rPr>
          <w:rFonts w:ascii="Book Antiqua" w:hAnsi="Book Antiqua"/>
        </w:rPr>
        <w:t>d</w:t>
      </w:r>
      <w:r w:rsidRPr="005427FA">
        <w:rPr>
          <w:rFonts w:ascii="Book Antiqua" w:hAnsi="Book Antiqua"/>
        </w:rPr>
        <w:t>, and fecal calprotectin levels were the endpoint.</w:t>
      </w:r>
      <w:r>
        <w:rPr>
          <w:rFonts w:ascii="Book Antiqua" w:hAnsi="Book Antiqua"/>
        </w:rPr>
        <w:t xml:space="preserve"> </w:t>
      </w:r>
      <w:r w:rsidRPr="005427FA">
        <w:rPr>
          <w:rFonts w:ascii="Book Antiqua" w:hAnsi="Book Antiqua"/>
        </w:rPr>
        <w:t>The placebo-treated volunteers exhibited markedly elevated fecal calprotectin levels during the period of indomethacin treatment, while during treatment with VSL#3 the fecal calprotectin levels remained within the normal range.</w:t>
      </w:r>
      <w:r>
        <w:rPr>
          <w:rFonts w:ascii="Book Antiqua" w:hAnsi="Book Antiqua"/>
        </w:rPr>
        <w:t xml:space="preserve"> </w:t>
      </w:r>
      <w:r w:rsidRPr="005427FA">
        <w:rPr>
          <w:rFonts w:ascii="Book Antiqua" w:hAnsi="Book Antiqua"/>
        </w:rPr>
        <w:t xml:space="preserve">In a study by Endo </w:t>
      </w:r>
      <w:r w:rsidRPr="001F075D">
        <w:rPr>
          <w:rFonts w:ascii="Book Antiqua" w:hAnsi="Book Antiqua"/>
          <w:i/>
        </w:rPr>
        <w:t>et al</w:t>
      </w:r>
      <w:r w:rsidRPr="005427FA">
        <w:rPr>
          <w:rFonts w:ascii="Book Antiqua" w:hAnsi="Book Antiqua"/>
          <w:vertAlign w:val="superscript"/>
        </w:rPr>
        <w:t>[116]</w:t>
      </w:r>
      <w:r w:rsidRPr="005427FA">
        <w:rPr>
          <w:rFonts w:ascii="Book Antiqua" w:hAnsi="Book Antiqua"/>
        </w:rPr>
        <w:t xml:space="preserve">, 25 patients with unexplained iron deficiency anemia who had been taking low-dose enteric-coated aspirin plus omeprazole for more than 3 </w:t>
      </w:r>
      <w:r>
        <w:rPr>
          <w:rFonts w:ascii="Book Antiqua" w:hAnsi="Book Antiqua"/>
        </w:rPr>
        <w:t>mo</w:t>
      </w:r>
      <w:r w:rsidRPr="005427FA">
        <w:rPr>
          <w:rFonts w:ascii="Book Antiqua" w:hAnsi="Book Antiqua"/>
        </w:rPr>
        <w:t xml:space="preserve"> were given either </w:t>
      </w:r>
      <w:r w:rsidRPr="005427FA">
        <w:rPr>
          <w:rFonts w:ascii="Book Antiqua" w:hAnsi="Book Antiqua"/>
          <w:i/>
        </w:rPr>
        <w:t>Lactobacillus casei</w:t>
      </w:r>
      <w:r w:rsidRPr="005427FA">
        <w:rPr>
          <w:rFonts w:ascii="Book Antiqua" w:hAnsi="Book Antiqua"/>
        </w:rPr>
        <w:t xml:space="preserve"> or placebo for 3 </w:t>
      </w:r>
      <w:r>
        <w:rPr>
          <w:rFonts w:ascii="Book Antiqua" w:hAnsi="Book Antiqua"/>
        </w:rPr>
        <w:t>mo</w:t>
      </w:r>
      <w:r w:rsidRPr="005427FA">
        <w:rPr>
          <w:rFonts w:ascii="Book Antiqua" w:hAnsi="Book Antiqua"/>
        </w:rPr>
        <w:t xml:space="preserve"> while continuing the aspirin and omeprazole therapy.</w:t>
      </w:r>
      <w:r>
        <w:rPr>
          <w:rFonts w:ascii="Book Antiqua" w:hAnsi="Book Antiqua"/>
        </w:rPr>
        <w:t xml:space="preserve"> </w:t>
      </w:r>
      <w:r w:rsidRPr="005427FA">
        <w:rPr>
          <w:rFonts w:ascii="Book Antiqua" w:hAnsi="Book Antiqua"/>
        </w:rPr>
        <w:t xml:space="preserve">VCE at the end of the treatment period showed a significant reduction of mucosal breaks and </w:t>
      </w:r>
      <w:r>
        <w:rPr>
          <w:rFonts w:ascii="Book Antiqua" w:eastAsia="宋体" w:hAnsi="Book Antiqua"/>
          <w:lang w:eastAsia="zh-CN"/>
        </w:rPr>
        <w:t>“</w:t>
      </w:r>
      <w:r w:rsidRPr="005427FA">
        <w:rPr>
          <w:rFonts w:ascii="Book Antiqua" w:hAnsi="Book Antiqua"/>
        </w:rPr>
        <w:t>capsule endoscopy score</w:t>
      </w:r>
      <w:r>
        <w:rPr>
          <w:rFonts w:ascii="Book Antiqua" w:eastAsia="宋体" w:hAnsi="Book Antiqua"/>
          <w:lang w:eastAsia="zh-CN"/>
        </w:rPr>
        <w:t>”</w:t>
      </w:r>
      <w:r w:rsidRPr="005427FA">
        <w:rPr>
          <w:rFonts w:ascii="Book Antiqua" w:hAnsi="Book Antiqua"/>
        </w:rPr>
        <w:t xml:space="preserve"> in the </w:t>
      </w:r>
      <w:r w:rsidRPr="005427FA">
        <w:rPr>
          <w:rFonts w:ascii="Book Antiqua" w:hAnsi="Book Antiqua"/>
        </w:rPr>
        <w:lastRenderedPageBreak/>
        <w:t xml:space="preserve">group receiving </w:t>
      </w:r>
      <w:r w:rsidRPr="005427FA">
        <w:rPr>
          <w:rFonts w:ascii="Book Antiqua" w:hAnsi="Book Antiqua"/>
          <w:i/>
        </w:rPr>
        <w:t>L. casei</w:t>
      </w:r>
      <w:r w:rsidRPr="005427FA">
        <w:rPr>
          <w:rFonts w:ascii="Book Antiqua" w:hAnsi="Book Antiqua"/>
        </w:rPr>
        <w:t>.</w:t>
      </w:r>
      <w:r>
        <w:rPr>
          <w:rFonts w:ascii="Book Antiqua" w:hAnsi="Book Antiqua"/>
        </w:rPr>
        <w:t xml:space="preserve"> </w:t>
      </w:r>
      <w:r w:rsidRPr="005427FA">
        <w:rPr>
          <w:rFonts w:ascii="Book Antiqua" w:hAnsi="Book Antiqua"/>
        </w:rPr>
        <w:t xml:space="preserve">The results of this small clinical study are consistent with a study of </w:t>
      </w:r>
      <w:r w:rsidRPr="005427FA">
        <w:rPr>
          <w:rFonts w:ascii="Book Antiqua" w:hAnsi="Book Antiqua"/>
          <w:i/>
        </w:rPr>
        <w:t>L. casei</w:t>
      </w:r>
      <w:r w:rsidRPr="005427FA">
        <w:rPr>
          <w:rFonts w:ascii="Book Antiqua" w:hAnsi="Book Antiqua"/>
        </w:rPr>
        <w:t xml:space="preserve"> (strain Shirota) in a rat model of indomethacin-induced enteropathy</w:t>
      </w:r>
      <w:r w:rsidRPr="005427FA">
        <w:rPr>
          <w:rFonts w:ascii="Book Antiqua" w:hAnsi="Book Antiqua"/>
          <w:vertAlign w:val="superscript"/>
        </w:rPr>
        <w:t>[117]</w:t>
      </w:r>
      <w:r w:rsidRPr="005427FA">
        <w:rPr>
          <w:rFonts w:ascii="Book Antiqua" w:hAnsi="Book Antiqua"/>
        </w:rPr>
        <w:t>.</w:t>
      </w:r>
    </w:p>
    <w:p w:rsidR="002550C2" w:rsidRPr="005427FA" w:rsidRDefault="002550C2" w:rsidP="005427FA">
      <w:pPr>
        <w:spacing w:line="360" w:lineRule="auto"/>
        <w:jc w:val="both"/>
        <w:rPr>
          <w:rFonts w:ascii="Book Antiqua" w:hAnsi="Book Antiqua"/>
        </w:rPr>
      </w:pPr>
      <w:r w:rsidRPr="005427FA">
        <w:rPr>
          <w:rFonts w:ascii="Book Antiqua" w:hAnsi="Book Antiqua"/>
          <w:b/>
        </w:rPr>
        <w:tab/>
      </w:r>
      <w:r w:rsidRPr="005427FA">
        <w:rPr>
          <w:rFonts w:ascii="Book Antiqua" w:hAnsi="Book Antiqua"/>
        </w:rPr>
        <w:t>Lactoferrin</w:t>
      </w:r>
      <w:r w:rsidRPr="005427FA">
        <w:rPr>
          <w:rFonts w:ascii="Book Antiqua" w:hAnsi="Book Antiqua"/>
          <w:b/>
        </w:rPr>
        <w:t xml:space="preserve"> </w:t>
      </w:r>
      <w:r w:rsidRPr="005427FA">
        <w:rPr>
          <w:rFonts w:ascii="Book Antiqua" w:hAnsi="Book Antiqua"/>
        </w:rPr>
        <w:t>has been shown to prevent NSAID-induced bleeding in rodents</w:t>
      </w:r>
      <w:r w:rsidRPr="005427FA">
        <w:rPr>
          <w:rFonts w:ascii="Book Antiqua" w:hAnsi="Book Antiqua"/>
          <w:vertAlign w:val="superscript"/>
        </w:rPr>
        <w:t xml:space="preserve">[118] </w:t>
      </w:r>
      <w:r w:rsidRPr="005427FA">
        <w:rPr>
          <w:rFonts w:ascii="Book Antiqua" w:hAnsi="Book Antiqua"/>
        </w:rPr>
        <w:t xml:space="preserve">and this effect may be related to its ability to promote the growth of </w:t>
      </w:r>
      <w:r w:rsidRPr="005427FA">
        <w:rPr>
          <w:rFonts w:ascii="Book Antiqua" w:hAnsi="Book Antiqua"/>
          <w:i/>
        </w:rPr>
        <w:t xml:space="preserve">Bifidobacteria </w:t>
      </w:r>
      <w:r w:rsidRPr="005427FA">
        <w:rPr>
          <w:rFonts w:ascii="Book Antiqua" w:hAnsi="Book Antiqua"/>
        </w:rPr>
        <w:t>in the small intestine</w:t>
      </w:r>
      <w:r w:rsidRPr="005427FA">
        <w:rPr>
          <w:rFonts w:ascii="Book Antiqua" w:hAnsi="Book Antiqua"/>
          <w:vertAlign w:val="superscript"/>
        </w:rPr>
        <w:t>[119]</w:t>
      </w:r>
      <w:r w:rsidRPr="005427FA">
        <w:rPr>
          <w:rFonts w:ascii="Book Antiqua" w:hAnsi="Book Antiqua"/>
        </w:rPr>
        <w:t>. Oral treatment of healthy volunteers with recombinant lactoferrin was shown to reduce indomethacin-induced changes in small intestinal permeability</w:t>
      </w:r>
      <w:r w:rsidRPr="005427FA">
        <w:rPr>
          <w:rFonts w:ascii="Book Antiqua" w:hAnsi="Book Antiqua"/>
          <w:vertAlign w:val="superscript"/>
        </w:rPr>
        <w:t>[120]</w:t>
      </w:r>
      <w:r w:rsidRPr="005427FA">
        <w:rPr>
          <w:rFonts w:ascii="Book Antiqua" w:hAnsi="Book Antiqua"/>
        </w:rPr>
        <w:t>.</w:t>
      </w:r>
      <w:r>
        <w:rPr>
          <w:rFonts w:ascii="Book Antiqua" w:hAnsi="Book Antiqua"/>
        </w:rPr>
        <w:t xml:space="preserve"> </w:t>
      </w:r>
      <w:r w:rsidRPr="005427FA">
        <w:rPr>
          <w:rFonts w:ascii="Book Antiqua" w:hAnsi="Book Antiqua"/>
        </w:rPr>
        <w:t>However, in this short-term study, only a very modest increase in intestinal permeability was seen, with only a single administration of lactoferrin that would have been unlikely to have significantly affected the intestinal microbiome.</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Rebamipide is a quinolinone derivative that is used to promote the healing of GI ulcers and for mucosal protection.</w:t>
      </w:r>
      <w:r>
        <w:rPr>
          <w:rFonts w:ascii="Book Antiqua" w:hAnsi="Book Antiqua"/>
        </w:rPr>
        <w:t xml:space="preserve"> </w:t>
      </w:r>
      <w:r w:rsidRPr="005427FA">
        <w:rPr>
          <w:rFonts w:ascii="Book Antiqua" w:hAnsi="Book Antiqua"/>
        </w:rPr>
        <w:t>Its mechanism of action is not fully understood, though it appears to stimulate mucus secretion and PG synthesis</w:t>
      </w:r>
      <w:r w:rsidRPr="005427FA">
        <w:rPr>
          <w:rFonts w:ascii="Book Antiqua" w:hAnsi="Book Antiqua"/>
          <w:vertAlign w:val="superscript"/>
        </w:rPr>
        <w:t>[121]</w:t>
      </w:r>
      <w:r w:rsidRPr="005427FA">
        <w:rPr>
          <w:rFonts w:ascii="Book Antiqua" w:hAnsi="Book Antiqua"/>
        </w:rPr>
        <w:t xml:space="preserve"> and to scavenge oxygen-derived free radicals</w:t>
      </w:r>
      <w:r w:rsidRPr="005427FA">
        <w:rPr>
          <w:rFonts w:ascii="Book Antiqua" w:hAnsi="Book Antiqua"/>
          <w:vertAlign w:val="superscript"/>
        </w:rPr>
        <w:t>[6]</w:t>
      </w:r>
      <w:r w:rsidRPr="005427FA">
        <w:rPr>
          <w:rFonts w:ascii="Book Antiqua" w:hAnsi="Book Antiqua"/>
        </w:rPr>
        <w:t>.</w:t>
      </w:r>
      <w:r>
        <w:rPr>
          <w:rFonts w:ascii="Book Antiqua" w:hAnsi="Book Antiqua"/>
        </w:rPr>
        <w:t xml:space="preserve"> </w:t>
      </w:r>
      <w:r w:rsidRPr="005427FA">
        <w:rPr>
          <w:rFonts w:ascii="Book Antiqua" w:hAnsi="Book Antiqua"/>
        </w:rPr>
        <w:t>It has been shown to significantly reduce the severity of NSAID-induced enteropathy in rats</w:t>
      </w:r>
      <w:r w:rsidRPr="005427FA">
        <w:rPr>
          <w:rFonts w:ascii="Book Antiqua" w:hAnsi="Book Antiqua"/>
          <w:vertAlign w:val="superscript"/>
        </w:rPr>
        <w:t>[122]</w:t>
      </w:r>
      <w:r w:rsidRPr="005427FA">
        <w:rPr>
          <w:rFonts w:ascii="Book Antiqua" w:hAnsi="Book Antiqua"/>
        </w:rPr>
        <w:t>.</w:t>
      </w:r>
      <w:r>
        <w:rPr>
          <w:rFonts w:ascii="Book Antiqua" w:hAnsi="Book Antiqua"/>
        </w:rPr>
        <w:t xml:space="preserve"> </w:t>
      </w:r>
      <w:r w:rsidRPr="005427FA">
        <w:rPr>
          <w:rFonts w:ascii="Book Antiqua" w:hAnsi="Book Antiqua"/>
        </w:rPr>
        <w:t xml:space="preserve">Niwa </w:t>
      </w:r>
      <w:r w:rsidRPr="001F075D">
        <w:rPr>
          <w:rFonts w:ascii="Book Antiqua" w:hAnsi="Book Antiqua"/>
          <w:i/>
        </w:rPr>
        <w:t>et al</w:t>
      </w:r>
      <w:r w:rsidRPr="005427FA">
        <w:rPr>
          <w:rFonts w:ascii="Book Antiqua" w:hAnsi="Book Antiqua"/>
          <w:vertAlign w:val="superscript"/>
        </w:rPr>
        <w:t>[123]</w:t>
      </w:r>
      <w:r w:rsidRPr="005427FA">
        <w:rPr>
          <w:rFonts w:ascii="Book Antiqua" w:hAnsi="Book Antiqua"/>
        </w:rPr>
        <w:t xml:space="preserve"> performed a pilot study in healthy humans to examine the effectiveness of rebamipride in preventing NSAID-enteropathy.</w:t>
      </w:r>
      <w:r>
        <w:rPr>
          <w:rFonts w:ascii="Book Antiqua" w:hAnsi="Book Antiqua"/>
        </w:rPr>
        <w:t xml:space="preserve"> </w:t>
      </w:r>
      <w:r w:rsidRPr="005427FA">
        <w:rPr>
          <w:rFonts w:ascii="Book Antiqua" w:hAnsi="Book Antiqua"/>
        </w:rPr>
        <w:t xml:space="preserve">The volunteers received placebo or rebamipride together with diclofenac for 7 </w:t>
      </w:r>
      <w:r>
        <w:rPr>
          <w:rFonts w:ascii="Book Antiqua" w:hAnsi="Book Antiqua"/>
        </w:rPr>
        <w:t>d</w:t>
      </w:r>
      <w:r w:rsidRPr="005427FA">
        <w:rPr>
          <w:rFonts w:ascii="Book Antiqua" w:hAnsi="Book Antiqua"/>
        </w:rPr>
        <w:t>.</w:t>
      </w:r>
      <w:r>
        <w:rPr>
          <w:rFonts w:ascii="Book Antiqua" w:hAnsi="Book Antiqua"/>
        </w:rPr>
        <w:t xml:space="preserve"> </w:t>
      </w:r>
      <w:r w:rsidRPr="005427FA">
        <w:rPr>
          <w:rFonts w:ascii="Book Antiqua" w:hAnsi="Book Antiqua"/>
        </w:rPr>
        <w:t>The small intestine was examined at the end of the study by VCE.</w:t>
      </w:r>
      <w:r>
        <w:rPr>
          <w:rFonts w:ascii="Book Antiqua" w:hAnsi="Book Antiqua"/>
        </w:rPr>
        <w:t xml:space="preserve"> </w:t>
      </w:r>
      <w:r w:rsidRPr="005427FA">
        <w:rPr>
          <w:rFonts w:ascii="Book Antiqua" w:hAnsi="Book Antiqua"/>
        </w:rPr>
        <w:t>Damage was observed in 8 of the 10 of placebo-treated group (2 ulcers, 1 bleed), but in only 2 of the 10 of rebamipide-treated group (no ulcers or bleeding).</w:t>
      </w:r>
      <w:r>
        <w:rPr>
          <w:rFonts w:ascii="Book Antiqua" w:hAnsi="Book Antiqua"/>
        </w:rPr>
        <w:t xml:space="preserve"> </w:t>
      </w:r>
      <w:r w:rsidRPr="005427FA">
        <w:rPr>
          <w:rFonts w:ascii="Book Antiqua" w:hAnsi="Book Antiqua"/>
        </w:rPr>
        <w:t xml:space="preserve">However, a larger study of healthy volunteers treated for 14 </w:t>
      </w:r>
      <w:r>
        <w:rPr>
          <w:rFonts w:ascii="Book Antiqua" w:hAnsi="Book Antiqua"/>
        </w:rPr>
        <w:t>d</w:t>
      </w:r>
      <w:r w:rsidRPr="005427FA">
        <w:rPr>
          <w:rFonts w:ascii="Book Antiqua" w:hAnsi="Book Antiqua"/>
        </w:rPr>
        <w:t xml:space="preserve"> with an NSAID (diclofenac), a PPI (omeprazole) and either rebamipide or placebo, failed to a detect a significant benefit of rebamipide in terms of reducing the incidence of intestinal mucosal injury</w:t>
      </w:r>
      <w:r w:rsidRPr="005427FA">
        <w:rPr>
          <w:rFonts w:ascii="Book Antiqua" w:hAnsi="Book Antiqua"/>
          <w:vertAlign w:val="superscript"/>
        </w:rPr>
        <w:t>[124]</w:t>
      </w:r>
      <w:r w:rsidRPr="005427FA">
        <w:rPr>
          <w:rFonts w:ascii="Book Antiqua" w:hAnsi="Book Antiqua"/>
        </w:rPr>
        <w:t>.</w:t>
      </w:r>
      <w:r>
        <w:rPr>
          <w:rFonts w:ascii="Book Antiqua" w:hAnsi="Book Antiqua"/>
        </w:rPr>
        <w:t xml:space="preserve"> </w:t>
      </w:r>
      <w:r w:rsidRPr="005427FA">
        <w:rPr>
          <w:rFonts w:ascii="Book Antiqua" w:hAnsi="Book Antiqua"/>
        </w:rPr>
        <w:t>Larger studies of rebamipide, ideally in patients receiving NSAID therapy for an inflammatory disorder, are needed to clarify if this drug will have benefit in reducing the incidence and/or severity of NSAID-enteropathy.</w:t>
      </w:r>
    </w:p>
    <w:p w:rsidR="002550C2" w:rsidRPr="005427FA" w:rsidRDefault="002550C2" w:rsidP="005427FA">
      <w:pPr>
        <w:spacing w:line="360" w:lineRule="auto"/>
        <w:jc w:val="both"/>
        <w:rPr>
          <w:rFonts w:ascii="Book Antiqua" w:hAnsi="Book Antiqua"/>
        </w:rPr>
      </w:pPr>
      <w:r w:rsidRPr="005427FA">
        <w:rPr>
          <w:rFonts w:ascii="Book Antiqua" w:hAnsi="Book Antiqua"/>
        </w:rPr>
        <w:lastRenderedPageBreak/>
        <w:tab/>
        <w:t>Studies in animal models have suggested other possible approaches to prevention of NSAID-enteropathy, but have not yet been assessed in humans.</w:t>
      </w:r>
      <w:r>
        <w:rPr>
          <w:rFonts w:ascii="Book Antiqua" w:hAnsi="Book Antiqua"/>
        </w:rPr>
        <w:t xml:space="preserve"> </w:t>
      </w:r>
      <w:r w:rsidRPr="005427FA">
        <w:rPr>
          <w:rFonts w:ascii="Book Antiqua" w:hAnsi="Book Antiqua"/>
        </w:rPr>
        <w:t xml:space="preserve">For example, in a mouse model of acute indomethacin-induced intestinal damage, Yasuda </w:t>
      </w:r>
      <w:r w:rsidRPr="001F075D">
        <w:rPr>
          <w:rFonts w:ascii="Book Antiqua" w:hAnsi="Book Antiqua"/>
          <w:i/>
        </w:rPr>
        <w:t>et al</w:t>
      </w:r>
      <w:r w:rsidRPr="005427FA">
        <w:rPr>
          <w:rFonts w:ascii="Book Antiqua" w:hAnsi="Book Antiqua"/>
          <w:vertAlign w:val="superscript"/>
        </w:rPr>
        <w:t>[125]</w:t>
      </w:r>
      <w:r w:rsidRPr="005427FA">
        <w:rPr>
          <w:rFonts w:ascii="Book Antiqua" w:hAnsi="Book Antiqua"/>
        </w:rPr>
        <w:t xml:space="preserve"> found that dopamine D2 receptor antagonists reduced the severity of damage, and these effects were mediated through the activation of endogenous anti-inflammatory pathways mediated by </w:t>
      </w:r>
      <w:r w:rsidRPr="001F075D">
        <w:rPr>
          <w:rFonts w:ascii="Book Antiqua" w:hAnsi="Book Antiqua"/>
          <w:i/>
        </w:rPr>
        <w:t>via</w:t>
      </w:r>
      <w:r w:rsidRPr="005427FA">
        <w:rPr>
          <w:rFonts w:ascii="Book Antiqua" w:hAnsi="Book Antiqua"/>
        </w:rPr>
        <w:t xml:space="preserve"> α7-nicotinic acetylcholine receptors, as had been observed previously</w:t>
      </w:r>
      <w:r w:rsidRPr="005427FA">
        <w:rPr>
          <w:rFonts w:ascii="Book Antiqua" w:hAnsi="Book Antiqua"/>
          <w:vertAlign w:val="superscript"/>
        </w:rPr>
        <w:t>[126]</w:t>
      </w:r>
      <w:r w:rsidRPr="005427FA">
        <w:rPr>
          <w:rFonts w:ascii="Book Antiqua" w:hAnsi="Book Antiqua"/>
        </w:rPr>
        <w:t>.</w:t>
      </w:r>
      <w:r>
        <w:rPr>
          <w:rFonts w:ascii="Book Antiqua" w:hAnsi="Book Antiqua"/>
        </w:rPr>
        <w:t xml:space="preserve"> </w:t>
      </w:r>
      <w:r w:rsidRPr="005427FA">
        <w:rPr>
          <w:rFonts w:ascii="Book Antiqua" w:hAnsi="Book Antiqua"/>
        </w:rPr>
        <w:t xml:space="preserve">Using the same model, Kato </w:t>
      </w:r>
      <w:r w:rsidRPr="001F075D">
        <w:rPr>
          <w:rFonts w:ascii="Book Antiqua" w:hAnsi="Book Antiqua"/>
          <w:i/>
        </w:rPr>
        <w:t>et al</w:t>
      </w:r>
      <w:r w:rsidRPr="005427FA">
        <w:rPr>
          <w:rFonts w:ascii="Book Antiqua" w:hAnsi="Book Antiqua"/>
          <w:vertAlign w:val="superscript"/>
        </w:rPr>
        <w:t>[127]</w:t>
      </w:r>
      <w:r w:rsidRPr="005427FA">
        <w:rPr>
          <w:rFonts w:ascii="Book Antiqua" w:hAnsi="Book Antiqua"/>
        </w:rPr>
        <w:t xml:space="preserve"> demonstrated that certain 5-HT receptors could modulate susceptibility to NSAID-enteropathy.</w:t>
      </w:r>
      <w:r>
        <w:rPr>
          <w:rFonts w:ascii="Book Antiqua" w:hAnsi="Book Antiqua"/>
        </w:rPr>
        <w:t xml:space="preserve"> </w:t>
      </w:r>
      <w:r w:rsidRPr="005427FA">
        <w:rPr>
          <w:rFonts w:ascii="Book Antiqua" w:hAnsi="Book Antiqua"/>
        </w:rPr>
        <w:t>They reported that antagonists of the 5-HT3 receptor (ondansetron and ramosetron) dose-dependently reduced intestinal damage, while a 5-HT4 antagonist (GR113808) aggravated damage.</w:t>
      </w:r>
      <w:r>
        <w:rPr>
          <w:rFonts w:ascii="Book Antiqua" w:hAnsi="Book Antiqua"/>
        </w:rPr>
        <w:t xml:space="preserve"> </w:t>
      </w:r>
      <w:r w:rsidRPr="005427FA">
        <w:rPr>
          <w:rFonts w:ascii="Book Antiqua" w:hAnsi="Book Antiqua"/>
        </w:rPr>
        <w:t>A 5-HT4 agonist (mosapride) significantly reduced damage.</w:t>
      </w:r>
      <w:r>
        <w:rPr>
          <w:rFonts w:ascii="Book Antiqua" w:hAnsi="Book Antiqua"/>
        </w:rPr>
        <w:t xml:space="preserve"> </w:t>
      </w:r>
      <w:r w:rsidRPr="005427FA">
        <w:rPr>
          <w:rFonts w:ascii="Book Antiqua" w:hAnsi="Book Antiqua"/>
        </w:rPr>
        <w:t>As in the case of protection with dopamine D2 receptor antagonists, the authors suggested that the beneficial effects the 5HT4 agonist may be mediated through activation of α7-nicotinic acetylcholine receptors.</w:t>
      </w:r>
      <w:r>
        <w:rPr>
          <w:rFonts w:ascii="Book Antiqua" w:hAnsi="Book Antiqua"/>
        </w:rPr>
        <w:t xml:space="preserve"> </w:t>
      </w:r>
      <w:r w:rsidRPr="005427FA">
        <w:rPr>
          <w:rFonts w:ascii="Book Antiqua" w:hAnsi="Book Antiqua"/>
        </w:rPr>
        <w:t>There have also been studies demonstrating a significant increase in intestinal motor activity after administration of NSAIDs, and have suggested that this contributes to the generation of injury, but pharmacological approaches targeting this 5-HT/ α7-nicotinic acetylcholine receptor axis have not yet been evaluated in human NSAID-enteropathy.</w:t>
      </w:r>
    </w:p>
    <w:p w:rsidR="002550C2" w:rsidRPr="005427FA" w:rsidRDefault="002550C2" w:rsidP="005427FA">
      <w:pPr>
        <w:spacing w:line="360" w:lineRule="auto"/>
        <w:jc w:val="both"/>
        <w:rPr>
          <w:rFonts w:ascii="Book Antiqua" w:hAnsi="Book Antiqua"/>
        </w:rPr>
      </w:pPr>
    </w:p>
    <w:p w:rsidR="002550C2" w:rsidRPr="00A318A4" w:rsidRDefault="002550C2" w:rsidP="005427FA">
      <w:pPr>
        <w:spacing w:line="360" w:lineRule="auto"/>
        <w:jc w:val="both"/>
        <w:rPr>
          <w:rFonts w:ascii="Book Antiqua" w:eastAsia="宋体" w:hAnsi="Book Antiqua"/>
          <w:b/>
          <w:i/>
          <w:lang w:eastAsia="zh-CN"/>
        </w:rPr>
      </w:pPr>
      <w:r w:rsidRPr="00A318A4">
        <w:rPr>
          <w:rFonts w:ascii="Book Antiqua" w:hAnsi="Book Antiqua"/>
          <w:b/>
          <w:i/>
        </w:rPr>
        <w:t>NSAID pro-drugs: the enteropathy remains!</w:t>
      </w:r>
    </w:p>
    <w:p w:rsidR="002550C2" w:rsidRPr="005427FA" w:rsidRDefault="002550C2" w:rsidP="005427FA">
      <w:pPr>
        <w:widowControl w:val="0"/>
        <w:autoSpaceDE w:val="0"/>
        <w:autoSpaceDN w:val="0"/>
        <w:adjustRightInd w:val="0"/>
        <w:spacing w:line="360" w:lineRule="auto"/>
        <w:jc w:val="both"/>
        <w:rPr>
          <w:rFonts w:ascii="Book Antiqua" w:hAnsi="Book Antiqua"/>
        </w:rPr>
      </w:pPr>
      <w:r w:rsidRPr="005427FA">
        <w:rPr>
          <w:rFonts w:ascii="Book Antiqua" w:hAnsi="Book Antiqua"/>
        </w:rPr>
        <w:t>Pro-drugs have been defined as “bioreversible derivatives of drug molecules</w:t>
      </w:r>
      <w:r>
        <w:rPr>
          <w:rFonts w:ascii="Book Antiqua" w:eastAsia="宋体" w:hAnsi="Book Antiqua"/>
          <w:lang w:eastAsia="zh-CN"/>
        </w:rPr>
        <w:t xml:space="preserve"> </w:t>
      </w:r>
      <w:r w:rsidRPr="005427FA">
        <w:rPr>
          <w:rFonts w:ascii="Book Antiqua" w:hAnsi="Book Antiqua"/>
        </w:rPr>
        <w:t xml:space="preserve">that undergo an enzymatic and/or chemical transformation </w:t>
      </w:r>
      <w:r w:rsidRPr="005427FA">
        <w:rPr>
          <w:rFonts w:ascii="Book Antiqua" w:hAnsi="Book Antiqua"/>
          <w:i/>
        </w:rPr>
        <w:t>in vivo</w:t>
      </w:r>
      <w:r w:rsidRPr="005427FA">
        <w:rPr>
          <w:rFonts w:ascii="Book Antiqua" w:hAnsi="Book Antiqua"/>
        </w:rPr>
        <w:t xml:space="preserve"> to release the active parent drug, which can then exert the desired pharmacological effect”</w:t>
      </w:r>
      <w:r w:rsidRPr="005427FA">
        <w:rPr>
          <w:rFonts w:ascii="Book Antiqua" w:hAnsi="Book Antiqua"/>
          <w:vertAlign w:val="superscript"/>
        </w:rPr>
        <w:t>[128,129]</w:t>
      </w:r>
      <w:r w:rsidRPr="005427FA">
        <w:rPr>
          <w:rFonts w:ascii="Book Antiqua" w:hAnsi="Book Antiqua"/>
        </w:rPr>
        <w:t>.</w:t>
      </w:r>
      <w:r>
        <w:rPr>
          <w:rFonts w:ascii="Book Antiqua" w:hAnsi="Book Antiqua"/>
        </w:rPr>
        <w:t xml:space="preserve"> </w:t>
      </w:r>
      <w:r w:rsidRPr="005427FA">
        <w:rPr>
          <w:rFonts w:ascii="Book Antiqua" w:hAnsi="Book Antiqua"/>
        </w:rPr>
        <w:t>A number of NSAID pro-drugs have been developed, based on the premise that if the drug can pass through the stomach in an inactive form, it will not inhibit PG synthesis in the stomach, and therefore will not be ulcerogenic.</w:t>
      </w:r>
      <w:r>
        <w:rPr>
          <w:rFonts w:ascii="Book Antiqua" w:hAnsi="Book Antiqua"/>
        </w:rPr>
        <w:t xml:space="preserve"> </w:t>
      </w:r>
      <w:r w:rsidRPr="005427FA">
        <w:rPr>
          <w:rFonts w:ascii="Book Antiqua" w:hAnsi="Book Antiqua"/>
        </w:rPr>
        <w:t xml:space="preserve">In essence, an NSAID pro-drug of this design does not differ significantly from an enteric coated NSAID, and the problems associated with the latter are well </w:t>
      </w:r>
      <w:r w:rsidRPr="005427FA">
        <w:rPr>
          <w:rFonts w:ascii="Book Antiqua" w:hAnsi="Book Antiqua"/>
        </w:rPr>
        <w:lastRenderedPageBreak/>
        <w:t>documented</w:t>
      </w:r>
      <w:r w:rsidRPr="005427FA">
        <w:rPr>
          <w:rFonts w:ascii="Book Antiqua" w:hAnsi="Book Antiqua"/>
          <w:vertAlign w:val="superscript"/>
        </w:rPr>
        <w:t>[8,36]</w:t>
      </w:r>
      <w:r w:rsidRPr="005427FA">
        <w:rPr>
          <w:rFonts w:ascii="Book Antiqua" w:hAnsi="Book Antiqua"/>
        </w:rPr>
        <w:t>.</w:t>
      </w:r>
      <w:r>
        <w:rPr>
          <w:rFonts w:ascii="Book Antiqua" w:hAnsi="Book Antiqua"/>
        </w:rPr>
        <w:t xml:space="preserve"> </w:t>
      </w:r>
      <w:r w:rsidRPr="005427FA">
        <w:rPr>
          <w:rFonts w:ascii="Book Antiqua" w:hAnsi="Book Antiqua"/>
        </w:rPr>
        <w:t>Moreover, there are several problems with the premise upon which NSAID pro-drugs are based. First, once the drug is absorbed and transformed to release the parent drug, that drug will produce “the desired pharmacological effect”.</w:t>
      </w:r>
      <w:r>
        <w:rPr>
          <w:rFonts w:ascii="Book Antiqua" w:hAnsi="Book Antiqua"/>
        </w:rPr>
        <w:t xml:space="preserve"> </w:t>
      </w:r>
      <w:r w:rsidRPr="005427FA">
        <w:rPr>
          <w:rFonts w:ascii="Book Antiqua" w:hAnsi="Book Antiqua"/>
        </w:rPr>
        <w:t>That effect, reduction of pain and inflammation, is attributable to systemic inhibition of COX activity.</w:t>
      </w:r>
      <w:r>
        <w:rPr>
          <w:rFonts w:ascii="Book Antiqua" w:hAnsi="Book Antiqua"/>
        </w:rPr>
        <w:t xml:space="preserve"> </w:t>
      </w:r>
      <w:r w:rsidRPr="005427FA">
        <w:rPr>
          <w:rFonts w:ascii="Book Antiqua" w:hAnsi="Book Antiqua"/>
        </w:rPr>
        <w:t>In the absence of any ‘protective’ intervention, systemic inhibition of COX activity will result in damage and bleeding in the upper GI tract.</w:t>
      </w:r>
      <w:r>
        <w:rPr>
          <w:rFonts w:ascii="Book Antiqua" w:hAnsi="Book Antiqua"/>
        </w:rPr>
        <w:t xml:space="preserve"> </w:t>
      </w:r>
      <w:r w:rsidRPr="005427FA">
        <w:rPr>
          <w:rFonts w:ascii="Book Antiqua" w:hAnsi="Book Antiqua"/>
        </w:rPr>
        <w:t>Thus, NSAIDs administered systemically induce significant gastrointestinal ulceration and bleeding</w:t>
      </w:r>
      <w:r w:rsidRPr="005427FA">
        <w:rPr>
          <w:rFonts w:ascii="Book Antiqua" w:hAnsi="Book Antiqua"/>
          <w:vertAlign w:val="superscript"/>
        </w:rPr>
        <w:t>[130-132]</w:t>
      </w:r>
      <w:r w:rsidRPr="005427FA">
        <w:rPr>
          <w:rFonts w:ascii="Book Antiqua" w:hAnsi="Book Antiqua"/>
        </w:rPr>
        <w:t>.</w:t>
      </w:r>
      <w:r>
        <w:rPr>
          <w:rFonts w:ascii="Book Antiqua" w:hAnsi="Book Antiqua"/>
        </w:rPr>
        <w:t xml:space="preserve"> </w:t>
      </w:r>
      <w:r w:rsidRPr="005427FA">
        <w:rPr>
          <w:rFonts w:ascii="Book Antiqua" w:hAnsi="Book Antiqua"/>
        </w:rPr>
        <w:t>If a pro-drug is formulated such that it produces a marked delay in the release of the parent drug, there will be a similar delay in the onset of the desired activity.</w:t>
      </w:r>
      <w:r>
        <w:rPr>
          <w:rFonts w:ascii="Book Antiqua" w:hAnsi="Book Antiqua"/>
        </w:rPr>
        <w:t xml:space="preserve"> </w:t>
      </w:r>
      <w:r w:rsidRPr="005427FA">
        <w:rPr>
          <w:rFonts w:ascii="Book Antiqua" w:hAnsi="Book Antiqua"/>
        </w:rPr>
        <w:t xml:space="preserve">Second, the pro-drug approach is focused entirely on sparing the </w:t>
      </w:r>
      <w:r w:rsidRPr="00F14C32">
        <w:rPr>
          <w:rFonts w:ascii="Book Antiqua" w:hAnsi="Book Antiqua"/>
        </w:rPr>
        <w:t xml:space="preserve">upper GI tract </w:t>
      </w:r>
      <w:r w:rsidRPr="005427FA">
        <w:rPr>
          <w:rFonts w:ascii="Book Antiqua" w:hAnsi="Book Antiqua"/>
        </w:rPr>
        <w:t>of injury, ignoring the potential of the drug to cause small intestinal injury, particularly if it undergoes enterohepatic recirculation.</w:t>
      </w:r>
      <w:r>
        <w:rPr>
          <w:rFonts w:ascii="Book Antiqua" w:hAnsi="Book Antiqua"/>
        </w:rPr>
        <w:t xml:space="preserve"> </w:t>
      </w:r>
      <w:r w:rsidRPr="005427FA">
        <w:rPr>
          <w:rFonts w:ascii="Book Antiqua" w:hAnsi="Book Antiqua"/>
        </w:rPr>
        <w:t>Once the pro-drug is metabolized to release the parent drug, the parent drug will behave, pharmacokinetically and pharmacodynamically, in the same way as if the parent drug itself had been administered.</w:t>
      </w:r>
      <w:r>
        <w:rPr>
          <w:rFonts w:ascii="Book Antiqua" w:hAnsi="Book Antiqua"/>
        </w:rPr>
        <w:t xml:space="preserve"> </w:t>
      </w:r>
      <w:r w:rsidRPr="005427FA">
        <w:rPr>
          <w:rFonts w:ascii="Book Antiqua" w:hAnsi="Book Antiqua"/>
        </w:rPr>
        <w:t>These are points that have been acknowledged on the website of a company that is developing a naproxen pro-drug:</w:t>
      </w:r>
      <w:r>
        <w:rPr>
          <w:rFonts w:ascii="Book Antiqua" w:hAnsi="Book Antiqua"/>
        </w:rPr>
        <w:t xml:space="preserve"> </w:t>
      </w:r>
      <w:r w:rsidRPr="005427FA">
        <w:rPr>
          <w:rFonts w:ascii="Book Antiqua" w:hAnsi="Book Antiqua"/>
        </w:rPr>
        <w:t>the pro-drug approach will not address the GI damage associated with the systemic inhibition of COX after release of the parent drug, nor will it address the toxic effects of metabolites delivered into the gut lumen with bile</w:t>
      </w:r>
      <w:r w:rsidRPr="005427FA">
        <w:rPr>
          <w:rFonts w:ascii="Book Antiqua" w:hAnsi="Book Antiqua"/>
          <w:vertAlign w:val="superscript"/>
        </w:rPr>
        <w:t>[133]</w:t>
      </w:r>
      <w:r w:rsidRPr="005427FA">
        <w:rPr>
          <w:rFonts w:ascii="Book Antiqua" w:hAnsi="Book Antiqua"/>
        </w:rPr>
        <w:t>.</w:t>
      </w:r>
    </w:p>
    <w:p w:rsidR="002550C2" w:rsidRPr="005427FA" w:rsidRDefault="002550C2" w:rsidP="005427FA">
      <w:pPr>
        <w:widowControl w:val="0"/>
        <w:autoSpaceDE w:val="0"/>
        <w:autoSpaceDN w:val="0"/>
        <w:adjustRightInd w:val="0"/>
        <w:spacing w:line="360" w:lineRule="auto"/>
        <w:ind w:firstLine="720"/>
        <w:jc w:val="both"/>
        <w:rPr>
          <w:rFonts w:ascii="Book Antiqua" w:hAnsi="Book Antiqua"/>
        </w:rPr>
      </w:pPr>
      <w:r w:rsidRPr="005427FA">
        <w:rPr>
          <w:rFonts w:ascii="Book Antiqua" w:hAnsi="Book Antiqua"/>
        </w:rPr>
        <w:t>Clinical trials of pro-drugs have often produced data that are very favourable to the pro-drug.</w:t>
      </w:r>
      <w:r>
        <w:rPr>
          <w:rFonts w:ascii="Book Antiqua" w:hAnsi="Book Antiqua"/>
        </w:rPr>
        <w:t xml:space="preserve"> </w:t>
      </w:r>
      <w:r w:rsidRPr="005427FA">
        <w:rPr>
          <w:rFonts w:ascii="Book Antiqua" w:hAnsi="Book Antiqua"/>
        </w:rPr>
        <w:t>However, this is largely because such studies have typically focused on acute gastric or gastroduodenal damage (erosions and “endoscopic ulcers”)</w:t>
      </w:r>
      <w:r w:rsidRPr="005427FA">
        <w:rPr>
          <w:rFonts w:ascii="Book Antiqua" w:hAnsi="Book Antiqua"/>
          <w:vertAlign w:val="superscript"/>
        </w:rPr>
        <w:t>[134]</w:t>
      </w:r>
      <w:r w:rsidRPr="005427FA">
        <w:rPr>
          <w:rFonts w:ascii="Book Antiqua" w:hAnsi="Book Antiqua"/>
        </w:rPr>
        <w:t xml:space="preserve"> that are of questionable clinical significance, since they do not necessarily predict the incidence of true ulcers</w:t>
      </w:r>
      <w:r w:rsidRPr="005427FA">
        <w:rPr>
          <w:rFonts w:ascii="Book Antiqua" w:hAnsi="Book Antiqua"/>
          <w:vertAlign w:val="superscript"/>
        </w:rPr>
        <w:t>[135]</w:t>
      </w:r>
      <w:r w:rsidRPr="005427FA">
        <w:rPr>
          <w:rFonts w:ascii="Book Antiqua" w:hAnsi="Book Antiqua"/>
        </w:rPr>
        <w:t>.</w:t>
      </w:r>
      <w:r>
        <w:rPr>
          <w:rFonts w:ascii="Book Antiqua" w:hAnsi="Book Antiqua"/>
        </w:rPr>
        <w:t xml:space="preserve"> </w:t>
      </w:r>
      <w:r w:rsidRPr="005427FA">
        <w:rPr>
          <w:rFonts w:ascii="Book Antiqua" w:hAnsi="Book Antiqua"/>
        </w:rPr>
        <w:t>Indeed, the same is true for most of the trials of selective COX-2 inhibitors and of PPIs, which gave a false signal of the GI safety of those classes of drugs because of reliance on inappropriate endpoints for upper GI damage and lack of consideration of the potential damaging effects of these drugs on the small intestine.</w:t>
      </w:r>
      <w:r>
        <w:rPr>
          <w:rFonts w:ascii="Book Antiqua" w:hAnsi="Book Antiqua"/>
        </w:rPr>
        <w:t xml:space="preserve"> </w:t>
      </w:r>
      <w:r w:rsidRPr="005427FA">
        <w:rPr>
          <w:rFonts w:ascii="Book Antiqua" w:hAnsi="Book Antiqua"/>
        </w:rPr>
        <w:t xml:space="preserve">When examined </w:t>
      </w:r>
      <w:r w:rsidRPr="005427FA">
        <w:rPr>
          <w:rFonts w:ascii="Book Antiqua" w:hAnsi="Book Antiqua"/>
        </w:rPr>
        <w:lastRenderedPageBreak/>
        <w:t>in ‘real world’ scenarios, using clinically meaningful endpoints</w:t>
      </w:r>
      <w:r w:rsidRPr="005427FA">
        <w:rPr>
          <w:rFonts w:ascii="Book Antiqua" w:hAnsi="Book Antiqua"/>
          <w:vertAlign w:val="superscript"/>
        </w:rPr>
        <w:t>[135]</w:t>
      </w:r>
      <w:r w:rsidRPr="005427FA">
        <w:rPr>
          <w:rFonts w:ascii="Book Antiqua" w:hAnsi="Book Antiqua"/>
        </w:rPr>
        <w:t>, there is little, if any, evidence of significant benefit of NSAID pro-drugs over the parent drugs or over other NSAIDs.</w:t>
      </w:r>
      <w:r>
        <w:rPr>
          <w:rFonts w:ascii="Book Antiqua" w:hAnsi="Book Antiqua"/>
        </w:rPr>
        <w:t xml:space="preserve"> </w:t>
      </w:r>
      <w:r w:rsidRPr="005427FA">
        <w:rPr>
          <w:rFonts w:ascii="Book Antiqua" w:hAnsi="Book Antiqua"/>
        </w:rPr>
        <w:t>This topic has been very well reviewed by Graham</w:t>
      </w:r>
      <w:r w:rsidRPr="005427FA">
        <w:rPr>
          <w:rFonts w:ascii="Book Antiqua" w:hAnsi="Book Antiqua"/>
          <w:vertAlign w:val="superscript"/>
        </w:rPr>
        <w:t>[135]</w:t>
      </w:r>
      <w:r w:rsidRPr="005427FA">
        <w:rPr>
          <w:rFonts w:ascii="Book Antiqua" w:hAnsi="Book Antiqua"/>
        </w:rPr>
        <w:t>.</w:t>
      </w:r>
      <w:r>
        <w:rPr>
          <w:rFonts w:ascii="Book Antiqua" w:hAnsi="Book Antiqua"/>
        </w:rPr>
        <w:t xml:space="preserve"> </w:t>
      </w:r>
      <w:r w:rsidRPr="005427FA">
        <w:rPr>
          <w:rFonts w:ascii="Book Antiqua" w:hAnsi="Book Antiqua"/>
        </w:rPr>
        <w:t>Thus, while the pro-drug sulindac rarely caused erosions or ‘endoscopic ulcers’ in short-term studies of human volunteers</w:t>
      </w:r>
      <w:r w:rsidRPr="005427FA">
        <w:rPr>
          <w:rFonts w:ascii="Book Antiqua" w:hAnsi="Book Antiqua"/>
          <w:vertAlign w:val="superscript"/>
        </w:rPr>
        <w:t>[136,137]</w:t>
      </w:r>
      <w:r w:rsidRPr="005427FA">
        <w:rPr>
          <w:rFonts w:ascii="Book Antiqua" w:hAnsi="Book Antiqua"/>
        </w:rPr>
        <w:t>, longer term studies in at-risk patients showed this drug to offer no upper GI safety benefit as compared to other NSAIDs</w:t>
      </w:r>
      <w:r w:rsidRPr="005427FA">
        <w:rPr>
          <w:rFonts w:ascii="Book Antiqua" w:hAnsi="Book Antiqua"/>
          <w:vertAlign w:val="superscript"/>
        </w:rPr>
        <w:t>[138]</w:t>
      </w:r>
      <w:r w:rsidRPr="005427FA">
        <w:rPr>
          <w:rFonts w:ascii="Book Antiqua" w:hAnsi="Book Antiqua"/>
        </w:rPr>
        <w:t>.</w:t>
      </w:r>
      <w:r>
        <w:rPr>
          <w:rFonts w:ascii="Book Antiqua" w:hAnsi="Book Antiqua"/>
        </w:rPr>
        <w:t xml:space="preserve"> </w:t>
      </w:r>
      <w:r w:rsidRPr="005427FA">
        <w:rPr>
          <w:rFonts w:ascii="Book Antiqua" w:hAnsi="Book Antiqua"/>
        </w:rPr>
        <w:t>Likewise, nabumetone was purported to be a GI-safe pro-drug, and acute upper GI studies suggested that this was the case</w:t>
      </w:r>
      <w:r w:rsidRPr="005427FA">
        <w:rPr>
          <w:rFonts w:ascii="Book Antiqua" w:hAnsi="Book Antiqua"/>
          <w:vertAlign w:val="superscript"/>
        </w:rPr>
        <w:t>[139]</w:t>
      </w:r>
      <w:r w:rsidRPr="005427FA">
        <w:rPr>
          <w:rFonts w:ascii="Book Antiqua" w:hAnsi="Book Antiqua"/>
        </w:rPr>
        <w:t>, but in at-risk patients the drug did not offer any benefit over other NSAIDs</w:t>
      </w:r>
      <w:r w:rsidRPr="005427FA">
        <w:rPr>
          <w:rFonts w:ascii="Book Antiqua" w:hAnsi="Book Antiqua"/>
          <w:vertAlign w:val="superscript"/>
        </w:rPr>
        <w:t>[140]</w:t>
      </w:r>
      <w:r w:rsidRPr="005427FA">
        <w:rPr>
          <w:rFonts w:ascii="Book Antiqua" w:hAnsi="Book Antiqua"/>
        </w:rPr>
        <w:t>.</w:t>
      </w:r>
      <w:r>
        <w:rPr>
          <w:rFonts w:ascii="Book Antiqua" w:hAnsi="Book Antiqua"/>
        </w:rPr>
        <w:t xml:space="preserve"> </w:t>
      </w:r>
      <w:r w:rsidRPr="005427FA">
        <w:rPr>
          <w:rFonts w:ascii="Book Antiqua" w:hAnsi="Book Antiqua"/>
        </w:rPr>
        <w:t>Neither sulindac nor nabumetone have been specifically examined with respect to their propensity to cause small intestinal ulceration and bleeding.</w:t>
      </w:r>
      <w:r>
        <w:rPr>
          <w:rFonts w:ascii="Book Antiqua" w:hAnsi="Book Antiqua"/>
        </w:rPr>
        <w:t xml:space="preserve"> </w:t>
      </w:r>
      <w:r w:rsidRPr="005427FA">
        <w:rPr>
          <w:rFonts w:ascii="Book Antiqua" w:hAnsi="Book Antiqua"/>
        </w:rPr>
        <w:t>Moreover, there are suggestions in the literature</w:t>
      </w:r>
      <w:r w:rsidRPr="005427FA">
        <w:rPr>
          <w:rFonts w:ascii="Book Antiqua" w:hAnsi="Book Antiqua"/>
          <w:vertAlign w:val="superscript"/>
        </w:rPr>
        <w:t>[132,141]</w:t>
      </w:r>
      <w:r w:rsidRPr="005427FA">
        <w:rPr>
          <w:rFonts w:ascii="Book Antiqua" w:hAnsi="Book Antiqua"/>
        </w:rPr>
        <w:t>, supported by animal studies</w:t>
      </w:r>
      <w:r w:rsidRPr="005427FA">
        <w:rPr>
          <w:rFonts w:ascii="Book Antiqua" w:hAnsi="Book Antiqua"/>
          <w:vertAlign w:val="superscript"/>
        </w:rPr>
        <w:t>[130,131]</w:t>
      </w:r>
      <w:r w:rsidRPr="005427FA">
        <w:rPr>
          <w:rFonts w:ascii="Book Antiqua" w:hAnsi="Book Antiqua"/>
        </w:rPr>
        <w:t>, that systemic administration of NSAIDs, which completely avoids contact of the drug with the lining of the stomach and duodenum, does not offer significant benefit in terms of reducing the incidence of significant GI ulceration and bleeding.</w:t>
      </w:r>
    </w:p>
    <w:p w:rsidR="002550C2" w:rsidRPr="00A318A4" w:rsidRDefault="002550C2" w:rsidP="005427FA">
      <w:pPr>
        <w:spacing w:line="360" w:lineRule="auto"/>
        <w:jc w:val="both"/>
        <w:rPr>
          <w:rFonts w:ascii="Book Antiqua" w:eastAsia="宋体" w:hAnsi="Book Antiqua"/>
          <w:u w:val="single"/>
          <w:lang w:eastAsia="zh-CN"/>
        </w:rPr>
      </w:pPr>
    </w:p>
    <w:p w:rsidR="002550C2" w:rsidRPr="00A318A4" w:rsidRDefault="002550C2" w:rsidP="005427FA">
      <w:pPr>
        <w:spacing w:line="360" w:lineRule="auto"/>
        <w:jc w:val="both"/>
        <w:rPr>
          <w:rFonts w:ascii="Book Antiqua" w:hAnsi="Book Antiqua"/>
          <w:b/>
          <w:i/>
        </w:rPr>
      </w:pPr>
      <w:r w:rsidRPr="00A318A4">
        <w:rPr>
          <w:rFonts w:ascii="Book Antiqua" w:hAnsi="Book Antiqua"/>
          <w:b/>
          <w:i/>
        </w:rPr>
        <w:t xml:space="preserve">Novel intestinal-sparing NSAIDs </w:t>
      </w:r>
    </w:p>
    <w:p w:rsidR="002550C2" w:rsidRPr="005427FA" w:rsidRDefault="002550C2" w:rsidP="00A318A4">
      <w:pPr>
        <w:widowControl w:val="0"/>
        <w:autoSpaceDE w:val="0"/>
        <w:autoSpaceDN w:val="0"/>
        <w:adjustRightInd w:val="0"/>
        <w:spacing w:line="360" w:lineRule="auto"/>
        <w:jc w:val="both"/>
        <w:rPr>
          <w:rFonts w:ascii="Book Antiqua" w:hAnsi="Book Antiqua"/>
        </w:rPr>
      </w:pPr>
      <w:r w:rsidRPr="005427FA">
        <w:rPr>
          <w:rFonts w:ascii="Book Antiqua" w:hAnsi="Book Antiqua"/>
        </w:rPr>
        <w:t>The advances that have been made in understanding the pathogenesis of NSAID-enteropathy provide important clues for designing novel NSAIDs that will not damage in the small intestine (or the stomach).</w:t>
      </w:r>
      <w:r>
        <w:rPr>
          <w:rFonts w:ascii="Book Antiqua" w:hAnsi="Book Antiqua"/>
        </w:rPr>
        <w:t xml:space="preserve"> </w:t>
      </w:r>
      <w:r w:rsidRPr="005427FA">
        <w:rPr>
          <w:rFonts w:ascii="Book Antiqua" w:hAnsi="Book Antiqua"/>
        </w:rPr>
        <w:t>Several approaches have been taken that show promise, mainly using the “co-drug” model of drug design</w:t>
      </w:r>
      <w:r w:rsidRPr="005427FA">
        <w:rPr>
          <w:rFonts w:ascii="Book Antiqua" w:hAnsi="Book Antiqua"/>
          <w:vertAlign w:val="superscript"/>
        </w:rPr>
        <w:t>[142]</w:t>
      </w:r>
      <w:r w:rsidRPr="005427FA">
        <w:rPr>
          <w:rFonts w:ascii="Book Antiqua" w:hAnsi="Book Antiqua"/>
        </w:rPr>
        <w:t>.</w:t>
      </w:r>
      <w:r>
        <w:rPr>
          <w:rFonts w:ascii="Book Antiqua" w:hAnsi="Book Antiqua"/>
        </w:rPr>
        <w:t xml:space="preserve"> </w:t>
      </w:r>
      <w:r w:rsidRPr="005427FA">
        <w:rPr>
          <w:rFonts w:ascii="Book Antiqua" w:hAnsi="Book Antiqua"/>
        </w:rPr>
        <w:t>Co-drugs are somewhat like pro-drugs, with the key difference being that the pro-moiety is not inert; rather, it exerts important pharmacological effects</w:t>
      </w:r>
      <w:r w:rsidRPr="005427FA">
        <w:rPr>
          <w:rFonts w:ascii="Book Antiqua" w:hAnsi="Book Antiqua"/>
          <w:vertAlign w:val="superscript"/>
        </w:rPr>
        <w:t>[129]</w:t>
      </w:r>
      <w:r w:rsidRPr="005427FA">
        <w:rPr>
          <w:rFonts w:ascii="Book Antiqua" w:hAnsi="Book Antiqua"/>
        </w:rPr>
        <w:t>.</w:t>
      </w:r>
      <w:r>
        <w:rPr>
          <w:rFonts w:ascii="Book Antiqua" w:hAnsi="Book Antiqua"/>
        </w:rPr>
        <w:t xml:space="preserve"> </w:t>
      </w:r>
      <w:r w:rsidRPr="005427FA">
        <w:rPr>
          <w:rFonts w:ascii="Book Antiqua" w:hAnsi="Book Antiqua"/>
        </w:rPr>
        <w:t>Two such classes of co-drugs are the nitric oxide (NO)-releasing NSAIDs and the hydrogen sulfide (H</w:t>
      </w:r>
      <w:r w:rsidRPr="005427FA">
        <w:rPr>
          <w:rFonts w:ascii="Book Antiqua" w:hAnsi="Book Antiqua"/>
          <w:vertAlign w:val="subscript"/>
        </w:rPr>
        <w:t>2</w:t>
      </w:r>
      <w:r w:rsidRPr="005427FA">
        <w:rPr>
          <w:rFonts w:ascii="Book Antiqua" w:hAnsi="Book Antiqua"/>
        </w:rPr>
        <w:t>S)-releasing NSAIDs</w:t>
      </w:r>
      <w:r w:rsidRPr="005427FA">
        <w:rPr>
          <w:rFonts w:ascii="Book Antiqua" w:hAnsi="Book Antiqua"/>
          <w:vertAlign w:val="superscript"/>
        </w:rPr>
        <w:t>[143-145]</w:t>
      </w:r>
      <w:r w:rsidRPr="005427FA">
        <w:rPr>
          <w:rFonts w:ascii="Book Antiqua" w:hAnsi="Book Antiqua"/>
        </w:rPr>
        <w:t>.</w:t>
      </w:r>
      <w:r>
        <w:rPr>
          <w:rFonts w:ascii="Book Antiqua" w:hAnsi="Book Antiqua"/>
        </w:rPr>
        <w:t xml:space="preserve"> </w:t>
      </w:r>
      <w:r w:rsidRPr="005427FA">
        <w:rPr>
          <w:rFonts w:ascii="Book Antiqua" w:hAnsi="Book Antiqua"/>
        </w:rPr>
        <w:t>In each case, the NSAID portion of the co-drug behaves the same as expected (inhibition of COX-1 and COX-2, leading to anti-inflammatory and analgesic effects), while the gaseous mediator portion of the co-drug exerts mucosal protective effects, very similar to the effects of endogenous prostaglandins</w:t>
      </w:r>
      <w:r w:rsidRPr="00E33D7F">
        <w:rPr>
          <w:rFonts w:ascii="Book Antiqua" w:eastAsia="宋体" w:hAnsi="Book Antiqua"/>
          <w:vertAlign w:val="superscript"/>
          <w:lang w:eastAsia="zh-CN"/>
        </w:rPr>
        <w:t>[</w:t>
      </w:r>
      <w:r w:rsidRPr="005427FA">
        <w:rPr>
          <w:rFonts w:ascii="Book Antiqua" w:hAnsi="Book Antiqua"/>
          <w:vertAlign w:val="superscript"/>
        </w:rPr>
        <w:t>146,147]</w:t>
      </w:r>
      <w:r w:rsidRPr="005427FA">
        <w:rPr>
          <w:rFonts w:ascii="Book Antiqua" w:hAnsi="Book Antiqua"/>
        </w:rPr>
        <w:t>.</w:t>
      </w:r>
      <w:r>
        <w:rPr>
          <w:rFonts w:ascii="Book Antiqua" w:hAnsi="Book Antiqua"/>
        </w:rPr>
        <w:t xml:space="preserve"> </w:t>
      </w:r>
      <w:r w:rsidRPr="005427FA">
        <w:rPr>
          <w:rFonts w:ascii="Book Antiqua" w:hAnsi="Book Antiqua"/>
        </w:rPr>
        <w:t xml:space="preserve">Both of these gaseous </w:t>
      </w:r>
      <w:r w:rsidRPr="005427FA">
        <w:rPr>
          <w:rFonts w:ascii="Book Antiqua" w:hAnsi="Book Antiqua"/>
        </w:rPr>
        <w:lastRenderedPageBreak/>
        <w:t>mediators are vasodilators and can inhibit leukocyte adherence to the vascular endothelium</w:t>
      </w:r>
      <w:r w:rsidRPr="005427FA">
        <w:rPr>
          <w:rFonts w:ascii="Book Antiqua" w:hAnsi="Book Antiqua"/>
          <w:vertAlign w:val="superscript"/>
        </w:rPr>
        <w:t>[148,149]</w:t>
      </w:r>
      <w:r w:rsidRPr="005427FA">
        <w:rPr>
          <w:rFonts w:ascii="Book Antiqua" w:hAnsi="Book Antiqua"/>
        </w:rPr>
        <w:t>.</w:t>
      </w:r>
      <w:r>
        <w:rPr>
          <w:rFonts w:ascii="Book Antiqua" w:hAnsi="Book Antiqua"/>
        </w:rPr>
        <w:t xml:space="preserve"> </w:t>
      </w:r>
      <w:r w:rsidRPr="005427FA">
        <w:rPr>
          <w:rFonts w:ascii="Book Antiqua" w:hAnsi="Book Antiqua"/>
        </w:rPr>
        <w:t>Suppression of mucosal synthesis of NO or H</w:t>
      </w:r>
      <w:r w:rsidRPr="005427FA">
        <w:rPr>
          <w:rFonts w:ascii="Book Antiqua" w:hAnsi="Book Antiqua"/>
          <w:vertAlign w:val="subscript"/>
        </w:rPr>
        <w:t>2</w:t>
      </w:r>
      <w:r w:rsidRPr="005427FA">
        <w:rPr>
          <w:rFonts w:ascii="Book Antiqua" w:hAnsi="Book Antiqua"/>
        </w:rPr>
        <w:t>S reduces the resistance of the stomach to the damaging effects of NSAIDs and other irritants, and impairs the healing of pre-existing damage</w:t>
      </w:r>
      <w:r w:rsidRPr="005427FA">
        <w:rPr>
          <w:rFonts w:ascii="Book Antiqua" w:hAnsi="Book Antiqua"/>
          <w:vertAlign w:val="superscript"/>
        </w:rPr>
        <w:t>[148,150-156]</w:t>
      </w:r>
      <w:r w:rsidRPr="005427FA">
        <w:rPr>
          <w:rFonts w:ascii="Book Antiqua" w:hAnsi="Book Antiqua"/>
        </w:rPr>
        <w:t>.</w:t>
      </w:r>
      <w:r>
        <w:rPr>
          <w:rFonts w:ascii="Book Antiqua" w:hAnsi="Book Antiqua"/>
        </w:rPr>
        <w:t xml:space="preserve"> </w:t>
      </w:r>
      <w:r w:rsidRPr="005427FA">
        <w:rPr>
          <w:rFonts w:ascii="Book Antiqua" w:hAnsi="Book Antiqua"/>
        </w:rPr>
        <w:t>NO and H</w:t>
      </w:r>
      <w:r w:rsidRPr="005427FA">
        <w:rPr>
          <w:rFonts w:ascii="Book Antiqua" w:hAnsi="Book Antiqua"/>
          <w:vertAlign w:val="subscript"/>
        </w:rPr>
        <w:t>2</w:t>
      </w:r>
      <w:r w:rsidRPr="005427FA">
        <w:rPr>
          <w:rFonts w:ascii="Book Antiqua" w:hAnsi="Book Antiqua"/>
        </w:rPr>
        <w:t>S donors can increase the resistance of the gastric mucosa to injury induced by NSAIDs and other noxious substances</w:t>
      </w:r>
      <w:r w:rsidRPr="00112ED9">
        <w:rPr>
          <w:rFonts w:ascii="Book Antiqua" w:eastAsia="宋体" w:hAnsi="Book Antiqua"/>
          <w:vertAlign w:val="superscript"/>
          <w:lang w:eastAsia="zh-CN"/>
        </w:rPr>
        <w:t>[</w:t>
      </w:r>
      <w:r w:rsidRPr="00112ED9">
        <w:rPr>
          <w:rFonts w:ascii="Book Antiqua" w:hAnsi="Book Antiqua"/>
          <w:vertAlign w:val="superscript"/>
        </w:rPr>
        <w:t>148,151,156,157</w:t>
      </w:r>
      <w:r w:rsidRPr="00112ED9">
        <w:rPr>
          <w:rFonts w:ascii="Book Antiqua" w:eastAsia="宋体" w:hAnsi="Book Antiqua"/>
          <w:vertAlign w:val="superscript"/>
          <w:lang w:eastAsia="zh-CN"/>
        </w:rPr>
        <w:t>]</w:t>
      </w:r>
      <w:r w:rsidRPr="005427FA">
        <w:rPr>
          <w:rFonts w:ascii="Book Antiqua" w:hAnsi="Book Antiqua"/>
        </w:rPr>
        <w:t xml:space="preserve"> and can accelerate healing of ulcers in rodent models</w:t>
      </w:r>
      <w:r w:rsidRPr="005427FA">
        <w:rPr>
          <w:rFonts w:ascii="Book Antiqua" w:hAnsi="Book Antiqua"/>
          <w:vertAlign w:val="superscript"/>
        </w:rPr>
        <w:t>[37,150,153, 154, 158]</w:t>
      </w:r>
      <w:r w:rsidRPr="005427FA">
        <w:rPr>
          <w:rFonts w:ascii="Book Antiqua" w:hAnsi="Book Antiqua"/>
        </w:rPr>
        <w:t>.</w:t>
      </w:r>
      <w:r>
        <w:rPr>
          <w:rFonts w:ascii="Book Antiqua" w:hAnsi="Book Antiqua"/>
        </w:rPr>
        <w:t xml:space="preserve"> </w:t>
      </w:r>
      <w:r w:rsidRPr="005427FA">
        <w:rPr>
          <w:rFonts w:ascii="Book Antiqua" w:hAnsi="Book Antiqua"/>
        </w:rPr>
        <w:t>Some of the other actions of NO-NSAIDs and H</w:t>
      </w:r>
      <w:r w:rsidRPr="005427FA">
        <w:rPr>
          <w:rFonts w:ascii="Book Antiqua" w:hAnsi="Book Antiqua"/>
          <w:vertAlign w:val="subscript"/>
        </w:rPr>
        <w:t>2</w:t>
      </w:r>
      <w:r w:rsidRPr="005427FA">
        <w:rPr>
          <w:rFonts w:ascii="Book Antiqua" w:hAnsi="Book Antiqua"/>
        </w:rPr>
        <w:t>S-NSAIDs and their underlying mechanisms have been reviewed previously</w:t>
      </w:r>
      <w:r w:rsidRPr="00112ED9">
        <w:rPr>
          <w:rFonts w:ascii="Book Antiqua" w:hAnsi="Book Antiqua"/>
          <w:vertAlign w:val="superscript"/>
        </w:rPr>
        <w:t>[143,145,152]</w:t>
      </w:r>
      <w:r w:rsidRPr="005427FA">
        <w:rPr>
          <w:rFonts w:ascii="Book Antiqua" w:hAnsi="Book Antiqua"/>
        </w:rPr>
        <w:t>.</w:t>
      </w:r>
      <w:r>
        <w:rPr>
          <w:rFonts w:ascii="Book Antiqua" w:hAnsi="Book Antiqua"/>
        </w:rPr>
        <w:t xml:space="preserve"> </w:t>
      </w:r>
    </w:p>
    <w:p w:rsidR="002550C2" w:rsidRPr="005427FA" w:rsidRDefault="002550C2" w:rsidP="005427FA">
      <w:pPr>
        <w:widowControl w:val="0"/>
        <w:autoSpaceDE w:val="0"/>
        <w:autoSpaceDN w:val="0"/>
        <w:adjustRightInd w:val="0"/>
        <w:spacing w:line="360" w:lineRule="auto"/>
        <w:ind w:firstLine="720"/>
        <w:jc w:val="both"/>
        <w:rPr>
          <w:rFonts w:ascii="Book Antiqua" w:hAnsi="Book Antiqua"/>
        </w:rPr>
      </w:pPr>
      <w:r w:rsidRPr="005427FA">
        <w:rPr>
          <w:rFonts w:ascii="Book Antiqua" w:hAnsi="Book Antiqua"/>
        </w:rPr>
        <w:t>NO-NSAIDs were shown to cause significantly less intestinal damage than the parent drugs</w:t>
      </w:r>
      <w:r w:rsidRPr="005427FA">
        <w:rPr>
          <w:rFonts w:ascii="Book Antiqua" w:hAnsi="Book Antiqua"/>
          <w:vertAlign w:val="superscript"/>
        </w:rPr>
        <w:t>[159,160]</w:t>
      </w:r>
      <w:r w:rsidRPr="005427FA">
        <w:rPr>
          <w:rFonts w:ascii="Book Antiqua" w:hAnsi="Book Antiqua"/>
        </w:rPr>
        <w:t>, and to be well tolerated in rats with pre-existing colitis</w:t>
      </w:r>
      <w:r w:rsidRPr="005427FA">
        <w:rPr>
          <w:rFonts w:ascii="Book Antiqua" w:hAnsi="Book Antiqua"/>
          <w:vertAlign w:val="superscript"/>
        </w:rPr>
        <w:t>[159]</w:t>
      </w:r>
      <w:r w:rsidRPr="005427FA">
        <w:rPr>
          <w:rFonts w:ascii="Book Antiqua" w:hAnsi="Book Antiqua"/>
        </w:rPr>
        <w:t>.</w:t>
      </w:r>
      <w:r>
        <w:rPr>
          <w:rFonts w:ascii="Book Antiqua" w:hAnsi="Book Antiqua"/>
        </w:rPr>
        <w:t xml:space="preserve"> </w:t>
      </w:r>
      <w:r w:rsidRPr="005427FA">
        <w:rPr>
          <w:rFonts w:ascii="Book Antiqua" w:hAnsi="Book Antiqua"/>
        </w:rPr>
        <w:t>In a small, short-term clinical trial, an NO-NSAID produced significantly less of an increase in small intestinal permeability than was produced by an equivalent dose of the parent drug (naproxen)</w:t>
      </w:r>
      <w:r w:rsidRPr="005427FA">
        <w:rPr>
          <w:rFonts w:ascii="Book Antiqua" w:hAnsi="Book Antiqua"/>
          <w:vertAlign w:val="superscript"/>
        </w:rPr>
        <w:t>[161]</w:t>
      </w:r>
      <w:r w:rsidRPr="005427FA">
        <w:rPr>
          <w:rFonts w:ascii="Book Antiqua" w:hAnsi="Book Antiqua"/>
        </w:rPr>
        <w:t>.</w:t>
      </w:r>
      <w:r>
        <w:rPr>
          <w:rFonts w:ascii="Book Antiqua" w:hAnsi="Book Antiqua"/>
        </w:rPr>
        <w:t xml:space="preserve"> </w:t>
      </w:r>
      <w:r w:rsidRPr="005427FA">
        <w:rPr>
          <w:rFonts w:ascii="Book Antiqua" w:hAnsi="Book Antiqua"/>
        </w:rPr>
        <w:t>Despite very promising results from clinical trials that demonstrated efficacy and safety in osteoarthritis</w:t>
      </w:r>
      <w:r w:rsidRPr="005427FA">
        <w:rPr>
          <w:rFonts w:ascii="Book Antiqua" w:hAnsi="Book Antiqua"/>
          <w:vertAlign w:val="superscript"/>
        </w:rPr>
        <w:t>[162-166]</w:t>
      </w:r>
      <w:r w:rsidRPr="005427FA">
        <w:rPr>
          <w:rFonts w:ascii="Book Antiqua" w:hAnsi="Book Antiqua"/>
        </w:rPr>
        <w:t>, NO-NSAIDs have not obtained regulatory approval because the safety advantages over the parent drug (naproxen) have not been sufficiently demonstrated.</w:t>
      </w:r>
      <w:r>
        <w:rPr>
          <w:rFonts w:ascii="Book Antiqua" w:hAnsi="Book Antiqua"/>
        </w:rPr>
        <w:t xml:space="preserve"> </w:t>
      </w:r>
      <w:r w:rsidRPr="005427FA">
        <w:rPr>
          <w:rFonts w:ascii="Book Antiqua" w:hAnsi="Book Antiqua"/>
        </w:rPr>
        <w:t>One key GI safety clinical trial fell just short of showing a significant benefit as compared to naproxen (</w:t>
      </w:r>
      <w:r w:rsidRPr="0089633C">
        <w:rPr>
          <w:rFonts w:ascii="Book Antiqua" w:hAnsi="Book Antiqua"/>
          <w:i/>
        </w:rPr>
        <w:t>P</w:t>
      </w:r>
      <w:r>
        <w:rPr>
          <w:rFonts w:ascii="Book Antiqua" w:eastAsia="宋体" w:hAnsi="Book Antiqua"/>
          <w:lang w:eastAsia="zh-CN"/>
        </w:rPr>
        <w:t xml:space="preserve"> </w:t>
      </w:r>
      <w:r w:rsidRPr="005427FA">
        <w:rPr>
          <w:rFonts w:ascii="Book Antiqua" w:hAnsi="Book Antiqua"/>
        </w:rPr>
        <w:t>=</w:t>
      </w:r>
      <w:r>
        <w:rPr>
          <w:rFonts w:ascii="Book Antiqua" w:eastAsia="宋体" w:hAnsi="Book Antiqua"/>
          <w:lang w:eastAsia="zh-CN"/>
        </w:rPr>
        <w:t xml:space="preserve"> </w:t>
      </w:r>
      <w:r w:rsidRPr="005427FA">
        <w:rPr>
          <w:rFonts w:ascii="Book Antiqua" w:hAnsi="Book Antiqua"/>
        </w:rPr>
        <w:t>0.066)</w:t>
      </w:r>
      <w:r w:rsidRPr="005427FA">
        <w:rPr>
          <w:rFonts w:ascii="Book Antiqua" w:hAnsi="Book Antiqua"/>
          <w:vertAlign w:val="superscript"/>
        </w:rPr>
        <w:t>[167]</w:t>
      </w:r>
      <w:r w:rsidRPr="005427FA">
        <w:rPr>
          <w:rFonts w:ascii="Book Antiqua" w:hAnsi="Book Antiqua"/>
        </w:rPr>
        <w:t>.</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H</w:t>
      </w:r>
      <w:r w:rsidRPr="005427FA">
        <w:rPr>
          <w:rFonts w:ascii="Book Antiqua" w:hAnsi="Book Antiqua"/>
          <w:vertAlign w:val="subscript"/>
        </w:rPr>
        <w:t>2</w:t>
      </w:r>
      <w:r w:rsidRPr="005427FA">
        <w:rPr>
          <w:rFonts w:ascii="Book Antiqua" w:hAnsi="Book Antiqua"/>
        </w:rPr>
        <w:t>S-releasing NSAIDs exhibit enhanced anti-inflammatory activity relative to the parent drugs</w:t>
      </w:r>
      <w:r w:rsidRPr="005427FA">
        <w:rPr>
          <w:rFonts w:ascii="Book Antiqua" w:hAnsi="Book Antiqua"/>
          <w:vertAlign w:val="superscript"/>
        </w:rPr>
        <w:t>[37, 151, 155, 168,169]</w:t>
      </w:r>
      <w:r w:rsidRPr="005427FA">
        <w:rPr>
          <w:rFonts w:ascii="Book Antiqua" w:hAnsi="Book Antiqua"/>
        </w:rPr>
        <w:t>, presumably attributable to the anti-inflammatory and pro-resolution effects of the H</w:t>
      </w:r>
      <w:r w:rsidRPr="005427FA">
        <w:rPr>
          <w:rFonts w:ascii="Book Antiqua" w:hAnsi="Book Antiqua"/>
          <w:vertAlign w:val="subscript"/>
        </w:rPr>
        <w:t>2</w:t>
      </w:r>
      <w:r w:rsidRPr="005427FA">
        <w:rPr>
          <w:rFonts w:ascii="Book Antiqua" w:hAnsi="Book Antiqua"/>
        </w:rPr>
        <w:t>S released from these drugs</w:t>
      </w:r>
      <w:r w:rsidRPr="005427FA">
        <w:rPr>
          <w:rFonts w:ascii="Book Antiqua" w:hAnsi="Book Antiqua"/>
          <w:vertAlign w:val="superscript"/>
        </w:rPr>
        <w:t>[149,158,170-174]</w:t>
      </w:r>
      <w:r w:rsidRPr="005427FA">
        <w:rPr>
          <w:rFonts w:ascii="Book Antiqua" w:hAnsi="Book Antiqua"/>
        </w:rPr>
        <w:t>.</w:t>
      </w:r>
      <w:r>
        <w:rPr>
          <w:rFonts w:ascii="Book Antiqua" w:hAnsi="Book Antiqua"/>
        </w:rPr>
        <w:t xml:space="preserve"> </w:t>
      </w:r>
      <w:r w:rsidRPr="005427FA">
        <w:rPr>
          <w:rFonts w:ascii="Book Antiqua" w:hAnsi="Book Antiqua"/>
        </w:rPr>
        <w:t>In addition to sparing the gastric mucosa of damage in several circumstances of impaired mucosal defence</w:t>
      </w:r>
      <w:r w:rsidRPr="00DC3711">
        <w:rPr>
          <w:rFonts w:ascii="Book Antiqua" w:eastAsia="宋体" w:hAnsi="Book Antiqua"/>
          <w:vertAlign w:val="superscript"/>
          <w:lang w:eastAsia="zh-CN"/>
        </w:rPr>
        <w:t>[</w:t>
      </w:r>
      <w:r w:rsidRPr="005427FA">
        <w:rPr>
          <w:rFonts w:ascii="Book Antiqua" w:hAnsi="Book Antiqua"/>
          <w:vertAlign w:val="superscript"/>
        </w:rPr>
        <w:t>38,175]</w:t>
      </w:r>
      <w:r w:rsidRPr="005427FA">
        <w:rPr>
          <w:rFonts w:ascii="Book Antiqua" w:hAnsi="Book Antiqua"/>
        </w:rPr>
        <w:t>, H</w:t>
      </w:r>
      <w:r w:rsidRPr="005427FA">
        <w:rPr>
          <w:rFonts w:ascii="Book Antiqua" w:hAnsi="Book Antiqua"/>
          <w:vertAlign w:val="subscript"/>
        </w:rPr>
        <w:t>2</w:t>
      </w:r>
      <w:r w:rsidRPr="005427FA">
        <w:rPr>
          <w:rFonts w:ascii="Book Antiqua" w:hAnsi="Book Antiqua"/>
        </w:rPr>
        <w:t>S-releasing NSAIDs have been shown not to cause damage in the small intestine of rats</w:t>
      </w:r>
      <w:r w:rsidRPr="005427FA">
        <w:rPr>
          <w:rFonts w:ascii="Book Antiqua" w:hAnsi="Book Antiqua"/>
          <w:vertAlign w:val="superscript"/>
        </w:rPr>
        <w:t>[38,155,175]</w:t>
      </w:r>
      <w:r w:rsidRPr="005427FA">
        <w:rPr>
          <w:rFonts w:ascii="Book Antiqua" w:hAnsi="Book Antiqua"/>
        </w:rPr>
        <w:t>.</w:t>
      </w:r>
      <w:r>
        <w:rPr>
          <w:rFonts w:ascii="Book Antiqua" w:hAnsi="Book Antiqua"/>
        </w:rPr>
        <w:t xml:space="preserve"> </w:t>
      </w:r>
      <w:r w:rsidRPr="005427FA">
        <w:rPr>
          <w:rFonts w:ascii="Book Antiqua" w:hAnsi="Book Antiqua"/>
        </w:rPr>
        <w:t xml:space="preserve">Moreover, when tested in co-morbidity and polypharmacy models, with repeated administration over several </w:t>
      </w:r>
      <w:r>
        <w:rPr>
          <w:rFonts w:ascii="Book Antiqua" w:hAnsi="Book Antiqua"/>
        </w:rPr>
        <w:t>d</w:t>
      </w:r>
      <w:r>
        <w:rPr>
          <w:rFonts w:ascii="Book Antiqua" w:eastAsia="宋体" w:hAnsi="Book Antiqua"/>
          <w:lang w:eastAsia="zh-CN"/>
        </w:rPr>
        <w:t>ays</w:t>
      </w:r>
      <w:r w:rsidRPr="005427FA">
        <w:rPr>
          <w:rFonts w:ascii="Book Antiqua" w:hAnsi="Book Antiqua"/>
        </w:rPr>
        <w:t>, an H</w:t>
      </w:r>
      <w:r w:rsidRPr="005427FA">
        <w:rPr>
          <w:rFonts w:ascii="Book Antiqua" w:hAnsi="Book Antiqua"/>
          <w:vertAlign w:val="subscript"/>
        </w:rPr>
        <w:t>2</w:t>
      </w:r>
      <w:r w:rsidRPr="005427FA">
        <w:rPr>
          <w:rFonts w:ascii="Book Antiqua" w:hAnsi="Book Antiqua"/>
        </w:rPr>
        <w:t>S-releasing derivative of naproxen (ATB-346) did not cause small intestinal damage</w:t>
      </w:r>
      <w:r w:rsidRPr="005427FA">
        <w:rPr>
          <w:rFonts w:ascii="Book Antiqua" w:hAnsi="Book Antiqua"/>
          <w:vertAlign w:val="superscript"/>
        </w:rPr>
        <w:t>[175]</w:t>
      </w:r>
      <w:r w:rsidRPr="005427FA">
        <w:rPr>
          <w:rFonts w:ascii="Book Antiqua" w:hAnsi="Book Antiqua"/>
        </w:rPr>
        <w:t xml:space="preserve"> (Fig</w:t>
      </w:r>
      <w:r>
        <w:rPr>
          <w:rFonts w:ascii="Book Antiqua" w:eastAsia="宋体" w:hAnsi="Book Antiqua"/>
          <w:lang w:eastAsia="zh-CN"/>
        </w:rPr>
        <w:t>ures</w:t>
      </w:r>
      <w:r w:rsidRPr="005427FA">
        <w:rPr>
          <w:rFonts w:ascii="Book Antiqua" w:hAnsi="Book Antiqua"/>
        </w:rPr>
        <w:t xml:space="preserve"> 2 and 4).</w:t>
      </w:r>
      <w:r>
        <w:rPr>
          <w:rFonts w:ascii="Book Antiqua" w:hAnsi="Book Antiqua"/>
        </w:rPr>
        <w:t xml:space="preserve"> </w:t>
      </w:r>
      <w:r w:rsidRPr="005427FA">
        <w:rPr>
          <w:rFonts w:ascii="Book Antiqua" w:hAnsi="Book Antiqua"/>
        </w:rPr>
        <w:t xml:space="preserve">For example, obese rats that exhibited markedly greater naproxen-induced enteropathy than </w:t>
      </w:r>
      <w:r w:rsidRPr="005427FA">
        <w:rPr>
          <w:rFonts w:ascii="Book Antiqua" w:hAnsi="Book Antiqua"/>
        </w:rPr>
        <w:lastRenderedPageBreak/>
        <w:t>was observed in lean rats, but ATB-346 did not elicit damage in lean or obese rats</w:t>
      </w:r>
      <w:r w:rsidRPr="005427FA">
        <w:rPr>
          <w:rFonts w:ascii="Book Antiqua" w:hAnsi="Book Antiqua"/>
          <w:vertAlign w:val="superscript"/>
        </w:rPr>
        <w:t>[175]</w:t>
      </w:r>
      <w:r w:rsidRPr="005427FA">
        <w:rPr>
          <w:rFonts w:ascii="Book Antiqua" w:hAnsi="Book Antiqua"/>
        </w:rPr>
        <w:t>.</w:t>
      </w:r>
      <w:r>
        <w:rPr>
          <w:rFonts w:ascii="Book Antiqua" w:hAnsi="Book Antiqua"/>
        </w:rPr>
        <w:t xml:space="preserve"> </w:t>
      </w:r>
      <w:r w:rsidRPr="005427FA">
        <w:rPr>
          <w:rFonts w:ascii="Book Antiqua" w:hAnsi="Book Antiqua"/>
        </w:rPr>
        <w:t xml:space="preserve">Interestingly, Zucker obese rats have a microbiota distinct from that of their lean littermates, with a marked reduction in intestinal levels of </w:t>
      </w:r>
      <w:r w:rsidRPr="005427FA">
        <w:rPr>
          <w:rFonts w:ascii="Book Antiqua" w:hAnsi="Book Antiqua"/>
          <w:i/>
        </w:rPr>
        <w:t>Bifidobacteria</w:t>
      </w:r>
      <w:r w:rsidRPr="005427FA">
        <w:rPr>
          <w:rFonts w:ascii="Book Antiqua" w:hAnsi="Book Antiqua"/>
          <w:vertAlign w:val="superscript"/>
        </w:rPr>
        <w:t>[176]</w:t>
      </w:r>
      <w:r w:rsidRPr="005427FA">
        <w:rPr>
          <w:rFonts w:ascii="Book Antiqua" w:hAnsi="Book Antiqua"/>
        </w:rPr>
        <w:t>.</w:t>
      </w:r>
      <w:r>
        <w:rPr>
          <w:rFonts w:ascii="Book Antiqua" w:hAnsi="Book Antiqua"/>
        </w:rPr>
        <w:t xml:space="preserve"> </w:t>
      </w:r>
      <w:r w:rsidRPr="005427FA">
        <w:rPr>
          <w:rFonts w:ascii="Book Antiqua" w:hAnsi="Book Antiqua"/>
        </w:rPr>
        <w:t xml:space="preserve">Recall that we observed that PPIs increased the severity ofNSAID-enteropathy in rats, and found that this was largely attributable to a decrease in intestinal </w:t>
      </w:r>
      <w:r w:rsidRPr="005427FA">
        <w:rPr>
          <w:rFonts w:ascii="Book Antiqua" w:hAnsi="Book Antiqua"/>
          <w:i/>
        </w:rPr>
        <w:t>Bifidobacteria</w:t>
      </w:r>
      <w:r w:rsidRPr="005427FA">
        <w:rPr>
          <w:rFonts w:ascii="Book Antiqua" w:hAnsi="Book Antiqua"/>
        </w:rPr>
        <w:t xml:space="preserve"> levels</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ATB-346 retained its favourable profile in the intestine even when co-administered with a PPI and or low-dose aspirin</w:t>
      </w:r>
      <w:r w:rsidRPr="005427FA">
        <w:rPr>
          <w:rFonts w:ascii="Book Antiqua" w:hAnsi="Book Antiqua"/>
          <w:vertAlign w:val="superscript"/>
        </w:rPr>
        <w:t>[175]</w:t>
      </w:r>
      <w:r w:rsidRPr="005427FA">
        <w:rPr>
          <w:rFonts w:ascii="Book Antiqua" w:hAnsi="Book Antiqua"/>
        </w:rPr>
        <w:t xml:space="preserve"> (Fig</w:t>
      </w:r>
      <w:r>
        <w:rPr>
          <w:rFonts w:ascii="Book Antiqua" w:eastAsia="宋体" w:hAnsi="Book Antiqua"/>
          <w:lang w:eastAsia="zh-CN"/>
        </w:rPr>
        <w:t>ure</w:t>
      </w:r>
      <w:r w:rsidRPr="005427FA">
        <w:rPr>
          <w:rFonts w:ascii="Book Antiqua" w:hAnsi="Book Antiqua"/>
        </w:rPr>
        <w:t xml:space="preserve"> 2).</w:t>
      </w:r>
      <w:r>
        <w:rPr>
          <w:rFonts w:ascii="Book Antiqua" w:hAnsi="Book Antiqua"/>
        </w:rPr>
        <w:t xml:space="preserve"> </w:t>
      </w:r>
    </w:p>
    <w:p w:rsidR="002550C2" w:rsidRPr="005427FA" w:rsidRDefault="002550C2" w:rsidP="005427FA">
      <w:pPr>
        <w:spacing w:line="360" w:lineRule="auto"/>
        <w:jc w:val="both"/>
        <w:rPr>
          <w:rFonts w:ascii="Book Antiqua" w:hAnsi="Book Antiqua"/>
        </w:rPr>
      </w:pPr>
      <w:r w:rsidRPr="005427FA">
        <w:rPr>
          <w:rFonts w:ascii="Book Antiqua" w:hAnsi="Book Antiqua"/>
        </w:rPr>
        <w:tab/>
        <w:t>A particularly important feature of ATB-346 that may be very important in terms of its lack of damaging effects in the small intestine is that, though metabolized to release naproxen, there are relatively low levels of naproxen in bile after administration of this compound</w:t>
      </w:r>
      <w:r w:rsidRPr="005427FA">
        <w:rPr>
          <w:rFonts w:ascii="Book Antiqua" w:hAnsi="Book Antiqua"/>
          <w:vertAlign w:val="superscript"/>
        </w:rPr>
        <w:t>[175]</w:t>
      </w:r>
      <w:r w:rsidRPr="005427FA">
        <w:rPr>
          <w:rFonts w:ascii="Book Antiqua" w:hAnsi="Book Antiqua"/>
        </w:rPr>
        <w:t xml:space="preserve"> (Fig</w:t>
      </w:r>
      <w:r>
        <w:rPr>
          <w:rFonts w:ascii="Book Antiqua" w:eastAsia="宋体" w:hAnsi="Book Antiqua"/>
          <w:lang w:eastAsia="zh-CN"/>
        </w:rPr>
        <w:t>ure</w:t>
      </w:r>
      <w:r w:rsidRPr="005427FA">
        <w:rPr>
          <w:rFonts w:ascii="Book Antiqua" w:hAnsi="Book Antiqua"/>
        </w:rPr>
        <w:t xml:space="preserve"> 4).</w:t>
      </w:r>
      <w:r>
        <w:rPr>
          <w:rFonts w:ascii="Book Antiqua" w:hAnsi="Book Antiqua"/>
        </w:rPr>
        <w:t xml:space="preserve"> </w:t>
      </w:r>
      <w:r w:rsidRPr="005427FA">
        <w:rPr>
          <w:rFonts w:ascii="Book Antiqua" w:hAnsi="Book Antiqua"/>
        </w:rPr>
        <w:t>Moreover, the biliary levels of naproxen-glucuronide were reduced by 72% in the ATB-346 group as compared to the naproxen group</w:t>
      </w:r>
      <w:r w:rsidRPr="005427FA">
        <w:rPr>
          <w:rFonts w:ascii="Book Antiqua" w:hAnsi="Book Antiqua"/>
          <w:vertAlign w:val="superscript"/>
        </w:rPr>
        <w:t>[175]</w:t>
      </w:r>
      <w:r w:rsidRPr="005427FA">
        <w:rPr>
          <w:rFonts w:ascii="Book Antiqua" w:hAnsi="Book Antiqua"/>
        </w:rPr>
        <w:t>.</w:t>
      </w:r>
      <w:r>
        <w:rPr>
          <w:rFonts w:ascii="Book Antiqua" w:hAnsi="Book Antiqua"/>
        </w:rPr>
        <w:t xml:space="preserve"> </w:t>
      </w:r>
      <w:r w:rsidRPr="005427FA">
        <w:rPr>
          <w:rFonts w:ascii="Book Antiqua" w:hAnsi="Book Antiqua"/>
        </w:rPr>
        <w:t xml:space="preserve">These altered pharmacokinetics of ATB-346 </w:t>
      </w:r>
      <w:r w:rsidRPr="000B6E17">
        <w:rPr>
          <w:rFonts w:ascii="Book Antiqua" w:hAnsi="Book Antiqua"/>
          <w:i/>
        </w:rPr>
        <w:t>vs</w:t>
      </w:r>
      <w:r w:rsidRPr="005427FA">
        <w:rPr>
          <w:rFonts w:ascii="Book Antiqua" w:hAnsi="Book Antiqua"/>
        </w:rPr>
        <w:t xml:space="preserve"> naproxen did not alter the anti-inflammatory activity of the drug</w:t>
      </w:r>
      <w:r w:rsidRPr="005427FA">
        <w:rPr>
          <w:rFonts w:ascii="Book Antiqua" w:hAnsi="Book Antiqua"/>
          <w:vertAlign w:val="superscript"/>
        </w:rPr>
        <w:t>[37]</w:t>
      </w:r>
      <w:r w:rsidRPr="005427FA">
        <w:rPr>
          <w:rFonts w:ascii="Book Antiqua" w:hAnsi="Book Antiqua"/>
        </w:rPr>
        <w:t>, but could contribute significantly to the intestinal-sparing properties of ATB-346.</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Recently, a class of drugs was described that consists of an NSAID attached to moieties releasing both NO and H</w:t>
      </w:r>
      <w:r w:rsidRPr="005427FA">
        <w:rPr>
          <w:rFonts w:ascii="Book Antiqua" w:hAnsi="Book Antiqua"/>
          <w:vertAlign w:val="subscript"/>
        </w:rPr>
        <w:t>2</w:t>
      </w:r>
      <w:r w:rsidRPr="005427FA">
        <w:rPr>
          <w:rFonts w:ascii="Book Antiqua" w:hAnsi="Book Antiqua"/>
        </w:rPr>
        <w:t>S</w:t>
      </w:r>
      <w:r w:rsidRPr="005427FA">
        <w:rPr>
          <w:rFonts w:ascii="Book Antiqua" w:hAnsi="Book Antiqua"/>
          <w:vertAlign w:val="superscript"/>
        </w:rPr>
        <w:t>[176]</w:t>
      </w:r>
      <w:r w:rsidRPr="005427FA">
        <w:rPr>
          <w:rFonts w:ascii="Book Antiqua" w:hAnsi="Book Antiqua"/>
        </w:rPr>
        <w:t>.</w:t>
      </w:r>
      <w:r>
        <w:rPr>
          <w:rFonts w:ascii="Book Antiqua" w:hAnsi="Book Antiqua"/>
        </w:rPr>
        <w:t xml:space="preserve"> </w:t>
      </w:r>
      <w:r w:rsidRPr="005427FA">
        <w:rPr>
          <w:rFonts w:ascii="Book Antiqua" w:hAnsi="Book Antiqua"/>
        </w:rPr>
        <w:t>These compounds show comparable actions as the parent drugs in terms of inhibiting COX activity, but there ares no available data on their GI toxicity.</w:t>
      </w:r>
    </w:p>
    <w:p w:rsidR="002550C2" w:rsidRPr="00C60495" w:rsidRDefault="002550C2" w:rsidP="00112ED9">
      <w:pPr>
        <w:spacing w:line="360" w:lineRule="auto"/>
        <w:ind w:firstLine="720"/>
        <w:jc w:val="both"/>
        <w:rPr>
          <w:rFonts w:ascii="Book Antiqua" w:eastAsia="宋体" w:hAnsi="Book Antiqua"/>
          <w:lang w:eastAsia="zh-CN"/>
        </w:rPr>
      </w:pPr>
      <w:r w:rsidRPr="005427FA">
        <w:rPr>
          <w:rFonts w:ascii="Book Antiqua" w:hAnsi="Book Antiqua"/>
        </w:rPr>
        <w:t>NSAIDs pre-associated with phospholipids are a unique type of “co-drug”.</w:t>
      </w:r>
      <w:r>
        <w:rPr>
          <w:rFonts w:ascii="Book Antiqua" w:hAnsi="Book Antiqua"/>
        </w:rPr>
        <w:t xml:space="preserve"> </w:t>
      </w:r>
    </w:p>
    <w:p w:rsidR="002550C2" w:rsidRPr="005427FA" w:rsidRDefault="002550C2" w:rsidP="00112ED9">
      <w:pPr>
        <w:widowControl w:val="0"/>
        <w:autoSpaceDE w:val="0"/>
        <w:autoSpaceDN w:val="0"/>
        <w:adjustRightInd w:val="0"/>
        <w:spacing w:line="360" w:lineRule="auto"/>
        <w:ind w:firstLineChars="250" w:firstLine="600"/>
        <w:jc w:val="both"/>
        <w:rPr>
          <w:rFonts w:ascii="Book Antiqua" w:hAnsi="Book Antiqua"/>
        </w:rPr>
      </w:pPr>
      <w:r w:rsidRPr="005427FA">
        <w:rPr>
          <w:rFonts w:ascii="Book Antiqua" w:hAnsi="Book Antiqua"/>
        </w:rPr>
        <w:t>Surface-active phospholipids have been proposed to constitute an important component of the epithelial “barrier” to acid back-diffusion, and NSAIDs can to disrupt this barrier</w:t>
      </w:r>
      <w:r w:rsidRPr="005427FA">
        <w:rPr>
          <w:rFonts w:ascii="Book Antiqua" w:hAnsi="Book Antiqua"/>
          <w:vertAlign w:val="superscript"/>
        </w:rPr>
        <w:t>[179]</w:t>
      </w:r>
      <w:r w:rsidRPr="005427FA">
        <w:rPr>
          <w:rFonts w:ascii="Book Antiqua" w:hAnsi="Book Antiqua"/>
        </w:rPr>
        <w:t>.</w:t>
      </w:r>
      <w:r>
        <w:rPr>
          <w:rFonts w:ascii="Book Antiqua" w:hAnsi="Book Antiqua"/>
        </w:rPr>
        <w:t xml:space="preserve"> </w:t>
      </w:r>
      <w:r w:rsidRPr="005427FA">
        <w:rPr>
          <w:rFonts w:ascii="Book Antiqua" w:hAnsi="Book Antiqua"/>
        </w:rPr>
        <w:t xml:space="preserve">Lichtenberger </w:t>
      </w:r>
      <w:r w:rsidRPr="001F075D">
        <w:rPr>
          <w:rFonts w:ascii="Book Antiqua" w:hAnsi="Book Antiqua"/>
          <w:i/>
        </w:rPr>
        <w:t>et al</w:t>
      </w:r>
      <w:r w:rsidRPr="005427FA">
        <w:rPr>
          <w:rFonts w:ascii="Book Antiqua" w:hAnsi="Book Antiqua"/>
          <w:vertAlign w:val="superscript"/>
        </w:rPr>
        <w:t>[180]</w:t>
      </w:r>
      <w:r w:rsidRPr="005427FA">
        <w:rPr>
          <w:rFonts w:ascii="Book Antiqua" w:hAnsi="Book Antiqua"/>
        </w:rPr>
        <w:t xml:space="preserve"> demonstrated that pre-associating an NSAID with a zwitterionic phospholipid prevents the NSAID from disrupting the barrier function of the epithelium.</w:t>
      </w:r>
      <w:r>
        <w:rPr>
          <w:rFonts w:ascii="Book Antiqua" w:hAnsi="Book Antiqua"/>
        </w:rPr>
        <w:t xml:space="preserve"> </w:t>
      </w:r>
      <w:r w:rsidRPr="005427FA">
        <w:rPr>
          <w:rFonts w:ascii="Book Antiqua" w:hAnsi="Book Antiqua"/>
        </w:rPr>
        <w:t xml:space="preserve">Thus, covalently linking phosphatidylcholine to aspirin, ibuprofen and other NSAIDs results in compounds with equivalent anti-inflammatory properties to the parent drug, but </w:t>
      </w:r>
      <w:r w:rsidRPr="005427FA">
        <w:rPr>
          <w:rFonts w:ascii="Book Antiqua" w:hAnsi="Book Antiqua"/>
        </w:rPr>
        <w:lastRenderedPageBreak/>
        <w:t>with markedly reduced gastric toxicity</w:t>
      </w:r>
      <w:r w:rsidRPr="005427FA">
        <w:rPr>
          <w:rFonts w:ascii="Book Antiqua" w:hAnsi="Book Antiqua"/>
          <w:vertAlign w:val="superscript"/>
        </w:rPr>
        <w:t>[181]</w:t>
      </w:r>
      <w:r w:rsidRPr="005427FA">
        <w:rPr>
          <w:rFonts w:ascii="Book Antiqua" w:hAnsi="Book Antiqua"/>
        </w:rPr>
        <w:t>.</w:t>
      </w:r>
      <w:r>
        <w:rPr>
          <w:rFonts w:ascii="Book Antiqua" w:hAnsi="Book Antiqua"/>
        </w:rPr>
        <w:t xml:space="preserve"> </w:t>
      </w:r>
      <w:r w:rsidRPr="005427FA">
        <w:rPr>
          <w:rFonts w:ascii="Book Antiqua" w:hAnsi="Book Antiqua"/>
        </w:rPr>
        <w:t>This has been demonstrated in endoscopic clinical trials for an aspirin derivative</w:t>
      </w:r>
      <w:r w:rsidRPr="005427FA">
        <w:rPr>
          <w:rFonts w:ascii="Book Antiqua" w:hAnsi="Book Antiqua"/>
          <w:vertAlign w:val="superscript"/>
        </w:rPr>
        <w:t>[182]</w:t>
      </w:r>
      <w:r w:rsidRPr="005427FA">
        <w:rPr>
          <w:rFonts w:ascii="Book Antiqua" w:hAnsi="Book Antiqua"/>
        </w:rPr>
        <w:t>, and also with an ibuprofen derivative</w:t>
      </w:r>
      <w:r w:rsidRPr="005427FA">
        <w:rPr>
          <w:rFonts w:ascii="Book Antiqua" w:hAnsi="Book Antiqua"/>
          <w:vertAlign w:val="superscript"/>
        </w:rPr>
        <w:t>[183]</w:t>
      </w:r>
      <w:r w:rsidRPr="005427FA">
        <w:rPr>
          <w:rFonts w:ascii="Book Antiqua" w:hAnsi="Book Antiqua"/>
        </w:rPr>
        <w:t>, though in the latter trial, statistical significance was only seen in an older subset of the patients studied.</w:t>
      </w:r>
      <w:r>
        <w:rPr>
          <w:rFonts w:ascii="Book Antiqua" w:hAnsi="Book Antiqua"/>
        </w:rPr>
        <w:t xml:space="preserve"> </w:t>
      </w:r>
      <w:r w:rsidRPr="005427FA">
        <w:rPr>
          <w:rFonts w:ascii="Book Antiqua" w:hAnsi="Book Antiqua"/>
        </w:rPr>
        <w:t xml:space="preserve">Recently Lichtenberger </w:t>
      </w:r>
      <w:r w:rsidRPr="001F075D">
        <w:rPr>
          <w:rFonts w:ascii="Book Antiqua" w:hAnsi="Book Antiqua"/>
          <w:i/>
        </w:rPr>
        <w:t>et al</w:t>
      </w:r>
      <w:r w:rsidRPr="005427FA">
        <w:rPr>
          <w:rFonts w:ascii="Book Antiqua" w:hAnsi="Book Antiqua"/>
          <w:vertAlign w:val="superscript"/>
        </w:rPr>
        <w:t>[78]</w:t>
      </w:r>
      <w:r w:rsidRPr="005427FA">
        <w:rPr>
          <w:rFonts w:ascii="Book Antiqua" w:hAnsi="Book Antiqua"/>
        </w:rPr>
        <w:t xml:space="preserve"> demonstrated that pre-associating aspirin with phosphatidylcholine greatly reduced the small intestinal damage produced by intraduodenal administration of this compound, as compared to aspirin alone.</w:t>
      </w:r>
      <w:r>
        <w:rPr>
          <w:rFonts w:ascii="Book Antiqua" w:hAnsi="Book Antiqua"/>
        </w:rPr>
        <w:t xml:space="preserve"> </w:t>
      </w:r>
    </w:p>
    <w:p w:rsidR="002550C2" w:rsidRPr="005427FA" w:rsidRDefault="002550C2" w:rsidP="005427FA">
      <w:pPr>
        <w:spacing w:line="360" w:lineRule="auto"/>
        <w:jc w:val="both"/>
        <w:rPr>
          <w:rFonts w:ascii="Book Antiqua" w:hAnsi="Book Antiqua"/>
          <w:b/>
          <w:u w:val="single"/>
        </w:rPr>
      </w:pPr>
    </w:p>
    <w:p w:rsidR="002550C2" w:rsidRPr="00814322" w:rsidRDefault="002550C2" w:rsidP="002A18AF">
      <w:pPr>
        <w:spacing w:line="360" w:lineRule="auto"/>
        <w:jc w:val="both"/>
        <w:rPr>
          <w:rFonts w:ascii="Book Antiqua" w:eastAsia="宋体" w:hAnsi="Book Antiqua"/>
          <w:b/>
          <w:lang w:eastAsia="zh-CN"/>
        </w:rPr>
      </w:pPr>
      <w:r w:rsidRPr="00841188">
        <w:rPr>
          <w:rFonts w:ascii="Book Antiqua" w:hAnsi="Book Antiqua"/>
          <w:b/>
        </w:rPr>
        <w:t>CONCLUSION</w:t>
      </w:r>
    </w:p>
    <w:p w:rsidR="002550C2" w:rsidRPr="005427FA" w:rsidRDefault="002550C2" w:rsidP="002A18AF">
      <w:pPr>
        <w:spacing w:line="360" w:lineRule="auto"/>
        <w:jc w:val="both"/>
        <w:rPr>
          <w:rFonts w:ascii="Book Antiqua" w:hAnsi="Book Antiqua"/>
        </w:rPr>
      </w:pPr>
      <w:r w:rsidRPr="005427FA">
        <w:rPr>
          <w:rFonts w:ascii="Book Antiqua" w:hAnsi="Book Antiqua"/>
        </w:rPr>
        <w:t>NSAID-enteropathy has largely been ignored for decades as a result of the focus on NSAID-gastropathy, driven largely by the development of several commercially successful drugs targeting that disorder (H</w:t>
      </w:r>
      <w:r w:rsidRPr="005427FA">
        <w:rPr>
          <w:rFonts w:ascii="Book Antiqua" w:hAnsi="Book Antiqua"/>
          <w:vertAlign w:val="subscript"/>
        </w:rPr>
        <w:t>2</w:t>
      </w:r>
      <w:r w:rsidRPr="005427FA">
        <w:rPr>
          <w:rFonts w:ascii="Book Antiqua" w:hAnsi="Book Antiqua"/>
        </w:rPr>
        <w:t>RA, PPIs, selective COX-2 inhibitors).</w:t>
      </w:r>
      <w:r>
        <w:rPr>
          <w:rFonts w:ascii="Book Antiqua" w:hAnsi="Book Antiqua"/>
        </w:rPr>
        <w:t xml:space="preserve"> </w:t>
      </w:r>
      <w:r w:rsidRPr="005427FA">
        <w:rPr>
          <w:rFonts w:ascii="Book Antiqua" w:hAnsi="Book Antiqua"/>
        </w:rPr>
        <w:t>Moreover, the difficulty in detecting NSAID-enteropathy and the lack of any proven-effective preventative or treatment options has contributed to an under-appreciation of the magnitude of this significant adverse reaction to a very widely used class of drugs.</w:t>
      </w:r>
      <w:r>
        <w:rPr>
          <w:rFonts w:ascii="Book Antiqua" w:hAnsi="Book Antiqua"/>
        </w:rPr>
        <w:t xml:space="preserve"> </w:t>
      </w:r>
      <w:r w:rsidRPr="005427FA">
        <w:rPr>
          <w:rFonts w:ascii="Book Antiqua" w:hAnsi="Book Antiqua"/>
        </w:rPr>
        <w:t>With the development of video capsule endoscopy, the frequency and severity of NSAID-enteropathy has become more evident.</w:t>
      </w:r>
      <w:r>
        <w:rPr>
          <w:rFonts w:ascii="Book Antiqua" w:hAnsi="Book Antiqua"/>
        </w:rPr>
        <w:t xml:space="preserve"> </w:t>
      </w:r>
      <w:r w:rsidRPr="005427FA">
        <w:rPr>
          <w:rFonts w:ascii="Book Antiqua" w:hAnsi="Book Antiqua"/>
        </w:rPr>
        <w:t>Techniques such as VCE also permit more conclusive studies of the safety of novel NSAIDs and of potential prevention or treatment strategies.</w:t>
      </w:r>
    </w:p>
    <w:p w:rsidR="002550C2" w:rsidRPr="005427FA" w:rsidRDefault="002550C2" w:rsidP="005427FA">
      <w:pPr>
        <w:spacing w:line="360" w:lineRule="auto"/>
        <w:ind w:firstLine="720"/>
        <w:jc w:val="both"/>
        <w:rPr>
          <w:rFonts w:ascii="Book Antiqua" w:hAnsi="Book Antiqua"/>
        </w:rPr>
      </w:pPr>
      <w:r w:rsidRPr="005427FA">
        <w:rPr>
          <w:rFonts w:ascii="Book Antiqua" w:hAnsi="Book Antiqua"/>
        </w:rPr>
        <w:t>The animal models for NSAID-enteropathy are very good, and they have provided a great deal of information on the pathogenesis of this disorder.</w:t>
      </w:r>
      <w:r>
        <w:rPr>
          <w:rFonts w:ascii="Book Antiqua" w:hAnsi="Book Antiqua"/>
        </w:rPr>
        <w:t xml:space="preserve"> </w:t>
      </w:r>
      <w:r w:rsidRPr="005427FA">
        <w:rPr>
          <w:rFonts w:ascii="Book Antiqua" w:hAnsi="Book Antiqua"/>
        </w:rPr>
        <w:t>Moreover, the animal studies have given some direction as to viable strategies for preventing NSAID-enteropathy, and the models are useful for testing novel therapeutics agents.</w:t>
      </w:r>
    </w:p>
    <w:p w:rsidR="002550C2" w:rsidRDefault="002550C2" w:rsidP="005427FA">
      <w:pPr>
        <w:spacing w:line="360" w:lineRule="auto"/>
        <w:ind w:firstLine="720"/>
        <w:jc w:val="both"/>
        <w:rPr>
          <w:rFonts w:ascii="Book Antiqua" w:eastAsia="宋体" w:hAnsi="Book Antiqua"/>
          <w:lang w:eastAsia="zh-CN"/>
        </w:rPr>
      </w:pPr>
      <w:r w:rsidRPr="005427FA">
        <w:rPr>
          <w:rFonts w:ascii="Book Antiqua" w:hAnsi="Book Antiqua"/>
        </w:rPr>
        <w:t xml:space="preserve">As is the case with NSAID-induced injury in the upper GI tract, it is important that studies of NSAID-enteropathy focus on animal models that are most similar to the patients that use these drugs and most often develop serious adverse effects. Thus, future studies should focus on the use of animal models </w:t>
      </w:r>
      <w:r w:rsidRPr="005427FA">
        <w:rPr>
          <w:rFonts w:ascii="Book Antiqua" w:hAnsi="Book Antiqua"/>
        </w:rPr>
        <w:lastRenderedPageBreak/>
        <w:t>with relevant co-morbidities that display increased susceptibility to NSAID-enteropathy, and on patients most at risk of developing intestinal damage and bleeding.</w:t>
      </w:r>
    </w:p>
    <w:p w:rsidR="002550C2" w:rsidRDefault="002550C2" w:rsidP="005427FA">
      <w:pPr>
        <w:spacing w:line="360" w:lineRule="auto"/>
        <w:ind w:firstLine="720"/>
        <w:jc w:val="both"/>
        <w:rPr>
          <w:rFonts w:ascii="Book Antiqua" w:eastAsia="宋体" w:hAnsi="Book Antiqua"/>
          <w:lang w:eastAsia="zh-CN"/>
        </w:rPr>
      </w:pPr>
    </w:p>
    <w:p w:rsidR="002550C2" w:rsidRPr="002873F2" w:rsidRDefault="002550C2" w:rsidP="002873F2">
      <w:pPr>
        <w:spacing w:line="360" w:lineRule="auto"/>
        <w:jc w:val="both"/>
        <w:rPr>
          <w:rFonts w:ascii="Book Antiqua" w:eastAsia="宋体" w:hAnsi="Book Antiqua"/>
          <w:b/>
          <w:lang w:eastAsia="zh-CN"/>
        </w:rPr>
      </w:pPr>
      <w:r w:rsidRPr="002873F2">
        <w:rPr>
          <w:rFonts w:ascii="Book Antiqua" w:eastAsia="宋体" w:hAnsi="Book Antiqua"/>
          <w:b/>
          <w:lang w:eastAsia="zh-CN"/>
        </w:rPr>
        <w:t>ACKNOWLEDGMENTS</w:t>
      </w:r>
    </w:p>
    <w:p w:rsidR="002550C2" w:rsidRPr="005427FA" w:rsidRDefault="002550C2" w:rsidP="002873F2">
      <w:pPr>
        <w:spacing w:line="360" w:lineRule="auto"/>
        <w:jc w:val="both"/>
        <w:rPr>
          <w:rFonts w:ascii="Book Antiqua" w:hAnsi="Book Antiqua"/>
        </w:rPr>
      </w:pPr>
      <w:r w:rsidRPr="005427FA">
        <w:rPr>
          <w:rFonts w:ascii="Book Antiqua" w:hAnsi="Book Antiqua"/>
        </w:rPr>
        <w:t>Dr. Wallace is a founder and shareholder of Antibe Therapeutics Inc., a company developing novel NSAIDs.</w:t>
      </w:r>
    </w:p>
    <w:p w:rsidR="002550C2" w:rsidRPr="002873F2" w:rsidRDefault="002550C2" w:rsidP="005427FA">
      <w:pPr>
        <w:spacing w:line="360" w:lineRule="auto"/>
        <w:ind w:firstLine="720"/>
        <w:jc w:val="both"/>
        <w:rPr>
          <w:rFonts w:ascii="Book Antiqua" w:eastAsia="宋体" w:hAnsi="Book Antiqua"/>
          <w:lang w:eastAsia="zh-CN"/>
        </w:rPr>
      </w:pPr>
    </w:p>
    <w:p w:rsidR="002550C2" w:rsidRPr="005427FA" w:rsidRDefault="002550C2" w:rsidP="005427FA">
      <w:pPr>
        <w:spacing w:line="360" w:lineRule="auto"/>
        <w:jc w:val="both"/>
        <w:rPr>
          <w:rFonts w:ascii="Book Antiqua" w:hAnsi="Book Antiqua"/>
          <w:b/>
          <w:u w:val="single"/>
        </w:rPr>
      </w:pPr>
      <w:r w:rsidRPr="005427FA">
        <w:rPr>
          <w:rFonts w:ascii="Book Antiqua" w:hAnsi="Book Antiqua"/>
          <w:b/>
          <w:u w:val="single"/>
        </w:rPr>
        <w:br w:type="page"/>
      </w:r>
    </w:p>
    <w:p w:rsidR="002550C2" w:rsidRPr="00FF3171" w:rsidRDefault="002550C2" w:rsidP="005427FA">
      <w:pPr>
        <w:spacing w:line="360" w:lineRule="auto"/>
        <w:jc w:val="both"/>
        <w:rPr>
          <w:rFonts w:ascii="Book Antiqua" w:hAnsi="Book Antiqua"/>
          <w:b/>
        </w:rPr>
      </w:pPr>
      <w:r w:rsidRPr="00FF3171">
        <w:rPr>
          <w:rFonts w:ascii="Book Antiqua" w:hAnsi="Book Antiqua"/>
          <w:b/>
        </w:rPr>
        <w:t>REFERENCES</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1 </w:t>
      </w:r>
      <w:r w:rsidRPr="00465221">
        <w:rPr>
          <w:rFonts w:ascii="Book Antiqua" w:eastAsia="宋体" w:hAnsi="Book Antiqua" w:cs="宋体"/>
          <w:b/>
          <w:bCs/>
        </w:rPr>
        <w:t>Wallace JL</w:t>
      </w:r>
      <w:r w:rsidRPr="00465221">
        <w:rPr>
          <w:rFonts w:ascii="Book Antiqua" w:eastAsia="宋体" w:hAnsi="Book Antiqua" w:cs="宋体"/>
        </w:rPr>
        <w:t>. Prostaglandins, NSAIDs, and gastric mucosal protection: why doesn't the stomach digest itself? </w:t>
      </w:r>
      <w:r w:rsidRPr="00465221">
        <w:rPr>
          <w:rFonts w:ascii="Book Antiqua" w:eastAsia="宋体" w:hAnsi="Book Antiqua" w:cs="宋体"/>
          <w:i/>
          <w:iCs/>
        </w:rPr>
        <w:t>Physiol Rev</w:t>
      </w:r>
      <w:r w:rsidRPr="00465221">
        <w:rPr>
          <w:rFonts w:ascii="Book Antiqua" w:eastAsia="宋体" w:hAnsi="Book Antiqua" w:cs="宋体"/>
        </w:rPr>
        <w:t> 2008; </w:t>
      </w:r>
      <w:r w:rsidRPr="00465221">
        <w:rPr>
          <w:rFonts w:ascii="Book Antiqua" w:eastAsia="宋体" w:hAnsi="Book Antiqua" w:cs="宋体"/>
          <w:b/>
          <w:bCs/>
        </w:rPr>
        <w:t>88</w:t>
      </w:r>
      <w:r w:rsidRPr="00465221">
        <w:rPr>
          <w:rFonts w:ascii="Book Antiqua" w:eastAsia="宋体" w:hAnsi="Book Antiqua" w:cs="宋体"/>
        </w:rPr>
        <w:t>: 1547-1565 [PMID: 18923189 DOI: 10.1152/physrev.00004.2008]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2 </w:t>
      </w:r>
      <w:r w:rsidRPr="00465221">
        <w:rPr>
          <w:rFonts w:ascii="Book Antiqua" w:eastAsia="宋体" w:hAnsi="Book Antiqua" w:cs="宋体"/>
          <w:b/>
          <w:bCs/>
        </w:rPr>
        <w:t>Adebayo D</w:t>
      </w:r>
      <w:r w:rsidRPr="00465221">
        <w:rPr>
          <w:rFonts w:ascii="Book Antiqua" w:eastAsia="宋体" w:hAnsi="Book Antiqua" w:cs="宋体"/>
        </w:rPr>
        <w:t>, Bjarnason I. Is non-steroidal anti-inflammaory drug (NSAID) enteropathy clinically more important than NSAID gastropathy? </w:t>
      </w:r>
      <w:r w:rsidRPr="00465221">
        <w:rPr>
          <w:rFonts w:ascii="Book Antiqua" w:eastAsia="宋体" w:hAnsi="Book Antiqua" w:cs="宋体"/>
          <w:i/>
          <w:iCs/>
        </w:rPr>
        <w:t>Postgrad Med J</w:t>
      </w:r>
      <w:r w:rsidRPr="00465221">
        <w:rPr>
          <w:rFonts w:ascii="Book Antiqua" w:eastAsia="宋体" w:hAnsi="Book Antiqua" w:cs="宋体"/>
        </w:rPr>
        <w:t> 2006; </w:t>
      </w:r>
      <w:r w:rsidRPr="00465221">
        <w:rPr>
          <w:rFonts w:ascii="Book Antiqua" w:eastAsia="宋体" w:hAnsi="Book Antiqua" w:cs="宋体"/>
          <w:b/>
          <w:bCs/>
        </w:rPr>
        <w:t>82</w:t>
      </w:r>
      <w:r w:rsidRPr="00465221">
        <w:rPr>
          <w:rFonts w:ascii="Book Antiqua" w:eastAsia="宋体" w:hAnsi="Book Antiqua" w:cs="宋体"/>
        </w:rPr>
        <w:t>: 186-191 [PMID: 16517800 DOI: 10.1136/pgmj.2005.039586]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3 </w:t>
      </w:r>
      <w:r w:rsidRPr="00465221">
        <w:rPr>
          <w:rFonts w:ascii="Book Antiqua" w:eastAsia="宋体" w:hAnsi="Book Antiqua" w:cs="宋体"/>
          <w:b/>
          <w:bCs/>
        </w:rPr>
        <w:t>McCarthy DM</w:t>
      </w:r>
      <w:r w:rsidRPr="00465221">
        <w:rPr>
          <w:rFonts w:ascii="Book Antiqua" w:eastAsia="宋体" w:hAnsi="Book Antiqua" w:cs="宋体"/>
        </w:rPr>
        <w:t>. GI bleeding: problems that persist. </w:t>
      </w:r>
      <w:r w:rsidRPr="00465221">
        <w:rPr>
          <w:rFonts w:ascii="Book Antiqua" w:eastAsia="宋体" w:hAnsi="Book Antiqua" w:cs="宋体"/>
          <w:i/>
          <w:iCs/>
        </w:rPr>
        <w:t>Gastrointest Endosc</w:t>
      </w:r>
      <w:r w:rsidRPr="00465221">
        <w:rPr>
          <w:rFonts w:ascii="Book Antiqua" w:eastAsia="宋体" w:hAnsi="Book Antiqua" w:cs="宋体"/>
        </w:rPr>
        <w:t> 2009; </w:t>
      </w:r>
      <w:r w:rsidRPr="00465221">
        <w:rPr>
          <w:rFonts w:ascii="Book Antiqua" w:eastAsia="宋体" w:hAnsi="Book Antiqua" w:cs="宋体"/>
          <w:b/>
          <w:bCs/>
        </w:rPr>
        <w:t>70</w:t>
      </w:r>
      <w:r w:rsidRPr="00465221">
        <w:rPr>
          <w:rFonts w:ascii="Book Antiqua" w:eastAsia="宋体" w:hAnsi="Book Antiqua" w:cs="宋体"/>
        </w:rPr>
        <w:t>: 225-228 [PMID: 19631801 DOI: 10.1016/j.gie.2008.12.247]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4 </w:t>
      </w:r>
      <w:r w:rsidRPr="00465221">
        <w:rPr>
          <w:rFonts w:ascii="Book Antiqua" w:eastAsia="宋体" w:hAnsi="Book Antiqua" w:cs="宋体"/>
          <w:b/>
          <w:bCs/>
        </w:rPr>
        <w:t>Bjarnason I</w:t>
      </w:r>
      <w:r w:rsidRPr="00465221">
        <w:rPr>
          <w:rFonts w:ascii="Book Antiqua" w:eastAsia="宋体" w:hAnsi="Book Antiqua" w:cs="宋体"/>
        </w:rPr>
        <w:t>, Hayllar J, MacPherson AJ, Russell AS. Side effects of nonsteroidal anti-inflammatory drugs on the small and large intestine in humans. </w:t>
      </w:r>
      <w:r w:rsidRPr="00465221">
        <w:rPr>
          <w:rFonts w:ascii="Book Antiqua" w:eastAsia="宋体" w:hAnsi="Book Antiqua" w:cs="宋体"/>
          <w:i/>
          <w:iCs/>
        </w:rPr>
        <w:t>Gastroenterology</w:t>
      </w:r>
      <w:r w:rsidRPr="00465221">
        <w:rPr>
          <w:rFonts w:ascii="Book Antiqua" w:eastAsia="宋体" w:hAnsi="Book Antiqua" w:cs="宋体"/>
        </w:rPr>
        <w:t> 1993; </w:t>
      </w:r>
      <w:r w:rsidRPr="00465221">
        <w:rPr>
          <w:rFonts w:ascii="Book Antiqua" w:eastAsia="宋体" w:hAnsi="Book Antiqua" w:cs="宋体"/>
          <w:b/>
          <w:bCs/>
        </w:rPr>
        <w:t>104</w:t>
      </w:r>
      <w:r w:rsidRPr="00465221">
        <w:rPr>
          <w:rFonts w:ascii="Book Antiqua" w:eastAsia="宋体" w:hAnsi="Book Antiqua" w:cs="宋体"/>
        </w:rPr>
        <w:t>: 1832-1847 [PMID: 8500743]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5 </w:t>
      </w:r>
      <w:r w:rsidRPr="00465221">
        <w:rPr>
          <w:rFonts w:ascii="Book Antiqua" w:eastAsia="宋体" w:hAnsi="Book Antiqua" w:cs="宋体"/>
          <w:b/>
          <w:bCs/>
        </w:rPr>
        <w:t>Graham DY</w:t>
      </w:r>
      <w:r w:rsidRPr="00465221">
        <w:rPr>
          <w:rFonts w:ascii="Book Antiqua" w:eastAsia="宋体" w:hAnsi="Book Antiqua" w:cs="宋体"/>
        </w:rPr>
        <w:t>, Opekun AR, Willingham FF, Qureshi WA. Visible small-intestinal mucosal injury in chronic NSAID users. </w:t>
      </w:r>
      <w:r w:rsidRPr="00465221">
        <w:rPr>
          <w:rFonts w:ascii="Book Antiqua" w:eastAsia="宋体" w:hAnsi="Book Antiqua" w:cs="宋体"/>
          <w:i/>
          <w:iCs/>
        </w:rPr>
        <w:t>Clin Gastroenterol Hepatol</w:t>
      </w:r>
      <w:r w:rsidRPr="00465221">
        <w:rPr>
          <w:rFonts w:ascii="Book Antiqua" w:eastAsia="宋体" w:hAnsi="Book Antiqua" w:cs="宋体"/>
        </w:rPr>
        <w:t> 2005; </w:t>
      </w:r>
      <w:r w:rsidRPr="00465221">
        <w:rPr>
          <w:rFonts w:ascii="Book Antiqua" w:eastAsia="宋体" w:hAnsi="Book Antiqua" w:cs="宋体"/>
          <w:b/>
          <w:bCs/>
        </w:rPr>
        <w:t>3</w:t>
      </w:r>
      <w:r w:rsidRPr="00465221">
        <w:rPr>
          <w:rFonts w:ascii="Book Antiqua" w:eastAsia="宋体" w:hAnsi="Book Antiqua" w:cs="宋体"/>
        </w:rPr>
        <w:t>: 55-59 [PMID: 15645405 DOI: 10.1016/S1542-3565(04)00603-2]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6 </w:t>
      </w:r>
      <w:r w:rsidRPr="00465221">
        <w:rPr>
          <w:rFonts w:ascii="Book Antiqua" w:eastAsia="宋体" w:hAnsi="Book Antiqua" w:cs="宋体"/>
          <w:b/>
          <w:bCs/>
        </w:rPr>
        <w:t>Park SC</w:t>
      </w:r>
      <w:r w:rsidRPr="00465221">
        <w:rPr>
          <w:rFonts w:ascii="Book Antiqua" w:eastAsia="宋体" w:hAnsi="Book Antiqua" w:cs="宋体"/>
        </w:rPr>
        <w:t>, Chun HJ, Kang CD, Sul D. Prevention and management of non-steroidal anti-inflammatory drugs-induced small intestinal injury. </w:t>
      </w:r>
      <w:r w:rsidRPr="00465221">
        <w:rPr>
          <w:rFonts w:ascii="Book Antiqua" w:eastAsia="宋体" w:hAnsi="Book Antiqua" w:cs="宋体"/>
          <w:i/>
          <w:iCs/>
        </w:rPr>
        <w:t>World J Gastroenterol</w:t>
      </w:r>
      <w:r w:rsidRPr="00465221">
        <w:rPr>
          <w:rFonts w:ascii="Book Antiqua" w:eastAsia="宋体" w:hAnsi="Book Antiqua" w:cs="宋体"/>
        </w:rPr>
        <w:t> 2011; </w:t>
      </w:r>
      <w:r w:rsidRPr="00465221">
        <w:rPr>
          <w:rFonts w:ascii="Book Antiqua" w:eastAsia="宋体" w:hAnsi="Book Antiqua" w:cs="宋体"/>
          <w:b/>
          <w:bCs/>
        </w:rPr>
        <w:t>17</w:t>
      </w:r>
      <w:r w:rsidRPr="00465221">
        <w:rPr>
          <w:rFonts w:ascii="Book Antiqua" w:eastAsia="宋体" w:hAnsi="Book Antiqua" w:cs="宋体"/>
        </w:rPr>
        <w:t>: 4647-4653 [PMID: 22180706 DOI: 10.3748/wjg.v17.i42.4647]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7 </w:t>
      </w:r>
      <w:r w:rsidRPr="00465221">
        <w:rPr>
          <w:rFonts w:ascii="Book Antiqua" w:eastAsia="宋体" w:hAnsi="Book Antiqua" w:cs="宋体"/>
          <w:b/>
          <w:bCs/>
        </w:rPr>
        <w:t>Wallace JL</w:t>
      </w:r>
      <w:r w:rsidRPr="00465221">
        <w:rPr>
          <w:rFonts w:ascii="Book Antiqua" w:eastAsia="宋体" w:hAnsi="Book Antiqua" w:cs="宋体"/>
        </w:rPr>
        <w:t>. NSAID gastropathy and enteropathy: distinct pathogenesis likely necessitates distinct prevention strategies. </w:t>
      </w:r>
      <w:r w:rsidRPr="00465221">
        <w:rPr>
          <w:rFonts w:ascii="Book Antiqua" w:eastAsia="宋体" w:hAnsi="Book Antiqua" w:cs="宋体"/>
          <w:i/>
          <w:iCs/>
        </w:rPr>
        <w:t>Br J Pharmacol</w:t>
      </w:r>
      <w:r w:rsidRPr="00465221">
        <w:rPr>
          <w:rFonts w:ascii="Book Antiqua" w:eastAsia="宋体" w:hAnsi="Book Antiqua" w:cs="宋体"/>
        </w:rPr>
        <w:t> 2012; </w:t>
      </w:r>
      <w:r w:rsidRPr="00465221">
        <w:rPr>
          <w:rFonts w:ascii="Book Antiqua" w:eastAsia="宋体" w:hAnsi="Book Antiqua" w:cs="宋体"/>
          <w:b/>
          <w:bCs/>
        </w:rPr>
        <w:t>165</w:t>
      </w:r>
      <w:r w:rsidRPr="00465221">
        <w:rPr>
          <w:rFonts w:ascii="Book Antiqua" w:eastAsia="宋体" w:hAnsi="Book Antiqua" w:cs="宋体"/>
        </w:rPr>
        <w:t>: 67-74 [PMID: 21627632 DOI: 10.1111/j.1476-5381.2011.01509.x]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8 </w:t>
      </w:r>
      <w:r w:rsidRPr="00465221">
        <w:rPr>
          <w:rFonts w:ascii="Book Antiqua" w:eastAsia="宋体" w:hAnsi="Book Antiqua" w:cs="宋体"/>
          <w:b/>
          <w:bCs/>
        </w:rPr>
        <w:t>Davies NM</w:t>
      </w:r>
      <w:r w:rsidRPr="00465221">
        <w:rPr>
          <w:rFonts w:ascii="Book Antiqua" w:eastAsia="宋体" w:hAnsi="Book Antiqua" w:cs="宋体"/>
        </w:rPr>
        <w:t>. Sustained release and enteric coated NSAIDs: are they really GI safe? </w:t>
      </w:r>
      <w:r w:rsidRPr="00465221">
        <w:rPr>
          <w:rFonts w:ascii="Book Antiqua" w:eastAsia="宋体" w:hAnsi="Book Antiqua" w:cs="宋体"/>
          <w:i/>
          <w:iCs/>
        </w:rPr>
        <w:t>J Pharm Pharm Sci</w:t>
      </w:r>
      <w:r w:rsidRPr="00465221">
        <w:rPr>
          <w:rFonts w:ascii="Book Antiqua" w:eastAsia="宋体" w:hAnsi="Book Antiqua" w:cs="宋体"/>
        </w:rPr>
        <w:t> </w:t>
      </w:r>
      <w:r>
        <w:rPr>
          <w:rFonts w:ascii="Book Antiqua" w:eastAsia="宋体" w:hAnsi="Book Antiqua" w:cs="宋体"/>
        </w:rPr>
        <w:t>1999</w:t>
      </w:r>
      <w:r w:rsidRPr="00465221">
        <w:rPr>
          <w:rFonts w:ascii="Book Antiqua" w:eastAsia="宋体" w:hAnsi="Book Antiqua" w:cs="宋体"/>
        </w:rPr>
        <w:t>; </w:t>
      </w:r>
      <w:r w:rsidRPr="00465221">
        <w:rPr>
          <w:rFonts w:ascii="Book Antiqua" w:eastAsia="宋体" w:hAnsi="Book Antiqua" w:cs="宋体"/>
          <w:b/>
          <w:bCs/>
        </w:rPr>
        <w:t>2</w:t>
      </w:r>
      <w:r w:rsidRPr="00465221">
        <w:rPr>
          <w:rFonts w:ascii="Book Antiqua" w:eastAsia="宋体" w:hAnsi="Book Antiqua" w:cs="宋体"/>
        </w:rPr>
        <w:t>: 5-14 [PMID: 10951657]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9 </w:t>
      </w:r>
      <w:r w:rsidRPr="00465221">
        <w:rPr>
          <w:rFonts w:ascii="Book Antiqua" w:eastAsia="宋体" w:hAnsi="Book Antiqua" w:cs="宋体"/>
          <w:b/>
          <w:bCs/>
        </w:rPr>
        <w:t>Lanas A</w:t>
      </w:r>
      <w:r w:rsidRPr="00465221">
        <w:rPr>
          <w:rFonts w:ascii="Book Antiqua" w:eastAsia="宋体" w:hAnsi="Book Antiqua" w:cs="宋体"/>
        </w:rPr>
        <w:t>, Sekar MC, Hirschowitz BI. Objective evidence of aspirin use in both ulcer and nonulcer upper and lower gastrointestinal bleeding. </w:t>
      </w:r>
      <w:r w:rsidRPr="00465221">
        <w:rPr>
          <w:rFonts w:ascii="Book Antiqua" w:eastAsia="宋体" w:hAnsi="Book Antiqua" w:cs="宋体"/>
          <w:i/>
          <w:iCs/>
        </w:rPr>
        <w:t>Gastroenterology</w:t>
      </w:r>
      <w:r w:rsidRPr="00465221">
        <w:rPr>
          <w:rFonts w:ascii="Book Antiqua" w:eastAsia="宋体" w:hAnsi="Book Antiqua" w:cs="宋体"/>
        </w:rPr>
        <w:t> 1992; </w:t>
      </w:r>
      <w:r w:rsidRPr="00465221">
        <w:rPr>
          <w:rFonts w:ascii="Book Antiqua" w:eastAsia="宋体" w:hAnsi="Book Antiqua" w:cs="宋体"/>
          <w:b/>
          <w:bCs/>
        </w:rPr>
        <w:t>103</w:t>
      </w:r>
      <w:r w:rsidRPr="00465221">
        <w:rPr>
          <w:rFonts w:ascii="Book Antiqua" w:eastAsia="宋体" w:hAnsi="Book Antiqua" w:cs="宋体"/>
        </w:rPr>
        <w:t>: 862-869 [PMID: 1499936]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10 </w:t>
      </w:r>
      <w:r w:rsidRPr="00465221">
        <w:rPr>
          <w:rFonts w:ascii="Book Antiqua" w:eastAsia="宋体" w:hAnsi="Book Antiqua" w:cs="宋体"/>
          <w:b/>
          <w:bCs/>
        </w:rPr>
        <w:t>Stack WA</w:t>
      </w:r>
      <w:r w:rsidRPr="00465221">
        <w:rPr>
          <w:rFonts w:ascii="Book Antiqua" w:eastAsia="宋体" w:hAnsi="Book Antiqua" w:cs="宋体"/>
        </w:rPr>
        <w:t xml:space="preserve">, Atherton JC, Hawkey GM, Logan RF, Hawkey CJ. Interactions between Helicobacter pylori and other risk factors for peptic ulcer </w:t>
      </w:r>
      <w:r w:rsidRPr="00465221">
        <w:rPr>
          <w:rFonts w:ascii="Book Antiqua" w:eastAsia="宋体" w:hAnsi="Book Antiqua" w:cs="宋体"/>
        </w:rPr>
        <w:lastRenderedPageBreak/>
        <w:t>bleeding. </w:t>
      </w:r>
      <w:r w:rsidRPr="00465221">
        <w:rPr>
          <w:rFonts w:ascii="Book Antiqua" w:eastAsia="宋体" w:hAnsi="Book Antiqua" w:cs="宋体"/>
          <w:i/>
          <w:iCs/>
        </w:rPr>
        <w:t>Aliment Pharmacol Ther</w:t>
      </w:r>
      <w:r w:rsidRPr="00465221">
        <w:rPr>
          <w:rFonts w:ascii="Book Antiqua" w:eastAsia="宋体" w:hAnsi="Book Antiqua" w:cs="宋体"/>
        </w:rPr>
        <w:t> 2002; </w:t>
      </w:r>
      <w:r w:rsidRPr="00465221">
        <w:rPr>
          <w:rFonts w:ascii="Book Antiqua" w:eastAsia="宋体" w:hAnsi="Book Antiqua" w:cs="宋体"/>
          <w:b/>
          <w:bCs/>
        </w:rPr>
        <w:t>16</w:t>
      </w:r>
      <w:r w:rsidRPr="00465221">
        <w:rPr>
          <w:rFonts w:ascii="Book Antiqua" w:eastAsia="宋体" w:hAnsi="Book Antiqua" w:cs="宋体"/>
        </w:rPr>
        <w:t>: 497-506 [PMID: 11876703 DOI: 10.1046/j.1365-2036.2002.01197.x]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11 </w:t>
      </w:r>
      <w:r w:rsidRPr="00465221">
        <w:rPr>
          <w:rFonts w:ascii="Book Antiqua" w:eastAsia="宋体" w:hAnsi="Book Antiqua" w:cs="宋体"/>
          <w:b/>
          <w:bCs/>
        </w:rPr>
        <w:t>Endo H</w:t>
      </w:r>
      <w:r w:rsidRPr="00465221">
        <w:rPr>
          <w:rFonts w:ascii="Book Antiqua" w:eastAsia="宋体" w:hAnsi="Book Antiqua" w:cs="宋体"/>
        </w:rPr>
        <w:t>, Sakai E, Higurashi T, Yamada E, Ohkubo H, Iida H, Koide T, Yoneda M, Abe Y, Inamori M, Hosono K, Takahashi H, Kubota K, Nakajima A. Differences in the severity of small bowel mucosal injury based on the type of aspirin as evaluated by capsule endoscopy. </w:t>
      </w:r>
      <w:r w:rsidRPr="00465221">
        <w:rPr>
          <w:rFonts w:ascii="Book Antiqua" w:eastAsia="宋体" w:hAnsi="Book Antiqua" w:cs="宋体"/>
          <w:i/>
          <w:iCs/>
        </w:rPr>
        <w:t>Dig Liver Dis</w:t>
      </w:r>
      <w:r w:rsidRPr="00465221">
        <w:rPr>
          <w:rFonts w:ascii="Book Antiqua" w:eastAsia="宋体" w:hAnsi="Book Antiqua" w:cs="宋体"/>
        </w:rPr>
        <w:t> 2012; </w:t>
      </w:r>
      <w:r w:rsidRPr="00465221">
        <w:rPr>
          <w:rFonts w:ascii="Book Antiqua" w:eastAsia="宋体" w:hAnsi="Book Antiqua" w:cs="宋体"/>
          <w:b/>
          <w:bCs/>
        </w:rPr>
        <w:t>44</w:t>
      </w:r>
      <w:r w:rsidRPr="00465221">
        <w:rPr>
          <w:rFonts w:ascii="Book Antiqua" w:eastAsia="宋体" w:hAnsi="Book Antiqua" w:cs="宋体"/>
        </w:rPr>
        <w:t>: 833-838 [PMID: 22749649 DOI: 10.1016/j.dld.2012.05.016]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12 </w:t>
      </w:r>
      <w:r w:rsidRPr="00465221">
        <w:rPr>
          <w:rFonts w:ascii="Book Antiqua" w:eastAsia="宋体" w:hAnsi="Book Antiqua" w:cs="宋体"/>
          <w:b/>
          <w:bCs/>
        </w:rPr>
        <w:t>Casado Arroyo R</w:t>
      </w:r>
      <w:r w:rsidRPr="00465221">
        <w:rPr>
          <w:rFonts w:ascii="Book Antiqua" w:eastAsia="宋体" w:hAnsi="Book Antiqua" w:cs="宋体"/>
        </w:rPr>
        <w:t>, Polo-Tomas M, Roncalés MP, Scheiman J, Lanas A. Lower GI bleeding is more common than upper among patients on dual antiplatelet therapy: long-term follow-up of a cohort of patients commonly using PPI co-therapy. </w:t>
      </w:r>
      <w:r w:rsidRPr="00465221">
        <w:rPr>
          <w:rFonts w:ascii="Book Antiqua" w:eastAsia="宋体" w:hAnsi="Book Antiqua" w:cs="宋体"/>
          <w:i/>
          <w:iCs/>
        </w:rPr>
        <w:t>Heart</w:t>
      </w:r>
      <w:r w:rsidRPr="00465221">
        <w:rPr>
          <w:rFonts w:ascii="Book Antiqua" w:eastAsia="宋体" w:hAnsi="Book Antiqua" w:cs="宋体"/>
        </w:rPr>
        <w:t> 2012; </w:t>
      </w:r>
      <w:r w:rsidRPr="00465221">
        <w:rPr>
          <w:rFonts w:ascii="Book Antiqua" w:eastAsia="宋体" w:hAnsi="Book Antiqua" w:cs="宋体"/>
          <w:b/>
          <w:bCs/>
        </w:rPr>
        <w:t>98</w:t>
      </w:r>
      <w:r w:rsidRPr="00465221">
        <w:rPr>
          <w:rFonts w:ascii="Book Antiqua" w:eastAsia="宋体" w:hAnsi="Book Antiqua" w:cs="宋体"/>
        </w:rPr>
        <w:t>: 718-723 [PMID: 22523056 DOI: 10.1136/heartjnl-2012-301632]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13 </w:t>
      </w:r>
      <w:r w:rsidRPr="00465221">
        <w:rPr>
          <w:rFonts w:ascii="Book Antiqua" w:eastAsia="宋体" w:hAnsi="Book Antiqua" w:cs="宋体"/>
          <w:b/>
          <w:bCs/>
        </w:rPr>
        <w:t>Zhu LL</w:t>
      </w:r>
      <w:r w:rsidRPr="00465221">
        <w:rPr>
          <w:rFonts w:ascii="Book Antiqua" w:eastAsia="宋体" w:hAnsi="Book Antiqua" w:cs="宋体"/>
        </w:rPr>
        <w:t>, Xu LC, Chen Y, Zhou Q, Zeng S. Poor awareness of preventing aspirin-induced gastrointestinal injury with combined protective medications. </w:t>
      </w:r>
      <w:r w:rsidRPr="00465221">
        <w:rPr>
          <w:rFonts w:ascii="Book Antiqua" w:eastAsia="宋体" w:hAnsi="Book Antiqua" w:cs="宋体"/>
          <w:i/>
          <w:iCs/>
        </w:rPr>
        <w:t>World J Gastroenterol</w:t>
      </w:r>
      <w:r w:rsidRPr="00465221">
        <w:rPr>
          <w:rFonts w:ascii="Book Antiqua" w:eastAsia="宋体" w:hAnsi="Book Antiqua" w:cs="宋体"/>
        </w:rPr>
        <w:t> 2012; </w:t>
      </w:r>
      <w:r w:rsidRPr="00465221">
        <w:rPr>
          <w:rFonts w:ascii="Book Antiqua" w:eastAsia="宋体" w:hAnsi="Book Antiqua" w:cs="宋体"/>
          <w:b/>
          <w:bCs/>
        </w:rPr>
        <w:t>18</w:t>
      </w:r>
      <w:r w:rsidRPr="00465221">
        <w:rPr>
          <w:rFonts w:ascii="Book Antiqua" w:eastAsia="宋体" w:hAnsi="Book Antiqua" w:cs="宋体"/>
        </w:rPr>
        <w:t>: 3167-3172 [PMID: 22791953 DOI: 10.3748/wjg.v18.i24.3167]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14 </w:t>
      </w:r>
      <w:r w:rsidRPr="00465221">
        <w:rPr>
          <w:rFonts w:ascii="Book Antiqua" w:eastAsia="宋体" w:hAnsi="Book Antiqua" w:cs="宋体"/>
          <w:b/>
          <w:bCs/>
        </w:rPr>
        <w:t>Bombardier C</w:t>
      </w:r>
      <w:r w:rsidRPr="00465221">
        <w:rPr>
          <w:rFonts w:ascii="Book Antiqua" w:eastAsia="宋体" w:hAnsi="Book Antiqua" w:cs="宋体"/>
        </w:rPr>
        <w:t>, Laine L, Reicin A, Shapiro D, Burgos-Vargas R, Davis B, Day R, Ferraz MB, Hawkey CJ, Hochberg MC, Kvien TK, Schnitzer TJ. Comparison of upper gastrointestinal toxicity of rofecoxib and naproxen in patients with rheumatoid arthritis. VIGOR Study Group. </w:t>
      </w:r>
      <w:r w:rsidRPr="00465221">
        <w:rPr>
          <w:rFonts w:ascii="Book Antiqua" w:eastAsia="宋体" w:hAnsi="Book Antiqua" w:cs="宋体"/>
          <w:i/>
          <w:iCs/>
        </w:rPr>
        <w:t>N Engl J Med</w:t>
      </w:r>
      <w:r w:rsidRPr="00465221">
        <w:rPr>
          <w:rFonts w:ascii="Book Antiqua" w:eastAsia="宋体" w:hAnsi="Book Antiqua" w:cs="宋体"/>
        </w:rPr>
        <w:t> 2000; </w:t>
      </w:r>
      <w:r w:rsidRPr="00465221">
        <w:rPr>
          <w:rFonts w:ascii="Book Antiqua" w:eastAsia="宋体" w:hAnsi="Book Antiqua" w:cs="宋体"/>
          <w:b/>
          <w:bCs/>
        </w:rPr>
        <w:t>343</w:t>
      </w:r>
      <w:r w:rsidRPr="00465221">
        <w:rPr>
          <w:rFonts w:ascii="Book Antiqua" w:eastAsia="宋体" w:hAnsi="Book Antiqua" w:cs="宋体"/>
        </w:rPr>
        <w:t>: 1520-158, 2 p following 1528 [PMID: 11087881 DOI: 10.1056/NEJM200011233432103]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15 </w:t>
      </w:r>
      <w:r w:rsidRPr="00465221">
        <w:rPr>
          <w:rFonts w:ascii="Book Antiqua" w:eastAsia="宋体" w:hAnsi="Book Antiqua" w:cs="宋体"/>
          <w:b/>
          <w:bCs/>
        </w:rPr>
        <w:t>Juliani MH</w:t>
      </w:r>
      <w:r w:rsidRPr="00465221">
        <w:rPr>
          <w:rFonts w:ascii="Book Antiqua" w:eastAsia="宋体" w:hAnsi="Book Antiqua" w:cs="宋体"/>
        </w:rPr>
        <w:t>, Gambarini AG, Costa SO. Induction of rho-minus mutants in Saccharomyces cerevisiae by guanidine hydrochloride. I. Genetic analysis. </w:t>
      </w:r>
      <w:r w:rsidRPr="00465221">
        <w:rPr>
          <w:rFonts w:ascii="Book Antiqua" w:eastAsia="宋体" w:hAnsi="Book Antiqua" w:cs="宋体"/>
          <w:i/>
          <w:iCs/>
        </w:rPr>
        <w:t>Mutat Res</w:t>
      </w:r>
      <w:r w:rsidRPr="00465221">
        <w:rPr>
          <w:rFonts w:ascii="Book Antiqua" w:eastAsia="宋体" w:hAnsi="Book Antiqua" w:cs="宋体"/>
        </w:rPr>
        <w:t> 1975; </w:t>
      </w:r>
      <w:r w:rsidRPr="00465221">
        <w:rPr>
          <w:rFonts w:ascii="Book Antiqua" w:eastAsia="宋体" w:hAnsi="Book Antiqua" w:cs="宋体"/>
          <w:b/>
          <w:bCs/>
        </w:rPr>
        <w:t>29</w:t>
      </w:r>
      <w:r w:rsidRPr="00465221">
        <w:rPr>
          <w:rFonts w:ascii="Book Antiqua" w:eastAsia="宋体" w:hAnsi="Book Antiqua" w:cs="宋体"/>
        </w:rPr>
        <w:t>: 67-75 [PMID: 1097911 DOI: 10.1001/jama.284.10.1247]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16 </w:t>
      </w:r>
      <w:r w:rsidRPr="00465221">
        <w:rPr>
          <w:rFonts w:ascii="Book Antiqua" w:eastAsia="宋体" w:hAnsi="Book Antiqua" w:cs="宋体"/>
          <w:b/>
          <w:bCs/>
        </w:rPr>
        <w:t>Wallace JL</w:t>
      </w:r>
      <w:r w:rsidRPr="00465221">
        <w:rPr>
          <w:rFonts w:ascii="Book Antiqua" w:eastAsia="宋体" w:hAnsi="Book Antiqua" w:cs="宋体"/>
        </w:rPr>
        <w:t>. Selective COX-2 inhibitors: is the water becoming muddy? </w:t>
      </w:r>
      <w:r w:rsidRPr="00465221">
        <w:rPr>
          <w:rFonts w:ascii="Book Antiqua" w:eastAsia="宋体" w:hAnsi="Book Antiqua" w:cs="宋体"/>
          <w:i/>
          <w:iCs/>
        </w:rPr>
        <w:t>Trends Pharmacol Sci</w:t>
      </w:r>
      <w:r w:rsidRPr="00465221">
        <w:rPr>
          <w:rFonts w:ascii="Book Antiqua" w:eastAsia="宋体" w:hAnsi="Book Antiqua" w:cs="宋体"/>
        </w:rPr>
        <w:t> 1999; </w:t>
      </w:r>
      <w:r w:rsidRPr="00465221">
        <w:rPr>
          <w:rFonts w:ascii="Book Antiqua" w:eastAsia="宋体" w:hAnsi="Book Antiqua" w:cs="宋体"/>
          <w:b/>
          <w:bCs/>
        </w:rPr>
        <w:t>20</w:t>
      </w:r>
      <w:r w:rsidRPr="00465221">
        <w:rPr>
          <w:rFonts w:ascii="Book Antiqua" w:eastAsia="宋体" w:hAnsi="Book Antiqua" w:cs="宋体"/>
        </w:rPr>
        <w:t>: 4-6 [PMID: 10101953 DOI: 10.1016/S0165-6147(98)01283-8]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17 </w:t>
      </w:r>
      <w:r w:rsidRPr="00465221">
        <w:rPr>
          <w:rFonts w:ascii="Book Antiqua" w:eastAsia="宋体" w:hAnsi="Book Antiqua" w:cs="宋体"/>
          <w:b/>
          <w:bCs/>
        </w:rPr>
        <w:t>Graham DY</w:t>
      </w:r>
      <w:r w:rsidRPr="00465221">
        <w:rPr>
          <w:rFonts w:ascii="Book Antiqua" w:eastAsia="宋体" w:hAnsi="Book Antiqua" w:cs="宋体"/>
        </w:rPr>
        <w:t xml:space="preserve">, Jewell NP, Chan FK. Rofecoxib and clinically significant upper and lower gastrointestinal events revisited based on documents from recent </w:t>
      </w:r>
      <w:r w:rsidRPr="00465221">
        <w:rPr>
          <w:rFonts w:ascii="Book Antiqua" w:eastAsia="宋体" w:hAnsi="Book Antiqua" w:cs="宋体"/>
        </w:rPr>
        <w:lastRenderedPageBreak/>
        <w:t>litigation. </w:t>
      </w:r>
      <w:r w:rsidRPr="00465221">
        <w:rPr>
          <w:rFonts w:ascii="Book Antiqua" w:eastAsia="宋体" w:hAnsi="Book Antiqua" w:cs="宋体"/>
          <w:i/>
          <w:iCs/>
        </w:rPr>
        <w:t>Am J Med Sci</w:t>
      </w:r>
      <w:r w:rsidRPr="00465221">
        <w:rPr>
          <w:rFonts w:ascii="Book Antiqua" w:eastAsia="宋体" w:hAnsi="Book Antiqua" w:cs="宋体"/>
        </w:rPr>
        <w:t> 2011; </w:t>
      </w:r>
      <w:r w:rsidRPr="00465221">
        <w:rPr>
          <w:rFonts w:ascii="Book Antiqua" w:eastAsia="宋体" w:hAnsi="Book Antiqua" w:cs="宋体"/>
          <w:b/>
          <w:bCs/>
        </w:rPr>
        <w:t>342</w:t>
      </w:r>
      <w:r w:rsidRPr="00465221">
        <w:rPr>
          <w:rFonts w:ascii="Book Antiqua" w:eastAsia="宋体" w:hAnsi="Book Antiqua" w:cs="宋体"/>
        </w:rPr>
        <w:t>: 356-364 [PMID: 21986300 DOI: 10.1097/MAJ.0b013e3182113658]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18 </w:t>
      </w:r>
      <w:r w:rsidRPr="00465221">
        <w:rPr>
          <w:rFonts w:ascii="Book Antiqua" w:eastAsia="宋体" w:hAnsi="Book Antiqua" w:cs="宋体"/>
          <w:b/>
          <w:bCs/>
        </w:rPr>
        <w:t>Bjarnason I</w:t>
      </w:r>
      <w:r w:rsidRPr="00465221">
        <w:rPr>
          <w:rFonts w:ascii="Book Antiqua" w:eastAsia="宋体" w:hAnsi="Book Antiqua" w:cs="宋体"/>
        </w:rPr>
        <w:t>, Price AB, Zanelli G, Smethurst P, Burke M, Gumpel JM, Levi AJ. Clinicopathological features of nonsteroidal antiinflammatory drug-induced small intestinal strictures. </w:t>
      </w:r>
      <w:r w:rsidRPr="00465221">
        <w:rPr>
          <w:rFonts w:ascii="Book Antiqua" w:eastAsia="宋体" w:hAnsi="Book Antiqua" w:cs="宋体"/>
          <w:i/>
          <w:iCs/>
        </w:rPr>
        <w:t>Gastroenterology</w:t>
      </w:r>
      <w:r w:rsidRPr="00465221">
        <w:rPr>
          <w:rFonts w:ascii="Book Antiqua" w:eastAsia="宋体" w:hAnsi="Book Antiqua" w:cs="宋体"/>
        </w:rPr>
        <w:t> 1988; </w:t>
      </w:r>
      <w:r w:rsidRPr="00465221">
        <w:rPr>
          <w:rFonts w:ascii="Book Antiqua" w:eastAsia="宋体" w:hAnsi="Book Antiqua" w:cs="宋体"/>
          <w:b/>
          <w:bCs/>
        </w:rPr>
        <w:t>94</w:t>
      </w:r>
      <w:r w:rsidRPr="00465221">
        <w:rPr>
          <w:rFonts w:ascii="Book Antiqua" w:eastAsia="宋体" w:hAnsi="Book Antiqua" w:cs="宋体"/>
        </w:rPr>
        <w:t>: 1070-1074 [PMID: 3345876]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19 </w:t>
      </w:r>
      <w:r w:rsidRPr="00465221">
        <w:rPr>
          <w:rFonts w:ascii="Book Antiqua" w:eastAsia="宋体" w:hAnsi="Book Antiqua" w:cs="宋体"/>
          <w:b/>
          <w:bCs/>
        </w:rPr>
        <w:t>Chan FK</w:t>
      </w:r>
      <w:r w:rsidRPr="00465221">
        <w:rPr>
          <w:rFonts w:ascii="Book Antiqua" w:eastAsia="宋体" w:hAnsi="Book Antiqua" w:cs="宋体"/>
        </w:rPr>
        <w:t>, Lanas A, Scheiman J, Berger MF, Nguyen H, Goldstein JL. Celecoxib versus omeprazole and diclofenac in patients with osteoarthritis and rheumatoid arthritis (CONDOR): a randomised trial. </w:t>
      </w:r>
      <w:r w:rsidRPr="00465221">
        <w:rPr>
          <w:rFonts w:ascii="Book Antiqua" w:eastAsia="宋体" w:hAnsi="Book Antiqua" w:cs="宋体"/>
          <w:i/>
          <w:iCs/>
        </w:rPr>
        <w:t>Lancet</w:t>
      </w:r>
      <w:r w:rsidRPr="00465221">
        <w:rPr>
          <w:rFonts w:ascii="Book Antiqua" w:eastAsia="宋体" w:hAnsi="Book Antiqua" w:cs="宋体"/>
        </w:rPr>
        <w:t> 2010; </w:t>
      </w:r>
      <w:r w:rsidRPr="00465221">
        <w:rPr>
          <w:rFonts w:ascii="Book Antiqua" w:eastAsia="宋体" w:hAnsi="Book Antiqua" w:cs="宋体"/>
          <w:b/>
          <w:bCs/>
        </w:rPr>
        <w:t>376</w:t>
      </w:r>
      <w:r w:rsidRPr="00465221">
        <w:rPr>
          <w:rFonts w:ascii="Book Antiqua" w:eastAsia="宋体" w:hAnsi="Book Antiqua" w:cs="宋体"/>
        </w:rPr>
        <w:t>: 173-179 [PMID: 20638563 DOI: 10.1016/S0140-6736(10)60673-3]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20 </w:t>
      </w:r>
      <w:r w:rsidRPr="00465221">
        <w:rPr>
          <w:rFonts w:ascii="Book Antiqua" w:eastAsia="宋体" w:hAnsi="Book Antiqua" w:cs="宋体"/>
          <w:b/>
          <w:bCs/>
        </w:rPr>
        <w:t>Sutherland LR</w:t>
      </w:r>
      <w:r w:rsidRPr="00465221">
        <w:rPr>
          <w:rFonts w:ascii="Book Antiqua" w:eastAsia="宋体" w:hAnsi="Book Antiqua" w:cs="宋体"/>
        </w:rPr>
        <w:t>, Verhoef M, Wallace JL, Van Rosendaal G, Crutcher R, Meddings JB. A simple, non-invasive marker of gastric damage: sucrose permeability. </w:t>
      </w:r>
      <w:r w:rsidRPr="00465221">
        <w:rPr>
          <w:rFonts w:ascii="Book Antiqua" w:eastAsia="宋体" w:hAnsi="Book Antiqua" w:cs="宋体"/>
          <w:i/>
          <w:iCs/>
        </w:rPr>
        <w:t>Lancet</w:t>
      </w:r>
      <w:r w:rsidRPr="00465221">
        <w:rPr>
          <w:rFonts w:ascii="Book Antiqua" w:eastAsia="宋体" w:hAnsi="Book Antiqua" w:cs="宋体"/>
        </w:rPr>
        <w:t> 1994; </w:t>
      </w:r>
      <w:r w:rsidRPr="00465221">
        <w:rPr>
          <w:rFonts w:ascii="Book Antiqua" w:eastAsia="宋体" w:hAnsi="Book Antiqua" w:cs="宋体"/>
          <w:b/>
          <w:bCs/>
        </w:rPr>
        <w:t>343</w:t>
      </w:r>
      <w:r w:rsidRPr="00465221">
        <w:rPr>
          <w:rFonts w:ascii="Book Antiqua" w:eastAsia="宋体" w:hAnsi="Book Antiqua" w:cs="宋体"/>
        </w:rPr>
        <w:t>: 998-1000 [PMID: 7909091 DOI: 10.1016/S0140-6736(94)90125-2]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21 </w:t>
      </w:r>
      <w:r w:rsidRPr="00465221">
        <w:rPr>
          <w:rFonts w:ascii="Book Antiqua" w:eastAsia="宋体" w:hAnsi="Book Antiqua" w:cs="宋体"/>
          <w:b/>
          <w:bCs/>
        </w:rPr>
        <w:t>Bjarnason I</w:t>
      </w:r>
      <w:r w:rsidRPr="00465221">
        <w:rPr>
          <w:rFonts w:ascii="Book Antiqua" w:eastAsia="宋体" w:hAnsi="Book Antiqua" w:cs="宋体"/>
        </w:rPr>
        <w:t>, Peters TJ. Intestinal permeability, non-steroidal anti-inflammatory drug enteropathy and inflammatory bowel disease: an overview. </w:t>
      </w:r>
      <w:r w:rsidRPr="00465221">
        <w:rPr>
          <w:rFonts w:ascii="Book Antiqua" w:eastAsia="宋体" w:hAnsi="Book Antiqua" w:cs="宋体"/>
          <w:i/>
          <w:iCs/>
        </w:rPr>
        <w:t>Gut</w:t>
      </w:r>
      <w:r w:rsidRPr="00465221">
        <w:rPr>
          <w:rFonts w:ascii="Book Antiqua" w:eastAsia="宋体" w:hAnsi="Book Antiqua" w:cs="宋体"/>
        </w:rPr>
        <w:t> 1989; </w:t>
      </w:r>
      <w:r w:rsidRPr="00465221">
        <w:rPr>
          <w:rFonts w:ascii="Book Antiqua" w:eastAsia="宋体" w:hAnsi="Book Antiqua" w:cs="宋体"/>
          <w:b/>
          <w:bCs/>
        </w:rPr>
        <w:t>30 Spec No</w:t>
      </w:r>
      <w:r w:rsidRPr="00465221">
        <w:rPr>
          <w:rFonts w:ascii="Book Antiqua" w:eastAsia="宋体" w:hAnsi="Book Antiqua" w:cs="宋体"/>
        </w:rPr>
        <w:t>: 22-28 [PMID: 2691345 DOI: 10.1136/gut.30.Spec_No.22]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22 </w:t>
      </w:r>
      <w:r w:rsidRPr="00465221">
        <w:rPr>
          <w:rFonts w:ascii="Book Antiqua" w:eastAsia="宋体" w:hAnsi="Book Antiqua" w:cs="宋体"/>
          <w:b/>
          <w:bCs/>
        </w:rPr>
        <w:t>Bjarnason I</w:t>
      </w:r>
      <w:r w:rsidRPr="00465221">
        <w:rPr>
          <w:rFonts w:ascii="Book Antiqua" w:eastAsia="宋体" w:hAnsi="Book Antiqua" w:cs="宋体"/>
        </w:rPr>
        <w:t>, Smethurst P, Clark P, Menzies I, Levi J, Peters T. Effect of prostaglandin on indomethacin-induced increased intestinal permeability in man. </w:t>
      </w:r>
      <w:r w:rsidRPr="00465221">
        <w:rPr>
          <w:rFonts w:ascii="Book Antiqua" w:eastAsia="宋体" w:hAnsi="Book Antiqua" w:cs="宋体"/>
          <w:i/>
          <w:iCs/>
        </w:rPr>
        <w:t>Scand J Gastroenterol Suppl</w:t>
      </w:r>
      <w:r w:rsidRPr="00465221">
        <w:rPr>
          <w:rFonts w:ascii="Book Antiqua" w:eastAsia="宋体" w:hAnsi="Book Antiqua" w:cs="宋体"/>
        </w:rPr>
        <w:t> 1989; </w:t>
      </w:r>
      <w:r w:rsidRPr="00465221">
        <w:rPr>
          <w:rFonts w:ascii="Book Antiqua" w:eastAsia="宋体" w:hAnsi="Book Antiqua" w:cs="宋体"/>
          <w:b/>
          <w:bCs/>
        </w:rPr>
        <w:t>164</w:t>
      </w:r>
      <w:r w:rsidRPr="00465221">
        <w:rPr>
          <w:rFonts w:ascii="Book Antiqua" w:eastAsia="宋体" w:hAnsi="Book Antiqua" w:cs="宋体"/>
        </w:rPr>
        <w:t>: 97-102; discussion 102-3 [PMID: 2510288 DOI: 10.3109/00365528909091195]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23 </w:t>
      </w:r>
      <w:r w:rsidRPr="00465221">
        <w:rPr>
          <w:rFonts w:ascii="Book Antiqua" w:eastAsia="宋体" w:hAnsi="Book Antiqua" w:cs="宋体"/>
          <w:b/>
          <w:bCs/>
        </w:rPr>
        <w:t>Hunt RH</w:t>
      </w:r>
      <w:r w:rsidRPr="00465221">
        <w:rPr>
          <w:rFonts w:ascii="Book Antiqua" w:eastAsia="宋体" w:hAnsi="Book Antiqua" w:cs="宋体"/>
        </w:rPr>
        <w:t>, Bowen B, Mortensen ER, Simon TJ, James C, Cagliola A, Quan H, Bolognese JA. A randomized trial measuring fecal blood loss after treatment with rofecoxib, ibuprofen, or placebo in healthy subjects. </w:t>
      </w:r>
      <w:r w:rsidRPr="00465221">
        <w:rPr>
          <w:rFonts w:ascii="Book Antiqua" w:eastAsia="宋体" w:hAnsi="Book Antiqua" w:cs="宋体"/>
          <w:i/>
          <w:iCs/>
        </w:rPr>
        <w:t>Am J Med</w:t>
      </w:r>
      <w:r w:rsidRPr="00465221">
        <w:rPr>
          <w:rFonts w:ascii="Book Antiqua" w:eastAsia="宋体" w:hAnsi="Book Antiqua" w:cs="宋体"/>
        </w:rPr>
        <w:t> 2000; </w:t>
      </w:r>
      <w:r w:rsidRPr="00465221">
        <w:rPr>
          <w:rFonts w:ascii="Book Antiqua" w:eastAsia="宋体" w:hAnsi="Book Antiqua" w:cs="宋体"/>
          <w:b/>
          <w:bCs/>
        </w:rPr>
        <w:t>109</w:t>
      </w:r>
      <w:r w:rsidRPr="00465221">
        <w:rPr>
          <w:rFonts w:ascii="Book Antiqua" w:eastAsia="宋体" w:hAnsi="Book Antiqua" w:cs="宋体"/>
        </w:rPr>
        <w:t>: 201-206 [PMID: 10974182 DOI: 10.1016/S0002-9343(00)00470-8]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24 </w:t>
      </w:r>
      <w:r w:rsidRPr="00465221">
        <w:rPr>
          <w:rFonts w:ascii="Book Antiqua" w:eastAsia="宋体" w:hAnsi="Book Antiqua" w:cs="宋体"/>
          <w:b/>
          <w:bCs/>
        </w:rPr>
        <w:t>Bjarnason I</w:t>
      </w:r>
      <w:r w:rsidRPr="00465221">
        <w:rPr>
          <w:rFonts w:ascii="Book Antiqua" w:eastAsia="宋体" w:hAnsi="Book Antiqua" w:cs="宋体"/>
        </w:rPr>
        <w:t>, Hayllar J, Smethurst P, Price A, Gumpel MJ. Metronidazole reduces intestinal inflammation and blood loss in non-steroidal anti-inflammatory drug induced enteropathy. </w:t>
      </w:r>
      <w:r w:rsidRPr="00465221">
        <w:rPr>
          <w:rFonts w:ascii="Book Antiqua" w:eastAsia="宋体" w:hAnsi="Book Antiqua" w:cs="宋体"/>
          <w:i/>
          <w:iCs/>
        </w:rPr>
        <w:t>Gut</w:t>
      </w:r>
      <w:r w:rsidRPr="00465221">
        <w:rPr>
          <w:rFonts w:ascii="Book Antiqua" w:eastAsia="宋体" w:hAnsi="Book Antiqua" w:cs="宋体"/>
        </w:rPr>
        <w:t> 1992; </w:t>
      </w:r>
      <w:r w:rsidRPr="00465221">
        <w:rPr>
          <w:rFonts w:ascii="Book Antiqua" w:eastAsia="宋体" w:hAnsi="Book Antiqua" w:cs="宋体"/>
          <w:b/>
          <w:bCs/>
        </w:rPr>
        <w:t>33</w:t>
      </w:r>
      <w:r w:rsidRPr="00465221">
        <w:rPr>
          <w:rFonts w:ascii="Book Antiqua" w:eastAsia="宋体" w:hAnsi="Book Antiqua" w:cs="宋体"/>
        </w:rPr>
        <w:t>: 1204-1208 [PMID: 1427372 DOI: 10.1136/gut.33.9.1204]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25 </w:t>
      </w:r>
      <w:r w:rsidRPr="00465221">
        <w:rPr>
          <w:rFonts w:ascii="Book Antiqua" w:eastAsia="宋体" w:hAnsi="Book Antiqua" w:cs="宋体"/>
          <w:b/>
          <w:bCs/>
        </w:rPr>
        <w:t>Maiden L</w:t>
      </w:r>
      <w:r w:rsidRPr="00465221">
        <w:rPr>
          <w:rFonts w:ascii="Book Antiqua" w:eastAsia="宋体" w:hAnsi="Book Antiqua" w:cs="宋体"/>
        </w:rPr>
        <w:t>, Thjodleifsson B, Theodors A, Gonzalez J, Bjarnason I. A quantitative analysis of NSAID-induced small bowel pathology by capsule enteroscopy. </w:t>
      </w:r>
      <w:r w:rsidRPr="00465221">
        <w:rPr>
          <w:rFonts w:ascii="Book Antiqua" w:eastAsia="宋体" w:hAnsi="Book Antiqua" w:cs="宋体"/>
          <w:i/>
          <w:iCs/>
        </w:rPr>
        <w:t>Gastroenterology</w:t>
      </w:r>
      <w:r w:rsidRPr="00465221">
        <w:rPr>
          <w:rFonts w:ascii="Book Antiqua" w:eastAsia="宋体" w:hAnsi="Book Antiqua" w:cs="宋体"/>
        </w:rPr>
        <w:t> 2005; </w:t>
      </w:r>
      <w:r w:rsidRPr="00465221">
        <w:rPr>
          <w:rFonts w:ascii="Book Antiqua" w:eastAsia="宋体" w:hAnsi="Book Antiqua" w:cs="宋体"/>
          <w:b/>
          <w:bCs/>
        </w:rPr>
        <w:t>128</w:t>
      </w:r>
      <w:r w:rsidRPr="00465221">
        <w:rPr>
          <w:rFonts w:ascii="Book Antiqua" w:eastAsia="宋体" w:hAnsi="Book Antiqua" w:cs="宋体"/>
        </w:rPr>
        <w:t>: 1172-1178 [PMID: 15887101 DOI: 10.1053/j.gastro.2005.03.020]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26 </w:t>
      </w:r>
      <w:r w:rsidRPr="00465221">
        <w:rPr>
          <w:rFonts w:ascii="Book Antiqua" w:eastAsia="宋体" w:hAnsi="Book Antiqua" w:cs="宋体"/>
          <w:b/>
          <w:bCs/>
        </w:rPr>
        <w:t>Endo H</w:t>
      </w:r>
      <w:r w:rsidRPr="00465221">
        <w:rPr>
          <w:rFonts w:ascii="Book Antiqua" w:eastAsia="宋体" w:hAnsi="Book Antiqua" w:cs="宋体"/>
        </w:rPr>
        <w:t>, Hosono K, Inamori M, Kato S, Nozaki Y, Yoneda K, Akiyama T, Fujita K, Takahashi H, Yoneda M, Abe Y, Kirikoshi H, Kobayashi N, Kubota K, Saito S, Matsuhashi N, Nakajima A. Incidence of small bowel injury induced by low-dose aspirin: a crossover study using capsule endoscopy in healthy volunteers. </w:t>
      </w:r>
      <w:r w:rsidRPr="00465221">
        <w:rPr>
          <w:rFonts w:ascii="Book Antiqua" w:eastAsia="宋体" w:hAnsi="Book Antiqua" w:cs="宋体"/>
          <w:i/>
          <w:iCs/>
        </w:rPr>
        <w:t>Digestion</w:t>
      </w:r>
      <w:r w:rsidRPr="00465221">
        <w:rPr>
          <w:rFonts w:ascii="Book Antiqua" w:eastAsia="宋体" w:hAnsi="Book Antiqua" w:cs="宋体"/>
        </w:rPr>
        <w:t> 2009; </w:t>
      </w:r>
      <w:r w:rsidRPr="00465221">
        <w:rPr>
          <w:rFonts w:ascii="Book Antiqua" w:eastAsia="宋体" w:hAnsi="Book Antiqua" w:cs="宋体"/>
          <w:b/>
          <w:bCs/>
        </w:rPr>
        <w:t>79</w:t>
      </w:r>
      <w:r w:rsidRPr="00465221">
        <w:rPr>
          <w:rFonts w:ascii="Book Antiqua" w:eastAsia="宋体" w:hAnsi="Book Antiqua" w:cs="宋体"/>
        </w:rPr>
        <w:t>: 44-51 [PMID: 19246922 DOI: 10.1159/000204465]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27 </w:t>
      </w:r>
      <w:r w:rsidRPr="00465221">
        <w:rPr>
          <w:rFonts w:ascii="Book Antiqua" w:eastAsia="宋体" w:hAnsi="Book Antiqua" w:cs="宋体"/>
          <w:b/>
          <w:bCs/>
        </w:rPr>
        <w:t>Solomon DH</w:t>
      </w:r>
      <w:r w:rsidRPr="00465221">
        <w:rPr>
          <w:rFonts w:ascii="Book Antiqua" w:eastAsia="宋体" w:hAnsi="Book Antiqua" w:cs="宋体"/>
        </w:rPr>
        <w:t>, Gurwitz JH. Toxicity of nonsteroidal anti-inflammatory drugs in the elderly: is advanced age a risk factor? </w:t>
      </w:r>
      <w:r w:rsidRPr="00465221">
        <w:rPr>
          <w:rFonts w:ascii="Book Antiqua" w:eastAsia="宋体" w:hAnsi="Book Antiqua" w:cs="宋体"/>
          <w:i/>
          <w:iCs/>
        </w:rPr>
        <w:t>Am J Med</w:t>
      </w:r>
      <w:r w:rsidRPr="00465221">
        <w:rPr>
          <w:rFonts w:ascii="Book Antiqua" w:eastAsia="宋体" w:hAnsi="Book Antiqua" w:cs="宋体"/>
        </w:rPr>
        <w:t> 1997; </w:t>
      </w:r>
      <w:r w:rsidRPr="00465221">
        <w:rPr>
          <w:rFonts w:ascii="Book Antiqua" w:eastAsia="宋体" w:hAnsi="Book Antiqua" w:cs="宋体"/>
          <w:b/>
          <w:bCs/>
        </w:rPr>
        <w:t>102</w:t>
      </w:r>
      <w:r w:rsidRPr="00465221">
        <w:rPr>
          <w:rFonts w:ascii="Book Antiqua" w:eastAsia="宋体" w:hAnsi="Book Antiqua" w:cs="宋体"/>
        </w:rPr>
        <w:t>: 208-215 [PMID: 9217572 DOI: 10.1016/S0002-9343(96)00380-4]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28 </w:t>
      </w:r>
      <w:r w:rsidRPr="00465221">
        <w:rPr>
          <w:rFonts w:ascii="Book Antiqua" w:eastAsia="宋体" w:hAnsi="Book Antiqua" w:cs="宋体"/>
          <w:b/>
          <w:bCs/>
        </w:rPr>
        <w:t>Hernández-Díaz S</w:t>
      </w:r>
      <w:r w:rsidRPr="00465221">
        <w:rPr>
          <w:rFonts w:ascii="Book Antiqua" w:eastAsia="宋体" w:hAnsi="Book Antiqua" w:cs="宋体"/>
        </w:rPr>
        <w:t>, Rodríguez LA. Incidence of serious upper gastrointestinal bleeding/perforation in the general population: review of epidemiologic studies. </w:t>
      </w:r>
      <w:r w:rsidRPr="00465221">
        <w:rPr>
          <w:rFonts w:ascii="Book Antiqua" w:eastAsia="宋体" w:hAnsi="Book Antiqua" w:cs="宋体"/>
          <w:i/>
          <w:iCs/>
        </w:rPr>
        <w:t>J Clin Epidemiol</w:t>
      </w:r>
      <w:r w:rsidRPr="00465221">
        <w:rPr>
          <w:rFonts w:ascii="Book Antiqua" w:eastAsia="宋体" w:hAnsi="Book Antiqua" w:cs="宋体"/>
        </w:rPr>
        <w:t> 2002; </w:t>
      </w:r>
      <w:r w:rsidRPr="00465221">
        <w:rPr>
          <w:rFonts w:ascii="Book Antiqua" w:eastAsia="宋体" w:hAnsi="Book Antiqua" w:cs="宋体"/>
          <w:b/>
          <w:bCs/>
        </w:rPr>
        <w:t>55</w:t>
      </w:r>
      <w:r w:rsidRPr="00465221">
        <w:rPr>
          <w:rFonts w:ascii="Book Antiqua" w:eastAsia="宋体" w:hAnsi="Book Antiqua" w:cs="宋体"/>
        </w:rPr>
        <w:t>: 157-163 [PMID: 11809354 DOI: 10.1016/S0895-4356(01)00461-9]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29 </w:t>
      </w:r>
      <w:r w:rsidRPr="00465221">
        <w:rPr>
          <w:rFonts w:ascii="Book Antiqua" w:eastAsia="宋体" w:hAnsi="Book Antiqua" w:cs="宋体"/>
          <w:b/>
          <w:bCs/>
        </w:rPr>
        <w:t>Aro P</w:t>
      </w:r>
      <w:r w:rsidRPr="00465221">
        <w:rPr>
          <w:rFonts w:ascii="Book Antiqua" w:eastAsia="宋体" w:hAnsi="Book Antiqua" w:cs="宋体"/>
        </w:rPr>
        <w:t>, Storskrubb T, Ronkainen J, Bolling-Sternevald E, Engstrand L, Vieth M, Stolte M, Talley NJ, Agréus L. Peptic ulcer disease in a general adult population: the Kalixanda study: a random population-based study. </w:t>
      </w:r>
      <w:r w:rsidRPr="00465221">
        <w:rPr>
          <w:rFonts w:ascii="Book Antiqua" w:eastAsia="宋体" w:hAnsi="Book Antiqua" w:cs="宋体"/>
          <w:i/>
          <w:iCs/>
        </w:rPr>
        <w:t>Am J Epidemiol</w:t>
      </w:r>
      <w:r w:rsidRPr="00465221">
        <w:rPr>
          <w:rFonts w:ascii="Book Antiqua" w:eastAsia="宋体" w:hAnsi="Book Antiqua" w:cs="宋体"/>
        </w:rPr>
        <w:t> 2006; </w:t>
      </w:r>
      <w:r w:rsidRPr="00465221">
        <w:rPr>
          <w:rFonts w:ascii="Book Antiqua" w:eastAsia="宋体" w:hAnsi="Book Antiqua" w:cs="宋体"/>
          <w:b/>
          <w:bCs/>
        </w:rPr>
        <w:t>163</w:t>
      </w:r>
      <w:r w:rsidRPr="00465221">
        <w:rPr>
          <w:rFonts w:ascii="Book Antiqua" w:eastAsia="宋体" w:hAnsi="Book Antiqua" w:cs="宋体"/>
        </w:rPr>
        <w:t>: 1025-1034 [PMID: 16554343 DOI: 10.1093/aje/kwj129]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30 </w:t>
      </w:r>
      <w:r w:rsidRPr="00465221">
        <w:rPr>
          <w:rFonts w:ascii="Book Antiqua" w:eastAsia="宋体" w:hAnsi="Book Antiqua" w:cs="宋体"/>
          <w:b/>
          <w:bCs/>
        </w:rPr>
        <w:t>Kearney PM</w:t>
      </w:r>
      <w:r w:rsidRPr="00465221">
        <w:rPr>
          <w:rFonts w:ascii="Book Antiqua" w:eastAsia="宋体" w:hAnsi="Book Antiqua" w:cs="宋体"/>
        </w:rPr>
        <w:t>, Baigent C, Godwin J, Halls H, Emberson JR, Patrono C. Do selective cyclo-oxygenase-2 inhibitors and traditional non-steroidal anti-inflammatory drugs increase the risk of atherothrombosis? Meta-analysis of randomised trials. </w:t>
      </w:r>
      <w:r w:rsidRPr="00465221">
        <w:rPr>
          <w:rFonts w:ascii="Book Antiqua" w:eastAsia="宋体" w:hAnsi="Book Antiqua" w:cs="宋体"/>
          <w:i/>
          <w:iCs/>
        </w:rPr>
        <w:t>BMJ</w:t>
      </w:r>
      <w:r w:rsidRPr="00465221">
        <w:rPr>
          <w:rFonts w:ascii="Book Antiqua" w:eastAsia="宋体" w:hAnsi="Book Antiqua" w:cs="宋体"/>
        </w:rPr>
        <w:t> 2006; </w:t>
      </w:r>
      <w:r w:rsidRPr="00465221">
        <w:rPr>
          <w:rFonts w:ascii="Book Antiqua" w:eastAsia="宋体" w:hAnsi="Book Antiqua" w:cs="宋体"/>
          <w:b/>
          <w:bCs/>
        </w:rPr>
        <w:t>332</w:t>
      </w:r>
      <w:r w:rsidRPr="00465221">
        <w:rPr>
          <w:rFonts w:ascii="Book Antiqua" w:eastAsia="宋体" w:hAnsi="Book Antiqua" w:cs="宋体"/>
        </w:rPr>
        <w:t>: 1302-1308 [PMID: 16740558 DOI: 10.1136/bmj.332.7553.1302]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31 </w:t>
      </w:r>
      <w:r w:rsidRPr="00465221">
        <w:rPr>
          <w:rFonts w:ascii="Book Antiqua" w:eastAsia="宋体" w:hAnsi="Book Antiqua" w:cs="宋体"/>
          <w:b/>
          <w:bCs/>
        </w:rPr>
        <w:t>Laine L</w:t>
      </w:r>
      <w:r w:rsidRPr="00465221">
        <w:rPr>
          <w:rFonts w:ascii="Book Antiqua" w:eastAsia="宋体" w:hAnsi="Book Antiqua" w:cs="宋体"/>
        </w:rPr>
        <w:t>, Maller ES, Yu C, Quan H, Simon T. Ulcer formation with low-dose enteric-coated aspirin and the effect of COX-2 selective inhibition: a double-blind trial. </w:t>
      </w:r>
      <w:r w:rsidRPr="00465221">
        <w:rPr>
          <w:rFonts w:ascii="Book Antiqua" w:eastAsia="宋体" w:hAnsi="Book Antiqua" w:cs="宋体"/>
          <w:i/>
          <w:iCs/>
        </w:rPr>
        <w:t>Gastroenterology</w:t>
      </w:r>
      <w:r w:rsidRPr="00465221">
        <w:rPr>
          <w:rFonts w:ascii="Book Antiqua" w:eastAsia="宋体" w:hAnsi="Book Antiqua" w:cs="宋体"/>
        </w:rPr>
        <w:t> 2004; </w:t>
      </w:r>
      <w:r w:rsidRPr="00465221">
        <w:rPr>
          <w:rFonts w:ascii="Book Antiqua" w:eastAsia="宋体" w:hAnsi="Book Antiqua" w:cs="宋体"/>
          <w:b/>
          <w:bCs/>
        </w:rPr>
        <w:t>127</w:t>
      </w:r>
      <w:r w:rsidRPr="00465221">
        <w:rPr>
          <w:rFonts w:ascii="Book Antiqua" w:eastAsia="宋体" w:hAnsi="Book Antiqua" w:cs="宋体"/>
        </w:rPr>
        <w:t>: 395-402 [PMID: 15300570 DOI: 10.1053/j.gastro.2004.05.001]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32 </w:t>
      </w:r>
      <w:r w:rsidRPr="00465221">
        <w:rPr>
          <w:rFonts w:ascii="Book Antiqua" w:eastAsia="宋体" w:hAnsi="Book Antiqua" w:cs="宋体"/>
          <w:b/>
          <w:bCs/>
        </w:rPr>
        <w:t>Jüni P</w:t>
      </w:r>
      <w:r w:rsidRPr="00465221">
        <w:rPr>
          <w:rFonts w:ascii="Book Antiqua" w:eastAsia="宋体" w:hAnsi="Book Antiqua" w:cs="宋体"/>
        </w:rPr>
        <w:t>, Rutjes AW, Dieppe PA. Are selective COX 2 inhibitors superior to traditional non steroidal anti-inflammatory drugs? </w:t>
      </w:r>
      <w:r w:rsidRPr="00465221">
        <w:rPr>
          <w:rFonts w:ascii="Book Antiqua" w:eastAsia="宋体" w:hAnsi="Book Antiqua" w:cs="宋体"/>
          <w:i/>
          <w:iCs/>
        </w:rPr>
        <w:t>BMJ</w:t>
      </w:r>
      <w:r w:rsidRPr="00465221">
        <w:rPr>
          <w:rFonts w:ascii="Book Antiqua" w:eastAsia="宋体" w:hAnsi="Book Antiqua" w:cs="宋体"/>
        </w:rPr>
        <w:t> 2002; </w:t>
      </w:r>
      <w:r w:rsidRPr="00465221">
        <w:rPr>
          <w:rFonts w:ascii="Book Antiqua" w:eastAsia="宋体" w:hAnsi="Book Antiqua" w:cs="宋体"/>
          <w:b/>
          <w:bCs/>
        </w:rPr>
        <w:t>324</w:t>
      </w:r>
      <w:r w:rsidRPr="00465221">
        <w:rPr>
          <w:rFonts w:ascii="Book Antiqua" w:eastAsia="宋体" w:hAnsi="Book Antiqua" w:cs="宋体"/>
        </w:rPr>
        <w:t>: 1287-1288 [PMID: 12039807 DOI: 10.1136/bmj.324.7349.1287]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33 </w:t>
      </w:r>
      <w:r w:rsidRPr="00465221">
        <w:rPr>
          <w:rFonts w:ascii="Book Antiqua" w:eastAsia="宋体" w:hAnsi="Book Antiqua" w:cs="宋体"/>
          <w:b/>
          <w:bCs/>
        </w:rPr>
        <w:t>Schnitzer TJ</w:t>
      </w:r>
      <w:r w:rsidRPr="00465221">
        <w:rPr>
          <w:rFonts w:ascii="Book Antiqua" w:eastAsia="宋体" w:hAnsi="Book Antiqua" w:cs="宋体"/>
        </w:rPr>
        <w:t>, Burmester GR, Mysler E, Hochberg MC, Doherty M, Ehrsam E, Gitton X, Krammer G, Mellein B, Matchaba P, Gimona A, Hawkey CJ. Comparison of lumiracoxib with naproxen and ibuprofen in the Therapeutic Arthritis Research and Gastrointestinal Event Trial (TARGET), reduction in ulcer complications: randomised controlled trial. </w:t>
      </w:r>
      <w:r w:rsidRPr="00465221">
        <w:rPr>
          <w:rFonts w:ascii="Book Antiqua" w:eastAsia="宋体" w:hAnsi="Book Antiqua" w:cs="宋体"/>
          <w:i/>
          <w:iCs/>
        </w:rPr>
        <w:t>Lancet</w:t>
      </w:r>
      <w:r w:rsidRPr="00465221">
        <w:rPr>
          <w:rFonts w:ascii="Book Antiqua" w:eastAsia="宋体" w:hAnsi="Book Antiqua" w:cs="宋体"/>
        </w:rPr>
        <w:t> </w:t>
      </w:r>
      <w:r>
        <w:rPr>
          <w:rFonts w:ascii="Book Antiqua" w:eastAsia="宋体" w:hAnsi="Book Antiqua" w:cs="宋体"/>
        </w:rPr>
        <w:t>2004</w:t>
      </w:r>
      <w:r w:rsidRPr="00465221">
        <w:rPr>
          <w:rFonts w:ascii="Book Antiqua" w:eastAsia="宋体" w:hAnsi="Book Antiqua" w:cs="宋体"/>
        </w:rPr>
        <w:t>; </w:t>
      </w:r>
      <w:r w:rsidRPr="00465221">
        <w:rPr>
          <w:rFonts w:ascii="Book Antiqua" w:eastAsia="宋体" w:hAnsi="Book Antiqua" w:cs="宋体"/>
          <w:b/>
          <w:bCs/>
        </w:rPr>
        <w:t>364</w:t>
      </w:r>
      <w:r w:rsidRPr="00465221">
        <w:rPr>
          <w:rFonts w:ascii="Book Antiqua" w:eastAsia="宋体" w:hAnsi="Book Antiqua" w:cs="宋体"/>
        </w:rPr>
        <w:t>: 665-674 [PMID: 15325831 DOI: 10.1016/S0140-6736(04)16893-1]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34 </w:t>
      </w:r>
      <w:r w:rsidRPr="00465221">
        <w:rPr>
          <w:rFonts w:ascii="Book Antiqua" w:eastAsia="宋体" w:hAnsi="Book Antiqua" w:cs="宋体"/>
          <w:b/>
          <w:bCs/>
        </w:rPr>
        <w:t>Sostek MB</w:t>
      </w:r>
      <w:r w:rsidRPr="00465221">
        <w:rPr>
          <w:rFonts w:ascii="Book Antiqua" w:eastAsia="宋体" w:hAnsi="Book Antiqua" w:cs="宋体"/>
        </w:rPr>
        <w:t>, Fort JG, Estborn L, Vikman K. Long-term safety of naproxen and esomeprazole magnesium fixed-dose combination: phase III study in patients at risk for NSAID-associated gastric ulcers. </w:t>
      </w:r>
      <w:r w:rsidRPr="00465221">
        <w:rPr>
          <w:rFonts w:ascii="Book Antiqua" w:eastAsia="宋体" w:hAnsi="Book Antiqua" w:cs="宋体"/>
          <w:i/>
          <w:iCs/>
        </w:rPr>
        <w:t>Curr Med Res Opin</w:t>
      </w:r>
      <w:r w:rsidRPr="00465221">
        <w:rPr>
          <w:rFonts w:ascii="Book Antiqua" w:eastAsia="宋体" w:hAnsi="Book Antiqua" w:cs="宋体"/>
        </w:rPr>
        <w:t> 2011; </w:t>
      </w:r>
      <w:r w:rsidRPr="00465221">
        <w:rPr>
          <w:rFonts w:ascii="Book Antiqua" w:eastAsia="宋体" w:hAnsi="Book Antiqua" w:cs="宋体"/>
          <w:b/>
          <w:bCs/>
        </w:rPr>
        <w:t>27</w:t>
      </w:r>
      <w:r w:rsidRPr="00465221">
        <w:rPr>
          <w:rFonts w:ascii="Book Antiqua" w:eastAsia="宋体" w:hAnsi="Book Antiqua" w:cs="宋体"/>
        </w:rPr>
        <w:t>: 847-854 [PMID: 21319944 DOI: 10.1185/03007995.2011.555756]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35 </w:t>
      </w:r>
      <w:r w:rsidRPr="00465221">
        <w:rPr>
          <w:rFonts w:ascii="Book Antiqua" w:eastAsia="宋体" w:hAnsi="Book Antiqua" w:cs="宋体"/>
          <w:b/>
          <w:bCs/>
        </w:rPr>
        <w:t>Wallace JL</w:t>
      </w:r>
      <w:r w:rsidRPr="00465221">
        <w:rPr>
          <w:rFonts w:ascii="Book Antiqua" w:eastAsia="宋体" w:hAnsi="Book Antiqua" w:cs="宋体"/>
        </w:rPr>
        <w:t>. Nonsteroidal anti-inflammatory drugs and gastroenteropathy: the second hundred years. </w:t>
      </w:r>
      <w:r w:rsidRPr="00465221">
        <w:rPr>
          <w:rFonts w:ascii="Book Antiqua" w:eastAsia="宋体" w:hAnsi="Book Antiqua" w:cs="宋体"/>
          <w:i/>
          <w:iCs/>
        </w:rPr>
        <w:t>Gastroenterology</w:t>
      </w:r>
      <w:r w:rsidRPr="00465221">
        <w:rPr>
          <w:rFonts w:ascii="Book Antiqua" w:eastAsia="宋体" w:hAnsi="Book Antiqua" w:cs="宋体"/>
        </w:rPr>
        <w:t> 1997; </w:t>
      </w:r>
      <w:r w:rsidRPr="00465221">
        <w:rPr>
          <w:rFonts w:ascii="Book Antiqua" w:eastAsia="宋体" w:hAnsi="Book Antiqua" w:cs="宋体"/>
          <w:b/>
          <w:bCs/>
        </w:rPr>
        <w:t>112</w:t>
      </w:r>
      <w:r w:rsidRPr="00465221">
        <w:rPr>
          <w:rFonts w:ascii="Book Antiqua" w:eastAsia="宋体" w:hAnsi="Book Antiqua" w:cs="宋体"/>
        </w:rPr>
        <w:t>: 1000-1016 [PMID: 9041264 DOI: 10.1053/gast.1997.v112.pm9041264]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36 </w:t>
      </w:r>
      <w:r w:rsidRPr="00465221">
        <w:rPr>
          <w:rFonts w:ascii="Book Antiqua" w:eastAsia="宋体" w:hAnsi="Book Antiqua" w:cs="宋体"/>
          <w:b/>
          <w:bCs/>
        </w:rPr>
        <w:t>Lanas A</w:t>
      </w:r>
      <w:r w:rsidRPr="00465221">
        <w:rPr>
          <w:rFonts w:ascii="Book Antiqua" w:eastAsia="宋体" w:hAnsi="Book Antiqua" w:cs="宋体"/>
        </w:rPr>
        <w:t>, Scarpignato C. Microbial flora in NSAID-induced intestinal damage: a role for antibiotics? </w:t>
      </w:r>
      <w:r w:rsidRPr="00465221">
        <w:rPr>
          <w:rFonts w:ascii="Book Antiqua" w:eastAsia="宋体" w:hAnsi="Book Antiqua" w:cs="宋体"/>
          <w:i/>
          <w:iCs/>
        </w:rPr>
        <w:t>Digestion</w:t>
      </w:r>
      <w:r w:rsidRPr="00465221">
        <w:rPr>
          <w:rFonts w:ascii="Book Antiqua" w:eastAsia="宋体" w:hAnsi="Book Antiqua" w:cs="宋体"/>
        </w:rPr>
        <w:t> 2006; </w:t>
      </w:r>
      <w:r w:rsidRPr="00465221">
        <w:rPr>
          <w:rFonts w:ascii="Book Antiqua" w:eastAsia="宋体" w:hAnsi="Book Antiqua" w:cs="宋体"/>
          <w:b/>
          <w:bCs/>
        </w:rPr>
        <w:t xml:space="preserve">73 </w:t>
      </w:r>
      <w:r w:rsidRPr="00465221">
        <w:rPr>
          <w:rFonts w:ascii="Book Antiqua" w:eastAsia="宋体" w:hAnsi="Book Antiqua" w:cs="宋体"/>
          <w:bCs/>
        </w:rPr>
        <w:t>Suppl 1</w:t>
      </w:r>
      <w:r w:rsidRPr="00465221">
        <w:rPr>
          <w:rFonts w:ascii="Book Antiqua" w:eastAsia="宋体" w:hAnsi="Book Antiqua" w:cs="宋体"/>
        </w:rPr>
        <w:t>: 136-150 [PMID: 16498262 DOI: 10.1159/000089789]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37 </w:t>
      </w:r>
      <w:r w:rsidRPr="00465221">
        <w:rPr>
          <w:rFonts w:ascii="Book Antiqua" w:eastAsia="宋体" w:hAnsi="Book Antiqua" w:cs="宋体"/>
          <w:b/>
          <w:bCs/>
        </w:rPr>
        <w:t>Wallace JL</w:t>
      </w:r>
      <w:r w:rsidRPr="00465221">
        <w:rPr>
          <w:rFonts w:ascii="Book Antiqua" w:eastAsia="宋体" w:hAnsi="Book Antiqua" w:cs="宋体"/>
        </w:rPr>
        <w:t>, Syer S, Denou E, de Palma G, Vong L, McKnight W, Jury J, Bolla M, Bercik P, Collins SM, Verdu E, Ongini E. Proton pump inhibitors exacerbate NSAID-induced small intestinal injury by inducing dysbiosis. </w:t>
      </w:r>
      <w:r w:rsidRPr="00465221">
        <w:rPr>
          <w:rFonts w:ascii="Book Antiqua" w:eastAsia="宋体" w:hAnsi="Book Antiqua" w:cs="宋体"/>
          <w:i/>
          <w:iCs/>
        </w:rPr>
        <w:t>Gastroenterology</w:t>
      </w:r>
      <w:r w:rsidRPr="00465221">
        <w:rPr>
          <w:rFonts w:ascii="Book Antiqua" w:eastAsia="宋体" w:hAnsi="Book Antiqua" w:cs="宋体"/>
        </w:rPr>
        <w:t> 2011; </w:t>
      </w:r>
      <w:r w:rsidRPr="00465221">
        <w:rPr>
          <w:rFonts w:ascii="Book Antiqua" w:eastAsia="宋体" w:hAnsi="Book Antiqua" w:cs="宋体"/>
          <w:b/>
          <w:bCs/>
        </w:rPr>
        <w:t>141</w:t>
      </w:r>
      <w:r w:rsidRPr="00465221">
        <w:rPr>
          <w:rFonts w:ascii="Book Antiqua" w:eastAsia="宋体" w:hAnsi="Book Antiqua" w:cs="宋体"/>
        </w:rPr>
        <w:t>: 1314-122, 1314-122, [PMID: 21745447 DOI: 10.1053/j.gastro.2011.06.075]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38 </w:t>
      </w:r>
      <w:r w:rsidRPr="00465221">
        <w:rPr>
          <w:rFonts w:ascii="Book Antiqua" w:eastAsia="宋体" w:hAnsi="Book Antiqua" w:cs="宋体"/>
          <w:b/>
          <w:bCs/>
        </w:rPr>
        <w:t>Wallace JL</w:t>
      </w:r>
      <w:r w:rsidRPr="00465221">
        <w:rPr>
          <w:rFonts w:ascii="Book Antiqua" w:eastAsia="宋体" w:hAnsi="Book Antiqua" w:cs="宋体"/>
        </w:rPr>
        <w:t>, Caliendo G, Santagada V, Cirino G. Markedly reduced toxicity of a hydrogen sulphide-releasing derivative of naproxen (ATB-346). </w:t>
      </w:r>
      <w:r w:rsidRPr="00465221">
        <w:rPr>
          <w:rFonts w:ascii="Book Antiqua" w:eastAsia="宋体" w:hAnsi="Book Antiqua" w:cs="宋体"/>
          <w:i/>
          <w:iCs/>
        </w:rPr>
        <w:t>Br J Pharmacol</w:t>
      </w:r>
      <w:r w:rsidRPr="00465221">
        <w:rPr>
          <w:rFonts w:ascii="Book Antiqua" w:eastAsia="宋体" w:hAnsi="Book Antiqua" w:cs="宋体"/>
        </w:rPr>
        <w:t> 2010; </w:t>
      </w:r>
      <w:r w:rsidRPr="00465221">
        <w:rPr>
          <w:rFonts w:ascii="Book Antiqua" w:eastAsia="宋体" w:hAnsi="Book Antiqua" w:cs="宋体"/>
          <w:b/>
          <w:bCs/>
        </w:rPr>
        <w:t>159</w:t>
      </w:r>
      <w:r w:rsidRPr="00465221">
        <w:rPr>
          <w:rFonts w:ascii="Book Antiqua" w:eastAsia="宋体" w:hAnsi="Book Antiqua" w:cs="宋体"/>
        </w:rPr>
        <w:t>: 1236-1246 [PMID: 20128814 DOI: 10.1111/j.1476-5381.2009.00611.x]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39 </w:t>
      </w:r>
      <w:r w:rsidRPr="00465221">
        <w:rPr>
          <w:rFonts w:ascii="Book Antiqua" w:eastAsia="宋体" w:hAnsi="Book Antiqua" w:cs="宋体"/>
          <w:b/>
          <w:bCs/>
        </w:rPr>
        <w:t>Satoh H</w:t>
      </w:r>
      <w:r w:rsidRPr="00465221">
        <w:rPr>
          <w:rFonts w:ascii="Book Antiqua" w:eastAsia="宋体" w:hAnsi="Book Antiqua" w:cs="宋体"/>
        </w:rPr>
        <w:t>, Amagase K, Takeuchi K. Exacerbation of nonsteroidal anti-inflammatory drug-induced small intestinal lesions by antisecretory drugs in rats: the role of intestinal motility. </w:t>
      </w:r>
      <w:r w:rsidRPr="00465221">
        <w:rPr>
          <w:rFonts w:ascii="Book Antiqua" w:eastAsia="宋体" w:hAnsi="Book Antiqua" w:cs="宋体"/>
          <w:i/>
          <w:iCs/>
        </w:rPr>
        <w:t>J Pharmacol Exp Ther</w:t>
      </w:r>
      <w:r w:rsidRPr="00465221">
        <w:rPr>
          <w:rFonts w:ascii="Book Antiqua" w:eastAsia="宋体" w:hAnsi="Book Antiqua" w:cs="宋体"/>
        </w:rPr>
        <w:t> 2012; </w:t>
      </w:r>
      <w:r w:rsidRPr="00465221">
        <w:rPr>
          <w:rFonts w:ascii="Book Antiqua" w:eastAsia="宋体" w:hAnsi="Book Antiqua" w:cs="宋体"/>
          <w:b/>
          <w:bCs/>
        </w:rPr>
        <w:t>343</w:t>
      </w:r>
      <w:r w:rsidRPr="00465221">
        <w:rPr>
          <w:rFonts w:ascii="Book Antiqua" w:eastAsia="宋体" w:hAnsi="Book Antiqua" w:cs="宋体"/>
        </w:rPr>
        <w:t>: 270-277 [PMID: 22854201 DOI: 10.1124/jpet.112.197475]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40 </w:t>
      </w:r>
      <w:r w:rsidRPr="00465221">
        <w:rPr>
          <w:rFonts w:ascii="Book Antiqua" w:eastAsia="宋体" w:hAnsi="Book Antiqua" w:cs="宋体"/>
          <w:b/>
          <w:bCs/>
        </w:rPr>
        <w:t>Verdu E</w:t>
      </w:r>
      <w:r w:rsidRPr="00465221">
        <w:rPr>
          <w:rFonts w:ascii="Book Antiqua" w:eastAsia="宋体" w:hAnsi="Book Antiqua" w:cs="宋体"/>
        </w:rPr>
        <w:t>, Viani F, Armstrong D, Fraser R, Siegrist HH, Pignatelli B, Idström JP, Cederberg C, Blum AL, Fried M. Effect of omeprazole on intragastric bacterial counts, nitrates, nitrites, and N-nitroso compounds. </w:t>
      </w:r>
      <w:r w:rsidRPr="00465221">
        <w:rPr>
          <w:rFonts w:ascii="Book Antiqua" w:eastAsia="宋体" w:hAnsi="Book Antiqua" w:cs="宋体"/>
          <w:i/>
          <w:iCs/>
        </w:rPr>
        <w:t>Gut</w:t>
      </w:r>
      <w:r w:rsidRPr="00465221">
        <w:rPr>
          <w:rFonts w:ascii="Book Antiqua" w:eastAsia="宋体" w:hAnsi="Book Antiqua" w:cs="宋体"/>
        </w:rPr>
        <w:t> 1994; </w:t>
      </w:r>
      <w:r w:rsidRPr="00465221">
        <w:rPr>
          <w:rFonts w:ascii="Book Antiqua" w:eastAsia="宋体" w:hAnsi="Book Antiqua" w:cs="宋体"/>
          <w:b/>
          <w:bCs/>
        </w:rPr>
        <w:t>35</w:t>
      </w:r>
      <w:r w:rsidRPr="00465221">
        <w:rPr>
          <w:rFonts w:ascii="Book Antiqua" w:eastAsia="宋体" w:hAnsi="Book Antiqua" w:cs="宋体"/>
        </w:rPr>
        <w:t>: 455-460 [PMID: 8174980 DOI: 10.1136/gut.35.4.455]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41 </w:t>
      </w:r>
      <w:r w:rsidRPr="00465221">
        <w:rPr>
          <w:rFonts w:ascii="Book Antiqua" w:eastAsia="宋体" w:hAnsi="Book Antiqua" w:cs="宋体"/>
          <w:b/>
          <w:bCs/>
        </w:rPr>
        <w:t>Williams C</w:t>
      </w:r>
      <w:r w:rsidRPr="00465221">
        <w:rPr>
          <w:rFonts w:ascii="Book Antiqua" w:eastAsia="宋体" w:hAnsi="Book Antiqua" w:cs="宋体"/>
        </w:rPr>
        <w:t>, McColl KE. Review article: proton pump inhibitors and bacterial overgrowth. </w:t>
      </w:r>
      <w:r w:rsidRPr="00465221">
        <w:rPr>
          <w:rFonts w:ascii="Book Antiqua" w:eastAsia="宋体" w:hAnsi="Book Antiqua" w:cs="宋体"/>
          <w:i/>
          <w:iCs/>
        </w:rPr>
        <w:t>Aliment Pharmacol Ther</w:t>
      </w:r>
      <w:r w:rsidRPr="00465221">
        <w:rPr>
          <w:rFonts w:ascii="Book Antiqua" w:eastAsia="宋体" w:hAnsi="Book Antiqua" w:cs="宋体"/>
        </w:rPr>
        <w:t> 2006; </w:t>
      </w:r>
      <w:r w:rsidRPr="00465221">
        <w:rPr>
          <w:rFonts w:ascii="Book Antiqua" w:eastAsia="宋体" w:hAnsi="Book Antiqua" w:cs="宋体"/>
          <w:b/>
          <w:bCs/>
        </w:rPr>
        <w:t>23</w:t>
      </w:r>
      <w:r w:rsidRPr="00465221">
        <w:rPr>
          <w:rFonts w:ascii="Book Antiqua" w:eastAsia="宋体" w:hAnsi="Book Antiqua" w:cs="宋体"/>
        </w:rPr>
        <w:t>: 3-10 [PMID: 16393275 DOI: 10.1111/j.1365-2036.2006.02707.x]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42 </w:t>
      </w:r>
      <w:r w:rsidRPr="00465221">
        <w:rPr>
          <w:rFonts w:ascii="Book Antiqua" w:eastAsia="宋体" w:hAnsi="Book Antiqua" w:cs="宋体"/>
          <w:b/>
          <w:bCs/>
        </w:rPr>
        <w:t>Lombardo L</w:t>
      </w:r>
      <w:r w:rsidRPr="00465221">
        <w:rPr>
          <w:rFonts w:ascii="Book Antiqua" w:eastAsia="宋体" w:hAnsi="Book Antiqua" w:cs="宋体"/>
        </w:rPr>
        <w:t>, Foti M, Ruggia O, Chiecchio A. Increased incidence of small intestinal bacterial overgrowth during proton pump inhibitor therapy. </w:t>
      </w:r>
      <w:r w:rsidRPr="00465221">
        <w:rPr>
          <w:rFonts w:ascii="Book Antiqua" w:eastAsia="宋体" w:hAnsi="Book Antiqua" w:cs="宋体"/>
          <w:i/>
          <w:iCs/>
        </w:rPr>
        <w:t>Clin Gastroenterol Hepatol</w:t>
      </w:r>
      <w:r w:rsidRPr="00465221">
        <w:rPr>
          <w:rFonts w:ascii="Book Antiqua" w:eastAsia="宋体" w:hAnsi="Book Antiqua" w:cs="宋体"/>
        </w:rPr>
        <w:t> 2010; </w:t>
      </w:r>
      <w:r w:rsidRPr="00465221">
        <w:rPr>
          <w:rFonts w:ascii="Book Antiqua" w:eastAsia="宋体" w:hAnsi="Book Antiqua" w:cs="宋体"/>
          <w:b/>
          <w:bCs/>
        </w:rPr>
        <w:t>8</w:t>
      </w:r>
      <w:r w:rsidRPr="00465221">
        <w:rPr>
          <w:rFonts w:ascii="Book Antiqua" w:eastAsia="宋体" w:hAnsi="Book Antiqua" w:cs="宋体"/>
        </w:rPr>
        <w:t>: 504-508 [PMID: 20060064 DOI: 10.1016/j.cgh.2009.12.022]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43 </w:t>
      </w:r>
      <w:r w:rsidRPr="00465221">
        <w:rPr>
          <w:rFonts w:ascii="Book Antiqua" w:eastAsia="宋体" w:hAnsi="Book Antiqua" w:cs="宋体"/>
          <w:b/>
          <w:bCs/>
        </w:rPr>
        <w:t>Daniell HW</w:t>
      </w:r>
      <w:r w:rsidRPr="00465221">
        <w:rPr>
          <w:rFonts w:ascii="Book Antiqua" w:eastAsia="宋体" w:hAnsi="Book Antiqua" w:cs="宋体"/>
        </w:rPr>
        <w:t>. NSAID-PPI enteropathy in humans. </w:t>
      </w:r>
      <w:r w:rsidRPr="00465221">
        <w:rPr>
          <w:rFonts w:ascii="Book Antiqua" w:eastAsia="宋体" w:hAnsi="Book Antiqua" w:cs="宋体"/>
          <w:i/>
          <w:iCs/>
        </w:rPr>
        <w:t>Gastroenterology</w:t>
      </w:r>
      <w:r w:rsidRPr="00465221">
        <w:rPr>
          <w:rFonts w:ascii="Book Antiqua" w:eastAsia="宋体" w:hAnsi="Book Antiqua" w:cs="宋体"/>
        </w:rPr>
        <w:t> 2012; </w:t>
      </w:r>
      <w:r w:rsidRPr="00465221">
        <w:rPr>
          <w:rFonts w:ascii="Book Antiqua" w:eastAsia="宋体" w:hAnsi="Book Antiqua" w:cs="宋体"/>
          <w:b/>
          <w:bCs/>
        </w:rPr>
        <w:t>142</w:t>
      </w:r>
      <w:r w:rsidRPr="00465221">
        <w:rPr>
          <w:rFonts w:ascii="Book Antiqua" w:eastAsia="宋体" w:hAnsi="Book Antiqua" w:cs="宋体"/>
        </w:rPr>
        <w:t>: e20; author reply e20-e21 [PMID: 22374457 DOI: 10.1053/j.gastro.2012.02.004]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44 </w:t>
      </w:r>
      <w:r w:rsidRPr="00465221">
        <w:rPr>
          <w:rFonts w:ascii="Book Antiqua" w:eastAsia="宋体" w:hAnsi="Book Antiqua" w:cs="宋体"/>
          <w:b/>
          <w:bCs/>
        </w:rPr>
        <w:t>Compare D</w:t>
      </w:r>
      <w:r w:rsidRPr="00465221">
        <w:rPr>
          <w:rFonts w:ascii="Book Antiqua" w:eastAsia="宋体" w:hAnsi="Book Antiqua" w:cs="宋体"/>
        </w:rPr>
        <w:t>, Pica L, Rocco A, De Giorgi F, Cuomo R, Sarnelli G, Romano M, Nardone G. Effects of long-term PPI treatment on producing bowel symptoms and SIBO. </w:t>
      </w:r>
      <w:r w:rsidRPr="00465221">
        <w:rPr>
          <w:rFonts w:ascii="Book Antiqua" w:eastAsia="宋体" w:hAnsi="Book Antiqua" w:cs="宋体"/>
          <w:i/>
          <w:iCs/>
        </w:rPr>
        <w:t>Eur J Clin Invest</w:t>
      </w:r>
      <w:r w:rsidRPr="00465221">
        <w:rPr>
          <w:rFonts w:ascii="Book Antiqua" w:eastAsia="宋体" w:hAnsi="Book Antiqua" w:cs="宋体"/>
        </w:rPr>
        <w:t> 2011; </w:t>
      </w:r>
      <w:r w:rsidRPr="00465221">
        <w:rPr>
          <w:rFonts w:ascii="Book Antiqua" w:eastAsia="宋体" w:hAnsi="Book Antiqua" w:cs="宋体"/>
          <w:b/>
          <w:bCs/>
        </w:rPr>
        <w:t>41</w:t>
      </w:r>
      <w:r w:rsidRPr="00465221">
        <w:rPr>
          <w:rFonts w:ascii="Book Antiqua" w:eastAsia="宋体" w:hAnsi="Book Antiqua" w:cs="宋体"/>
        </w:rPr>
        <w:t>: 380-386 [PMID: 21128930 DOI: 10.1111/j.1365-2362.2010.02419.x]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45 </w:t>
      </w:r>
      <w:r w:rsidRPr="00465221">
        <w:rPr>
          <w:rFonts w:ascii="Book Antiqua" w:eastAsia="宋体" w:hAnsi="Book Antiqua" w:cs="宋体"/>
          <w:b/>
          <w:bCs/>
        </w:rPr>
        <w:t>Poullis A</w:t>
      </w:r>
      <w:r w:rsidRPr="00465221">
        <w:rPr>
          <w:rFonts w:ascii="Book Antiqua" w:eastAsia="宋体" w:hAnsi="Book Antiqua" w:cs="宋体"/>
        </w:rPr>
        <w:t>, Foster R, Mendall MA, Shreeve D, Wiener K. Proton pump inhibitors are associated with elevation of faecal calprotectin and may affect specificity. </w:t>
      </w:r>
      <w:r w:rsidRPr="00465221">
        <w:rPr>
          <w:rFonts w:ascii="Book Antiqua" w:eastAsia="宋体" w:hAnsi="Book Antiqua" w:cs="宋体"/>
          <w:i/>
          <w:iCs/>
        </w:rPr>
        <w:t>Eur J Gastroenterol Hepatol</w:t>
      </w:r>
      <w:r w:rsidRPr="00465221">
        <w:rPr>
          <w:rFonts w:ascii="Book Antiqua" w:eastAsia="宋体" w:hAnsi="Book Antiqua" w:cs="宋体"/>
        </w:rPr>
        <w:t> 2003; </w:t>
      </w:r>
      <w:r w:rsidRPr="00465221">
        <w:rPr>
          <w:rFonts w:ascii="Book Antiqua" w:eastAsia="宋体" w:hAnsi="Book Antiqua" w:cs="宋体"/>
          <w:b/>
          <w:bCs/>
        </w:rPr>
        <w:t>15</w:t>
      </w:r>
      <w:r w:rsidRPr="00465221">
        <w:rPr>
          <w:rFonts w:ascii="Book Antiqua" w:eastAsia="宋体" w:hAnsi="Book Antiqua" w:cs="宋体"/>
        </w:rPr>
        <w:t>: 573-54; author reply 574 [PMID: 12702920]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46 </w:t>
      </w:r>
      <w:r w:rsidRPr="00465221">
        <w:rPr>
          <w:rFonts w:ascii="Book Antiqua" w:eastAsia="宋体" w:hAnsi="Book Antiqua" w:cs="宋体"/>
          <w:b/>
          <w:bCs/>
        </w:rPr>
        <w:t>Andréasson K</w:t>
      </w:r>
      <w:r w:rsidRPr="00465221">
        <w:rPr>
          <w:rFonts w:ascii="Book Antiqua" w:eastAsia="宋体" w:hAnsi="Book Antiqua" w:cs="宋体"/>
        </w:rPr>
        <w:t>, Scheja A, Saxne T, Ohlsson B, Hesselstrand R. Faecal calprotectin: a biomarker of gastrointestinal disease in systemic sclerosis. </w:t>
      </w:r>
      <w:r w:rsidRPr="00465221">
        <w:rPr>
          <w:rFonts w:ascii="Book Antiqua" w:eastAsia="宋体" w:hAnsi="Book Antiqua" w:cs="宋体"/>
          <w:i/>
          <w:iCs/>
        </w:rPr>
        <w:t>J Intern Med</w:t>
      </w:r>
      <w:r w:rsidRPr="00465221">
        <w:rPr>
          <w:rFonts w:ascii="Book Antiqua" w:eastAsia="宋体" w:hAnsi="Book Antiqua" w:cs="宋体"/>
        </w:rPr>
        <w:t> 2011; </w:t>
      </w:r>
      <w:r w:rsidRPr="00465221">
        <w:rPr>
          <w:rFonts w:ascii="Book Antiqua" w:eastAsia="宋体" w:hAnsi="Book Antiqua" w:cs="宋体"/>
          <w:b/>
          <w:bCs/>
        </w:rPr>
        <w:t>270</w:t>
      </w:r>
      <w:r w:rsidRPr="00465221">
        <w:rPr>
          <w:rFonts w:ascii="Book Antiqua" w:eastAsia="宋体" w:hAnsi="Book Antiqua" w:cs="宋体"/>
        </w:rPr>
        <w:t>: 50-57 [PMID: 21205026 DOI: 10.1111/j.1365-2796.2010.02340.x]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47 </w:t>
      </w:r>
      <w:r w:rsidRPr="00465221">
        <w:rPr>
          <w:rFonts w:ascii="Book Antiqua" w:eastAsia="宋体" w:hAnsi="Book Antiqua" w:cs="宋体"/>
          <w:b/>
          <w:bCs/>
        </w:rPr>
        <w:t>Wilcox GM</w:t>
      </w:r>
      <w:r w:rsidRPr="00465221">
        <w:rPr>
          <w:rFonts w:ascii="Book Antiqua" w:eastAsia="宋体" w:hAnsi="Book Antiqua" w:cs="宋体"/>
        </w:rPr>
        <w:t>, Mattia AR. Microscopic colitis associated with omeprazole and esomeprazole exposure. </w:t>
      </w:r>
      <w:r w:rsidRPr="00465221">
        <w:rPr>
          <w:rFonts w:ascii="Book Antiqua" w:eastAsia="宋体" w:hAnsi="Book Antiqua" w:cs="宋体"/>
          <w:i/>
          <w:iCs/>
        </w:rPr>
        <w:t>J Clin Gastroenterol</w:t>
      </w:r>
      <w:r w:rsidRPr="00465221">
        <w:rPr>
          <w:rFonts w:ascii="Book Antiqua" w:eastAsia="宋体" w:hAnsi="Book Antiqua" w:cs="宋体"/>
        </w:rPr>
        <w:t> 2009; </w:t>
      </w:r>
      <w:r w:rsidRPr="00465221">
        <w:rPr>
          <w:rFonts w:ascii="Book Antiqua" w:eastAsia="宋体" w:hAnsi="Book Antiqua" w:cs="宋体"/>
          <w:b/>
          <w:bCs/>
        </w:rPr>
        <w:t>43</w:t>
      </w:r>
      <w:r w:rsidRPr="00465221">
        <w:rPr>
          <w:rFonts w:ascii="Book Antiqua" w:eastAsia="宋体" w:hAnsi="Book Antiqua" w:cs="宋体"/>
        </w:rPr>
        <w:t>: 551-553 [PMID: 19142168 DOI: 10.1097/MCG.0b013e31817d3fa1]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48 </w:t>
      </w:r>
      <w:r w:rsidRPr="00465221">
        <w:rPr>
          <w:rFonts w:ascii="Book Antiqua" w:eastAsia="宋体" w:hAnsi="Book Antiqua" w:cs="宋体"/>
          <w:b/>
          <w:bCs/>
        </w:rPr>
        <w:t>Keszthelyi D</w:t>
      </w:r>
      <w:r w:rsidRPr="00465221">
        <w:rPr>
          <w:rFonts w:ascii="Book Antiqua" w:eastAsia="宋体" w:hAnsi="Book Antiqua" w:cs="宋体"/>
        </w:rPr>
        <w:t>, Jansen SV, Schouten GA, de Kort S, Scholtes B, Engels LG, Masclee AA. Proton pump inhibitor use is associated with an increased risk for microscopic colitis: a case-control study. </w:t>
      </w:r>
      <w:r w:rsidRPr="00465221">
        <w:rPr>
          <w:rFonts w:ascii="Book Antiqua" w:eastAsia="宋体" w:hAnsi="Book Antiqua" w:cs="宋体"/>
          <w:i/>
          <w:iCs/>
        </w:rPr>
        <w:t>Aliment Pharmacol Ther</w:t>
      </w:r>
      <w:r w:rsidRPr="00465221">
        <w:rPr>
          <w:rFonts w:ascii="Book Antiqua" w:eastAsia="宋体" w:hAnsi="Book Antiqua" w:cs="宋体"/>
        </w:rPr>
        <w:t> 2010; </w:t>
      </w:r>
      <w:r w:rsidRPr="00465221">
        <w:rPr>
          <w:rFonts w:ascii="Book Antiqua" w:eastAsia="宋体" w:hAnsi="Book Antiqua" w:cs="宋体"/>
          <w:b/>
          <w:bCs/>
        </w:rPr>
        <w:t>32</w:t>
      </w:r>
      <w:r w:rsidRPr="00465221">
        <w:rPr>
          <w:rFonts w:ascii="Book Antiqua" w:eastAsia="宋体" w:hAnsi="Book Antiqua" w:cs="宋体"/>
        </w:rPr>
        <w:t>: 1124-1128 [PMID: 21039674 DOI: 10.1111/j.1365-2036.2010.04453.x]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49 </w:t>
      </w:r>
      <w:r w:rsidRPr="00465221">
        <w:rPr>
          <w:rFonts w:ascii="Book Antiqua" w:eastAsia="宋体" w:hAnsi="Book Antiqua" w:cs="宋体"/>
          <w:b/>
          <w:bCs/>
        </w:rPr>
        <w:t>Pardi DS</w:t>
      </w:r>
      <w:r w:rsidRPr="00465221">
        <w:rPr>
          <w:rFonts w:ascii="Book Antiqua" w:eastAsia="宋体" w:hAnsi="Book Antiqua" w:cs="宋体"/>
        </w:rPr>
        <w:t>, Kelly CP. Microscopic colitis. </w:t>
      </w:r>
      <w:r w:rsidRPr="00465221">
        <w:rPr>
          <w:rFonts w:ascii="Book Antiqua" w:eastAsia="宋体" w:hAnsi="Book Antiqua" w:cs="宋体"/>
          <w:i/>
          <w:iCs/>
        </w:rPr>
        <w:t>Gastroenterology</w:t>
      </w:r>
      <w:r w:rsidRPr="00465221">
        <w:rPr>
          <w:rFonts w:ascii="Book Antiqua" w:eastAsia="宋体" w:hAnsi="Book Antiqua" w:cs="宋体"/>
        </w:rPr>
        <w:t> 2011; </w:t>
      </w:r>
      <w:r w:rsidRPr="00465221">
        <w:rPr>
          <w:rFonts w:ascii="Book Antiqua" w:eastAsia="宋体" w:hAnsi="Book Antiqua" w:cs="宋体"/>
          <w:b/>
          <w:bCs/>
        </w:rPr>
        <w:t>140</w:t>
      </w:r>
      <w:r w:rsidRPr="00465221">
        <w:rPr>
          <w:rFonts w:ascii="Book Antiqua" w:eastAsia="宋体" w:hAnsi="Book Antiqua" w:cs="宋体"/>
        </w:rPr>
        <w:t>: 1155-1165 [PMID: 21303675 DOI: 10.1053/j.gastro.2011.02.003]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50 </w:t>
      </w:r>
      <w:r w:rsidRPr="00465221">
        <w:rPr>
          <w:rFonts w:ascii="Book Antiqua" w:eastAsia="宋体" w:hAnsi="Book Antiqua" w:cs="宋体"/>
          <w:b/>
          <w:bCs/>
        </w:rPr>
        <w:t>Goldstein JL</w:t>
      </w:r>
      <w:r w:rsidRPr="00465221">
        <w:rPr>
          <w:rFonts w:ascii="Book Antiqua" w:eastAsia="宋体" w:hAnsi="Book Antiqua" w:cs="宋体"/>
        </w:rPr>
        <w:t>, Eisen GM, Lewis B, Gralnek IM, Zlotnick S, Fort JG. Video capsule endoscopy to prospectively assess small bowel injury with celecoxib, naproxen plus omeprazole, and placebo. </w:t>
      </w:r>
      <w:r w:rsidRPr="00465221">
        <w:rPr>
          <w:rFonts w:ascii="Book Antiqua" w:eastAsia="宋体" w:hAnsi="Book Antiqua" w:cs="宋体"/>
          <w:i/>
          <w:iCs/>
        </w:rPr>
        <w:t>Clin Gastroenterol Hepatol</w:t>
      </w:r>
      <w:r w:rsidRPr="00465221">
        <w:rPr>
          <w:rFonts w:ascii="Book Antiqua" w:eastAsia="宋体" w:hAnsi="Book Antiqua" w:cs="宋体"/>
        </w:rPr>
        <w:t> 2005; </w:t>
      </w:r>
      <w:r w:rsidRPr="00465221">
        <w:rPr>
          <w:rFonts w:ascii="Book Antiqua" w:eastAsia="宋体" w:hAnsi="Book Antiqua" w:cs="宋体"/>
          <w:b/>
          <w:bCs/>
        </w:rPr>
        <w:t>3</w:t>
      </w:r>
      <w:r w:rsidRPr="00465221">
        <w:rPr>
          <w:rFonts w:ascii="Book Antiqua" w:eastAsia="宋体" w:hAnsi="Book Antiqua" w:cs="宋体"/>
        </w:rPr>
        <w:t>: 133-141 [PMID: 15704047 DOI: 10.1016/S1542-3565(04)00619-6]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51 </w:t>
      </w:r>
      <w:r w:rsidRPr="00465221">
        <w:rPr>
          <w:rFonts w:ascii="Book Antiqua" w:eastAsia="宋体" w:hAnsi="Book Antiqua" w:cs="宋体"/>
          <w:b/>
          <w:bCs/>
        </w:rPr>
        <w:t>Hawkey CJ</w:t>
      </w:r>
      <w:r w:rsidRPr="00465221">
        <w:rPr>
          <w:rFonts w:ascii="Book Antiqua" w:eastAsia="宋体" w:hAnsi="Book Antiqua" w:cs="宋体"/>
        </w:rPr>
        <w:t>, Ell C, Simon B, Albert J, Keuchel M, McAlindon M, Fortun P, Schumann S, Bolten W, Shonde A, Hugot JL, Yu V, Arulmani U, Krammer G, Rebuli R, Toth E. Less small-bowel injury with lumiracoxib compared with naproxen plus omeprazole. </w:t>
      </w:r>
      <w:r w:rsidRPr="00465221">
        <w:rPr>
          <w:rFonts w:ascii="Book Antiqua" w:eastAsia="宋体" w:hAnsi="Book Antiqua" w:cs="宋体"/>
          <w:i/>
          <w:iCs/>
        </w:rPr>
        <w:t>Clin Gastroenterol Hepatol</w:t>
      </w:r>
      <w:r w:rsidRPr="00465221">
        <w:rPr>
          <w:rFonts w:ascii="Book Antiqua" w:eastAsia="宋体" w:hAnsi="Book Antiqua" w:cs="宋体"/>
        </w:rPr>
        <w:t> 2008; </w:t>
      </w:r>
      <w:r w:rsidRPr="00465221">
        <w:rPr>
          <w:rFonts w:ascii="Book Antiqua" w:eastAsia="宋体" w:hAnsi="Book Antiqua" w:cs="宋体"/>
          <w:b/>
          <w:bCs/>
        </w:rPr>
        <w:t>6</w:t>
      </w:r>
      <w:r w:rsidRPr="00465221">
        <w:rPr>
          <w:rFonts w:ascii="Book Antiqua" w:eastAsia="宋体" w:hAnsi="Book Antiqua" w:cs="宋体"/>
        </w:rPr>
        <w:t>: 536-544 [PMID: 18242145 DOI: 10.1016/j.cgh.2007.12.023]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52 </w:t>
      </w:r>
      <w:r w:rsidRPr="00465221">
        <w:rPr>
          <w:rFonts w:ascii="Book Antiqua" w:eastAsia="宋体" w:hAnsi="Book Antiqua" w:cs="宋体"/>
          <w:b/>
          <w:bCs/>
        </w:rPr>
        <w:t>Reuter BK</w:t>
      </w:r>
      <w:r w:rsidRPr="00465221">
        <w:rPr>
          <w:rFonts w:ascii="Book Antiqua" w:eastAsia="宋体" w:hAnsi="Book Antiqua" w:cs="宋体"/>
        </w:rPr>
        <w:t>, Davies NM, Wallace JL. Nonsteroidal anti-inflammatory drug enteropathy in rats: role of permeability, bacteria, and enterohepatic circulation. </w:t>
      </w:r>
      <w:r w:rsidRPr="00465221">
        <w:rPr>
          <w:rFonts w:ascii="Book Antiqua" w:eastAsia="宋体" w:hAnsi="Book Antiqua" w:cs="宋体"/>
          <w:i/>
          <w:iCs/>
        </w:rPr>
        <w:t>Gastroenterology</w:t>
      </w:r>
      <w:r w:rsidRPr="00465221">
        <w:rPr>
          <w:rFonts w:ascii="Book Antiqua" w:eastAsia="宋体" w:hAnsi="Book Antiqua" w:cs="宋体"/>
        </w:rPr>
        <w:t> 1997; </w:t>
      </w:r>
      <w:r w:rsidRPr="00465221">
        <w:rPr>
          <w:rFonts w:ascii="Book Antiqua" w:eastAsia="宋体" w:hAnsi="Book Antiqua" w:cs="宋体"/>
          <w:b/>
          <w:bCs/>
        </w:rPr>
        <w:t>112</w:t>
      </w:r>
      <w:r w:rsidRPr="00465221">
        <w:rPr>
          <w:rFonts w:ascii="Book Antiqua" w:eastAsia="宋体" w:hAnsi="Book Antiqua" w:cs="宋体"/>
        </w:rPr>
        <w:t>: 109-117 [PMID: 8978349 DOI: 10.1016/S0016-5085(97)70225-7]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53 </w:t>
      </w:r>
      <w:r w:rsidRPr="00465221">
        <w:rPr>
          <w:rFonts w:ascii="Book Antiqua" w:eastAsia="宋体" w:hAnsi="Book Antiqua" w:cs="宋体"/>
          <w:b/>
          <w:bCs/>
        </w:rPr>
        <w:t>Morris AJ</w:t>
      </w:r>
      <w:r w:rsidRPr="00465221">
        <w:rPr>
          <w:rFonts w:ascii="Book Antiqua" w:eastAsia="宋体" w:hAnsi="Book Antiqua" w:cs="宋体"/>
        </w:rPr>
        <w:t>, Madhok R, Sturrock RD, Capell HA, MacKenzie JF. Enteroscopic diagnosis of small bowel ulceration in patients receiving non-steroidal anti-inflammatory drugs. </w:t>
      </w:r>
      <w:r w:rsidRPr="00465221">
        <w:rPr>
          <w:rFonts w:ascii="Book Antiqua" w:eastAsia="宋体" w:hAnsi="Book Antiqua" w:cs="宋体"/>
          <w:i/>
          <w:iCs/>
        </w:rPr>
        <w:t>Lancet</w:t>
      </w:r>
      <w:r w:rsidRPr="00465221">
        <w:rPr>
          <w:rFonts w:ascii="Book Antiqua" w:eastAsia="宋体" w:hAnsi="Book Antiqua" w:cs="宋体"/>
        </w:rPr>
        <w:t> 1991; </w:t>
      </w:r>
      <w:r w:rsidRPr="00465221">
        <w:rPr>
          <w:rFonts w:ascii="Book Antiqua" w:eastAsia="宋体" w:hAnsi="Book Antiqua" w:cs="宋体"/>
          <w:b/>
          <w:bCs/>
        </w:rPr>
        <w:t>337</w:t>
      </w:r>
      <w:r w:rsidRPr="00465221">
        <w:rPr>
          <w:rFonts w:ascii="Book Antiqua" w:eastAsia="宋体" w:hAnsi="Book Antiqua" w:cs="宋体"/>
        </w:rPr>
        <w:t>: 520 [PMID: 1671893]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54 </w:t>
      </w:r>
      <w:r w:rsidRPr="00465221">
        <w:rPr>
          <w:rFonts w:ascii="Book Antiqua" w:eastAsia="宋体" w:hAnsi="Book Antiqua" w:cs="宋体"/>
          <w:b/>
          <w:bCs/>
        </w:rPr>
        <w:t>Fujimori S</w:t>
      </w:r>
      <w:r w:rsidRPr="00465221">
        <w:rPr>
          <w:rFonts w:ascii="Book Antiqua" w:eastAsia="宋体" w:hAnsi="Book Antiqua" w:cs="宋体"/>
        </w:rPr>
        <w:t>, Gudis K, Takahashi Y, Seo T, Yamada Y, Ehara A, Kobayashi T, Mitsui K, Yonezawa M, Tanaka S, Tatsuguchi A, Sakamoto C. Distribution of small intestinal mucosal injuries as a result of NSAID administration. </w:t>
      </w:r>
      <w:r w:rsidRPr="00465221">
        <w:rPr>
          <w:rFonts w:ascii="Book Antiqua" w:eastAsia="宋体" w:hAnsi="Book Antiqua" w:cs="宋体"/>
          <w:i/>
          <w:iCs/>
        </w:rPr>
        <w:t>Eur J Clin Invest</w:t>
      </w:r>
      <w:r w:rsidRPr="00465221">
        <w:rPr>
          <w:rFonts w:ascii="Book Antiqua" w:eastAsia="宋体" w:hAnsi="Book Antiqua" w:cs="宋体"/>
        </w:rPr>
        <w:t> 2010; </w:t>
      </w:r>
      <w:r w:rsidRPr="00465221">
        <w:rPr>
          <w:rFonts w:ascii="Book Antiqua" w:eastAsia="宋体" w:hAnsi="Book Antiqua" w:cs="宋体"/>
          <w:b/>
          <w:bCs/>
        </w:rPr>
        <w:t>40</w:t>
      </w:r>
      <w:r w:rsidRPr="00465221">
        <w:rPr>
          <w:rFonts w:ascii="Book Antiqua" w:eastAsia="宋体" w:hAnsi="Book Antiqua" w:cs="宋体"/>
        </w:rPr>
        <w:t>: 504-510 [PMID: 20412292 DOI: 10.1111/j.1365-2362.2010.02290.x]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55 </w:t>
      </w:r>
      <w:r w:rsidRPr="00465221">
        <w:rPr>
          <w:rFonts w:ascii="Book Antiqua" w:eastAsia="宋体" w:hAnsi="Book Antiqua" w:cs="宋体"/>
          <w:b/>
          <w:bCs/>
        </w:rPr>
        <w:t>Flower RJ</w:t>
      </w:r>
      <w:r w:rsidRPr="00465221">
        <w:rPr>
          <w:rFonts w:ascii="Book Antiqua" w:eastAsia="宋体" w:hAnsi="Book Antiqua" w:cs="宋体"/>
        </w:rPr>
        <w:t>, Vane JR. Inhibition of prostaglandin synthetase in brain explains the anti-pyretic activity of paracetamol (4-acetamidophenol). </w:t>
      </w:r>
      <w:r w:rsidRPr="00465221">
        <w:rPr>
          <w:rFonts w:ascii="Book Antiqua" w:eastAsia="宋体" w:hAnsi="Book Antiqua" w:cs="宋体"/>
          <w:i/>
          <w:iCs/>
        </w:rPr>
        <w:t>Nature</w:t>
      </w:r>
      <w:r w:rsidRPr="00465221">
        <w:rPr>
          <w:rFonts w:ascii="Book Antiqua" w:eastAsia="宋体" w:hAnsi="Book Antiqua" w:cs="宋体"/>
        </w:rPr>
        <w:t> 1972; </w:t>
      </w:r>
      <w:r w:rsidRPr="00465221">
        <w:rPr>
          <w:rFonts w:ascii="Book Antiqua" w:eastAsia="宋体" w:hAnsi="Book Antiqua" w:cs="宋体"/>
          <w:b/>
          <w:bCs/>
        </w:rPr>
        <w:t>240</w:t>
      </w:r>
      <w:r w:rsidRPr="00465221">
        <w:rPr>
          <w:rFonts w:ascii="Book Antiqua" w:eastAsia="宋体" w:hAnsi="Book Antiqua" w:cs="宋体"/>
        </w:rPr>
        <w:t>: 410-411 [PMID: 4564318 DOI: 10.1038/240410a0]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56 </w:t>
      </w:r>
      <w:r w:rsidRPr="00465221">
        <w:rPr>
          <w:rFonts w:ascii="Book Antiqua" w:eastAsia="宋体" w:hAnsi="Book Antiqua" w:cs="宋体"/>
          <w:b/>
          <w:bCs/>
        </w:rPr>
        <w:t>Xie WL</w:t>
      </w:r>
      <w:r w:rsidRPr="00465221">
        <w:rPr>
          <w:rFonts w:ascii="Book Antiqua" w:eastAsia="宋体" w:hAnsi="Book Antiqua" w:cs="宋体"/>
        </w:rPr>
        <w:t>, Chipman JG, Robertson DL, Erikson RL, Simmons DL. Expression of a mitogen-responsive gene encoding prostaglandin synthase is regulated by mRNA splicing. </w:t>
      </w:r>
      <w:r w:rsidRPr="00465221">
        <w:rPr>
          <w:rFonts w:ascii="Book Antiqua" w:eastAsia="宋体" w:hAnsi="Book Antiqua" w:cs="宋体"/>
          <w:i/>
          <w:iCs/>
        </w:rPr>
        <w:t>Proc Natl Acad Sci U S A</w:t>
      </w:r>
      <w:r w:rsidRPr="00465221">
        <w:rPr>
          <w:rFonts w:ascii="Book Antiqua" w:eastAsia="宋体" w:hAnsi="Book Antiqua" w:cs="宋体"/>
        </w:rPr>
        <w:t> 1991; </w:t>
      </w:r>
      <w:r w:rsidRPr="00465221">
        <w:rPr>
          <w:rFonts w:ascii="Book Antiqua" w:eastAsia="宋体" w:hAnsi="Book Antiqua" w:cs="宋体"/>
          <w:b/>
          <w:bCs/>
        </w:rPr>
        <w:t>88</w:t>
      </w:r>
      <w:r w:rsidRPr="00465221">
        <w:rPr>
          <w:rFonts w:ascii="Book Antiqua" w:eastAsia="宋体" w:hAnsi="Book Antiqua" w:cs="宋体"/>
        </w:rPr>
        <w:t>: 2692-2696 [PMID: 1849272 DOI: 10.1073/pnas.88.7.2692]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57 </w:t>
      </w:r>
      <w:r w:rsidRPr="00465221">
        <w:rPr>
          <w:rFonts w:ascii="Book Antiqua" w:eastAsia="宋体" w:hAnsi="Book Antiqua" w:cs="宋体"/>
          <w:b/>
          <w:bCs/>
        </w:rPr>
        <w:t>Kujubu DA</w:t>
      </w:r>
      <w:r w:rsidRPr="00465221">
        <w:rPr>
          <w:rFonts w:ascii="Book Antiqua" w:eastAsia="宋体" w:hAnsi="Book Antiqua" w:cs="宋体"/>
        </w:rPr>
        <w:t>, Fletcher BS, Varnum BC, Lim RW, Herschman HR. TIS10, a phorbol ester tumor promoter-inducible mRNA from Swiss 3T3 cells, encodes a novel prostaglandin synthase/cyclooxygenase homologue. </w:t>
      </w:r>
      <w:r w:rsidRPr="00465221">
        <w:rPr>
          <w:rFonts w:ascii="Book Antiqua" w:eastAsia="宋体" w:hAnsi="Book Antiqua" w:cs="宋体"/>
          <w:i/>
          <w:iCs/>
        </w:rPr>
        <w:t>J Biol Chem</w:t>
      </w:r>
      <w:r w:rsidRPr="00465221">
        <w:rPr>
          <w:rFonts w:ascii="Book Antiqua" w:eastAsia="宋体" w:hAnsi="Book Antiqua" w:cs="宋体"/>
        </w:rPr>
        <w:t> 1991; </w:t>
      </w:r>
      <w:r w:rsidRPr="00465221">
        <w:rPr>
          <w:rFonts w:ascii="Book Antiqua" w:eastAsia="宋体" w:hAnsi="Book Antiqua" w:cs="宋体"/>
          <w:b/>
          <w:bCs/>
        </w:rPr>
        <w:t>266</w:t>
      </w:r>
      <w:r w:rsidRPr="00465221">
        <w:rPr>
          <w:rFonts w:ascii="Book Antiqua" w:eastAsia="宋体" w:hAnsi="Book Antiqua" w:cs="宋体"/>
        </w:rPr>
        <w:t>: 12866-12872 [PMID: 1712772]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58 </w:t>
      </w:r>
      <w:r w:rsidRPr="00465221">
        <w:rPr>
          <w:rFonts w:ascii="Book Antiqua" w:eastAsia="宋体" w:hAnsi="Book Antiqua" w:cs="宋体"/>
          <w:b/>
          <w:bCs/>
        </w:rPr>
        <w:t>Wallace JL</w:t>
      </w:r>
      <w:r w:rsidRPr="00465221">
        <w:rPr>
          <w:rFonts w:ascii="Book Antiqua" w:eastAsia="宋体" w:hAnsi="Book Antiqua" w:cs="宋体"/>
        </w:rPr>
        <w:t>, Devchand PR. Emerging roles for cyclooxygenase-2 in gastrointestinal mucosal defense. </w:t>
      </w:r>
      <w:r w:rsidRPr="00465221">
        <w:rPr>
          <w:rFonts w:ascii="Book Antiqua" w:eastAsia="宋体" w:hAnsi="Book Antiqua" w:cs="宋体"/>
          <w:i/>
          <w:iCs/>
        </w:rPr>
        <w:t>Br J Pharmacol</w:t>
      </w:r>
      <w:r w:rsidRPr="00465221">
        <w:rPr>
          <w:rFonts w:ascii="Book Antiqua" w:eastAsia="宋体" w:hAnsi="Book Antiqua" w:cs="宋体"/>
        </w:rPr>
        <w:t> 2005; </w:t>
      </w:r>
      <w:r w:rsidRPr="00465221">
        <w:rPr>
          <w:rFonts w:ascii="Book Antiqua" w:eastAsia="宋体" w:hAnsi="Book Antiqua" w:cs="宋体"/>
          <w:b/>
          <w:bCs/>
        </w:rPr>
        <w:t>145</w:t>
      </w:r>
      <w:r w:rsidRPr="00465221">
        <w:rPr>
          <w:rFonts w:ascii="Book Antiqua" w:eastAsia="宋体" w:hAnsi="Book Antiqua" w:cs="宋体"/>
        </w:rPr>
        <w:t>: 275-282 [PMID: 15778736 DOI: 10.1038/sj.bjp.0706201]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59 </w:t>
      </w:r>
      <w:r w:rsidRPr="00465221">
        <w:rPr>
          <w:rFonts w:ascii="Book Antiqua" w:eastAsia="宋体" w:hAnsi="Book Antiqua" w:cs="宋体"/>
          <w:b/>
          <w:bCs/>
        </w:rPr>
        <w:t>Sigthorsson G</w:t>
      </w:r>
      <w:r w:rsidRPr="00465221">
        <w:rPr>
          <w:rFonts w:ascii="Book Antiqua" w:eastAsia="宋体" w:hAnsi="Book Antiqua" w:cs="宋体"/>
        </w:rPr>
        <w:t>, Simpson RJ, Walley M, Anthony A, Foster R, Hotz-Behoftsitz C, Palizban A, Pombo J, Watts J, Morham SG, Bjarnason I. COX-1 and 2, intestinal integrity, and pathogenesis of nonsteroidal anti-inflammatory drug enteropathy in mice. </w:t>
      </w:r>
      <w:r w:rsidRPr="00465221">
        <w:rPr>
          <w:rFonts w:ascii="Book Antiqua" w:eastAsia="宋体" w:hAnsi="Book Antiqua" w:cs="宋体"/>
          <w:i/>
          <w:iCs/>
        </w:rPr>
        <w:t>Gastroenterology</w:t>
      </w:r>
      <w:r w:rsidRPr="00465221">
        <w:rPr>
          <w:rFonts w:ascii="Book Antiqua" w:eastAsia="宋体" w:hAnsi="Book Antiqua" w:cs="宋体"/>
        </w:rPr>
        <w:t> 2002; </w:t>
      </w:r>
      <w:r w:rsidRPr="00465221">
        <w:rPr>
          <w:rFonts w:ascii="Book Antiqua" w:eastAsia="宋体" w:hAnsi="Book Antiqua" w:cs="宋体"/>
          <w:b/>
          <w:bCs/>
        </w:rPr>
        <w:t>122</w:t>
      </w:r>
      <w:r w:rsidRPr="00465221">
        <w:rPr>
          <w:rFonts w:ascii="Book Antiqua" w:eastAsia="宋体" w:hAnsi="Book Antiqua" w:cs="宋体"/>
        </w:rPr>
        <w:t>: 1913-1923 [PMID: 12055598 DOI: 10.1053/gast.2002.33647]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60 </w:t>
      </w:r>
      <w:r w:rsidRPr="00465221">
        <w:rPr>
          <w:rFonts w:ascii="Book Antiqua" w:eastAsia="宋体" w:hAnsi="Book Antiqua" w:cs="宋体"/>
          <w:b/>
          <w:bCs/>
        </w:rPr>
        <w:t>Wallace JL</w:t>
      </w:r>
      <w:r w:rsidRPr="00465221">
        <w:rPr>
          <w:rFonts w:ascii="Book Antiqua" w:eastAsia="宋体" w:hAnsi="Book Antiqua" w:cs="宋体"/>
        </w:rPr>
        <w:t>, Bak A, McKnight W, Asfaha S, Sharkey KA, MacNaughton WK. Cyclooxygenase 1 contributes to inflammatory responses in rats and mice: implications for gastrointestinal toxicity. </w:t>
      </w:r>
      <w:r w:rsidRPr="00465221">
        <w:rPr>
          <w:rFonts w:ascii="Book Antiqua" w:eastAsia="宋体" w:hAnsi="Book Antiqua" w:cs="宋体"/>
          <w:i/>
          <w:iCs/>
        </w:rPr>
        <w:t>Gastroenterology</w:t>
      </w:r>
      <w:r w:rsidRPr="00465221">
        <w:rPr>
          <w:rFonts w:ascii="Book Antiqua" w:eastAsia="宋体" w:hAnsi="Book Antiqua" w:cs="宋体"/>
        </w:rPr>
        <w:t> 1998; </w:t>
      </w:r>
      <w:r w:rsidRPr="00465221">
        <w:rPr>
          <w:rFonts w:ascii="Book Antiqua" w:eastAsia="宋体" w:hAnsi="Book Antiqua" w:cs="宋体"/>
          <w:b/>
          <w:bCs/>
        </w:rPr>
        <w:t>115</w:t>
      </w:r>
      <w:r w:rsidRPr="00465221">
        <w:rPr>
          <w:rFonts w:ascii="Book Antiqua" w:eastAsia="宋体" w:hAnsi="Book Antiqua" w:cs="宋体"/>
        </w:rPr>
        <w:t>: 101-109 [PMID: 9649464 DOI: 10.1016/S0016-5085(98)70370-1]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61 </w:t>
      </w:r>
      <w:r w:rsidRPr="00465221">
        <w:rPr>
          <w:rFonts w:ascii="Book Antiqua" w:eastAsia="宋体" w:hAnsi="Book Antiqua" w:cs="宋体"/>
          <w:b/>
          <w:bCs/>
        </w:rPr>
        <w:t>Gilroy DW</w:t>
      </w:r>
      <w:r w:rsidRPr="00465221">
        <w:rPr>
          <w:rFonts w:ascii="Book Antiqua" w:eastAsia="宋体" w:hAnsi="Book Antiqua" w:cs="宋体"/>
        </w:rPr>
        <w:t>, Colville-Nash PR, Willis D, Chivers J, Paul-Clark MJ, Willoughby DA. Inducible cyclooxygenase may have anti-inflammatory properties. </w:t>
      </w:r>
      <w:r w:rsidRPr="00465221">
        <w:rPr>
          <w:rFonts w:ascii="Book Antiqua" w:eastAsia="宋体" w:hAnsi="Book Antiqua" w:cs="宋体"/>
          <w:i/>
          <w:iCs/>
        </w:rPr>
        <w:t>Nat Med</w:t>
      </w:r>
      <w:r w:rsidRPr="00465221">
        <w:rPr>
          <w:rFonts w:ascii="Book Antiqua" w:eastAsia="宋体" w:hAnsi="Book Antiqua" w:cs="宋体"/>
        </w:rPr>
        <w:t> 1999; </w:t>
      </w:r>
      <w:r w:rsidRPr="00465221">
        <w:rPr>
          <w:rFonts w:ascii="Book Antiqua" w:eastAsia="宋体" w:hAnsi="Book Antiqua" w:cs="宋体"/>
          <w:b/>
          <w:bCs/>
        </w:rPr>
        <w:t>5</w:t>
      </w:r>
      <w:r w:rsidRPr="00465221">
        <w:rPr>
          <w:rFonts w:ascii="Book Antiqua" w:eastAsia="宋体" w:hAnsi="Book Antiqua" w:cs="宋体"/>
        </w:rPr>
        <w:t>: 698-701 [PMID: 10371510 DOI: 10.1038/9550]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62 </w:t>
      </w:r>
      <w:r w:rsidRPr="00465221">
        <w:rPr>
          <w:rFonts w:ascii="Book Antiqua" w:eastAsia="宋体" w:hAnsi="Book Antiqua" w:cs="宋体"/>
          <w:b/>
          <w:bCs/>
        </w:rPr>
        <w:t>Wallace JL</w:t>
      </w:r>
      <w:r w:rsidRPr="00465221">
        <w:rPr>
          <w:rFonts w:ascii="Book Antiqua" w:eastAsia="宋体" w:hAnsi="Book Antiqua" w:cs="宋体"/>
        </w:rPr>
        <w:t xml:space="preserve">, McKnight W, Reuter BK, Vergnolle N. NSAID-induced gastric damage in rats: requirement for inhibition of both cyclooxygenase 1 and </w:t>
      </w:r>
      <w:r w:rsidRPr="00465221">
        <w:rPr>
          <w:rFonts w:ascii="Book Antiqua" w:eastAsia="宋体" w:hAnsi="Book Antiqua" w:cs="宋体"/>
        </w:rPr>
        <w:lastRenderedPageBreak/>
        <w:t>2. </w:t>
      </w:r>
      <w:r w:rsidRPr="00465221">
        <w:rPr>
          <w:rFonts w:ascii="Book Antiqua" w:eastAsia="宋体" w:hAnsi="Book Antiqua" w:cs="宋体"/>
          <w:i/>
          <w:iCs/>
        </w:rPr>
        <w:t>Gastroenterology</w:t>
      </w:r>
      <w:r w:rsidRPr="00465221">
        <w:rPr>
          <w:rFonts w:ascii="Book Antiqua" w:eastAsia="宋体" w:hAnsi="Book Antiqua" w:cs="宋体"/>
        </w:rPr>
        <w:t> 2000; </w:t>
      </w:r>
      <w:r w:rsidRPr="00465221">
        <w:rPr>
          <w:rFonts w:ascii="Book Antiqua" w:eastAsia="宋体" w:hAnsi="Book Antiqua" w:cs="宋体"/>
          <w:b/>
          <w:bCs/>
        </w:rPr>
        <w:t>119</w:t>
      </w:r>
      <w:r w:rsidRPr="00465221">
        <w:rPr>
          <w:rFonts w:ascii="Book Antiqua" w:eastAsia="宋体" w:hAnsi="Book Antiqua" w:cs="宋体"/>
        </w:rPr>
        <w:t>: 706-714 [PMID: 10982765 DOI: 10.1053/gast.2000.16510]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63 </w:t>
      </w:r>
      <w:r w:rsidRPr="00465221">
        <w:rPr>
          <w:rFonts w:ascii="Book Antiqua" w:eastAsia="宋体" w:hAnsi="Book Antiqua" w:cs="宋体"/>
          <w:b/>
          <w:bCs/>
        </w:rPr>
        <w:t>Tanaka A</w:t>
      </w:r>
      <w:r w:rsidRPr="00465221">
        <w:rPr>
          <w:rFonts w:ascii="Book Antiqua" w:eastAsia="宋体" w:hAnsi="Book Antiqua" w:cs="宋体"/>
        </w:rPr>
        <w:t>, Hase S, Miyazawa T, Takeuchi K. Up-regulation of cyclooxygenase-2 by inhibition of cyclooxygenase-1: a key to nonsteroidal anti-inflammatory drug-induced intestinal damage. </w:t>
      </w:r>
      <w:r w:rsidRPr="00465221">
        <w:rPr>
          <w:rFonts w:ascii="Book Antiqua" w:eastAsia="宋体" w:hAnsi="Book Antiqua" w:cs="宋体"/>
          <w:i/>
          <w:iCs/>
        </w:rPr>
        <w:t>J Pharmacol Exp Ther</w:t>
      </w:r>
      <w:r w:rsidRPr="00465221">
        <w:rPr>
          <w:rFonts w:ascii="Book Antiqua" w:eastAsia="宋体" w:hAnsi="Book Antiqua" w:cs="宋体"/>
        </w:rPr>
        <w:t> 2002; </w:t>
      </w:r>
      <w:r w:rsidRPr="00465221">
        <w:rPr>
          <w:rFonts w:ascii="Book Antiqua" w:eastAsia="宋体" w:hAnsi="Book Antiqua" w:cs="宋体"/>
          <w:b/>
          <w:bCs/>
        </w:rPr>
        <w:t>300</w:t>
      </w:r>
      <w:r w:rsidRPr="00465221">
        <w:rPr>
          <w:rFonts w:ascii="Book Antiqua" w:eastAsia="宋体" w:hAnsi="Book Antiqua" w:cs="宋体"/>
        </w:rPr>
        <w:t>: 754-761 [PMID: 11861778 DOI: 10.1124/jpet.300.3.754]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64 </w:t>
      </w:r>
      <w:r w:rsidRPr="00465221">
        <w:rPr>
          <w:rFonts w:ascii="Book Antiqua" w:eastAsia="宋体" w:hAnsi="Book Antiqua" w:cs="宋体"/>
          <w:b/>
          <w:bCs/>
        </w:rPr>
        <w:t>Serhan CN</w:t>
      </w:r>
      <w:r w:rsidRPr="00465221">
        <w:rPr>
          <w:rFonts w:ascii="Book Antiqua" w:eastAsia="宋体" w:hAnsi="Book Antiqua" w:cs="宋体"/>
        </w:rPr>
        <w:t>, Oliw E. Unorthodox routes to prostanoid formation: new twists in cyclooxygenase-initiated pathways. </w:t>
      </w:r>
      <w:r w:rsidRPr="00465221">
        <w:rPr>
          <w:rFonts w:ascii="Book Antiqua" w:eastAsia="宋体" w:hAnsi="Book Antiqua" w:cs="宋体"/>
          <w:i/>
          <w:iCs/>
        </w:rPr>
        <w:t>J Clin Invest</w:t>
      </w:r>
      <w:r w:rsidRPr="00465221">
        <w:rPr>
          <w:rFonts w:ascii="Book Antiqua" w:eastAsia="宋体" w:hAnsi="Book Antiqua" w:cs="宋体"/>
        </w:rPr>
        <w:t> 2001; </w:t>
      </w:r>
      <w:r w:rsidRPr="00465221">
        <w:rPr>
          <w:rFonts w:ascii="Book Antiqua" w:eastAsia="宋体" w:hAnsi="Book Antiqua" w:cs="宋体"/>
          <w:b/>
          <w:bCs/>
        </w:rPr>
        <w:t>107</w:t>
      </w:r>
      <w:r w:rsidRPr="00465221">
        <w:rPr>
          <w:rFonts w:ascii="Book Antiqua" w:eastAsia="宋体" w:hAnsi="Book Antiqua" w:cs="宋体"/>
        </w:rPr>
        <w:t>: 1481-1489 [PMID: 11413151 DOI: 10.1172/JCI13375]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65 </w:t>
      </w:r>
      <w:r w:rsidRPr="00465221">
        <w:rPr>
          <w:rFonts w:ascii="Book Antiqua" w:eastAsia="宋体" w:hAnsi="Book Antiqua" w:cs="宋体"/>
          <w:b/>
          <w:bCs/>
        </w:rPr>
        <w:t>Serhan CN</w:t>
      </w:r>
      <w:r w:rsidRPr="00465221">
        <w:rPr>
          <w:rFonts w:ascii="Book Antiqua" w:eastAsia="宋体" w:hAnsi="Book Antiqua" w:cs="宋体"/>
        </w:rPr>
        <w:t>, Brain SD, Buckley CD, Gilroy DW, Haslett C, O'Neill LA, Perretti M, Rossi AG, Wallace JL. Resolution of inflammation: state of the art, definitions and terms. </w:t>
      </w:r>
      <w:r w:rsidRPr="00465221">
        <w:rPr>
          <w:rFonts w:ascii="Book Antiqua" w:eastAsia="宋体" w:hAnsi="Book Antiqua" w:cs="宋体"/>
          <w:i/>
          <w:iCs/>
        </w:rPr>
        <w:t>FASEB J</w:t>
      </w:r>
      <w:r w:rsidRPr="00465221">
        <w:rPr>
          <w:rFonts w:ascii="Book Antiqua" w:eastAsia="宋体" w:hAnsi="Book Antiqua" w:cs="宋体"/>
        </w:rPr>
        <w:t> 2007; </w:t>
      </w:r>
      <w:r w:rsidRPr="00465221">
        <w:rPr>
          <w:rFonts w:ascii="Book Antiqua" w:eastAsia="宋体" w:hAnsi="Book Antiqua" w:cs="宋体"/>
          <w:b/>
          <w:bCs/>
        </w:rPr>
        <w:t>21</w:t>
      </w:r>
      <w:r w:rsidRPr="00465221">
        <w:rPr>
          <w:rFonts w:ascii="Book Antiqua" w:eastAsia="宋体" w:hAnsi="Book Antiqua" w:cs="宋体"/>
        </w:rPr>
        <w:t>: 325-332 [PMID: 17267386 DOI: 10.1096/fj.06-7227rev]</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66 </w:t>
      </w:r>
      <w:r w:rsidRPr="00465221">
        <w:rPr>
          <w:rFonts w:ascii="Book Antiqua" w:eastAsia="宋体" w:hAnsi="Book Antiqua" w:cs="宋体"/>
          <w:b/>
          <w:bCs/>
        </w:rPr>
        <w:t>Mizuno H</w:t>
      </w:r>
      <w:r w:rsidRPr="00465221">
        <w:rPr>
          <w:rFonts w:ascii="Book Antiqua" w:eastAsia="宋体" w:hAnsi="Book Antiqua" w:cs="宋体"/>
        </w:rPr>
        <w:t>, Sakamoto C, Matsuda K, Wada K, Uchida T, Noguchi H, Akamatsu T, Kasuga M. Induction of cyclooxygenase 2 in gastric mucosal lesions and its inhibition by the specific antagonist delays healing in mice. </w:t>
      </w:r>
      <w:r w:rsidRPr="00465221">
        <w:rPr>
          <w:rFonts w:ascii="Book Antiqua" w:eastAsia="宋体" w:hAnsi="Book Antiqua" w:cs="宋体"/>
          <w:i/>
          <w:iCs/>
        </w:rPr>
        <w:t>Gastroenterology</w:t>
      </w:r>
      <w:r w:rsidRPr="00465221">
        <w:rPr>
          <w:rFonts w:ascii="Book Antiqua" w:eastAsia="宋体" w:hAnsi="Book Antiqua" w:cs="宋体"/>
        </w:rPr>
        <w:t> 1997; </w:t>
      </w:r>
      <w:r w:rsidRPr="00465221">
        <w:rPr>
          <w:rFonts w:ascii="Book Antiqua" w:eastAsia="宋体" w:hAnsi="Book Antiqua" w:cs="宋体"/>
          <w:b/>
          <w:bCs/>
        </w:rPr>
        <w:t>112</w:t>
      </w:r>
      <w:r w:rsidRPr="00465221">
        <w:rPr>
          <w:rFonts w:ascii="Book Antiqua" w:eastAsia="宋体" w:hAnsi="Book Antiqua" w:cs="宋体"/>
        </w:rPr>
        <w:t>: 387-397 [PMID: 9024292 DOI: 10.1053/gast.1997.v112.pm9024292]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67 </w:t>
      </w:r>
      <w:r w:rsidRPr="00465221">
        <w:rPr>
          <w:rFonts w:ascii="Book Antiqua" w:eastAsia="宋体" w:hAnsi="Book Antiqua" w:cs="宋体"/>
          <w:b/>
          <w:bCs/>
        </w:rPr>
        <w:t>Ma L</w:t>
      </w:r>
      <w:r w:rsidRPr="00465221">
        <w:rPr>
          <w:rFonts w:ascii="Book Antiqua" w:eastAsia="宋体" w:hAnsi="Book Antiqua" w:cs="宋体"/>
        </w:rPr>
        <w:t>, del Soldato P, Wallace JL. Divergent effects of new cyclooxygenase inhibitors on gastric ulcer healing: Shifting the angiogenic balance. </w:t>
      </w:r>
      <w:r w:rsidRPr="00465221">
        <w:rPr>
          <w:rFonts w:ascii="Book Antiqua" w:eastAsia="宋体" w:hAnsi="Book Antiqua" w:cs="宋体"/>
          <w:i/>
          <w:iCs/>
        </w:rPr>
        <w:t>Proc Natl Acad Sci U S A</w:t>
      </w:r>
      <w:r w:rsidRPr="00465221">
        <w:rPr>
          <w:rFonts w:ascii="Book Antiqua" w:eastAsia="宋体" w:hAnsi="Book Antiqua" w:cs="宋体"/>
        </w:rPr>
        <w:t> 2002; </w:t>
      </w:r>
      <w:r w:rsidRPr="00465221">
        <w:rPr>
          <w:rFonts w:ascii="Book Antiqua" w:eastAsia="宋体" w:hAnsi="Book Antiqua" w:cs="宋体"/>
          <w:b/>
          <w:bCs/>
        </w:rPr>
        <w:t>99</w:t>
      </w:r>
      <w:r w:rsidRPr="00465221">
        <w:rPr>
          <w:rFonts w:ascii="Book Antiqua" w:eastAsia="宋体" w:hAnsi="Book Antiqua" w:cs="宋体"/>
        </w:rPr>
        <w:t>: 13243-13247 [PMID: 12232050 DOI: 10.1073/pnas.202392199]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68 </w:t>
      </w:r>
      <w:r w:rsidRPr="00465221">
        <w:rPr>
          <w:rFonts w:ascii="Book Antiqua" w:eastAsia="宋体" w:hAnsi="Book Antiqua" w:cs="宋体"/>
          <w:b/>
          <w:bCs/>
        </w:rPr>
        <w:t>Schmassmann A</w:t>
      </w:r>
      <w:r w:rsidRPr="00465221">
        <w:rPr>
          <w:rFonts w:ascii="Book Antiqua" w:eastAsia="宋体" w:hAnsi="Book Antiqua" w:cs="宋体"/>
        </w:rPr>
        <w:t>, Peskar BM, Stettler C, Netzer P, Stroff T, Flogerzi B, Halter F. Effects of inhibition of prostaglandin endoperoxide synthase-2 in chronic gastro-intestinal ulcer models in rats. </w:t>
      </w:r>
      <w:r w:rsidRPr="00465221">
        <w:rPr>
          <w:rFonts w:ascii="Book Antiqua" w:eastAsia="宋体" w:hAnsi="Book Antiqua" w:cs="宋体"/>
          <w:i/>
          <w:iCs/>
        </w:rPr>
        <w:t>Br J Pharmacol</w:t>
      </w:r>
      <w:r w:rsidRPr="00465221">
        <w:rPr>
          <w:rFonts w:ascii="Book Antiqua" w:eastAsia="宋体" w:hAnsi="Book Antiqua" w:cs="宋体"/>
        </w:rPr>
        <w:t> 1998; </w:t>
      </w:r>
      <w:r w:rsidRPr="00465221">
        <w:rPr>
          <w:rFonts w:ascii="Book Antiqua" w:eastAsia="宋体" w:hAnsi="Book Antiqua" w:cs="宋体"/>
          <w:b/>
          <w:bCs/>
        </w:rPr>
        <w:t>123</w:t>
      </w:r>
      <w:r w:rsidRPr="00465221">
        <w:rPr>
          <w:rFonts w:ascii="Book Antiqua" w:eastAsia="宋体" w:hAnsi="Book Antiqua" w:cs="宋体"/>
        </w:rPr>
        <w:t>: 795-804 [PMID: 9535006 DOI: 10.1038/sj.bjp.0701672]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69 </w:t>
      </w:r>
      <w:r w:rsidRPr="00465221">
        <w:rPr>
          <w:rFonts w:ascii="Book Antiqua" w:eastAsia="宋体" w:hAnsi="Book Antiqua" w:cs="宋体"/>
          <w:b/>
          <w:bCs/>
        </w:rPr>
        <w:t>Okayama M</w:t>
      </w:r>
      <w:r w:rsidRPr="00465221">
        <w:rPr>
          <w:rFonts w:ascii="Book Antiqua" w:eastAsia="宋体" w:hAnsi="Book Antiqua" w:cs="宋体"/>
        </w:rPr>
        <w:t>, Hayashi S, Aoi Y, Nishio H, Kato S, Takeuchi K. Aggravation by selective COX-1 and COX-2 inhibitors of dextran sulfate sodium (DSS)-induced colon lesions in rats. </w:t>
      </w:r>
      <w:r w:rsidRPr="00465221">
        <w:rPr>
          <w:rFonts w:ascii="Book Antiqua" w:eastAsia="宋体" w:hAnsi="Book Antiqua" w:cs="宋体"/>
          <w:i/>
          <w:iCs/>
        </w:rPr>
        <w:t>Dig Dis Sci</w:t>
      </w:r>
      <w:r w:rsidRPr="00465221">
        <w:rPr>
          <w:rFonts w:ascii="Book Antiqua" w:eastAsia="宋体" w:hAnsi="Book Antiqua" w:cs="宋体"/>
        </w:rPr>
        <w:t> 2007; </w:t>
      </w:r>
      <w:r w:rsidRPr="00465221">
        <w:rPr>
          <w:rFonts w:ascii="Book Antiqua" w:eastAsia="宋体" w:hAnsi="Book Antiqua" w:cs="宋体"/>
          <w:b/>
          <w:bCs/>
        </w:rPr>
        <w:t>52</w:t>
      </w:r>
      <w:r w:rsidRPr="00465221">
        <w:rPr>
          <w:rFonts w:ascii="Book Antiqua" w:eastAsia="宋体" w:hAnsi="Book Antiqua" w:cs="宋体"/>
        </w:rPr>
        <w:t>: 2095-2103 [PMID: 17429720 DOI: 10.1007/s10620-006-9597-z]</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70 </w:t>
      </w:r>
      <w:r w:rsidRPr="00465221">
        <w:rPr>
          <w:rFonts w:ascii="Book Antiqua" w:eastAsia="宋体" w:hAnsi="Book Antiqua" w:cs="宋体"/>
          <w:b/>
          <w:bCs/>
        </w:rPr>
        <w:t>Davies NM</w:t>
      </w:r>
      <w:r w:rsidRPr="00465221">
        <w:rPr>
          <w:rFonts w:ascii="Book Antiqua" w:eastAsia="宋体" w:hAnsi="Book Antiqua" w:cs="宋体"/>
        </w:rPr>
        <w:t>, Sharkey KA, Asfaha S, Macnaughton WK, Wallace JL. Aspirin causes rapid up-regulation of cyclo-oxygenase-2 expression in the stomach of rats. </w:t>
      </w:r>
      <w:r w:rsidRPr="00465221">
        <w:rPr>
          <w:rFonts w:ascii="Book Antiqua" w:eastAsia="宋体" w:hAnsi="Book Antiqua" w:cs="宋体"/>
          <w:i/>
          <w:iCs/>
        </w:rPr>
        <w:t>Aliment Pharmacol Ther</w:t>
      </w:r>
      <w:r w:rsidRPr="00465221">
        <w:rPr>
          <w:rFonts w:ascii="Book Antiqua" w:eastAsia="宋体" w:hAnsi="Book Antiqua" w:cs="宋体"/>
        </w:rPr>
        <w:t> 1997; </w:t>
      </w:r>
      <w:r w:rsidRPr="00465221">
        <w:rPr>
          <w:rFonts w:ascii="Book Antiqua" w:eastAsia="宋体" w:hAnsi="Book Antiqua" w:cs="宋体"/>
          <w:b/>
          <w:bCs/>
        </w:rPr>
        <w:t>11</w:t>
      </w:r>
      <w:r w:rsidRPr="00465221">
        <w:rPr>
          <w:rFonts w:ascii="Book Antiqua" w:eastAsia="宋体" w:hAnsi="Book Antiqua" w:cs="宋体"/>
        </w:rPr>
        <w:t>: 1101-1108 [PMID: 9663836 DOI: 10.1046/j.1365-2036.1997.00247.x]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71 </w:t>
      </w:r>
      <w:r w:rsidRPr="00465221">
        <w:rPr>
          <w:rFonts w:ascii="Book Antiqua" w:eastAsia="宋体" w:hAnsi="Book Antiqua" w:cs="宋体"/>
          <w:b/>
          <w:bCs/>
        </w:rPr>
        <w:t>Fiorucci S</w:t>
      </w:r>
      <w:r w:rsidRPr="00465221">
        <w:rPr>
          <w:rFonts w:ascii="Book Antiqua" w:eastAsia="宋体" w:hAnsi="Book Antiqua" w:cs="宋体"/>
        </w:rPr>
        <w:t>, de Lima OM, Mencarelli A, Palazzetti B, Distrutti E, McKnight W, Dicay M, Ma L, Romano M, Morelli A, Wallace JL. Cyclooxygenase-2-derived lipoxin A4 increases gastric resistance to aspirin-induced damage. </w:t>
      </w:r>
      <w:r w:rsidRPr="00465221">
        <w:rPr>
          <w:rFonts w:ascii="Book Antiqua" w:eastAsia="宋体" w:hAnsi="Book Antiqua" w:cs="宋体"/>
          <w:i/>
          <w:iCs/>
        </w:rPr>
        <w:t>Gastroenterology</w:t>
      </w:r>
      <w:r w:rsidRPr="00465221">
        <w:rPr>
          <w:rFonts w:ascii="Book Antiqua" w:eastAsia="宋体" w:hAnsi="Book Antiqua" w:cs="宋体"/>
        </w:rPr>
        <w:t> 2002; </w:t>
      </w:r>
      <w:r w:rsidRPr="00465221">
        <w:rPr>
          <w:rFonts w:ascii="Book Antiqua" w:eastAsia="宋体" w:hAnsi="Book Antiqua" w:cs="宋体"/>
          <w:b/>
          <w:bCs/>
        </w:rPr>
        <w:t>123</w:t>
      </w:r>
      <w:r w:rsidRPr="00465221">
        <w:rPr>
          <w:rFonts w:ascii="Book Antiqua" w:eastAsia="宋体" w:hAnsi="Book Antiqua" w:cs="宋体"/>
        </w:rPr>
        <w:t>: 1598-1606 [PMID: 12404234 DOI: 10.1053/gast.2002.36558]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72 </w:t>
      </w:r>
      <w:r w:rsidRPr="00465221">
        <w:rPr>
          <w:rFonts w:ascii="Book Antiqua" w:eastAsia="宋体" w:hAnsi="Book Antiqua" w:cs="宋体"/>
          <w:b/>
          <w:bCs/>
        </w:rPr>
        <w:t>Souza MH</w:t>
      </w:r>
      <w:r w:rsidRPr="00465221">
        <w:rPr>
          <w:rFonts w:ascii="Book Antiqua" w:eastAsia="宋体" w:hAnsi="Book Antiqua" w:cs="宋体"/>
        </w:rPr>
        <w:t>, de Lima OM, Zamuner SR, Fiorucci S, Wallace JL. Gastritis increases resistance to aspirin-induced mucosal injury via COX-2-mediated lipoxin synthesis. </w:t>
      </w:r>
      <w:r w:rsidRPr="00465221">
        <w:rPr>
          <w:rFonts w:ascii="Book Antiqua" w:eastAsia="宋体" w:hAnsi="Book Antiqua" w:cs="宋体"/>
          <w:i/>
          <w:iCs/>
        </w:rPr>
        <w:t>Am J Physiol Gastrointest Liver Physiol</w:t>
      </w:r>
      <w:r w:rsidRPr="00465221">
        <w:rPr>
          <w:rFonts w:ascii="Book Antiqua" w:eastAsia="宋体" w:hAnsi="Book Antiqua" w:cs="宋体"/>
        </w:rPr>
        <w:t> 2003; </w:t>
      </w:r>
      <w:r w:rsidRPr="00465221">
        <w:rPr>
          <w:rFonts w:ascii="Book Antiqua" w:eastAsia="宋体" w:hAnsi="Book Antiqua" w:cs="宋体"/>
          <w:b/>
          <w:bCs/>
        </w:rPr>
        <w:t>285</w:t>
      </w:r>
      <w:r w:rsidRPr="00465221">
        <w:rPr>
          <w:rFonts w:ascii="Book Antiqua" w:eastAsia="宋体" w:hAnsi="Book Antiqua" w:cs="宋体"/>
        </w:rPr>
        <w:t>: G54-G61 [PMID: 12637254]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73 </w:t>
      </w:r>
      <w:r w:rsidRPr="00465221">
        <w:rPr>
          <w:rFonts w:ascii="Book Antiqua" w:eastAsia="宋体" w:hAnsi="Book Antiqua" w:cs="宋体"/>
          <w:b/>
          <w:bCs/>
        </w:rPr>
        <w:t>Maiden L</w:t>
      </w:r>
      <w:r w:rsidRPr="00465221">
        <w:rPr>
          <w:rFonts w:ascii="Book Antiqua" w:eastAsia="宋体" w:hAnsi="Book Antiqua" w:cs="宋体"/>
        </w:rPr>
        <w:t>, Thjodleifsson B, Seigal A, Bjarnason II, Scott D, Birgisson S, Bjarnason I. Long-term effects of nonsteroidal anti-inflammatory drugs and cyclooxygenase-2 selective agents on the small bowel: a cross-sectional capsule enteroscopy study. </w:t>
      </w:r>
      <w:r w:rsidRPr="00465221">
        <w:rPr>
          <w:rFonts w:ascii="Book Antiqua" w:eastAsia="宋体" w:hAnsi="Book Antiqua" w:cs="宋体"/>
          <w:i/>
          <w:iCs/>
        </w:rPr>
        <w:t>Clin Gastroenterol Hepatol</w:t>
      </w:r>
      <w:r w:rsidRPr="00465221">
        <w:rPr>
          <w:rFonts w:ascii="Book Antiqua" w:eastAsia="宋体" w:hAnsi="Book Antiqua" w:cs="宋体"/>
        </w:rPr>
        <w:t> 2007; </w:t>
      </w:r>
      <w:r w:rsidRPr="00465221">
        <w:rPr>
          <w:rFonts w:ascii="Book Antiqua" w:eastAsia="宋体" w:hAnsi="Book Antiqua" w:cs="宋体"/>
          <w:b/>
          <w:bCs/>
        </w:rPr>
        <w:t>5</w:t>
      </w:r>
      <w:r w:rsidRPr="00465221">
        <w:rPr>
          <w:rFonts w:ascii="Book Antiqua" w:eastAsia="宋体" w:hAnsi="Book Antiqua" w:cs="宋体"/>
        </w:rPr>
        <w:t>: 1040-1045 [PMID: 17625980 DOI: 10.1016/j.cgh.2007.04.031]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74 </w:t>
      </w:r>
      <w:r w:rsidRPr="00465221">
        <w:rPr>
          <w:rFonts w:ascii="Book Antiqua" w:eastAsia="宋体" w:hAnsi="Book Antiqua" w:cs="宋体"/>
          <w:b/>
          <w:bCs/>
        </w:rPr>
        <w:t>Jones MK</w:t>
      </w:r>
      <w:r w:rsidRPr="00465221">
        <w:rPr>
          <w:rFonts w:ascii="Book Antiqua" w:eastAsia="宋体" w:hAnsi="Book Antiqua" w:cs="宋体"/>
        </w:rPr>
        <w:t>, Wang H, Peskar BM, Levin E, Itani RM, Sarfeh IJ, Tarnawski AS. Inhibition of angiogenesis by nonsteroidal anti-inflammatory drugs: insight into mechanisms and implications for cancer growth and ulcer healing. </w:t>
      </w:r>
      <w:r w:rsidRPr="00465221">
        <w:rPr>
          <w:rFonts w:ascii="Book Antiqua" w:eastAsia="宋体" w:hAnsi="Book Antiqua" w:cs="宋体"/>
          <w:i/>
          <w:iCs/>
        </w:rPr>
        <w:t>Nat Med</w:t>
      </w:r>
      <w:r w:rsidRPr="00465221">
        <w:rPr>
          <w:rFonts w:ascii="Book Antiqua" w:eastAsia="宋体" w:hAnsi="Book Antiqua" w:cs="宋体"/>
        </w:rPr>
        <w:t> 1999; </w:t>
      </w:r>
      <w:r w:rsidRPr="00465221">
        <w:rPr>
          <w:rFonts w:ascii="Book Antiqua" w:eastAsia="宋体" w:hAnsi="Book Antiqua" w:cs="宋体"/>
          <w:b/>
          <w:bCs/>
        </w:rPr>
        <w:t>5</w:t>
      </w:r>
      <w:r w:rsidRPr="00465221">
        <w:rPr>
          <w:rFonts w:ascii="Book Antiqua" w:eastAsia="宋体" w:hAnsi="Book Antiqua" w:cs="宋体"/>
        </w:rPr>
        <w:t>: 1418-1423 [PMID: 10581086 DOI: 10.1038/70995]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75 </w:t>
      </w:r>
      <w:r w:rsidRPr="00465221">
        <w:rPr>
          <w:rFonts w:ascii="Book Antiqua" w:eastAsia="宋体" w:hAnsi="Book Antiqua" w:cs="宋体"/>
          <w:b/>
          <w:bCs/>
        </w:rPr>
        <w:t>Somasundaram S</w:t>
      </w:r>
      <w:r w:rsidRPr="00465221">
        <w:rPr>
          <w:rFonts w:ascii="Book Antiqua" w:eastAsia="宋体" w:hAnsi="Book Antiqua" w:cs="宋体"/>
        </w:rPr>
        <w:t>, Rafi S, Hayllar J, Sigthorsson G, Jacob M, Price AB, Macpherson A, Mahmod T, Scott D, Wrigglesworth JM, Bjarnason I. Mitochondrial damage: a possible mechanism of the "topical" phase of NSAID induced injury to the rat intestine. </w:t>
      </w:r>
      <w:r w:rsidRPr="00465221">
        <w:rPr>
          <w:rFonts w:ascii="Book Antiqua" w:eastAsia="宋体" w:hAnsi="Book Antiqua" w:cs="宋体"/>
          <w:i/>
          <w:iCs/>
        </w:rPr>
        <w:t>Gut</w:t>
      </w:r>
      <w:r w:rsidRPr="00465221">
        <w:rPr>
          <w:rFonts w:ascii="Book Antiqua" w:eastAsia="宋体" w:hAnsi="Book Antiqua" w:cs="宋体"/>
        </w:rPr>
        <w:t> 1997; </w:t>
      </w:r>
      <w:r w:rsidRPr="00465221">
        <w:rPr>
          <w:rFonts w:ascii="Book Antiqua" w:eastAsia="宋体" w:hAnsi="Book Antiqua" w:cs="宋体"/>
          <w:b/>
          <w:bCs/>
        </w:rPr>
        <w:t>41</w:t>
      </w:r>
      <w:r w:rsidRPr="00465221">
        <w:rPr>
          <w:rFonts w:ascii="Book Antiqua" w:eastAsia="宋体" w:hAnsi="Book Antiqua" w:cs="宋体"/>
        </w:rPr>
        <w:t>: 344-353 [PMID: 9378390 DOI: 10.1136/gut.41.3.344]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76 </w:t>
      </w:r>
      <w:r w:rsidRPr="00465221">
        <w:rPr>
          <w:rFonts w:ascii="Book Antiqua" w:eastAsia="宋体" w:hAnsi="Book Antiqua" w:cs="宋体"/>
          <w:b/>
          <w:bCs/>
        </w:rPr>
        <w:t>Wax J</w:t>
      </w:r>
      <w:r w:rsidRPr="00465221">
        <w:rPr>
          <w:rFonts w:ascii="Book Antiqua" w:eastAsia="宋体" w:hAnsi="Book Antiqua" w:cs="宋体"/>
        </w:rPr>
        <w:t>, Clinger WA, Varner P, Bass P, Winder CV. Relationship of the enterohepatic cycle to ulcerogenesis in the rat small bowel with flufenamic acid. </w:t>
      </w:r>
      <w:r w:rsidRPr="00465221">
        <w:rPr>
          <w:rFonts w:ascii="Book Antiqua" w:eastAsia="宋体" w:hAnsi="Book Antiqua" w:cs="宋体"/>
          <w:i/>
          <w:iCs/>
        </w:rPr>
        <w:t>Gastroenterology</w:t>
      </w:r>
      <w:r w:rsidRPr="00465221">
        <w:rPr>
          <w:rFonts w:ascii="Book Antiqua" w:eastAsia="宋体" w:hAnsi="Book Antiqua" w:cs="宋体"/>
        </w:rPr>
        <w:t> 1970; </w:t>
      </w:r>
      <w:r w:rsidRPr="00465221">
        <w:rPr>
          <w:rFonts w:ascii="Book Antiqua" w:eastAsia="宋体" w:hAnsi="Book Antiqua" w:cs="宋体"/>
          <w:b/>
          <w:bCs/>
        </w:rPr>
        <w:t>58</w:t>
      </w:r>
      <w:r w:rsidRPr="00465221">
        <w:rPr>
          <w:rFonts w:ascii="Book Antiqua" w:eastAsia="宋体" w:hAnsi="Book Antiqua" w:cs="宋体"/>
        </w:rPr>
        <w:t>: 772-780 [PMID: 5423889]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77 </w:t>
      </w:r>
      <w:r w:rsidRPr="00465221">
        <w:rPr>
          <w:rFonts w:ascii="Book Antiqua" w:eastAsia="宋体" w:hAnsi="Book Antiqua" w:cs="宋体"/>
          <w:b/>
          <w:bCs/>
        </w:rPr>
        <w:t>Jacob M</w:t>
      </w:r>
      <w:r w:rsidRPr="00465221">
        <w:rPr>
          <w:rFonts w:ascii="Book Antiqua" w:eastAsia="宋体" w:hAnsi="Book Antiqua" w:cs="宋体"/>
        </w:rPr>
        <w:t>, Foster R, Sigthorsson G, Simpson R, Bjarnason I. Role of bile in pathogenesis of indomethacin-induced enteropathy. </w:t>
      </w:r>
      <w:r w:rsidRPr="00465221">
        <w:rPr>
          <w:rFonts w:ascii="Book Antiqua" w:eastAsia="宋体" w:hAnsi="Book Antiqua" w:cs="宋体"/>
          <w:i/>
          <w:iCs/>
        </w:rPr>
        <w:t>Arch Toxicol</w:t>
      </w:r>
      <w:r w:rsidRPr="00465221">
        <w:rPr>
          <w:rFonts w:ascii="Book Antiqua" w:eastAsia="宋体" w:hAnsi="Book Antiqua" w:cs="宋体"/>
        </w:rPr>
        <w:t> 2007; </w:t>
      </w:r>
      <w:r w:rsidRPr="00465221">
        <w:rPr>
          <w:rFonts w:ascii="Book Antiqua" w:eastAsia="宋体" w:hAnsi="Book Antiqua" w:cs="宋体"/>
          <w:b/>
          <w:bCs/>
        </w:rPr>
        <w:t>81</w:t>
      </w:r>
      <w:r w:rsidRPr="00465221">
        <w:rPr>
          <w:rFonts w:ascii="Book Antiqua" w:eastAsia="宋体" w:hAnsi="Book Antiqua" w:cs="宋体"/>
        </w:rPr>
        <w:t>: 291-298 [PMID: 17151867 DOI: 10.1007/s00204-006-0149-2]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78 </w:t>
      </w:r>
      <w:r w:rsidRPr="00465221">
        <w:rPr>
          <w:rFonts w:ascii="Book Antiqua" w:eastAsia="宋体" w:hAnsi="Book Antiqua" w:cs="宋体"/>
          <w:b/>
          <w:bCs/>
        </w:rPr>
        <w:t>Lichtenberger LM</w:t>
      </w:r>
      <w:r w:rsidRPr="00465221">
        <w:rPr>
          <w:rFonts w:ascii="Book Antiqua" w:eastAsia="宋体" w:hAnsi="Book Antiqua" w:cs="宋体"/>
        </w:rPr>
        <w:t>, Phan T, Okabe S. Aspirin's ability to induce intestinal injury in rats is dependent on bile and can be reversed if pre-associated with phosphatidylcholine. </w:t>
      </w:r>
      <w:r w:rsidRPr="00465221">
        <w:rPr>
          <w:rFonts w:ascii="Book Antiqua" w:eastAsia="宋体" w:hAnsi="Book Antiqua" w:cs="宋体"/>
          <w:i/>
          <w:iCs/>
        </w:rPr>
        <w:t>J Physiol Pharmacol</w:t>
      </w:r>
      <w:r w:rsidRPr="00465221">
        <w:rPr>
          <w:rFonts w:ascii="Book Antiqua" w:eastAsia="宋体" w:hAnsi="Book Antiqua" w:cs="宋体"/>
        </w:rPr>
        <w:t> 2011; </w:t>
      </w:r>
      <w:r w:rsidRPr="00465221">
        <w:rPr>
          <w:rFonts w:ascii="Book Antiqua" w:eastAsia="宋体" w:hAnsi="Book Antiqua" w:cs="宋体"/>
          <w:b/>
          <w:bCs/>
        </w:rPr>
        <w:t>62</w:t>
      </w:r>
      <w:r w:rsidRPr="00465221">
        <w:rPr>
          <w:rFonts w:ascii="Book Antiqua" w:eastAsia="宋体" w:hAnsi="Book Antiqua" w:cs="宋体"/>
        </w:rPr>
        <w:t>: 491-496 [PMID: 22100851]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79 </w:t>
      </w:r>
      <w:r w:rsidRPr="00465221">
        <w:rPr>
          <w:rFonts w:ascii="Book Antiqua" w:eastAsia="宋体" w:hAnsi="Book Antiqua" w:cs="宋体"/>
          <w:b/>
          <w:bCs/>
        </w:rPr>
        <w:t>Seitz S</w:t>
      </w:r>
      <w:r w:rsidRPr="00465221">
        <w:rPr>
          <w:rFonts w:ascii="Book Antiqua" w:eastAsia="宋体" w:hAnsi="Book Antiqua" w:cs="宋体"/>
        </w:rPr>
        <w:t>, Boelsterli UA. Diclofenac acyl glucuronide, a major biliary metabolite, is directly involved in small intestinal injury in rats. </w:t>
      </w:r>
      <w:r w:rsidRPr="00465221">
        <w:rPr>
          <w:rFonts w:ascii="Book Antiqua" w:eastAsia="宋体" w:hAnsi="Book Antiqua" w:cs="宋体"/>
          <w:i/>
          <w:iCs/>
        </w:rPr>
        <w:t>Gastroenterology</w:t>
      </w:r>
      <w:r w:rsidRPr="00465221">
        <w:rPr>
          <w:rFonts w:ascii="Book Antiqua" w:eastAsia="宋体" w:hAnsi="Book Antiqua" w:cs="宋体"/>
        </w:rPr>
        <w:t> 1998; </w:t>
      </w:r>
      <w:r w:rsidRPr="00465221">
        <w:rPr>
          <w:rFonts w:ascii="Book Antiqua" w:eastAsia="宋体" w:hAnsi="Book Antiqua" w:cs="宋体"/>
          <w:b/>
          <w:bCs/>
        </w:rPr>
        <w:t>115</w:t>
      </w:r>
      <w:r w:rsidRPr="00465221">
        <w:rPr>
          <w:rFonts w:ascii="Book Antiqua" w:eastAsia="宋体" w:hAnsi="Book Antiqua" w:cs="宋体"/>
        </w:rPr>
        <w:t>: 1476-1482 [PMID: 9834275 DOI: 10.1016/S0016-5085(98)70026-5]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80 </w:t>
      </w:r>
      <w:r w:rsidRPr="00465221">
        <w:rPr>
          <w:rFonts w:ascii="Book Antiqua" w:eastAsia="宋体" w:hAnsi="Book Antiqua" w:cs="宋体"/>
          <w:b/>
          <w:bCs/>
        </w:rPr>
        <w:t>Uchida A</w:t>
      </w:r>
      <w:r w:rsidRPr="00465221">
        <w:rPr>
          <w:rFonts w:ascii="Book Antiqua" w:eastAsia="宋体" w:hAnsi="Book Antiqua" w:cs="宋体"/>
        </w:rPr>
        <w:t>, Yamada T, Hayakawa T, Hoshino M. Taurochenodeoxycholic acid ameliorates and ursodeoxycholic acid exacerbates small intestinal inflammation. </w:t>
      </w:r>
      <w:r w:rsidRPr="00465221">
        <w:rPr>
          <w:rFonts w:ascii="Book Antiqua" w:eastAsia="宋体" w:hAnsi="Book Antiqua" w:cs="宋体"/>
          <w:i/>
          <w:iCs/>
        </w:rPr>
        <w:t>Am J Physiol</w:t>
      </w:r>
      <w:r w:rsidRPr="00465221">
        <w:rPr>
          <w:rFonts w:ascii="Book Antiqua" w:eastAsia="宋体" w:hAnsi="Book Antiqua" w:cs="宋体"/>
        </w:rPr>
        <w:t> 1997; </w:t>
      </w:r>
      <w:r w:rsidRPr="00465221">
        <w:rPr>
          <w:rFonts w:ascii="Book Antiqua" w:eastAsia="宋体" w:hAnsi="Book Antiqua" w:cs="宋体"/>
          <w:b/>
          <w:bCs/>
        </w:rPr>
        <w:t>272</w:t>
      </w:r>
      <w:r w:rsidRPr="00465221">
        <w:rPr>
          <w:rFonts w:ascii="Book Antiqua" w:eastAsia="宋体" w:hAnsi="Book Antiqua" w:cs="宋体"/>
        </w:rPr>
        <w:t>: G1249-G1257 [PMID: 9176237]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81 </w:t>
      </w:r>
      <w:r w:rsidRPr="00465221">
        <w:rPr>
          <w:rFonts w:ascii="Book Antiqua" w:eastAsia="宋体" w:hAnsi="Book Antiqua" w:cs="宋体"/>
          <w:b/>
          <w:bCs/>
        </w:rPr>
        <w:t>Zhou Y</w:t>
      </w:r>
      <w:r w:rsidRPr="00465221">
        <w:rPr>
          <w:rFonts w:ascii="Book Antiqua" w:eastAsia="宋体" w:hAnsi="Book Antiqua" w:cs="宋体"/>
        </w:rPr>
        <w:t>, Dial EJ, Doyen R, Lichtenberger LM. Effect of indomethacin on bile acid-phospholipid interactions: implication for small intestinal injury induced by nonsteroidal anti-inflammatory drugs. </w:t>
      </w:r>
      <w:r w:rsidRPr="00465221">
        <w:rPr>
          <w:rFonts w:ascii="Book Antiqua" w:eastAsia="宋体" w:hAnsi="Book Antiqua" w:cs="宋体"/>
          <w:i/>
          <w:iCs/>
        </w:rPr>
        <w:t>Am J Physiol Gastrointest Liver Physiol</w:t>
      </w:r>
      <w:r w:rsidRPr="00465221">
        <w:rPr>
          <w:rFonts w:ascii="Book Antiqua" w:eastAsia="宋体" w:hAnsi="Book Antiqua" w:cs="宋体"/>
        </w:rPr>
        <w:t> 2010; </w:t>
      </w:r>
      <w:r w:rsidRPr="00465221">
        <w:rPr>
          <w:rFonts w:ascii="Book Antiqua" w:eastAsia="宋体" w:hAnsi="Book Antiqua" w:cs="宋体"/>
          <w:b/>
          <w:bCs/>
        </w:rPr>
        <w:t>298</w:t>
      </w:r>
      <w:r w:rsidRPr="00465221">
        <w:rPr>
          <w:rFonts w:ascii="Book Antiqua" w:eastAsia="宋体" w:hAnsi="Book Antiqua" w:cs="宋体"/>
        </w:rPr>
        <w:t>: G722-G731 [PMID: 20203063 DOI: 10.1152/ajpgi.00387.2009]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82 </w:t>
      </w:r>
      <w:r w:rsidRPr="00465221">
        <w:rPr>
          <w:rFonts w:ascii="Book Antiqua" w:eastAsia="宋体" w:hAnsi="Book Antiqua" w:cs="宋体"/>
          <w:b/>
          <w:bCs/>
        </w:rPr>
        <w:t>Dial EJ</w:t>
      </w:r>
      <w:r w:rsidRPr="00465221">
        <w:rPr>
          <w:rFonts w:ascii="Book Antiqua" w:eastAsia="宋体" w:hAnsi="Book Antiqua" w:cs="宋体"/>
        </w:rPr>
        <w:t>, Darling RL, Lichtenberger LM. Importance of biliary excretion of indomethacin in gastrointestinal and hepatic injury. </w:t>
      </w:r>
      <w:r w:rsidRPr="00465221">
        <w:rPr>
          <w:rFonts w:ascii="Book Antiqua" w:eastAsia="宋体" w:hAnsi="Book Antiqua" w:cs="宋体"/>
          <w:i/>
          <w:iCs/>
        </w:rPr>
        <w:t>J Gastroenterol Hepatol</w:t>
      </w:r>
      <w:r w:rsidRPr="00465221">
        <w:rPr>
          <w:rFonts w:ascii="Book Antiqua" w:eastAsia="宋体" w:hAnsi="Book Antiqua" w:cs="宋体"/>
        </w:rPr>
        <w:t> 2008; </w:t>
      </w:r>
      <w:r w:rsidRPr="00465221">
        <w:rPr>
          <w:rFonts w:ascii="Book Antiqua" w:eastAsia="宋体" w:hAnsi="Book Antiqua" w:cs="宋体"/>
          <w:b/>
          <w:bCs/>
        </w:rPr>
        <w:t>23</w:t>
      </w:r>
      <w:r w:rsidRPr="00465221">
        <w:rPr>
          <w:rFonts w:ascii="Book Antiqua" w:eastAsia="宋体" w:hAnsi="Book Antiqua" w:cs="宋体"/>
        </w:rPr>
        <w:t>: e384-e389 [PMID: 18086111 DOI: 10.1111/j.1440-1746.2007.05266.x]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83 </w:t>
      </w:r>
      <w:r w:rsidRPr="00465221">
        <w:rPr>
          <w:rFonts w:ascii="Book Antiqua" w:eastAsia="宋体" w:hAnsi="Book Antiqua" w:cs="宋体"/>
          <w:b/>
          <w:bCs/>
        </w:rPr>
        <w:t>Yamada T</w:t>
      </w:r>
      <w:r w:rsidRPr="00465221">
        <w:rPr>
          <w:rFonts w:ascii="Book Antiqua" w:eastAsia="宋体" w:hAnsi="Book Antiqua" w:cs="宋体"/>
        </w:rPr>
        <w:t>, Hoshino M, Hayakawa T, Kamiya Y, Ohhara H, Mizuno K, Yamada H, Nakazawa T, Inagaki T, Uchida A, Miyaji M, Takeuchi T. Bile secretion in rats with indomethacin-induced intestinal inflammation. </w:t>
      </w:r>
      <w:r w:rsidRPr="00465221">
        <w:rPr>
          <w:rFonts w:ascii="Book Antiqua" w:eastAsia="宋体" w:hAnsi="Book Antiqua" w:cs="宋体"/>
          <w:i/>
          <w:iCs/>
        </w:rPr>
        <w:t>Am J Physiol</w:t>
      </w:r>
      <w:r w:rsidRPr="00465221">
        <w:rPr>
          <w:rFonts w:ascii="Book Antiqua" w:eastAsia="宋体" w:hAnsi="Book Antiqua" w:cs="宋体"/>
        </w:rPr>
        <w:t> 1996; </w:t>
      </w:r>
      <w:r w:rsidRPr="00465221">
        <w:rPr>
          <w:rFonts w:ascii="Book Antiqua" w:eastAsia="宋体" w:hAnsi="Book Antiqua" w:cs="宋体"/>
          <w:b/>
          <w:bCs/>
        </w:rPr>
        <w:t>270</w:t>
      </w:r>
      <w:r w:rsidRPr="00465221">
        <w:rPr>
          <w:rFonts w:ascii="Book Antiqua" w:eastAsia="宋体" w:hAnsi="Book Antiqua" w:cs="宋体"/>
        </w:rPr>
        <w:t>: G804-G812 [PMID: 8967492]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84 </w:t>
      </w:r>
      <w:r w:rsidRPr="00465221">
        <w:rPr>
          <w:rFonts w:ascii="Book Antiqua" w:eastAsia="宋体" w:hAnsi="Book Antiqua" w:cs="宋体"/>
          <w:b/>
          <w:bCs/>
        </w:rPr>
        <w:t>Boelsterli UA</w:t>
      </w:r>
      <w:r w:rsidRPr="00465221">
        <w:rPr>
          <w:rFonts w:ascii="Book Antiqua" w:eastAsia="宋体" w:hAnsi="Book Antiqua" w:cs="宋体"/>
        </w:rPr>
        <w:t>, Ramirez-Alcantara V. NSAID acyl glucuronides and enteropathy. </w:t>
      </w:r>
      <w:r w:rsidRPr="00465221">
        <w:rPr>
          <w:rFonts w:ascii="Book Antiqua" w:eastAsia="宋体" w:hAnsi="Book Antiqua" w:cs="宋体"/>
          <w:i/>
          <w:iCs/>
        </w:rPr>
        <w:t>Curr Drug Metab</w:t>
      </w:r>
      <w:r w:rsidRPr="00465221">
        <w:rPr>
          <w:rFonts w:ascii="Book Antiqua" w:eastAsia="宋体" w:hAnsi="Book Antiqua" w:cs="宋体"/>
        </w:rPr>
        <w:t> 2011; </w:t>
      </w:r>
      <w:r w:rsidRPr="00465221">
        <w:rPr>
          <w:rFonts w:ascii="Book Antiqua" w:eastAsia="宋体" w:hAnsi="Book Antiqua" w:cs="宋体"/>
          <w:b/>
          <w:bCs/>
        </w:rPr>
        <w:t>12</w:t>
      </w:r>
      <w:r w:rsidRPr="00465221">
        <w:rPr>
          <w:rFonts w:ascii="Book Antiqua" w:eastAsia="宋体" w:hAnsi="Book Antiqua" w:cs="宋体"/>
        </w:rPr>
        <w:t>: 245-252 [PMID: 21395536 DOI: 10.2174/138920011795101877]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85 </w:t>
      </w:r>
      <w:r w:rsidRPr="00465221">
        <w:rPr>
          <w:rFonts w:ascii="Book Antiqua" w:eastAsia="宋体" w:hAnsi="Book Antiqua" w:cs="宋体"/>
          <w:b/>
          <w:bCs/>
        </w:rPr>
        <w:t>LoGuidice A</w:t>
      </w:r>
      <w:r w:rsidRPr="00465221">
        <w:rPr>
          <w:rFonts w:ascii="Book Antiqua" w:eastAsia="宋体" w:hAnsi="Book Antiqua" w:cs="宋体"/>
        </w:rPr>
        <w:t>, Wallace BD, Bendel L, Redinbo MR, Boelsterli UA. Pharmacologic targeting of bacterial β-glucuronidase alleviates nonsteroidal anti-inflammatory drug-induced enteropathy in mice. </w:t>
      </w:r>
      <w:r w:rsidRPr="00465221">
        <w:rPr>
          <w:rFonts w:ascii="Book Antiqua" w:eastAsia="宋体" w:hAnsi="Book Antiqua" w:cs="宋体"/>
          <w:i/>
          <w:iCs/>
        </w:rPr>
        <w:t>J Pharmacol Exp Ther</w:t>
      </w:r>
      <w:r w:rsidRPr="00465221">
        <w:rPr>
          <w:rFonts w:ascii="Book Antiqua" w:eastAsia="宋体" w:hAnsi="Book Antiqua" w:cs="宋体"/>
        </w:rPr>
        <w:t> 2012; </w:t>
      </w:r>
      <w:r w:rsidRPr="00465221">
        <w:rPr>
          <w:rFonts w:ascii="Book Antiqua" w:eastAsia="宋体" w:hAnsi="Book Antiqua" w:cs="宋体"/>
          <w:b/>
          <w:bCs/>
        </w:rPr>
        <w:t>341</w:t>
      </w:r>
      <w:r w:rsidRPr="00465221">
        <w:rPr>
          <w:rFonts w:ascii="Book Antiqua" w:eastAsia="宋体" w:hAnsi="Book Antiqua" w:cs="宋体"/>
        </w:rPr>
        <w:t>: 447-454 [PMID: 22328575 DOI: 10.1124/jpet.111.191122]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86 </w:t>
      </w:r>
      <w:r w:rsidRPr="00465221">
        <w:rPr>
          <w:rFonts w:ascii="Book Antiqua" w:eastAsia="宋体" w:hAnsi="Book Antiqua" w:cs="宋体"/>
          <w:b/>
          <w:bCs/>
        </w:rPr>
        <w:t>Atchison CR</w:t>
      </w:r>
      <w:r w:rsidRPr="00465221">
        <w:rPr>
          <w:rFonts w:ascii="Book Antiqua" w:eastAsia="宋体" w:hAnsi="Book Antiqua" w:cs="宋体"/>
        </w:rPr>
        <w:t>, West AB, Balakumaran A, Hargus SJ, Pohl LR, Daiker DH, Aronson JF, Hoffmann WE, Shipp BK, Treinen-Moslen M. Drug enterocyte adducts: possible causal factor for diclofenac enteropathy in rats. </w:t>
      </w:r>
      <w:r w:rsidRPr="00465221">
        <w:rPr>
          <w:rFonts w:ascii="Book Antiqua" w:eastAsia="宋体" w:hAnsi="Book Antiqua" w:cs="宋体"/>
          <w:i/>
          <w:iCs/>
        </w:rPr>
        <w:t>Gastroenterology</w:t>
      </w:r>
      <w:r w:rsidRPr="00465221">
        <w:rPr>
          <w:rFonts w:ascii="Book Antiqua" w:eastAsia="宋体" w:hAnsi="Book Antiqua" w:cs="宋体"/>
        </w:rPr>
        <w:t> 2000; </w:t>
      </w:r>
      <w:r w:rsidRPr="00465221">
        <w:rPr>
          <w:rFonts w:ascii="Book Antiqua" w:eastAsia="宋体" w:hAnsi="Book Antiqua" w:cs="宋体"/>
          <w:b/>
          <w:bCs/>
        </w:rPr>
        <w:t>119</w:t>
      </w:r>
      <w:r w:rsidRPr="00465221">
        <w:rPr>
          <w:rFonts w:ascii="Book Antiqua" w:eastAsia="宋体" w:hAnsi="Book Antiqua" w:cs="宋体"/>
        </w:rPr>
        <w:t>: 1537-1547 [PMID: 11113075 DOI: 10.1053/gast.2000.20186]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87 </w:t>
      </w:r>
      <w:r w:rsidRPr="00465221">
        <w:rPr>
          <w:rFonts w:ascii="Book Antiqua" w:eastAsia="宋体" w:hAnsi="Book Antiqua" w:cs="宋体"/>
          <w:b/>
          <w:bCs/>
        </w:rPr>
        <w:t>Robert A</w:t>
      </w:r>
      <w:r w:rsidRPr="00465221">
        <w:rPr>
          <w:rFonts w:ascii="Book Antiqua" w:eastAsia="宋体" w:hAnsi="Book Antiqua" w:cs="宋体"/>
        </w:rPr>
        <w:t>, Asano T. Resistance of germfree rats to indomethacin-induced intestinal lesions. </w:t>
      </w:r>
      <w:r w:rsidRPr="00465221">
        <w:rPr>
          <w:rFonts w:ascii="Book Antiqua" w:eastAsia="宋体" w:hAnsi="Book Antiqua" w:cs="宋体"/>
          <w:i/>
          <w:iCs/>
        </w:rPr>
        <w:t>Prostaglandins</w:t>
      </w:r>
      <w:r w:rsidRPr="00465221">
        <w:rPr>
          <w:rFonts w:ascii="Book Antiqua" w:eastAsia="宋体" w:hAnsi="Book Antiqua" w:cs="宋体"/>
        </w:rPr>
        <w:t> 1977; </w:t>
      </w:r>
      <w:r w:rsidRPr="00465221">
        <w:rPr>
          <w:rFonts w:ascii="Book Antiqua" w:eastAsia="宋体" w:hAnsi="Book Antiqua" w:cs="宋体"/>
          <w:b/>
          <w:bCs/>
        </w:rPr>
        <w:t>14</w:t>
      </w:r>
      <w:r w:rsidRPr="00465221">
        <w:rPr>
          <w:rFonts w:ascii="Book Antiqua" w:eastAsia="宋体" w:hAnsi="Book Antiqua" w:cs="宋体"/>
        </w:rPr>
        <w:t>: 333-341 [PMID: 331401 DOI: 10.1016/0090-6980(77)90178-2]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88 </w:t>
      </w:r>
      <w:r w:rsidRPr="00465221">
        <w:rPr>
          <w:rFonts w:ascii="Book Antiqua" w:eastAsia="宋体" w:hAnsi="Book Antiqua" w:cs="宋体"/>
          <w:b/>
          <w:bCs/>
        </w:rPr>
        <w:t>Uejima M</w:t>
      </w:r>
      <w:r w:rsidRPr="00465221">
        <w:rPr>
          <w:rFonts w:ascii="Book Antiqua" w:eastAsia="宋体" w:hAnsi="Book Antiqua" w:cs="宋体"/>
        </w:rPr>
        <w:t>, Kinouchi T, Kataoka K, Hiraoka I, Ohnishi Y. Role of intestinal bacteria in ileal ulcer formation in rats treated with a nonsteroidal antiinflammatory drug. </w:t>
      </w:r>
      <w:r w:rsidRPr="00465221">
        <w:rPr>
          <w:rFonts w:ascii="Book Antiqua" w:eastAsia="宋体" w:hAnsi="Book Antiqua" w:cs="宋体"/>
          <w:i/>
          <w:iCs/>
        </w:rPr>
        <w:t>Microbiol Immunol</w:t>
      </w:r>
      <w:r w:rsidRPr="00465221">
        <w:rPr>
          <w:rFonts w:ascii="Book Antiqua" w:eastAsia="宋体" w:hAnsi="Book Antiqua" w:cs="宋体"/>
        </w:rPr>
        <w:t> 1996; </w:t>
      </w:r>
      <w:r w:rsidRPr="00465221">
        <w:rPr>
          <w:rFonts w:ascii="Book Antiqua" w:eastAsia="宋体" w:hAnsi="Book Antiqua" w:cs="宋体"/>
          <w:b/>
          <w:bCs/>
        </w:rPr>
        <w:t>40</w:t>
      </w:r>
      <w:r w:rsidRPr="00465221">
        <w:rPr>
          <w:rFonts w:ascii="Book Antiqua" w:eastAsia="宋体" w:hAnsi="Book Antiqua" w:cs="宋体"/>
        </w:rPr>
        <w:t>: 553-560 [PMID: 8887349]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89 </w:t>
      </w:r>
      <w:r w:rsidRPr="00465221">
        <w:rPr>
          <w:rFonts w:ascii="Book Antiqua" w:eastAsia="宋体" w:hAnsi="Book Antiqua" w:cs="宋体"/>
          <w:b/>
          <w:bCs/>
        </w:rPr>
        <w:t>Kent TH</w:t>
      </w:r>
      <w:r w:rsidRPr="00465221">
        <w:rPr>
          <w:rFonts w:ascii="Book Antiqua" w:eastAsia="宋体" w:hAnsi="Book Antiqua" w:cs="宋体"/>
        </w:rPr>
        <w:t>, Cardelli RM, Stamler FW. Small intestinal ulcers and intestinal flora in rats given indomethacin. </w:t>
      </w:r>
      <w:r w:rsidRPr="00465221">
        <w:rPr>
          <w:rFonts w:ascii="Book Antiqua" w:eastAsia="宋体" w:hAnsi="Book Antiqua" w:cs="宋体"/>
          <w:i/>
          <w:iCs/>
        </w:rPr>
        <w:t>Am J Pathol</w:t>
      </w:r>
      <w:r w:rsidRPr="00465221">
        <w:rPr>
          <w:rFonts w:ascii="Book Antiqua" w:eastAsia="宋体" w:hAnsi="Book Antiqua" w:cs="宋体"/>
        </w:rPr>
        <w:t> 1969; </w:t>
      </w:r>
      <w:r w:rsidRPr="00465221">
        <w:rPr>
          <w:rFonts w:ascii="Book Antiqua" w:eastAsia="宋体" w:hAnsi="Book Antiqua" w:cs="宋体"/>
          <w:b/>
          <w:bCs/>
        </w:rPr>
        <w:t>54</w:t>
      </w:r>
      <w:r w:rsidRPr="00465221">
        <w:rPr>
          <w:rFonts w:ascii="Book Antiqua" w:eastAsia="宋体" w:hAnsi="Book Antiqua" w:cs="宋体"/>
        </w:rPr>
        <w:t>: 237-249 [PMID: 5765565]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90 </w:t>
      </w:r>
      <w:r w:rsidRPr="00465221">
        <w:rPr>
          <w:rFonts w:ascii="Book Antiqua" w:eastAsia="宋体" w:hAnsi="Book Antiqua" w:cs="宋体"/>
          <w:b/>
          <w:bCs/>
        </w:rPr>
        <w:t>Dalby AB</w:t>
      </w:r>
      <w:r w:rsidRPr="00465221">
        <w:rPr>
          <w:rFonts w:ascii="Book Antiqua" w:eastAsia="宋体" w:hAnsi="Book Antiqua" w:cs="宋体"/>
        </w:rPr>
        <w:t>, Frank DN, St Amand AL, Bendele AM, Pace NR. Culture-independent analysis of indomethacin-induced alterations in the rat gastrointestinal microbiota. </w:t>
      </w:r>
      <w:r w:rsidRPr="00465221">
        <w:rPr>
          <w:rFonts w:ascii="Book Antiqua" w:eastAsia="宋体" w:hAnsi="Book Antiqua" w:cs="宋体"/>
          <w:i/>
          <w:iCs/>
        </w:rPr>
        <w:t>Appl Environ Microbiol</w:t>
      </w:r>
      <w:r w:rsidRPr="00465221">
        <w:rPr>
          <w:rFonts w:ascii="Book Antiqua" w:eastAsia="宋体" w:hAnsi="Book Antiqua" w:cs="宋体"/>
        </w:rPr>
        <w:t> 2006; </w:t>
      </w:r>
      <w:r w:rsidRPr="00465221">
        <w:rPr>
          <w:rFonts w:ascii="Book Antiqua" w:eastAsia="宋体" w:hAnsi="Book Antiqua" w:cs="宋体"/>
          <w:b/>
          <w:bCs/>
        </w:rPr>
        <w:t>72</w:t>
      </w:r>
      <w:r w:rsidRPr="00465221">
        <w:rPr>
          <w:rFonts w:ascii="Book Antiqua" w:eastAsia="宋体" w:hAnsi="Book Antiqua" w:cs="宋体"/>
        </w:rPr>
        <w:t>: 6707-6715 [PMID: 17021222 DOI: 10.1128/AEM.00378-06]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91 </w:t>
      </w:r>
      <w:r w:rsidRPr="00465221">
        <w:rPr>
          <w:rFonts w:ascii="Book Antiqua" w:eastAsia="宋体" w:hAnsi="Book Antiqua" w:cs="宋体"/>
          <w:b/>
          <w:bCs/>
        </w:rPr>
        <w:t>Hagiwara M</w:t>
      </w:r>
      <w:r w:rsidRPr="00465221">
        <w:rPr>
          <w:rFonts w:ascii="Book Antiqua" w:eastAsia="宋体" w:hAnsi="Book Antiqua" w:cs="宋体"/>
        </w:rPr>
        <w:t>, Kataoka K, Arimochi H, Kuwahara T, Ohnishi Y. Role of unbalanced growth of gram-negative bacteria in ileal ulcer formation in rats treated with a nonsteroidal anti-inflammatory drug. </w:t>
      </w:r>
      <w:r w:rsidRPr="00465221">
        <w:rPr>
          <w:rFonts w:ascii="Book Antiqua" w:eastAsia="宋体" w:hAnsi="Book Antiqua" w:cs="宋体"/>
          <w:i/>
          <w:iCs/>
        </w:rPr>
        <w:t>J Med Invest</w:t>
      </w:r>
      <w:r w:rsidRPr="00465221">
        <w:rPr>
          <w:rFonts w:ascii="Book Antiqua" w:eastAsia="宋体" w:hAnsi="Book Antiqua" w:cs="宋体"/>
        </w:rPr>
        <w:t> 2004; </w:t>
      </w:r>
      <w:r w:rsidRPr="00465221">
        <w:rPr>
          <w:rFonts w:ascii="Book Antiqua" w:eastAsia="宋体" w:hAnsi="Book Antiqua" w:cs="宋体"/>
          <w:b/>
          <w:bCs/>
        </w:rPr>
        <w:t>51</w:t>
      </w:r>
      <w:r w:rsidRPr="00465221">
        <w:rPr>
          <w:rFonts w:ascii="Book Antiqua" w:eastAsia="宋体" w:hAnsi="Book Antiqua" w:cs="宋体"/>
        </w:rPr>
        <w:t>: 43-51 [PMID: 15000255 DOI: 10.2152/jmi.51.43]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92 </w:t>
      </w:r>
      <w:r w:rsidRPr="00465221">
        <w:rPr>
          <w:rFonts w:ascii="Book Antiqua" w:eastAsia="宋体" w:hAnsi="Book Antiqua" w:cs="宋体"/>
          <w:b/>
          <w:bCs/>
        </w:rPr>
        <w:t>Kato N</w:t>
      </w:r>
      <w:r w:rsidRPr="00465221">
        <w:rPr>
          <w:rFonts w:ascii="Book Antiqua" w:eastAsia="宋体" w:hAnsi="Book Antiqua" w:cs="宋体"/>
        </w:rPr>
        <w:t>, Mashita Y, Kato S, Mitsufuji S, Yoshikawa T, Takeuchi K. Sildenafil, an inhibitor of phosphodiesterase subtype 5, prevents indomethacin-induced small-intestinal ulceration in rats via a NO/cGMP-dependent mechanism. </w:t>
      </w:r>
      <w:r w:rsidRPr="00465221">
        <w:rPr>
          <w:rFonts w:ascii="Book Antiqua" w:eastAsia="宋体" w:hAnsi="Book Antiqua" w:cs="宋体"/>
          <w:i/>
          <w:iCs/>
        </w:rPr>
        <w:t>Dig Dis Sci</w:t>
      </w:r>
      <w:r w:rsidRPr="00465221">
        <w:rPr>
          <w:rFonts w:ascii="Book Antiqua" w:eastAsia="宋体" w:hAnsi="Book Antiqua" w:cs="宋体"/>
        </w:rPr>
        <w:t> 2009; </w:t>
      </w:r>
      <w:r w:rsidRPr="00465221">
        <w:rPr>
          <w:rFonts w:ascii="Book Antiqua" w:eastAsia="宋体" w:hAnsi="Book Antiqua" w:cs="宋体"/>
          <w:b/>
          <w:bCs/>
        </w:rPr>
        <w:t>54</w:t>
      </w:r>
      <w:r w:rsidRPr="00465221">
        <w:rPr>
          <w:rFonts w:ascii="Book Antiqua" w:eastAsia="宋体" w:hAnsi="Book Antiqua" w:cs="宋体"/>
        </w:rPr>
        <w:t>: 2346-2356 [PMID: 19101800 DOI: 10.1007/s10620-008-0646-7]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93 </w:t>
      </w:r>
      <w:r w:rsidRPr="00465221">
        <w:rPr>
          <w:rFonts w:ascii="Book Antiqua" w:eastAsia="宋体" w:hAnsi="Book Antiqua" w:cs="宋体"/>
          <w:b/>
          <w:bCs/>
        </w:rPr>
        <w:t>Watanabe T</w:t>
      </w:r>
      <w:r w:rsidRPr="00465221">
        <w:rPr>
          <w:rFonts w:ascii="Book Antiqua" w:eastAsia="宋体" w:hAnsi="Book Antiqua" w:cs="宋体"/>
        </w:rPr>
        <w:t>, Higuchi K, Kobata A, Nishio H, Tanigawa T, Shiba M, Tominaga K, Fujiwara Y, Oshitani N, Asahara T, Nomoto K, Takeuchi K, Arakawa T. Non-steroidal anti-inflammatory drug-induced small intestinal damage is Toll-like receptor 4 dependent. </w:t>
      </w:r>
      <w:r w:rsidRPr="00465221">
        <w:rPr>
          <w:rFonts w:ascii="Book Antiqua" w:eastAsia="宋体" w:hAnsi="Book Antiqua" w:cs="宋体"/>
          <w:i/>
          <w:iCs/>
        </w:rPr>
        <w:t>Gut</w:t>
      </w:r>
      <w:r w:rsidRPr="00465221">
        <w:rPr>
          <w:rFonts w:ascii="Book Antiqua" w:eastAsia="宋体" w:hAnsi="Book Antiqua" w:cs="宋体"/>
        </w:rPr>
        <w:t> 2008; </w:t>
      </w:r>
      <w:r w:rsidRPr="00465221">
        <w:rPr>
          <w:rFonts w:ascii="Book Antiqua" w:eastAsia="宋体" w:hAnsi="Book Antiqua" w:cs="宋体"/>
          <w:b/>
          <w:bCs/>
        </w:rPr>
        <w:t>57</w:t>
      </w:r>
      <w:r w:rsidRPr="00465221">
        <w:rPr>
          <w:rFonts w:ascii="Book Antiqua" w:eastAsia="宋体" w:hAnsi="Book Antiqua" w:cs="宋体"/>
        </w:rPr>
        <w:t>: 181-187 [PMID: 17639086 DOI: 10.1136/gut.2007.125963]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94 </w:t>
      </w:r>
      <w:r w:rsidRPr="00465221">
        <w:rPr>
          <w:rFonts w:ascii="Book Antiqua" w:eastAsia="宋体" w:hAnsi="Book Antiqua" w:cs="宋体"/>
          <w:b/>
          <w:bCs/>
        </w:rPr>
        <w:t>Koga H</w:t>
      </w:r>
      <w:r w:rsidRPr="00465221">
        <w:rPr>
          <w:rFonts w:ascii="Book Antiqua" w:eastAsia="宋体" w:hAnsi="Book Antiqua" w:cs="宋体"/>
        </w:rPr>
        <w:t>, Aoyagi K, Matsumoto T, Iida M, Fujishima M. Experimental enteropathy in athymic and euthymic rats: synergistic role of lipopolysaccharide and indomethacin. </w:t>
      </w:r>
      <w:r w:rsidRPr="00465221">
        <w:rPr>
          <w:rFonts w:ascii="Book Antiqua" w:eastAsia="宋体" w:hAnsi="Book Antiqua" w:cs="宋体"/>
          <w:i/>
          <w:iCs/>
        </w:rPr>
        <w:t>Am J Physiol</w:t>
      </w:r>
      <w:r w:rsidRPr="00465221">
        <w:rPr>
          <w:rFonts w:ascii="Book Antiqua" w:eastAsia="宋体" w:hAnsi="Book Antiqua" w:cs="宋体"/>
        </w:rPr>
        <w:t> 1999; </w:t>
      </w:r>
      <w:r w:rsidRPr="00465221">
        <w:rPr>
          <w:rFonts w:ascii="Book Antiqua" w:eastAsia="宋体" w:hAnsi="Book Antiqua" w:cs="宋体"/>
          <w:b/>
          <w:bCs/>
        </w:rPr>
        <w:t>276</w:t>
      </w:r>
      <w:r w:rsidRPr="00465221">
        <w:rPr>
          <w:rFonts w:ascii="Book Antiqua" w:eastAsia="宋体" w:hAnsi="Book Antiqua" w:cs="宋体"/>
        </w:rPr>
        <w:t>: G576-G582 [PMID: 10070032]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95 </w:t>
      </w:r>
      <w:r w:rsidRPr="00465221">
        <w:rPr>
          <w:rFonts w:ascii="Book Antiqua" w:eastAsia="宋体" w:hAnsi="Book Antiqua" w:cs="宋体"/>
          <w:b/>
          <w:bCs/>
        </w:rPr>
        <w:t>Kinouchi T</w:t>
      </w:r>
      <w:r w:rsidRPr="00465221">
        <w:rPr>
          <w:rFonts w:ascii="Book Antiqua" w:eastAsia="宋体" w:hAnsi="Book Antiqua" w:cs="宋体"/>
        </w:rPr>
        <w:t>, Kataoka K, Bing SR, Nakayama H, Uejima M, Shimono K, Kuwahara T, Akimoto S, Hiraoka I, Ohnishi Y. Culture supernatants of Lactobacillus acidophilus and Bifidobacterium adolescentis repress ileal ulcer formation in rats treated with a nonsteroidal antiinflammatory drug by suppressing unbalanced growth of aerobic bacteria and lipid peroxidation. </w:t>
      </w:r>
      <w:r w:rsidRPr="00465221">
        <w:rPr>
          <w:rFonts w:ascii="Book Antiqua" w:eastAsia="宋体" w:hAnsi="Book Antiqua" w:cs="宋体"/>
          <w:i/>
          <w:iCs/>
        </w:rPr>
        <w:t>Microbiol Immunol</w:t>
      </w:r>
      <w:r w:rsidRPr="00465221">
        <w:rPr>
          <w:rFonts w:ascii="Book Antiqua" w:eastAsia="宋体" w:hAnsi="Book Antiqua" w:cs="宋体"/>
        </w:rPr>
        <w:t> 1998; </w:t>
      </w:r>
      <w:r w:rsidRPr="00465221">
        <w:rPr>
          <w:rFonts w:ascii="Book Antiqua" w:eastAsia="宋体" w:hAnsi="Book Antiqua" w:cs="宋体"/>
          <w:b/>
          <w:bCs/>
        </w:rPr>
        <w:t>42</w:t>
      </w:r>
      <w:r w:rsidRPr="00465221">
        <w:rPr>
          <w:rFonts w:ascii="Book Antiqua" w:eastAsia="宋体" w:hAnsi="Book Antiqua" w:cs="宋体"/>
        </w:rPr>
        <w:t>: 347-355 [PMID: 9654366]</w:t>
      </w:r>
    </w:p>
    <w:p w:rsidR="002550C2" w:rsidRPr="00465221" w:rsidRDefault="002550C2" w:rsidP="00B031E3">
      <w:pPr>
        <w:spacing w:line="360" w:lineRule="auto"/>
        <w:jc w:val="both"/>
        <w:rPr>
          <w:rFonts w:ascii="Book Antiqua" w:eastAsia="宋体" w:hAnsi="Book Antiqua" w:cs="宋体"/>
        </w:rPr>
      </w:pPr>
      <w:r>
        <w:rPr>
          <w:rFonts w:ascii="Book Antiqua" w:eastAsia="宋体" w:hAnsi="Book Antiqua" w:cs="宋体"/>
        </w:rPr>
        <w:t>96</w:t>
      </w:r>
      <w:r w:rsidRPr="00880CB9">
        <w:rPr>
          <w:rFonts w:ascii="Book Antiqua" w:eastAsia="宋体" w:hAnsi="Book Antiqua" w:cs="宋体"/>
          <w:b/>
        </w:rPr>
        <w:t xml:space="preserve"> </w:t>
      </w:r>
      <w:r w:rsidRPr="00465221">
        <w:rPr>
          <w:rFonts w:ascii="Book Antiqua" w:eastAsia="宋体" w:hAnsi="Book Antiqua" w:cs="宋体"/>
          <w:b/>
        </w:rPr>
        <w:t>Syer SD,</w:t>
      </w:r>
      <w:r w:rsidRPr="00465221">
        <w:rPr>
          <w:rFonts w:ascii="Book Antiqua" w:eastAsia="宋体" w:hAnsi="Book Antiqua" w:cs="宋体"/>
        </w:rPr>
        <w:t xml:space="preserve"> McKnight W, Aucouturier A, Martin R, Langella P, Wallace JL. Bifidobacteria exert a protective effect against NSAID-induced enteropathy that is dependent on lactate production. Gastroenterology 2012; </w:t>
      </w:r>
      <w:r w:rsidRPr="00465221">
        <w:rPr>
          <w:rFonts w:ascii="Book Antiqua" w:eastAsia="宋体" w:hAnsi="Book Antiqua" w:cs="宋体"/>
          <w:b/>
        </w:rPr>
        <w:t>142</w:t>
      </w:r>
      <w:r>
        <w:rPr>
          <w:rFonts w:ascii="Book Antiqua" w:eastAsia="宋体" w:hAnsi="Book Antiqua" w:cs="宋体"/>
        </w:rPr>
        <w:t>:</w:t>
      </w:r>
      <w:r w:rsidRPr="00465221">
        <w:rPr>
          <w:rFonts w:ascii="Book Antiqua" w:eastAsia="宋体" w:hAnsi="Book Antiqua" w:cs="宋体"/>
        </w:rPr>
        <w:t xml:space="preserve"> S-489 (abstract).</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97 </w:t>
      </w:r>
      <w:r w:rsidRPr="00465221">
        <w:rPr>
          <w:rFonts w:ascii="Book Antiqua" w:eastAsia="宋体" w:hAnsi="Book Antiqua" w:cs="宋体"/>
          <w:b/>
          <w:bCs/>
        </w:rPr>
        <w:t>Elliott SN</w:t>
      </w:r>
      <w:r w:rsidRPr="00465221">
        <w:rPr>
          <w:rFonts w:ascii="Book Antiqua" w:eastAsia="宋体" w:hAnsi="Book Antiqua" w:cs="宋体"/>
        </w:rPr>
        <w:t>, Buret A, McKnight W, Miller MJ, Wallace JL. Bacteria rapidly colonize and modulate healing of gastric ulcers in rats. </w:t>
      </w:r>
      <w:r w:rsidRPr="00465221">
        <w:rPr>
          <w:rFonts w:ascii="Book Antiqua" w:eastAsia="宋体" w:hAnsi="Book Antiqua" w:cs="宋体"/>
          <w:i/>
          <w:iCs/>
        </w:rPr>
        <w:t>Am J Physiol</w:t>
      </w:r>
      <w:r w:rsidRPr="00465221">
        <w:rPr>
          <w:rFonts w:ascii="Book Antiqua" w:eastAsia="宋体" w:hAnsi="Book Antiqua" w:cs="宋体"/>
        </w:rPr>
        <w:t> 1998; </w:t>
      </w:r>
      <w:r w:rsidRPr="00465221">
        <w:rPr>
          <w:rFonts w:ascii="Book Antiqua" w:eastAsia="宋体" w:hAnsi="Book Antiqua" w:cs="宋体"/>
          <w:b/>
          <w:bCs/>
        </w:rPr>
        <w:t>275</w:t>
      </w:r>
      <w:r w:rsidRPr="00465221">
        <w:rPr>
          <w:rFonts w:ascii="Book Antiqua" w:eastAsia="宋体" w:hAnsi="Book Antiqua" w:cs="宋体"/>
        </w:rPr>
        <w:t>: G425-G432 [PMID: 9724253]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98 </w:t>
      </w:r>
      <w:r w:rsidRPr="00465221">
        <w:rPr>
          <w:rFonts w:ascii="Book Antiqua" w:eastAsia="宋体" w:hAnsi="Book Antiqua" w:cs="宋体"/>
          <w:b/>
          <w:bCs/>
        </w:rPr>
        <w:t>Elliott SN</w:t>
      </w:r>
      <w:r w:rsidRPr="00465221">
        <w:rPr>
          <w:rFonts w:ascii="Book Antiqua" w:eastAsia="宋体" w:hAnsi="Book Antiqua" w:cs="宋体"/>
        </w:rPr>
        <w:t>, Wallace JL, McKnight W, Gall DG, Hardin JA, Olson M, Buret A. Bacterial colonization and healing of gastric ulcers: the effects of epidermal growth factor. </w:t>
      </w:r>
      <w:r w:rsidRPr="00465221">
        <w:rPr>
          <w:rFonts w:ascii="Book Antiqua" w:eastAsia="宋体" w:hAnsi="Book Antiqua" w:cs="宋体"/>
          <w:i/>
          <w:iCs/>
        </w:rPr>
        <w:t>Am J Physiol Gastrointest Liver Physiol</w:t>
      </w:r>
      <w:r w:rsidRPr="00465221">
        <w:rPr>
          <w:rFonts w:ascii="Book Antiqua" w:eastAsia="宋体" w:hAnsi="Book Antiqua" w:cs="宋体"/>
        </w:rPr>
        <w:t> 2000; </w:t>
      </w:r>
      <w:r w:rsidRPr="00465221">
        <w:rPr>
          <w:rFonts w:ascii="Book Antiqua" w:eastAsia="宋体" w:hAnsi="Book Antiqua" w:cs="宋体"/>
          <w:b/>
          <w:bCs/>
        </w:rPr>
        <w:t>278</w:t>
      </w:r>
      <w:r w:rsidRPr="00465221">
        <w:rPr>
          <w:rFonts w:ascii="Book Antiqua" w:eastAsia="宋体" w:hAnsi="Book Antiqua" w:cs="宋体"/>
        </w:rPr>
        <w:t>: G105-G112 [PMID: 10644568]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99 </w:t>
      </w:r>
      <w:r w:rsidRPr="00465221">
        <w:rPr>
          <w:rFonts w:ascii="Book Antiqua" w:eastAsia="宋体" w:hAnsi="Book Antiqua" w:cs="宋体"/>
          <w:b/>
          <w:bCs/>
        </w:rPr>
        <w:t>Yamada T</w:t>
      </w:r>
      <w:r w:rsidRPr="00465221">
        <w:rPr>
          <w:rFonts w:ascii="Book Antiqua" w:eastAsia="宋体" w:hAnsi="Book Antiqua" w:cs="宋体"/>
        </w:rPr>
        <w:t>, Deitch E, Specian RD, Perry MA, Sartor RB, Grisham MB. Mechanisms of acute and chronic intestinal inflammation induced by indomethacin. </w:t>
      </w:r>
      <w:r w:rsidRPr="00465221">
        <w:rPr>
          <w:rFonts w:ascii="Book Antiqua" w:eastAsia="宋体" w:hAnsi="Book Antiqua" w:cs="宋体"/>
          <w:i/>
          <w:iCs/>
        </w:rPr>
        <w:t>Inflammation</w:t>
      </w:r>
      <w:r w:rsidRPr="00465221">
        <w:rPr>
          <w:rFonts w:ascii="Book Antiqua" w:eastAsia="宋体" w:hAnsi="Book Antiqua" w:cs="宋体"/>
        </w:rPr>
        <w:t> 1993; </w:t>
      </w:r>
      <w:r w:rsidRPr="00465221">
        <w:rPr>
          <w:rFonts w:ascii="Book Antiqua" w:eastAsia="宋体" w:hAnsi="Book Antiqua" w:cs="宋体"/>
          <w:b/>
          <w:bCs/>
        </w:rPr>
        <w:t>17</w:t>
      </w:r>
      <w:r w:rsidRPr="00465221">
        <w:rPr>
          <w:rFonts w:ascii="Book Antiqua" w:eastAsia="宋体" w:hAnsi="Book Antiqua" w:cs="宋体"/>
        </w:rPr>
        <w:t>: 641-662 [PMID: 7906675 DOI: 10.1007/BF00920471]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100 </w:t>
      </w:r>
      <w:r w:rsidRPr="00465221">
        <w:rPr>
          <w:rFonts w:ascii="Book Antiqua" w:eastAsia="宋体" w:hAnsi="Book Antiqua" w:cs="宋体"/>
          <w:b/>
          <w:bCs/>
        </w:rPr>
        <w:t>Wallace JL</w:t>
      </w:r>
      <w:r w:rsidRPr="00465221">
        <w:rPr>
          <w:rFonts w:ascii="Book Antiqua" w:eastAsia="宋体" w:hAnsi="Book Antiqua" w:cs="宋体"/>
        </w:rPr>
        <w:t>, Keenan CM, Granger DN. Gastric ulceration induced by nonsteroidal anti-inflammatory drugs is a neutrophil-dependent process. </w:t>
      </w:r>
      <w:r w:rsidRPr="00465221">
        <w:rPr>
          <w:rFonts w:ascii="Book Antiqua" w:eastAsia="宋体" w:hAnsi="Book Antiqua" w:cs="宋体"/>
          <w:i/>
          <w:iCs/>
        </w:rPr>
        <w:t>Am J Physiol</w:t>
      </w:r>
      <w:r w:rsidRPr="00465221">
        <w:rPr>
          <w:rFonts w:ascii="Book Antiqua" w:eastAsia="宋体" w:hAnsi="Book Antiqua" w:cs="宋体"/>
        </w:rPr>
        <w:t> 1990; </w:t>
      </w:r>
      <w:r w:rsidRPr="00465221">
        <w:rPr>
          <w:rFonts w:ascii="Book Antiqua" w:eastAsia="宋体" w:hAnsi="Book Antiqua" w:cs="宋体"/>
          <w:b/>
          <w:bCs/>
        </w:rPr>
        <w:t>259</w:t>
      </w:r>
      <w:r w:rsidRPr="00465221">
        <w:rPr>
          <w:rFonts w:ascii="Book Antiqua" w:eastAsia="宋体" w:hAnsi="Book Antiqua" w:cs="宋体"/>
        </w:rPr>
        <w:t>: G462-G467 [PMID: 2169206]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101 </w:t>
      </w:r>
      <w:r w:rsidRPr="00465221">
        <w:rPr>
          <w:rFonts w:ascii="Book Antiqua" w:eastAsia="宋体" w:hAnsi="Book Antiqua" w:cs="宋体"/>
          <w:b/>
          <w:bCs/>
        </w:rPr>
        <w:t>McCafferty DM</w:t>
      </w:r>
      <w:r w:rsidRPr="00465221">
        <w:rPr>
          <w:rFonts w:ascii="Book Antiqua" w:eastAsia="宋体" w:hAnsi="Book Antiqua" w:cs="宋体"/>
        </w:rPr>
        <w:t>, Granger DN, Wallace JL. Indomethacin-induced gastric injury and leukocyte adherence in arthritic versus healthy rats. </w:t>
      </w:r>
      <w:r w:rsidRPr="00465221">
        <w:rPr>
          <w:rFonts w:ascii="Book Antiqua" w:eastAsia="宋体" w:hAnsi="Book Antiqua" w:cs="宋体"/>
          <w:i/>
          <w:iCs/>
        </w:rPr>
        <w:t>Gastroenterology</w:t>
      </w:r>
      <w:r w:rsidRPr="00465221">
        <w:rPr>
          <w:rFonts w:ascii="Book Antiqua" w:eastAsia="宋体" w:hAnsi="Book Antiqua" w:cs="宋体"/>
        </w:rPr>
        <w:t> 1995; </w:t>
      </w:r>
      <w:r w:rsidRPr="00465221">
        <w:rPr>
          <w:rFonts w:ascii="Book Antiqua" w:eastAsia="宋体" w:hAnsi="Book Antiqua" w:cs="宋体"/>
          <w:b/>
          <w:bCs/>
        </w:rPr>
        <w:t>109</w:t>
      </w:r>
      <w:r w:rsidRPr="00465221">
        <w:rPr>
          <w:rFonts w:ascii="Book Antiqua" w:eastAsia="宋体" w:hAnsi="Book Antiqua" w:cs="宋体"/>
        </w:rPr>
        <w:t>: 1173-1180 [PMID: 7557083 DOI: 10.1016/0016-5085(95)90576-6]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102 </w:t>
      </w:r>
      <w:r w:rsidRPr="00465221">
        <w:rPr>
          <w:rFonts w:ascii="Book Antiqua" w:eastAsia="宋体" w:hAnsi="Book Antiqua" w:cs="宋体"/>
          <w:b/>
          <w:bCs/>
        </w:rPr>
        <w:t>Chmaisse HM</w:t>
      </w:r>
      <w:r w:rsidRPr="00465221">
        <w:rPr>
          <w:rFonts w:ascii="Book Antiqua" w:eastAsia="宋体" w:hAnsi="Book Antiqua" w:cs="宋体"/>
        </w:rPr>
        <w:t>, Antoon JS, Kvietys PR, Grisham MB, Perry MA. Role of leukocytes in indomethacin-induced small bowel injury in the rat. </w:t>
      </w:r>
      <w:r w:rsidRPr="00465221">
        <w:rPr>
          <w:rFonts w:ascii="Book Antiqua" w:eastAsia="宋体" w:hAnsi="Book Antiqua" w:cs="宋体"/>
          <w:i/>
          <w:iCs/>
        </w:rPr>
        <w:t>Am J Physiol</w:t>
      </w:r>
      <w:r w:rsidRPr="00465221">
        <w:rPr>
          <w:rFonts w:ascii="Book Antiqua" w:eastAsia="宋体" w:hAnsi="Book Antiqua" w:cs="宋体"/>
        </w:rPr>
        <w:t> 1994; </w:t>
      </w:r>
      <w:r w:rsidRPr="00465221">
        <w:rPr>
          <w:rFonts w:ascii="Book Antiqua" w:eastAsia="宋体" w:hAnsi="Book Antiqua" w:cs="宋体"/>
          <w:b/>
          <w:bCs/>
        </w:rPr>
        <w:t>266</w:t>
      </w:r>
      <w:r w:rsidRPr="00465221">
        <w:rPr>
          <w:rFonts w:ascii="Book Antiqua" w:eastAsia="宋体" w:hAnsi="Book Antiqua" w:cs="宋体"/>
        </w:rPr>
        <w:t>: G239-G246 [PMID: 8141297]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103 </w:t>
      </w:r>
      <w:r w:rsidRPr="00465221">
        <w:rPr>
          <w:rFonts w:ascii="Book Antiqua" w:eastAsia="宋体" w:hAnsi="Book Antiqua" w:cs="宋体"/>
          <w:b/>
          <w:bCs/>
        </w:rPr>
        <w:t>Konaka A</w:t>
      </w:r>
      <w:r w:rsidRPr="00465221">
        <w:rPr>
          <w:rFonts w:ascii="Book Antiqua" w:eastAsia="宋体" w:hAnsi="Book Antiqua" w:cs="宋体"/>
        </w:rPr>
        <w:t>, Kato S, Tanaka A, Kunikata T, Korolkiewicz R, Takeuchi K. Roles of enterobacteria, nitric oxide and neutrophil in pathogenesis of indomethacin-induced small intestinal lesions in rats. </w:t>
      </w:r>
      <w:r w:rsidRPr="00465221">
        <w:rPr>
          <w:rFonts w:ascii="Book Antiqua" w:eastAsia="宋体" w:hAnsi="Book Antiqua" w:cs="宋体"/>
          <w:i/>
          <w:iCs/>
        </w:rPr>
        <w:t>Pharmacol Res</w:t>
      </w:r>
      <w:r w:rsidRPr="00465221">
        <w:rPr>
          <w:rFonts w:ascii="Book Antiqua" w:eastAsia="宋体" w:hAnsi="Book Antiqua" w:cs="宋体"/>
        </w:rPr>
        <w:t> 1999; </w:t>
      </w:r>
      <w:r w:rsidRPr="00465221">
        <w:rPr>
          <w:rFonts w:ascii="Book Antiqua" w:eastAsia="宋体" w:hAnsi="Book Antiqua" w:cs="宋体"/>
          <w:b/>
          <w:bCs/>
        </w:rPr>
        <w:t>40</w:t>
      </w:r>
      <w:r w:rsidRPr="00465221">
        <w:rPr>
          <w:rFonts w:ascii="Book Antiqua" w:eastAsia="宋体" w:hAnsi="Book Antiqua" w:cs="宋体"/>
        </w:rPr>
        <w:t>: 517-524 [PMID: 10660951 DOI: 10.1006/phrs.1999.0550]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104 </w:t>
      </w:r>
      <w:r w:rsidRPr="00465221">
        <w:rPr>
          <w:rFonts w:ascii="Book Antiqua" w:eastAsia="宋体" w:hAnsi="Book Antiqua" w:cs="宋体"/>
          <w:b/>
          <w:bCs/>
        </w:rPr>
        <w:t>Miura S</w:t>
      </w:r>
      <w:r w:rsidRPr="00465221">
        <w:rPr>
          <w:rFonts w:ascii="Book Antiqua" w:eastAsia="宋体" w:hAnsi="Book Antiqua" w:cs="宋体"/>
        </w:rPr>
        <w:t>, Suematsu M, Tanaka S, Nagata H, Houzawa S, Suzuki M, Kurose I, Serizawa H, Tsuchiya M. Microcirculatory disturbance in indomethacin-induced intestinal ulcer. </w:t>
      </w:r>
      <w:r w:rsidRPr="00465221">
        <w:rPr>
          <w:rFonts w:ascii="Book Antiqua" w:eastAsia="宋体" w:hAnsi="Book Antiqua" w:cs="宋体"/>
          <w:i/>
          <w:iCs/>
        </w:rPr>
        <w:t>Am J Physiol</w:t>
      </w:r>
      <w:r w:rsidRPr="00465221">
        <w:rPr>
          <w:rFonts w:ascii="Book Antiqua" w:eastAsia="宋体" w:hAnsi="Book Antiqua" w:cs="宋体"/>
        </w:rPr>
        <w:t> 1991; </w:t>
      </w:r>
      <w:r w:rsidRPr="00465221">
        <w:rPr>
          <w:rFonts w:ascii="Book Antiqua" w:eastAsia="宋体" w:hAnsi="Book Antiqua" w:cs="宋体"/>
          <w:b/>
          <w:bCs/>
        </w:rPr>
        <w:t>261</w:t>
      </w:r>
      <w:r w:rsidRPr="00465221">
        <w:rPr>
          <w:rFonts w:ascii="Book Antiqua" w:eastAsia="宋体" w:hAnsi="Book Antiqua" w:cs="宋体"/>
        </w:rPr>
        <w:t>: G213-G219 [PMID: 1651657]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105 </w:t>
      </w:r>
      <w:r w:rsidRPr="00465221">
        <w:rPr>
          <w:rFonts w:ascii="Book Antiqua" w:eastAsia="宋体" w:hAnsi="Book Antiqua" w:cs="宋体"/>
          <w:b/>
          <w:bCs/>
        </w:rPr>
        <w:t>Santucci L</w:t>
      </w:r>
      <w:r w:rsidRPr="00465221">
        <w:rPr>
          <w:rFonts w:ascii="Book Antiqua" w:eastAsia="宋体" w:hAnsi="Book Antiqua" w:cs="宋体"/>
        </w:rPr>
        <w:t>, Fiorucci S, Di Matteo FM, Morelli A. Role of tumor necrosis factor alpha release and leukocyte margination in indomethacin-induced gastric injury in rats. </w:t>
      </w:r>
      <w:r w:rsidRPr="00465221">
        <w:rPr>
          <w:rFonts w:ascii="Book Antiqua" w:eastAsia="宋体" w:hAnsi="Book Antiqua" w:cs="宋体"/>
          <w:i/>
          <w:iCs/>
        </w:rPr>
        <w:t>Gastroenterology</w:t>
      </w:r>
      <w:r w:rsidRPr="00465221">
        <w:rPr>
          <w:rFonts w:ascii="Book Antiqua" w:eastAsia="宋体" w:hAnsi="Book Antiqua" w:cs="宋体"/>
        </w:rPr>
        <w:t> 1995; </w:t>
      </w:r>
      <w:r w:rsidRPr="00465221">
        <w:rPr>
          <w:rFonts w:ascii="Book Antiqua" w:eastAsia="宋体" w:hAnsi="Book Antiqua" w:cs="宋体"/>
          <w:b/>
          <w:bCs/>
        </w:rPr>
        <w:t>108</w:t>
      </w:r>
      <w:r w:rsidRPr="00465221">
        <w:rPr>
          <w:rFonts w:ascii="Book Antiqua" w:eastAsia="宋体" w:hAnsi="Book Antiqua" w:cs="宋体"/>
        </w:rPr>
        <w:t>: 393-401 [PMID: 7530670 DOI: 10.1016/0016-5085(95)90065-9]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106 </w:t>
      </w:r>
      <w:r w:rsidRPr="00465221">
        <w:rPr>
          <w:rFonts w:ascii="Book Antiqua" w:eastAsia="宋体" w:hAnsi="Book Antiqua" w:cs="宋体"/>
          <w:b/>
          <w:bCs/>
        </w:rPr>
        <w:t>Reuter BK</w:t>
      </w:r>
      <w:r w:rsidRPr="00465221">
        <w:rPr>
          <w:rFonts w:ascii="Book Antiqua" w:eastAsia="宋体" w:hAnsi="Book Antiqua" w:cs="宋体"/>
        </w:rPr>
        <w:t>, Wallace JL. Phosphodiesterase inhibitors prevent NSAID enteropathy independently of effects on TNF-alpha release. </w:t>
      </w:r>
      <w:r w:rsidRPr="00465221">
        <w:rPr>
          <w:rFonts w:ascii="Book Antiqua" w:eastAsia="宋体" w:hAnsi="Book Antiqua" w:cs="宋体"/>
          <w:i/>
          <w:iCs/>
        </w:rPr>
        <w:t>Am J Physiol</w:t>
      </w:r>
      <w:r w:rsidRPr="00465221">
        <w:rPr>
          <w:rFonts w:ascii="Book Antiqua" w:eastAsia="宋体" w:hAnsi="Book Antiqua" w:cs="宋体"/>
        </w:rPr>
        <w:t> 1999; </w:t>
      </w:r>
      <w:r w:rsidRPr="00465221">
        <w:rPr>
          <w:rFonts w:ascii="Book Antiqua" w:eastAsia="宋体" w:hAnsi="Book Antiqua" w:cs="宋体"/>
          <w:b/>
          <w:bCs/>
        </w:rPr>
        <w:t>277</w:t>
      </w:r>
      <w:r w:rsidRPr="00465221">
        <w:rPr>
          <w:rFonts w:ascii="Book Antiqua" w:eastAsia="宋体" w:hAnsi="Book Antiqua" w:cs="宋体"/>
        </w:rPr>
        <w:t>: G847-G854 [PMID: 10516151]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107 </w:t>
      </w:r>
      <w:r w:rsidRPr="00465221">
        <w:rPr>
          <w:rFonts w:ascii="Book Antiqua" w:eastAsia="宋体" w:hAnsi="Book Antiqua" w:cs="宋体"/>
          <w:b/>
          <w:bCs/>
        </w:rPr>
        <w:t>Bertrand V</w:t>
      </w:r>
      <w:r w:rsidRPr="00465221">
        <w:rPr>
          <w:rFonts w:ascii="Book Antiqua" w:eastAsia="宋体" w:hAnsi="Book Antiqua" w:cs="宋体"/>
        </w:rPr>
        <w:t>, Guimbaud R, Tulliez M, Mauprivez C, Sogni P, Couturier D, Giroud JP, Chaussade S, Chauvelot-Moachon L. Increase in tumor necrosis factor-alpha production linked to the toxicity of indomethacin for the rat small intestine. </w:t>
      </w:r>
      <w:r w:rsidRPr="00465221">
        <w:rPr>
          <w:rFonts w:ascii="Book Antiqua" w:eastAsia="宋体" w:hAnsi="Book Antiqua" w:cs="宋体"/>
          <w:i/>
          <w:iCs/>
        </w:rPr>
        <w:t>Br J Pharmacol</w:t>
      </w:r>
      <w:r w:rsidRPr="00465221">
        <w:rPr>
          <w:rFonts w:ascii="Book Antiqua" w:eastAsia="宋体" w:hAnsi="Book Antiqua" w:cs="宋体"/>
        </w:rPr>
        <w:t> 1998; </w:t>
      </w:r>
      <w:r w:rsidRPr="00465221">
        <w:rPr>
          <w:rFonts w:ascii="Book Antiqua" w:eastAsia="宋体" w:hAnsi="Book Antiqua" w:cs="宋体"/>
          <w:b/>
          <w:bCs/>
        </w:rPr>
        <w:t>124</w:t>
      </w:r>
      <w:r w:rsidRPr="00465221">
        <w:rPr>
          <w:rFonts w:ascii="Book Antiqua" w:eastAsia="宋体" w:hAnsi="Book Antiqua" w:cs="宋体"/>
        </w:rPr>
        <w:t>: 1385-1394 [PMID: 9723949 DOI: 10.1038/sj.bjp.0701968]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108 </w:t>
      </w:r>
      <w:r w:rsidRPr="00465221">
        <w:rPr>
          <w:rFonts w:ascii="Book Antiqua" w:eastAsia="宋体" w:hAnsi="Book Antiqua" w:cs="宋体"/>
          <w:b/>
          <w:bCs/>
        </w:rPr>
        <w:t>Gadelle D</w:t>
      </w:r>
      <w:r w:rsidRPr="00465221">
        <w:rPr>
          <w:rFonts w:ascii="Book Antiqua" w:eastAsia="宋体" w:hAnsi="Book Antiqua" w:cs="宋体"/>
        </w:rPr>
        <w:t>, Raibaud P, Sacquet E. beta-Glucuronidase activities of intestinal bacteria determined both in vitro and in vivo in gnotobiotic rats. </w:t>
      </w:r>
      <w:r w:rsidRPr="00465221">
        <w:rPr>
          <w:rFonts w:ascii="Book Antiqua" w:eastAsia="宋体" w:hAnsi="Book Antiqua" w:cs="宋体"/>
          <w:i/>
          <w:iCs/>
        </w:rPr>
        <w:t>Appl Environ Microbiol</w:t>
      </w:r>
      <w:r w:rsidRPr="00465221">
        <w:rPr>
          <w:rFonts w:ascii="Book Antiqua" w:eastAsia="宋体" w:hAnsi="Book Antiqua" w:cs="宋体"/>
        </w:rPr>
        <w:t> 1985; </w:t>
      </w:r>
      <w:r w:rsidRPr="00465221">
        <w:rPr>
          <w:rFonts w:ascii="Book Antiqua" w:eastAsia="宋体" w:hAnsi="Book Antiqua" w:cs="宋体"/>
          <w:b/>
          <w:bCs/>
        </w:rPr>
        <w:t>49</w:t>
      </w:r>
      <w:r w:rsidRPr="00465221">
        <w:rPr>
          <w:rFonts w:ascii="Book Antiqua" w:eastAsia="宋体" w:hAnsi="Book Antiqua" w:cs="宋体"/>
        </w:rPr>
        <w:t>: 682-685 [PMID: 3994372]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109 </w:t>
      </w:r>
      <w:r w:rsidRPr="00465221">
        <w:rPr>
          <w:rFonts w:ascii="Book Antiqua" w:eastAsia="宋体" w:hAnsi="Book Antiqua" w:cs="宋体"/>
          <w:b/>
          <w:bCs/>
        </w:rPr>
        <w:t>Hayllar J</w:t>
      </w:r>
      <w:r w:rsidRPr="00465221">
        <w:rPr>
          <w:rFonts w:ascii="Book Antiqua" w:eastAsia="宋体" w:hAnsi="Book Antiqua" w:cs="宋体"/>
        </w:rPr>
        <w:t>, Smith T, Macpherson A, Price AB, Gumpel M, Bjarnason I. Nonsteroidal antiinflammatory drug-induced small intestinal inflammation and blood loss. Effects of sulfasalazine and other disease-modifying antirheumatic drugs. </w:t>
      </w:r>
      <w:r w:rsidRPr="00465221">
        <w:rPr>
          <w:rFonts w:ascii="Book Antiqua" w:eastAsia="宋体" w:hAnsi="Book Antiqua" w:cs="宋体"/>
          <w:i/>
          <w:iCs/>
        </w:rPr>
        <w:t>Arthritis Rheum</w:t>
      </w:r>
      <w:r w:rsidRPr="00465221">
        <w:rPr>
          <w:rFonts w:ascii="Book Antiqua" w:eastAsia="宋体" w:hAnsi="Book Antiqua" w:cs="宋体"/>
        </w:rPr>
        <w:t> 1994; </w:t>
      </w:r>
      <w:r w:rsidRPr="00465221">
        <w:rPr>
          <w:rFonts w:ascii="Book Antiqua" w:eastAsia="宋体" w:hAnsi="Book Antiqua" w:cs="宋体"/>
          <w:b/>
          <w:bCs/>
        </w:rPr>
        <w:t>37</w:t>
      </w:r>
      <w:r w:rsidRPr="00465221">
        <w:rPr>
          <w:rFonts w:ascii="Book Antiqua" w:eastAsia="宋体" w:hAnsi="Book Antiqua" w:cs="宋体"/>
        </w:rPr>
        <w:t>: 1146-1150 [PMID: 7914409 DOI: 10.1002/art.1780370806]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110 </w:t>
      </w:r>
      <w:r w:rsidRPr="00465221">
        <w:rPr>
          <w:rFonts w:ascii="Book Antiqua" w:eastAsia="宋体" w:hAnsi="Book Antiqua" w:cs="宋体"/>
          <w:b/>
          <w:bCs/>
        </w:rPr>
        <w:t>Morris AJ</w:t>
      </w:r>
      <w:r w:rsidRPr="00465221">
        <w:rPr>
          <w:rFonts w:ascii="Book Antiqua" w:eastAsia="宋体" w:hAnsi="Book Antiqua" w:cs="宋体"/>
        </w:rPr>
        <w:t>, Murray L, Sturrock RD, Madhok R, Capell HA, Mackenzie JF. Short report: the effect of misoprostol on the anaemia of NSAID enteropathy. </w:t>
      </w:r>
      <w:r w:rsidRPr="00465221">
        <w:rPr>
          <w:rFonts w:ascii="Book Antiqua" w:eastAsia="宋体" w:hAnsi="Book Antiqua" w:cs="宋体"/>
          <w:i/>
          <w:iCs/>
        </w:rPr>
        <w:t>Aliment Pharmacol Ther</w:t>
      </w:r>
      <w:r w:rsidRPr="00465221">
        <w:rPr>
          <w:rFonts w:ascii="Book Antiqua" w:eastAsia="宋体" w:hAnsi="Book Antiqua" w:cs="宋体"/>
        </w:rPr>
        <w:t> 1994; </w:t>
      </w:r>
      <w:r w:rsidRPr="00465221">
        <w:rPr>
          <w:rFonts w:ascii="Book Antiqua" w:eastAsia="宋体" w:hAnsi="Book Antiqua" w:cs="宋体"/>
          <w:b/>
          <w:bCs/>
        </w:rPr>
        <w:t>8</w:t>
      </w:r>
      <w:r w:rsidRPr="00465221">
        <w:rPr>
          <w:rFonts w:ascii="Book Antiqua" w:eastAsia="宋体" w:hAnsi="Book Antiqua" w:cs="宋体"/>
        </w:rPr>
        <w:t>: 343-346 [PMID: 7918931 DOI: 10.1111/j.1365-2036.1994.tb00298.x]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111 </w:t>
      </w:r>
      <w:r w:rsidRPr="00465221">
        <w:rPr>
          <w:rFonts w:ascii="Book Antiqua" w:eastAsia="宋体" w:hAnsi="Book Antiqua" w:cs="宋体"/>
          <w:b/>
          <w:bCs/>
        </w:rPr>
        <w:t>Fujimori S</w:t>
      </w:r>
      <w:r w:rsidRPr="00465221">
        <w:rPr>
          <w:rFonts w:ascii="Book Antiqua" w:eastAsia="宋体" w:hAnsi="Book Antiqua" w:cs="宋体"/>
        </w:rPr>
        <w:t>, Seo T, Gudis K, Ehara A, Kobayashi T, Mitsui K, Yonezawa M, Tanaka S, Tatsuguchi A, Sakamoto C. Prevention of nonsteroidal anti-inflammatory drug-induced small-intestinal injury by prostaglandin: a pilot randomized controlled trial evaluated by capsule endoscopy. </w:t>
      </w:r>
      <w:r w:rsidRPr="00465221">
        <w:rPr>
          <w:rFonts w:ascii="Book Antiqua" w:eastAsia="宋体" w:hAnsi="Book Antiqua" w:cs="宋体"/>
          <w:i/>
          <w:iCs/>
        </w:rPr>
        <w:t>Gastrointest Endosc</w:t>
      </w:r>
      <w:r w:rsidRPr="00465221">
        <w:rPr>
          <w:rFonts w:ascii="Book Antiqua" w:eastAsia="宋体" w:hAnsi="Book Antiqua" w:cs="宋体"/>
        </w:rPr>
        <w:t> 2009; </w:t>
      </w:r>
      <w:r w:rsidRPr="00465221">
        <w:rPr>
          <w:rFonts w:ascii="Book Antiqua" w:eastAsia="宋体" w:hAnsi="Book Antiqua" w:cs="宋体"/>
          <w:b/>
          <w:bCs/>
        </w:rPr>
        <w:t>69</w:t>
      </w:r>
      <w:r w:rsidRPr="00465221">
        <w:rPr>
          <w:rFonts w:ascii="Book Antiqua" w:eastAsia="宋体" w:hAnsi="Book Antiqua" w:cs="宋体"/>
        </w:rPr>
        <w:t>: 1339-1346 [PMID: 19243767 DOI: 10.1016/j.gie.2008.08.017]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112 </w:t>
      </w:r>
      <w:r w:rsidRPr="00465221">
        <w:rPr>
          <w:rFonts w:ascii="Book Antiqua" w:eastAsia="宋体" w:hAnsi="Book Antiqua" w:cs="宋体"/>
          <w:b/>
          <w:bCs/>
        </w:rPr>
        <w:t>Davies GR</w:t>
      </w:r>
      <w:r w:rsidRPr="00465221">
        <w:rPr>
          <w:rFonts w:ascii="Book Antiqua" w:eastAsia="宋体" w:hAnsi="Book Antiqua" w:cs="宋体"/>
        </w:rPr>
        <w:t>, Wilkie ME, Rampton DS. Effects of metronidazole and misoprostol on indomethacin-induced changes in intestinal permeability. </w:t>
      </w:r>
      <w:r w:rsidRPr="00465221">
        <w:rPr>
          <w:rFonts w:ascii="Book Antiqua" w:eastAsia="宋体" w:hAnsi="Book Antiqua" w:cs="宋体"/>
          <w:i/>
          <w:iCs/>
        </w:rPr>
        <w:t>Dig Dis Sci</w:t>
      </w:r>
      <w:r w:rsidRPr="00465221">
        <w:rPr>
          <w:rFonts w:ascii="Book Antiqua" w:eastAsia="宋体" w:hAnsi="Book Antiqua" w:cs="宋体"/>
        </w:rPr>
        <w:t> 1993; </w:t>
      </w:r>
      <w:r w:rsidRPr="00465221">
        <w:rPr>
          <w:rFonts w:ascii="Book Antiqua" w:eastAsia="宋体" w:hAnsi="Book Antiqua" w:cs="宋体"/>
          <w:b/>
          <w:bCs/>
        </w:rPr>
        <w:t>38</w:t>
      </w:r>
      <w:r w:rsidRPr="00465221">
        <w:rPr>
          <w:rFonts w:ascii="Book Antiqua" w:eastAsia="宋体" w:hAnsi="Book Antiqua" w:cs="宋体"/>
        </w:rPr>
        <w:t>: 417-425 [PMID: 8444070 DOI: 10.1007/BF01316493]</w:t>
      </w:r>
    </w:p>
    <w:p w:rsidR="002550C2" w:rsidRPr="00465221" w:rsidRDefault="002550C2" w:rsidP="00B031E3">
      <w:pPr>
        <w:spacing w:line="360" w:lineRule="auto"/>
        <w:jc w:val="both"/>
        <w:rPr>
          <w:rFonts w:ascii="Book Antiqua" w:eastAsia="宋体" w:hAnsi="Book Antiqua" w:cs="宋体"/>
        </w:rPr>
      </w:pPr>
      <w:r>
        <w:rPr>
          <w:rFonts w:ascii="Book Antiqua" w:eastAsia="宋体" w:hAnsi="Book Antiqua" w:cs="宋体"/>
        </w:rPr>
        <w:t xml:space="preserve">113 </w:t>
      </w:r>
      <w:r w:rsidRPr="00465221">
        <w:rPr>
          <w:rFonts w:ascii="Book Antiqua" w:eastAsia="宋体" w:hAnsi="Book Antiqua" w:cs="宋体"/>
          <w:b/>
        </w:rPr>
        <w:t>Jenkins RT,</w:t>
      </w:r>
      <w:r w:rsidRPr="00465221">
        <w:rPr>
          <w:rFonts w:ascii="Book Antiqua" w:eastAsia="宋体" w:hAnsi="Book Antiqua" w:cs="宋体"/>
        </w:rPr>
        <w:t xml:space="preserve"> Rooney PJ, Hunt RH. Increased bowel permeability to 51Cr-EDTA in controls caused by naproxen is not prevented by cytoprotection. Arthritis Rheum 1998; </w:t>
      </w:r>
      <w:r w:rsidRPr="00465221">
        <w:rPr>
          <w:rFonts w:ascii="Book Antiqua" w:eastAsia="宋体" w:hAnsi="Book Antiqua" w:cs="宋体"/>
          <w:b/>
        </w:rPr>
        <w:t>31</w:t>
      </w:r>
      <w:r w:rsidRPr="00465221">
        <w:rPr>
          <w:rFonts w:ascii="Book Antiqua" w:eastAsia="宋体" w:hAnsi="Book Antiqua" w:cs="宋体"/>
        </w:rPr>
        <w:t xml:space="preserve"> (suppl 1): R11 (abstract).</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114 </w:t>
      </w:r>
      <w:r w:rsidRPr="00465221">
        <w:rPr>
          <w:rFonts w:ascii="Book Antiqua" w:eastAsia="宋体" w:hAnsi="Book Antiqua" w:cs="宋体"/>
          <w:b/>
          <w:bCs/>
        </w:rPr>
        <w:t>Bjarnason I</w:t>
      </w:r>
      <w:r w:rsidRPr="00465221">
        <w:rPr>
          <w:rFonts w:ascii="Book Antiqua" w:eastAsia="宋体" w:hAnsi="Book Antiqua" w:cs="宋体"/>
        </w:rPr>
        <w:t>, Smethurst P, Fenn CG, Lee CE, Menzies IS, Levi AJ. Misoprostol reduces indomethacin-induced changes in human small intestinal permeability. </w:t>
      </w:r>
      <w:r w:rsidRPr="00465221">
        <w:rPr>
          <w:rFonts w:ascii="Book Antiqua" w:eastAsia="宋体" w:hAnsi="Book Antiqua" w:cs="宋体"/>
          <w:i/>
          <w:iCs/>
        </w:rPr>
        <w:t>Dig Dis Sci</w:t>
      </w:r>
      <w:r w:rsidRPr="00465221">
        <w:rPr>
          <w:rFonts w:ascii="Book Antiqua" w:eastAsia="宋体" w:hAnsi="Book Antiqua" w:cs="宋体"/>
        </w:rPr>
        <w:t> 1989; </w:t>
      </w:r>
      <w:r w:rsidRPr="00465221">
        <w:rPr>
          <w:rFonts w:ascii="Book Antiqua" w:eastAsia="宋体" w:hAnsi="Book Antiqua" w:cs="宋体"/>
          <w:b/>
          <w:bCs/>
        </w:rPr>
        <w:t>34</w:t>
      </w:r>
      <w:r w:rsidRPr="00465221">
        <w:rPr>
          <w:rFonts w:ascii="Book Antiqua" w:eastAsia="宋体" w:hAnsi="Book Antiqua" w:cs="宋体"/>
        </w:rPr>
        <w:t>: 407-411 [PMID: 2493366 DOI: 10.1007/BF01536263]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115 </w:t>
      </w:r>
      <w:r w:rsidRPr="00465221">
        <w:rPr>
          <w:rFonts w:ascii="Book Antiqua" w:eastAsia="宋体" w:hAnsi="Book Antiqua" w:cs="宋体"/>
          <w:b/>
          <w:bCs/>
        </w:rPr>
        <w:t>Montalto M</w:t>
      </w:r>
      <w:r w:rsidRPr="00465221">
        <w:rPr>
          <w:rFonts w:ascii="Book Antiqua" w:eastAsia="宋体" w:hAnsi="Book Antiqua" w:cs="宋体"/>
        </w:rPr>
        <w:t>, Gallo A, Curigliano V, D'Onofrio F, Santoro L, Covino M, Dalvai S, Gasbarrini A, Gasbarrini G. Clinical trial: the effects of a probiotic mixture on non-steroidal anti-inflammatory drug enteropathy - a randomized, double-blind, cross-over, placebo-controlled study. </w:t>
      </w:r>
      <w:r w:rsidRPr="00465221">
        <w:rPr>
          <w:rFonts w:ascii="Book Antiqua" w:eastAsia="宋体" w:hAnsi="Book Antiqua" w:cs="宋体"/>
          <w:i/>
          <w:iCs/>
        </w:rPr>
        <w:t>Aliment Pharmacol Ther</w:t>
      </w:r>
      <w:r w:rsidRPr="00465221">
        <w:rPr>
          <w:rFonts w:ascii="Book Antiqua" w:eastAsia="宋体" w:hAnsi="Book Antiqua" w:cs="宋体"/>
        </w:rPr>
        <w:t> 2010; </w:t>
      </w:r>
      <w:r w:rsidRPr="00465221">
        <w:rPr>
          <w:rFonts w:ascii="Book Antiqua" w:eastAsia="宋体" w:hAnsi="Book Antiqua" w:cs="宋体"/>
          <w:b/>
          <w:bCs/>
        </w:rPr>
        <w:t>32</w:t>
      </w:r>
      <w:r w:rsidRPr="00465221">
        <w:rPr>
          <w:rFonts w:ascii="Book Antiqua" w:eastAsia="宋体" w:hAnsi="Book Antiqua" w:cs="宋体"/>
        </w:rPr>
        <w:t>: 209-214 [PMID: 20384610 DOI: 10.1111/j.1365-2036.2010.04324.x]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116 </w:t>
      </w:r>
      <w:r w:rsidRPr="00465221">
        <w:rPr>
          <w:rFonts w:ascii="Book Antiqua" w:eastAsia="宋体" w:hAnsi="Book Antiqua" w:cs="宋体"/>
          <w:b/>
          <w:bCs/>
        </w:rPr>
        <w:t>Endo H</w:t>
      </w:r>
      <w:r w:rsidRPr="00465221">
        <w:rPr>
          <w:rFonts w:ascii="Book Antiqua" w:eastAsia="宋体" w:hAnsi="Book Antiqua" w:cs="宋体"/>
        </w:rPr>
        <w:t>, Higurashi T, Hosono K, Sakai E, Sekino Y, Iida H, Sakamoto Y, Koide T, Takahashi H, Yoneda M, Tokoro C, Inamori M, Abe Y, Nakajima A. Efficacy of Lactobacillus casei treatment on small bowel injury in chronic low-dose aspirin users: a pilot randomized controlled study. </w:t>
      </w:r>
      <w:r w:rsidRPr="00465221">
        <w:rPr>
          <w:rFonts w:ascii="Book Antiqua" w:eastAsia="宋体" w:hAnsi="Book Antiqua" w:cs="宋体"/>
          <w:i/>
          <w:iCs/>
        </w:rPr>
        <w:t>J Gastroenterol</w:t>
      </w:r>
      <w:r w:rsidRPr="00465221">
        <w:rPr>
          <w:rFonts w:ascii="Book Antiqua" w:eastAsia="宋体" w:hAnsi="Book Antiqua" w:cs="宋体"/>
        </w:rPr>
        <w:t> 2011; </w:t>
      </w:r>
      <w:r w:rsidRPr="00465221">
        <w:rPr>
          <w:rFonts w:ascii="Book Antiqua" w:eastAsia="宋体" w:hAnsi="Book Antiqua" w:cs="宋体"/>
          <w:b/>
          <w:bCs/>
        </w:rPr>
        <w:t>46</w:t>
      </w:r>
      <w:r w:rsidRPr="00465221">
        <w:rPr>
          <w:rFonts w:ascii="Book Antiqua" w:eastAsia="宋体" w:hAnsi="Book Antiqua" w:cs="宋体"/>
        </w:rPr>
        <w:t>: 894-905 [PMID: 21556830 DOI: 10.1007/s00535-011-0410-1]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117 </w:t>
      </w:r>
      <w:r w:rsidRPr="00465221">
        <w:rPr>
          <w:rFonts w:ascii="Book Antiqua" w:eastAsia="宋体" w:hAnsi="Book Antiqua" w:cs="宋体"/>
          <w:b/>
          <w:bCs/>
        </w:rPr>
        <w:t>Watanabe T</w:t>
      </w:r>
      <w:r w:rsidRPr="00465221">
        <w:rPr>
          <w:rFonts w:ascii="Book Antiqua" w:eastAsia="宋体" w:hAnsi="Book Antiqua" w:cs="宋体"/>
        </w:rPr>
        <w:t>, Nishio H, Tanigawa T, Yamagami H, Okazaki H, Watanabe K, Tominaga K, Fujiwara Y, Oshitani N, Asahara T, Nomoto K, Higuchi K, Takeuchi K, Arakawa T. Probiotic Lactobacillus casei strain Shirota prevents indomethacin-induced small intestinal injury: involvement of lactic acid. </w:t>
      </w:r>
      <w:r w:rsidRPr="00465221">
        <w:rPr>
          <w:rFonts w:ascii="Book Antiqua" w:eastAsia="宋体" w:hAnsi="Book Antiqua" w:cs="宋体"/>
          <w:i/>
          <w:iCs/>
        </w:rPr>
        <w:t>Am J Physiol Gastrointest Liver Physiol</w:t>
      </w:r>
      <w:r w:rsidRPr="00465221">
        <w:rPr>
          <w:rFonts w:ascii="Book Antiqua" w:eastAsia="宋体" w:hAnsi="Book Antiqua" w:cs="宋体"/>
        </w:rPr>
        <w:t> 2009; </w:t>
      </w:r>
      <w:r w:rsidRPr="00465221">
        <w:rPr>
          <w:rFonts w:ascii="Book Antiqua" w:eastAsia="宋体" w:hAnsi="Book Antiqua" w:cs="宋体"/>
          <w:b/>
          <w:bCs/>
        </w:rPr>
        <w:t>297</w:t>
      </w:r>
      <w:r w:rsidRPr="00465221">
        <w:rPr>
          <w:rFonts w:ascii="Book Antiqua" w:eastAsia="宋体" w:hAnsi="Book Antiqua" w:cs="宋体"/>
        </w:rPr>
        <w:t>: G506-G513 [PMID: 19589943 DOI: 10.1152/ajpgi.90553.2008]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118 </w:t>
      </w:r>
      <w:r w:rsidRPr="00465221">
        <w:rPr>
          <w:rFonts w:ascii="Book Antiqua" w:eastAsia="宋体" w:hAnsi="Book Antiqua" w:cs="宋体"/>
          <w:b/>
          <w:bCs/>
        </w:rPr>
        <w:t>Dial EJ</w:t>
      </w:r>
      <w:r w:rsidRPr="00465221">
        <w:rPr>
          <w:rFonts w:ascii="Book Antiqua" w:eastAsia="宋体" w:hAnsi="Book Antiqua" w:cs="宋体"/>
        </w:rPr>
        <w:t>, Dohrman AJ, Romero JJ, Lichtenberger LM. Recombinant human lactoferrin prevents NSAID-induced intestinal bleeding in rodents. </w:t>
      </w:r>
      <w:r w:rsidRPr="00465221">
        <w:rPr>
          <w:rFonts w:ascii="Book Antiqua" w:eastAsia="宋体" w:hAnsi="Book Antiqua" w:cs="宋体"/>
          <w:i/>
          <w:iCs/>
        </w:rPr>
        <w:t>J Pharm Pharmacol</w:t>
      </w:r>
      <w:r w:rsidRPr="00465221">
        <w:rPr>
          <w:rFonts w:ascii="Book Antiqua" w:eastAsia="宋体" w:hAnsi="Book Antiqua" w:cs="宋体"/>
        </w:rPr>
        <w:t> 2005; </w:t>
      </w:r>
      <w:r w:rsidRPr="00465221">
        <w:rPr>
          <w:rFonts w:ascii="Book Antiqua" w:eastAsia="宋体" w:hAnsi="Book Antiqua" w:cs="宋体"/>
          <w:b/>
          <w:bCs/>
        </w:rPr>
        <w:t>57</w:t>
      </w:r>
      <w:r w:rsidRPr="00465221">
        <w:rPr>
          <w:rFonts w:ascii="Book Antiqua" w:eastAsia="宋体" w:hAnsi="Book Antiqua" w:cs="宋体"/>
        </w:rPr>
        <w:t>: 93-99 [PMID: 15651117 DOI: 10.1211/0022357055191]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119 </w:t>
      </w:r>
      <w:r w:rsidRPr="00465221">
        <w:rPr>
          <w:rFonts w:ascii="Book Antiqua" w:eastAsia="宋体" w:hAnsi="Book Antiqua" w:cs="宋体"/>
          <w:b/>
          <w:bCs/>
        </w:rPr>
        <w:t>Liepke C</w:t>
      </w:r>
      <w:r w:rsidRPr="00465221">
        <w:rPr>
          <w:rFonts w:ascii="Book Antiqua" w:eastAsia="宋体" w:hAnsi="Book Antiqua" w:cs="宋体"/>
        </w:rPr>
        <w:t>, Adermann K, Raida M, Mägert HJ, Forssmann WG, Zucht HD. Human milk provides peptides highly stimulating the growth of bifidobacteria. </w:t>
      </w:r>
      <w:r w:rsidRPr="00465221">
        <w:rPr>
          <w:rFonts w:ascii="Book Antiqua" w:eastAsia="宋体" w:hAnsi="Book Antiqua" w:cs="宋体"/>
          <w:i/>
          <w:iCs/>
        </w:rPr>
        <w:t>Eur J Biochem</w:t>
      </w:r>
      <w:r w:rsidRPr="00465221">
        <w:rPr>
          <w:rFonts w:ascii="Book Antiqua" w:eastAsia="宋体" w:hAnsi="Book Antiqua" w:cs="宋体"/>
        </w:rPr>
        <w:t> 2002; </w:t>
      </w:r>
      <w:r w:rsidRPr="00465221">
        <w:rPr>
          <w:rFonts w:ascii="Book Antiqua" w:eastAsia="宋体" w:hAnsi="Book Antiqua" w:cs="宋体"/>
          <w:b/>
          <w:bCs/>
        </w:rPr>
        <w:t>269</w:t>
      </w:r>
      <w:r w:rsidRPr="00465221">
        <w:rPr>
          <w:rFonts w:ascii="Book Antiqua" w:eastAsia="宋体" w:hAnsi="Book Antiqua" w:cs="宋体"/>
        </w:rPr>
        <w:t>: 712-718 [PMID: 11856332 DOI: 10.1046/j.0014-2956.2001.02712.x]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120 </w:t>
      </w:r>
      <w:r w:rsidRPr="00465221">
        <w:rPr>
          <w:rFonts w:ascii="Book Antiqua" w:eastAsia="宋体" w:hAnsi="Book Antiqua" w:cs="宋体"/>
          <w:b/>
          <w:bCs/>
        </w:rPr>
        <w:t>Troost FJ</w:t>
      </w:r>
      <w:r w:rsidRPr="00465221">
        <w:rPr>
          <w:rFonts w:ascii="Book Antiqua" w:eastAsia="宋体" w:hAnsi="Book Antiqua" w:cs="宋体"/>
        </w:rPr>
        <w:t>, Saris WH, Brummer RJ. Recombinant human lactoferrin ingestion attenuates indomethacin-induced enteropathy in vivo in healthy volunteers. </w:t>
      </w:r>
      <w:r w:rsidRPr="00465221">
        <w:rPr>
          <w:rFonts w:ascii="Book Antiqua" w:eastAsia="宋体" w:hAnsi="Book Antiqua" w:cs="宋体"/>
          <w:i/>
          <w:iCs/>
        </w:rPr>
        <w:t>Eur J Clin Nutr</w:t>
      </w:r>
      <w:r w:rsidRPr="00465221">
        <w:rPr>
          <w:rFonts w:ascii="Book Antiqua" w:eastAsia="宋体" w:hAnsi="Book Antiqua" w:cs="宋体"/>
        </w:rPr>
        <w:t> 2003; </w:t>
      </w:r>
      <w:r w:rsidRPr="00465221">
        <w:rPr>
          <w:rFonts w:ascii="Book Antiqua" w:eastAsia="宋体" w:hAnsi="Book Antiqua" w:cs="宋体"/>
          <w:b/>
          <w:bCs/>
        </w:rPr>
        <w:t>57</w:t>
      </w:r>
      <w:r w:rsidRPr="00465221">
        <w:rPr>
          <w:rFonts w:ascii="Book Antiqua" w:eastAsia="宋体" w:hAnsi="Book Antiqua" w:cs="宋体"/>
        </w:rPr>
        <w:t>: 1579-1585 [PMID: 14647223 DOI: 10.1038/sj.ejcn.1601727]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121 </w:t>
      </w:r>
      <w:r w:rsidRPr="00465221">
        <w:rPr>
          <w:rFonts w:ascii="Book Antiqua" w:eastAsia="宋体" w:hAnsi="Book Antiqua" w:cs="宋体"/>
          <w:b/>
          <w:bCs/>
        </w:rPr>
        <w:t>Arakawa T</w:t>
      </w:r>
      <w:r w:rsidRPr="00465221">
        <w:rPr>
          <w:rFonts w:ascii="Book Antiqua" w:eastAsia="宋体" w:hAnsi="Book Antiqua" w:cs="宋体"/>
        </w:rPr>
        <w:t>, Watanabe T, Fukuda T, Yamasaki K, Kobayashi K. Rebamipide, novel prostaglandin-inducer accelerates healing and reduces relapse of acetic acid-induced rat gastric ulcer. Comparison with cimetidine. </w:t>
      </w:r>
      <w:r w:rsidRPr="00465221">
        <w:rPr>
          <w:rFonts w:ascii="Book Antiqua" w:eastAsia="宋体" w:hAnsi="Book Antiqua" w:cs="宋体"/>
          <w:i/>
          <w:iCs/>
        </w:rPr>
        <w:t>Dig Dis Sci</w:t>
      </w:r>
      <w:r w:rsidRPr="00465221">
        <w:rPr>
          <w:rFonts w:ascii="Book Antiqua" w:eastAsia="宋体" w:hAnsi="Book Antiqua" w:cs="宋体"/>
        </w:rPr>
        <w:t> 1995; </w:t>
      </w:r>
      <w:r w:rsidRPr="00465221">
        <w:rPr>
          <w:rFonts w:ascii="Book Antiqua" w:eastAsia="宋体" w:hAnsi="Book Antiqua" w:cs="宋体"/>
          <w:b/>
          <w:bCs/>
        </w:rPr>
        <w:t>40</w:t>
      </w:r>
      <w:r w:rsidRPr="00465221">
        <w:rPr>
          <w:rFonts w:ascii="Book Antiqua" w:eastAsia="宋体" w:hAnsi="Book Antiqua" w:cs="宋体"/>
        </w:rPr>
        <w:t>: 2469-2472 [PMID: 7587834 DOI: 10.1007/BF02063257]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122 </w:t>
      </w:r>
      <w:r w:rsidRPr="00465221">
        <w:rPr>
          <w:rFonts w:ascii="Book Antiqua" w:eastAsia="宋体" w:hAnsi="Book Antiqua" w:cs="宋体"/>
          <w:b/>
          <w:bCs/>
        </w:rPr>
        <w:t>Mizoguchi H</w:t>
      </w:r>
      <w:r w:rsidRPr="00465221">
        <w:rPr>
          <w:rFonts w:ascii="Book Antiqua" w:eastAsia="宋体" w:hAnsi="Book Antiqua" w:cs="宋体"/>
        </w:rPr>
        <w:t>, Ogawa Y, Kanatsu K, Tanaka A, Kato S, Takeuchi K. Protective effect of rebamipide on indomethacin-induced intestinal damage in rats. </w:t>
      </w:r>
      <w:r w:rsidRPr="00465221">
        <w:rPr>
          <w:rFonts w:ascii="Book Antiqua" w:eastAsia="宋体" w:hAnsi="Book Antiqua" w:cs="宋体"/>
          <w:i/>
          <w:iCs/>
        </w:rPr>
        <w:t>J Gastroenterol Hepatol</w:t>
      </w:r>
      <w:r w:rsidRPr="00465221">
        <w:rPr>
          <w:rFonts w:ascii="Book Antiqua" w:eastAsia="宋体" w:hAnsi="Book Antiqua" w:cs="宋体"/>
        </w:rPr>
        <w:t> 2001; </w:t>
      </w:r>
      <w:r w:rsidRPr="00465221">
        <w:rPr>
          <w:rFonts w:ascii="Book Antiqua" w:eastAsia="宋体" w:hAnsi="Book Antiqua" w:cs="宋体"/>
          <w:b/>
          <w:bCs/>
        </w:rPr>
        <w:t>16</w:t>
      </w:r>
      <w:r w:rsidRPr="00465221">
        <w:rPr>
          <w:rFonts w:ascii="Book Antiqua" w:eastAsia="宋体" w:hAnsi="Book Antiqua" w:cs="宋体"/>
        </w:rPr>
        <w:t>: 1112-1119 [PMID: 11686837 DOI: 10.1046/j.1440-1746.2001.02592.x]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123 </w:t>
      </w:r>
      <w:r w:rsidRPr="00465221">
        <w:rPr>
          <w:rFonts w:ascii="Book Antiqua" w:eastAsia="宋体" w:hAnsi="Book Antiqua" w:cs="宋体"/>
          <w:b/>
          <w:bCs/>
        </w:rPr>
        <w:t>Niwa Y</w:t>
      </w:r>
      <w:r w:rsidRPr="00465221">
        <w:rPr>
          <w:rFonts w:ascii="Book Antiqua" w:eastAsia="宋体" w:hAnsi="Book Antiqua" w:cs="宋体"/>
        </w:rPr>
        <w:t>, Nakamura M, Ohmiya N, Maeda O, Ando T, Itoh A, Hirooka Y, Goto H. Efficacy of rebamipide for diclofenac-induced small-intestinal mucosal injuries in healthy subjects: a prospective, randomized, double-blinded, placebo-controlled, cross-over study. </w:t>
      </w:r>
      <w:r w:rsidRPr="00465221">
        <w:rPr>
          <w:rFonts w:ascii="Book Antiqua" w:eastAsia="宋体" w:hAnsi="Book Antiqua" w:cs="宋体"/>
          <w:i/>
          <w:iCs/>
        </w:rPr>
        <w:t>J Gastroenterol</w:t>
      </w:r>
      <w:r w:rsidRPr="00465221">
        <w:rPr>
          <w:rFonts w:ascii="Book Antiqua" w:eastAsia="宋体" w:hAnsi="Book Antiqua" w:cs="宋体"/>
        </w:rPr>
        <w:t> 2008; </w:t>
      </w:r>
      <w:r w:rsidRPr="00465221">
        <w:rPr>
          <w:rFonts w:ascii="Book Antiqua" w:eastAsia="宋体" w:hAnsi="Book Antiqua" w:cs="宋体"/>
          <w:b/>
          <w:bCs/>
        </w:rPr>
        <w:t>43</w:t>
      </w:r>
      <w:r w:rsidRPr="00465221">
        <w:rPr>
          <w:rFonts w:ascii="Book Antiqua" w:eastAsia="宋体" w:hAnsi="Book Antiqua" w:cs="宋体"/>
        </w:rPr>
        <w:t>: 270-276 [PMID: 18458842 DOI: 10.1007/s00535-007-2155-4]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124 </w:t>
      </w:r>
      <w:r w:rsidRPr="00465221">
        <w:rPr>
          <w:rFonts w:ascii="Book Antiqua" w:eastAsia="宋体" w:hAnsi="Book Antiqua" w:cs="宋体"/>
          <w:b/>
          <w:bCs/>
        </w:rPr>
        <w:t>Fujimori S</w:t>
      </w:r>
      <w:r w:rsidRPr="00465221">
        <w:rPr>
          <w:rFonts w:ascii="Book Antiqua" w:eastAsia="宋体" w:hAnsi="Book Antiqua" w:cs="宋体"/>
        </w:rPr>
        <w:t>, Takahashi Y, Gudis K, Seo T, Ehara A, Kobayashi T, Mitsui K, Yonezawa M, Tanaka S, Tatsuguchi A, Sakamoto C. Rebamipide has the potential to reduce the intensity of NSAID-induced small intestinal injury: a double-blind, randomized, controlled trial evaluated by capsule endoscopy. </w:t>
      </w:r>
      <w:r w:rsidRPr="00465221">
        <w:rPr>
          <w:rFonts w:ascii="Book Antiqua" w:eastAsia="宋体" w:hAnsi="Book Antiqua" w:cs="宋体"/>
          <w:i/>
          <w:iCs/>
        </w:rPr>
        <w:t>J Gastroenterol</w:t>
      </w:r>
      <w:r w:rsidRPr="00465221">
        <w:rPr>
          <w:rFonts w:ascii="Book Antiqua" w:eastAsia="宋体" w:hAnsi="Book Antiqua" w:cs="宋体"/>
        </w:rPr>
        <w:t> 2011; </w:t>
      </w:r>
      <w:r w:rsidRPr="00465221">
        <w:rPr>
          <w:rFonts w:ascii="Book Antiqua" w:eastAsia="宋体" w:hAnsi="Book Antiqua" w:cs="宋体"/>
          <w:b/>
          <w:bCs/>
        </w:rPr>
        <w:t>46</w:t>
      </w:r>
      <w:r w:rsidRPr="00465221">
        <w:rPr>
          <w:rFonts w:ascii="Book Antiqua" w:eastAsia="宋体" w:hAnsi="Book Antiqua" w:cs="宋体"/>
        </w:rPr>
        <w:t>: 57-64 [PMID: 20924615 DOI: 10.1007/s00535-010-0332-3]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125 </w:t>
      </w:r>
      <w:r w:rsidRPr="00F03011">
        <w:rPr>
          <w:rFonts w:ascii="Book Antiqua" w:eastAsia="宋体" w:hAnsi="Book Antiqua" w:cs="宋体"/>
          <w:b/>
        </w:rPr>
        <w:t>Yasuda M</w:t>
      </w:r>
      <w:r w:rsidRPr="00465221">
        <w:rPr>
          <w:rFonts w:ascii="Book Antiqua" w:eastAsia="宋体" w:hAnsi="Book Antiqua" w:cs="宋体"/>
        </w:rPr>
        <w:t>, Kawahara R, Hashimura H, Yamanaka N, Iimori M, Amagase K, Kato S, Takeuchi K. Dopamine D</w:t>
      </w:r>
      <w:r w:rsidRPr="00F03011">
        <w:rPr>
          <w:rFonts w:ascii="Book Antiqua" w:eastAsia="宋体" w:hAnsi="Book Antiqua" w:cs="宋体"/>
        </w:rPr>
        <w:t>₂</w:t>
      </w:r>
      <w:r w:rsidRPr="00465221">
        <w:rPr>
          <w:rFonts w:ascii="Book Antiqua" w:eastAsia="宋体" w:hAnsi="Book Antiqua" w:cs="宋体"/>
        </w:rPr>
        <w:t>-receptor antagonists ameliorate indomethacin-induced small intestinal ulceration in mice by activating α7 nicotinic acetylcholine receptors. </w:t>
      </w:r>
      <w:r w:rsidRPr="00465221">
        <w:rPr>
          <w:rFonts w:ascii="Book Antiqua" w:eastAsia="宋体" w:hAnsi="Book Antiqua" w:cs="宋体"/>
          <w:i/>
          <w:iCs/>
        </w:rPr>
        <w:t>J Pharmacol Sci</w:t>
      </w:r>
      <w:r w:rsidRPr="00465221">
        <w:rPr>
          <w:rFonts w:ascii="Book Antiqua" w:eastAsia="宋体" w:hAnsi="Book Antiqua" w:cs="宋体"/>
        </w:rPr>
        <w:t> 2011; </w:t>
      </w:r>
      <w:r w:rsidRPr="00465221">
        <w:rPr>
          <w:rFonts w:ascii="Book Antiqua" w:eastAsia="宋体" w:hAnsi="Book Antiqua" w:cs="宋体"/>
          <w:b/>
          <w:bCs/>
        </w:rPr>
        <w:t>116</w:t>
      </w:r>
      <w:r w:rsidRPr="00465221">
        <w:rPr>
          <w:rFonts w:ascii="Book Antiqua" w:eastAsia="宋体" w:hAnsi="Book Antiqua" w:cs="宋体"/>
        </w:rPr>
        <w:t>: 274-282 [PMID: 21691039 DOI: 10.1254/jphs.11037FP]</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126 </w:t>
      </w:r>
      <w:r w:rsidRPr="00465221">
        <w:rPr>
          <w:rFonts w:ascii="Book Antiqua" w:eastAsia="宋体" w:hAnsi="Book Antiqua" w:cs="宋体"/>
          <w:b/>
          <w:bCs/>
        </w:rPr>
        <w:t>Kawahara R</w:t>
      </w:r>
      <w:r w:rsidRPr="00465221">
        <w:rPr>
          <w:rFonts w:ascii="Book Antiqua" w:eastAsia="宋体" w:hAnsi="Book Antiqua" w:cs="宋体"/>
        </w:rPr>
        <w:t>, Yasuda M, Hashimura H, Amagase K, Kato S, Takeuchi K. Activation of α7 nicotinic acetylcholine receptors ameliorates indomethacin-</w:t>
      </w:r>
      <w:r w:rsidRPr="00465221">
        <w:rPr>
          <w:rFonts w:ascii="Book Antiqua" w:eastAsia="宋体" w:hAnsi="Book Antiqua" w:cs="宋体"/>
        </w:rPr>
        <w:lastRenderedPageBreak/>
        <w:t>induced small intestinal ulceration in mice. </w:t>
      </w:r>
      <w:r w:rsidRPr="00465221">
        <w:rPr>
          <w:rFonts w:ascii="Book Antiqua" w:eastAsia="宋体" w:hAnsi="Book Antiqua" w:cs="宋体"/>
          <w:i/>
          <w:iCs/>
        </w:rPr>
        <w:t>Eur J Pharmacol</w:t>
      </w:r>
      <w:r w:rsidRPr="00465221">
        <w:rPr>
          <w:rFonts w:ascii="Book Antiqua" w:eastAsia="宋体" w:hAnsi="Book Antiqua" w:cs="宋体"/>
        </w:rPr>
        <w:t> 2011; </w:t>
      </w:r>
      <w:r w:rsidRPr="00465221">
        <w:rPr>
          <w:rFonts w:ascii="Book Antiqua" w:eastAsia="宋体" w:hAnsi="Book Antiqua" w:cs="宋体"/>
          <w:b/>
          <w:bCs/>
        </w:rPr>
        <w:t>650</w:t>
      </w:r>
      <w:r w:rsidRPr="00465221">
        <w:rPr>
          <w:rFonts w:ascii="Book Antiqua" w:eastAsia="宋体" w:hAnsi="Book Antiqua" w:cs="宋体"/>
        </w:rPr>
        <w:t>: 411-417 [PMID: 20969854 DOI: 10.1016/j.ejphar.2010.10.031]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127 </w:t>
      </w:r>
      <w:r w:rsidRPr="00465221">
        <w:rPr>
          <w:rFonts w:ascii="Book Antiqua" w:eastAsia="宋体" w:hAnsi="Book Antiqua" w:cs="宋体"/>
          <w:b/>
          <w:bCs/>
        </w:rPr>
        <w:t>Kato S</w:t>
      </w:r>
      <w:r w:rsidRPr="00465221">
        <w:rPr>
          <w:rFonts w:ascii="Book Antiqua" w:eastAsia="宋体" w:hAnsi="Book Antiqua" w:cs="宋体"/>
        </w:rPr>
        <w:t>, Matsuda N, Matsumoto K, Wada M, Onimaru N, Yasuda M, Amagase K, Horie S, Takeuchi K. Dual role of serotonin in the pathogenesis of indomethacin-induced small intestinal ulceration: pro-ulcerogenic action via 5-HT3 receptors and anti-ulcerogenic action via 5-HT4 receptors. </w:t>
      </w:r>
      <w:r w:rsidRPr="00465221">
        <w:rPr>
          <w:rFonts w:ascii="Book Antiqua" w:eastAsia="宋体" w:hAnsi="Book Antiqua" w:cs="宋体"/>
          <w:i/>
          <w:iCs/>
        </w:rPr>
        <w:t>Pharmacol Res</w:t>
      </w:r>
      <w:r w:rsidRPr="00465221">
        <w:rPr>
          <w:rFonts w:ascii="Book Antiqua" w:eastAsia="宋体" w:hAnsi="Book Antiqua" w:cs="宋体"/>
        </w:rPr>
        <w:t> 2012; </w:t>
      </w:r>
      <w:r w:rsidRPr="00465221">
        <w:rPr>
          <w:rFonts w:ascii="Book Antiqua" w:eastAsia="宋体" w:hAnsi="Book Antiqua" w:cs="宋体"/>
          <w:b/>
          <w:bCs/>
        </w:rPr>
        <w:t>66</w:t>
      </w:r>
      <w:r w:rsidRPr="00465221">
        <w:rPr>
          <w:rFonts w:ascii="Book Antiqua" w:eastAsia="宋体" w:hAnsi="Book Antiqua" w:cs="宋体"/>
        </w:rPr>
        <w:t>: 226-234 [PMID: 22699012 DOI: 10.1016/j.phrs.2012.06.002]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128 </w:t>
      </w:r>
      <w:r w:rsidRPr="00465221">
        <w:rPr>
          <w:rFonts w:ascii="Book Antiqua" w:eastAsia="宋体" w:hAnsi="Book Antiqua" w:cs="宋体"/>
          <w:b/>
          <w:bCs/>
        </w:rPr>
        <w:t>Rautio J</w:t>
      </w:r>
      <w:r w:rsidRPr="00465221">
        <w:rPr>
          <w:rFonts w:ascii="Book Antiqua" w:eastAsia="宋体" w:hAnsi="Book Antiqua" w:cs="宋体"/>
        </w:rPr>
        <w:t>, Kumpulainen H, Heimbach T, Oliyai R, Oh D, Järvinen T, Savolainen J. Prodrugs: design and clinical applications. </w:t>
      </w:r>
      <w:r w:rsidRPr="00465221">
        <w:rPr>
          <w:rFonts w:ascii="Book Antiqua" w:eastAsia="宋体" w:hAnsi="Book Antiqua" w:cs="宋体"/>
          <w:i/>
          <w:iCs/>
        </w:rPr>
        <w:t>Nat Rev Drug Discov</w:t>
      </w:r>
      <w:r w:rsidRPr="00465221">
        <w:rPr>
          <w:rFonts w:ascii="Book Antiqua" w:eastAsia="宋体" w:hAnsi="Book Antiqua" w:cs="宋体"/>
        </w:rPr>
        <w:t> 2008; </w:t>
      </w:r>
      <w:r w:rsidRPr="00465221">
        <w:rPr>
          <w:rFonts w:ascii="Book Antiqua" w:eastAsia="宋体" w:hAnsi="Book Antiqua" w:cs="宋体"/>
          <w:b/>
          <w:bCs/>
        </w:rPr>
        <w:t>7</w:t>
      </w:r>
      <w:r w:rsidRPr="00465221">
        <w:rPr>
          <w:rFonts w:ascii="Book Antiqua" w:eastAsia="宋体" w:hAnsi="Book Antiqua" w:cs="宋体"/>
        </w:rPr>
        <w:t>: 255-270 [PMID: 18219308 DOI: 10.1038/nrd2468]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129 </w:t>
      </w:r>
      <w:r w:rsidRPr="00465221">
        <w:rPr>
          <w:rFonts w:ascii="Book Antiqua" w:eastAsia="宋体" w:hAnsi="Book Antiqua" w:cs="宋体"/>
          <w:b/>
          <w:bCs/>
        </w:rPr>
        <w:t>Qandil AM</w:t>
      </w:r>
      <w:r w:rsidRPr="00465221">
        <w:rPr>
          <w:rFonts w:ascii="Book Antiqua" w:eastAsia="宋体" w:hAnsi="Book Antiqua" w:cs="宋体"/>
        </w:rPr>
        <w:t>. Prodrugs of nonsteroidal anti-inflammatory drugs (NSAIDs), more than meets the eye: a critical review. </w:t>
      </w:r>
      <w:r w:rsidRPr="00465221">
        <w:rPr>
          <w:rFonts w:ascii="Book Antiqua" w:eastAsia="宋体" w:hAnsi="Book Antiqua" w:cs="宋体"/>
          <w:i/>
          <w:iCs/>
        </w:rPr>
        <w:t>Int J Mol Sci</w:t>
      </w:r>
      <w:r w:rsidRPr="00465221">
        <w:rPr>
          <w:rFonts w:ascii="Book Antiqua" w:eastAsia="宋体" w:hAnsi="Book Antiqua" w:cs="宋体"/>
        </w:rPr>
        <w:t> 2012; </w:t>
      </w:r>
      <w:r w:rsidRPr="00465221">
        <w:rPr>
          <w:rFonts w:ascii="Book Antiqua" w:eastAsia="宋体" w:hAnsi="Book Antiqua" w:cs="宋体"/>
          <w:b/>
          <w:bCs/>
        </w:rPr>
        <w:t>13</w:t>
      </w:r>
      <w:r w:rsidRPr="00465221">
        <w:rPr>
          <w:rFonts w:ascii="Book Antiqua" w:eastAsia="宋体" w:hAnsi="Book Antiqua" w:cs="宋体"/>
        </w:rPr>
        <w:t>: 17244-17274 [PMID: 23247285 DOI: 10.3390/ijms131217244]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130 </w:t>
      </w:r>
      <w:r w:rsidRPr="00465221">
        <w:rPr>
          <w:rFonts w:ascii="Book Antiqua" w:eastAsia="宋体" w:hAnsi="Book Antiqua" w:cs="宋体"/>
          <w:b/>
          <w:bCs/>
        </w:rPr>
        <w:t>Whittle BJ</w:t>
      </w:r>
      <w:r w:rsidRPr="00465221">
        <w:rPr>
          <w:rFonts w:ascii="Book Antiqua" w:eastAsia="宋体" w:hAnsi="Book Antiqua" w:cs="宋体"/>
        </w:rPr>
        <w:t>, Hansen D, Salmon JA. Gastric ulcer formation and cyclo-oxygenase inhibition in cat antrum follows parenteral administration of aspirin but not salicylate. </w:t>
      </w:r>
      <w:r w:rsidRPr="00465221">
        <w:rPr>
          <w:rFonts w:ascii="Book Antiqua" w:eastAsia="宋体" w:hAnsi="Book Antiqua" w:cs="宋体"/>
          <w:i/>
          <w:iCs/>
        </w:rPr>
        <w:t>Eur J Pharmacol</w:t>
      </w:r>
      <w:r w:rsidRPr="00465221">
        <w:rPr>
          <w:rFonts w:ascii="Book Antiqua" w:eastAsia="宋体" w:hAnsi="Book Antiqua" w:cs="宋体"/>
        </w:rPr>
        <w:t> 1985; </w:t>
      </w:r>
      <w:r w:rsidRPr="00465221">
        <w:rPr>
          <w:rFonts w:ascii="Book Antiqua" w:eastAsia="宋体" w:hAnsi="Book Antiqua" w:cs="宋体"/>
          <w:b/>
          <w:bCs/>
        </w:rPr>
        <w:t>116</w:t>
      </w:r>
      <w:r w:rsidRPr="00465221">
        <w:rPr>
          <w:rFonts w:ascii="Book Antiqua" w:eastAsia="宋体" w:hAnsi="Book Antiqua" w:cs="宋体"/>
        </w:rPr>
        <w:t>: 153-157 [PMID: 3932082 DOI: 10.1016/0014-2999(85)90196-7]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131 </w:t>
      </w:r>
      <w:r w:rsidRPr="00465221">
        <w:rPr>
          <w:rFonts w:ascii="Book Antiqua" w:eastAsia="宋体" w:hAnsi="Book Antiqua" w:cs="宋体"/>
          <w:b/>
          <w:bCs/>
        </w:rPr>
        <w:t>Wallace JL</w:t>
      </w:r>
      <w:r w:rsidRPr="00465221">
        <w:rPr>
          <w:rFonts w:ascii="Book Antiqua" w:eastAsia="宋体" w:hAnsi="Book Antiqua" w:cs="宋体"/>
        </w:rPr>
        <w:t>, McKnight GW. Characterization of a simple animal model for nonsteroidal anti-inflammatory drug induced antral ulcer. </w:t>
      </w:r>
      <w:r w:rsidRPr="00465221">
        <w:rPr>
          <w:rFonts w:ascii="Book Antiqua" w:eastAsia="宋体" w:hAnsi="Book Antiqua" w:cs="宋体"/>
          <w:i/>
          <w:iCs/>
        </w:rPr>
        <w:t>Can J Physiol Pharmacol</w:t>
      </w:r>
      <w:r w:rsidRPr="00465221">
        <w:rPr>
          <w:rFonts w:ascii="Book Antiqua" w:eastAsia="宋体" w:hAnsi="Book Antiqua" w:cs="宋体"/>
        </w:rPr>
        <w:t> 1993; </w:t>
      </w:r>
      <w:r w:rsidRPr="00465221">
        <w:rPr>
          <w:rFonts w:ascii="Book Antiqua" w:eastAsia="宋体" w:hAnsi="Book Antiqua" w:cs="宋体"/>
          <w:b/>
          <w:bCs/>
        </w:rPr>
        <w:t>71</w:t>
      </w:r>
      <w:r w:rsidRPr="00465221">
        <w:rPr>
          <w:rFonts w:ascii="Book Antiqua" w:eastAsia="宋体" w:hAnsi="Book Antiqua" w:cs="宋体"/>
        </w:rPr>
        <w:t>: 447-452 [PMID: 8242479 DOI: 10.1139/y93-066]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132 </w:t>
      </w:r>
      <w:r w:rsidRPr="00465221">
        <w:rPr>
          <w:rFonts w:ascii="Book Antiqua" w:eastAsia="宋体" w:hAnsi="Book Antiqua" w:cs="宋体"/>
          <w:b/>
          <w:bCs/>
        </w:rPr>
        <w:t>Estes LL</w:t>
      </w:r>
      <w:r w:rsidRPr="00465221">
        <w:rPr>
          <w:rFonts w:ascii="Book Antiqua" w:eastAsia="宋体" w:hAnsi="Book Antiqua" w:cs="宋体"/>
        </w:rPr>
        <w:t>, Fuhs DW, Heaton AH, Butwinick CS. Gastric ulcer perforation associated with the use of injectable ketorolac. </w:t>
      </w:r>
      <w:r w:rsidRPr="00465221">
        <w:rPr>
          <w:rFonts w:ascii="Book Antiqua" w:eastAsia="宋体" w:hAnsi="Book Antiqua" w:cs="宋体"/>
          <w:i/>
          <w:iCs/>
        </w:rPr>
        <w:t>Ann Pharmacother</w:t>
      </w:r>
      <w:r w:rsidRPr="00465221">
        <w:rPr>
          <w:rFonts w:ascii="Book Antiqua" w:eastAsia="宋体" w:hAnsi="Book Antiqua" w:cs="宋体"/>
        </w:rPr>
        <w:t> 1993; </w:t>
      </w:r>
      <w:r w:rsidRPr="00465221">
        <w:rPr>
          <w:rFonts w:ascii="Book Antiqua" w:eastAsia="宋体" w:hAnsi="Book Antiqua" w:cs="宋体"/>
          <w:b/>
          <w:bCs/>
        </w:rPr>
        <w:t>27</w:t>
      </w:r>
      <w:r w:rsidRPr="00465221">
        <w:rPr>
          <w:rFonts w:ascii="Book Antiqua" w:eastAsia="宋体" w:hAnsi="Book Antiqua" w:cs="宋体"/>
        </w:rPr>
        <w:t>: 42-43 [PMID: 8431619]</w:t>
      </w:r>
    </w:p>
    <w:p w:rsidR="002550C2" w:rsidRPr="00465221" w:rsidRDefault="002550C2" w:rsidP="00B031E3">
      <w:pPr>
        <w:spacing w:line="360" w:lineRule="auto"/>
        <w:jc w:val="both"/>
        <w:rPr>
          <w:rFonts w:ascii="Book Antiqua" w:eastAsia="宋体" w:hAnsi="Book Antiqua" w:cs="宋体"/>
        </w:rPr>
      </w:pPr>
      <w:r>
        <w:rPr>
          <w:rFonts w:ascii="Book Antiqua" w:eastAsia="宋体" w:hAnsi="Book Antiqua" w:cs="宋体"/>
        </w:rPr>
        <w:t>133</w:t>
      </w:r>
      <w:r w:rsidRPr="00465221">
        <w:rPr>
          <w:rFonts w:ascii="Book Antiqua" w:eastAsia="宋体" w:hAnsi="Book Antiqua" w:cs="宋体"/>
        </w:rPr>
        <w:t xml:space="preserve"> http: //www.logicaltx.com/product-pipeline/nsaid-prodrug.php</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134 </w:t>
      </w:r>
      <w:r w:rsidRPr="00465221">
        <w:rPr>
          <w:rFonts w:ascii="Book Antiqua" w:eastAsia="宋体" w:hAnsi="Book Antiqua" w:cs="宋体"/>
          <w:b/>
          <w:bCs/>
        </w:rPr>
        <w:t>Goldstein JL</w:t>
      </w:r>
      <w:r w:rsidRPr="00465221">
        <w:rPr>
          <w:rFonts w:ascii="Book Antiqua" w:eastAsia="宋体" w:hAnsi="Book Antiqua" w:cs="宋体"/>
        </w:rPr>
        <w:t>, Jungwirthová A, David J, Spindel E, Bouchner L, Pešek F, Searle S, Skopek J, Grim J, Ul</w:t>
      </w:r>
      <w:r w:rsidRPr="00465221">
        <w:rPr>
          <w:rFonts w:ascii="Book Antiqua" w:hAnsi="Book Antiqua" w:cs="MS Mincho"/>
        </w:rPr>
        <w:t>č</w:t>
      </w:r>
      <w:r w:rsidRPr="00465221">
        <w:rPr>
          <w:rFonts w:ascii="Book Antiqua" w:eastAsia="宋体" w:hAnsi="Book Antiqua" w:cs="宋体"/>
        </w:rPr>
        <w:t xml:space="preserve"> I, Sewell KL. Clinical trial: endoscopic evaluation of naproxen etemesil, a naproxen prodrug, vs. naproxen - a proof-of-concept, randomized, double-blind, active-comparator study. </w:t>
      </w:r>
      <w:r w:rsidRPr="00465221">
        <w:rPr>
          <w:rFonts w:ascii="Book Antiqua" w:eastAsia="宋体" w:hAnsi="Book Antiqua" w:cs="宋体"/>
          <w:i/>
          <w:iCs/>
        </w:rPr>
        <w:t>Aliment Pharmacol Ther</w:t>
      </w:r>
      <w:r w:rsidRPr="00465221">
        <w:rPr>
          <w:rFonts w:ascii="Book Antiqua" w:eastAsia="宋体" w:hAnsi="Book Antiqua" w:cs="宋体"/>
        </w:rPr>
        <w:t> 2010; </w:t>
      </w:r>
      <w:r w:rsidRPr="00465221">
        <w:rPr>
          <w:rFonts w:ascii="Book Antiqua" w:eastAsia="宋体" w:hAnsi="Book Antiqua" w:cs="宋体"/>
          <w:b/>
          <w:bCs/>
        </w:rPr>
        <w:t>32</w:t>
      </w:r>
      <w:r w:rsidRPr="00465221">
        <w:rPr>
          <w:rFonts w:ascii="Book Antiqua" w:eastAsia="宋体" w:hAnsi="Book Antiqua" w:cs="宋体"/>
        </w:rPr>
        <w:t>: 1091-1101 [PMID: 20804454 DOI: 10.1111/j.1365-2036.2010.04442.x]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135 </w:t>
      </w:r>
      <w:r w:rsidRPr="00465221">
        <w:rPr>
          <w:rFonts w:ascii="Book Antiqua" w:eastAsia="宋体" w:hAnsi="Book Antiqua" w:cs="宋体"/>
          <w:b/>
          <w:bCs/>
        </w:rPr>
        <w:t>Graham DY</w:t>
      </w:r>
      <w:r w:rsidRPr="00465221">
        <w:rPr>
          <w:rFonts w:ascii="Book Antiqua" w:eastAsia="宋体" w:hAnsi="Book Antiqua" w:cs="宋体"/>
        </w:rPr>
        <w:t>. Endoscopic ulcers are neither meaningful nor validated as a surrogate for clinically significant upper gastrointestinal harm. </w:t>
      </w:r>
      <w:r w:rsidRPr="00465221">
        <w:rPr>
          <w:rFonts w:ascii="Book Antiqua" w:eastAsia="宋体" w:hAnsi="Book Antiqua" w:cs="宋体"/>
          <w:i/>
          <w:iCs/>
        </w:rPr>
        <w:t>Clin Gastroenterol Hepatol</w:t>
      </w:r>
      <w:r w:rsidRPr="00465221">
        <w:rPr>
          <w:rFonts w:ascii="Book Antiqua" w:eastAsia="宋体" w:hAnsi="Book Antiqua" w:cs="宋体"/>
        </w:rPr>
        <w:t> 2009; </w:t>
      </w:r>
      <w:r w:rsidRPr="00465221">
        <w:rPr>
          <w:rFonts w:ascii="Book Antiqua" w:eastAsia="宋体" w:hAnsi="Book Antiqua" w:cs="宋体"/>
          <w:b/>
          <w:bCs/>
        </w:rPr>
        <w:t>7</w:t>
      </w:r>
      <w:r w:rsidRPr="00465221">
        <w:rPr>
          <w:rFonts w:ascii="Book Antiqua" w:eastAsia="宋体" w:hAnsi="Book Antiqua" w:cs="宋体"/>
        </w:rPr>
        <w:t>: 1147-1150 [PMID: 19559818 DOI: 10.1016/j.cgh.2009.06.006]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136 </w:t>
      </w:r>
      <w:r w:rsidRPr="00465221">
        <w:rPr>
          <w:rFonts w:ascii="Book Antiqua" w:eastAsia="宋体" w:hAnsi="Book Antiqua" w:cs="宋体"/>
          <w:b/>
          <w:bCs/>
        </w:rPr>
        <w:t>Lanza FL</w:t>
      </w:r>
      <w:r w:rsidRPr="00465221">
        <w:rPr>
          <w:rFonts w:ascii="Book Antiqua" w:eastAsia="宋体" w:hAnsi="Book Antiqua" w:cs="宋体"/>
        </w:rPr>
        <w:t>. Endoscopic studies of gastric and duodenal injury after the use of ibuprofen, aspirin, and other nonsteroidal anti-inflammatory agents. </w:t>
      </w:r>
      <w:r w:rsidRPr="00465221">
        <w:rPr>
          <w:rFonts w:ascii="Book Antiqua" w:eastAsia="宋体" w:hAnsi="Book Antiqua" w:cs="宋体"/>
          <w:i/>
          <w:iCs/>
        </w:rPr>
        <w:t>Am J Med</w:t>
      </w:r>
      <w:r w:rsidRPr="00465221">
        <w:rPr>
          <w:rFonts w:ascii="Book Antiqua" w:eastAsia="宋体" w:hAnsi="Book Antiqua" w:cs="宋体"/>
        </w:rPr>
        <w:t> 1984; </w:t>
      </w:r>
      <w:r w:rsidRPr="00465221">
        <w:rPr>
          <w:rFonts w:ascii="Book Antiqua" w:eastAsia="宋体" w:hAnsi="Book Antiqua" w:cs="宋体"/>
          <w:b/>
          <w:bCs/>
        </w:rPr>
        <w:t>77</w:t>
      </w:r>
      <w:r w:rsidRPr="00465221">
        <w:rPr>
          <w:rFonts w:ascii="Book Antiqua" w:eastAsia="宋体" w:hAnsi="Book Antiqua" w:cs="宋体"/>
        </w:rPr>
        <w:t>: 19-24 [PMID: 6465160 DOI: 10.1016/S0002-9343(84)80014-5]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137 </w:t>
      </w:r>
      <w:r w:rsidRPr="00465221">
        <w:rPr>
          <w:rFonts w:ascii="Book Antiqua" w:eastAsia="宋体" w:hAnsi="Book Antiqua" w:cs="宋体"/>
          <w:b/>
          <w:bCs/>
        </w:rPr>
        <w:t>Graham DY</w:t>
      </w:r>
      <w:r w:rsidRPr="00465221">
        <w:rPr>
          <w:rFonts w:ascii="Book Antiqua" w:eastAsia="宋体" w:hAnsi="Book Antiqua" w:cs="宋体"/>
        </w:rPr>
        <w:t>, Smith JL, Holmes GI, Davies RO. Nonsteroidal anti-inflammatory effect of sulindac sulfoxide and sulfide on gastric mucosa. </w:t>
      </w:r>
      <w:r w:rsidRPr="00465221">
        <w:rPr>
          <w:rFonts w:ascii="Book Antiqua" w:eastAsia="宋体" w:hAnsi="Book Antiqua" w:cs="宋体"/>
          <w:i/>
          <w:iCs/>
        </w:rPr>
        <w:t>Clin Pharmacol Ther</w:t>
      </w:r>
      <w:r w:rsidRPr="00465221">
        <w:rPr>
          <w:rFonts w:ascii="Book Antiqua" w:eastAsia="宋体" w:hAnsi="Book Antiqua" w:cs="宋体"/>
        </w:rPr>
        <w:t> 1985; </w:t>
      </w:r>
      <w:r w:rsidRPr="00465221">
        <w:rPr>
          <w:rFonts w:ascii="Book Antiqua" w:eastAsia="宋体" w:hAnsi="Book Antiqua" w:cs="宋体"/>
          <w:b/>
          <w:bCs/>
        </w:rPr>
        <w:t>38</w:t>
      </w:r>
      <w:r w:rsidRPr="00465221">
        <w:rPr>
          <w:rFonts w:ascii="Book Antiqua" w:eastAsia="宋体" w:hAnsi="Book Antiqua" w:cs="宋体"/>
        </w:rPr>
        <w:t>: 65-70 [PMID: 3874038 DOI: 10.1038/clpt.1985.136]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138 </w:t>
      </w:r>
      <w:r w:rsidRPr="00465221">
        <w:rPr>
          <w:rFonts w:ascii="Book Antiqua" w:eastAsia="宋体" w:hAnsi="Book Antiqua" w:cs="宋体"/>
          <w:b/>
          <w:bCs/>
        </w:rPr>
        <w:t>Dietzsch HJ</w:t>
      </w:r>
      <w:r w:rsidRPr="00465221">
        <w:rPr>
          <w:rFonts w:ascii="Book Antiqua" w:eastAsia="宋体" w:hAnsi="Book Antiqua" w:cs="宋体"/>
        </w:rPr>
        <w:t>. [Tuberculous meningitis in the child--then and now]. </w:t>
      </w:r>
      <w:r w:rsidRPr="00465221">
        <w:rPr>
          <w:rFonts w:ascii="Book Antiqua" w:eastAsia="宋体" w:hAnsi="Book Antiqua" w:cs="宋体"/>
          <w:i/>
          <w:iCs/>
        </w:rPr>
        <w:t>Z Erkr Atmungsorgane</w:t>
      </w:r>
      <w:r w:rsidRPr="00465221">
        <w:rPr>
          <w:rFonts w:ascii="Book Antiqua" w:eastAsia="宋体" w:hAnsi="Book Antiqua" w:cs="宋体"/>
        </w:rPr>
        <w:t> 1986; </w:t>
      </w:r>
      <w:r w:rsidRPr="00465221">
        <w:rPr>
          <w:rFonts w:ascii="Book Antiqua" w:eastAsia="宋体" w:hAnsi="Book Antiqua" w:cs="宋体"/>
          <w:b/>
          <w:bCs/>
        </w:rPr>
        <w:t>167</w:t>
      </w:r>
      <w:r w:rsidRPr="00465221">
        <w:rPr>
          <w:rFonts w:ascii="Book Antiqua" w:eastAsia="宋体" w:hAnsi="Book Antiqua" w:cs="宋体"/>
        </w:rPr>
        <w:t>: 175-179 [PMID: 3490062 DOI: 10.1001/archinte.1987.00370060050010]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139 </w:t>
      </w:r>
      <w:r w:rsidRPr="00465221">
        <w:rPr>
          <w:rFonts w:ascii="Book Antiqua" w:eastAsia="宋体" w:hAnsi="Book Antiqua" w:cs="宋体"/>
          <w:b/>
          <w:bCs/>
        </w:rPr>
        <w:t>Roth SH</w:t>
      </w:r>
      <w:r w:rsidRPr="00465221">
        <w:rPr>
          <w:rFonts w:ascii="Book Antiqua" w:eastAsia="宋体" w:hAnsi="Book Antiqua" w:cs="宋体"/>
        </w:rPr>
        <w:t>, Tindall EA, Jain AK, McMahon FG, April PA, Bockow BI, Cohen SB, Fleischmann RM. A controlled study comparing the effects of nabumetone, ibuprofen, and ibuprofen plus misoprostol on the upper gastrointestinal tract mucosa. </w:t>
      </w:r>
      <w:r w:rsidRPr="00465221">
        <w:rPr>
          <w:rFonts w:ascii="Book Antiqua" w:eastAsia="宋体" w:hAnsi="Book Antiqua" w:cs="宋体"/>
          <w:i/>
          <w:iCs/>
        </w:rPr>
        <w:t>Arch Intern Med</w:t>
      </w:r>
      <w:r w:rsidRPr="00465221">
        <w:rPr>
          <w:rFonts w:ascii="Book Antiqua" w:eastAsia="宋体" w:hAnsi="Book Antiqua" w:cs="宋体"/>
        </w:rPr>
        <w:t> 1993; </w:t>
      </w:r>
      <w:r w:rsidRPr="00465221">
        <w:rPr>
          <w:rFonts w:ascii="Book Antiqua" w:eastAsia="宋体" w:hAnsi="Book Antiqua" w:cs="宋体"/>
          <w:b/>
          <w:bCs/>
        </w:rPr>
        <w:t>153</w:t>
      </w:r>
      <w:r w:rsidRPr="00465221">
        <w:rPr>
          <w:rFonts w:ascii="Book Antiqua" w:eastAsia="宋体" w:hAnsi="Book Antiqua" w:cs="宋体"/>
        </w:rPr>
        <w:t>: 2565-2571 [PMID: 8239849 DOI: 10.1001/archinte.1993.00410220073008]</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140 </w:t>
      </w:r>
      <w:r w:rsidRPr="00465221">
        <w:rPr>
          <w:rFonts w:ascii="Book Antiqua" w:eastAsia="宋体" w:hAnsi="Book Antiqua" w:cs="宋体"/>
          <w:b/>
          <w:bCs/>
        </w:rPr>
        <w:t>Chan FK</w:t>
      </w:r>
      <w:r w:rsidRPr="00465221">
        <w:rPr>
          <w:rFonts w:ascii="Book Antiqua" w:eastAsia="宋体" w:hAnsi="Book Antiqua" w:cs="宋体"/>
        </w:rPr>
        <w:t>, Sung JJ, Ching JY, Wu JC, Lee YT, Leung WK, Hui Y, Chan LY, Lai AC, Chung SC. Randomized trial of low-dose misoprostol and naproxen vs. nabumetone to prevent recurrent upper gastrointestinal haemorrhage in users of non-steroidal anti-inflammatory drugs. </w:t>
      </w:r>
      <w:r w:rsidRPr="00465221">
        <w:rPr>
          <w:rFonts w:ascii="Book Antiqua" w:eastAsia="宋体" w:hAnsi="Book Antiqua" w:cs="宋体"/>
          <w:i/>
          <w:iCs/>
        </w:rPr>
        <w:t>Aliment Pharmacol Ther</w:t>
      </w:r>
      <w:r w:rsidRPr="00465221">
        <w:rPr>
          <w:rFonts w:ascii="Book Antiqua" w:eastAsia="宋体" w:hAnsi="Book Antiqua" w:cs="宋体"/>
        </w:rPr>
        <w:t> 2001; </w:t>
      </w:r>
      <w:r w:rsidRPr="00465221">
        <w:rPr>
          <w:rFonts w:ascii="Book Antiqua" w:eastAsia="宋体" w:hAnsi="Book Antiqua" w:cs="宋体"/>
          <w:b/>
          <w:bCs/>
        </w:rPr>
        <w:t>15</w:t>
      </w:r>
      <w:r w:rsidRPr="00465221">
        <w:rPr>
          <w:rFonts w:ascii="Book Antiqua" w:eastAsia="宋体" w:hAnsi="Book Antiqua" w:cs="宋体"/>
        </w:rPr>
        <w:t>: 19-24 [PMID: 11136274 DOI: 10.1046/j.1365-2036.2001.00890.x]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141 </w:t>
      </w:r>
      <w:r w:rsidRPr="00465221">
        <w:rPr>
          <w:rFonts w:ascii="Book Antiqua" w:eastAsia="宋体" w:hAnsi="Book Antiqua" w:cs="宋体"/>
          <w:b/>
          <w:bCs/>
        </w:rPr>
        <w:t>Henry D</w:t>
      </w:r>
      <w:r w:rsidRPr="00465221">
        <w:rPr>
          <w:rFonts w:ascii="Book Antiqua" w:eastAsia="宋体" w:hAnsi="Book Antiqua" w:cs="宋体"/>
        </w:rPr>
        <w:t>, Dobson A, Turner C. Variability in the risk of major gastrointestinal complications from nonaspirin nonsteroidal anti-inflammatory drugs. </w:t>
      </w:r>
      <w:r w:rsidRPr="00465221">
        <w:rPr>
          <w:rFonts w:ascii="Book Antiqua" w:eastAsia="宋体" w:hAnsi="Book Antiqua" w:cs="宋体"/>
          <w:i/>
          <w:iCs/>
        </w:rPr>
        <w:t>Gastroenterology</w:t>
      </w:r>
      <w:r w:rsidRPr="00465221">
        <w:rPr>
          <w:rFonts w:ascii="Book Antiqua" w:eastAsia="宋体" w:hAnsi="Book Antiqua" w:cs="宋体"/>
        </w:rPr>
        <w:t> 1993; </w:t>
      </w:r>
      <w:r w:rsidRPr="00465221">
        <w:rPr>
          <w:rFonts w:ascii="Book Antiqua" w:eastAsia="宋体" w:hAnsi="Book Antiqua" w:cs="宋体"/>
          <w:b/>
          <w:bCs/>
        </w:rPr>
        <w:t>105</w:t>
      </w:r>
      <w:r w:rsidRPr="00465221">
        <w:rPr>
          <w:rFonts w:ascii="Book Antiqua" w:eastAsia="宋体" w:hAnsi="Book Antiqua" w:cs="宋体"/>
        </w:rPr>
        <w:t>: 1078-1088 [PMID: 8405852]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142 </w:t>
      </w:r>
      <w:r w:rsidRPr="00465221">
        <w:rPr>
          <w:rFonts w:ascii="Book Antiqua" w:eastAsia="宋体" w:hAnsi="Book Antiqua" w:cs="宋体"/>
          <w:b/>
          <w:bCs/>
        </w:rPr>
        <w:t>Wallace JL</w:t>
      </w:r>
      <w:r w:rsidRPr="00465221">
        <w:rPr>
          <w:rFonts w:ascii="Book Antiqua" w:eastAsia="宋体" w:hAnsi="Book Antiqua" w:cs="宋体"/>
        </w:rPr>
        <w:t>, Ferraz JG. New pharmacologic therapies in gastrointestinal disease. </w:t>
      </w:r>
      <w:r w:rsidRPr="00465221">
        <w:rPr>
          <w:rFonts w:ascii="Book Antiqua" w:eastAsia="宋体" w:hAnsi="Book Antiqua" w:cs="宋体"/>
          <w:i/>
          <w:iCs/>
        </w:rPr>
        <w:t>Gastroenterol Clin North Am</w:t>
      </w:r>
      <w:r w:rsidRPr="00465221">
        <w:rPr>
          <w:rFonts w:ascii="Book Antiqua" w:eastAsia="宋体" w:hAnsi="Book Antiqua" w:cs="宋体"/>
        </w:rPr>
        <w:t> 2010; </w:t>
      </w:r>
      <w:r w:rsidRPr="00465221">
        <w:rPr>
          <w:rFonts w:ascii="Book Antiqua" w:eastAsia="宋体" w:hAnsi="Book Antiqua" w:cs="宋体"/>
          <w:b/>
          <w:bCs/>
        </w:rPr>
        <w:t>39</w:t>
      </w:r>
      <w:r w:rsidRPr="00465221">
        <w:rPr>
          <w:rFonts w:ascii="Book Antiqua" w:eastAsia="宋体" w:hAnsi="Book Antiqua" w:cs="宋体"/>
        </w:rPr>
        <w:t>: 709-720 [PMID: 20951926 DOI: 10.1016/j.gtc.2010.08.020]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143 </w:t>
      </w:r>
      <w:r w:rsidRPr="00465221">
        <w:rPr>
          <w:rFonts w:ascii="Book Antiqua" w:eastAsia="宋体" w:hAnsi="Book Antiqua" w:cs="宋体"/>
          <w:b/>
          <w:bCs/>
        </w:rPr>
        <w:t>Wallace JL</w:t>
      </w:r>
      <w:r w:rsidRPr="00465221">
        <w:rPr>
          <w:rFonts w:ascii="Book Antiqua" w:eastAsia="宋体" w:hAnsi="Book Antiqua" w:cs="宋体"/>
        </w:rPr>
        <w:t>, Del Soldato P. The therapeutic potential of NO-NSAIDs. </w:t>
      </w:r>
      <w:r w:rsidRPr="00465221">
        <w:rPr>
          <w:rFonts w:ascii="Book Antiqua" w:eastAsia="宋体" w:hAnsi="Book Antiqua" w:cs="宋体"/>
          <w:i/>
          <w:iCs/>
        </w:rPr>
        <w:t>Fundam Clin Pharmacol</w:t>
      </w:r>
      <w:r w:rsidRPr="00465221">
        <w:rPr>
          <w:rFonts w:ascii="Book Antiqua" w:eastAsia="宋体" w:hAnsi="Book Antiqua" w:cs="宋体"/>
        </w:rPr>
        <w:t> 2003; </w:t>
      </w:r>
      <w:r w:rsidRPr="00465221">
        <w:rPr>
          <w:rFonts w:ascii="Book Antiqua" w:eastAsia="宋体" w:hAnsi="Book Antiqua" w:cs="宋体"/>
          <w:b/>
          <w:bCs/>
        </w:rPr>
        <w:t>17</w:t>
      </w:r>
      <w:r w:rsidRPr="00465221">
        <w:rPr>
          <w:rFonts w:ascii="Book Antiqua" w:eastAsia="宋体" w:hAnsi="Book Antiqua" w:cs="宋体"/>
        </w:rPr>
        <w:t>: 11-20 [PMID: 12588626 DOI: 10.1046/j.1472-8206.2003.00125.x]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144 </w:t>
      </w:r>
      <w:r w:rsidRPr="00465221">
        <w:rPr>
          <w:rFonts w:ascii="Book Antiqua" w:eastAsia="宋体" w:hAnsi="Book Antiqua" w:cs="宋体"/>
          <w:b/>
          <w:bCs/>
        </w:rPr>
        <w:t>Caliendo G</w:t>
      </w:r>
      <w:r w:rsidRPr="00465221">
        <w:rPr>
          <w:rFonts w:ascii="Book Antiqua" w:eastAsia="宋体" w:hAnsi="Book Antiqua" w:cs="宋体"/>
        </w:rPr>
        <w:t>, Cirino G, Santagada V, Wallace JL. Synthesis and biological effects of hydrogen sulfide (H2S): development of H2S-releasing drugs as pharmaceuticals. </w:t>
      </w:r>
      <w:r w:rsidRPr="00465221">
        <w:rPr>
          <w:rFonts w:ascii="Book Antiqua" w:eastAsia="宋体" w:hAnsi="Book Antiqua" w:cs="宋体"/>
          <w:i/>
          <w:iCs/>
        </w:rPr>
        <w:t>J Med Chem</w:t>
      </w:r>
      <w:r w:rsidRPr="00465221">
        <w:rPr>
          <w:rFonts w:ascii="Book Antiqua" w:eastAsia="宋体" w:hAnsi="Book Antiqua" w:cs="宋体"/>
        </w:rPr>
        <w:t> 2010; </w:t>
      </w:r>
      <w:r w:rsidRPr="00465221">
        <w:rPr>
          <w:rFonts w:ascii="Book Antiqua" w:eastAsia="宋体" w:hAnsi="Book Antiqua" w:cs="宋体"/>
          <w:b/>
          <w:bCs/>
        </w:rPr>
        <w:t>53</w:t>
      </w:r>
      <w:r w:rsidRPr="00465221">
        <w:rPr>
          <w:rFonts w:ascii="Book Antiqua" w:eastAsia="宋体" w:hAnsi="Book Antiqua" w:cs="宋体"/>
        </w:rPr>
        <w:t>: 6275-6286 [PMID: 20462257 DOI: 10.1021/jm901638j]</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145 </w:t>
      </w:r>
      <w:r w:rsidRPr="00465221">
        <w:rPr>
          <w:rFonts w:ascii="Book Antiqua" w:eastAsia="宋体" w:hAnsi="Book Antiqua" w:cs="宋体"/>
          <w:b/>
          <w:bCs/>
        </w:rPr>
        <w:t>Wallace JL</w:t>
      </w:r>
      <w:r w:rsidRPr="00465221">
        <w:rPr>
          <w:rFonts w:ascii="Book Antiqua" w:eastAsia="宋体" w:hAnsi="Book Antiqua" w:cs="宋体"/>
        </w:rPr>
        <w:t>. Hydrogen sulfide-releasing anti-inflammatory drugs. </w:t>
      </w:r>
      <w:r w:rsidRPr="00465221">
        <w:rPr>
          <w:rFonts w:ascii="Book Antiqua" w:eastAsia="宋体" w:hAnsi="Book Antiqua" w:cs="宋体"/>
          <w:i/>
          <w:iCs/>
        </w:rPr>
        <w:t>Trends Pharmacol Sci</w:t>
      </w:r>
      <w:r w:rsidRPr="00465221">
        <w:rPr>
          <w:rFonts w:ascii="Book Antiqua" w:eastAsia="宋体" w:hAnsi="Book Antiqua" w:cs="宋体"/>
        </w:rPr>
        <w:t> 2007; </w:t>
      </w:r>
      <w:r w:rsidRPr="00465221">
        <w:rPr>
          <w:rFonts w:ascii="Book Antiqua" w:eastAsia="宋体" w:hAnsi="Book Antiqua" w:cs="宋体"/>
          <w:b/>
          <w:bCs/>
        </w:rPr>
        <w:t>28</w:t>
      </w:r>
      <w:r w:rsidRPr="00465221">
        <w:rPr>
          <w:rFonts w:ascii="Book Antiqua" w:eastAsia="宋体" w:hAnsi="Book Antiqua" w:cs="宋体"/>
        </w:rPr>
        <w:t>: 501-505 [PMID: 17884186 DOI: 10.1016/j.tips.2007.09.003]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146 </w:t>
      </w:r>
      <w:r w:rsidRPr="00465221">
        <w:rPr>
          <w:rFonts w:ascii="Book Antiqua" w:eastAsia="宋体" w:hAnsi="Book Antiqua" w:cs="宋体"/>
          <w:b/>
          <w:bCs/>
        </w:rPr>
        <w:t>Fiorucci S</w:t>
      </w:r>
      <w:r w:rsidRPr="00465221">
        <w:rPr>
          <w:rFonts w:ascii="Book Antiqua" w:eastAsia="宋体" w:hAnsi="Book Antiqua" w:cs="宋体"/>
        </w:rPr>
        <w:t>, Distrutti E, Cirino G, Wallace JL. The emerging roles of hydrogen sulfide in the gastrointestinal tract and liver. </w:t>
      </w:r>
      <w:r w:rsidRPr="00465221">
        <w:rPr>
          <w:rFonts w:ascii="Book Antiqua" w:eastAsia="宋体" w:hAnsi="Book Antiqua" w:cs="宋体"/>
          <w:i/>
          <w:iCs/>
        </w:rPr>
        <w:t>Gastroenterology</w:t>
      </w:r>
      <w:r w:rsidRPr="00465221">
        <w:rPr>
          <w:rFonts w:ascii="Book Antiqua" w:eastAsia="宋体" w:hAnsi="Book Antiqua" w:cs="宋体"/>
        </w:rPr>
        <w:t> 2006; </w:t>
      </w:r>
      <w:r w:rsidRPr="00465221">
        <w:rPr>
          <w:rFonts w:ascii="Book Antiqua" w:eastAsia="宋体" w:hAnsi="Book Antiqua" w:cs="宋体"/>
          <w:b/>
          <w:bCs/>
        </w:rPr>
        <w:t>131</w:t>
      </w:r>
      <w:r w:rsidRPr="00465221">
        <w:rPr>
          <w:rFonts w:ascii="Book Antiqua" w:eastAsia="宋体" w:hAnsi="Book Antiqua" w:cs="宋体"/>
        </w:rPr>
        <w:t>: 259-271 [PMID: 16831608 DOI: 10.1053/j.gastro.2006.02.033]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147 </w:t>
      </w:r>
      <w:r w:rsidRPr="00465221">
        <w:rPr>
          <w:rFonts w:ascii="Book Antiqua" w:eastAsia="宋体" w:hAnsi="Book Antiqua" w:cs="宋体"/>
          <w:b/>
          <w:bCs/>
        </w:rPr>
        <w:t>Wallace JL</w:t>
      </w:r>
      <w:r w:rsidRPr="00465221">
        <w:rPr>
          <w:rFonts w:ascii="Book Antiqua" w:eastAsia="宋体" w:hAnsi="Book Antiqua" w:cs="宋体"/>
        </w:rPr>
        <w:t>, Miller MJ. Nitric oxide in mucosal defense: a little goes a long way. </w:t>
      </w:r>
      <w:r w:rsidRPr="00465221">
        <w:rPr>
          <w:rFonts w:ascii="Book Antiqua" w:eastAsia="宋体" w:hAnsi="Book Antiqua" w:cs="宋体"/>
          <w:i/>
          <w:iCs/>
        </w:rPr>
        <w:t>Gastroenterology</w:t>
      </w:r>
      <w:r w:rsidRPr="00465221">
        <w:rPr>
          <w:rFonts w:ascii="Book Antiqua" w:eastAsia="宋体" w:hAnsi="Book Antiqua" w:cs="宋体"/>
        </w:rPr>
        <w:t> 2000; </w:t>
      </w:r>
      <w:r w:rsidRPr="00465221">
        <w:rPr>
          <w:rFonts w:ascii="Book Antiqua" w:eastAsia="宋体" w:hAnsi="Book Antiqua" w:cs="宋体"/>
          <w:b/>
          <w:bCs/>
        </w:rPr>
        <w:t>119</w:t>
      </w:r>
      <w:r w:rsidRPr="00465221">
        <w:rPr>
          <w:rFonts w:ascii="Book Antiqua" w:eastAsia="宋体" w:hAnsi="Book Antiqua" w:cs="宋体"/>
        </w:rPr>
        <w:t>: 512-520 [PMID: 10930387 DOI: 10.1053/gast.2000.9304]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148 </w:t>
      </w:r>
      <w:r w:rsidRPr="00465221">
        <w:rPr>
          <w:rFonts w:ascii="Book Antiqua" w:eastAsia="宋体" w:hAnsi="Book Antiqua" w:cs="宋体"/>
          <w:b/>
          <w:bCs/>
        </w:rPr>
        <w:t>Fiorucci S</w:t>
      </w:r>
      <w:r w:rsidRPr="00465221">
        <w:rPr>
          <w:rFonts w:ascii="Book Antiqua" w:eastAsia="宋体" w:hAnsi="Book Antiqua" w:cs="宋体"/>
        </w:rPr>
        <w:t>, Antonelli E, Distrutti E, Rizzo G, Mencarelli A, Orlandi S, Zanardo R, Renga B, Di Sante M, Morelli A, Cirino G, Wallace JL. Inhibition of hydrogen sulfide generation contributes to gastric injury caused by anti-inflammatory nonsteroidal drugs. </w:t>
      </w:r>
      <w:r w:rsidRPr="00465221">
        <w:rPr>
          <w:rFonts w:ascii="Book Antiqua" w:eastAsia="宋体" w:hAnsi="Book Antiqua" w:cs="宋体"/>
          <w:i/>
          <w:iCs/>
        </w:rPr>
        <w:t>Gastroenterology</w:t>
      </w:r>
      <w:r w:rsidRPr="00465221">
        <w:rPr>
          <w:rFonts w:ascii="Book Antiqua" w:eastAsia="宋体" w:hAnsi="Book Antiqua" w:cs="宋体"/>
        </w:rPr>
        <w:t> 2005; </w:t>
      </w:r>
      <w:r w:rsidRPr="00465221">
        <w:rPr>
          <w:rFonts w:ascii="Book Antiqua" w:eastAsia="宋体" w:hAnsi="Book Antiqua" w:cs="宋体"/>
          <w:b/>
          <w:bCs/>
        </w:rPr>
        <w:t>129</w:t>
      </w:r>
      <w:r w:rsidRPr="00465221">
        <w:rPr>
          <w:rFonts w:ascii="Book Antiqua" w:eastAsia="宋体" w:hAnsi="Book Antiqua" w:cs="宋体"/>
        </w:rPr>
        <w:t>: 1210-1224 [PMID: 16230075 DOI: 10.1053/j.gastro.2005.07.060]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149 </w:t>
      </w:r>
      <w:r w:rsidRPr="00465221">
        <w:rPr>
          <w:rFonts w:ascii="Book Antiqua" w:eastAsia="宋体" w:hAnsi="Book Antiqua" w:cs="宋体"/>
          <w:b/>
          <w:bCs/>
        </w:rPr>
        <w:t>Zanardo RC</w:t>
      </w:r>
      <w:r w:rsidRPr="00465221">
        <w:rPr>
          <w:rFonts w:ascii="Book Antiqua" w:eastAsia="宋体" w:hAnsi="Book Antiqua" w:cs="宋体"/>
        </w:rPr>
        <w:t>, Brancaleone V, Distrutti E, Fiorucci S, Cirino G, Wallace JL. Hydrogen sulfide is an endogenous modulator of leukocyte-mediated inflammation. </w:t>
      </w:r>
      <w:r w:rsidRPr="00465221">
        <w:rPr>
          <w:rFonts w:ascii="Book Antiqua" w:eastAsia="宋体" w:hAnsi="Book Antiqua" w:cs="宋体"/>
          <w:i/>
          <w:iCs/>
        </w:rPr>
        <w:t>FASEB J</w:t>
      </w:r>
      <w:r w:rsidRPr="00465221">
        <w:rPr>
          <w:rFonts w:ascii="Book Antiqua" w:eastAsia="宋体" w:hAnsi="Book Antiqua" w:cs="宋体"/>
        </w:rPr>
        <w:t> 2006; </w:t>
      </w:r>
      <w:r w:rsidRPr="00465221">
        <w:rPr>
          <w:rFonts w:ascii="Book Antiqua" w:eastAsia="宋体" w:hAnsi="Book Antiqua" w:cs="宋体"/>
          <w:b/>
          <w:bCs/>
        </w:rPr>
        <w:t>20</w:t>
      </w:r>
      <w:r w:rsidRPr="00465221">
        <w:rPr>
          <w:rFonts w:ascii="Book Antiqua" w:eastAsia="宋体" w:hAnsi="Book Antiqua" w:cs="宋体"/>
        </w:rPr>
        <w:t>: 2118-2120 [PMID: 16912151 DOI: 10.1096/fj.06-6270fje]</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150 </w:t>
      </w:r>
      <w:r w:rsidRPr="00465221">
        <w:rPr>
          <w:rFonts w:ascii="Book Antiqua" w:eastAsia="宋体" w:hAnsi="Book Antiqua" w:cs="宋体"/>
          <w:b/>
          <w:bCs/>
        </w:rPr>
        <w:t>Elliott SN</w:t>
      </w:r>
      <w:r w:rsidRPr="00465221">
        <w:rPr>
          <w:rFonts w:ascii="Book Antiqua" w:eastAsia="宋体" w:hAnsi="Book Antiqua" w:cs="宋体"/>
        </w:rPr>
        <w:t>, McKnight W, Cirino G, Wallace JL. A nitric oxide-releasing nonsteroidal anti-inflammatory drug accelerates gastric ulcer healing in rats. </w:t>
      </w:r>
      <w:r w:rsidRPr="00465221">
        <w:rPr>
          <w:rFonts w:ascii="Book Antiqua" w:eastAsia="宋体" w:hAnsi="Book Antiqua" w:cs="宋体"/>
          <w:i/>
          <w:iCs/>
        </w:rPr>
        <w:t>Gastroenterology</w:t>
      </w:r>
      <w:r w:rsidRPr="00465221">
        <w:rPr>
          <w:rFonts w:ascii="Book Antiqua" w:eastAsia="宋体" w:hAnsi="Book Antiqua" w:cs="宋体"/>
        </w:rPr>
        <w:t> 1995; </w:t>
      </w:r>
      <w:r w:rsidRPr="00465221">
        <w:rPr>
          <w:rFonts w:ascii="Book Antiqua" w:eastAsia="宋体" w:hAnsi="Book Antiqua" w:cs="宋体"/>
          <w:b/>
          <w:bCs/>
        </w:rPr>
        <w:t>109</w:t>
      </w:r>
      <w:r w:rsidRPr="00465221">
        <w:rPr>
          <w:rFonts w:ascii="Book Antiqua" w:eastAsia="宋体" w:hAnsi="Book Antiqua" w:cs="宋体"/>
        </w:rPr>
        <w:t>: 524-530 [PMID: 7615202 DOI: 10.1016/0016-5085(95)90341-0]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151 </w:t>
      </w:r>
      <w:r w:rsidRPr="00465221">
        <w:rPr>
          <w:rFonts w:ascii="Book Antiqua" w:eastAsia="宋体" w:hAnsi="Book Antiqua" w:cs="宋体"/>
          <w:b/>
          <w:bCs/>
        </w:rPr>
        <w:t>Wallace JL</w:t>
      </w:r>
      <w:r w:rsidRPr="00465221">
        <w:rPr>
          <w:rFonts w:ascii="Book Antiqua" w:eastAsia="宋体" w:hAnsi="Book Antiqua" w:cs="宋体"/>
        </w:rPr>
        <w:t>. Physiological and pathophysiological roles of hydrogen sulfide in the gastrointestinal tract. </w:t>
      </w:r>
      <w:r w:rsidRPr="00465221">
        <w:rPr>
          <w:rFonts w:ascii="Book Antiqua" w:eastAsia="宋体" w:hAnsi="Book Antiqua" w:cs="宋体"/>
          <w:i/>
          <w:iCs/>
        </w:rPr>
        <w:t>Antioxid Redox Signal</w:t>
      </w:r>
      <w:r w:rsidRPr="00465221">
        <w:rPr>
          <w:rFonts w:ascii="Book Antiqua" w:eastAsia="宋体" w:hAnsi="Book Antiqua" w:cs="宋体"/>
        </w:rPr>
        <w:t> 2010; </w:t>
      </w:r>
      <w:r w:rsidRPr="00465221">
        <w:rPr>
          <w:rFonts w:ascii="Book Antiqua" w:eastAsia="宋体" w:hAnsi="Book Antiqua" w:cs="宋体"/>
          <w:b/>
          <w:bCs/>
        </w:rPr>
        <w:t>12</w:t>
      </w:r>
      <w:r w:rsidRPr="00465221">
        <w:rPr>
          <w:rFonts w:ascii="Book Antiqua" w:eastAsia="宋体" w:hAnsi="Book Antiqua" w:cs="宋体"/>
        </w:rPr>
        <w:t>: 1125-1133 [PMID: 19769457 DOI: 10.1089/ars.2009.2900]</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152 </w:t>
      </w:r>
      <w:r w:rsidRPr="00465221">
        <w:rPr>
          <w:rFonts w:ascii="Book Antiqua" w:eastAsia="宋体" w:hAnsi="Book Antiqua" w:cs="宋体"/>
          <w:b/>
          <w:bCs/>
        </w:rPr>
        <w:t>Wallace JL</w:t>
      </w:r>
      <w:r w:rsidRPr="00465221">
        <w:rPr>
          <w:rFonts w:ascii="Book Antiqua" w:eastAsia="宋体" w:hAnsi="Book Antiqua" w:cs="宋体"/>
        </w:rPr>
        <w:t>, Ignarro LJ, Fiorucci S. Potential cardioprotective actions of no-releasing aspirin. </w:t>
      </w:r>
      <w:r w:rsidRPr="00465221">
        <w:rPr>
          <w:rFonts w:ascii="Book Antiqua" w:eastAsia="宋体" w:hAnsi="Book Antiqua" w:cs="宋体"/>
          <w:i/>
          <w:iCs/>
        </w:rPr>
        <w:t>Nat Rev Drug Discov</w:t>
      </w:r>
      <w:r w:rsidRPr="00465221">
        <w:rPr>
          <w:rFonts w:ascii="Book Antiqua" w:eastAsia="宋体" w:hAnsi="Book Antiqua" w:cs="宋体"/>
        </w:rPr>
        <w:t> 2002; </w:t>
      </w:r>
      <w:r w:rsidRPr="00465221">
        <w:rPr>
          <w:rFonts w:ascii="Book Antiqua" w:eastAsia="宋体" w:hAnsi="Book Antiqua" w:cs="宋体"/>
          <w:b/>
          <w:bCs/>
        </w:rPr>
        <w:t>1</w:t>
      </w:r>
      <w:r w:rsidRPr="00465221">
        <w:rPr>
          <w:rFonts w:ascii="Book Antiqua" w:eastAsia="宋体" w:hAnsi="Book Antiqua" w:cs="宋体"/>
        </w:rPr>
        <w:t>: 375-382 [PMID: 12120413 DOI: 10.1038/nrd794]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153 </w:t>
      </w:r>
      <w:r w:rsidRPr="00465221">
        <w:rPr>
          <w:rFonts w:ascii="Book Antiqua" w:eastAsia="宋体" w:hAnsi="Book Antiqua" w:cs="宋体"/>
          <w:b/>
          <w:bCs/>
        </w:rPr>
        <w:t>Konturek SJ</w:t>
      </w:r>
      <w:r w:rsidRPr="00465221">
        <w:rPr>
          <w:rFonts w:ascii="Book Antiqua" w:eastAsia="宋体" w:hAnsi="Book Antiqua" w:cs="宋体"/>
        </w:rPr>
        <w:t>, Brzozowski T, Majka J, Pytko-Polonczyk J, Stachura J. Inhibition of nitric oxide synthase delays healing of chronic gastric ulcers. </w:t>
      </w:r>
      <w:r w:rsidRPr="00465221">
        <w:rPr>
          <w:rFonts w:ascii="Book Antiqua" w:eastAsia="宋体" w:hAnsi="Book Antiqua" w:cs="宋体"/>
          <w:i/>
          <w:iCs/>
        </w:rPr>
        <w:t>Eur J Pharmacol</w:t>
      </w:r>
      <w:r w:rsidRPr="00465221">
        <w:rPr>
          <w:rFonts w:ascii="Book Antiqua" w:eastAsia="宋体" w:hAnsi="Book Antiqua" w:cs="宋体"/>
        </w:rPr>
        <w:t> 1993; </w:t>
      </w:r>
      <w:r w:rsidRPr="00465221">
        <w:rPr>
          <w:rFonts w:ascii="Book Antiqua" w:eastAsia="宋体" w:hAnsi="Book Antiqua" w:cs="宋体"/>
          <w:b/>
          <w:bCs/>
        </w:rPr>
        <w:t>239</w:t>
      </w:r>
      <w:r w:rsidRPr="00465221">
        <w:rPr>
          <w:rFonts w:ascii="Book Antiqua" w:eastAsia="宋体" w:hAnsi="Book Antiqua" w:cs="宋体"/>
        </w:rPr>
        <w:t>: 215-217 [PMID: 7693490 DOI: 10.1016/0014-2999(93)90997-V]</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154 </w:t>
      </w:r>
      <w:r w:rsidRPr="00465221">
        <w:rPr>
          <w:rFonts w:ascii="Book Antiqua" w:eastAsia="宋体" w:hAnsi="Book Antiqua" w:cs="宋体"/>
          <w:b/>
          <w:bCs/>
        </w:rPr>
        <w:t>Ma L</w:t>
      </w:r>
      <w:r w:rsidRPr="00465221">
        <w:rPr>
          <w:rFonts w:ascii="Book Antiqua" w:eastAsia="宋体" w:hAnsi="Book Antiqua" w:cs="宋体"/>
        </w:rPr>
        <w:t>, Wallace JL. Endothelial nitric oxide synthase modulates gastric ulcer healing in rats. </w:t>
      </w:r>
      <w:r w:rsidRPr="00465221">
        <w:rPr>
          <w:rFonts w:ascii="Book Antiqua" w:eastAsia="宋体" w:hAnsi="Book Antiqua" w:cs="宋体"/>
          <w:i/>
          <w:iCs/>
        </w:rPr>
        <w:t>Am J Physiol Gastrointest Liver Physiol</w:t>
      </w:r>
      <w:r w:rsidRPr="00465221">
        <w:rPr>
          <w:rFonts w:ascii="Book Antiqua" w:eastAsia="宋体" w:hAnsi="Book Antiqua" w:cs="宋体"/>
        </w:rPr>
        <w:t> 2000; </w:t>
      </w:r>
      <w:r w:rsidRPr="00465221">
        <w:rPr>
          <w:rFonts w:ascii="Book Antiqua" w:eastAsia="宋体" w:hAnsi="Book Antiqua" w:cs="宋体"/>
          <w:b/>
          <w:bCs/>
        </w:rPr>
        <w:t>279</w:t>
      </w:r>
      <w:r w:rsidRPr="00465221">
        <w:rPr>
          <w:rFonts w:ascii="Book Antiqua" w:eastAsia="宋体" w:hAnsi="Book Antiqua" w:cs="宋体"/>
        </w:rPr>
        <w:t>: G341-G346 [PMID: 10915643]</w:t>
      </w:r>
      <w:bookmarkStart w:id="14" w:name="_GoBack"/>
      <w:bookmarkEnd w:id="14"/>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155 </w:t>
      </w:r>
      <w:r w:rsidRPr="00465221">
        <w:rPr>
          <w:rFonts w:ascii="Book Antiqua" w:eastAsia="宋体" w:hAnsi="Book Antiqua" w:cs="宋体"/>
          <w:b/>
          <w:bCs/>
        </w:rPr>
        <w:t>Wallace JL</w:t>
      </w:r>
      <w:r w:rsidRPr="00465221">
        <w:rPr>
          <w:rFonts w:ascii="Book Antiqua" w:eastAsia="宋体" w:hAnsi="Book Antiqua" w:cs="宋体"/>
        </w:rPr>
        <w:t>, Caliendo G, Santagada V, Cirino G, Fiorucci S. Gastrointestinal safety and anti-inflammatory effects of a hydrogen sulfide-releasing diclofenac derivative in the rat. </w:t>
      </w:r>
      <w:r w:rsidRPr="00465221">
        <w:rPr>
          <w:rFonts w:ascii="Book Antiqua" w:eastAsia="宋体" w:hAnsi="Book Antiqua" w:cs="宋体"/>
          <w:i/>
          <w:iCs/>
        </w:rPr>
        <w:t>Gastroenterology</w:t>
      </w:r>
      <w:r w:rsidRPr="00465221">
        <w:rPr>
          <w:rFonts w:ascii="Book Antiqua" w:eastAsia="宋体" w:hAnsi="Book Antiqua" w:cs="宋体"/>
        </w:rPr>
        <w:t> 2007; </w:t>
      </w:r>
      <w:r w:rsidRPr="00465221">
        <w:rPr>
          <w:rFonts w:ascii="Book Antiqua" w:eastAsia="宋体" w:hAnsi="Book Antiqua" w:cs="宋体"/>
          <w:b/>
          <w:bCs/>
        </w:rPr>
        <w:t>132</w:t>
      </w:r>
      <w:r w:rsidRPr="00465221">
        <w:rPr>
          <w:rFonts w:ascii="Book Antiqua" w:eastAsia="宋体" w:hAnsi="Book Antiqua" w:cs="宋体"/>
        </w:rPr>
        <w:t>: 261-271 [PMID: 17241876 DOI: 10.1053/j.gastro.2006.11.042]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156 </w:t>
      </w:r>
      <w:r w:rsidRPr="00465221">
        <w:rPr>
          <w:rFonts w:ascii="Book Antiqua" w:eastAsia="宋体" w:hAnsi="Book Antiqua" w:cs="宋体"/>
          <w:b/>
          <w:bCs/>
        </w:rPr>
        <w:t>Whittle BJ</w:t>
      </w:r>
      <w:r w:rsidRPr="00465221">
        <w:rPr>
          <w:rFonts w:ascii="Book Antiqua" w:eastAsia="宋体" w:hAnsi="Book Antiqua" w:cs="宋体"/>
        </w:rPr>
        <w:t>, Lopez-Belmonte J, Moncada S. Regulation of gastric mucosal integrity by endogenous nitric oxide: interactions with prostanoids and sensory neuropeptides in the rat. </w:t>
      </w:r>
      <w:r w:rsidRPr="00465221">
        <w:rPr>
          <w:rFonts w:ascii="Book Antiqua" w:eastAsia="宋体" w:hAnsi="Book Antiqua" w:cs="宋体"/>
          <w:i/>
          <w:iCs/>
        </w:rPr>
        <w:t>Br J Pharmacol</w:t>
      </w:r>
      <w:r w:rsidRPr="00465221">
        <w:rPr>
          <w:rFonts w:ascii="Book Antiqua" w:eastAsia="宋体" w:hAnsi="Book Antiqua" w:cs="宋体"/>
        </w:rPr>
        <w:t> 1990; </w:t>
      </w:r>
      <w:r w:rsidRPr="00465221">
        <w:rPr>
          <w:rFonts w:ascii="Book Antiqua" w:eastAsia="宋体" w:hAnsi="Book Antiqua" w:cs="宋体"/>
          <w:b/>
          <w:bCs/>
        </w:rPr>
        <w:t>99</w:t>
      </w:r>
      <w:r w:rsidRPr="00465221">
        <w:rPr>
          <w:rFonts w:ascii="Book Antiqua" w:eastAsia="宋体" w:hAnsi="Book Antiqua" w:cs="宋体"/>
        </w:rPr>
        <w:t>: 607-611 [PMID: 2110019 DOI: 10.1111/j.1476-5381.1990.tb12977.x]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157 </w:t>
      </w:r>
      <w:r w:rsidRPr="00465221">
        <w:rPr>
          <w:rFonts w:ascii="Book Antiqua" w:eastAsia="宋体" w:hAnsi="Book Antiqua" w:cs="宋体"/>
          <w:b/>
          <w:bCs/>
        </w:rPr>
        <w:t>MacNaughton WK</w:t>
      </w:r>
      <w:r w:rsidRPr="00465221">
        <w:rPr>
          <w:rFonts w:ascii="Book Antiqua" w:eastAsia="宋体" w:hAnsi="Book Antiqua" w:cs="宋体"/>
        </w:rPr>
        <w:t>, Cirino G, Wallace JL. Endothelium-derived relaxing factor (nitric oxide) has protective actions in the stomach. </w:t>
      </w:r>
      <w:r w:rsidRPr="00465221">
        <w:rPr>
          <w:rFonts w:ascii="Book Antiqua" w:eastAsia="宋体" w:hAnsi="Book Antiqua" w:cs="宋体"/>
          <w:i/>
          <w:iCs/>
        </w:rPr>
        <w:t>Life Sci</w:t>
      </w:r>
      <w:r w:rsidRPr="00465221">
        <w:rPr>
          <w:rFonts w:ascii="Book Antiqua" w:eastAsia="宋体" w:hAnsi="Book Antiqua" w:cs="宋体"/>
        </w:rPr>
        <w:t> 1989; </w:t>
      </w:r>
      <w:r w:rsidRPr="00465221">
        <w:rPr>
          <w:rFonts w:ascii="Book Antiqua" w:eastAsia="宋体" w:hAnsi="Book Antiqua" w:cs="宋体"/>
          <w:b/>
          <w:bCs/>
        </w:rPr>
        <w:t>45</w:t>
      </w:r>
      <w:r w:rsidRPr="00465221">
        <w:rPr>
          <w:rFonts w:ascii="Book Antiqua" w:eastAsia="宋体" w:hAnsi="Book Antiqua" w:cs="宋体"/>
        </w:rPr>
        <w:t>: 1869-1876 [PMID: 2513461 DOI: 10.1016/0024-3205(89)90540-7]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158 </w:t>
      </w:r>
      <w:r w:rsidRPr="00465221">
        <w:rPr>
          <w:rFonts w:ascii="Book Antiqua" w:eastAsia="宋体" w:hAnsi="Book Antiqua" w:cs="宋体"/>
          <w:b/>
          <w:bCs/>
        </w:rPr>
        <w:t>Wallace JL</w:t>
      </w:r>
      <w:r w:rsidRPr="00465221">
        <w:rPr>
          <w:rFonts w:ascii="Book Antiqua" w:eastAsia="宋体" w:hAnsi="Book Antiqua" w:cs="宋体"/>
        </w:rPr>
        <w:t>, Dicay M, McKnight W, Martin GR. Hydrogen sulfide enhances ulcer healing in rats. </w:t>
      </w:r>
      <w:r w:rsidRPr="00465221">
        <w:rPr>
          <w:rFonts w:ascii="Book Antiqua" w:eastAsia="宋体" w:hAnsi="Book Antiqua" w:cs="宋体"/>
          <w:i/>
          <w:iCs/>
        </w:rPr>
        <w:t>FASEB J</w:t>
      </w:r>
      <w:r w:rsidRPr="00465221">
        <w:rPr>
          <w:rFonts w:ascii="Book Antiqua" w:eastAsia="宋体" w:hAnsi="Book Antiqua" w:cs="宋体"/>
        </w:rPr>
        <w:t> 2007; </w:t>
      </w:r>
      <w:r w:rsidRPr="00465221">
        <w:rPr>
          <w:rFonts w:ascii="Book Antiqua" w:eastAsia="宋体" w:hAnsi="Book Antiqua" w:cs="宋体"/>
          <w:b/>
          <w:bCs/>
        </w:rPr>
        <w:t>21</w:t>
      </w:r>
      <w:r w:rsidRPr="00465221">
        <w:rPr>
          <w:rFonts w:ascii="Book Antiqua" w:eastAsia="宋体" w:hAnsi="Book Antiqua" w:cs="宋体"/>
        </w:rPr>
        <w:t>: 4070-4076 [PMID: 17634391 DOI: 10.1096/fj.07-8669com]</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159 </w:t>
      </w:r>
      <w:r w:rsidRPr="00465221">
        <w:rPr>
          <w:rFonts w:ascii="Book Antiqua" w:eastAsia="宋体" w:hAnsi="Book Antiqua" w:cs="宋体"/>
          <w:b/>
          <w:bCs/>
        </w:rPr>
        <w:t>Reuter BK</w:t>
      </w:r>
      <w:r w:rsidRPr="00465221">
        <w:rPr>
          <w:rFonts w:ascii="Book Antiqua" w:eastAsia="宋体" w:hAnsi="Book Antiqua" w:cs="宋体"/>
        </w:rPr>
        <w:t>, Cirino G, Wallace JL. Markedly reduced intestinal toxicity of a diclofenac derivative. </w:t>
      </w:r>
      <w:r w:rsidRPr="00465221">
        <w:rPr>
          <w:rFonts w:ascii="Book Antiqua" w:eastAsia="宋体" w:hAnsi="Book Antiqua" w:cs="宋体"/>
          <w:i/>
          <w:iCs/>
        </w:rPr>
        <w:t>Life Sci</w:t>
      </w:r>
      <w:r w:rsidRPr="00465221">
        <w:rPr>
          <w:rFonts w:ascii="Book Antiqua" w:eastAsia="宋体" w:hAnsi="Book Antiqua" w:cs="宋体"/>
        </w:rPr>
        <w:t> 1994; </w:t>
      </w:r>
      <w:r w:rsidRPr="00465221">
        <w:rPr>
          <w:rFonts w:ascii="Book Antiqua" w:eastAsia="宋体" w:hAnsi="Book Antiqua" w:cs="宋体"/>
          <w:b/>
          <w:bCs/>
        </w:rPr>
        <w:t>55</w:t>
      </w:r>
      <w:r w:rsidRPr="00465221">
        <w:rPr>
          <w:rFonts w:ascii="Book Antiqua" w:eastAsia="宋体" w:hAnsi="Book Antiqua" w:cs="宋体"/>
        </w:rPr>
        <w:t>: PL1-PL8 [PMID: 8015340 DOI: 10.1016/0024-3205(94)90083-3]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160 </w:t>
      </w:r>
      <w:r w:rsidRPr="00465221">
        <w:rPr>
          <w:rFonts w:ascii="Book Antiqua" w:eastAsia="宋体" w:hAnsi="Book Antiqua" w:cs="宋体"/>
          <w:b/>
          <w:bCs/>
        </w:rPr>
        <w:t>Davies NM</w:t>
      </w:r>
      <w:r w:rsidRPr="00465221">
        <w:rPr>
          <w:rFonts w:ascii="Book Antiqua" w:eastAsia="宋体" w:hAnsi="Book Antiqua" w:cs="宋体"/>
        </w:rPr>
        <w:t>, Røseth AG, Appleyard CB, McKnight W, Del Soldato P, Calignano A, Cirino G, Wallace JL. NO-naproxen vs. naproxen: ulcerogenic, analgesic and anti-inflammatory effects. </w:t>
      </w:r>
      <w:r w:rsidRPr="00465221">
        <w:rPr>
          <w:rFonts w:ascii="Book Antiqua" w:eastAsia="宋体" w:hAnsi="Book Antiqua" w:cs="宋体"/>
          <w:i/>
          <w:iCs/>
        </w:rPr>
        <w:t>Aliment Pharmacol Ther</w:t>
      </w:r>
      <w:r w:rsidRPr="00465221">
        <w:rPr>
          <w:rFonts w:ascii="Book Antiqua" w:eastAsia="宋体" w:hAnsi="Book Antiqua" w:cs="宋体"/>
        </w:rPr>
        <w:t> 1997; </w:t>
      </w:r>
      <w:r w:rsidRPr="00465221">
        <w:rPr>
          <w:rFonts w:ascii="Book Antiqua" w:eastAsia="宋体" w:hAnsi="Book Antiqua" w:cs="宋体"/>
          <w:b/>
          <w:bCs/>
        </w:rPr>
        <w:t>11</w:t>
      </w:r>
      <w:r w:rsidRPr="00465221">
        <w:rPr>
          <w:rFonts w:ascii="Book Antiqua" w:eastAsia="宋体" w:hAnsi="Book Antiqua" w:cs="宋体"/>
        </w:rPr>
        <w:t>: 69-79 [PMID: 9042976 DOI: 10.1046/j.1365-2036.1997.115286000.x]</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161 </w:t>
      </w:r>
      <w:r w:rsidRPr="00465221">
        <w:rPr>
          <w:rFonts w:ascii="Book Antiqua" w:eastAsia="宋体" w:hAnsi="Book Antiqua" w:cs="宋体"/>
          <w:b/>
          <w:bCs/>
        </w:rPr>
        <w:t>Hawkey CJ</w:t>
      </w:r>
      <w:r w:rsidRPr="00465221">
        <w:rPr>
          <w:rFonts w:ascii="Book Antiqua" w:eastAsia="宋体" w:hAnsi="Book Antiqua" w:cs="宋体"/>
        </w:rPr>
        <w:t>, Jones JI, Atherton CT, Skelly MM, Bebb JR, Fagerholm U, Jonzon B, Karlsson P, Bjarnason IT. Gastrointestinal safety of AZD3582, a cyclooxygenase inhibiting nitric oxide donator: proof of concept study in humans. </w:t>
      </w:r>
      <w:r w:rsidRPr="00465221">
        <w:rPr>
          <w:rFonts w:ascii="Book Antiqua" w:eastAsia="宋体" w:hAnsi="Book Antiqua" w:cs="宋体"/>
          <w:i/>
          <w:iCs/>
        </w:rPr>
        <w:t>Gut</w:t>
      </w:r>
      <w:r w:rsidRPr="00465221">
        <w:rPr>
          <w:rFonts w:ascii="Book Antiqua" w:eastAsia="宋体" w:hAnsi="Book Antiqua" w:cs="宋体"/>
        </w:rPr>
        <w:t> 2003; </w:t>
      </w:r>
      <w:r w:rsidRPr="00465221">
        <w:rPr>
          <w:rFonts w:ascii="Book Antiqua" w:eastAsia="宋体" w:hAnsi="Book Antiqua" w:cs="宋体"/>
          <w:b/>
          <w:bCs/>
        </w:rPr>
        <w:t>52</w:t>
      </w:r>
      <w:r w:rsidRPr="00465221">
        <w:rPr>
          <w:rFonts w:ascii="Book Antiqua" w:eastAsia="宋体" w:hAnsi="Book Antiqua" w:cs="宋体"/>
        </w:rPr>
        <w:t>: 1537-1542 [PMID: 14570719 DOI: 10.1136/gut.52.11.1537]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162 </w:t>
      </w:r>
      <w:r w:rsidRPr="00465221">
        <w:rPr>
          <w:rFonts w:ascii="Book Antiqua" w:eastAsia="宋体" w:hAnsi="Book Antiqua" w:cs="宋体"/>
          <w:b/>
          <w:bCs/>
        </w:rPr>
        <w:t>Schnitzer TJ</w:t>
      </w:r>
      <w:r w:rsidRPr="00465221">
        <w:rPr>
          <w:rFonts w:ascii="Book Antiqua" w:eastAsia="宋体" w:hAnsi="Book Antiqua" w:cs="宋体"/>
        </w:rPr>
        <w:t>, Hochberg MC, Marrero CE, Duquesroix B, Frayssinet H, Beekman M. Efficacy and safety of naproxcinod in patients with osteoarthritis of the knee: a 53-week prospective randomized multicenter study. </w:t>
      </w:r>
      <w:r w:rsidRPr="00465221">
        <w:rPr>
          <w:rFonts w:ascii="Book Antiqua" w:eastAsia="宋体" w:hAnsi="Book Antiqua" w:cs="宋体"/>
          <w:i/>
          <w:iCs/>
        </w:rPr>
        <w:t>Semin Arthritis Rheum</w:t>
      </w:r>
      <w:r w:rsidRPr="00465221">
        <w:rPr>
          <w:rFonts w:ascii="Book Antiqua" w:eastAsia="宋体" w:hAnsi="Book Antiqua" w:cs="宋体"/>
        </w:rPr>
        <w:t> 2011; </w:t>
      </w:r>
      <w:r w:rsidRPr="00465221">
        <w:rPr>
          <w:rFonts w:ascii="Book Antiqua" w:eastAsia="宋体" w:hAnsi="Book Antiqua" w:cs="宋体"/>
          <w:b/>
          <w:bCs/>
        </w:rPr>
        <w:t>40</w:t>
      </w:r>
      <w:r w:rsidRPr="00465221">
        <w:rPr>
          <w:rFonts w:ascii="Book Antiqua" w:eastAsia="宋体" w:hAnsi="Book Antiqua" w:cs="宋体"/>
        </w:rPr>
        <w:t>: 285-297 [PMID: 20828790 DOI: 10.1016/j.semarthrit.2010.06.002]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163 </w:t>
      </w:r>
      <w:r w:rsidRPr="00465221">
        <w:rPr>
          <w:rFonts w:ascii="Book Antiqua" w:eastAsia="宋体" w:hAnsi="Book Antiqua" w:cs="宋体"/>
          <w:b/>
          <w:bCs/>
        </w:rPr>
        <w:t>Karlsson J</w:t>
      </w:r>
      <w:r w:rsidRPr="00465221">
        <w:rPr>
          <w:rFonts w:ascii="Book Antiqua" w:eastAsia="宋体" w:hAnsi="Book Antiqua" w:cs="宋体"/>
        </w:rPr>
        <w:t>, Pivodic A, Aguirre D, Schnitzer TJ. Efficacy, safety, and tolerability of the cyclooxygenase-inhibiting nitric oxide donator naproxcinod in treating osteoarthritis of the hip or knee. </w:t>
      </w:r>
      <w:r w:rsidRPr="00465221">
        <w:rPr>
          <w:rFonts w:ascii="Book Antiqua" w:eastAsia="宋体" w:hAnsi="Book Antiqua" w:cs="宋体"/>
          <w:i/>
          <w:iCs/>
        </w:rPr>
        <w:t>J Rheumatol</w:t>
      </w:r>
      <w:r w:rsidRPr="00465221">
        <w:rPr>
          <w:rFonts w:ascii="Book Antiqua" w:eastAsia="宋体" w:hAnsi="Book Antiqua" w:cs="宋体"/>
        </w:rPr>
        <w:t> 2009; </w:t>
      </w:r>
      <w:r w:rsidRPr="00465221">
        <w:rPr>
          <w:rFonts w:ascii="Book Antiqua" w:eastAsia="宋体" w:hAnsi="Book Antiqua" w:cs="宋体"/>
          <w:b/>
          <w:bCs/>
        </w:rPr>
        <w:t>36</w:t>
      </w:r>
      <w:r w:rsidRPr="00465221">
        <w:rPr>
          <w:rFonts w:ascii="Book Antiqua" w:eastAsia="宋体" w:hAnsi="Book Antiqua" w:cs="宋体"/>
        </w:rPr>
        <w:t>: 1290-1297 [PMID: 19411388 DOI: 10.3899/jrheum.081011]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164 </w:t>
      </w:r>
      <w:r w:rsidRPr="00465221">
        <w:rPr>
          <w:rFonts w:ascii="Book Antiqua" w:eastAsia="宋体" w:hAnsi="Book Antiqua" w:cs="宋体"/>
          <w:b/>
          <w:bCs/>
        </w:rPr>
        <w:t>Baerwald C</w:t>
      </w:r>
      <w:r w:rsidRPr="00465221">
        <w:rPr>
          <w:rFonts w:ascii="Book Antiqua" w:eastAsia="宋体" w:hAnsi="Book Antiqua" w:cs="宋体"/>
        </w:rPr>
        <w:t>, Verdecchia P, Duquesroix B, Frayssinet H, Ferreira T. Efficacy, safety, and effects on blood pressure of naproxcinod 750 mg twice daily compared with placebo and naproxen 500 mg twice daily in patients with osteoarthritis of the hip: a randomized, double-blind, parallel-group, multicenter study. </w:t>
      </w:r>
      <w:r w:rsidRPr="00465221">
        <w:rPr>
          <w:rFonts w:ascii="Book Antiqua" w:eastAsia="宋体" w:hAnsi="Book Antiqua" w:cs="宋体"/>
          <w:i/>
          <w:iCs/>
        </w:rPr>
        <w:t>Arthritis Rheum</w:t>
      </w:r>
      <w:r w:rsidRPr="00465221">
        <w:rPr>
          <w:rFonts w:ascii="Book Antiqua" w:eastAsia="宋体" w:hAnsi="Book Antiqua" w:cs="宋体"/>
        </w:rPr>
        <w:t> 2010; </w:t>
      </w:r>
      <w:r w:rsidRPr="00465221">
        <w:rPr>
          <w:rFonts w:ascii="Book Antiqua" w:eastAsia="宋体" w:hAnsi="Book Antiqua" w:cs="宋体"/>
          <w:b/>
          <w:bCs/>
        </w:rPr>
        <w:t>62</w:t>
      </w:r>
      <w:r w:rsidRPr="00465221">
        <w:rPr>
          <w:rFonts w:ascii="Book Antiqua" w:eastAsia="宋体" w:hAnsi="Book Antiqua" w:cs="宋体"/>
        </w:rPr>
        <w:t>: 3635-3644 [PMID: 20722026 DOI: 10.1002/art.27694]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165 </w:t>
      </w:r>
      <w:r w:rsidRPr="00465221">
        <w:rPr>
          <w:rFonts w:ascii="Book Antiqua" w:eastAsia="宋体" w:hAnsi="Book Antiqua" w:cs="宋体"/>
          <w:b/>
          <w:bCs/>
        </w:rPr>
        <w:t>Schnitzer TJ</w:t>
      </w:r>
      <w:r w:rsidRPr="00465221">
        <w:rPr>
          <w:rFonts w:ascii="Book Antiqua" w:eastAsia="宋体" w:hAnsi="Book Antiqua" w:cs="宋体"/>
        </w:rPr>
        <w:t>, Kivitz A, Frayssinet H, Duquesroix B. Efficacy and safety of naproxcinod in the treatment of patients with osteoarthritis of the knee: a 13-week prospective, randomized, multicenter study. </w:t>
      </w:r>
      <w:r w:rsidRPr="00465221">
        <w:rPr>
          <w:rFonts w:ascii="Book Antiqua" w:eastAsia="宋体" w:hAnsi="Book Antiqua" w:cs="宋体"/>
          <w:i/>
          <w:iCs/>
        </w:rPr>
        <w:t>Osteoarthritis Cartilage</w:t>
      </w:r>
      <w:r w:rsidRPr="00465221">
        <w:rPr>
          <w:rFonts w:ascii="Book Antiqua" w:eastAsia="宋体" w:hAnsi="Book Antiqua" w:cs="宋体"/>
        </w:rPr>
        <w:t> 2010; </w:t>
      </w:r>
      <w:r w:rsidRPr="00465221">
        <w:rPr>
          <w:rFonts w:ascii="Book Antiqua" w:eastAsia="宋体" w:hAnsi="Book Antiqua" w:cs="宋体"/>
          <w:b/>
          <w:bCs/>
        </w:rPr>
        <w:t>18</w:t>
      </w:r>
      <w:r w:rsidRPr="00465221">
        <w:rPr>
          <w:rFonts w:ascii="Book Antiqua" w:eastAsia="宋体" w:hAnsi="Book Antiqua" w:cs="宋体"/>
        </w:rPr>
        <w:t>: 629-639 [PMID: 20202489 DOI: 10.1016/j.joca.2009.12.013]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166 </w:t>
      </w:r>
      <w:r w:rsidRPr="00465221">
        <w:rPr>
          <w:rFonts w:ascii="Book Antiqua" w:eastAsia="宋体" w:hAnsi="Book Antiqua" w:cs="宋体"/>
          <w:b/>
          <w:bCs/>
        </w:rPr>
        <w:t>Wallace JL</w:t>
      </w:r>
      <w:r w:rsidRPr="00465221">
        <w:rPr>
          <w:rFonts w:ascii="Book Antiqua" w:eastAsia="宋体" w:hAnsi="Book Antiqua" w:cs="宋体"/>
        </w:rPr>
        <w:t>, Viappiani S, Bolla M. Cyclooxygenase-inhibiting nitric oxide donators for osteoarthritis. </w:t>
      </w:r>
      <w:r w:rsidRPr="00465221">
        <w:rPr>
          <w:rFonts w:ascii="Book Antiqua" w:eastAsia="宋体" w:hAnsi="Book Antiqua" w:cs="宋体"/>
          <w:i/>
          <w:iCs/>
        </w:rPr>
        <w:t>Trends Pharmacol Sci</w:t>
      </w:r>
      <w:r w:rsidRPr="00465221">
        <w:rPr>
          <w:rFonts w:ascii="Book Antiqua" w:eastAsia="宋体" w:hAnsi="Book Antiqua" w:cs="宋体"/>
        </w:rPr>
        <w:t> 2009; </w:t>
      </w:r>
      <w:r w:rsidRPr="00465221">
        <w:rPr>
          <w:rFonts w:ascii="Book Antiqua" w:eastAsia="宋体" w:hAnsi="Book Antiqua" w:cs="宋体"/>
          <w:b/>
          <w:bCs/>
        </w:rPr>
        <w:t>30</w:t>
      </w:r>
      <w:r w:rsidRPr="00465221">
        <w:rPr>
          <w:rFonts w:ascii="Book Antiqua" w:eastAsia="宋体" w:hAnsi="Book Antiqua" w:cs="宋体"/>
        </w:rPr>
        <w:t>: 112-117 [PMID: 19230986 DOI: 10.1016/j.tips.2009.01.001]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167 </w:t>
      </w:r>
      <w:r w:rsidRPr="00465221">
        <w:rPr>
          <w:rFonts w:ascii="Book Antiqua" w:eastAsia="宋体" w:hAnsi="Book Antiqua" w:cs="宋体"/>
          <w:b/>
          <w:bCs/>
        </w:rPr>
        <w:t>Lohmander LS</w:t>
      </w:r>
      <w:r w:rsidRPr="00465221">
        <w:rPr>
          <w:rFonts w:ascii="Book Antiqua" w:eastAsia="宋体" w:hAnsi="Book Antiqua" w:cs="宋体"/>
        </w:rPr>
        <w:t>, McKeith D, Svensson O, Malmenäs M, Bolin L, Kalla A, Genti G, Szechinski J, Ramos-Remus C. A randomised, placebo controlled, comparative trial of the gastrointestinal safety and efficacy of AZD3582 versus naproxen in osteoarthritis. </w:t>
      </w:r>
      <w:r w:rsidRPr="00465221">
        <w:rPr>
          <w:rFonts w:ascii="Book Antiqua" w:eastAsia="宋体" w:hAnsi="Book Antiqua" w:cs="宋体"/>
          <w:i/>
          <w:iCs/>
        </w:rPr>
        <w:t>Ann Rheum Dis</w:t>
      </w:r>
      <w:r w:rsidRPr="00465221">
        <w:rPr>
          <w:rFonts w:ascii="Book Antiqua" w:eastAsia="宋体" w:hAnsi="Book Antiqua" w:cs="宋体"/>
        </w:rPr>
        <w:t> 2005; </w:t>
      </w:r>
      <w:r w:rsidRPr="00465221">
        <w:rPr>
          <w:rFonts w:ascii="Book Antiqua" w:eastAsia="宋体" w:hAnsi="Book Antiqua" w:cs="宋体"/>
          <w:b/>
          <w:bCs/>
        </w:rPr>
        <w:t>64</w:t>
      </w:r>
      <w:r w:rsidRPr="00465221">
        <w:rPr>
          <w:rFonts w:ascii="Book Antiqua" w:eastAsia="宋体" w:hAnsi="Book Antiqua" w:cs="宋体"/>
        </w:rPr>
        <w:t>: 449-456 [PMID: 15345500 DOI: 10.1136/ard.2004.023572]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168 </w:t>
      </w:r>
      <w:r w:rsidRPr="00465221">
        <w:rPr>
          <w:rFonts w:ascii="Book Antiqua" w:eastAsia="宋体" w:hAnsi="Book Antiqua" w:cs="宋体"/>
          <w:b/>
          <w:bCs/>
        </w:rPr>
        <w:t>Li L</w:t>
      </w:r>
      <w:r w:rsidRPr="00465221">
        <w:rPr>
          <w:rFonts w:ascii="Book Antiqua" w:eastAsia="宋体" w:hAnsi="Book Antiqua" w:cs="宋体"/>
        </w:rPr>
        <w:t>, Rossoni G, Sparatore A, Lee LC, Del Soldato P, Moore PK. Anti-inflammatory and gastrointestinal effects of a novel diclofenac derivative. </w:t>
      </w:r>
      <w:r w:rsidRPr="00465221">
        <w:rPr>
          <w:rFonts w:ascii="Book Antiqua" w:eastAsia="宋体" w:hAnsi="Book Antiqua" w:cs="宋体"/>
          <w:i/>
          <w:iCs/>
        </w:rPr>
        <w:t>Free Radic Biol Med</w:t>
      </w:r>
      <w:r w:rsidRPr="00465221">
        <w:rPr>
          <w:rFonts w:ascii="Book Antiqua" w:eastAsia="宋体" w:hAnsi="Book Antiqua" w:cs="宋体"/>
        </w:rPr>
        <w:t> 2007; </w:t>
      </w:r>
      <w:r w:rsidRPr="00465221">
        <w:rPr>
          <w:rFonts w:ascii="Book Antiqua" w:eastAsia="宋体" w:hAnsi="Book Antiqua" w:cs="宋体"/>
          <w:b/>
          <w:bCs/>
        </w:rPr>
        <w:t>42</w:t>
      </w:r>
      <w:r w:rsidRPr="00465221">
        <w:rPr>
          <w:rFonts w:ascii="Book Antiqua" w:eastAsia="宋体" w:hAnsi="Book Antiqua" w:cs="宋体"/>
        </w:rPr>
        <w:t>: 706-719 [PMID: 17291994 DOI: 10.1016/j.freeradbiomed.2006.12.011]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169 </w:t>
      </w:r>
      <w:r w:rsidRPr="00465221">
        <w:rPr>
          <w:rFonts w:ascii="Book Antiqua" w:eastAsia="宋体" w:hAnsi="Book Antiqua" w:cs="宋体"/>
          <w:b/>
          <w:bCs/>
        </w:rPr>
        <w:t>Sparatore A</w:t>
      </w:r>
      <w:r w:rsidRPr="00465221">
        <w:rPr>
          <w:rFonts w:ascii="Book Antiqua" w:eastAsia="宋体" w:hAnsi="Book Antiqua" w:cs="宋体"/>
        </w:rPr>
        <w:t>, Perrino E, Tazzari V, Giustarini D, Rossi R, Rossoni G, Erdmann K, Schröder H, Del Soldato P. Pharmacological profile of a novel H(2)S-releasing aspirin. </w:t>
      </w:r>
      <w:r w:rsidRPr="00465221">
        <w:rPr>
          <w:rFonts w:ascii="Book Antiqua" w:eastAsia="宋体" w:hAnsi="Book Antiqua" w:cs="宋体"/>
          <w:i/>
          <w:iCs/>
        </w:rPr>
        <w:t>Free Radic Biol Med</w:t>
      </w:r>
      <w:r w:rsidRPr="00465221">
        <w:rPr>
          <w:rFonts w:ascii="Book Antiqua" w:eastAsia="宋体" w:hAnsi="Book Antiqua" w:cs="宋体"/>
        </w:rPr>
        <w:t> 2009; </w:t>
      </w:r>
      <w:r w:rsidRPr="00465221">
        <w:rPr>
          <w:rFonts w:ascii="Book Antiqua" w:eastAsia="宋体" w:hAnsi="Book Antiqua" w:cs="宋体"/>
          <w:b/>
          <w:bCs/>
        </w:rPr>
        <w:t>46</w:t>
      </w:r>
      <w:r w:rsidRPr="00465221">
        <w:rPr>
          <w:rFonts w:ascii="Book Antiqua" w:eastAsia="宋体" w:hAnsi="Book Antiqua" w:cs="宋体"/>
        </w:rPr>
        <w:t>: 586-592 [PMID: 19100325 DOI: 10.1016/j.freeradbiomed.2008.11.013]</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170 </w:t>
      </w:r>
      <w:r w:rsidRPr="00465221">
        <w:rPr>
          <w:rFonts w:ascii="Book Antiqua" w:eastAsia="宋体" w:hAnsi="Book Antiqua" w:cs="宋体"/>
          <w:b/>
          <w:bCs/>
        </w:rPr>
        <w:t>Li L</w:t>
      </w:r>
      <w:r w:rsidRPr="00465221">
        <w:rPr>
          <w:rFonts w:ascii="Book Antiqua" w:eastAsia="宋体" w:hAnsi="Book Antiqua" w:cs="宋体"/>
        </w:rPr>
        <w:t>, Bhatia M, Moore PK. Hydrogen sulphide--a novel mediator of inflammation? </w:t>
      </w:r>
      <w:r w:rsidRPr="00465221">
        <w:rPr>
          <w:rFonts w:ascii="Book Antiqua" w:eastAsia="宋体" w:hAnsi="Book Antiqua" w:cs="宋体"/>
          <w:i/>
          <w:iCs/>
        </w:rPr>
        <w:t>Curr Opin Pharmacol</w:t>
      </w:r>
      <w:r w:rsidRPr="00465221">
        <w:rPr>
          <w:rFonts w:ascii="Book Antiqua" w:eastAsia="宋体" w:hAnsi="Book Antiqua" w:cs="宋体"/>
        </w:rPr>
        <w:t> 2006; </w:t>
      </w:r>
      <w:r w:rsidRPr="00465221">
        <w:rPr>
          <w:rFonts w:ascii="Book Antiqua" w:eastAsia="宋体" w:hAnsi="Book Antiqua" w:cs="宋体"/>
          <w:b/>
          <w:bCs/>
        </w:rPr>
        <w:t>6</w:t>
      </w:r>
      <w:r w:rsidRPr="00465221">
        <w:rPr>
          <w:rFonts w:ascii="Book Antiqua" w:eastAsia="宋体" w:hAnsi="Book Antiqua" w:cs="宋体"/>
        </w:rPr>
        <w:t>: 125-129 [PMID: 16487749 DOI: 10.1016/j.coph.2005.10.007]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171 </w:t>
      </w:r>
      <w:r w:rsidRPr="00465221">
        <w:rPr>
          <w:rFonts w:ascii="Book Antiqua" w:eastAsia="宋体" w:hAnsi="Book Antiqua" w:cs="宋体"/>
          <w:b/>
          <w:bCs/>
        </w:rPr>
        <w:t>Whiteman M</w:t>
      </w:r>
      <w:r w:rsidRPr="00465221">
        <w:rPr>
          <w:rFonts w:ascii="Book Antiqua" w:eastAsia="宋体" w:hAnsi="Book Antiqua" w:cs="宋体"/>
        </w:rPr>
        <w:t>, Le Trionnaire S, Chopra M, Fox B, Whatmore J. Emerging role of hydrogen sulfide in health and disease: critical appraisal of biomarkers and pharmacological tools. </w:t>
      </w:r>
      <w:r w:rsidRPr="00465221">
        <w:rPr>
          <w:rFonts w:ascii="Book Antiqua" w:eastAsia="宋体" w:hAnsi="Book Antiqua" w:cs="宋体"/>
          <w:i/>
          <w:iCs/>
        </w:rPr>
        <w:t>Clin Sci (Lond)</w:t>
      </w:r>
      <w:r w:rsidRPr="00465221">
        <w:rPr>
          <w:rFonts w:ascii="Book Antiqua" w:eastAsia="宋体" w:hAnsi="Book Antiqua" w:cs="宋体"/>
        </w:rPr>
        <w:t> 2011; </w:t>
      </w:r>
      <w:r w:rsidRPr="00465221">
        <w:rPr>
          <w:rFonts w:ascii="Book Antiqua" w:eastAsia="宋体" w:hAnsi="Book Antiqua" w:cs="宋体"/>
          <w:b/>
          <w:bCs/>
        </w:rPr>
        <w:t>121</w:t>
      </w:r>
      <w:r w:rsidRPr="00465221">
        <w:rPr>
          <w:rFonts w:ascii="Book Antiqua" w:eastAsia="宋体" w:hAnsi="Book Antiqua" w:cs="宋体"/>
        </w:rPr>
        <w:t>: 459-488 [PMID: 21843150 DOI: 10.1042/CS20110267]</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172 </w:t>
      </w:r>
      <w:r w:rsidRPr="00465221">
        <w:rPr>
          <w:rFonts w:ascii="Book Antiqua" w:eastAsia="宋体" w:hAnsi="Book Antiqua" w:cs="宋体"/>
          <w:b/>
          <w:bCs/>
        </w:rPr>
        <w:t>Dufton N</w:t>
      </w:r>
      <w:r w:rsidRPr="00465221">
        <w:rPr>
          <w:rFonts w:ascii="Book Antiqua" w:eastAsia="宋体" w:hAnsi="Book Antiqua" w:cs="宋体"/>
        </w:rPr>
        <w:t>, Natividad J, Verdu EF, Wallace JL. Hydrogen sulfide and resolution of acute inflammation: A comparative study utilizing a novel fluorescent probe. </w:t>
      </w:r>
      <w:r w:rsidRPr="00465221">
        <w:rPr>
          <w:rFonts w:ascii="Book Antiqua" w:eastAsia="宋体" w:hAnsi="Book Antiqua" w:cs="宋体"/>
          <w:i/>
          <w:iCs/>
        </w:rPr>
        <w:t>Sci Rep</w:t>
      </w:r>
      <w:r w:rsidRPr="00465221">
        <w:rPr>
          <w:rFonts w:ascii="Book Antiqua" w:eastAsia="宋体" w:hAnsi="Book Antiqua" w:cs="宋体"/>
        </w:rPr>
        <w:t> 2012; </w:t>
      </w:r>
      <w:r w:rsidRPr="00465221">
        <w:rPr>
          <w:rFonts w:ascii="Book Antiqua" w:eastAsia="宋体" w:hAnsi="Book Antiqua" w:cs="宋体"/>
          <w:b/>
          <w:bCs/>
        </w:rPr>
        <w:t>2</w:t>
      </w:r>
      <w:r w:rsidRPr="00465221">
        <w:rPr>
          <w:rFonts w:ascii="Book Antiqua" w:eastAsia="宋体" w:hAnsi="Book Antiqua" w:cs="宋体"/>
        </w:rPr>
        <w:t>: 499 [PMID: 22787557 DOI: 10.1038/srep00499]</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173 </w:t>
      </w:r>
      <w:r w:rsidRPr="00465221">
        <w:rPr>
          <w:rFonts w:ascii="Book Antiqua" w:eastAsia="宋体" w:hAnsi="Book Antiqua" w:cs="宋体"/>
          <w:b/>
          <w:bCs/>
        </w:rPr>
        <w:t>Wallace JL</w:t>
      </w:r>
      <w:r w:rsidRPr="00465221">
        <w:rPr>
          <w:rFonts w:ascii="Book Antiqua" w:eastAsia="宋体" w:hAnsi="Book Antiqua" w:cs="宋体"/>
        </w:rPr>
        <w:t xml:space="preserve">, Vong L, McKnight W, Dicay M, Martin GR. Endogenous and exogenous hydrogen sulfide promotes resolution of colitis in </w:t>
      </w:r>
      <w:r w:rsidRPr="00465221">
        <w:rPr>
          <w:rFonts w:ascii="Book Antiqua" w:eastAsia="宋体" w:hAnsi="Book Antiqua" w:cs="宋体"/>
        </w:rPr>
        <w:lastRenderedPageBreak/>
        <w:t>rats. </w:t>
      </w:r>
      <w:r w:rsidRPr="00465221">
        <w:rPr>
          <w:rFonts w:ascii="Book Antiqua" w:eastAsia="宋体" w:hAnsi="Book Antiqua" w:cs="宋体"/>
          <w:i/>
          <w:iCs/>
        </w:rPr>
        <w:t>Gastroenterology</w:t>
      </w:r>
      <w:r w:rsidRPr="00465221">
        <w:rPr>
          <w:rFonts w:ascii="Book Antiqua" w:eastAsia="宋体" w:hAnsi="Book Antiqua" w:cs="宋体"/>
        </w:rPr>
        <w:t> 2009; </w:t>
      </w:r>
      <w:r w:rsidRPr="00465221">
        <w:rPr>
          <w:rFonts w:ascii="Book Antiqua" w:eastAsia="宋体" w:hAnsi="Book Antiqua" w:cs="宋体"/>
          <w:b/>
          <w:bCs/>
        </w:rPr>
        <w:t>137</w:t>
      </w:r>
      <w:r w:rsidRPr="00465221">
        <w:rPr>
          <w:rFonts w:ascii="Book Antiqua" w:eastAsia="宋体" w:hAnsi="Book Antiqua" w:cs="宋体"/>
        </w:rPr>
        <w:t>: 569-</w:t>
      </w:r>
      <w:r>
        <w:rPr>
          <w:rFonts w:ascii="Book Antiqua" w:eastAsia="宋体" w:hAnsi="Book Antiqua" w:cs="宋体"/>
        </w:rPr>
        <w:t>5</w:t>
      </w:r>
      <w:r w:rsidRPr="00465221">
        <w:rPr>
          <w:rFonts w:ascii="Book Antiqua" w:eastAsia="宋体" w:hAnsi="Book Antiqua" w:cs="宋体"/>
        </w:rPr>
        <w:t>78, 578.e1 [PMID: 19375422 DOI: 10.1053/j.gastro.2009.04.012]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174 </w:t>
      </w:r>
      <w:r w:rsidRPr="00465221">
        <w:rPr>
          <w:rFonts w:ascii="Book Antiqua" w:eastAsia="宋体" w:hAnsi="Book Antiqua" w:cs="宋体"/>
          <w:b/>
          <w:bCs/>
        </w:rPr>
        <w:t>Wallace JL</w:t>
      </w:r>
      <w:r w:rsidRPr="00465221">
        <w:rPr>
          <w:rFonts w:ascii="Book Antiqua" w:eastAsia="宋体" w:hAnsi="Book Antiqua" w:cs="宋体"/>
        </w:rPr>
        <w:t>, Ferraz JG, Muscara MN. Hydrogen sulfide: an endogenous mediator of resolution of inflammation and injury. </w:t>
      </w:r>
      <w:r w:rsidRPr="00465221">
        <w:rPr>
          <w:rFonts w:ascii="Book Antiqua" w:eastAsia="宋体" w:hAnsi="Book Antiqua" w:cs="宋体"/>
          <w:i/>
          <w:iCs/>
        </w:rPr>
        <w:t>Antioxid Redox Signal</w:t>
      </w:r>
      <w:r w:rsidRPr="00465221">
        <w:rPr>
          <w:rFonts w:ascii="Book Antiqua" w:eastAsia="宋体" w:hAnsi="Book Antiqua" w:cs="宋体"/>
        </w:rPr>
        <w:t> 2012; </w:t>
      </w:r>
      <w:r w:rsidRPr="00465221">
        <w:rPr>
          <w:rFonts w:ascii="Book Antiqua" w:eastAsia="宋体" w:hAnsi="Book Antiqua" w:cs="宋体"/>
          <w:b/>
          <w:bCs/>
        </w:rPr>
        <w:t>17</w:t>
      </w:r>
      <w:r w:rsidRPr="00465221">
        <w:rPr>
          <w:rFonts w:ascii="Book Antiqua" w:eastAsia="宋体" w:hAnsi="Book Antiqua" w:cs="宋体"/>
        </w:rPr>
        <w:t>: 58-67 [PMID: 22017247 DOI: 10.1089/ars.2011.4351]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175 </w:t>
      </w:r>
      <w:r w:rsidRPr="00465221">
        <w:rPr>
          <w:rFonts w:ascii="Book Antiqua" w:eastAsia="宋体" w:hAnsi="Book Antiqua" w:cs="宋体"/>
          <w:b/>
          <w:bCs/>
        </w:rPr>
        <w:t>Blackler R</w:t>
      </w:r>
      <w:r w:rsidRPr="00465221">
        <w:rPr>
          <w:rFonts w:ascii="Book Antiqua" w:eastAsia="宋体" w:hAnsi="Book Antiqua" w:cs="宋体"/>
        </w:rPr>
        <w:t>, Syer S, Bolla M, Ongini E, Wallace JL. Gastrointestinal-sparing effects of novel NSAIDs in rats with compromised mucosal defence. </w:t>
      </w:r>
      <w:r w:rsidRPr="00465221">
        <w:rPr>
          <w:rFonts w:ascii="Book Antiqua" w:eastAsia="宋体" w:hAnsi="Book Antiqua" w:cs="宋体"/>
          <w:i/>
          <w:iCs/>
        </w:rPr>
        <w:t>PLoS One</w:t>
      </w:r>
      <w:r w:rsidRPr="00465221">
        <w:rPr>
          <w:rFonts w:ascii="Book Antiqua" w:eastAsia="宋体" w:hAnsi="Book Antiqua" w:cs="宋体"/>
        </w:rPr>
        <w:t> 2012; </w:t>
      </w:r>
      <w:r w:rsidRPr="00465221">
        <w:rPr>
          <w:rFonts w:ascii="Book Antiqua" w:eastAsia="宋体" w:hAnsi="Book Antiqua" w:cs="宋体"/>
          <w:b/>
          <w:bCs/>
        </w:rPr>
        <w:t>7</w:t>
      </w:r>
      <w:r w:rsidRPr="00465221">
        <w:rPr>
          <w:rFonts w:ascii="Book Antiqua" w:eastAsia="宋体" w:hAnsi="Book Antiqua" w:cs="宋体"/>
        </w:rPr>
        <w:t>: e35196 [PMID: 22496907 DOI: 10.1371/journal.pone.0035196]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176 </w:t>
      </w:r>
      <w:r w:rsidRPr="00465221">
        <w:rPr>
          <w:rFonts w:ascii="Book Antiqua" w:eastAsia="宋体" w:hAnsi="Book Antiqua" w:cs="宋体"/>
          <w:b/>
          <w:bCs/>
        </w:rPr>
        <w:t>Waldram A</w:t>
      </w:r>
      <w:r w:rsidRPr="00465221">
        <w:rPr>
          <w:rFonts w:ascii="Book Antiqua" w:eastAsia="宋体" w:hAnsi="Book Antiqua" w:cs="宋体"/>
        </w:rPr>
        <w:t>, Holmes E, Wang Y, Rantalainen M, Wilson ID, Tuohy KM, McCartney AL, Gibson GR, Nicholson JK. Top-down systems biology modeling of host metabotype-microbiome associations in obese rodents. </w:t>
      </w:r>
      <w:r w:rsidRPr="00465221">
        <w:rPr>
          <w:rFonts w:ascii="Book Antiqua" w:eastAsia="宋体" w:hAnsi="Book Antiqua" w:cs="宋体"/>
          <w:i/>
          <w:iCs/>
        </w:rPr>
        <w:t>J Proteome Res</w:t>
      </w:r>
      <w:r w:rsidRPr="00465221">
        <w:rPr>
          <w:rFonts w:ascii="Book Antiqua" w:eastAsia="宋体" w:hAnsi="Book Antiqua" w:cs="宋体"/>
        </w:rPr>
        <w:t> 2009; </w:t>
      </w:r>
      <w:r w:rsidRPr="00465221">
        <w:rPr>
          <w:rFonts w:ascii="Book Antiqua" w:eastAsia="宋体" w:hAnsi="Book Antiqua" w:cs="宋体"/>
          <w:b/>
          <w:bCs/>
        </w:rPr>
        <w:t>8</w:t>
      </w:r>
      <w:r w:rsidRPr="00465221">
        <w:rPr>
          <w:rFonts w:ascii="Book Antiqua" w:eastAsia="宋体" w:hAnsi="Book Antiqua" w:cs="宋体"/>
        </w:rPr>
        <w:t>: 2361-2375 [PMID: 19275195 DOI: 10.1021/pr8009885]</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177 NOSH-Aspirin: A Novel Nitric Oxide-Hydrogen Sulfide-Releasing Hybrid: A New Class of Anti-inflammatory Pharmaceuticals. </w:t>
      </w:r>
      <w:r w:rsidRPr="00465221">
        <w:rPr>
          <w:rFonts w:ascii="Book Antiqua" w:eastAsia="宋体" w:hAnsi="Book Antiqua" w:cs="宋体"/>
          <w:i/>
          <w:iCs/>
        </w:rPr>
        <w:t>ACS Med Chem Lett</w:t>
      </w:r>
      <w:r w:rsidRPr="00465221">
        <w:rPr>
          <w:rFonts w:ascii="Book Antiqua" w:eastAsia="宋体" w:hAnsi="Book Antiqua" w:cs="宋体"/>
        </w:rPr>
        <w:t> 2012; </w:t>
      </w:r>
      <w:r w:rsidRPr="00465221">
        <w:rPr>
          <w:rFonts w:ascii="Book Antiqua" w:eastAsia="宋体" w:hAnsi="Book Antiqua" w:cs="宋体"/>
          <w:b/>
          <w:bCs/>
        </w:rPr>
        <w:t>3</w:t>
      </w:r>
      <w:r w:rsidRPr="00465221">
        <w:rPr>
          <w:rFonts w:ascii="Book Antiqua" w:eastAsia="宋体" w:hAnsi="Book Antiqua" w:cs="宋体"/>
        </w:rPr>
        <w:t>: 257-262 [PMID: 22916316 DOI: 10.1021/ml300002m]</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178 </w:t>
      </w:r>
      <w:r w:rsidRPr="00465221">
        <w:rPr>
          <w:rFonts w:ascii="Book Antiqua" w:eastAsia="宋体" w:hAnsi="Book Antiqua" w:cs="宋体"/>
          <w:b/>
          <w:bCs/>
        </w:rPr>
        <w:t>Lichtenberger LM</w:t>
      </w:r>
      <w:r w:rsidRPr="00465221">
        <w:rPr>
          <w:rFonts w:ascii="Book Antiqua" w:eastAsia="宋体" w:hAnsi="Book Antiqua" w:cs="宋体"/>
        </w:rPr>
        <w:t>, Zhou Y, Dial EJ, Raphael RM. NSAID injury to the gastrointestinal tract: evidence that NSAIDs interact with phospholipids to weaken the hydrophobic surface barrier and induce the formation of unstable pores in membranes. </w:t>
      </w:r>
      <w:r w:rsidRPr="00465221">
        <w:rPr>
          <w:rFonts w:ascii="Book Antiqua" w:eastAsia="宋体" w:hAnsi="Book Antiqua" w:cs="宋体"/>
          <w:i/>
          <w:iCs/>
        </w:rPr>
        <w:t>J Pharm Pharmacol</w:t>
      </w:r>
      <w:r w:rsidRPr="00465221">
        <w:rPr>
          <w:rFonts w:ascii="Book Antiqua" w:eastAsia="宋体" w:hAnsi="Book Antiqua" w:cs="宋体"/>
        </w:rPr>
        <w:t> 2006; </w:t>
      </w:r>
      <w:r w:rsidRPr="00465221">
        <w:rPr>
          <w:rFonts w:ascii="Book Antiqua" w:eastAsia="宋体" w:hAnsi="Book Antiqua" w:cs="宋体"/>
          <w:b/>
          <w:bCs/>
        </w:rPr>
        <w:t>58</w:t>
      </w:r>
      <w:r w:rsidRPr="00465221">
        <w:rPr>
          <w:rFonts w:ascii="Book Antiqua" w:eastAsia="宋体" w:hAnsi="Book Antiqua" w:cs="宋体"/>
        </w:rPr>
        <w:t>: 1421-1428 [PMID: 17132203 DOI: 10.1211/jpp.58.10.0001]</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179 </w:t>
      </w:r>
      <w:r w:rsidRPr="00465221">
        <w:rPr>
          <w:rFonts w:ascii="Book Antiqua" w:eastAsia="宋体" w:hAnsi="Book Antiqua" w:cs="宋体"/>
          <w:b/>
          <w:bCs/>
        </w:rPr>
        <w:t>Lichtenberger LM</w:t>
      </w:r>
      <w:r w:rsidRPr="00465221">
        <w:rPr>
          <w:rFonts w:ascii="Book Antiqua" w:eastAsia="宋体" w:hAnsi="Book Antiqua" w:cs="宋体"/>
        </w:rPr>
        <w:t>, Wang ZM, Romero JJ, Ulloa C, Perez JC, Giraud MN, Barreto JC. Non-steroidal anti-inflammatory drugs (NSAIDs) associate with zwitterionic phospholipids: insight into the mechanism and reversal of NSAID-induced gastrointestinal injury. </w:t>
      </w:r>
      <w:r w:rsidRPr="00465221">
        <w:rPr>
          <w:rFonts w:ascii="Book Antiqua" w:eastAsia="宋体" w:hAnsi="Book Antiqua" w:cs="宋体"/>
          <w:i/>
          <w:iCs/>
        </w:rPr>
        <w:t>Nat Med</w:t>
      </w:r>
      <w:r w:rsidRPr="00465221">
        <w:rPr>
          <w:rFonts w:ascii="Book Antiqua" w:eastAsia="宋体" w:hAnsi="Book Antiqua" w:cs="宋体"/>
        </w:rPr>
        <w:t> 1995; </w:t>
      </w:r>
      <w:r w:rsidRPr="00465221">
        <w:rPr>
          <w:rFonts w:ascii="Book Antiqua" w:eastAsia="宋体" w:hAnsi="Book Antiqua" w:cs="宋体"/>
          <w:b/>
          <w:bCs/>
        </w:rPr>
        <w:t>1</w:t>
      </w:r>
      <w:r w:rsidRPr="00465221">
        <w:rPr>
          <w:rFonts w:ascii="Book Antiqua" w:eastAsia="宋体" w:hAnsi="Book Antiqua" w:cs="宋体"/>
        </w:rPr>
        <w:t>: 154-158 [PMID: 7585013 DOI: 10.1038/nm0295-154]</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180 </w:t>
      </w:r>
      <w:r w:rsidRPr="00465221">
        <w:rPr>
          <w:rFonts w:ascii="Book Antiqua" w:eastAsia="宋体" w:hAnsi="Book Antiqua" w:cs="宋体"/>
          <w:b/>
          <w:bCs/>
        </w:rPr>
        <w:t>Lichtenberger LM</w:t>
      </w:r>
      <w:r w:rsidRPr="00465221">
        <w:rPr>
          <w:rFonts w:ascii="Book Antiqua" w:eastAsia="宋体" w:hAnsi="Book Antiqua" w:cs="宋体"/>
        </w:rPr>
        <w:t>, Barron M, Marathi U. Association of phosphatidylcholine and NSAIDs as a novel strategy to reduce gastrointestinal toxicity. </w:t>
      </w:r>
      <w:r w:rsidRPr="00465221">
        <w:rPr>
          <w:rFonts w:ascii="Book Antiqua" w:eastAsia="宋体" w:hAnsi="Book Antiqua" w:cs="宋体"/>
          <w:i/>
          <w:iCs/>
        </w:rPr>
        <w:t>Drugs Today (Barc)</w:t>
      </w:r>
      <w:r w:rsidRPr="00465221">
        <w:rPr>
          <w:rFonts w:ascii="Book Antiqua" w:eastAsia="宋体" w:hAnsi="Book Antiqua" w:cs="宋体"/>
        </w:rPr>
        <w:t> 2009; </w:t>
      </w:r>
      <w:r w:rsidRPr="00465221">
        <w:rPr>
          <w:rFonts w:ascii="Book Antiqua" w:eastAsia="宋体" w:hAnsi="Book Antiqua" w:cs="宋体"/>
          <w:b/>
          <w:bCs/>
        </w:rPr>
        <w:t>45</w:t>
      </w:r>
      <w:r w:rsidRPr="00465221">
        <w:rPr>
          <w:rFonts w:ascii="Book Antiqua" w:eastAsia="宋体" w:hAnsi="Book Antiqua" w:cs="宋体"/>
        </w:rPr>
        <w:t>: 877-890 [PMID: 20135022]</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lastRenderedPageBreak/>
        <w:t>181 </w:t>
      </w:r>
      <w:r w:rsidRPr="00465221">
        <w:rPr>
          <w:rFonts w:ascii="Book Antiqua" w:eastAsia="宋体" w:hAnsi="Book Antiqua" w:cs="宋体"/>
          <w:b/>
          <w:bCs/>
        </w:rPr>
        <w:t>Cryer B</w:t>
      </w:r>
      <w:r w:rsidRPr="00465221">
        <w:rPr>
          <w:rFonts w:ascii="Book Antiqua" w:eastAsia="宋体" w:hAnsi="Book Antiqua" w:cs="宋体"/>
        </w:rPr>
        <w:t>, Bhatt DL, Lanza FL, Dong JF, Lichtenberger LM, Marathi UK. Low-dose aspirin-induced ulceration is attenuated by aspirin-phosphatidylcholine: a randomized clinical trial. </w:t>
      </w:r>
      <w:r w:rsidRPr="00465221">
        <w:rPr>
          <w:rFonts w:ascii="Book Antiqua" w:eastAsia="宋体" w:hAnsi="Book Antiqua" w:cs="宋体"/>
          <w:i/>
          <w:iCs/>
        </w:rPr>
        <w:t>Am J Gastroenterol</w:t>
      </w:r>
      <w:r w:rsidRPr="00465221">
        <w:rPr>
          <w:rFonts w:ascii="Book Antiqua" w:eastAsia="宋体" w:hAnsi="Book Antiqua" w:cs="宋体"/>
        </w:rPr>
        <w:t> 2011; </w:t>
      </w:r>
      <w:r w:rsidRPr="00465221">
        <w:rPr>
          <w:rFonts w:ascii="Book Antiqua" w:eastAsia="宋体" w:hAnsi="Book Antiqua" w:cs="宋体"/>
          <w:b/>
          <w:bCs/>
        </w:rPr>
        <w:t>106</w:t>
      </w:r>
      <w:r w:rsidRPr="00465221">
        <w:rPr>
          <w:rFonts w:ascii="Book Antiqua" w:eastAsia="宋体" w:hAnsi="Book Antiqua" w:cs="宋体"/>
        </w:rPr>
        <w:t>: 272-277 [PMID: 21081908 DOI: 10.1038/ajg.2010.436]</w:t>
      </w:r>
    </w:p>
    <w:p w:rsidR="002550C2" w:rsidRPr="00465221" w:rsidRDefault="002550C2" w:rsidP="00B031E3">
      <w:pPr>
        <w:spacing w:line="360" w:lineRule="auto"/>
        <w:jc w:val="both"/>
        <w:rPr>
          <w:rFonts w:ascii="Book Antiqua" w:eastAsia="宋体" w:hAnsi="Book Antiqua" w:cs="宋体"/>
        </w:rPr>
      </w:pPr>
      <w:r w:rsidRPr="00465221">
        <w:rPr>
          <w:rFonts w:ascii="Book Antiqua" w:eastAsia="宋体" w:hAnsi="Book Antiqua" w:cs="宋体"/>
        </w:rPr>
        <w:t>182 </w:t>
      </w:r>
      <w:r w:rsidRPr="00465221">
        <w:rPr>
          <w:rFonts w:ascii="Book Antiqua" w:eastAsia="宋体" w:hAnsi="Book Antiqua" w:cs="宋体"/>
          <w:b/>
          <w:bCs/>
        </w:rPr>
        <w:t>Lanza FL</w:t>
      </w:r>
      <w:r w:rsidRPr="00465221">
        <w:rPr>
          <w:rFonts w:ascii="Book Antiqua" w:eastAsia="宋体" w:hAnsi="Book Antiqua" w:cs="宋体"/>
        </w:rPr>
        <w:t>, Marathi UK, Anand BS, Lichtenberger LM. Clinical trial: comparison of ibuprofen-phosphatidylcholine and ibuprofen on the gastrointestinal safety and analgesic efficacy in osteoarthritic patients. </w:t>
      </w:r>
      <w:r w:rsidRPr="00465221">
        <w:rPr>
          <w:rFonts w:ascii="Book Antiqua" w:eastAsia="宋体" w:hAnsi="Book Antiqua" w:cs="宋体"/>
          <w:i/>
          <w:iCs/>
        </w:rPr>
        <w:t>Aliment Pharmacol Ther</w:t>
      </w:r>
      <w:r w:rsidRPr="00465221">
        <w:rPr>
          <w:rFonts w:ascii="Book Antiqua" w:eastAsia="宋体" w:hAnsi="Book Antiqua" w:cs="宋体"/>
        </w:rPr>
        <w:t> 2008; </w:t>
      </w:r>
      <w:r w:rsidRPr="00465221">
        <w:rPr>
          <w:rFonts w:ascii="Book Antiqua" w:eastAsia="宋体" w:hAnsi="Book Antiqua" w:cs="宋体"/>
          <w:b/>
          <w:bCs/>
        </w:rPr>
        <w:t>28</w:t>
      </w:r>
      <w:r w:rsidRPr="00465221">
        <w:rPr>
          <w:rFonts w:ascii="Book Antiqua" w:eastAsia="宋体" w:hAnsi="Book Antiqua" w:cs="宋体"/>
        </w:rPr>
        <w:t>: 431-442 [PMID: 18549459 DOI: 10.1111/j.1365-2036.2008.03765.x]</w:t>
      </w:r>
    </w:p>
    <w:p w:rsidR="002550C2" w:rsidRDefault="002550C2" w:rsidP="00B031E3">
      <w:pPr>
        <w:spacing w:line="360" w:lineRule="auto"/>
        <w:jc w:val="both"/>
        <w:rPr>
          <w:rFonts w:ascii="Book Antiqua" w:eastAsia="宋体" w:hAnsi="Book Antiqua"/>
          <w:lang w:eastAsia="zh-CN"/>
        </w:rPr>
      </w:pPr>
    </w:p>
    <w:p w:rsidR="002550C2" w:rsidRPr="00CE4867" w:rsidRDefault="002550C2" w:rsidP="00D76BD1">
      <w:pPr>
        <w:spacing w:line="360" w:lineRule="auto"/>
        <w:rPr>
          <w:rFonts w:ascii="Book Antiqua" w:hAnsi="Book Antiqua"/>
          <w:b/>
          <w:bCs/>
          <w:color w:val="000000"/>
        </w:rPr>
      </w:pPr>
      <w:bookmarkStart w:id="15" w:name="OLE_LINK11"/>
      <w:bookmarkStart w:id="16" w:name="OLE_LINK12"/>
      <w:bookmarkStart w:id="17" w:name="OLE_LINK36"/>
      <w:bookmarkStart w:id="18" w:name="OLE_LINK37"/>
      <w:bookmarkStart w:id="19" w:name="OLE_LINK20"/>
      <w:bookmarkStart w:id="20" w:name="OLE_LINK80"/>
      <w:bookmarkStart w:id="21" w:name="OLE_LINK85"/>
      <w:r w:rsidRPr="00CE4867">
        <w:rPr>
          <w:rStyle w:val="ac"/>
          <w:rFonts w:ascii="Book Antiqua" w:hAnsi="Book Antiqua"/>
          <w:bCs/>
          <w:noProof/>
          <w:color w:val="000000"/>
        </w:rPr>
        <w:t>P-Reviewer</w:t>
      </w:r>
      <w:bookmarkEnd w:id="15"/>
      <w:bookmarkEnd w:id="16"/>
      <w:r w:rsidRPr="00CE4867">
        <w:rPr>
          <w:rFonts w:ascii="Book Antiqua" w:hAnsi="Book Antiqua"/>
          <w:b/>
          <w:bCs/>
          <w:color w:val="000000"/>
        </w:rPr>
        <w:t xml:space="preserve"> </w:t>
      </w:r>
      <w:r>
        <w:rPr>
          <w:rFonts w:ascii="Book Antiqua" w:hAnsi="Book Antiqua"/>
          <w:bCs/>
          <w:color w:val="000000"/>
        </w:rPr>
        <w:t>Tarnawski</w:t>
      </w:r>
      <w:r>
        <w:rPr>
          <w:rFonts w:ascii="Book Antiqua" w:eastAsia="宋体" w:hAnsi="Book Antiqua"/>
          <w:bCs/>
          <w:color w:val="000000"/>
          <w:lang w:eastAsia="zh-CN"/>
        </w:rPr>
        <w:t xml:space="preserve"> </w:t>
      </w:r>
      <w:r w:rsidRPr="00D76BD1">
        <w:rPr>
          <w:rFonts w:ascii="Book Antiqua" w:hAnsi="Book Antiqua"/>
          <w:bCs/>
          <w:color w:val="000000"/>
        </w:rPr>
        <w:t>AS</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7"/>
    <w:bookmarkEnd w:id="18"/>
    <w:bookmarkEnd w:id="19"/>
    <w:bookmarkEnd w:id="20"/>
    <w:bookmarkEnd w:id="21"/>
    <w:p w:rsidR="002550C2" w:rsidRPr="00D76BD1" w:rsidRDefault="002550C2" w:rsidP="00B031E3">
      <w:pPr>
        <w:spacing w:line="360" w:lineRule="auto"/>
        <w:jc w:val="both"/>
        <w:rPr>
          <w:rFonts w:ascii="Book Antiqua" w:eastAsia="宋体" w:hAnsi="Book Antiqua"/>
          <w:lang w:eastAsia="zh-CN"/>
        </w:rPr>
      </w:pPr>
    </w:p>
    <w:p w:rsidR="002550C2" w:rsidRPr="005427FA" w:rsidRDefault="002550C2" w:rsidP="005427FA">
      <w:pPr>
        <w:spacing w:line="360" w:lineRule="auto"/>
        <w:jc w:val="both"/>
        <w:rPr>
          <w:rFonts w:ascii="Book Antiqua" w:hAnsi="Book Antiqua"/>
        </w:rPr>
      </w:pPr>
      <w:r w:rsidRPr="005427FA">
        <w:rPr>
          <w:rFonts w:ascii="Book Antiqua" w:hAnsi="Book Antiqua"/>
        </w:rPr>
        <w:br w:type="page"/>
      </w:r>
    </w:p>
    <w:p w:rsidR="002550C2" w:rsidRPr="005427FA" w:rsidRDefault="002550C2" w:rsidP="005427FA">
      <w:pPr>
        <w:spacing w:line="360" w:lineRule="auto"/>
        <w:jc w:val="both"/>
        <w:rPr>
          <w:rFonts w:ascii="Book Antiqua" w:hAnsi="Book Antiqua"/>
        </w:rPr>
      </w:pPr>
      <w:r w:rsidRPr="005427FA">
        <w:rPr>
          <w:rFonts w:ascii="Book Antiqua" w:hAnsi="Book Antiqua"/>
          <w:b/>
        </w:rPr>
        <w:t>Figure 1</w:t>
      </w:r>
      <w:r>
        <w:rPr>
          <w:rFonts w:ascii="Book Antiqua" w:hAnsi="Book Antiqua"/>
          <w:b/>
        </w:rPr>
        <w:t xml:space="preserve"> </w:t>
      </w:r>
      <w:r w:rsidRPr="005427FA">
        <w:rPr>
          <w:rFonts w:ascii="Book Antiqua" w:hAnsi="Book Antiqua"/>
          <w:b/>
        </w:rPr>
        <w:t>Proton pump inhibitors exacerbate naproxen-induced ulceration and bleeding.</w:t>
      </w:r>
      <w:r>
        <w:rPr>
          <w:rFonts w:ascii="Book Antiqua" w:hAnsi="Book Antiqua"/>
          <w:b/>
        </w:rPr>
        <w:t xml:space="preserve"> </w:t>
      </w:r>
      <w:r w:rsidRPr="005427FA">
        <w:rPr>
          <w:rFonts w:ascii="Book Antiqua" w:hAnsi="Book Antiqua"/>
        </w:rPr>
        <w:t xml:space="preserve">In Panel A, the top image is of the jejunum of a rat treated with naproxen for 4.5 </w:t>
      </w:r>
      <w:r>
        <w:rPr>
          <w:rFonts w:ascii="Book Antiqua" w:hAnsi="Book Antiqua"/>
        </w:rPr>
        <w:t>d</w:t>
      </w:r>
      <w:r w:rsidRPr="005427FA">
        <w:rPr>
          <w:rFonts w:ascii="Book Antiqua" w:hAnsi="Book Antiqua"/>
        </w:rPr>
        <w:t xml:space="preserve"> (10 mg/kg twice-daily).</w:t>
      </w:r>
      <w:r>
        <w:rPr>
          <w:rFonts w:ascii="Book Antiqua" w:hAnsi="Book Antiqua"/>
        </w:rPr>
        <w:t xml:space="preserve"> </w:t>
      </w:r>
      <w:r w:rsidRPr="005427FA">
        <w:rPr>
          <w:rFonts w:ascii="Book Antiqua" w:hAnsi="Book Antiqua"/>
        </w:rPr>
        <w:t>There are no ulcers present.</w:t>
      </w:r>
      <w:r>
        <w:rPr>
          <w:rFonts w:ascii="Book Antiqua" w:hAnsi="Book Antiqua"/>
        </w:rPr>
        <w:t xml:space="preserve"> </w:t>
      </w:r>
      <w:r w:rsidRPr="005427FA">
        <w:rPr>
          <w:rFonts w:ascii="Book Antiqua" w:hAnsi="Book Antiqua"/>
        </w:rPr>
        <w:t>The bottom image is of a jejunum of a rat receiving the same naproxen treatment, but also treated with omeprazole at a dose that suppressed gastric acid secretion</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The arrows indicate the numerous hemorrhagic ulcers that form with this combination of treatments.</w:t>
      </w:r>
      <w:r>
        <w:rPr>
          <w:rFonts w:ascii="Book Antiqua" w:hAnsi="Book Antiqua"/>
        </w:rPr>
        <w:t xml:space="preserve"> </w:t>
      </w:r>
      <w:r w:rsidRPr="005427FA">
        <w:rPr>
          <w:rFonts w:ascii="Book Antiqua" w:hAnsi="Book Antiqua"/>
        </w:rPr>
        <w:t>Panel B shows the change in hematocrit of rats treated with naproxen plus vehicle, omeprazole or lanzoprazole</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 xml:space="preserve">The two proton pump inhibitors significantly enhanced the decrease in hematocrit when co-administered with naproxen (no decrease in hematocrit was observed in rats treated with a </w:t>
      </w:r>
      <w:r w:rsidRPr="00327454">
        <w:rPr>
          <w:rFonts w:ascii="Book Antiqua" w:hAnsi="Book Antiqua"/>
        </w:rPr>
        <w:t xml:space="preserve">proton pump inhibitors </w:t>
      </w:r>
      <w:r w:rsidRPr="005427FA">
        <w:rPr>
          <w:rFonts w:ascii="Book Antiqua" w:hAnsi="Book Antiqua"/>
        </w:rPr>
        <w:t>alone).</w:t>
      </w:r>
    </w:p>
    <w:p w:rsidR="002550C2" w:rsidRPr="005427FA" w:rsidRDefault="002550C2" w:rsidP="005427FA">
      <w:pPr>
        <w:spacing w:line="360" w:lineRule="auto"/>
        <w:jc w:val="both"/>
        <w:rPr>
          <w:rFonts w:ascii="Book Antiqua" w:hAnsi="Book Antiqua"/>
          <w:b/>
        </w:rPr>
      </w:pPr>
    </w:p>
    <w:p w:rsidR="002550C2" w:rsidRPr="005427FA" w:rsidRDefault="002550C2" w:rsidP="005427FA">
      <w:pPr>
        <w:spacing w:line="360" w:lineRule="auto"/>
        <w:jc w:val="both"/>
        <w:rPr>
          <w:rFonts w:ascii="Book Antiqua" w:hAnsi="Book Antiqua"/>
        </w:rPr>
      </w:pPr>
      <w:r w:rsidRPr="005427FA">
        <w:rPr>
          <w:rFonts w:ascii="Book Antiqua" w:hAnsi="Book Antiqua"/>
          <w:b/>
        </w:rPr>
        <w:t>Figure 2</w:t>
      </w:r>
      <w:r>
        <w:rPr>
          <w:rFonts w:ascii="Book Antiqua" w:hAnsi="Book Antiqua"/>
          <w:b/>
        </w:rPr>
        <w:t xml:space="preserve"> </w:t>
      </w:r>
      <w:r w:rsidRPr="005427FA">
        <w:rPr>
          <w:rFonts w:ascii="Book Antiqua" w:hAnsi="Book Antiqua"/>
          <w:b/>
        </w:rPr>
        <w:t xml:space="preserve">Proton pump inhibitors and low-dose aspirin significantly exacerbate </w:t>
      </w:r>
      <w:r w:rsidRPr="001F075D">
        <w:rPr>
          <w:rFonts w:ascii="Book Antiqua" w:hAnsi="Book Antiqua"/>
          <w:b/>
        </w:rPr>
        <w:t>nons</w:t>
      </w:r>
      <w:r>
        <w:rPr>
          <w:rFonts w:ascii="Book Antiqua" w:hAnsi="Book Antiqua"/>
          <w:b/>
        </w:rPr>
        <w:t>teroidal anti-inflammatory drug</w:t>
      </w:r>
      <w:r w:rsidRPr="005427FA">
        <w:rPr>
          <w:rFonts w:ascii="Book Antiqua" w:hAnsi="Book Antiqua"/>
          <w:b/>
        </w:rPr>
        <w:t>-induced small intestinal ulceration.</w:t>
      </w:r>
      <w:r>
        <w:rPr>
          <w:rFonts w:ascii="Book Antiqua" w:hAnsi="Book Antiqua"/>
        </w:rPr>
        <w:t xml:space="preserve"> </w:t>
      </w:r>
      <w:r w:rsidRPr="005427FA">
        <w:rPr>
          <w:rFonts w:ascii="Book Antiqua" w:hAnsi="Book Antiqua"/>
        </w:rPr>
        <w:t xml:space="preserve">Rats were treated orally, twice-daily for 4.5 </w:t>
      </w:r>
      <w:r>
        <w:rPr>
          <w:rFonts w:ascii="Book Antiqua" w:hAnsi="Book Antiqua"/>
        </w:rPr>
        <w:t>d</w:t>
      </w:r>
      <w:r w:rsidRPr="005427FA">
        <w:rPr>
          <w:rFonts w:ascii="Book Antiqua" w:hAnsi="Book Antiqua"/>
        </w:rPr>
        <w:t xml:space="preserve"> with equi-effective anti-inflammatory doses of naproxen (10 mg/kg), celecoxib (10 mg/kg) or ATB-346 (14.5 mg/kg).</w:t>
      </w:r>
      <w:r>
        <w:rPr>
          <w:rFonts w:ascii="Book Antiqua" w:hAnsi="Book Antiqua"/>
        </w:rPr>
        <w:t xml:space="preserve"> </w:t>
      </w:r>
      <w:r w:rsidRPr="005427FA">
        <w:rPr>
          <w:rFonts w:ascii="Book Antiqua" w:hAnsi="Book Antiqua"/>
        </w:rPr>
        <w:t>ATB-346 is a hydrogen sulfide-releasing derivative of naproxen</w:t>
      </w:r>
      <w:r w:rsidRPr="005427FA">
        <w:rPr>
          <w:rFonts w:ascii="Book Antiqua" w:hAnsi="Book Antiqua"/>
          <w:vertAlign w:val="superscript"/>
        </w:rPr>
        <w:t>[38]</w:t>
      </w:r>
      <w:r w:rsidRPr="005427FA">
        <w:rPr>
          <w:rFonts w:ascii="Book Antiqua" w:hAnsi="Book Antiqua"/>
        </w:rPr>
        <w:t>.</w:t>
      </w:r>
      <w:r>
        <w:rPr>
          <w:rFonts w:ascii="Book Antiqua" w:hAnsi="Book Antiqua"/>
        </w:rPr>
        <w:t xml:space="preserve"> </w:t>
      </w:r>
      <w:r w:rsidRPr="005427FA">
        <w:rPr>
          <w:rFonts w:ascii="Book Antiqua" w:hAnsi="Book Antiqua"/>
        </w:rPr>
        <w:t xml:space="preserve">Starting 5 </w:t>
      </w:r>
      <w:r>
        <w:rPr>
          <w:rFonts w:ascii="Book Antiqua" w:hAnsi="Book Antiqua"/>
        </w:rPr>
        <w:t>d</w:t>
      </w:r>
      <w:r w:rsidRPr="005427FA">
        <w:rPr>
          <w:rFonts w:ascii="Book Antiqua" w:hAnsi="Book Antiqua"/>
        </w:rPr>
        <w:t xml:space="preserve"> before the </w:t>
      </w:r>
      <w:r w:rsidRPr="001F075D">
        <w:rPr>
          <w:rFonts w:ascii="Book Antiqua" w:hAnsi="Book Antiqua"/>
        </w:rPr>
        <w:t xml:space="preserve">nonsteroidal anti-inflammatory drugs </w:t>
      </w:r>
      <w:r>
        <w:rPr>
          <w:rFonts w:ascii="Book Antiqua" w:eastAsia="宋体" w:hAnsi="Book Antiqua"/>
          <w:lang w:eastAsia="zh-CN"/>
        </w:rPr>
        <w:t>(</w:t>
      </w:r>
      <w:r w:rsidRPr="005427FA">
        <w:rPr>
          <w:rFonts w:ascii="Book Antiqua" w:hAnsi="Book Antiqua"/>
        </w:rPr>
        <w:t>NSAIDs</w:t>
      </w:r>
      <w:r>
        <w:rPr>
          <w:rFonts w:ascii="Book Antiqua" w:eastAsia="宋体" w:hAnsi="Book Antiqua"/>
          <w:lang w:eastAsia="zh-CN"/>
        </w:rPr>
        <w:t>)</w:t>
      </w:r>
      <w:r w:rsidRPr="005427FA">
        <w:rPr>
          <w:rFonts w:ascii="Book Antiqua" w:hAnsi="Book Antiqua"/>
        </w:rPr>
        <w:t>, the rats began receiving twice-daily treatments with omeprazole (10 mg/kg) or vehicle.</w:t>
      </w:r>
      <w:r>
        <w:rPr>
          <w:rFonts w:ascii="Book Antiqua" w:hAnsi="Book Antiqua"/>
        </w:rPr>
        <w:t xml:space="preserve"> </w:t>
      </w:r>
      <w:r w:rsidRPr="005427FA">
        <w:rPr>
          <w:rFonts w:ascii="Book Antiqua" w:hAnsi="Book Antiqua"/>
        </w:rPr>
        <w:t xml:space="preserve">Starting 3 </w:t>
      </w:r>
      <w:r>
        <w:rPr>
          <w:rFonts w:ascii="Book Antiqua" w:hAnsi="Book Antiqua"/>
        </w:rPr>
        <w:t>d</w:t>
      </w:r>
      <w:r w:rsidRPr="005427FA">
        <w:rPr>
          <w:rFonts w:ascii="Book Antiqua" w:hAnsi="Book Antiqua"/>
        </w:rPr>
        <w:t xml:space="preserve"> before the NSAIDs, the rats began receiving daily doses of low-dose aspirin (10 mg/kg) or vehicle.</w:t>
      </w:r>
      <w:r>
        <w:rPr>
          <w:rFonts w:ascii="Book Antiqua" w:hAnsi="Book Antiqua"/>
        </w:rPr>
        <w:t xml:space="preserve"> </w:t>
      </w:r>
      <w:r w:rsidRPr="005427FA">
        <w:rPr>
          <w:rFonts w:ascii="Book Antiqua" w:hAnsi="Book Antiqua"/>
        </w:rPr>
        <w:t>The results are shown as the mean ± SE of at least 6 rats per group.</w:t>
      </w:r>
      <w:r>
        <w:rPr>
          <w:rFonts w:ascii="Book Antiqua" w:hAnsi="Book Antiqua"/>
        </w:rPr>
        <w:t xml:space="preserve"> </w:t>
      </w:r>
      <w:r w:rsidRPr="00C358B3">
        <w:rPr>
          <w:rFonts w:ascii="Book Antiqua" w:eastAsia="宋体" w:hAnsi="Book Antiqua"/>
          <w:vertAlign w:val="superscript"/>
          <w:lang w:eastAsia="zh-CN"/>
        </w:rPr>
        <w:t>a</w:t>
      </w:r>
      <w:r w:rsidRPr="00C358B3">
        <w:rPr>
          <w:rFonts w:ascii="Book Antiqua" w:hAnsi="Book Antiqua"/>
          <w:i/>
        </w:rPr>
        <w:t>P</w:t>
      </w:r>
      <w:r>
        <w:rPr>
          <w:rFonts w:ascii="Book Antiqua" w:eastAsia="宋体" w:hAnsi="Book Antiqua"/>
          <w:i/>
          <w:lang w:eastAsia="zh-CN"/>
        </w:rPr>
        <w:t xml:space="preserve"> </w:t>
      </w:r>
      <w:r w:rsidRPr="005427FA">
        <w:rPr>
          <w:rFonts w:ascii="Book Antiqua" w:hAnsi="Book Antiqua"/>
        </w:rPr>
        <w:t>&lt;</w:t>
      </w:r>
      <w:r>
        <w:rPr>
          <w:rFonts w:ascii="Book Antiqua" w:eastAsia="宋体" w:hAnsi="Book Antiqua"/>
          <w:lang w:eastAsia="zh-CN"/>
        </w:rPr>
        <w:t xml:space="preserve"> </w:t>
      </w:r>
      <w:r w:rsidRPr="005427FA">
        <w:rPr>
          <w:rFonts w:ascii="Book Antiqua" w:hAnsi="Book Antiqua"/>
        </w:rPr>
        <w:t xml:space="preserve">0.05, </w:t>
      </w:r>
      <w:r w:rsidRPr="00C358B3">
        <w:rPr>
          <w:rFonts w:ascii="Book Antiqua" w:eastAsia="宋体" w:hAnsi="Book Antiqua"/>
          <w:vertAlign w:val="superscript"/>
          <w:lang w:eastAsia="zh-CN"/>
        </w:rPr>
        <w:t>b</w:t>
      </w:r>
      <w:r w:rsidRPr="00C358B3">
        <w:rPr>
          <w:rFonts w:ascii="Book Antiqua" w:hAnsi="Book Antiqua"/>
          <w:i/>
        </w:rPr>
        <w:t>P</w:t>
      </w:r>
      <w:r>
        <w:rPr>
          <w:rFonts w:ascii="Book Antiqua" w:eastAsia="宋体" w:hAnsi="Book Antiqua"/>
          <w:i/>
          <w:lang w:eastAsia="zh-CN"/>
        </w:rPr>
        <w:t xml:space="preserve"> </w:t>
      </w:r>
      <w:r w:rsidRPr="005427FA">
        <w:rPr>
          <w:rFonts w:ascii="Book Antiqua" w:hAnsi="Book Antiqua"/>
        </w:rPr>
        <w:t>&lt;</w:t>
      </w:r>
      <w:r>
        <w:rPr>
          <w:rFonts w:ascii="Book Antiqua" w:eastAsia="宋体" w:hAnsi="Book Antiqua"/>
          <w:lang w:eastAsia="zh-CN"/>
        </w:rPr>
        <w:t xml:space="preserve"> </w:t>
      </w:r>
      <w:r w:rsidRPr="005427FA">
        <w:rPr>
          <w:rFonts w:ascii="Book Antiqua" w:hAnsi="Book Antiqua"/>
        </w:rPr>
        <w:t xml:space="preserve">0.01 </w:t>
      </w:r>
      <w:r w:rsidRPr="000B6E17">
        <w:rPr>
          <w:rFonts w:ascii="Book Antiqua" w:hAnsi="Book Antiqua"/>
          <w:i/>
        </w:rPr>
        <w:t>vs</w:t>
      </w:r>
      <w:r w:rsidRPr="005427FA">
        <w:rPr>
          <w:rFonts w:ascii="Book Antiqua" w:hAnsi="Book Antiqua"/>
        </w:rPr>
        <w:t xml:space="preserve"> the corresponding group treated with the NSAID alone.</w:t>
      </w:r>
      <w:r>
        <w:rPr>
          <w:rFonts w:ascii="Book Antiqua" w:hAnsi="Book Antiqua"/>
        </w:rPr>
        <w:t xml:space="preserve"> </w:t>
      </w:r>
      <w:r w:rsidRPr="005427FA">
        <w:rPr>
          <w:rFonts w:ascii="Book Antiqua" w:hAnsi="Book Antiqua"/>
        </w:rPr>
        <w:t>No intestinal damage was observed in rats treated with aspirin alone.</w:t>
      </w:r>
      <w:r>
        <w:rPr>
          <w:rFonts w:ascii="Book Antiqua" w:hAnsi="Book Antiqua"/>
        </w:rPr>
        <w:t xml:space="preserve"> </w:t>
      </w:r>
      <w:r w:rsidRPr="005427FA">
        <w:rPr>
          <w:rFonts w:ascii="Book Antiqua" w:hAnsi="Book Antiqua"/>
        </w:rPr>
        <w:t>The exacerbation of small intestinal ulceration with omeprazole was also observed with another proton pump inhibitor, lanzoprazole</w:t>
      </w:r>
      <w:r w:rsidRPr="005427FA">
        <w:rPr>
          <w:rFonts w:ascii="Book Antiqua" w:hAnsi="Book Antiqua"/>
          <w:vertAlign w:val="superscript"/>
        </w:rPr>
        <w:t>[37]</w:t>
      </w:r>
      <w:r w:rsidRPr="005427FA">
        <w:rPr>
          <w:rFonts w:ascii="Book Antiqua" w:hAnsi="Book Antiqua"/>
        </w:rPr>
        <w:t>.</w:t>
      </w:r>
      <w:r>
        <w:rPr>
          <w:rFonts w:ascii="Book Antiqua" w:hAnsi="Book Antiqua"/>
        </w:rPr>
        <w:t xml:space="preserve"> </w:t>
      </w:r>
      <w:r w:rsidRPr="005427FA">
        <w:rPr>
          <w:rFonts w:ascii="Book Antiqua" w:hAnsi="Book Antiqua"/>
        </w:rPr>
        <w:t xml:space="preserve">This figure was constructed using data from Blackler </w:t>
      </w:r>
      <w:r w:rsidRPr="001F075D">
        <w:rPr>
          <w:rFonts w:ascii="Book Antiqua" w:hAnsi="Book Antiqua"/>
          <w:i/>
        </w:rPr>
        <w:t>et al</w:t>
      </w:r>
      <w:r w:rsidRPr="005427FA">
        <w:rPr>
          <w:rFonts w:ascii="Book Antiqua" w:hAnsi="Book Antiqua"/>
          <w:vertAlign w:val="superscript"/>
        </w:rPr>
        <w:t>[175]</w:t>
      </w:r>
      <w:r w:rsidRPr="005427FA">
        <w:rPr>
          <w:rFonts w:ascii="Book Antiqua" w:hAnsi="Book Antiqua"/>
        </w:rPr>
        <w:t>.</w:t>
      </w:r>
    </w:p>
    <w:p w:rsidR="002550C2" w:rsidRPr="005427FA" w:rsidRDefault="002550C2" w:rsidP="005427FA">
      <w:pPr>
        <w:pStyle w:val="a6"/>
        <w:spacing w:before="0" w:beforeAutospacing="0" w:after="0" w:afterAutospacing="0" w:line="360" w:lineRule="auto"/>
        <w:jc w:val="both"/>
        <w:rPr>
          <w:rFonts w:ascii="Book Antiqua" w:hAnsi="Book Antiqua"/>
          <w:b/>
          <w:sz w:val="24"/>
          <w:szCs w:val="24"/>
        </w:rPr>
      </w:pPr>
    </w:p>
    <w:p w:rsidR="002550C2" w:rsidRDefault="002550C2" w:rsidP="005427FA">
      <w:pPr>
        <w:pStyle w:val="a6"/>
        <w:spacing w:before="0" w:beforeAutospacing="0" w:after="0" w:afterAutospacing="0" w:line="360" w:lineRule="auto"/>
        <w:jc w:val="both"/>
        <w:rPr>
          <w:rFonts w:ascii="Book Antiqua" w:eastAsia="宋体" w:hAnsi="Book Antiqua"/>
          <w:sz w:val="24"/>
          <w:szCs w:val="24"/>
          <w:lang w:eastAsia="zh-CN"/>
        </w:rPr>
      </w:pPr>
      <w:r>
        <w:rPr>
          <w:rFonts w:ascii="Book Antiqua" w:hAnsi="Book Antiqua"/>
          <w:b/>
          <w:sz w:val="24"/>
          <w:szCs w:val="24"/>
        </w:rPr>
        <w:lastRenderedPageBreak/>
        <w:t>Figure 3</w:t>
      </w:r>
      <w:r w:rsidRPr="005427FA">
        <w:rPr>
          <w:rFonts w:ascii="Book Antiqua" w:hAnsi="Book Antiqua"/>
          <w:b/>
          <w:sz w:val="24"/>
          <w:szCs w:val="24"/>
        </w:rPr>
        <w:t xml:space="preserve"> Pathogenesis of </w:t>
      </w:r>
      <w:r w:rsidRPr="00985B5B">
        <w:rPr>
          <w:rFonts w:ascii="Book Antiqua" w:hAnsi="Book Antiqua"/>
          <w:b/>
          <w:sz w:val="24"/>
          <w:szCs w:val="24"/>
        </w:rPr>
        <w:t>nonsteroidal anti-inflammatory drugs</w:t>
      </w:r>
      <w:r w:rsidRPr="005427FA">
        <w:rPr>
          <w:rFonts w:ascii="Book Antiqua" w:hAnsi="Book Antiqua"/>
          <w:b/>
          <w:sz w:val="24"/>
          <w:szCs w:val="24"/>
        </w:rPr>
        <w:t>-Induced enteropathy</w:t>
      </w:r>
      <w:r>
        <w:rPr>
          <w:rFonts w:ascii="Book Antiqua" w:eastAsia="宋体" w:hAnsi="Book Antiqua"/>
          <w:b/>
          <w:sz w:val="24"/>
          <w:szCs w:val="24"/>
          <w:lang w:eastAsia="zh-CN"/>
        </w:rPr>
        <w:t>.</w:t>
      </w:r>
      <w:r>
        <w:rPr>
          <w:rFonts w:ascii="Book Antiqua" w:hAnsi="Book Antiqua"/>
          <w:b/>
          <w:sz w:val="24"/>
          <w:szCs w:val="24"/>
        </w:rPr>
        <w:t xml:space="preserve"> </w:t>
      </w:r>
      <w:r w:rsidRPr="00836B2C">
        <w:rPr>
          <w:rFonts w:ascii="Book Antiqua" w:hAnsi="Book Antiqua"/>
          <w:sz w:val="24"/>
          <w:szCs w:val="24"/>
        </w:rPr>
        <w:t>Nonsteroidal anti-inflammatory drugs (NSAIDs)</w:t>
      </w:r>
      <w:r w:rsidRPr="005427FA">
        <w:rPr>
          <w:rFonts w:ascii="Book Antiqua" w:hAnsi="Book Antiqua"/>
          <w:sz w:val="24"/>
          <w:szCs w:val="24"/>
        </w:rPr>
        <w:t xml:space="preserve"> produce effects during their initial exposure to the small intestine, and when secreted back into the proximal small intestine, along with bile, following their absorption in the distal intestine, and glucuronidation in the liver.</w:t>
      </w:r>
      <w:r>
        <w:rPr>
          <w:rFonts w:ascii="Book Antiqua" w:hAnsi="Book Antiqua"/>
          <w:sz w:val="24"/>
          <w:szCs w:val="24"/>
        </w:rPr>
        <w:t xml:space="preserve"> </w:t>
      </w:r>
      <w:r w:rsidRPr="005427FA">
        <w:rPr>
          <w:rFonts w:ascii="Book Antiqua" w:hAnsi="Book Antiqua"/>
          <w:sz w:val="24"/>
          <w:szCs w:val="24"/>
        </w:rPr>
        <w:t>Suppression of thromboxane synthesis likely plays an important role in promoting bleeding (especially with aspirin, an irreversible inhibitor of platelet thromboxane synthesis).</w:t>
      </w:r>
      <w:r>
        <w:rPr>
          <w:rFonts w:ascii="Book Antiqua" w:hAnsi="Book Antiqua"/>
          <w:sz w:val="24"/>
          <w:szCs w:val="24"/>
        </w:rPr>
        <w:t xml:space="preserve"> </w:t>
      </w:r>
      <w:r w:rsidRPr="005427FA">
        <w:rPr>
          <w:rFonts w:ascii="Book Antiqua" w:hAnsi="Book Antiqua"/>
          <w:sz w:val="24"/>
          <w:szCs w:val="24"/>
        </w:rPr>
        <w:t>Repeated exposure of the intestinal epithelium to the combination of NSAIDs and bile will promote damage, and the damage is likely exacerbated by the shift in intestinal bacteria stimulated by the NSAID (elevated gram-negative bacteria).</w:t>
      </w:r>
      <w:r>
        <w:rPr>
          <w:rFonts w:ascii="Book Antiqua" w:hAnsi="Book Antiqua"/>
          <w:sz w:val="24"/>
          <w:szCs w:val="24"/>
        </w:rPr>
        <w:t xml:space="preserve"> </w:t>
      </w:r>
      <w:r w:rsidRPr="005427FA">
        <w:rPr>
          <w:rFonts w:ascii="Book Antiqua" w:hAnsi="Book Antiqua"/>
          <w:sz w:val="24"/>
          <w:szCs w:val="24"/>
        </w:rPr>
        <w:t>These effects appear to be mediated by endotoxin, acting at least in part through toll-like receptor-4.</w:t>
      </w:r>
      <w:r>
        <w:rPr>
          <w:rFonts w:ascii="Book Antiqua" w:hAnsi="Book Antiqua"/>
          <w:sz w:val="24"/>
          <w:szCs w:val="24"/>
        </w:rPr>
        <w:t xml:space="preserve"> </w:t>
      </w:r>
      <w:r w:rsidRPr="005427FA">
        <w:rPr>
          <w:rFonts w:ascii="Book Antiqua" w:hAnsi="Book Antiqua"/>
          <w:sz w:val="24"/>
          <w:szCs w:val="24"/>
        </w:rPr>
        <w:t>The interplay among bile, bacteria and recirculation of the NSAID is complex.</w:t>
      </w:r>
      <w:r>
        <w:rPr>
          <w:rFonts w:ascii="Book Antiqua" w:hAnsi="Book Antiqua"/>
          <w:sz w:val="24"/>
          <w:szCs w:val="24"/>
        </w:rPr>
        <w:t xml:space="preserve"> </w:t>
      </w:r>
      <w:r w:rsidRPr="005427FA">
        <w:rPr>
          <w:rFonts w:ascii="Book Antiqua" w:hAnsi="Book Antiqua"/>
          <w:sz w:val="24"/>
          <w:szCs w:val="24"/>
        </w:rPr>
        <w:t>For example, bacterial enzymes convert primary bile acids to secondary bile acids (which may be more damaging) and bacterial enzymes are necessary for deglucuronidation, which permits reabsorption and enterohepatic recirculation of NSAIDs.</w:t>
      </w:r>
    </w:p>
    <w:p w:rsidR="002550C2" w:rsidRPr="00CC5868" w:rsidRDefault="002550C2" w:rsidP="005427FA">
      <w:pPr>
        <w:pStyle w:val="a6"/>
        <w:spacing w:before="0" w:beforeAutospacing="0" w:after="0" w:afterAutospacing="0" w:line="360" w:lineRule="auto"/>
        <w:jc w:val="both"/>
        <w:rPr>
          <w:rFonts w:ascii="Book Antiqua" w:eastAsia="宋体" w:hAnsi="Book Antiqua"/>
          <w:sz w:val="24"/>
          <w:szCs w:val="24"/>
          <w:lang w:eastAsia="zh-CN"/>
        </w:rPr>
      </w:pPr>
    </w:p>
    <w:p w:rsidR="002550C2" w:rsidRPr="005427FA" w:rsidRDefault="002550C2" w:rsidP="005427FA">
      <w:pPr>
        <w:spacing w:line="360" w:lineRule="auto"/>
        <w:jc w:val="both"/>
        <w:rPr>
          <w:rFonts w:ascii="Book Antiqua" w:hAnsi="Book Antiqua"/>
        </w:rPr>
      </w:pPr>
      <w:r>
        <w:rPr>
          <w:rFonts w:ascii="Book Antiqua" w:hAnsi="Book Antiqua"/>
          <w:b/>
        </w:rPr>
        <w:t xml:space="preserve">Figure 4 </w:t>
      </w:r>
      <w:r w:rsidRPr="005427FA">
        <w:rPr>
          <w:rFonts w:ascii="Book Antiqua" w:hAnsi="Book Antiqua"/>
          <w:b/>
        </w:rPr>
        <w:t>Intestinal safety and altered biliary excretion of ATB-346</w:t>
      </w:r>
      <w:r>
        <w:rPr>
          <w:rFonts w:ascii="Book Antiqua" w:eastAsia="宋体" w:hAnsi="Book Antiqua"/>
          <w:b/>
          <w:lang w:eastAsia="zh-CN"/>
        </w:rPr>
        <w:t xml:space="preserve">. </w:t>
      </w:r>
      <w:r w:rsidRPr="005427FA">
        <w:rPr>
          <w:rFonts w:ascii="Book Antiqua" w:hAnsi="Book Antiqua"/>
        </w:rPr>
        <w:t>Panel A:</w:t>
      </w:r>
      <w:r>
        <w:rPr>
          <w:rFonts w:ascii="Book Antiqua" w:hAnsi="Book Antiqua"/>
        </w:rPr>
        <w:t xml:space="preserve"> </w:t>
      </w:r>
      <w:r w:rsidRPr="005427FA">
        <w:rPr>
          <w:rFonts w:ascii="Book Antiqua" w:hAnsi="Book Antiqua"/>
        </w:rPr>
        <w:t>ATB-346 is a hydrogen sulfide-releasing derivative of naproxen</w:t>
      </w:r>
      <w:r w:rsidRPr="005427FA">
        <w:rPr>
          <w:rFonts w:ascii="Book Antiqua" w:hAnsi="Book Antiqua"/>
          <w:vertAlign w:val="superscript"/>
        </w:rPr>
        <w:t>[38]</w:t>
      </w:r>
      <w:r w:rsidRPr="005427FA">
        <w:rPr>
          <w:rFonts w:ascii="Book Antiqua" w:hAnsi="Book Antiqua"/>
        </w:rPr>
        <w:t>.</w:t>
      </w:r>
      <w:r>
        <w:rPr>
          <w:rFonts w:ascii="Book Antiqua" w:hAnsi="Book Antiqua"/>
        </w:rPr>
        <w:t xml:space="preserve"> </w:t>
      </w:r>
      <w:r w:rsidRPr="005427FA">
        <w:rPr>
          <w:rFonts w:ascii="Book Antiqua" w:hAnsi="Book Antiqua"/>
        </w:rPr>
        <w:t xml:space="preserve">When administered to obese Zucker rats, twice-daily for 4.5 </w:t>
      </w:r>
      <w:r>
        <w:rPr>
          <w:rFonts w:ascii="Book Antiqua" w:hAnsi="Book Antiqua"/>
        </w:rPr>
        <w:t>d</w:t>
      </w:r>
      <w:r w:rsidRPr="005427FA">
        <w:rPr>
          <w:rFonts w:ascii="Book Antiqua" w:hAnsi="Book Antiqua"/>
        </w:rPr>
        <w:t xml:space="preserve"> at 10 mg/kg, naproxen induced small intestinal damage that was significantly more severe in the obese rats (</w:t>
      </w:r>
      <w:r w:rsidRPr="00CC5868">
        <w:rPr>
          <w:rFonts w:ascii="Book Antiqua" w:eastAsia="宋体" w:hAnsi="Book Antiqua"/>
          <w:vertAlign w:val="superscript"/>
          <w:lang w:eastAsia="zh-CN"/>
        </w:rPr>
        <w:t>b</w:t>
      </w:r>
      <w:r w:rsidRPr="00CC5868">
        <w:rPr>
          <w:rFonts w:ascii="Book Antiqua" w:hAnsi="Book Antiqua"/>
          <w:i/>
        </w:rPr>
        <w:t>P</w:t>
      </w:r>
      <w:r>
        <w:rPr>
          <w:rFonts w:ascii="Book Antiqua" w:eastAsia="宋体" w:hAnsi="Book Antiqua"/>
          <w:i/>
          <w:lang w:eastAsia="zh-CN"/>
        </w:rPr>
        <w:t xml:space="preserve"> </w:t>
      </w:r>
      <w:r w:rsidRPr="005427FA">
        <w:rPr>
          <w:rFonts w:ascii="Book Antiqua" w:hAnsi="Book Antiqua"/>
        </w:rPr>
        <w:t>&lt;</w:t>
      </w:r>
      <w:r>
        <w:rPr>
          <w:rFonts w:ascii="Book Antiqua" w:eastAsia="宋体" w:hAnsi="Book Antiqua"/>
          <w:lang w:eastAsia="zh-CN"/>
        </w:rPr>
        <w:t xml:space="preserve"> </w:t>
      </w:r>
      <w:r w:rsidRPr="005427FA">
        <w:rPr>
          <w:rFonts w:ascii="Book Antiqua" w:hAnsi="Book Antiqua"/>
        </w:rPr>
        <w:t>0.01).</w:t>
      </w:r>
      <w:r>
        <w:rPr>
          <w:rFonts w:ascii="Book Antiqua" w:hAnsi="Book Antiqua"/>
        </w:rPr>
        <w:t xml:space="preserve"> </w:t>
      </w:r>
      <w:r w:rsidRPr="005427FA">
        <w:rPr>
          <w:rFonts w:ascii="Book Antiqua" w:hAnsi="Book Antiqua"/>
        </w:rPr>
        <w:t>However, at an equimolar dose, ATB-346 did not induce intestinal damage in lean or obese rats</w:t>
      </w:r>
      <w:r w:rsidRPr="005427FA">
        <w:rPr>
          <w:rFonts w:ascii="Book Antiqua" w:hAnsi="Book Antiqua"/>
          <w:vertAlign w:val="superscript"/>
        </w:rPr>
        <w:t>[175]</w:t>
      </w:r>
      <w:r>
        <w:rPr>
          <w:rFonts w:ascii="Book Antiqua" w:eastAsia="宋体" w:hAnsi="Book Antiqua"/>
          <w:lang w:eastAsia="zh-CN"/>
        </w:rPr>
        <w:t xml:space="preserve">; </w:t>
      </w:r>
      <w:r w:rsidRPr="005427FA">
        <w:rPr>
          <w:rFonts w:ascii="Book Antiqua" w:hAnsi="Book Antiqua"/>
        </w:rPr>
        <w:t>Panel B:</w:t>
      </w:r>
      <w:r>
        <w:rPr>
          <w:rFonts w:ascii="Book Antiqua" w:hAnsi="Book Antiqua"/>
        </w:rPr>
        <w:t xml:space="preserve"> </w:t>
      </w:r>
      <w:r w:rsidRPr="005427FA">
        <w:rPr>
          <w:rFonts w:ascii="Book Antiqua" w:hAnsi="Book Antiqua"/>
        </w:rPr>
        <w:t xml:space="preserve">The serum levels of naproxen in normal rats after 4.5 </w:t>
      </w:r>
      <w:r>
        <w:rPr>
          <w:rFonts w:ascii="Book Antiqua" w:hAnsi="Book Antiqua"/>
        </w:rPr>
        <w:t>d</w:t>
      </w:r>
      <w:r w:rsidRPr="005427FA">
        <w:rPr>
          <w:rFonts w:ascii="Book Antiqua" w:hAnsi="Book Antiqua"/>
        </w:rPr>
        <w:t xml:space="preserve"> of twice-daily</w:t>
      </w:r>
      <w:r>
        <w:rPr>
          <w:rFonts w:ascii="Book Antiqua" w:hAnsi="Book Antiqua"/>
        </w:rPr>
        <w:t xml:space="preserve"> </w:t>
      </w:r>
      <w:r w:rsidRPr="005427FA">
        <w:rPr>
          <w:rFonts w:ascii="Book Antiqua" w:hAnsi="Book Antiqua"/>
        </w:rPr>
        <w:t>administration of ATB-346 were marginally, but significantly (</w:t>
      </w:r>
      <w:r w:rsidRPr="00CC5868">
        <w:rPr>
          <w:rFonts w:ascii="Book Antiqua" w:eastAsia="宋体" w:hAnsi="Book Antiqua"/>
          <w:vertAlign w:val="superscript"/>
          <w:lang w:eastAsia="zh-CN"/>
        </w:rPr>
        <w:t>a</w:t>
      </w:r>
      <w:r w:rsidRPr="00CC5868">
        <w:rPr>
          <w:rFonts w:ascii="Book Antiqua" w:hAnsi="Book Antiqua"/>
          <w:i/>
        </w:rPr>
        <w:t>P</w:t>
      </w:r>
      <w:r>
        <w:rPr>
          <w:rFonts w:ascii="Book Antiqua" w:eastAsia="宋体" w:hAnsi="Book Antiqua"/>
          <w:i/>
          <w:lang w:eastAsia="zh-CN"/>
        </w:rPr>
        <w:t xml:space="preserve"> </w:t>
      </w:r>
      <w:r w:rsidRPr="005427FA">
        <w:rPr>
          <w:rFonts w:ascii="Book Antiqua" w:hAnsi="Book Antiqua"/>
        </w:rPr>
        <w:t>&lt;</w:t>
      </w:r>
      <w:r>
        <w:rPr>
          <w:rFonts w:ascii="Book Antiqua" w:eastAsia="宋体" w:hAnsi="Book Antiqua"/>
          <w:lang w:eastAsia="zh-CN"/>
        </w:rPr>
        <w:t xml:space="preserve"> </w:t>
      </w:r>
      <w:r w:rsidRPr="005427FA">
        <w:rPr>
          <w:rFonts w:ascii="Book Antiqua" w:hAnsi="Book Antiqua"/>
        </w:rPr>
        <w:t>0.05) lower than those in rats treated with an equimolar dose of naproxen</w:t>
      </w:r>
      <w:r>
        <w:rPr>
          <w:rFonts w:ascii="Book Antiqua" w:eastAsia="宋体" w:hAnsi="Book Antiqua"/>
          <w:lang w:eastAsia="zh-CN"/>
        </w:rPr>
        <w:t xml:space="preserve">; </w:t>
      </w:r>
      <w:r w:rsidRPr="005427FA">
        <w:rPr>
          <w:rFonts w:ascii="Book Antiqua" w:hAnsi="Book Antiqua"/>
        </w:rPr>
        <w:t>Panel C:</w:t>
      </w:r>
      <w:r>
        <w:rPr>
          <w:rFonts w:ascii="Book Antiqua" w:hAnsi="Book Antiqua"/>
        </w:rPr>
        <w:t xml:space="preserve"> </w:t>
      </w:r>
      <w:r w:rsidRPr="005427FA">
        <w:rPr>
          <w:rFonts w:ascii="Book Antiqua" w:hAnsi="Book Antiqua"/>
        </w:rPr>
        <w:t>Biliary levels of naproxen in rats treated with ATB-346 (as above) were markedly reduced compared to those in rats treated with an equimolar dose of naproxen (</w:t>
      </w:r>
      <w:r w:rsidRPr="00CC5868">
        <w:rPr>
          <w:rFonts w:ascii="Book Antiqua" w:eastAsia="宋体" w:hAnsi="Book Antiqua"/>
          <w:vertAlign w:val="superscript"/>
          <w:lang w:eastAsia="zh-CN"/>
        </w:rPr>
        <w:t>c</w:t>
      </w:r>
      <w:r w:rsidRPr="00CC5868">
        <w:rPr>
          <w:rFonts w:ascii="Book Antiqua" w:hAnsi="Book Antiqua"/>
          <w:i/>
        </w:rPr>
        <w:t>P</w:t>
      </w:r>
      <w:r>
        <w:rPr>
          <w:rFonts w:ascii="Book Antiqua" w:eastAsia="宋体" w:hAnsi="Book Antiqua"/>
          <w:i/>
          <w:lang w:eastAsia="zh-CN"/>
        </w:rPr>
        <w:t xml:space="preserve"> </w:t>
      </w:r>
      <w:r w:rsidRPr="005427FA">
        <w:rPr>
          <w:rFonts w:ascii="Book Antiqua" w:hAnsi="Book Antiqua"/>
        </w:rPr>
        <w:t>&lt;</w:t>
      </w:r>
      <w:r>
        <w:rPr>
          <w:rFonts w:ascii="Book Antiqua" w:eastAsia="宋体" w:hAnsi="Book Antiqua"/>
          <w:lang w:eastAsia="zh-CN"/>
        </w:rPr>
        <w:t xml:space="preserve"> </w:t>
      </w:r>
      <w:r w:rsidRPr="005427FA">
        <w:rPr>
          <w:rFonts w:ascii="Book Antiqua" w:hAnsi="Book Antiqua"/>
        </w:rPr>
        <w:t>0.001).</w:t>
      </w:r>
      <w:r>
        <w:rPr>
          <w:rFonts w:ascii="Book Antiqua" w:hAnsi="Book Antiqua"/>
        </w:rPr>
        <w:t xml:space="preserve"> </w:t>
      </w:r>
      <w:r w:rsidRPr="005427FA">
        <w:rPr>
          <w:rFonts w:ascii="Book Antiqua" w:hAnsi="Book Antiqua"/>
        </w:rPr>
        <w:t xml:space="preserve">The data shown in this graph are from Blackler </w:t>
      </w:r>
      <w:r w:rsidRPr="001F075D">
        <w:rPr>
          <w:rFonts w:ascii="Book Antiqua" w:hAnsi="Book Antiqua"/>
          <w:i/>
        </w:rPr>
        <w:t>et al</w:t>
      </w:r>
      <w:r w:rsidRPr="005427FA">
        <w:rPr>
          <w:rFonts w:ascii="Book Antiqua" w:hAnsi="Book Antiqua"/>
          <w:vertAlign w:val="superscript"/>
        </w:rPr>
        <w:t>[175]</w:t>
      </w:r>
      <w:r w:rsidRPr="005427FA">
        <w:rPr>
          <w:rFonts w:ascii="Book Antiqua" w:hAnsi="Book Antiqua"/>
        </w:rPr>
        <w:t>.</w:t>
      </w:r>
    </w:p>
    <w:p w:rsidR="002550C2" w:rsidRPr="005427FA" w:rsidRDefault="002550C2" w:rsidP="005427FA">
      <w:pPr>
        <w:pStyle w:val="a6"/>
        <w:spacing w:before="0" w:beforeAutospacing="0" w:after="0" w:afterAutospacing="0" w:line="360" w:lineRule="auto"/>
        <w:jc w:val="both"/>
        <w:rPr>
          <w:rFonts w:ascii="Book Antiqua" w:hAnsi="Book Antiqua"/>
          <w:sz w:val="24"/>
          <w:szCs w:val="24"/>
        </w:rPr>
      </w:pPr>
    </w:p>
    <w:p w:rsidR="002550C2" w:rsidRPr="005427FA" w:rsidRDefault="002550C2" w:rsidP="005427FA">
      <w:pPr>
        <w:spacing w:line="360" w:lineRule="auto"/>
        <w:jc w:val="both"/>
        <w:rPr>
          <w:rFonts w:ascii="Book Antiqua" w:hAnsi="Book Antiqua"/>
        </w:rPr>
      </w:pPr>
    </w:p>
    <w:sectPr w:rsidR="002550C2" w:rsidRPr="005427FA" w:rsidSect="00563B10">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67" w:rsidRDefault="00F93C67" w:rsidP="00563B10">
      <w:r>
        <w:separator/>
      </w:r>
    </w:p>
  </w:endnote>
  <w:endnote w:type="continuationSeparator" w:id="0">
    <w:p w:rsidR="00F93C67" w:rsidRDefault="00F93C67" w:rsidP="0056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67" w:rsidRDefault="00F93C67" w:rsidP="00563B10">
      <w:r>
        <w:separator/>
      </w:r>
    </w:p>
  </w:footnote>
  <w:footnote w:type="continuationSeparator" w:id="0">
    <w:p w:rsidR="00F93C67" w:rsidRDefault="00F93C67" w:rsidP="0056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2" w:rsidRDefault="002550C2" w:rsidP="00563B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550C2" w:rsidRDefault="002550C2" w:rsidP="00563B1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2" w:rsidRDefault="002550C2" w:rsidP="00563B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F1106">
      <w:rPr>
        <w:rStyle w:val="aa"/>
        <w:noProof/>
      </w:rPr>
      <w:t>2</w:t>
    </w:r>
    <w:r>
      <w:rPr>
        <w:rStyle w:val="aa"/>
      </w:rPr>
      <w:fldChar w:fldCharType="end"/>
    </w:r>
  </w:p>
  <w:p w:rsidR="002550C2" w:rsidRDefault="002550C2" w:rsidP="00563B10">
    <w:pPr>
      <w:pStyle w:val="a8"/>
      <w:ind w:right="360"/>
      <w:jc w:val="right"/>
    </w:pPr>
    <w:r>
      <w:t xml:space="preserve">Wallace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F07"/>
    <w:multiLevelType w:val="hybridMultilevel"/>
    <w:tmpl w:val="EB8AB9AE"/>
    <w:lvl w:ilvl="0" w:tplc="41FE15A0">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36C57"/>
    <w:multiLevelType w:val="hybridMultilevel"/>
    <w:tmpl w:val="3BD6128E"/>
    <w:lvl w:ilvl="0" w:tplc="571A1B4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32EA"/>
    <w:multiLevelType w:val="hybridMultilevel"/>
    <w:tmpl w:val="65027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97061B"/>
    <w:multiLevelType w:val="hybridMultilevel"/>
    <w:tmpl w:val="65027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B25F5F"/>
    <w:multiLevelType w:val="hybridMultilevel"/>
    <w:tmpl w:val="65027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122261"/>
    <w:multiLevelType w:val="hybridMultilevel"/>
    <w:tmpl w:val="65027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3D2F1A"/>
    <w:multiLevelType w:val="multilevel"/>
    <w:tmpl w:val="5B9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64DEC"/>
    <w:multiLevelType w:val="hybridMultilevel"/>
    <w:tmpl w:val="E09A0F96"/>
    <w:lvl w:ilvl="0" w:tplc="2E0E55B8">
      <w:numFmt w:val="bullet"/>
      <w:lvlText w:val=""/>
      <w:lvlJc w:val="left"/>
      <w:pPr>
        <w:ind w:left="720" w:hanging="360"/>
      </w:pPr>
      <w:rPr>
        <w:rFonts w:ascii="Wingdings" w:eastAsia="MS Mincho"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E9"/>
    <w:rsid w:val="000010AC"/>
    <w:rsid w:val="00001D37"/>
    <w:rsid w:val="00004A43"/>
    <w:rsid w:val="00005541"/>
    <w:rsid w:val="000148C6"/>
    <w:rsid w:val="000168B2"/>
    <w:rsid w:val="00017230"/>
    <w:rsid w:val="000231FF"/>
    <w:rsid w:val="000241BD"/>
    <w:rsid w:val="000302CB"/>
    <w:rsid w:val="0003736A"/>
    <w:rsid w:val="00040F90"/>
    <w:rsid w:val="00041E3F"/>
    <w:rsid w:val="0004526D"/>
    <w:rsid w:val="000461D1"/>
    <w:rsid w:val="00052856"/>
    <w:rsid w:val="00053CD8"/>
    <w:rsid w:val="000546CE"/>
    <w:rsid w:val="00065000"/>
    <w:rsid w:val="000671F4"/>
    <w:rsid w:val="00070D90"/>
    <w:rsid w:val="0007139D"/>
    <w:rsid w:val="00074515"/>
    <w:rsid w:val="000755BC"/>
    <w:rsid w:val="0007723F"/>
    <w:rsid w:val="00080B07"/>
    <w:rsid w:val="00091C45"/>
    <w:rsid w:val="00092D6A"/>
    <w:rsid w:val="000A03A6"/>
    <w:rsid w:val="000A7CBE"/>
    <w:rsid w:val="000B1683"/>
    <w:rsid w:val="000B4895"/>
    <w:rsid w:val="000B6E17"/>
    <w:rsid w:val="000B789D"/>
    <w:rsid w:val="000C29DD"/>
    <w:rsid w:val="000C2A47"/>
    <w:rsid w:val="000C4676"/>
    <w:rsid w:val="000D46E1"/>
    <w:rsid w:val="000D7794"/>
    <w:rsid w:val="000E04EB"/>
    <w:rsid w:val="000E1B54"/>
    <w:rsid w:val="000E4767"/>
    <w:rsid w:val="000E50AD"/>
    <w:rsid w:val="000E5ED5"/>
    <w:rsid w:val="000F0FB0"/>
    <w:rsid w:val="000F1DA3"/>
    <w:rsid w:val="000F2A1D"/>
    <w:rsid w:val="000F6C09"/>
    <w:rsid w:val="0010022B"/>
    <w:rsid w:val="00100B60"/>
    <w:rsid w:val="00101238"/>
    <w:rsid w:val="00103AC0"/>
    <w:rsid w:val="00103F6F"/>
    <w:rsid w:val="00105689"/>
    <w:rsid w:val="00106236"/>
    <w:rsid w:val="0010780C"/>
    <w:rsid w:val="00107D1D"/>
    <w:rsid w:val="00112ED9"/>
    <w:rsid w:val="001136EB"/>
    <w:rsid w:val="001164A2"/>
    <w:rsid w:val="001172EB"/>
    <w:rsid w:val="0012035B"/>
    <w:rsid w:val="00120C8C"/>
    <w:rsid w:val="00121228"/>
    <w:rsid w:val="00122288"/>
    <w:rsid w:val="00122A20"/>
    <w:rsid w:val="00122ED3"/>
    <w:rsid w:val="0012486D"/>
    <w:rsid w:val="00130630"/>
    <w:rsid w:val="00130DF3"/>
    <w:rsid w:val="00132F7C"/>
    <w:rsid w:val="001332F8"/>
    <w:rsid w:val="00136CEF"/>
    <w:rsid w:val="001371DB"/>
    <w:rsid w:val="00141C4C"/>
    <w:rsid w:val="0014451D"/>
    <w:rsid w:val="00145B07"/>
    <w:rsid w:val="00147A9F"/>
    <w:rsid w:val="00151DCB"/>
    <w:rsid w:val="00160479"/>
    <w:rsid w:val="00165733"/>
    <w:rsid w:val="0016702B"/>
    <w:rsid w:val="00167A59"/>
    <w:rsid w:val="00180120"/>
    <w:rsid w:val="001803FF"/>
    <w:rsid w:val="00180B6E"/>
    <w:rsid w:val="00180DD7"/>
    <w:rsid w:val="00181AB0"/>
    <w:rsid w:val="001821B4"/>
    <w:rsid w:val="001851C7"/>
    <w:rsid w:val="00193210"/>
    <w:rsid w:val="00193D9F"/>
    <w:rsid w:val="0019574F"/>
    <w:rsid w:val="001977BD"/>
    <w:rsid w:val="00197AE5"/>
    <w:rsid w:val="001B17EB"/>
    <w:rsid w:val="001B53B0"/>
    <w:rsid w:val="001C14EB"/>
    <w:rsid w:val="001C1E4E"/>
    <w:rsid w:val="001C274E"/>
    <w:rsid w:val="001D4B79"/>
    <w:rsid w:val="001D5C39"/>
    <w:rsid w:val="001D68F7"/>
    <w:rsid w:val="001E035A"/>
    <w:rsid w:val="001E0A35"/>
    <w:rsid w:val="001E45DE"/>
    <w:rsid w:val="001E5C27"/>
    <w:rsid w:val="001E787F"/>
    <w:rsid w:val="001F075D"/>
    <w:rsid w:val="001F52B8"/>
    <w:rsid w:val="001F540E"/>
    <w:rsid w:val="001F54C9"/>
    <w:rsid w:val="001F5900"/>
    <w:rsid w:val="00201E10"/>
    <w:rsid w:val="002036A8"/>
    <w:rsid w:val="00206CBD"/>
    <w:rsid w:val="00207E4A"/>
    <w:rsid w:val="00207FBA"/>
    <w:rsid w:val="00210352"/>
    <w:rsid w:val="00210C4A"/>
    <w:rsid w:val="00210E82"/>
    <w:rsid w:val="0021288A"/>
    <w:rsid w:val="00213388"/>
    <w:rsid w:val="00223F4F"/>
    <w:rsid w:val="002278F2"/>
    <w:rsid w:val="00227B79"/>
    <w:rsid w:val="00232DB9"/>
    <w:rsid w:val="00237352"/>
    <w:rsid w:val="002373F8"/>
    <w:rsid w:val="00237C85"/>
    <w:rsid w:val="0024351E"/>
    <w:rsid w:val="0024739B"/>
    <w:rsid w:val="002508DB"/>
    <w:rsid w:val="002530C2"/>
    <w:rsid w:val="00254836"/>
    <w:rsid w:val="002550C2"/>
    <w:rsid w:val="002569FB"/>
    <w:rsid w:val="00260FA0"/>
    <w:rsid w:val="00262470"/>
    <w:rsid w:val="00263F03"/>
    <w:rsid w:val="0026402E"/>
    <w:rsid w:val="00265546"/>
    <w:rsid w:val="00270312"/>
    <w:rsid w:val="00271B4C"/>
    <w:rsid w:val="0027590A"/>
    <w:rsid w:val="0028050C"/>
    <w:rsid w:val="00280B7A"/>
    <w:rsid w:val="00280C56"/>
    <w:rsid w:val="00282C7E"/>
    <w:rsid w:val="00283A93"/>
    <w:rsid w:val="00284696"/>
    <w:rsid w:val="002873F2"/>
    <w:rsid w:val="00287E13"/>
    <w:rsid w:val="00290D9F"/>
    <w:rsid w:val="00295BDC"/>
    <w:rsid w:val="002A0A84"/>
    <w:rsid w:val="002A0F89"/>
    <w:rsid w:val="002A18AF"/>
    <w:rsid w:val="002A34B0"/>
    <w:rsid w:val="002A4E84"/>
    <w:rsid w:val="002A7590"/>
    <w:rsid w:val="002B00BD"/>
    <w:rsid w:val="002B1787"/>
    <w:rsid w:val="002B3C73"/>
    <w:rsid w:val="002B4D94"/>
    <w:rsid w:val="002C73D0"/>
    <w:rsid w:val="002D0045"/>
    <w:rsid w:val="002D2BC6"/>
    <w:rsid w:val="002D3306"/>
    <w:rsid w:val="002E15EA"/>
    <w:rsid w:val="002E3D5A"/>
    <w:rsid w:val="002F1106"/>
    <w:rsid w:val="002F1296"/>
    <w:rsid w:val="002F13CC"/>
    <w:rsid w:val="002F1C11"/>
    <w:rsid w:val="002F1D20"/>
    <w:rsid w:val="002F277A"/>
    <w:rsid w:val="002F349B"/>
    <w:rsid w:val="002F5E52"/>
    <w:rsid w:val="00301B2D"/>
    <w:rsid w:val="00301BE3"/>
    <w:rsid w:val="00305156"/>
    <w:rsid w:val="00310A78"/>
    <w:rsid w:val="00313EDB"/>
    <w:rsid w:val="00314CB4"/>
    <w:rsid w:val="00316366"/>
    <w:rsid w:val="00316C65"/>
    <w:rsid w:val="00320CB1"/>
    <w:rsid w:val="00323F0E"/>
    <w:rsid w:val="00324CEB"/>
    <w:rsid w:val="00325722"/>
    <w:rsid w:val="00327454"/>
    <w:rsid w:val="003312A9"/>
    <w:rsid w:val="00335035"/>
    <w:rsid w:val="003358E9"/>
    <w:rsid w:val="0033705D"/>
    <w:rsid w:val="00337EAE"/>
    <w:rsid w:val="003408E1"/>
    <w:rsid w:val="0035107C"/>
    <w:rsid w:val="0035469D"/>
    <w:rsid w:val="00355E41"/>
    <w:rsid w:val="003573F2"/>
    <w:rsid w:val="0036237D"/>
    <w:rsid w:val="003651C0"/>
    <w:rsid w:val="0037011C"/>
    <w:rsid w:val="00370465"/>
    <w:rsid w:val="00370A78"/>
    <w:rsid w:val="00370B8B"/>
    <w:rsid w:val="00373E6A"/>
    <w:rsid w:val="00374C53"/>
    <w:rsid w:val="003768A8"/>
    <w:rsid w:val="0037784E"/>
    <w:rsid w:val="00380D39"/>
    <w:rsid w:val="003836E5"/>
    <w:rsid w:val="003849D5"/>
    <w:rsid w:val="00390A97"/>
    <w:rsid w:val="003915B2"/>
    <w:rsid w:val="0039275F"/>
    <w:rsid w:val="00394D5B"/>
    <w:rsid w:val="003A0BB5"/>
    <w:rsid w:val="003A0F8D"/>
    <w:rsid w:val="003A34D6"/>
    <w:rsid w:val="003B1386"/>
    <w:rsid w:val="003B15CE"/>
    <w:rsid w:val="003B391C"/>
    <w:rsid w:val="003B575D"/>
    <w:rsid w:val="003B64A8"/>
    <w:rsid w:val="003B6E60"/>
    <w:rsid w:val="003B7FA2"/>
    <w:rsid w:val="003C12B3"/>
    <w:rsid w:val="003C1958"/>
    <w:rsid w:val="003C2A5F"/>
    <w:rsid w:val="003D31C9"/>
    <w:rsid w:val="003D4397"/>
    <w:rsid w:val="003D63EC"/>
    <w:rsid w:val="003D67ED"/>
    <w:rsid w:val="003D68A6"/>
    <w:rsid w:val="003E2E58"/>
    <w:rsid w:val="003E3B46"/>
    <w:rsid w:val="003E7674"/>
    <w:rsid w:val="003F34AC"/>
    <w:rsid w:val="003F3FAA"/>
    <w:rsid w:val="004003B9"/>
    <w:rsid w:val="00400F48"/>
    <w:rsid w:val="004077F7"/>
    <w:rsid w:val="00410448"/>
    <w:rsid w:val="00414627"/>
    <w:rsid w:val="00415E84"/>
    <w:rsid w:val="00417A49"/>
    <w:rsid w:val="00421164"/>
    <w:rsid w:val="00421E83"/>
    <w:rsid w:val="00421FC9"/>
    <w:rsid w:val="00422DD8"/>
    <w:rsid w:val="00423A5B"/>
    <w:rsid w:val="004255CA"/>
    <w:rsid w:val="00433AF5"/>
    <w:rsid w:val="00434874"/>
    <w:rsid w:val="00436EAD"/>
    <w:rsid w:val="0044097A"/>
    <w:rsid w:val="0044503D"/>
    <w:rsid w:val="004472A6"/>
    <w:rsid w:val="00450706"/>
    <w:rsid w:val="0045096B"/>
    <w:rsid w:val="00450FB1"/>
    <w:rsid w:val="004548BB"/>
    <w:rsid w:val="00460B58"/>
    <w:rsid w:val="00460CB6"/>
    <w:rsid w:val="00461175"/>
    <w:rsid w:val="00461E7B"/>
    <w:rsid w:val="00461F9F"/>
    <w:rsid w:val="00465221"/>
    <w:rsid w:val="00466A17"/>
    <w:rsid w:val="0046706D"/>
    <w:rsid w:val="00471CC8"/>
    <w:rsid w:val="00475A86"/>
    <w:rsid w:val="00483AD8"/>
    <w:rsid w:val="00493758"/>
    <w:rsid w:val="00497718"/>
    <w:rsid w:val="004A10D5"/>
    <w:rsid w:val="004A444A"/>
    <w:rsid w:val="004A51EA"/>
    <w:rsid w:val="004A5606"/>
    <w:rsid w:val="004B11E1"/>
    <w:rsid w:val="004B3AAE"/>
    <w:rsid w:val="004B400D"/>
    <w:rsid w:val="004B445C"/>
    <w:rsid w:val="004B5CF9"/>
    <w:rsid w:val="004C08AA"/>
    <w:rsid w:val="004C0A03"/>
    <w:rsid w:val="004C6F15"/>
    <w:rsid w:val="004D5FCB"/>
    <w:rsid w:val="004D6E7F"/>
    <w:rsid w:val="004E1A84"/>
    <w:rsid w:val="004E5EDE"/>
    <w:rsid w:val="004F1AA1"/>
    <w:rsid w:val="004F2FAD"/>
    <w:rsid w:val="004F6BE2"/>
    <w:rsid w:val="004F7EDC"/>
    <w:rsid w:val="00501114"/>
    <w:rsid w:val="00504426"/>
    <w:rsid w:val="00514158"/>
    <w:rsid w:val="00515C20"/>
    <w:rsid w:val="00522C53"/>
    <w:rsid w:val="0052305D"/>
    <w:rsid w:val="005230EE"/>
    <w:rsid w:val="00523272"/>
    <w:rsid w:val="005242C0"/>
    <w:rsid w:val="005242C4"/>
    <w:rsid w:val="00525714"/>
    <w:rsid w:val="00527882"/>
    <w:rsid w:val="0053173D"/>
    <w:rsid w:val="00531C21"/>
    <w:rsid w:val="005355F5"/>
    <w:rsid w:val="00535CB9"/>
    <w:rsid w:val="00536156"/>
    <w:rsid w:val="0054276B"/>
    <w:rsid w:val="005427FA"/>
    <w:rsid w:val="00543183"/>
    <w:rsid w:val="00546EC6"/>
    <w:rsid w:val="00550704"/>
    <w:rsid w:val="005519D8"/>
    <w:rsid w:val="00563B10"/>
    <w:rsid w:val="00567D17"/>
    <w:rsid w:val="005716C7"/>
    <w:rsid w:val="005718C8"/>
    <w:rsid w:val="00573281"/>
    <w:rsid w:val="0057794A"/>
    <w:rsid w:val="00581CE4"/>
    <w:rsid w:val="00582AC9"/>
    <w:rsid w:val="00583531"/>
    <w:rsid w:val="005843B1"/>
    <w:rsid w:val="00584B33"/>
    <w:rsid w:val="00584C64"/>
    <w:rsid w:val="00586C36"/>
    <w:rsid w:val="00592118"/>
    <w:rsid w:val="00592888"/>
    <w:rsid w:val="00592F46"/>
    <w:rsid w:val="00595371"/>
    <w:rsid w:val="00595492"/>
    <w:rsid w:val="005A2653"/>
    <w:rsid w:val="005A55AA"/>
    <w:rsid w:val="005B057D"/>
    <w:rsid w:val="005B11EC"/>
    <w:rsid w:val="005B1A4E"/>
    <w:rsid w:val="005B1A9F"/>
    <w:rsid w:val="005B1F1B"/>
    <w:rsid w:val="005B37F7"/>
    <w:rsid w:val="005B3841"/>
    <w:rsid w:val="005B50E6"/>
    <w:rsid w:val="005C370E"/>
    <w:rsid w:val="005C3E89"/>
    <w:rsid w:val="005C5F27"/>
    <w:rsid w:val="005C615B"/>
    <w:rsid w:val="005C6A5F"/>
    <w:rsid w:val="005D4775"/>
    <w:rsid w:val="005D67CD"/>
    <w:rsid w:val="005D75FE"/>
    <w:rsid w:val="005D77EC"/>
    <w:rsid w:val="005D7CB7"/>
    <w:rsid w:val="005E0AA3"/>
    <w:rsid w:val="005F26B1"/>
    <w:rsid w:val="005F5FB1"/>
    <w:rsid w:val="005F70F1"/>
    <w:rsid w:val="00600751"/>
    <w:rsid w:val="006024DF"/>
    <w:rsid w:val="00614CDF"/>
    <w:rsid w:val="00615B22"/>
    <w:rsid w:val="00617C05"/>
    <w:rsid w:val="00617E2D"/>
    <w:rsid w:val="006212CA"/>
    <w:rsid w:val="00621FD1"/>
    <w:rsid w:val="006230B9"/>
    <w:rsid w:val="00624B80"/>
    <w:rsid w:val="00630947"/>
    <w:rsid w:val="00632C6A"/>
    <w:rsid w:val="00636861"/>
    <w:rsid w:val="00636AA8"/>
    <w:rsid w:val="00636AF3"/>
    <w:rsid w:val="00641B93"/>
    <w:rsid w:val="00647260"/>
    <w:rsid w:val="00647545"/>
    <w:rsid w:val="0065232A"/>
    <w:rsid w:val="0065433A"/>
    <w:rsid w:val="00660E27"/>
    <w:rsid w:val="0066367A"/>
    <w:rsid w:val="00666463"/>
    <w:rsid w:val="00666C80"/>
    <w:rsid w:val="00667215"/>
    <w:rsid w:val="0066748F"/>
    <w:rsid w:val="0067007C"/>
    <w:rsid w:val="00675E99"/>
    <w:rsid w:val="006766B0"/>
    <w:rsid w:val="006772EB"/>
    <w:rsid w:val="00681A9A"/>
    <w:rsid w:val="006837CC"/>
    <w:rsid w:val="006837F8"/>
    <w:rsid w:val="00683E06"/>
    <w:rsid w:val="00685EAA"/>
    <w:rsid w:val="006866C1"/>
    <w:rsid w:val="00686830"/>
    <w:rsid w:val="00692EB3"/>
    <w:rsid w:val="00694DC7"/>
    <w:rsid w:val="00697236"/>
    <w:rsid w:val="006A0678"/>
    <w:rsid w:val="006A0A23"/>
    <w:rsid w:val="006A406C"/>
    <w:rsid w:val="006B03F4"/>
    <w:rsid w:val="006B10CF"/>
    <w:rsid w:val="006B1D7C"/>
    <w:rsid w:val="006C09DD"/>
    <w:rsid w:val="006C19E0"/>
    <w:rsid w:val="006C5F4D"/>
    <w:rsid w:val="006C7A6C"/>
    <w:rsid w:val="006D199F"/>
    <w:rsid w:val="006D2352"/>
    <w:rsid w:val="006D2CAD"/>
    <w:rsid w:val="006D4823"/>
    <w:rsid w:val="006D58F7"/>
    <w:rsid w:val="006D60B9"/>
    <w:rsid w:val="006D6899"/>
    <w:rsid w:val="006D6C7A"/>
    <w:rsid w:val="006D735B"/>
    <w:rsid w:val="006E1FC1"/>
    <w:rsid w:val="006E3523"/>
    <w:rsid w:val="006E3F04"/>
    <w:rsid w:val="006E60AE"/>
    <w:rsid w:val="006E6AD6"/>
    <w:rsid w:val="006F4000"/>
    <w:rsid w:val="006F543F"/>
    <w:rsid w:val="006F5491"/>
    <w:rsid w:val="00700B92"/>
    <w:rsid w:val="007025D8"/>
    <w:rsid w:val="007053AD"/>
    <w:rsid w:val="00705D54"/>
    <w:rsid w:val="007113C4"/>
    <w:rsid w:val="007155CB"/>
    <w:rsid w:val="00717B48"/>
    <w:rsid w:val="00720D25"/>
    <w:rsid w:val="00723089"/>
    <w:rsid w:val="00723E58"/>
    <w:rsid w:val="00724FE6"/>
    <w:rsid w:val="00725FDA"/>
    <w:rsid w:val="00726E81"/>
    <w:rsid w:val="007322A4"/>
    <w:rsid w:val="0073633D"/>
    <w:rsid w:val="007448C6"/>
    <w:rsid w:val="0074510A"/>
    <w:rsid w:val="00746257"/>
    <w:rsid w:val="007536E5"/>
    <w:rsid w:val="00765753"/>
    <w:rsid w:val="00765A53"/>
    <w:rsid w:val="007669D4"/>
    <w:rsid w:val="00766D3E"/>
    <w:rsid w:val="007672FD"/>
    <w:rsid w:val="0077056F"/>
    <w:rsid w:val="00771DAA"/>
    <w:rsid w:val="0077364D"/>
    <w:rsid w:val="00777A4B"/>
    <w:rsid w:val="00777F6F"/>
    <w:rsid w:val="00787DDD"/>
    <w:rsid w:val="0079038E"/>
    <w:rsid w:val="00791BA9"/>
    <w:rsid w:val="00791FB2"/>
    <w:rsid w:val="00795608"/>
    <w:rsid w:val="007A1145"/>
    <w:rsid w:val="007A2D2C"/>
    <w:rsid w:val="007A4148"/>
    <w:rsid w:val="007A4229"/>
    <w:rsid w:val="007A635D"/>
    <w:rsid w:val="007A6F4A"/>
    <w:rsid w:val="007A7276"/>
    <w:rsid w:val="007B2581"/>
    <w:rsid w:val="007B40CD"/>
    <w:rsid w:val="007B47D0"/>
    <w:rsid w:val="007B7446"/>
    <w:rsid w:val="007C03A2"/>
    <w:rsid w:val="007C398F"/>
    <w:rsid w:val="007C6339"/>
    <w:rsid w:val="007C6F3E"/>
    <w:rsid w:val="007C713C"/>
    <w:rsid w:val="007D23B8"/>
    <w:rsid w:val="007D3219"/>
    <w:rsid w:val="007D34BA"/>
    <w:rsid w:val="007D5249"/>
    <w:rsid w:val="007D6C34"/>
    <w:rsid w:val="007E070C"/>
    <w:rsid w:val="007E65D0"/>
    <w:rsid w:val="007F326E"/>
    <w:rsid w:val="007F4A5A"/>
    <w:rsid w:val="007F5050"/>
    <w:rsid w:val="007F5248"/>
    <w:rsid w:val="008069F8"/>
    <w:rsid w:val="0080705E"/>
    <w:rsid w:val="00807515"/>
    <w:rsid w:val="00807865"/>
    <w:rsid w:val="00810483"/>
    <w:rsid w:val="00810B98"/>
    <w:rsid w:val="008125CC"/>
    <w:rsid w:val="00814322"/>
    <w:rsid w:val="0081692A"/>
    <w:rsid w:val="00823098"/>
    <w:rsid w:val="008237A3"/>
    <w:rsid w:val="008272F2"/>
    <w:rsid w:val="00836B2C"/>
    <w:rsid w:val="008405FE"/>
    <w:rsid w:val="00841188"/>
    <w:rsid w:val="00841C4E"/>
    <w:rsid w:val="0084748A"/>
    <w:rsid w:val="00853DE3"/>
    <w:rsid w:val="00853FC4"/>
    <w:rsid w:val="008551C9"/>
    <w:rsid w:val="00855FAD"/>
    <w:rsid w:val="008571B3"/>
    <w:rsid w:val="0085774E"/>
    <w:rsid w:val="00860783"/>
    <w:rsid w:val="0086240F"/>
    <w:rsid w:val="00877D74"/>
    <w:rsid w:val="00880726"/>
    <w:rsid w:val="00880CB9"/>
    <w:rsid w:val="0088238B"/>
    <w:rsid w:val="00882944"/>
    <w:rsid w:val="00895B62"/>
    <w:rsid w:val="0089633C"/>
    <w:rsid w:val="008A3BDE"/>
    <w:rsid w:val="008A6B6F"/>
    <w:rsid w:val="008B164B"/>
    <w:rsid w:val="008B230B"/>
    <w:rsid w:val="008B30E2"/>
    <w:rsid w:val="008B3986"/>
    <w:rsid w:val="008B4C6A"/>
    <w:rsid w:val="008B66C3"/>
    <w:rsid w:val="008B6794"/>
    <w:rsid w:val="008B7A14"/>
    <w:rsid w:val="008C2BAF"/>
    <w:rsid w:val="008C398D"/>
    <w:rsid w:val="008C4997"/>
    <w:rsid w:val="008C6D27"/>
    <w:rsid w:val="008D080D"/>
    <w:rsid w:val="008D1CA6"/>
    <w:rsid w:val="008D74DE"/>
    <w:rsid w:val="008E188B"/>
    <w:rsid w:val="008E51D0"/>
    <w:rsid w:val="008E5DA9"/>
    <w:rsid w:val="008F3976"/>
    <w:rsid w:val="008F5CC3"/>
    <w:rsid w:val="00900A46"/>
    <w:rsid w:val="009034E0"/>
    <w:rsid w:val="009039A9"/>
    <w:rsid w:val="00904FE2"/>
    <w:rsid w:val="0090551D"/>
    <w:rsid w:val="0091331C"/>
    <w:rsid w:val="0091439E"/>
    <w:rsid w:val="009226F0"/>
    <w:rsid w:val="00927669"/>
    <w:rsid w:val="009302DD"/>
    <w:rsid w:val="00931333"/>
    <w:rsid w:val="00931345"/>
    <w:rsid w:val="0093417C"/>
    <w:rsid w:val="0093584F"/>
    <w:rsid w:val="00943B6A"/>
    <w:rsid w:val="00944AE7"/>
    <w:rsid w:val="009454AF"/>
    <w:rsid w:val="00946432"/>
    <w:rsid w:val="009523B9"/>
    <w:rsid w:val="0095286E"/>
    <w:rsid w:val="00952D3D"/>
    <w:rsid w:val="00955F43"/>
    <w:rsid w:val="0095664B"/>
    <w:rsid w:val="00957F58"/>
    <w:rsid w:val="0096516F"/>
    <w:rsid w:val="00965580"/>
    <w:rsid w:val="00967EDE"/>
    <w:rsid w:val="009833F2"/>
    <w:rsid w:val="00984056"/>
    <w:rsid w:val="00985B5B"/>
    <w:rsid w:val="009910E5"/>
    <w:rsid w:val="00993759"/>
    <w:rsid w:val="009A0AAB"/>
    <w:rsid w:val="009A0F75"/>
    <w:rsid w:val="009A2E92"/>
    <w:rsid w:val="009B26F7"/>
    <w:rsid w:val="009B49A7"/>
    <w:rsid w:val="009B4CC4"/>
    <w:rsid w:val="009C7C39"/>
    <w:rsid w:val="009D0EA1"/>
    <w:rsid w:val="009D10A9"/>
    <w:rsid w:val="009D1209"/>
    <w:rsid w:val="009D2831"/>
    <w:rsid w:val="009D48C6"/>
    <w:rsid w:val="009E281D"/>
    <w:rsid w:val="009E2CD1"/>
    <w:rsid w:val="009E6810"/>
    <w:rsid w:val="009F06F3"/>
    <w:rsid w:val="009F2A59"/>
    <w:rsid w:val="009F66AD"/>
    <w:rsid w:val="00A005A9"/>
    <w:rsid w:val="00A01AF2"/>
    <w:rsid w:val="00A01F11"/>
    <w:rsid w:val="00A056A2"/>
    <w:rsid w:val="00A075D4"/>
    <w:rsid w:val="00A11887"/>
    <w:rsid w:val="00A11F69"/>
    <w:rsid w:val="00A22FB7"/>
    <w:rsid w:val="00A26971"/>
    <w:rsid w:val="00A318A4"/>
    <w:rsid w:val="00A33418"/>
    <w:rsid w:val="00A33472"/>
    <w:rsid w:val="00A3622C"/>
    <w:rsid w:val="00A363C8"/>
    <w:rsid w:val="00A36B96"/>
    <w:rsid w:val="00A40CCC"/>
    <w:rsid w:val="00A40E22"/>
    <w:rsid w:val="00A41485"/>
    <w:rsid w:val="00A41784"/>
    <w:rsid w:val="00A473C1"/>
    <w:rsid w:val="00A51487"/>
    <w:rsid w:val="00A51E7E"/>
    <w:rsid w:val="00A5466B"/>
    <w:rsid w:val="00A57EB3"/>
    <w:rsid w:val="00A622CA"/>
    <w:rsid w:val="00A625AD"/>
    <w:rsid w:val="00A66401"/>
    <w:rsid w:val="00A675FA"/>
    <w:rsid w:val="00A6769B"/>
    <w:rsid w:val="00A71FE9"/>
    <w:rsid w:val="00A753C3"/>
    <w:rsid w:val="00A76760"/>
    <w:rsid w:val="00A800C3"/>
    <w:rsid w:val="00A80196"/>
    <w:rsid w:val="00A81773"/>
    <w:rsid w:val="00A81783"/>
    <w:rsid w:val="00A817A3"/>
    <w:rsid w:val="00A836DF"/>
    <w:rsid w:val="00A84B00"/>
    <w:rsid w:val="00A86119"/>
    <w:rsid w:val="00A86B1B"/>
    <w:rsid w:val="00A876EA"/>
    <w:rsid w:val="00A876F1"/>
    <w:rsid w:val="00A91B9A"/>
    <w:rsid w:val="00A936F5"/>
    <w:rsid w:val="00A94933"/>
    <w:rsid w:val="00AA0F23"/>
    <w:rsid w:val="00AA1319"/>
    <w:rsid w:val="00AA1C2A"/>
    <w:rsid w:val="00AA3237"/>
    <w:rsid w:val="00AA422A"/>
    <w:rsid w:val="00AA78E3"/>
    <w:rsid w:val="00AB08B7"/>
    <w:rsid w:val="00AB1F94"/>
    <w:rsid w:val="00AB42AB"/>
    <w:rsid w:val="00AB4344"/>
    <w:rsid w:val="00AC05C6"/>
    <w:rsid w:val="00AC17E2"/>
    <w:rsid w:val="00AC27D8"/>
    <w:rsid w:val="00AC501D"/>
    <w:rsid w:val="00AD332D"/>
    <w:rsid w:val="00AE2574"/>
    <w:rsid w:val="00AE3869"/>
    <w:rsid w:val="00AE3AFE"/>
    <w:rsid w:val="00AE4B65"/>
    <w:rsid w:val="00AE62B8"/>
    <w:rsid w:val="00AE77F9"/>
    <w:rsid w:val="00AE7D6E"/>
    <w:rsid w:val="00AF2496"/>
    <w:rsid w:val="00AF3EFE"/>
    <w:rsid w:val="00B0156C"/>
    <w:rsid w:val="00B0181C"/>
    <w:rsid w:val="00B01A7C"/>
    <w:rsid w:val="00B02229"/>
    <w:rsid w:val="00B031E3"/>
    <w:rsid w:val="00B1469C"/>
    <w:rsid w:val="00B151D7"/>
    <w:rsid w:val="00B15318"/>
    <w:rsid w:val="00B163F0"/>
    <w:rsid w:val="00B20E40"/>
    <w:rsid w:val="00B210BB"/>
    <w:rsid w:val="00B360E2"/>
    <w:rsid w:val="00B40257"/>
    <w:rsid w:val="00B40442"/>
    <w:rsid w:val="00B40EB2"/>
    <w:rsid w:val="00B50356"/>
    <w:rsid w:val="00B52A37"/>
    <w:rsid w:val="00B53D53"/>
    <w:rsid w:val="00B60670"/>
    <w:rsid w:val="00B60F4B"/>
    <w:rsid w:val="00B7031E"/>
    <w:rsid w:val="00B70458"/>
    <w:rsid w:val="00B70F1D"/>
    <w:rsid w:val="00B71840"/>
    <w:rsid w:val="00B74FDA"/>
    <w:rsid w:val="00B75253"/>
    <w:rsid w:val="00B7556D"/>
    <w:rsid w:val="00B85689"/>
    <w:rsid w:val="00B87B42"/>
    <w:rsid w:val="00B87B67"/>
    <w:rsid w:val="00B900CF"/>
    <w:rsid w:val="00B92633"/>
    <w:rsid w:val="00B92753"/>
    <w:rsid w:val="00B97CEF"/>
    <w:rsid w:val="00B97D0F"/>
    <w:rsid w:val="00BA1620"/>
    <w:rsid w:val="00BA2639"/>
    <w:rsid w:val="00BA53CA"/>
    <w:rsid w:val="00BB52CA"/>
    <w:rsid w:val="00BB57A0"/>
    <w:rsid w:val="00BB64A8"/>
    <w:rsid w:val="00BB7452"/>
    <w:rsid w:val="00BC038F"/>
    <w:rsid w:val="00BC183C"/>
    <w:rsid w:val="00BC3C78"/>
    <w:rsid w:val="00BC42EB"/>
    <w:rsid w:val="00BC6427"/>
    <w:rsid w:val="00BD09C4"/>
    <w:rsid w:val="00BD0A48"/>
    <w:rsid w:val="00BD1B9F"/>
    <w:rsid w:val="00BD491C"/>
    <w:rsid w:val="00BE0C3A"/>
    <w:rsid w:val="00BE4442"/>
    <w:rsid w:val="00BE6959"/>
    <w:rsid w:val="00BE7DF2"/>
    <w:rsid w:val="00BF083D"/>
    <w:rsid w:val="00BF270D"/>
    <w:rsid w:val="00BF2BF5"/>
    <w:rsid w:val="00BF5726"/>
    <w:rsid w:val="00BF6248"/>
    <w:rsid w:val="00C00E8B"/>
    <w:rsid w:val="00C01EF2"/>
    <w:rsid w:val="00C0361D"/>
    <w:rsid w:val="00C037D9"/>
    <w:rsid w:val="00C10D91"/>
    <w:rsid w:val="00C11D6C"/>
    <w:rsid w:val="00C13661"/>
    <w:rsid w:val="00C137F6"/>
    <w:rsid w:val="00C1411E"/>
    <w:rsid w:val="00C151E3"/>
    <w:rsid w:val="00C15259"/>
    <w:rsid w:val="00C16AF9"/>
    <w:rsid w:val="00C173B6"/>
    <w:rsid w:val="00C173D2"/>
    <w:rsid w:val="00C21D1E"/>
    <w:rsid w:val="00C22AF9"/>
    <w:rsid w:val="00C24378"/>
    <w:rsid w:val="00C25DE7"/>
    <w:rsid w:val="00C3015E"/>
    <w:rsid w:val="00C31B83"/>
    <w:rsid w:val="00C3419F"/>
    <w:rsid w:val="00C34DAE"/>
    <w:rsid w:val="00C358B3"/>
    <w:rsid w:val="00C35EBC"/>
    <w:rsid w:val="00C36370"/>
    <w:rsid w:val="00C40D35"/>
    <w:rsid w:val="00C43D0E"/>
    <w:rsid w:val="00C450E5"/>
    <w:rsid w:val="00C501DA"/>
    <w:rsid w:val="00C514C3"/>
    <w:rsid w:val="00C5165C"/>
    <w:rsid w:val="00C52B74"/>
    <w:rsid w:val="00C560EE"/>
    <w:rsid w:val="00C6010B"/>
    <w:rsid w:val="00C60495"/>
    <w:rsid w:val="00C63824"/>
    <w:rsid w:val="00C76305"/>
    <w:rsid w:val="00C76586"/>
    <w:rsid w:val="00C8641C"/>
    <w:rsid w:val="00C87196"/>
    <w:rsid w:val="00C87EA8"/>
    <w:rsid w:val="00C9048F"/>
    <w:rsid w:val="00C9402B"/>
    <w:rsid w:val="00C95173"/>
    <w:rsid w:val="00CA68B3"/>
    <w:rsid w:val="00CB0CA0"/>
    <w:rsid w:val="00CB178E"/>
    <w:rsid w:val="00CC3032"/>
    <w:rsid w:val="00CC3A78"/>
    <w:rsid w:val="00CC5868"/>
    <w:rsid w:val="00CC7925"/>
    <w:rsid w:val="00CD0E3E"/>
    <w:rsid w:val="00CD1051"/>
    <w:rsid w:val="00CD14D5"/>
    <w:rsid w:val="00CD2104"/>
    <w:rsid w:val="00CD251C"/>
    <w:rsid w:val="00CD35A0"/>
    <w:rsid w:val="00CD40CA"/>
    <w:rsid w:val="00CD690F"/>
    <w:rsid w:val="00CE2E04"/>
    <w:rsid w:val="00CE4867"/>
    <w:rsid w:val="00CE6430"/>
    <w:rsid w:val="00CF4F27"/>
    <w:rsid w:val="00CF6DDB"/>
    <w:rsid w:val="00D009C0"/>
    <w:rsid w:val="00D06A25"/>
    <w:rsid w:val="00D145DF"/>
    <w:rsid w:val="00D14859"/>
    <w:rsid w:val="00D16ABE"/>
    <w:rsid w:val="00D243DB"/>
    <w:rsid w:val="00D24F5D"/>
    <w:rsid w:val="00D27F6A"/>
    <w:rsid w:val="00D30E3B"/>
    <w:rsid w:val="00D3193E"/>
    <w:rsid w:val="00D34357"/>
    <w:rsid w:val="00D34452"/>
    <w:rsid w:val="00D34A93"/>
    <w:rsid w:val="00D36D13"/>
    <w:rsid w:val="00D377AC"/>
    <w:rsid w:val="00D43ABD"/>
    <w:rsid w:val="00D44139"/>
    <w:rsid w:val="00D460B9"/>
    <w:rsid w:val="00D52C08"/>
    <w:rsid w:val="00D53F4B"/>
    <w:rsid w:val="00D60261"/>
    <w:rsid w:val="00D61536"/>
    <w:rsid w:val="00D70992"/>
    <w:rsid w:val="00D76BD1"/>
    <w:rsid w:val="00D76C24"/>
    <w:rsid w:val="00D77D3E"/>
    <w:rsid w:val="00D831E6"/>
    <w:rsid w:val="00D847C0"/>
    <w:rsid w:val="00D871CF"/>
    <w:rsid w:val="00D956AD"/>
    <w:rsid w:val="00D958D8"/>
    <w:rsid w:val="00DA04B8"/>
    <w:rsid w:val="00DA40CD"/>
    <w:rsid w:val="00DA45C8"/>
    <w:rsid w:val="00DA61D2"/>
    <w:rsid w:val="00DA799D"/>
    <w:rsid w:val="00DB360E"/>
    <w:rsid w:val="00DB45D3"/>
    <w:rsid w:val="00DB4DBB"/>
    <w:rsid w:val="00DB6146"/>
    <w:rsid w:val="00DC307D"/>
    <w:rsid w:val="00DC3489"/>
    <w:rsid w:val="00DC3711"/>
    <w:rsid w:val="00DC58B2"/>
    <w:rsid w:val="00DC6DC2"/>
    <w:rsid w:val="00DD045F"/>
    <w:rsid w:val="00DD474A"/>
    <w:rsid w:val="00DD4AB2"/>
    <w:rsid w:val="00DD4ED2"/>
    <w:rsid w:val="00DE078A"/>
    <w:rsid w:val="00DE4002"/>
    <w:rsid w:val="00DE5CCE"/>
    <w:rsid w:val="00E0171A"/>
    <w:rsid w:val="00E01BDE"/>
    <w:rsid w:val="00E03E1D"/>
    <w:rsid w:val="00E04260"/>
    <w:rsid w:val="00E04C88"/>
    <w:rsid w:val="00E10444"/>
    <w:rsid w:val="00E14E7E"/>
    <w:rsid w:val="00E166E5"/>
    <w:rsid w:val="00E2246E"/>
    <w:rsid w:val="00E22699"/>
    <w:rsid w:val="00E229C7"/>
    <w:rsid w:val="00E23BCB"/>
    <w:rsid w:val="00E25259"/>
    <w:rsid w:val="00E253E0"/>
    <w:rsid w:val="00E26575"/>
    <w:rsid w:val="00E30A2C"/>
    <w:rsid w:val="00E33691"/>
    <w:rsid w:val="00E33D7F"/>
    <w:rsid w:val="00E37812"/>
    <w:rsid w:val="00E37CE3"/>
    <w:rsid w:val="00E4015B"/>
    <w:rsid w:val="00E47395"/>
    <w:rsid w:val="00E50146"/>
    <w:rsid w:val="00E547C9"/>
    <w:rsid w:val="00E623DD"/>
    <w:rsid w:val="00E65A7E"/>
    <w:rsid w:val="00E668F2"/>
    <w:rsid w:val="00E71770"/>
    <w:rsid w:val="00E723F3"/>
    <w:rsid w:val="00E76218"/>
    <w:rsid w:val="00E7647A"/>
    <w:rsid w:val="00E8048D"/>
    <w:rsid w:val="00E82EE8"/>
    <w:rsid w:val="00E83475"/>
    <w:rsid w:val="00E90AF2"/>
    <w:rsid w:val="00E94708"/>
    <w:rsid w:val="00E94A0F"/>
    <w:rsid w:val="00E96CF0"/>
    <w:rsid w:val="00E97074"/>
    <w:rsid w:val="00EA05E6"/>
    <w:rsid w:val="00EA2DA7"/>
    <w:rsid w:val="00EA3B4B"/>
    <w:rsid w:val="00EB3701"/>
    <w:rsid w:val="00EB6F15"/>
    <w:rsid w:val="00EC030C"/>
    <w:rsid w:val="00EC0F7C"/>
    <w:rsid w:val="00EC3946"/>
    <w:rsid w:val="00ED09FD"/>
    <w:rsid w:val="00ED0F4C"/>
    <w:rsid w:val="00ED5E25"/>
    <w:rsid w:val="00EE13C6"/>
    <w:rsid w:val="00EE1A24"/>
    <w:rsid w:val="00EE6B69"/>
    <w:rsid w:val="00EF001C"/>
    <w:rsid w:val="00EF089D"/>
    <w:rsid w:val="00EF204A"/>
    <w:rsid w:val="00EF2B28"/>
    <w:rsid w:val="00EF2BF5"/>
    <w:rsid w:val="00EF39AD"/>
    <w:rsid w:val="00EF4D68"/>
    <w:rsid w:val="00EF5019"/>
    <w:rsid w:val="00EF63B8"/>
    <w:rsid w:val="00F00F2B"/>
    <w:rsid w:val="00F03011"/>
    <w:rsid w:val="00F0586B"/>
    <w:rsid w:val="00F06A3B"/>
    <w:rsid w:val="00F130E7"/>
    <w:rsid w:val="00F14C32"/>
    <w:rsid w:val="00F1639B"/>
    <w:rsid w:val="00F2194C"/>
    <w:rsid w:val="00F24BFB"/>
    <w:rsid w:val="00F26FE4"/>
    <w:rsid w:val="00F30990"/>
    <w:rsid w:val="00F323E7"/>
    <w:rsid w:val="00F34963"/>
    <w:rsid w:val="00F35FB5"/>
    <w:rsid w:val="00F4367C"/>
    <w:rsid w:val="00F46CAA"/>
    <w:rsid w:val="00F50DFD"/>
    <w:rsid w:val="00F51CCE"/>
    <w:rsid w:val="00F52C8F"/>
    <w:rsid w:val="00F541AA"/>
    <w:rsid w:val="00F55019"/>
    <w:rsid w:val="00F62812"/>
    <w:rsid w:val="00F639B9"/>
    <w:rsid w:val="00F654CC"/>
    <w:rsid w:val="00F73BED"/>
    <w:rsid w:val="00F76B70"/>
    <w:rsid w:val="00F80739"/>
    <w:rsid w:val="00F8246D"/>
    <w:rsid w:val="00F83B7B"/>
    <w:rsid w:val="00F86FAE"/>
    <w:rsid w:val="00F86FE0"/>
    <w:rsid w:val="00F87987"/>
    <w:rsid w:val="00F9033D"/>
    <w:rsid w:val="00F90471"/>
    <w:rsid w:val="00F91361"/>
    <w:rsid w:val="00F91B9B"/>
    <w:rsid w:val="00F92456"/>
    <w:rsid w:val="00F93C67"/>
    <w:rsid w:val="00F97D8A"/>
    <w:rsid w:val="00FA3616"/>
    <w:rsid w:val="00FA54E6"/>
    <w:rsid w:val="00FA652D"/>
    <w:rsid w:val="00FB5187"/>
    <w:rsid w:val="00FB6DA7"/>
    <w:rsid w:val="00FC06A6"/>
    <w:rsid w:val="00FC0DCC"/>
    <w:rsid w:val="00FC2F22"/>
    <w:rsid w:val="00FC400B"/>
    <w:rsid w:val="00FC649F"/>
    <w:rsid w:val="00FD3C86"/>
    <w:rsid w:val="00FD42DB"/>
    <w:rsid w:val="00FE0C89"/>
    <w:rsid w:val="00FE2490"/>
    <w:rsid w:val="00FE392A"/>
    <w:rsid w:val="00FF3171"/>
    <w:rsid w:val="00FF4607"/>
    <w:rsid w:val="00FF4615"/>
    <w:rsid w:val="00FF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54"/>
    <w:rPr>
      <w:kern w:val="0"/>
      <w:sz w:val="24"/>
      <w:szCs w:val="24"/>
      <w:lang w:eastAsia="en-US"/>
    </w:rPr>
  </w:style>
  <w:style w:type="paragraph" w:styleId="1">
    <w:name w:val="heading 1"/>
    <w:basedOn w:val="a"/>
    <w:next w:val="a"/>
    <w:link w:val="1Char"/>
    <w:uiPriority w:val="99"/>
    <w:qFormat/>
    <w:rsid w:val="007A6F4A"/>
    <w:pPr>
      <w:keepNext/>
      <w:keepLines/>
      <w:spacing w:before="480"/>
      <w:outlineLvl w:val="0"/>
    </w:pPr>
    <w:rPr>
      <w:rFonts w:ascii="Calibri" w:eastAsia="MS Gothic" w:hAnsi="Calibri"/>
      <w:b/>
      <w:bCs/>
      <w:color w:val="345A8A"/>
      <w:sz w:val="32"/>
      <w:szCs w:val="32"/>
    </w:rPr>
  </w:style>
  <w:style w:type="paragraph" w:styleId="3">
    <w:name w:val="heading 3"/>
    <w:basedOn w:val="a"/>
    <w:link w:val="3Char"/>
    <w:uiPriority w:val="99"/>
    <w:qFormat/>
    <w:rsid w:val="00B7031E"/>
    <w:pPr>
      <w:spacing w:before="100" w:beforeAutospacing="1" w:after="100" w:afterAutospacing="1"/>
      <w:outlineLvl w:val="2"/>
    </w:pPr>
    <w:rPr>
      <w:rFonts w:ascii="Times" w:hAnsi="Times"/>
      <w:b/>
      <w:bCs/>
      <w:sz w:val="27"/>
      <w:szCs w:val="27"/>
    </w:rPr>
  </w:style>
  <w:style w:type="paragraph" w:styleId="4">
    <w:name w:val="heading 4"/>
    <w:basedOn w:val="a"/>
    <w:next w:val="a"/>
    <w:link w:val="4Char"/>
    <w:uiPriority w:val="99"/>
    <w:qFormat/>
    <w:rsid w:val="00A11887"/>
    <w:pPr>
      <w:keepNext/>
      <w:keepLines/>
      <w:spacing w:before="200"/>
      <w:outlineLvl w:val="3"/>
    </w:pPr>
    <w:rPr>
      <w:rFonts w:ascii="Calibri" w:eastAsia="MS Gothic"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A6F4A"/>
    <w:rPr>
      <w:rFonts w:ascii="Calibri" w:eastAsia="MS Gothic" w:hAnsi="Calibri" w:cs="Times New Roman"/>
      <w:b/>
      <w:bCs/>
      <w:color w:val="345A8A"/>
      <w:sz w:val="32"/>
      <w:szCs w:val="32"/>
    </w:rPr>
  </w:style>
  <w:style w:type="character" w:customStyle="1" w:styleId="3Char">
    <w:name w:val="标题 3 Char"/>
    <w:basedOn w:val="a0"/>
    <w:link w:val="3"/>
    <w:uiPriority w:val="99"/>
    <w:locked/>
    <w:rsid w:val="00B7031E"/>
    <w:rPr>
      <w:rFonts w:ascii="Times" w:hAnsi="Times" w:cs="Times New Roman"/>
      <w:b/>
      <w:bCs/>
      <w:sz w:val="27"/>
      <w:szCs w:val="27"/>
    </w:rPr>
  </w:style>
  <w:style w:type="character" w:customStyle="1" w:styleId="4Char">
    <w:name w:val="标题 4 Char"/>
    <w:basedOn w:val="a0"/>
    <w:link w:val="4"/>
    <w:uiPriority w:val="99"/>
    <w:semiHidden/>
    <w:locked/>
    <w:rsid w:val="00A11887"/>
    <w:rPr>
      <w:rFonts w:ascii="Calibri" w:eastAsia="MS Gothic" w:hAnsi="Calibri" w:cs="Times New Roman"/>
      <w:b/>
      <w:bCs/>
      <w:i/>
      <w:iCs/>
      <w:color w:val="4F81BD"/>
    </w:rPr>
  </w:style>
  <w:style w:type="character" w:styleId="a3">
    <w:name w:val="Emphasis"/>
    <w:basedOn w:val="a0"/>
    <w:uiPriority w:val="99"/>
    <w:qFormat/>
    <w:rsid w:val="003358E9"/>
    <w:rPr>
      <w:rFonts w:cs="Times New Roman"/>
      <w:i/>
    </w:rPr>
  </w:style>
  <w:style w:type="character" w:styleId="a4">
    <w:name w:val="Hyperlink"/>
    <w:basedOn w:val="a0"/>
    <w:uiPriority w:val="99"/>
    <w:semiHidden/>
    <w:rsid w:val="00592118"/>
    <w:rPr>
      <w:rFonts w:cs="Times New Roman"/>
      <w:color w:val="0000FF"/>
      <w:u w:val="single"/>
    </w:rPr>
  </w:style>
  <w:style w:type="paragraph" w:styleId="a5">
    <w:name w:val="List Paragraph"/>
    <w:basedOn w:val="a"/>
    <w:uiPriority w:val="99"/>
    <w:qFormat/>
    <w:rsid w:val="00421FC9"/>
    <w:pPr>
      <w:ind w:left="720"/>
      <w:contextualSpacing/>
    </w:pPr>
  </w:style>
  <w:style w:type="paragraph" w:styleId="a6">
    <w:name w:val="Title"/>
    <w:aliases w:val="title"/>
    <w:basedOn w:val="a"/>
    <w:link w:val="Char"/>
    <w:uiPriority w:val="99"/>
    <w:qFormat/>
    <w:rsid w:val="00DC307D"/>
    <w:pPr>
      <w:spacing w:before="100" w:beforeAutospacing="1" w:after="100" w:afterAutospacing="1"/>
    </w:pPr>
    <w:rPr>
      <w:rFonts w:ascii="Times" w:hAnsi="Times"/>
      <w:sz w:val="20"/>
      <w:szCs w:val="20"/>
    </w:rPr>
  </w:style>
  <w:style w:type="character" w:customStyle="1" w:styleId="Char">
    <w:name w:val="标题 Char"/>
    <w:aliases w:val="title Char"/>
    <w:basedOn w:val="a0"/>
    <w:link w:val="a6"/>
    <w:uiPriority w:val="99"/>
    <w:locked/>
    <w:rsid w:val="00DC307D"/>
    <w:rPr>
      <w:rFonts w:ascii="Times" w:hAnsi="Times" w:cs="Times New Roman"/>
      <w:sz w:val="20"/>
      <w:szCs w:val="20"/>
    </w:rPr>
  </w:style>
  <w:style w:type="paragraph" w:customStyle="1" w:styleId="desc">
    <w:name w:val="desc"/>
    <w:basedOn w:val="a"/>
    <w:uiPriority w:val="99"/>
    <w:rsid w:val="00DC307D"/>
    <w:pPr>
      <w:spacing w:before="100" w:beforeAutospacing="1" w:after="100" w:afterAutospacing="1"/>
    </w:pPr>
    <w:rPr>
      <w:rFonts w:ascii="Times" w:hAnsi="Times"/>
      <w:sz w:val="20"/>
      <w:szCs w:val="20"/>
    </w:rPr>
  </w:style>
  <w:style w:type="paragraph" w:customStyle="1" w:styleId="details">
    <w:name w:val="details"/>
    <w:basedOn w:val="a"/>
    <w:uiPriority w:val="99"/>
    <w:rsid w:val="00DC307D"/>
    <w:pPr>
      <w:spacing w:before="100" w:beforeAutospacing="1" w:after="100" w:afterAutospacing="1"/>
    </w:pPr>
    <w:rPr>
      <w:rFonts w:ascii="Times" w:hAnsi="Times"/>
      <w:sz w:val="20"/>
      <w:szCs w:val="20"/>
    </w:rPr>
  </w:style>
  <w:style w:type="character" w:customStyle="1" w:styleId="jrnl">
    <w:name w:val="jrnl"/>
    <w:basedOn w:val="a0"/>
    <w:uiPriority w:val="99"/>
    <w:rsid w:val="00DC307D"/>
    <w:rPr>
      <w:rFonts w:cs="Times New Roman"/>
    </w:rPr>
  </w:style>
  <w:style w:type="character" w:styleId="a7">
    <w:name w:val="FollowedHyperlink"/>
    <w:basedOn w:val="a0"/>
    <w:uiPriority w:val="99"/>
    <w:semiHidden/>
    <w:rsid w:val="00DC307D"/>
    <w:rPr>
      <w:rFonts w:cs="Times New Roman"/>
      <w:color w:val="800080"/>
      <w:u w:val="single"/>
    </w:rPr>
  </w:style>
  <w:style w:type="paragraph" w:styleId="a8">
    <w:name w:val="header"/>
    <w:basedOn w:val="a"/>
    <w:link w:val="Char0"/>
    <w:uiPriority w:val="99"/>
    <w:rsid w:val="00563B10"/>
    <w:pPr>
      <w:tabs>
        <w:tab w:val="center" w:pos="4320"/>
        <w:tab w:val="right" w:pos="8640"/>
      </w:tabs>
    </w:pPr>
  </w:style>
  <w:style w:type="character" w:customStyle="1" w:styleId="Char0">
    <w:name w:val="页眉 Char"/>
    <w:basedOn w:val="a0"/>
    <w:link w:val="a8"/>
    <w:uiPriority w:val="99"/>
    <w:locked/>
    <w:rsid w:val="00563B10"/>
    <w:rPr>
      <w:rFonts w:cs="Times New Roman"/>
    </w:rPr>
  </w:style>
  <w:style w:type="paragraph" w:styleId="a9">
    <w:name w:val="footer"/>
    <w:basedOn w:val="a"/>
    <w:link w:val="Char1"/>
    <w:uiPriority w:val="99"/>
    <w:rsid w:val="00563B10"/>
    <w:pPr>
      <w:tabs>
        <w:tab w:val="center" w:pos="4320"/>
        <w:tab w:val="right" w:pos="8640"/>
      </w:tabs>
    </w:pPr>
  </w:style>
  <w:style w:type="character" w:customStyle="1" w:styleId="Char1">
    <w:name w:val="页脚 Char"/>
    <w:basedOn w:val="a0"/>
    <w:link w:val="a9"/>
    <w:uiPriority w:val="99"/>
    <w:locked/>
    <w:rsid w:val="00563B10"/>
    <w:rPr>
      <w:rFonts w:cs="Times New Roman"/>
    </w:rPr>
  </w:style>
  <w:style w:type="character" w:styleId="aa">
    <w:name w:val="page number"/>
    <w:basedOn w:val="a0"/>
    <w:uiPriority w:val="99"/>
    <w:semiHidden/>
    <w:rsid w:val="00563B10"/>
    <w:rPr>
      <w:rFonts w:cs="Times New Roman"/>
    </w:rPr>
  </w:style>
  <w:style w:type="character" w:customStyle="1" w:styleId="highlight">
    <w:name w:val="highlight"/>
    <w:basedOn w:val="a0"/>
    <w:uiPriority w:val="99"/>
    <w:rsid w:val="007A6F4A"/>
    <w:rPr>
      <w:rFonts w:cs="Times New Roman"/>
    </w:rPr>
  </w:style>
  <w:style w:type="paragraph" w:styleId="ab">
    <w:name w:val="Balloon Text"/>
    <w:basedOn w:val="a"/>
    <w:link w:val="Char2"/>
    <w:uiPriority w:val="99"/>
    <w:semiHidden/>
    <w:rsid w:val="00325722"/>
    <w:rPr>
      <w:rFonts w:ascii="Lucida Grande" w:hAnsi="Lucida Grande" w:cs="Lucida Grande"/>
      <w:sz w:val="18"/>
      <w:szCs w:val="18"/>
    </w:rPr>
  </w:style>
  <w:style w:type="character" w:customStyle="1" w:styleId="Char2">
    <w:name w:val="批注框文本 Char"/>
    <w:basedOn w:val="a0"/>
    <w:link w:val="ab"/>
    <w:uiPriority w:val="99"/>
    <w:semiHidden/>
    <w:locked/>
    <w:rsid w:val="00325722"/>
    <w:rPr>
      <w:rFonts w:ascii="Lucida Grande" w:hAnsi="Lucida Grande" w:cs="Lucida Grande"/>
      <w:sz w:val="18"/>
      <w:szCs w:val="18"/>
    </w:rPr>
  </w:style>
  <w:style w:type="character" w:styleId="ac">
    <w:name w:val="Strong"/>
    <w:basedOn w:val="a0"/>
    <w:uiPriority w:val="99"/>
    <w:qFormat/>
    <w:rsid w:val="00FD42DB"/>
    <w:rPr>
      <w:rFonts w:cs="Times New Roman"/>
      <w:b/>
    </w:rPr>
  </w:style>
  <w:style w:type="paragraph" w:customStyle="1" w:styleId="links">
    <w:name w:val="links"/>
    <w:basedOn w:val="a"/>
    <w:uiPriority w:val="99"/>
    <w:rsid w:val="00621FD1"/>
    <w:pPr>
      <w:spacing w:before="100" w:beforeAutospacing="1" w:after="100" w:afterAutospacing="1"/>
    </w:pPr>
    <w:rPr>
      <w:rFonts w:ascii="Times" w:hAnsi="Times"/>
      <w:sz w:val="20"/>
      <w:szCs w:val="20"/>
    </w:rPr>
  </w:style>
  <w:style w:type="character" w:customStyle="1" w:styleId="cit-gray">
    <w:name w:val="cit-gray"/>
    <w:basedOn w:val="a0"/>
    <w:uiPriority w:val="99"/>
    <w:rsid w:val="008E188B"/>
    <w:rPr>
      <w:rFonts w:cs="Times New Roman"/>
    </w:rPr>
  </w:style>
  <w:style w:type="paragraph" w:styleId="ad">
    <w:name w:val="Normal (Web)"/>
    <w:basedOn w:val="a"/>
    <w:uiPriority w:val="99"/>
    <w:rsid w:val="002F5E52"/>
    <w:pPr>
      <w:spacing w:before="100" w:beforeAutospacing="1" w:after="100" w:afterAutospacing="1"/>
    </w:pPr>
    <w:rPr>
      <w:rFonts w:ascii="Times" w:hAnsi="Times"/>
      <w:sz w:val="20"/>
      <w:szCs w:val="20"/>
    </w:rPr>
  </w:style>
  <w:style w:type="character" w:customStyle="1" w:styleId="figpopup-sensitive-area">
    <w:name w:val="figpopup-sensitive-area"/>
    <w:basedOn w:val="a0"/>
    <w:uiPriority w:val="99"/>
    <w:rsid w:val="00D36D13"/>
    <w:rPr>
      <w:rFonts w:cs="Times New Roman"/>
    </w:rPr>
  </w:style>
  <w:style w:type="paragraph" w:styleId="z-">
    <w:name w:val="HTML Top of Form"/>
    <w:basedOn w:val="a"/>
    <w:next w:val="a"/>
    <w:link w:val="z-Char"/>
    <w:hidden/>
    <w:uiPriority w:val="99"/>
    <w:semiHidden/>
    <w:rsid w:val="003F34AC"/>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3F34AC"/>
    <w:rPr>
      <w:rFonts w:ascii="Arial" w:hAnsi="Arial" w:cs="Arial"/>
      <w:vanish/>
      <w:sz w:val="16"/>
      <w:szCs w:val="16"/>
    </w:rPr>
  </w:style>
  <w:style w:type="paragraph" w:styleId="z-0">
    <w:name w:val="HTML Bottom of Form"/>
    <w:basedOn w:val="a"/>
    <w:next w:val="a"/>
    <w:link w:val="z-Char0"/>
    <w:hidden/>
    <w:uiPriority w:val="99"/>
    <w:semiHidden/>
    <w:rsid w:val="003F34AC"/>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3F34A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54"/>
    <w:rPr>
      <w:kern w:val="0"/>
      <w:sz w:val="24"/>
      <w:szCs w:val="24"/>
      <w:lang w:eastAsia="en-US"/>
    </w:rPr>
  </w:style>
  <w:style w:type="paragraph" w:styleId="1">
    <w:name w:val="heading 1"/>
    <w:basedOn w:val="a"/>
    <w:next w:val="a"/>
    <w:link w:val="1Char"/>
    <w:uiPriority w:val="99"/>
    <w:qFormat/>
    <w:rsid w:val="007A6F4A"/>
    <w:pPr>
      <w:keepNext/>
      <w:keepLines/>
      <w:spacing w:before="480"/>
      <w:outlineLvl w:val="0"/>
    </w:pPr>
    <w:rPr>
      <w:rFonts w:ascii="Calibri" w:eastAsia="MS Gothic" w:hAnsi="Calibri"/>
      <w:b/>
      <w:bCs/>
      <w:color w:val="345A8A"/>
      <w:sz w:val="32"/>
      <w:szCs w:val="32"/>
    </w:rPr>
  </w:style>
  <w:style w:type="paragraph" w:styleId="3">
    <w:name w:val="heading 3"/>
    <w:basedOn w:val="a"/>
    <w:link w:val="3Char"/>
    <w:uiPriority w:val="99"/>
    <w:qFormat/>
    <w:rsid w:val="00B7031E"/>
    <w:pPr>
      <w:spacing w:before="100" w:beforeAutospacing="1" w:after="100" w:afterAutospacing="1"/>
      <w:outlineLvl w:val="2"/>
    </w:pPr>
    <w:rPr>
      <w:rFonts w:ascii="Times" w:hAnsi="Times"/>
      <w:b/>
      <w:bCs/>
      <w:sz w:val="27"/>
      <w:szCs w:val="27"/>
    </w:rPr>
  </w:style>
  <w:style w:type="paragraph" w:styleId="4">
    <w:name w:val="heading 4"/>
    <w:basedOn w:val="a"/>
    <w:next w:val="a"/>
    <w:link w:val="4Char"/>
    <w:uiPriority w:val="99"/>
    <w:qFormat/>
    <w:rsid w:val="00A11887"/>
    <w:pPr>
      <w:keepNext/>
      <w:keepLines/>
      <w:spacing w:before="200"/>
      <w:outlineLvl w:val="3"/>
    </w:pPr>
    <w:rPr>
      <w:rFonts w:ascii="Calibri" w:eastAsia="MS Gothic"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A6F4A"/>
    <w:rPr>
      <w:rFonts w:ascii="Calibri" w:eastAsia="MS Gothic" w:hAnsi="Calibri" w:cs="Times New Roman"/>
      <w:b/>
      <w:bCs/>
      <w:color w:val="345A8A"/>
      <w:sz w:val="32"/>
      <w:szCs w:val="32"/>
    </w:rPr>
  </w:style>
  <w:style w:type="character" w:customStyle="1" w:styleId="3Char">
    <w:name w:val="标题 3 Char"/>
    <w:basedOn w:val="a0"/>
    <w:link w:val="3"/>
    <w:uiPriority w:val="99"/>
    <w:locked/>
    <w:rsid w:val="00B7031E"/>
    <w:rPr>
      <w:rFonts w:ascii="Times" w:hAnsi="Times" w:cs="Times New Roman"/>
      <w:b/>
      <w:bCs/>
      <w:sz w:val="27"/>
      <w:szCs w:val="27"/>
    </w:rPr>
  </w:style>
  <w:style w:type="character" w:customStyle="1" w:styleId="4Char">
    <w:name w:val="标题 4 Char"/>
    <w:basedOn w:val="a0"/>
    <w:link w:val="4"/>
    <w:uiPriority w:val="99"/>
    <w:semiHidden/>
    <w:locked/>
    <w:rsid w:val="00A11887"/>
    <w:rPr>
      <w:rFonts w:ascii="Calibri" w:eastAsia="MS Gothic" w:hAnsi="Calibri" w:cs="Times New Roman"/>
      <w:b/>
      <w:bCs/>
      <w:i/>
      <w:iCs/>
      <w:color w:val="4F81BD"/>
    </w:rPr>
  </w:style>
  <w:style w:type="character" w:styleId="a3">
    <w:name w:val="Emphasis"/>
    <w:basedOn w:val="a0"/>
    <w:uiPriority w:val="99"/>
    <w:qFormat/>
    <w:rsid w:val="003358E9"/>
    <w:rPr>
      <w:rFonts w:cs="Times New Roman"/>
      <w:i/>
    </w:rPr>
  </w:style>
  <w:style w:type="character" w:styleId="a4">
    <w:name w:val="Hyperlink"/>
    <w:basedOn w:val="a0"/>
    <w:uiPriority w:val="99"/>
    <w:semiHidden/>
    <w:rsid w:val="00592118"/>
    <w:rPr>
      <w:rFonts w:cs="Times New Roman"/>
      <w:color w:val="0000FF"/>
      <w:u w:val="single"/>
    </w:rPr>
  </w:style>
  <w:style w:type="paragraph" w:styleId="a5">
    <w:name w:val="List Paragraph"/>
    <w:basedOn w:val="a"/>
    <w:uiPriority w:val="99"/>
    <w:qFormat/>
    <w:rsid w:val="00421FC9"/>
    <w:pPr>
      <w:ind w:left="720"/>
      <w:contextualSpacing/>
    </w:pPr>
  </w:style>
  <w:style w:type="paragraph" w:styleId="a6">
    <w:name w:val="Title"/>
    <w:aliases w:val="title"/>
    <w:basedOn w:val="a"/>
    <w:link w:val="Char"/>
    <w:uiPriority w:val="99"/>
    <w:qFormat/>
    <w:rsid w:val="00DC307D"/>
    <w:pPr>
      <w:spacing w:before="100" w:beforeAutospacing="1" w:after="100" w:afterAutospacing="1"/>
    </w:pPr>
    <w:rPr>
      <w:rFonts w:ascii="Times" w:hAnsi="Times"/>
      <w:sz w:val="20"/>
      <w:szCs w:val="20"/>
    </w:rPr>
  </w:style>
  <w:style w:type="character" w:customStyle="1" w:styleId="Char">
    <w:name w:val="标题 Char"/>
    <w:aliases w:val="title Char"/>
    <w:basedOn w:val="a0"/>
    <w:link w:val="a6"/>
    <w:uiPriority w:val="99"/>
    <w:locked/>
    <w:rsid w:val="00DC307D"/>
    <w:rPr>
      <w:rFonts w:ascii="Times" w:hAnsi="Times" w:cs="Times New Roman"/>
      <w:sz w:val="20"/>
      <w:szCs w:val="20"/>
    </w:rPr>
  </w:style>
  <w:style w:type="paragraph" w:customStyle="1" w:styleId="desc">
    <w:name w:val="desc"/>
    <w:basedOn w:val="a"/>
    <w:uiPriority w:val="99"/>
    <w:rsid w:val="00DC307D"/>
    <w:pPr>
      <w:spacing w:before="100" w:beforeAutospacing="1" w:after="100" w:afterAutospacing="1"/>
    </w:pPr>
    <w:rPr>
      <w:rFonts w:ascii="Times" w:hAnsi="Times"/>
      <w:sz w:val="20"/>
      <w:szCs w:val="20"/>
    </w:rPr>
  </w:style>
  <w:style w:type="paragraph" w:customStyle="1" w:styleId="details">
    <w:name w:val="details"/>
    <w:basedOn w:val="a"/>
    <w:uiPriority w:val="99"/>
    <w:rsid w:val="00DC307D"/>
    <w:pPr>
      <w:spacing w:before="100" w:beforeAutospacing="1" w:after="100" w:afterAutospacing="1"/>
    </w:pPr>
    <w:rPr>
      <w:rFonts w:ascii="Times" w:hAnsi="Times"/>
      <w:sz w:val="20"/>
      <w:szCs w:val="20"/>
    </w:rPr>
  </w:style>
  <w:style w:type="character" w:customStyle="1" w:styleId="jrnl">
    <w:name w:val="jrnl"/>
    <w:basedOn w:val="a0"/>
    <w:uiPriority w:val="99"/>
    <w:rsid w:val="00DC307D"/>
    <w:rPr>
      <w:rFonts w:cs="Times New Roman"/>
    </w:rPr>
  </w:style>
  <w:style w:type="character" w:styleId="a7">
    <w:name w:val="FollowedHyperlink"/>
    <w:basedOn w:val="a0"/>
    <w:uiPriority w:val="99"/>
    <w:semiHidden/>
    <w:rsid w:val="00DC307D"/>
    <w:rPr>
      <w:rFonts w:cs="Times New Roman"/>
      <w:color w:val="800080"/>
      <w:u w:val="single"/>
    </w:rPr>
  </w:style>
  <w:style w:type="paragraph" w:styleId="a8">
    <w:name w:val="header"/>
    <w:basedOn w:val="a"/>
    <w:link w:val="Char0"/>
    <w:uiPriority w:val="99"/>
    <w:rsid w:val="00563B10"/>
    <w:pPr>
      <w:tabs>
        <w:tab w:val="center" w:pos="4320"/>
        <w:tab w:val="right" w:pos="8640"/>
      </w:tabs>
    </w:pPr>
  </w:style>
  <w:style w:type="character" w:customStyle="1" w:styleId="Char0">
    <w:name w:val="页眉 Char"/>
    <w:basedOn w:val="a0"/>
    <w:link w:val="a8"/>
    <w:uiPriority w:val="99"/>
    <w:locked/>
    <w:rsid w:val="00563B10"/>
    <w:rPr>
      <w:rFonts w:cs="Times New Roman"/>
    </w:rPr>
  </w:style>
  <w:style w:type="paragraph" w:styleId="a9">
    <w:name w:val="footer"/>
    <w:basedOn w:val="a"/>
    <w:link w:val="Char1"/>
    <w:uiPriority w:val="99"/>
    <w:rsid w:val="00563B10"/>
    <w:pPr>
      <w:tabs>
        <w:tab w:val="center" w:pos="4320"/>
        <w:tab w:val="right" w:pos="8640"/>
      </w:tabs>
    </w:pPr>
  </w:style>
  <w:style w:type="character" w:customStyle="1" w:styleId="Char1">
    <w:name w:val="页脚 Char"/>
    <w:basedOn w:val="a0"/>
    <w:link w:val="a9"/>
    <w:uiPriority w:val="99"/>
    <w:locked/>
    <w:rsid w:val="00563B10"/>
    <w:rPr>
      <w:rFonts w:cs="Times New Roman"/>
    </w:rPr>
  </w:style>
  <w:style w:type="character" w:styleId="aa">
    <w:name w:val="page number"/>
    <w:basedOn w:val="a0"/>
    <w:uiPriority w:val="99"/>
    <w:semiHidden/>
    <w:rsid w:val="00563B10"/>
    <w:rPr>
      <w:rFonts w:cs="Times New Roman"/>
    </w:rPr>
  </w:style>
  <w:style w:type="character" w:customStyle="1" w:styleId="highlight">
    <w:name w:val="highlight"/>
    <w:basedOn w:val="a0"/>
    <w:uiPriority w:val="99"/>
    <w:rsid w:val="007A6F4A"/>
    <w:rPr>
      <w:rFonts w:cs="Times New Roman"/>
    </w:rPr>
  </w:style>
  <w:style w:type="paragraph" w:styleId="ab">
    <w:name w:val="Balloon Text"/>
    <w:basedOn w:val="a"/>
    <w:link w:val="Char2"/>
    <w:uiPriority w:val="99"/>
    <w:semiHidden/>
    <w:rsid w:val="00325722"/>
    <w:rPr>
      <w:rFonts w:ascii="Lucida Grande" w:hAnsi="Lucida Grande" w:cs="Lucida Grande"/>
      <w:sz w:val="18"/>
      <w:szCs w:val="18"/>
    </w:rPr>
  </w:style>
  <w:style w:type="character" w:customStyle="1" w:styleId="Char2">
    <w:name w:val="批注框文本 Char"/>
    <w:basedOn w:val="a0"/>
    <w:link w:val="ab"/>
    <w:uiPriority w:val="99"/>
    <w:semiHidden/>
    <w:locked/>
    <w:rsid w:val="00325722"/>
    <w:rPr>
      <w:rFonts w:ascii="Lucida Grande" w:hAnsi="Lucida Grande" w:cs="Lucida Grande"/>
      <w:sz w:val="18"/>
      <w:szCs w:val="18"/>
    </w:rPr>
  </w:style>
  <w:style w:type="character" w:styleId="ac">
    <w:name w:val="Strong"/>
    <w:basedOn w:val="a0"/>
    <w:uiPriority w:val="99"/>
    <w:qFormat/>
    <w:rsid w:val="00FD42DB"/>
    <w:rPr>
      <w:rFonts w:cs="Times New Roman"/>
      <w:b/>
    </w:rPr>
  </w:style>
  <w:style w:type="paragraph" w:customStyle="1" w:styleId="links">
    <w:name w:val="links"/>
    <w:basedOn w:val="a"/>
    <w:uiPriority w:val="99"/>
    <w:rsid w:val="00621FD1"/>
    <w:pPr>
      <w:spacing w:before="100" w:beforeAutospacing="1" w:after="100" w:afterAutospacing="1"/>
    </w:pPr>
    <w:rPr>
      <w:rFonts w:ascii="Times" w:hAnsi="Times"/>
      <w:sz w:val="20"/>
      <w:szCs w:val="20"/>
    </w:rPr>
  </w:style>
  <w:style w:type="character" w:customStyle="1" w:styleId="cit-gray">
    <w:name w:val="cit-gray"/>
    <w:basedOn w:val="a0"/>
    <w:uiPriority w:val="99"/>
    <w:rsid w:val="008E188B"/>
    <w:rPr>
      <w:rFonts w:cs="Times New Roman"/>
    </w:rPr>
  </w:style>
  <w:style w:type="paragraph" w:styleId="ad">
    <w:name w:val="Normal (Web)"/>
    <w:basedOn w:val="a"/>
    <w:uiPriority w:val="99"/>
    <w:rsid w:val="002F5E52"/>
    <w:pPr>
      <w:spacing w:before="100" w:beforeAutospacing="1" w:after="100" w:afterAutospacing="1"/>
    </w:pPr>
    <w:rPr>
      <w:rFonts w:ascii="Times" w:hAnsi="Times"/>
      <w:sz w:val="20"/>
      <w:szCs w:val="20"/>
    </w:rPr>
  </w:style>
  <w:style w:type="character" w:customStyle="1" w:styleId="figpopup-sensitive-area">
    <w:name w:val="figpopup-sensitive-area"/>
    <w:basedOn w:val="a0"/>
    <w:uiPriority w:val="99"/>
    <w:rsid w:val="00D36D13"/>
    <w:rPr>
      <w:rFonts w:cs="Times New Roman"/>
    </w:rPr>
  </w:style>
  <w:style w:type="paragraph" w:styleId="z-">
    <w:name w:val="HTML Top of Form"/>
    <w:basedOn w:val="a"/>
    <w:next w:val="a"/>
    <w:link w:val="z-Char"/>
    <w:hidden/>
    <w:uiPriority w:val="99"/>
    <w:semiHidden/>
    <w:rsid w:val="003F34AC"/>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3F34AC"/>
    <w:rPr>
      <w:rFonts w:ascii="Arial" w:hAnsi="Arial" w:cs="Arial"/>
      <w:vanish/>
      <w:sz w:val="16"/>
      <w:szCs w:val="16"/>
    </w:rPr>
  </w:style>
  <w:style w:type="paragraph" w:styleId="z-0">
    <w:name w:val="HTML Bottom of Form"/>
    <w:basedOn w:val="a"/>
    <w:next w:val="a"/>
    <w:link w:val="z-Char0"/>
    <w:hidden/>
    <w:uiPriority w:val="99"/>
    <w:semiHidden/>
    <w:rsid w:val="003F34AC"/>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3F34A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5599">
      <w:marLeft w:val="0"/>
      <w:marRight w:val="0"/>
      <w:marTop w:val="0"/>
      <w:marBottom w:val="0"/>
      <w:divBdr>
        <w:top w:val="none" w:sz="0" w:space="0" w:color="auto"/>
        <w:left w:val="none" w:sz="0" w:space="0" w:color="auto"/>
        <w:bottom w:val="none" w:sz="0" w:space="0" w:color="auto"/>
        <w:right w:val="none" w:sz="0" w:space="0" w:color="auto"/>
      </w:divBdr>
      <w:divsChild>
        <w:div w:id="687485753">
          <w:marLeft w:val="0"/>
          <w:marRight w:val="0"/>
          <w:marTop w:val="0"/>
          <w:marBottom w:val="0"/>
          <w:divBdr>
            <w:top w:val="none" w:sz="0" w:space="0" w:color="auto"/>
            <w:left w:val="none" w:sz="0" w:space="0" w:color="auto"/>
            <w:bottom w:val="none" w:sz="0" w:space="0" w:color="auto"/>
            <w:right w:val="none" w:sz="0" w:space="0" w:color="auto"/>
          </w:divBdr>
        </w:div>
        <w:div w:id="687485920">
          <w:marLeft w:val="0"/>
          <w:marRight w:val="0"/>
          <w:marTop w:val="0"/>
          <w:marBottom w:val="0"/>
          <w:divBdr>
            <w:top w:val="none" w:sz="0" w:space="0" w:color="auto"/>
            <w:left w:val="none" w:sz="0" w:space="0" w:color="auto"/>
            <w:bottom w:val="none" w:sz="0" w:space="0" w:color="auto"/>
            <w:right w:val="none" w:sz="0" w:space="0" w:color="auto"/>
          </w:divBdr>
        </w:div>
      </w:divsChild>
    </w:div>
    <w:div w:id="687485600">
      <w:marLeft w:val="0"/>
      <w:marRight w:val="0"/>
      <w:marTop w:val="0"/>
      <w:marBottom w:val="0"/>
      <w:divBdr>
        <w:top w:val="none" w:sz="0" w:space="0" w:color="auto"/>
        <w:left w:val="none" w:sz="0" w:space="0" w:color="auto"/>
        <w:bottom w:val="none" w:sz="0" w:space="0" w:color="auto"/>
        <w:right w:val="none" w:sz="0" w:space="0" w:color="auto"/>
      </w:divBdr>
    </w:div>
    <w:div w:id="687485601">
      <w:marLeft w:val="0"/>
      <w:marRight w:val="0"/>
      <w:marTop w:val="0"/>
      <w:marBottom w:val="0"/>
      <w:divBdr>
        <w:top w:val="none" w:sz="0" w:space="0" w:color="auto"/>
        <w:left w:val="none" w:sz="0" w:space="0" w:color="auto"/>
        <w:bottom w:val="none" w:sz="0" w:space="0" w:color="auto"/>
        <w:right w:val="none" w:sz="0" w:space="0" w:color="auto"/>
      </w:divBdr>
      <w:divsChild>
        <w:div w:id="687485884">
          <w:marLeft w:val="0"/>
          <w:marRight w:val="0"/>
          <w:marTop w:val="0"/>
          <w:marBottom w:val="0"/>
          <w:divBdr>
            <w:top w:val="none" w:sz="0" w:space="0" w:color="auto"/>
            <w:left w:val="none" w:sz="0" w:space="0" w:color="auto"/>
            <w:bottom w:val="none" w:sz="0" w:space="0" w:color="auto"/>
            <w:right w:val="none" w:sz="0" w:space="0" w:color="auto"/>
          </w:divBdr>
        </w:div>
        <w:div w:id="687485895">
          <w:marLeft w:val="0"/>
          <w:marRight w:val="0"/>
          <w:marTop w:val="0"/>
          <w:marBottom w:val="0"/>
          <w:divBdr>
            <w:top w:val="none" w:sz="0" w:space="0" w:color="auto"/>
            <w:left w:val="none" w:sz="0" w:space="0" w:color="auto"/>
            <w:bottom w:val="none" w:sz="0" w:space="0" w:color="auto"/>
            <w:right w:val="none" w:sz="0" w:space="0" w:color="auto"/>
          </w:divBdr>
          <w:divsChild>
            <w:div w:id="6874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03">
      <w:marLeft w:val="0"/>
      <w:marRight w:val="0"/>
      <w:marTop w:val="0"/>
      <w:marBottom w:val="0"/>
      <w:divBdr>
        <w:top w:val="none" w:sz="0" w:space="0" w:color="auto"/>
        <w:left w:val="none" w:sz="0" w:space="0" w:color="auto"/>
        <w:bottom w:val="none" w:sz="0" w:space="0" w:color="auto"/>
        <w:right w:val="none" w:sz="0" w:space="0" w:color="auto"/>
      </w:divBdr>
      <w:divsChild>
        <w:div w:id="687485719">
          <w:marLeft w:val="0"/>
          <w:marRight w:val="0"/>
          <w:marTop w:val="0"/>
          <w:marBottom w:val="0"/>
          <w:divBdr>
            <w:top w:val="none" w:sz="0" w:space="0" w:color="auto"/>
            <w:left w:val="none" w:sz="0" w:space="0" w:color="auto"/>
            <w:bottom w:val="none" w:sz="0" w:space="0" w:color="auto"/>
            <w:right w:val="none" w:sz="0" w:space="0" w:color="auto"/>
          </w:divBdr>
          <w:divsChild>
            <w:div w:id="687485828">
              <w:marLeft w:val="0"/>
              <w:marRight w:val="0"/>
              <w:marTop w:val="0"/>
              <w:marBottom w:val="0"/>
              <w:divBdr>
                <w:top w:val="none" w:sz="0" w:space="0" w:color="auto"/>
                <w:left w:val="none" w:sz="0" w:space="0" w:color="auto"/>
                <w:bottom w:val="none" w:sz="0" w:space="0" w:color="auto"/>
                <w:right w:val="none" w:sz="0" w:space="0" w:color="auto"/>
              </w:divBdr>
            </w:div>
          </w:divsChild>
        </w:div>
        <w:div w:id="687485888">
          <w:marLeft w:val="0"/>
          <w:marRight w:val="0"/>
          <w:marTop w:val="0"/>
          <w:marBottom w:val="0"/>
          <w:divBdr>
            <w:top w:val="none" w:sz="0" w:space="0" w:color="auto"/>
            <w:left w:val="none" w:sz="0" w:space="0" w:color="auto"/>
            <w:bottom w:val="none" w:sz="0" w:space="0" w:color="auto"/>
            <w:right w:val="none" w:sz="0" w:space="0" w:color="auto"/>
          </w:divBdr>
        </w:div>
      </w:divsChild>
    </w:div>
    <w:div w:id="687485605">
      <w:marLeft w:val="0"/>
      <w:marRight w:val="0"/>
      <w:marTop w:val="0"/>
      <w:marBottom w:val="0"/>
      <w:divBdr>
        <w:top w:val="none" w:sz="0" w:space="0" w:color="auto"/>
        <w:left w:val="none" w:sz="0" w:space="0" w:color="auto"/>
        <w:bottom w:val="none" w:sz="0" w:space="0" w:color="auto"/>
        <w:right w:val="none" w:sz="0" w:space="0" w:color="auto"/>
      </w:divBdr>
      <w:divsChild>
        <w:div w:id="687485832">
          <w:marLeft w:val="0"/>
          <w:marRight w:val="0"/>
          <w:marTop w:val="0"/>
          <w:marBottom w:val="0"/>
          <w:divBdr>
            <w:top w:val="none" w:sz="0" w:space="0" w:color="auto"/>
            <w:left w:val="none" w:sz="0" w:space="0" w:color="auto"/>
            <w:bottom w:val="none" w:sz="0" w:space="0" w:color="auto"/>
            <w:right w:val="none" w:sz="0" w:space="0" w:color="auto"/>
          </w:divBdr>
          <w:divsChild>
            <w:div w:id="687485691">
              <w:marLeft w:val="0"/>
              <w:marRight w:val="0"/>
              <w:marTop w:val="0"/>
              <w:marBottom w:val="0"/>
              <w:divBdr>
                <w:top w:val="none" w:sz="0" w:space="0" w:color="auto"/>
                <w:left w:val="none" w:sz="0" w:space="0" w:color="auto"/>
                <w:bottom w:val="none" w:sz="0" w:space="0" w:color="auto"/>
                <w:right w:val="none" w:sz="0" w:space="0" w:color="auto"/>
              </w:divBdr>
              <w:divsChild>
                <w:div w:id="687485622">
                  <w:marLeft w:val="0"/>
                  <w:marRight w:val="0"/>
                  <w:marTop w:val="0"/>
                  <w:marBottom w:val="0"/>
                  <w:divBdr>
                    <w:top w:val="none" w:sz="0" w:space="0" w:color="auto"/>
                    <w:left w:val="none" w:sz="0" w:space="0" w:color="auto"/>
                    <w:bottom w:val="none" w:sz="0" w:space="0" w:color="auto"/>
                    <w:right w:val="none" w:sz="0" w:space="0" w:color="auto"/>
                  </w:divBdr>
                  <w:divsChild>
                    <w:div w:id="687485693">
                      <w:marLeft w:val="0"/>
                      <w:marRight w:val="0"/>
                      <w:marTop w:val="0"/>
                      <w:marBottom w:val="0"/>
                      <w:divBdr>
                        <w:top w:val="none" w:sz="0" w:space="0" w:color="auto"/>
                        <w:left w:val="none" w:sz="0" w:space="0" w:color="auto"/>
                        <w:bottom w:val="none" w:sz="0" w:space="0" w:color="auto"/>
                        <w:right w:val="none" w:sz="0" w:space="0" w:color="auto"/>
                      </w:divBdr>
                    </w:div>
                  </w:divsChild>
                </w:div>
                <w:div w:id="687485798">
                  <w:marLeft w:val="0"/>
                  <w:marRight w:val="0"/>
                  <w:marTop w:val="0"/>
                  <w:marBottom w:val="0"/>
                  <w:divBdr>
                    <w:top w:val="none" w:sz="0" w:space="0" w:color="auto"/>
                    <w:left w:val="none" w:sz="0" w:space="0" w:color="auto"/>
                    <w:bottom w:val="none" w:sz="0" w:space="0" w:color="auto"/>
                    <w:right w:val="none" w:sz="0" w:space="0" w:color="auto"/>
                  </w:divBdr>
                </w:div>
              </w:divsChild>
            </w:div>
            <w:div w:id="687485745">
              <w:marLeft w:val="0"/>
              <w:marRight w:val="0"/>
              <w:marTop w:val="0"/>
              <w:marBottom w:val="0"/>
              <w:divBdr>
                <w:top w:val="none" w:sz="0" w:space="0" w:color="auto"/>
                <w:left w:val="none" w:sz="0" w:space="0" w:color="auto"/>
                <w:bottom w:val="none" w:sz="0" w:space="0" w:color="auto"/>
                <w:right w:val="none" w:sz="0" w:space="0" w:color="auto"/>
              </w:divBdr>
            </w:div>
          </w:divsChild>
        </w:div>
        <w:div w:id="687485836">
          <w:marLeft w:val="0"/>
          <w:marRight w:val="0"/>
          <w:marTop w:val="0"/>
          <w:marBottom w:val="0"/>
          <w:divBdr>
            <w:top w:val="none" w:sz="0" w:space="0" w:color="auto"/>
            <w:left w:val="none" w:sz="0" w:space="0" w:color="auto"/>
            <w:bottom w:val="none" w:sz="0" w:space="0" w:color="auto"/>
            <w:right w:val="none" w:sz="0" w:space="0" w:color="auto"/>
          </w:divBdr>
          <w:divsChild>
            <w:div w:id="687485670">
              <w:marLeft w:val="0"/>
              <w:marRight w:val="0"/>
              <w:marTop w:val="0"/>
              <w:marBottom w:val="0"/>
              <w:divBdr>
                <w:top w:val="none" w:sz="0" w:space="0" w:color="auto"/>
                <w:left w:val="none" w:sz="0" w:space="0" w:color="auto"/>
                <w:bottom w:val="none" w:sz="0" w:space="0" w:color="auto"/>
                <w:right w:val="none" w:sz="0" w:space="0" w:color="auto"/>
              </w:divBdr>
            </w:div>
            <w:div w:id="687485775">
              <w:marLeft w:val="0"/>
              <w:marRight w:val="0"/>
              <w:marTop w:val="0"/>
              <w:marBottom w:val="0"/>
              <w:divBdr>
                <w:top w:val="none" w:sz="0" w:space="0" w:color="auto"/>
                <w:left w:val="none" w:sz="0" w:space="0" w:color="auto"/>
                <w:bottom w:val="none" w:sz="0" w:space="0" w:color="auto"/>
                <w:right w:val="none" w:sz="0" w:space="0" w:color="auto"/>
              </w:divBdr>
              <w:divsChild>
                <w:div w:id="6874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5607">
      <w:marLeft w:val="0"/>
      <w:marRight w:val="0"/>
      <w:marTop w:val="0"/>
      <w:marBottom w:val="0"/>
      <w:divBdr>
        <w:top w:val="none" w:sz="0" w:space="0" w:color="auto"/>
        <w:left w:val="none" w:sz="0" w:space="0" w:color="auto"/>
        <w:bottom w:val="none" w:sz="0" w:space="0" w:color="auto"/>
        <w:right w:val="none" w:sz="0" w:space="0" w:color="auto"/>
      </w:divBdr>
    </w:div>
    <w:div w:id="687485608">
      <w:marLeft w:val="0"/>
      <w:marRight w:val="0"/>
      <w:marTop w:val="0"/>
      <w:marBottom w:val="0"/>
      <w:divBdr>
        <w:top w:val="none" w:sz="0" w:space="0" w:color="auto"/>
        <w:left w:val="none" w:sz="0" w:space="0" w:color="auto"/>
        <w:bottom w:val="none" w:sz="0" w:space="0" w:color="auto"/>
        <w:right w:val="none" w:sz="0" w:space="0" w:color="auto"/>
      </w:divBdr>
    </w:div>
    <w:div w:id="687485612">
      <w:marLeft w:val="0"/>
      <w:marRight w:val="0"/>
      <w:marTop w:val="0"/>
      <w:marBottom w:val="0"/>
      <w:divBdr>
        <w:top w:val="none" w:sz="0" w:space="0" w:color="auto"/>
        <w:left w:val="none" w:sz="0" w:space="0" w:color="auto"/>
        <w:bottom w:val="none" w:sz="0" w:space="0" w:color="auto"/>
        <w:right w:val="none" w:sz="0" w:space="0" w:color="auto"/>
      </w:divBdr>
    </w:div>
    <w:div w:id="687485613">
      <w:marLeft w:val="0"/>
      <w:marRight w:val="0"/>
      <w:marTop w:val="0"/>
      <w:marBottom w:val="0"/>
      <w:divBdr>
        <w:top w:val="none" w:sz="0" w:space="0" w:color="auto"/>
        <w:left w:val="none" w:sz="0" w:space="0" w:color="auto"/>
        <w:bottom w:val="none" w:sz="0" w:space="0" w:color="auto"/>
        <w:right w:val="none" w:sz="0" w:space="0" w:color="auto"/>
      </w:divBdr>
      <w:divsChild>
        <w:div w:id="687485659">
          <w:marLeft w:val="0"/>
          <w:marRight w:val="0"/>
          <w:marTop w:val="0"/>
          <w:marBottom w:val="0"/>
          <w:divBdr>
            <w:top w:val="none" w:sz="0" w:space="0" w:color="auto"/>
            <w:left w:val="none" w:sz="0" w:space="0" w:color="auto"/>
            <w:bottom w:val="none" w:sz="0" w:space="0" w:color="auto"/>
            <w:right w:val="none" w:sz="0" w:space="0" w:color="auto"/>
          </w:divBdr>
          <w:divsChild>
            <w:div w:id="687485782">
              <w:marLeft w:val="0"/>
              <w:marRight w:val="0"/>
              <w:marTop w:val="0"/>
              <w:marBottom w:val="0"/>
              <w:divBdr>
                <w:top w:val="none" w:sz="0" w:space="0" w:color="auto"/>
                <w:left w:val="none" w:sz="0" w:space="0" w:color="auto"/>
                <w:bottom w:val="none" w:sz="0" w:space="0" w:color="auto"/>
                <w:right w:val="none" w:sz="0" w:space="0" w:color="auto"/>
              </w:divBdr>
            </w:div>
          </w:divsChild>
        </w:div>
        <w:div w:id="687485829">
          <w:marLeft w:val="0"/>
          <w:marRight w:val="0"/>
          <w:marTop w:val="0"/>
          <w:marBottom w:val="0"/>
          <w:divBdr>
            <w:top w:val="none" w:sz="0" w:space="0" w:color="auto"/>
            <w:left w:val="none" w:sz="0" w:space="0" w:color="auto"/>
            <w:bottom w:val="none" w:sz="0" w:space="0" w:color="auto"/>
            <w:right w:val="none" w:sz="0" w:space="0" w:color="auto"/>
          </w:divBdr>
        </w:div>
      </w:divsChild>
    </w:div>
    <w:div w:id="687485614">
      <w:marLeft w:val="0"/>
      <w:marRight w:val="0"/>
      <w:marTop w:val="0"/>
      <w:marBottom w:val="0"/>
      <w:divBdr>
        <w:top w:val="none" w:sz="0" w:space="0" w:color="auto"/>
        <w:left w:val="none" w:sz="0" w:space="0" w:color="auto"/>
        <w:bottom w:val="none" w:sz="0" w:space="0" w:color="auto"/>
        <w:right w:val="none" w:sz="0" w:space="0" w:color="auto"/>
      </w:divBdr>
      <w:divsChild>
        <w:div w:id="687485661">
          <w:marLeft w:val="0"/>
          <w:marRight w:val="0"/>
          <w:marTop w:val="0"/>
          <w:marBottom w:val="0"/>
          <w:divBdr>
            <w:top w:val="none" w:sz="0" w:space="0" w:color="auto"/>
            <w:left w:val="none" w:sz="0" w:space="0" w:color="auto"/>
            <w:bottom w:val="none" w:sz="0" w:space="0" w:color="auto"/>
            <w:right w:val="none" w:sz="0" w:space="0" w:color="auto"/>
          </w:divBdr>
        </w:div>
        <w:div w:id="687485816">
          <w:marLeft w:val="0"/>
          <w:marRight w:val="0"/>
          <w:marTop w:val="0"/>
          <w:marBottom w:val="0"/>
          <w:divBdr>
            <w:top w:val="none" w:sz="0" w:space="0" w:color="auto"/>
            <w:left w:val="none" w:sz="0" w:space="0" w:color="auto"/>
            <w:bottom w:val="none" w:sz="0" w:space="0" w:color="auto"/>
            <w:right w:val="none" w:sz="0" w:space="0" w:color="auto"/>
          </w:divBdr>
        </w:div>
      </w:divsChild>
    </w:div>
    <w:div w:id="687485616">
      <w:marLeft w:val="0"/>
      <w:marRight w:val="0"/>
      <w:marTop w:val="0"/>
      <w:marBottom w:val="0"/>
      <w:divBdr>
        <w:top w:val="none" w:sz="0" w:space="0" w:color="auto"/>
        <w:left w:val="none" w:sz="0" w:space="0" w:color="auto"/>
        <w:bottom w:val="none" w:sz="0" w:space="0" w:color="auto"/>
        <w:right w:val="none" w:sz="0" w:space="0" w:color="auto"/>
      </w:divBdr>
    </w:div>
    <w:div w:id="687485619">
      <w:marLeft w:val="0"/>
      <w:marRight w:val="0"/>
      <w:marTop w:val="0"/>
      <w:marBottom w:val="0"/>
      <w:divBdr>
        <w:top w:val="none" w:sz="0" w:space="0" w:color="auto"/>
        <w:left w:val="none" w:sz="0" w:space="0" w:color="auto"/>
        <w:bottom w:val="none" w:sz="0" w:space="0" w:color="auto"/>
        <w:right w:val="none" w:sz="0" w:space="0" w:color="auto"/>
      </w:divBdr>
      <w:divsChild>
        <w:div w:id="687485921">
          <w:marLeft w:val="0"/>
          <w:marRight w:val="0"/>
          <w:marTop w:val="0"/>
          <w:marBottom w:val="0"/>
          <w:divBdr>
            <w:top w:val="none" w:sz="0" w:space="0" w:color="auto"/>
            <w:left w:val="none" w:sz="0" w:space="0" w:color="auto"/>
            <w:bottom w:val="none" w:sz="0" w:space="0" w:color="auto"/>
            <w:right w:val="none" w:sz="0" w:space="0" w:color="auto"/>
          </w:divBdr>
        </w:div>
      </w:divsChild>
    </w:div>
    <w:div w:id="687485620">
      <w:marLeft w:val="0"/>
      <w:marRight w:val="0"/>
      <w:marTop w:val="0"/>
      <w:marBottom w:val="0"/>
      <w:divBdr>
        <w:top w:val="none" w:sz="0" w:space="0" w:color="auto"/>
        <w:left w:val="none" w:sz="0" w:space="0" w:color="auto"/>
        <w:bottom w:val="none" w:sz="0" w:space="0" w:color="auto"/>
        <w:right w:val="none" w:sz="0" w:space="0" w:color="auto"/>
      </w:divBdr>
    </w:div>
    <w:div w:id="687485623">
      <w:marLeft w:val="0"/>
      <w:marRight w:val="0"/>
      <w:marTop w:val="0"/>
      <w:marBottom w:val="0"/>
      <w:divBdr>
        <w:top w:val="none" w:sz="0" w:space="0" w:color="auto"/>
        <w:left w:val="none" w:sz="0" w:space="0" w:color="auto"/>
        <w:bottom w:val="none" w:sz="0" w:space="0" w:color="auto"/>
        <w:right w:val="none" w:sz="0" w:space="0" w:color="auto"/>
      </w:divBdr>
    </w:div>
    <w:div w:id="687485625">
      <w:marLeft w:val="0"/>
      <w:marRight w:val="0"/>
      <w:marTop w:val="0"/>
      <w:marBottom w:val="0"/>
      <w:divBdr>
        <w:top w:val="none" w:sz="0" w:space="0" w:color="auto"/>
        <w:left w:val="none" w:sz="0" w:space="0" w:color="auto"/>
        <w:bottom w:val="none" w:sz="0" w:space="0" w:color="auto"/>
        <w:right w:val="none" w:sz="0" w:space="0" w:color="auto"/>
      </w:divBdr>
      <w:divsChild>
        <w:div w:id="687485808">
          <w:marLeft w:val="0"/>
          <w:marRight w:val="0"/>
          <w:marTop w:val="0"/>
          <w:marBottom w:val="0"/>
          <w:divBdr>
            <w:top w:val="none" w:sz="0" w:space="0" w:color="auto"/>
            <w:left w:val="none" w:sz="0" w:space="0" w:color="auto"/>
            <w:bottom w:val="none" w:sz="0" w:space="0" w:color="auto"/>
            <w:right w:val="none" w:sz="0" w:space="0" w:color="auto"/>
          </w:divBdr>
        </w:div>
        <w:div w:id="687485906">
          <w:marLeft w:val="0"/>
          <w:marRight w:val="0"/>
          <w:marTop w:val="0"/>
          <w:marBottom w:val="0"/>
          <w:divBdr>
            <w:top w:val="none" w:sz="0" w:space="0" w:color="auto"/>
            <w:left w:val="none" w:sz="0" w:space="0" w:color="auto"/>
            <w:bottom w:val="none" w:sz="0" w:space="0" w:color="auto"/>
            <w:right w:val="none" w:sz="0" w:space="0" w:color="auto"/>
          </w:divBdr>
          <w:divsChild>
            <w:div w:id="687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33">
      <w:marLeft w:val="0"/>
      <w:marRight w:val="0"/>
      <w:marTop w:val="0"/>
      <w:marBottom w:val="0"/>
      <w:divBdr>
        <w:top w:val="none" w:sz="0" w:space="0" w:color="auto"/>
        <w:left w:val="none" w:sz="0" w:space="0" w:color="auto"/>
        <w:bottom w:val="none" w:sz="0" w:space="0" w:color="auto"/>
        <w:right w:val="none" w:sz="0" w:space="0" w:color="auto"/>
      </w:divBdr>
    </w:div>
    <w:div w:id="687485634">
      <w:marLeft w:val="0"/>
      <w:marRight w:val="0"/>
      <w:marTop w:val="0"/>
      <w:marBottom w:val="0"/>
      <w:divBdr>
        <w:top w:val="none" w:sz="0" w:space="0" w:color="auto"/>
        <w:left w:val="none" w:sz="0" w:space="0" w:color="auto"/>
        <w:bottom w:val="none" w:sz="0" w:space="0" w:color="auto"/>
        <w:right w:val="none" w:sz="0" w:space="0" w:color="auto"/>
      </w:divBdr>
      <w:divsChild>
        <w:div w:id="687485645">
          <w:marLeft w:val="0"/>
          <w:marRight w:val="0"/>
          <w:marTop w:val="0"/>
          <w:marBottom w:val="0"/>
          <w:divBdr>
            <w:top w:val="none" w:sz="0" w:space="0" w:color="auto"/>
            <w:left w:val="none" w:sz="0" w:space="0" w:color="auto"/>
            <w:bottom w:val="none" w:sz="0" w:space="0" w:color="auto"/>
            <w:right w:val="none" w:sz="0" w:space="0" w:color="auto"/>
          </w:divBdr>
        </w:div>
        <w:div w:id="687485686">
          <w:marLeft w:val="0"/>
          <w:marRight w:val="0"/>
          <w:marTop w:val="0"/>
          <w:marBottom w:val="0"/>
          <w:divBdr>
            <w:top w:val="none" w:sz="0" w:space="0" w:color="auto"/>
            <w:left w:val="none" w:sz="0" w:space="0" w:color="auto"/>
            <w:bottom w:val="none" w:sz="0" w:space="0" w:color="auto"/>
            <w:right w:val="none" w:sz="0" w:space="0" w:color="auto"/>
          </w:divBdr>
          <w:divsChild>
            <w:div w:id="687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35">
      <w:marLeft w:val="0"/>
      <w:marRight w:val="0"/>
      <w:marTop w:val="0"/>
      <w:marBottom w:val="0"/>
      <w:divBdr>
        <w:top w:val="none" w:sz="0" w:space="0" w:color="auto"/>
        <w:left w:val="none" w:sz="0" w:space="0" w:color="auto"/>
        <w:bottom w:val="none" w:sz="0" w:space="0" w:color="auto"/>
        <w:right w:val="none" w:sz="0" w:space="0" w:color="auto"/>
      </w:divBdr>
    </w:div>
    <w:div w:id="687485639">
      <w:marLeft w:val="0"/>
      <w:marRight w:val="0"/>
      <w:marTop w:val="0"/>
      <w:marBottom w:val="0"/>
      <w:divBdr>
        <w:top w:val="none" w:sz="0" w:space="0" w:color="auto"/>
        <w:left w:val="none" w:sz="0" w:space="0" w:color="auto"/>
        <w:bottom w:val="none" w:sz="0" w:space="0" w:color="auto"/>
        <w:right w:val="none" w:sz="0" w:space="0" w:color="auto"/>
      </w:divBdr>
      <w:divsChild>
        <w:div w:id="687485679">
          <w:marLeft w:val="0"/>
          <w:marRight w:val="0"/>
          <w:marTop w:val="0"/>
          <w:marBottom w:val="0"/>
          <w:divBdr>
            <w:top w:val="none" w:sz="0" w:space="0" w:color="auto"/>
            <w:left w:val="none" w:sz="0" w:space="0" w:color="auto"/>
            <w:bottom w:val="none" w:sz="0" w:space="0" w:color="auto"/>
            <w:right w:val="none" w:sz="0" w:space="0" w:color="auto"/>
          </w:divBdr>
        </w:div>
        <w:div w:id="687485776">
          <w:marLeft w:val="0"/>
          <w:marRight w:val="0"/>
          <w:marTop w:val="0"/>
          <w:marBottom w:val="0"/>
          <w:divBdr>
            <w:top w:val="none" w:sz="0" w:space="0" w:color="auto"/>
            <w:left w:val="none" w:sz="0" w:space="0" w:color="auto"/>
            <w:bottom w:val="none" w:sz="0" w:space="0" w:color="auto"/>
            <w:right w:val="none" w:sz="0" w:space="0" w:color="auto"/>
          </w:divBdr>
        </w:div>
      </w:divsChild>
    </w:div>
    <w:div w:id="687485640">
      <w:marLeft w:val="0"/>
      <w:marRight w:val="0"/>
      <w:marTop w:val="0"/>
      <w:marBottom w:val="0"/>
      <w:divBdr>
        <w:top w:val="none" w:sz="0" w:space="0" w:color="auto"/>
        <w:left w:val="none" w:sz="0" w:space="0" w:color="auto"/>
        <w:bottom w:val="none" w:sz="0" w:space="0" w:color="auto"/>
        <w:right w:val="none" w:sz="0" w:space="0" w:color="auto"/>
      </w:divBdr>
    </w:div>
    <w:div w:id="687485642">
      <w:marLeft w:val="0"/>
      <w:marRight w:val="0"/>
      <w:marTop w:val="0"/>
      <w:marBottom w:val="0"/>
      <w:divBdr>
        <w:top w:val="none" w:sz="0" w:space="0" w:color="auto"/>
        <w:left w:val="none" w:sz="0" w:space="0" w:color="auto"/>
        <w:bottom w:val="none" w:sz="0" w:space="0" w:color="auto"/>
        <w:right w:val="none" w:sz="0" w:space="0" w:color="auto"/>
      </w:divBdr>
      <w:divsChild>
        <w:div w:id="687485597">
          <w:marLeft w:val="0"/>
          <w:marRight w:val="0"/>
          <w:marTop w:val="0"/>
          <w:marBottom w:val="0"/>
          <w:divBdr>
            <w:top w:val="none" w:sz="0" w:space="0" w:color="auto"/>
            <w:left w:val="none" w:sz="0" w:space="0" w:color="auto"/>
            <w:bottom w:val="none" w:sz="0" w:space="0" w:color="auto"/>
            <w:right w:val="none" w:sz="0" w:space="0" w:color="auto"/>
          </w:divBdr>
        </w:div>
        <w:div w:id="687485662">
          <w:marLeft w:val="0"/>
          <w:marRight w:val="0"/>
          <w:marTop w:val="0"/>
          <w:marBottom w:val="0"/>
          <w:divBdr>
            <w:top w:val="none" w:sz="0" w:space="0" w:color="auto"/>
            <w:left w:val="none" w:sz="0" w:space="0" w:color="auto"/>
            <w:bottom w:val="none" w:sz="0" w:space="0" w:color="auto"/>
            <w:right w:val="none" w:sz="0" w:space="0" w:color="auto"/>
          </w:divBdr>
          <w:divsChild>
            <w:div w:id="6874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43">
      <w:marLeft w:val="0"/>
      <w:marRight w:val="0"/>
      <w:marTop w:val="0"/>
      <w:marBottom w:val="0"/>
      <w:divBdr>
        <w:top w:val="none" w:sz="0" w:space="0" w:color="auto"/>
        <w:left w:val="none" w:sz="0" w:space="0" w:color="auto"/>
        <w:bottom w:val="none" w:sz="0" w:space="0" w:color="auto"/>
        <w:right w:val="none" w:sz="0" w:space="0" w:color="auto"/>
      </w:divBdr>
      <w:divsChild>
        <w:div w:id="687485672">
          <w:marLeft w:val="0"/>
          <w:marRight w:val="0"/>
          <w:marTop w:val="0"/>
          <w:marBottom w:val="0"/>
          <w:divBdr>
            <w:top w:val="none" w:sz="0" w:space="0" w:color="auto"/>
            <w:left w:val="none" w:sz="0" w:space="0" w:color="auto"/>
            <w:bottom w:val="none" w:sz="0" w:space="0" w:color="auto"/>
            <w:right w:val="none" w:sz="0" w:space="0" w:color="auto"/>
          </w:divBdr>
        </w:div>
        <w:div w:id="687485887">
          <w:marLeft w:val="0"/>
          <w:marRight w:val="0"/>
          <w:marTop w:val="0"/>
          <w:marBottom w:val="0"/>
          <w:divBdr>
            <w:top w:val="none" w:sz="0" w:space="0" w:color="auto"/>
            <w:left w:val="none" w:sz="0" w:space="0" w:color="auto"/>
            <w:bottom w:val="none" w:sz="0" w:space="0" w:color="auto"/>
            <w:right w:val="none" w:sz="0" w:space="0" w:color="auto"/>
          </w:divBdr>
          <w:divsChild>
            <w:div w:id="6874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46">
      <w:marLeft w:val="0"/>
      <w:marRight w:val="0"/>
      <w:marTop w:val="0"/>
      <w:marBottom w:val="0"/>
      <w:divBdr>
        <w:top w:val="none" w:sz="0" w:space="0" w:color="auto"/>
        <w:left w:val="none" w:sz="0" w:space="0" w:color="auto"/>
        <w:bottom w:val="none" w:sz="0" w:space="0" w:color="auto"/>
        <w:right w:val="none" w:sz="0" w:space="0" w:color="auto"/>
      </w:divBdr>
    </w:div>
    <w:div w:id="687485647">
      <w:marLeft w:val="0"/>
      <w:marRight w:val="0"/>
      <w:marTop w:val="0"/>
      <w:marBottom w:val="0"/>
      <w:divBdr>
        <w:top w:val="none" w:sz="0" w:space="0" w:color="auto"/>
        <w:left w:val="none" w:sz="0" w:space="0" w:color="auto"/>
        <w:bottom w:val="none" w:sz="0" w:space="0" w:color="auto"/>
        <w:right w:val="none" w:sz="0" w:space="0" w:color="auto"/>
      </w:divBdr>
      <w:divsChild>
        <w:div w:id="687485705">
          <w:marLeft w:val="0"/>
          <w:marRight w:val="0"/>
          <w:marTop w:val="0"/>
          <w:marBottom w:val="0"/>
          <w:divBdr>
            <w:top w:val="none" w:sz="0" w:space="0" w:color="auto"/>
            <w:left w:val="none" w:sz="0" w:space="0" w:color="auto"/>
            <w:bottom w:val="none" w:sz="0" w:space="0" w:color="auto"/>
            <w:right w:val="none" w:sz="0" w:space="0" w:color="auto"/>
          </w:divBdr>
          <w:divsChild>
            <w:div w:id="687485889">
              <w:marLeft w:val="0"/>
              <w:marRight w:val="0"/>
              <w:marTop w:val="0"/>
              <w:marBottom w:val="0"/>
              <w:divBdr>
                <w:top w:val="none" w:sz="0" w:space="0" w:color="auto"/>
                <w:left w:val="none" w:sz="0" w:space="0" w:color="auto"/>
                <w:bottom w:val="none" w:sz="0" w:space="0" w:color="auto"/>
                <w:right w:val="none" w:sz="0" w:space="0" w:color="auto"/>
              </w:divBdr>
            </w:div>
          </w:divsChild>
        </w:div>
        <w:div w:id="687485821">
          <w:marLeft w:val="0"/>
          <w:marRight w:val="0"/>
          <w:marTop w:val="0"/>
          <w:marBottom w:val="0"/>
          <w:divBdr>
            <w:top w:val="none" w:sz="0" w:space="0" w:color="auto"/>
            <w:left w:val="none" w:sz="0" w:space="0" w:color="auto"/>
            <w:bottom w:val="none" w:sz="0" w:space="0" w:color="auto"/>
            <w:right w:val="none" w:sz="0" w:space="0" w:color="auto"/>
          </w:divBdr>
        </w:div>
      </w:divsChild>
    </w:div>
    <w:div w:id="687485648">
      <w:marLeft w:val="0"/>
      <w:marRight w:val="0"/>
      <w:marTop w:val="0"/>
      <w:marBottom w:val="0"/>
      <w:divBdr>
        <w:top w:val="none" w:sz="0" w:space="0" w:color="auto"/>
        <w:left w:val="none" w:sz="0" w:space="0" w:color="auto"/>
        <w:bottom w:val="none" w:sz="0" w:space="0" w:color="auto"/>
        <w:right w:val="none" w:sz="0" w:space="0" w:color="auto"/>
      </w:divBdr>
      <w:divsChild>
        <w:div w:id="687485653">
          <w:marLeft w:val="0"/>
          <w:marRight w:val="0"/>
          <w:marTop w:val="0"/>
          <w:marBottom w:val="0"/>
          <w:divBdr>
            <w:top w:val="none" w:sz="0" w:space="0" w:color="auto"/>
            <w:left w:val="none" w:sz="0" w:space="0" w:color="auto"/>
            <w:bottom w:val="none" w:sz="0" w:space="0" w:color="auto"/>
            <w:right w:val="none" w:sz="0" w:space="0" w:color="auto"/>
          </w:divBdr>
        </w:div>
      </w:divsChild>
    </w:div>
    <w:div w:id="687485654">
      <w:marLeft w:val="0"/>
      <w:marRight w:val="0"/>
      <w:marTop w:val="0"/>
      <w:marBottom w:val="0"/>
      <w:divBdr>
        <w:top w:val="none" w:sz="0" w:space="0" w:color="auto"/>
        <w:left w:val="none" w:sz="0" w:space="0" w:color="auto"/>
        <w:bottom w:val="none" w:sz="0" w:space="0" w:color="auto"/>
        <w:right w:val="none" w:sz="0" w:space="0" w:color="auto"/>
      </w:divBdr>
    </w:div>
    <w:div w:id="687485657">
      <w:marLeft w:val="0"/>
      <w:marRight w:val="0"/>
      <w:marTop w:val="0"/>
      <w:marBottom w:val="0"/>
      <w:divBdr>
        <w:top w:val="none" w:sz="0" w:space="0" w:color="auto"/>
        <w:left w:val="none" w:sz="0" w:space="0" w:color="auto"/>
        <w:bottom w:val="none" w:sz="0" w:space="0" w:color="auto"/>
        <w:right w:val="none" w:sz="0" w:space="0" w:color="auto"/>
      </w:divBdr>
    </w:div>
    <w:div w:id="687485663">
      <w:marLeft w:val="0"/>
      <w:marRight w:val="0"/>
      <w:marTop w:val="0"/>
      <w:marBottom w:val="0"/>
      <w:divBdr>
        <w:top w:val="none" w:sz="0" w:space="0" w:color="auto"/>
        <w:left w:val="none" w:sz="0" w:space="0" w:color="auto"/>
        <w:bottom w:val="none" w:sz="0" w:space="0" w:color="auto"/>
        <w:right w:val="none" w:sz="0" w:space="0" w:color="auto"/>
      </w:divBdr>
      <w:divsChild>
        <w:div w:id="687485736">
          <w:marLeft w:val="0"/>
          <w:marRight w:val="0"/>
          <w:marTop w:val="0"/>
          <w:marBottom w:val="0"/>
          <w:divBdr>
            <w:top w:val="none" w:sz="0" w:space="0" w:color="auto"/>
            <w:left w:val="none" w:sz="0" w:space="0" w:color="auto"/>
            <w:bottom w:val="none" w:sz="0" w:space="0" w:color="auto"/>
            <w:right w:val="none" w:sz="0" w:space="0" w:color="auto"/>
          </w:divBdr>
        </w:div>
        <w:div w:id="687485763">
          <w:marLeft w:val="0"/>
          <w:marRight w:val="0"/>
          <w:marTop w:val="0"/>
          <w:marBottom w:val="0"/>
          <w:divBdr>
            <w:top w:val="none" w:sz="0" w:space="0" w:color="auto"/>
            <w:left w:val="none" w:sz="0" w:space="0" w:color="auto"/>
            <w:bottom w:val="none" w:sz="0" w:space="0" w:color="auto"/>
            <w:right w:val="none" w:sz="0" w:space="0" w:color="auto"/>
          </w:divBdr>
        </w:div>
      </w:divsChild>
    </w:div>
    <w:div w:id="687485665">
      <w:marLeft w:val="0"/>
      <w:marRight w:val="0"/>
      <w:marTop w:val="0"/>
      <w:marBottom w:val="0"/>
      <w:divBdr>
        <w:top w:val="none" w:sz="0" w:space="0" w:color="auto"/>
        <w:left w:val="none" w:sz="0" w:space="0" w:color="auto"/>
        <w:bottom w:val="none" w:sz="0" w:space="0" w:color="auto"/>
        <w:right w:val="none" w:sz="0" w:space="0" w:color="auto"/>
      </w:divBdr>
      <w:divsChild>
        <w:div w:id="687485916">
          <w:marLeft w:val="0"/>
          <w:marRight w:val="0"/>
          <w:marTop w:val="0"/>
          <w:marBottom w:val="0"/>
          <w:divBdr>
            <w:top w:val="none" w:sz="0" w:space="0" w:color="auto"/>
            <w:left w:val="none" w:sz="0" w:space="0" w:color="auto"/>
            <w:bottom w:val="none" w:sz="0" w:space="0" w:color="auto"/>
            <w:right w:val="none" w:sz="0" w:space="0" w:color="auto"/>
          </w:divBdr>
          <w:divsChild>
            <w:div w:id="687485826">
              <w:marLeft w:val="0"/>
              <w:marRight w:val="0"/>
              <w:marTop w:val="0"/>
              <w:marBottom w:val="0"/>
              <w:divBdr>
                <w:top w:val="none" w:sz="0" w:space="0" w:color="auto"/>
                <w:left w:val="none" w:sz="0" w:space="0" w:color="auto"/>
                <w:bottom w:val="none" w:sz="0" w:space="0" w:color="auto"/>
                <w:right w:val="none" w:sz="0" w:space="0" w:color="auto"/>
              </w:divBdr>
            </w:div>
          </w:divsChild>
        </w:div>
        <w:div w:id="687485923">
          <w:marLeft w:val="0"/>
          <w:marRight w:val="0"/>
          <w:marTop w:val="0"/>
          <w:marBottom w:val="0"/>
          <w:divBdr>
            <w:top w:val="none" w:sz="0" w:space="0" w:color="auto"/>
            <w:left w:val="none" w:sz="0" w:space="0" w:color="auto"/>
            <w:bottom w:val="none" w:sz="0" w:space="0" w:color="auto"/>
            <w:right w:val="none" w:sz="0" w:space="0" w:color="auto"/>
          </w:divBdr>
        </w:div>
      </w:divsChild>
    </w:div>
    <w:div w:id="687485666">
      <w:marLeft w:val="0"/>
      <w:marRight w:val="0"/>
      <w:marTop w:val="0"/>
      <w:marBottom w:val="0"/>
      <w:divBdr>
        <w:top w:val="none" w:sz="0" w:space="0" w:color="auto"/>
        <w:left w:val="none" w:sz="0" w:space="0" w:color="auto"/>
        <w:bottom w:val="none" w:sz="0" w:space="0" w:color="auto"/>
        <w:right w:val="none" w:sz="0" w:space="0" w:color="auto"/>
      </w:divBdr>
      <w:divsChild>
        <w:div w:id="687485848">
          <w:marLeft w:val="0"/>
          <w:marRight w:val="0"/>
          <w:marTop w:val="0"/>
          <w:marBottom w:val="0"/>
          <w:divBdr>
            <w:top w:val="none" w:sz="0" w:space="0" w:color="auto"/>
            <w:left w:val="none" w:sz="0" w:space="0" w:color="auto"/>
            <w:bottom w:val="none" w:sz="0" w:space="0" w:color="auto"/>
            <w:right w:val="none" w:sz="0" w:space="0" w:color="auto"/>
          </w:divBdr>
          <w:divsChild>
            <w:div w:id="687485677">
              <w:marLeft w:val="0"/>
              <w:marRight w:val="0"/>
              <w:marTop w:val="0"/>
              <w:marBottom w:val="0"/>
              <w:divBdr>
                <w:top w:val="none" w:sz="0" w:space="0" w:color="auto"/>
                <w:left w:val="none" w:sz="0" w:space="0" w:color="auto"/>
                <w:bottom w:val="none" w:sz="0" w:space="0" w:color="auto"/>
                <w:right w:val="none" w:sz="0" w:space="0" w:color="auto"/>
              </w:divBdr>
            </w:div>
          </w:divsChild>
        </w:div>
        <w:div w:id="687485853">
          <w:marLeft w:val="0"/>
          <w:marRight w:val="0"/>
          <w:marTop w:val="0"/>
          <w:marBottom w:val="0"/>
          <w:divBdr>
            <w:top w:val="none" w:sz="0" w:space="0" w:color="auto"/>
            <w:left w:val="none" w:sz="0" w:space="0" w:color="auto"/>
            <w:bottom w:val="none" w:sz="0" w:space="0" w:color="auto"/>
            <w:right w:val="none" w:sz="0" w:space="0" w:color="auto"/>
          </w:divBdr>
        </w:div>
      </w:divsChild>
    </w:div>
    <w:div w:id="687485668">
      <w:marLeft w:val="0"/>
      <w:marRight w:val="0"/>
      <w:marTop w:val="0"/>
      <w:marBottom w:val="0"/>
      <w:divBdr>
        <w:top w:val="none" w:sz="0" w:space="0" w:color="auto"/>
        <w:left w:val="none" w:sz="0" w:space="0" w:color="auto"/>
        <w:bottom w:val="none" w:sz="0" w:space="0" w:color="auto"/>
        <w:right w:val="none" w:sz="0" w:space="0" w:color="auto"/>
      </w:divBdr>
      <w:divsChild>
        <w:div w:id="687485652">
          <w:marLeft w:val="0"/>
          <w:marRight w:val="0"/>
          <w:marTop w:val="0"/>
          <w:marBottom w:val="0"/>
          <w:divBdr>
            <w:top w:val="none" w:sz="0" w:space="0" w:color="auto"/>
            <w:left w:val="none" w:sz="0" w:space="0" w:color="auto"/>
            <w:bottom w:val="none" w:sz="0" w:space="0" w:color="auto"/>
            <w:right w:val="none" w:sz="0" w:space="0" w:color="auto"/>
          </w:divBdr>
        </w:div>
      </w:divsChild>
    </w:div>
    <w:div w:id="687485669">
      <w:marLeft w:val="0"/>
      <w:marRight w:val="0"/>
      <w:marTop w:val="0"/>
      <w:marBottom w:val="0"/>
      <w:divBdr>
        <w:top w:val="none" w:sz="0" w:space="0" w:color="auto"/>
        <w:left w:val="none" w:sz="0" w:space="0" w:color="auto"/>
        <w:bottom w:val="none" w:sz="0" w:space="0" w:color="auto"/>
        <w:right w:val="none" w:sz="0" w:space="0" w:color="auto"/>
      </w:divBdr>
      <w:divsChild>
        <w:div w:id="687485689">
          <w:marLeft w:val="0"/>
          <w:marRight w:val="0"/>
          <w:marTop w:val="0"/>
          <w:marBottom w:val="0"/>
          <w:divBdr>
            <w:top w:val="none" w:sz="0" w:space="0" w:color="auto"/>
            <w:left w:val="none" w:sz="0" w:space="0" w:color="auto"/>
            <w:bottom w:val="none" w:sz="0" w:space="0" w:color="auto"/>
            <w:right w:val="none" w:sz="0" w:space="0" w:color="auto"/>
          </w:divBdr>
        </w:div>
      </w:divsChild>
    </w:div>
    <w:div w:id="687485671">
      <w:marLeft w:val="0"/>
      <w:marRight w:val="0"/>
      <w:marTop w:val="0"/>
      <w:marBottom w:val="0"/>
      <w:divBdr>
        <w:top w:val="none" w:sz="0" w:space="0" w:color="auto"/>
        <w:left w:val="none" w:sz="0" w:space="0" w:color="auto"/>
        <w:bottom w:val="none" w:sz="0" w:space="0" w:color="auto"/>
        <w:right w:val="none" w:sz="0" w:space="0" w:color="auto"/>
      </w:divBdr>
      <w:divsChild>
        <w:div w:id="687485787">
          <w:marLeft w:val="0"/>
          <w:marRight w:val="0"/>
          <w:marTop w:val="0"/>
          <w:marBottom w:val="0"/>
          <w:divBdr>
            <w:top w:val="none" w:sz="0" w:space="0" w:color="auto"/>
            <w:left w:val="none" w:sz="0" w:space="0" w:color="auto"/>
            <w:bottom w:val="none" w:sz="0" w:space="0" w:color="auto"/>
            <w:right w:val="none" w:sz="0" w:space="0" w:color="auto"/>
          </w:divBdr>
          <w:divsChild>
            <w:div w:id="687485839">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0"/>
          <w:marBottom w:val="0"/>
          <w:divBdr>
            <w:top w:val="none" w:sz="0" w:space="0" w:color="auto"/>
            <w:left w:val="none" w:sz="0" w:space="0" w:color="auto"/>
            <w:bottom w:val="none" w:sz="0" w:space="0" w:color="auto"/>
            <w:right w:val="none" w:sz="0" w:space="0" w:color="auto"/>
          </w:divBdr>
        </w:div>
      </w:divsChild>
    </w:div>
    <w:div w:id="687485678">
      <w:marLeft w:val="0"/>
      <w:marRight w:val="0"/>
      <w:marTop w:val="0"/>
      <w:marBottom w:val="0"/>
      <w:divBdr>
        <w:top w:val="none" w:sz="0" w:space="0" w:color="auto"/>
        <w:left w:val="none" w:sz="0" w:space="0" w:color="auto"/>
        <w:bottom w:val="none" w:sz="0" w:space="0" w:color="auto"/>
        <w:right w:val="none" w:sz="0" w:space="0" w:color="auto"/>
      </w:divBdr>
      <w:divsChild>
        <w:div w:id="687485741">
          <w:marLeft w:val="0"/>
          <w:marRight w:val="0"/>
          <w:marTop w:val="0"/>
          <w:marBottom w:val="0"/>
          <w:divBdr>
            <w:top w:val="none" w:sz="0" w:space="0" w:color="auto"/>
            <w:left w:val="none" w:sz="0" w:space="0" w:color="auto"/>
            <w:bottom w:val="none" w:sz="0" w:space="0" w:color="auto"/>
            <w:right w:val="none" w:sz="0" w:space="0" w:color="auto"/>
          </w:divBdr>
        </w:div>
        <w:div w:id="687485901">
          <w:marLeft w:val="0"/>
          <w:marRight w:val="0"/>
          <w:marTop w:val="0"/>
          <w:marBottom w:val="0"/>
          <w:divBdr>
            <w:top w:val="none" w:sz="0" w:space="0" w:color="auto"/>
            <w:left w:val="none" w:sz="0" w:space="0" w:color="auto"/>
            <w:bottom w:val="none" w:sz="0" w:space="0" w:color="auto"/>
            <w:right w:val="none" w:sz="0" w:space="0" w:color="auto"/>
          </w:divBdr>
          <w:divsChild>
            <w:div w:id="6874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83">
      <w:marLeft w:val="0"/>
      <w:marRight w:val="0"/>
      <w:marTop w:val="0"/>
      <w:marBottom w:val="0"/>
      <w:divBdr>
        <w:top w:val="none" w:sz="0" w:space="0" w:color="auto"/>
        <w:left w:val="none" w:sz="0" w:space="0" w:color="auto"/>
        <w:bottom w:val="none" w:sz="0" w:space="0" w:color="auto"/>
        <w:right w:val="none" w:sz="0" w:space="0" w:color="auto"/>
      </w:divBdr>
    </w:div>
    <w:div w:id="687485687">
      <w:marLeft w:val="0"/>
      <w:marRight w:val="0"/>
      <w:marTop w:val="0"/>
      <w:marBottom w:val="0"/>
      <w:divBdr>
        <w:top w:val="none" w:sz="0" w:space="0" w:color="auto"/>
        <w:left w:val="none" w:sz="0" w:space="0" w:color="auto"/>
        <w:bottom w:val="none" w:sz="0" w:space="0" w:color="auto"/>
        <w:right w:val="none" w:sz="0" w:space="0" w:color="auto"/>
      </w:divBdr>
    </w:div>
    <w:div w:id="687485688">
      <w:marLeft w:val="0"/>
      <w:marRight w:val="0"/>
      <w:marTop w:val="0"/>
      <w:marBottom w:val="0"/>
      <w:divBdr>
        <w:top w:val="none" w:sz="0" w:space="0" w:color="auto"/>
        <w:left w:val="none" w:sz="0" w:space="0" w:color="auto"/>
        <w:bottom w:val="none" w:sz="0" w:space="0" w:color="auto"/>
        <w:right w:val="none" w:sz="0" w:space="0" w:color="auto"/>
      </w:divBdr>
    </w:div>
    <w:div w:id="687485692">
      <w:marLeft w:val="0"/>
      <w:marRight w:val="0"/>
      <w:marTop w:val="0"/>
      <w:marBottom w:val="0"/>
      <w:divBdr>
        <w:top w:val="none" w:sz="0" w:space="0" w:color="auto"/>
        <w:left w:val="none" w:sz="0" w:space="0" w:color="auto"/>
        <w:bottom w:val="none" w:sz="0" w:space="0" w:color="auto"/>
        <w:right w:val="none" w:sz="0" w:space="0" w:color="auto"/>
      </w:divBdr>
      <w:divsChild>
        <w:div w:id="687485749">
          <w:marLeft w:val="0"/>
          <w:marRight w:val="0"/>
          <w:marTop w:val="0"/>
          <w:marBottom w:val="0"/>
          <w:divBdr>
            <w:top w:val="none" w:sz="0" w:space="0" w:color="auto"/>
            <w:left w:val="none" w:sz="0" w:space="0" w:color="auto"/>
            <w:bottom w:val="none" w:sz="0" w:space="0" w:color="auto"/>
            <w:right w:val="none" w:sz="0" w:space="0" w:color="auto"/>
          </w:divBdr>
          <w:divsChild>
            <w:div w:id="687485905">
              <w:marLeft w:val="0"/>
              <w:marRight w:val="0"/>
              <w:marTop w:val="0"/>
              <w:marBottom w:val="0"/>
              <w:divBdr>
                <w:top w:val="none" w:sz="0" w:space="0" w:color="auto"/>
                <w:left w:val="none" w:sz="0" w:space="0" w:color="auto"/>
                <w:bottom w:val="none" w:sz="0" w:space="0" w:color="auto"/>
                <w:right w:val="none" w:sz="0" w:space="0" w:color="auto"/>
              </w:divBdr>
            </w:div>
          </w:divsChild>
        </w:div>
        <w:div w:id="687485876">
          <w:marLeft w:val="0"/>
          <w:marRight w:val="0"/>
          <w:marTop w:val="0"/>
          <w:marBottom w:val="0"/>
          <w:divBdr>
            <w:top w:val="none" w:sz="0" w:space="0" w:color="auto"/>
            <w:left w:val="none" w:sz="0" w:space="0" w:color="auto"/>
            <w:bottom w:val="none" w:sz="0" w:space="0" w:color="auto"/>
            <w:right w:val="none" w:sz="0" w:space="0" w:color="auto"/>
          </w:divBdr>
        </w:div>
      </w:divsChild>
    </w:div>
    <w:div w:id="687485696">
      <w:marLeft w:val="0"/>
      <w:marRight w:val="0"/>
      <w:marTop w:val="0"/>
      <w:marBottom w:val="0"/>
      <w:divBdr>
        <w:top w:val="none" w:sz="0" w:space="0" w:color="auto"/>
        <w:left w:val="none" w:sz="0" w:space="0" w:color="auto"/>
        <w:bottom w:val="none" w:sz="0" w:space="0" w:color="auto"/>
        <w:right w:val="none" w:sz="0" w:space="0" w:color="auto"/>
      </w:divBdr>
    </w:div>
    <w:div w:id="687485700">
      <w:marLeft w:val="0"/>
      <w:marRight w:val="0"/>
      <w:marTop w:val="0"/>
      <w:marBottom w:val="0"/>
      <w:divBdr>
        <w:top w:val="none" w:sz="0" w:space="0" w:color="auto"/>
        <w:left w:val="none" w:sz="0" w:space="0" w:color="auto"/>
        <w:bottom w:val="none" w:sz="0" w:space="0" w:color="auto"/>
        <w:right w:val="none" w:sz="0" w:space="0" w:color="auto"/>
      </w:divBdr>
    </w:div>
    <w:div w:id="687485704">
      <w:marLeft w:val="0"/>
      <w:marRight w:val="0"/>
      <w:marTop w:val="0"/>
      <w:marBottom w:val="0"/>
      <w:divBdr>
        <w:top w:val="none" w:sz="0" w:space="0" w:color="auto"/>
        <w:left w:val="none" w:sz="0" w:space="0" w:color="auto"/>
        <w:bottom w:val="none" w:sz="0" w:space="0" w:color="auto"/>
        <w:right w:val="none" w:sz="0" w:space="0" w:color="auto"/>
      </w:divBdr>
      <w:divsChild>
        <w:div w:id="687485903">
          <w:marLeft w:val="0"/>
          <w:marRight w:val="0"/>
          <w:marTop w:val="0"/>
          <w:marBottom w:val="0"/>
          <w:divBdr>
            <w:top w:val="none" w:sz="0" w:space="0" w:color="auto"/>
            <w:left w:val="none" w:sz="0" w:space="0" w:color="auto"/>
            <w:bottom w:val="none" w:sz="0" w:space="0" w:color="auto"/>
            <w:right w:val="none" w:sz="0" w:space="0" w:color="auto"/>
          </w:divBdr>
        </w:div>
      </w:divsChild>
    </w:div>
    <w:div w:id="687485708">
      <w:marLeft w:val="0"/>
      <w:marRight w:val="0"/>
      <w:marTop w:val="0"/>
      <w:marBottom w:val="0"/>
      <w:divBdr>
        <w:top w:val="none" w:sz="0" w:space="0" w:color="auto"/>
        <w:left w:val="none" w:sz="0" w:space="0" w:color="auto"/>
        <w:bottom w:val="none" w:sz="0" w:space="0" w:color="auto"/>
        <w:right w:val="none" w:sz="0" w:space="0" w:color="auto"/>
      </w:divBdr>
      <w:divsChild>
        <w:div w:id="687485748">
          <w:marLeft w:val="0"/>
          <w:marRight w:val="0"/>
          <w:marTop w:val="0"/>
          <w:marBottom w:val="0"/>
          <w:divBdr>
            <w:top w:val="none" w:sz="0" w:space="0" w:color="auto"/>
            <w:left w:val="none" w:sz="0" w:space="0" w:color="auto"/>
            <w:bottom w:val="none" w:sz="0" w:space="0" w:color="auto"/>
            <w:right w:val="none" w:sz="0" w:space="0" w:color="auto"/>
          </w:divBdr>
        </w:div>
        <w:div w:id="687485933">
          <w:marLeft w:val="0"/>
          <w:marRight w:val="0"/>
          <w:marTop w:val="0"/>
          <w:marBottom w:val="0"/>
          <w:divBdr>
            <w:top w:val="none" w:sz="0" w:space="0" w:color="auto"/>
            <w:left w:val="none" w:sz="0" w:space="0" w:color="auto"/>
            <w:bottom w:val="none" w:sz="0" w:space="0" w:color="auto"/>
            <w:right w:val="none" w:sz="0" w:space="0" w:color="auto"/>
          </w:divBdr>
          <w:divsChild>
            <w:div w:id="6874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11">
      <w:marLeft w:val="0"/>
      <w:marRight w:val="0"/>
      <w:marTop w:val="0"/>
      <w:marBottom w:val="0"/>
      <w:divBdr>
        <w:top w:val="none" w:sz="0" w:space="0" w:color="auto"/>
        <w:left w:val="none" w:sz="0" w:space="0" w:color="auto"/>
        <w:bottom w:val="none" w:sz="0" w:space="0" w:color="auto"/>
        <w:right w:val="none" w:sz="0" w:space="0" w:color="auto"/>
      </w:divBdr>
      <w:divsChild>
        <w:div w:id="687485701">
          <w:marLeft w:val="0"/>
          <w:marRight w:val="0"/>
          <w:marTop w:val="0"/>
          <w:marBottom w:val="0"/>
          <w:divBdr>
            <w:top w:val="none" w:sz="0" w:space="0" w:color="auto"/>
            <w:left w:val="none" w:sz="0" w:space="0" w:color="auto"/>
            <w:bottom w:val="none" w:sz="0" w:space="0" w:color="auto"/>
            <w:right w:val="none" w:sz="0" w:space="0" w:color="auto"/>
          </w:divBdr>
        </w:div>
        <w:div w:id="687485797">
          <w:marLeft w:val="0"/>
          <w:marRight w:val="0"/>
          <w:marTop w:val="0"/>
          <w:marBottom w:val="0"/>
          <w:divBdr>
            <w:top w:val="none" w:sz="0" w:space="0" w:color="auto"/>
            <w:left w:val="none" w:sz="0" w:space="0" w:color="auto"/>
            <w:bottom w:val="none" w:sz="0" w:space="0" w:color="auto"/>
            <w:right w:val="none" w:sz="0" w:space="0" w:color="auto"/>
          </w:divBdr>
          <w:divsChild>
            <w:div w:id="6874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13">
      <w:marLeft w:val="0"/>
      <w:marRight w:val="0"/>
      <w:marTop w:val="0"/>
      <w:marBottom w:val="0"/>
      <w:divBdr>
        <w:top w:val="none" w:sz="0" w:space="0" w:color="auto"/>
        <w:left w:val="none" w:sz="0" w:space="0" w:color="auto"/>
        <w:bottom w:val="none" w:sz="0" w:space="0" w:color="auto"/>
        <w:right w:val="none" w:sz="0" w:space="0" w:color="auto"/>
      </w:divBdr>
      <w:divsChild>
        <w:div w:id="687485703">
          <w:marLeft w:val="0"/>
          <w:marRight w:val="0"/>
          <w:marTop w:val="0"/>
          <w:marBottom w:val="0"/>
          <w:divBdr>
            <w:top w:val="none" w:sz="0" w:space="0" w:color="auto"/>
            <w:left w:val="none" w:sz="0" w:space="0" w:color="auto"/>
            <w:bottom w:val="none" w:sz="0" w:space="0" w:color="auto"/>
            <w:right w:val="none" w:sz="0" w:space="0" w:color="auto"/>
          </w:divBdr>
        </w:div>
      </w:divsChild>
    </w:div>
    <w:div w:id="687485715">
      <w:marLeft w:val="0"/>
      <w:marRight w:val="0"/>
      <w:marTop w:val="0"/>
      <w:marBottom w:val="0"/>
      <w:divBdr>
        <w:top w:val="none" w:sz="0" w:space="0" w:color="auto"/>
        <w:left w:val="none" w:sz="0" w:space="0" w:color="auto"/>
        <w:bottom w:val="none" w:sz="0" w:space="0" w:color="auto"/>
        <w:right w:val="none" w:sz="0" w:space="0" w:color="auto"/>
      </w:divBdr>
      <w:divsChild>
        <w:div w:id="687485856">
          <w:marLeft w:val="0"/>
          <w:marRight w:val="0"/>
          <w:marTop w:val="0"/>
          <w:marBottom w:val="0"/>
          <w:divBdr>
            <w:top w:val="none" w:sz="0" w:space="0" w:color="auto"/>
            <w:left w:val="none" w:sz="0" w:space="0" w:color="auto"/>
            <w:bottom w:val="none" w:sz="0" w:space="0" w:color="auto"/>
            <w:right w:val="none" w:sz="0" w:space="0" w:color="auto"/>
          </w:divBdr>
        </w:div>
        <w:div w:id="687485890">
          <w:marLeft w:val="0"/>
          <w:marRight w:val="0"/>
          <w:marTop w:val="0"/>
          <w:marBottom w:val="0"/>
          <w:divBdr>
            <w:top w:val="none" w:sz="0" w:space="0" w:color="auto"/>
            <w:left w:val="none" w:sz="0" w:space="0" w:color="auto"/>
            <w:bottom w:val="none" w:sz="0" w:space="0" w:color="auto"/>
            <w:right w:val="none" w:sz="0" w:space="0" w:color="auto"/>
          </w:divBdr>
          <w:divsChild>
            <w:div w:id="687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17">
      <w:marLeft w:val="0"/>
      <w:marRight w:val="0"/>
      <w:marTop w:val="0"/>
      <w:marBottom w:val="0"/>
      <w:divBdr>
        <w:top w:val="none" w:sz="0" w:space="0" w:color="auto"/>
        <w:left w:val="none" w:sz="0" w:space="0" w:color="auto"/>
        <w:bottom w:val="none" w:sz="0" w:space="0" w:color="auto"/>
        <w:right w:val="none" w:sz="0" w:space="0" w:color="auto"/>
      </w:divBdr>
      <w:divsChild>
        <w:div w:id="687485796">
          <w:marLeft w:val="0"/>
          <w:marRight w:val="0"/>
          <w:marTop w:val="0"/>
          <w:marBottom w:val="0"/>
          <w:divBdr>
            <w:top w:val="none" w:sz="0" w:space="0" w:color="auto"/>
            <w:left w:val="none" w:sz="0" w:space="0" w:color="auto"/>
            <w:bottom w:val="none" w:sz="0" w:space="0" w:color="auto"/>
            <w:right w:val="none" w:sz="0" w:space="0" w:color="auto"/>
          </w:divBdr>
          <w:divsChild>
            <w:div w:id="687485897">
              <w:marLeft w:val="0"/>
              <w:marRight w:val="0"/>
              <w:marTop w:val="0"/>
              <w:marBottom w:val="0"/>
              <w:divBdr>
                <w:top w:val="none" w:sz="0" w:space="0" w:color="auto"/>
                <w:left w:val="none" w:sz="0" w:space="0" w:color="auto"/>
                <w:bottom w:val="none" w:sz="0" w:space="0" w:color="auto"/>
                <w:right w:val="none" w:sz="0" w:space="0" w:color="auto"/>
              </w:divBdr>
            </w:div>
          </w:divsChild>
        </w:div>
        <w:div w:id="687485865">
          <w:marLeft w:val="0"/>
          <w:marRight w:val="0"/>
          <w:marTop w:val="0"/>
          <w:marBottom w:val="0"/>
          <w:divBdr>
            <w:top w:val="none" w:sz="0" w:space="0" w:color="auto"/>
            <w:left w:val="none" w:sz="0" w:space="0" w:color="auto"/>
            <w:bottom w:val="none" w:sz="0" w:space="0" w:color="auto"/>
            <w:right w:val="none" w:sz="0" w:space="0" w:color="auto"/>
          </w:divBdr>
        </w:div>
      </w:divsChild>
    </w:div>
    <w:div w:id="687485718">
      <w:marLeft w:val="0"/>
      <w:marRight w:val="0"/>
      <w:marTop w:val="0"/>
      <w:marBottom w:val="0"/>
      <w:divBdr>
        <w:top w:val="none" w:sz="0" w:space="0" w:color="auto"/>
        <w:left w:val="none" w:sz="0" w:space="0" w:color="auto"/>
        <w:bottom w:val="none" w:sz="0" w:space="0" w:color="auto"/>
        <w:right w:val="none" w:sz="0" w:space="0" w:color="auto"/>
      </w:divBdr>
    </w:div>
    <w:div w:id="687485724">
      <w:marLeft w:val="0"/>
      <w:marRight w:val="0"/>
      <w:marTop w:val="0"/>
      <w:marBottom w:val="0"/>
      <w:divBdr>
        <w:top w:val="none" w:sz="0" w:space="0" w:color="auto"/>
        <w:left w:val="none" w:sz="0" w:space="0" w:color="auto"/>
        <w:bottom w:val="none" w:sz="0" w:space="0" w:color="auto"/>
        <w:right w:val="none" w:sz="0" w:space="0" w:color="auto"/>
      </w:divBdr>
      <w:divsChild>
        <w:div w:id="687485919">
          <w:marLeft w:val="0"/>
          <w:marRight w:val="0"/>
          <w:marTop w:val="0"/>
          <w:marBottom w:val="0"/>
          <w:divBdr>
            <w:top w:val="none" w:sz="0" w:space="0" w:color="auto"/>
            <w:left w:val="none" w:sz="0" w:space="0" w:color="auto"/>
            <w:bottom w:val="none" w:sz="0" w:space="0" w:color="auto"/>
            <w:right w:val="none" w:sz="0" w:space="0" w:color="auto"/>
          </w:divBdr>
        </w:div>
        <w:div w:id="687485935">
          <w:marLeft w:val="0"/>
          <w:marRight w:val="0"/>
          <w:marTop w:val="0"/>
          <w:marBottom w:val="0"/>
          <w:divBdr>
            <w:top w:val="none" w:sz="0" w:space="0" w:color="auto"/>
            <w:left w:val="none" w:sz="0" w:space="0" w:color="auto"/>
            <w:bottom w:val="none" w:sz="0" w:space="0" w:color="auto"/>
            <w:right w:val="none" w:sz="0" w:space="0" w:color="auto"/>
          </w:divBdr>
          <w:divsChild>
            <w:div w:id="687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27">
      <w:marLeft w:val="0"/>
      <w:marRight w:val="0"/>
      <w:marTop w:val="0"/>
      <w:marBottom w:val="0"/>
      <w:divBdr>
        <w:top w:val="none" w:sz="0" w:space="0" w:color="auto"/>
        <w:left w:val="none" w:sz="0" w:space="0" w:color="auto"/>
        <w:bottom w:val="none" w:sz="0" w:space="0" w:color="auto"/>
        <w:right w:val="none" w:sz="0" w:space="0" w:color="auto"/>
      </w:divBdr>
      <w:divsChild>
        <w:div w:id="687485628">
          <w:marLeft w:val="0"/>
          <w:marRight w:val="0"/>
          <w:marTop w:val="0"/>
          <w:marBottom w:val="0"/>
          <w:divBdr>
            <w:top w:val="none" w:sz="0" w:space="0" w:color="auto"/>
            <w:left w:val="none" w:sz="0" w:space="0" w:color="auto"/>
            <w:bottom w:val="none" w:sz="0" w:space="0" w:color="auto"/>
            <w:right w:val="none" w:sz="0" w:space="0" w:color="auto"/>
          </w:divBdr>
          <w:divsChild>
            <w:div w:id="687485720">
              <w:marLeft w:val="0"/>
              <w:marRight w:val="0"/>
              <w:marTop w:val="0"/>
              <w:marBottom w:val="0"/>
              <w:divBdr>
                <w:top w:val="none" w:sz="0" w:space="0" w:color="auto"/>
                <w:left w:val="none" w:sz="0" w:space="0" w:color="auto"/>
                <w:bottom w:val="none" w:sz="0" w:space="0" w:color="auto"/>
                <w:right w:val="none" w:sz="0" w:space="0" w:color="auto"/>
              </w:divBdr>
            </w:div>
          </w:divsChild>
        </w:div>
        <w:div w:id="687485894">
          <w:marLeft w:val="0"/>
          <w:marRight w:val="0"/>
          <w:marTop w:val="0"/>
          <w:marBottom w:val="0"/>
          <w:divBdr>
            <w:top w:val="none" w:sz="0" w:space="0" w:color="auto"/>
            <w:left w:val="none" w:sz="0" w:space="0" w:color="auto"/>
            <w:bottom w:val="none" w:sz="0" w:space="0" w:color="auto"/>
            <w:right w:val="none" w:sz="0" w:space="0" w:color="auto"/>
          </w:divBdr>
        </w:div>
      </w:divsChild>
    </w:div>
    <w:div w:id="687485729">
      <w:marLeft w:val="0"/>
      <w:marRight w:val="0"/>
      <w:marTop w:val="0"/>
      <w:marBottom w:val="0"/>
      <w:divBdr>
        <w:top w:val="none" w:sz="0" w:space="0" w:color="auto"/>
        <w:left w:val="none" w:sz="0" w:space="0" w:color="auto"/>
        <w:bottom w:val="none" w:sz="0" w:space="0" w:color="auto"/>
        <w:right w:val="none" w:sz="0" w:space="0" w:color="auto"/>
      </w:divBdr>
      <w:divsChild>
        <w:div w:id="687485785">
          <w:marLeft w:val="0"/>
          <w:marRight w:val="0"/>
          <w:marTop w:val="0"/>
          <w:marBottom w:val="0"/>
          <w:divBdr>
            <w:top w:val="none" w:sz="0" w:space="0" w:color="auto"/>
            <w:left w:val="none" w:sz="0" w:space="0" w:color="auto"/>
            <w:bottom w:val="none" w:sz="0" w:space="0" w:color="auto"/>
            <w:right w:val="none" w:sz="0" w:space="0" w:color="auto"/>
          </w:divBdr>
          <w:divsChild>
            <w:div w:id="687485899">
              <w:marLeft w:val="0"/>
              <w:marRight w:val="0"/>
              <w:marTop w:val="0"/>
              <w:marBottom w:val="0"/>
              <w:divBdr>
                <w:top w:val="none" w:sz="0" w:space="0" w:color="auto"/>
                <w:left w:val="none" w:sz="0" w:space="0" w:color="auto"/>
                <w:bottom w:val="none" w:sz="0" w:space="0" w:color="auto"/>
                <w:right w:val="none" w:sz="0" w:space="0" w:color="auto"/>
              </w:divBdr>
            </w:div>
          </w:divsChild>
        </w:div>
        <w:div w:id="687485822">
          <w:marLeft w:val="0"/>
          <w:marRight w:val="0"/>
          <w:marTop w:val="0"/>
          <w:marBottom w:val="0"/>
          <w:divBdr>
            <w:top w:val="none" w:sz="0" w:space="0" w:color="auto"/>
            <w:left w:val="none" w:sz="0" w:space="0" w:color="auto"/>
            <w:bottom w:val="none" w:sz="0" w:space="0" w:color="auto"/>
            <w:right w:val="none" w:sz="0" w:space="0" w:color="auto"/>
          </w:divBdr>
        </w:div>
      </w:divsChild>
    </w:div>
    <w:div w:id="687485730">
      <w:marLeft w:val="0"/>
      <w:marRight w:val="0"/>
      <w:marTop w:val="0"/>
      <w:marBottom w:val="0"/>
      <w:divBdr>
        <w:top w:val="none" w:sz="0" w:space="0" w:color="auto"/>
        <w:left w:val="none" w:sz="0" w:space="0" w:color="auto"/>
        <w:bottom w:val="none" w:sz="0" w:space="0" w:color="auto"/>
        <w:right w:val="none" w:sz="0" w:space="0" w:color="auto"/>
      </w:divBdr>
      <w:divsChild>
        <w:div w:id="687485710">
          <w:marLeft w:val="0"/>
          <w:marRight w:val="0"/>
          <w:marTop w:val="0"/>
          <w:marBottom w:val="0"/>
          <w:divBdr>
            <w:top w:val="none" w:sz="0" w:space="0" w:color="auto"/>
            <w:left w:val="none" w:sz="0" w:space="0" w:color="auto"/>
            <w:bottom w:val="none" w:sz="0" w:space="0" w:color="auto"/>
            <w:right w:val="none" w:sz="0" w:space="0" w:color="auto"/>
          </w:divBdr>
        </w:div>
        <w:div w:id="687485786">
          <w:marLeft w:val="0"/>
          <w:marRight w:val="0"/>
          <w:marTop w:val="0"/>
          <w:marBottom w:val="0"/>
          <w:divBdr>
            <w:top w:val="none" w:sz="0" w:space="0" w:color="auto"/>
            <w:left w:val="none" w:sz="0" w:space="0" w:color="auto"/>
            <w:bottom w:val="none" w:sz="0" w:space="0" w:color="auto"/>
            <w:right w:val="none" w:sz="0" w:space="0" w:color="auto"/>
          </w:divBdr>
        </w:div>
      </w:divsChild>
    </w:div>
    <w:div w:id="687485731">
      <w:marLeft w:val="0"/>
      <w:marRight w:val="0"/>
      <w:marTop w:val="0"/>
      <w:marBottom w:val="0"/>
      <w:divBdr>
        <w:top w:val="none" w:sz="0" w:space="0" w:color="auto"/>
        <w:left w:val="none" w:sz="0" w:space="0" w:color="auto"/>
        <w:bottom w:val="none" w:sz="0" w:space="0" w:color="auto"/>
        <w:right w:val="none" w:sz="0" w:space="0" w:color="auto"/>
      </w:divBdr>
      <w:divsChild>
        <w:div w:id="687485792">
          <w:marLeft w:val="0"/>
          <w:marRight w:val="0"/>
          <w:marTop w:val="0"/>
          <w:marBottom w:val="0"/>
          <w:divBdr>
            <w:top w:val="none" w:sz="0" w:space="0" w:color="auto"/>
            <w:left w:val="none" w:sz="0" w:space="0" w:color="auto"/>
            <w:bottom w:val="none" w:sz="0" w:space="0" w:color="auto"/>
            <w:right w:val="none" w:sz="0" w:space="0" w:color="auto"/>
          </w:divBdr>
        </w:div>
        <w:div w:id="687485812">
          <w:marLeft w:val="0"/>
          <w:marRight w:val="0"/>
          <w:marTop w:val="0"/>
          <w:marBottom w:val="0"/>
          <w:divBdr>
            <w:top w:val="none" w:sz="0" w:space="0" w:color="auto"/>
            <w:left w:val="none" w:sz="0" w:space="0" w:color="auto"/>
            <w:bottom w:val="none" w:sz="0" w:space="0" w:color="auto"/>
            <w:right w:val="none" w:sz="0" w:space="0" w:color="auto"/>
          </w:divBdr>
          <w:divsChild>
            <w:div w:id="6874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34">
      <w:marLeft w:val="0"/>
      <w:marRight w:val="0"/>
      <w:marTop w:val="0"/>
      <w:marBottom w:val="0"/>
      <w:divBdr>
        <w:top w:val="none" w:sz="0" w:space="0" w:color="auto"/>
        <w:left w:val="none" w:sz="0" w:space="0" w:color="auto"/>
        <w:bottom w:val="none" w:sz="0" w:space="0" w:color="auto"/>
        <w:right w:val="none" w:sz="0" w:space="0" w:color="auto"/>
      </w:divBdr>
    </w:div>
    <w:div w:id="687485735">
      <w:marLeft w:val="0"/>
      <w:marRight w:val="0"/>
      <w:marTop w:val="0"/>
      <w:marBottom w:val="0"/>
      <w:divBdr>
        <w:top w:val="none" w:sz="0" w:space="0" w:color="auto"/>
        <w:left w:val="none" w:sz="0" w:space="0" w:color="auto"/>
        <w:bottom w:val="none" w:sz="0" w:space="0" w:color="auto"/>
        <w:right w:val="none" w:sz="0" w:space="0" w:color="auto"/>
      </w:divBdr>
      <w:divsChild>
        <w:div w:id="687485740">
          <w:marLeft w:val="0"/>
          <w:marRight w:val="0"/>
          <w:marTop w:val="0"/>
          <w:marBottom w:val="0"/>
          <w:divBdr>
            <w:top w:val="none" w:sz="0" w:space="0" w:color="auto"/>
            <w:left w:val="none" w:sz="0" w:space="0" w:color="auto"/>
            <w:bottom w:val="none" w:sz="0" w:space="0" w:color="auto"/>
            <w:right w:val="none" w:sz="0" w:space="0" w:color="auto"/>
          </w:divBdr>
        </w:div>
        <w:div w:id="687485871">
          <w:marLeft w:val="0"/>
          <w:marRight w:val="0"/>
          <w:marTop w:val="0"/>
          <w:marBottom w:val="0"/>
          <w:divBdr>
            <w:top w:val="none" w:sz="0" w:space="0" w:color="auto"/>
            <w:left w:val="none" w:sz="0" w:space="0" w:color="auto"/>
            <w:bottom w:val="none" w:sz="0" w:space="0" w:color="auto"/>
            <w:right w:val="none" w:sz="0" w:space="0" w:color="auto"/>
          </w:divBdr>
          <w:divsChild>
            <w:div w:id="687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37">
      <w:marLeft w:val="0"/>
      <w:marRight w:val="0"/>
      <w:marTop w:val="0"/>
      <w:marBottom w:val="0"/>
      <w:divBdr>
        <w:top w:val="none" w:sz="0" w:space="0" w:color="auto"/>
        <w:left w:val="none" w:sz="0" w:space="0" w:color="auto"/>
        <w:bottom w:val="none" w:sz="0" w:space="0" w:color="auto"/>
        <w:right w:val="none" w:sz="0" w:space="0" w:color="auto"/>
      </w:divBdr>
      <w:divsChild>
        <w:div w:id="687485752">
          <w:marLeft w:val="0"/>
          <w:marRight w:val="0"/>
          <w:marTop w:val="0"/>
          <w:marBottom w:val="0"/>
          <w:divBdr>
            <w:top w:val="none" w:sz="0" w:space="0" w:color="auto"/>
            <w:left w:val="none" w:sz="0" w:space="0" w:color="auto"/>
            <w:bottom w:val="none" w:sz="0" w:space="0" w:color="auto"/>
            <w:right w:val="none" w:sz="0" w:space="0" w:color="auto"/>
          </w:divBdr>
          <w:divsChild>
            <w:div w:id="687485636">
              <w:marLeft w:val="0"/>
              <w:marRight w:val="0"/>
              <w:marTop w:val="0"/>
              <w:marBottom w:val="0"/>
              <w:divBdr>
                <w:top w:val="none" w:sz="0" w:space="0" w:color="auto"/>
                <w:left w:val="none" w:sz="0" w:space="0" w:color="auto"/>
                <w:bottom w:val="none" w:sz="0" w:space="0" w:color="auto"/>
                <w:right w:val="none" w:sz="0" w:space="0" w:color="auto"/>
              </w:divBdr>
            </w:div>
          </w:divsChild>
        </w:div>
        <w:div w:id="687485846">
          <w:marLeft w:val="0"/>
          <w:marRight w:val="0"/>
          <w:marTop w:val="0"/>
          <w:marBottom w:val="0"/>
          <w:divBdr>
            <w:top w:val="none" w:sz="0" w:space="0" w:color="auto"/>
            <w:left w:val="none" w:sz="0" w:space="0" w:color="auto"/>
            <w:bottom w:val="none" w:sz="0" w:space="0" w:color="auto"/>
            <w:right w:val="none" w:sz="0" w:space="0" w:color="auto"/>
          </w:divBdr>
        </w:div>
      </w:divsChild>
    </w:div>
    <w:div w:id="687485739">
      <w:marLeft w:val="0"/>
      <w:marRight w:val="0"/>
      <w:marTop w:val="0"/>
      <w:marBottom w:val="0"/>
      <w:divBdr>
        <w:top w:val="none" w:sz="0" w:space="0" w:color="auto"/>
        <w:left w:val="none" w:sz="0" w:space="0" w:color="auto"/>
        <w:bottom w:val="none" w:sz="0" w:space="0" w:color="auto"/>
        <w:right w:val="none" w:sz="0" w:space="0" w:color="auto"/>
      </w:divBdr>
    </w:div>
    <w:div w:id="687485743">
      <w:marLeft w:val="0"/>
      <w:marRight w:val="0"/>
      <w:marTop w:val="0"/>
      <w:marBottom w:val="0"/>
      <w:divBdr>
        <w:top w:val="none" w:sz="0" w:space="0" w:color="auto"/>
        <w:left w:val="none" w:sz="0" w:space="0" w:color="auto"/>
        <w:bottom w:val="none" w:sz="0" w:space="0" w:color="auto"/>
        <w:right w:val="none" w:sz="0" w:space="0" w:color="auto"/>
      </w:divBdr>
      <w:divsChild>
        <w:div w:id="687485685">
          <w:marLeft w:val="0"/>
          <w:marRight w:val="0"/>
          <w:marTop w:val="0"/>
          <w:marBottom w:val="0"/>
          <w:divBdr>
            <w:top w:val="none" w:sz="0" w:space="0" w:color="auto"/>
            <w:left w:val="none" w:sz="0" w:space="0" w:color="auto"/>
            <w:bottom w:val="none" w:sz="0" w:space="0" w:color="auto"/>
            <w:right w:val="none" w:sz="0" w:space="0" w:color="auto"/>
          </w:divBdr>
        </w:div>
      </w:divsChild>
    </w:div>
    <w:div w:id="687485744">
      <w:marLeft w:val="0"/>
      <w:marRight w:val="0"/>
      <w:marTop w:val="0"/>
      <w:marBottom w:val="0"/>
      <w:divBdr>
        <w:top w:val="none" w:sz="0" w:space="0" w:color="auto"/>
        <w:left w:val="none" w:sz="0" w:space="0" w:color="auto"/>
        <w:bottom w:val="none" w:sz="0" w:space="0" w:color="auto"/>
        <w:right w:val="none" w:sz="0" w:space="0" w:color="auto"/>
      </w:divBdr>
      <w:divsChild>
        <w:div w:id="687485674">
          <w:marLeft w:val="0"/>
          <w:marRight w:val="0"/>
          <w:marTop w:val="0"/>
          <w:marBottom w:val="0"/>
          <w:divBdr>
            <w:top w:val="none" w:sz="0" w:space="0" w:color="auto"/>
            <w:left w:val="none" w:sz="0" w:space="0" w:color="auto"/>
            <w:bottom w:val="none" w:sz="0" w:space="0" w:color="auto"/>
            <w:right w:val="none" w:sz="0" w:space="0" w:color="auto"/>
          </w:divBdr>
        </w:div>
      </w:divsChild>
    </w:div>
    <w:div w:id="687485746">
      <w:marLeft w:val="0"/>
      <w:marRight w:val="0"/>
      <w:marTop w:val="0"/>
      <w:marBottom w:val="0"/>
      <w:divBdr>
        <w:top w:val="none" w:sz="0" w:space="0" w:color="auto"/>
        <w:left w:val="none" w:sz="0" w:space="0" w:color="auto"/>
        <w:bottom w:val="none" w:sz="0" w:space="0" w:color="auto"/>
        <w:right w:val="none" w:sz="0" w:space="0" w:color="auto"/>
      </w:divBdr>
      <w:divsChild>
        <w:div w:id="687485861">
          <w:marLeft w:val="0"/>
          <w:marRight w:val="0"/>
          <w:marTop w:val="0"/>
          <w:marBottom w:val="0"/>
          <w:divBdr>
            <w:top w:val="none" w:sz="0" w:space="0" w:color="auto"/>
            <w:left w:val="none" w:sz="0" w:space="0" w:color="auto"/>
            <w:bottom w:val="none" w:sz="0" w:space="0" w:color="auto"/>
            <w:right w:val="none" w:sz="0" w:space="0" w:color="auto"/>
          </w:divBdr>
        </w:div>
      </w:divsChild>
    </w:div>
    <w:div w:id="687485747">
      <w:marLeft w:val="0"/>
      <w:marRight w:val="0"/>
      <w:marTop w:val="0"/>
      <w:marBottom w:val="0"/>
      <w:divBdr>
        <w:top w:val="none" w:sz="0" w:space="0" w:color="auto"/>
        <w:left w:val="none" w:sz="0" w:space="0" w:color="auto"/>
        <w:bottom w:val="none" w:sz="0" w:space="0" w:color="auto"/>
        <w:right w:val="none" w:sz="0" w:space="0" w:color="auto"/>
      </w:divBdr>
    </w:div>
    <w:div w:id="687485755">
      <w:marLeft w:val="0"/>
      <w:marRight w:val="0"/>
      <w:marTop w:val="0"/>
      <w:marBottom w:val="0"/>
      <w:divBdr>
        <w:top w:val="none" w:sz="0" w:space="0" w:color="auto"/>
        <w:left w:val="none" w:sz="0" w:space="0" w:color="auto"/>
        <w:bottom w:val="none" w:sz="0" w:space="0" w:color="auto"/>
        <w:right w:val="none" w:sz="0" w:space="0" w:color="auto"/>
      </w:divBdr>
    </w:div>
    <w:div w:id="687485756">
      <w:marLeft w:val="0"/>
      <w:marRight w:val="0"/>
      <w:marTop w:val="0"/>
      <w:marBottom w:val="0"/>
      <w:divBdr>
        <w:top w:val="none" w:sz="0" w:space="0" w:color="auto"/>
        <w:left w:val="none" w:sz="0" w:space="0" w:color="auto"/>
        <w:bottom w:val="none" w:sz="0" w:space="0" w:color="auto"/>
        <w:right w:val="none" w:sz="0" w:space="0" w:color="auto"/>
      </w:divBdr>
      <w:divsChild>
        <w:div w:id="687485602">
          <w:marLeft w:val="0"/>
          <w:marRight w:val="0"/>
          <w:marTop w:val="0"/>
          <w:marBottom w:val="0"/>
          <w:divBdr>
            <w:top w:val="none" w:sz="0" w:space="0" w:color="auto"/>
            <w:left w:val="none" w:sz="0" w:space="0" w:color="auto"/>
            <w:bottom w:val="none" w:sz="0" w:space="0" w:color="auto"/>
            <w:right w:val="none" w:sz="0" w:space="0" w:color="auto"/>
          </w:divBdr>
        </w:div>
      </w:divsChild>
    </w:div>
    <w:div w:id="687485757">
      <w:marLeft w:val="0"/>
      <w:marRight w:val="0"/>
      <w:marTop w:val="0"/>
      <w:marBottom w:val="0"/>
      <w:divBdr>
        <w:top w:val="none" w:sz="0" w:space="0" w:color="auto"/>
        <w:left w:val="none" w:sz="0" w:space="0" w:color="auto"/>
        <w:bottom w:val="none" w:sz="0" w:space="0" w:color="auto"/>
        <w:right w:val="none" w:sz="0" w:space="0" w:color="auto"/>
      </w:divBdr>
    </w:div>
    <w:div w:id="687485760">
      <w:marLeft w:val="0"/>
      <w:marRight w:val="0"/>
      <w:marTop w:val="0"/>
      <w:marBottom w:val="0"/>
      <w:divBdr>
        <w:top w:val="none" w:sz="0" w:space="0" w:color="auto"/>
        <w:left w:val="none" w:sz="0" w:space="0" w:color="auto"/>
        <w:bottom w:val="none" w:sz="0" w:space="0" w:color="auto"/>
        <w:right w:val="none" w:sz="0" w:space="0" w:color="auto"/>
      </w:divBdr>
      <w:divsChild>
        <w:div w:id="687485609">
          <w:marLeft w:val="0"/>
          <w:marRight w:val="0"/>
          <w:marTop w:val="0"/>
          <w:marBottom w:val="0"/>
          <w:divBdr>
            <w:top w:val="none" w:sz="0" w:space="0" w:color="auto"/>
            <w:left w:val="none" w:sz="0" w:space="0" w:color="auto"/>
            <w:bottom w:val="none" w:sz="0" w:space="0" w:color="auto"/>
            <w:right w:val="none" w:sz="0" w:space="0" w:color="auto"/>
          </w:divBdr>
        </w:div>
        <w:div w:id="687485864">
          <w:marLeft w:val="0"/>
          <w:marRight w:val="0"/>
          <w:marTop w:val="0"/>
          <w:marBottom w:val="0"/>
          <w:divBdr>
            <w:top w:val="none" w:sz="0" w:space="0" w:color="auto"/>
            <w:left w:val="none" w:sz="0" w:space="0" w:color="auto"/>
            <w:bottom w:val="none" w:sz="0" w:space="0" w:color="auto"/>
            <w:right w:val="none" w:sz="0" w:space="0" w:color="auto"/>
          </w:divBdr>
          <w:divsChild>
            <w:div w:id="6874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62">
      <w:marLeft w:val="0"/>
      <w:marRight w:val="0"/>
      <w:marTop w:val="0"/>
      <w:marBottom w:val="0"/>
      <w:divBdr>
        <w:top w:val="none" w:sz="0" w:space="0" w:color="auto"/>
        <w:left w:val="none" w:sz="0" w:space="0" w:color="auto"/>
        <w:bottom w:val="none" w:sz="0" w:space="0" w:color="auto"/>
        <w:right w:val="none" w:sz="0" w:space="0" w:color="auto"/>
      </w:divBdr>
      <w:divsChild>
        <w:div w:id="687485732">
          <w:marLeft w:val="0"/>
          <w:marRight w:val="0"/>
          <w:marTop w:val="0"/>
          <w:marBottom w:val="0"/>
          <w:divBdr>
            <w:top w:val="none" w:sz="0" w:space="0" w:color="auto"/>
            <w:left w:val="none" w:sz="0" w:space="0" w:color="auto"/>
            <w:bottom w:val="none" w:sz="0" w:space="0" w:color="auto"/>
            <w:right w:val="none" w:sz="0" w:space="0" w:color="auto"/>
          </w:divBdr>
        </w:div>
      </w:divsChild>
    </w:div>
    <w:div w:id="687485764">
      <w:marLeft w:val="0"/>
      <w:marRight w:val="0"/>
      <w:marTop w:val="0"/>
      <w:marBottom w:val="0"/>
      <w:divBdr>
        <w:top w:val="none" w:sz="0" w:space="0" w:color="auto"/>
        <w:left w:val="none" w:sz="0" w:space="0" w:color="auto"/>
        <w:bottom w:val="none" w:sz="0" w:space="0" w:color="auto"/>
        <w:right w:val="none" w:sz="0" w:space="0" w:color="auto"/>
      </w:divBdr>
    </w:div>
    <w:div w:id="687485765">
      <w:marLeft w:val="0"/>
      <w:marRight w:val="0"/>
      <w:marTop w:val="0"/>
      <w:marBottom w:val="0"/>
      <w:divBdr>
        <w:top w:val="none" w:sz="0" w:space="0" w:color="auto"/>
        <w:left w:val="none" w:sz="0" w:space="0" w:color="auto"/>
        <w:bottom w:val="none" w:sz="0" w:space="0" w:color="auto"/>
        <w:right w:val="none" w:sz="0" w:space="0" w:color="auto"/>
      </w:divBdr>
    </w:div>
    <w:div w:id="687485770">
      <w:marLeft w:val="0"/>
      <w:marRight w:val="0"/>
      <w:marTop w:val="0"/>
      <w:marBottom w:val="0"/>
      <w:divBdr>
        <w:top w:val="none" w:sz="0" w:space="0" w:color="auto"/>
        <w:left w:val="none" w:sz="0" w:space="0" w:color="auto"/>
        <w:bottom w:val="none" w:sz="0" w:space="0" w:color="auto"/>
        <w:right w:val="none" w:sz="0" w:space="0" w:color="auto"/>
      </w:divBdr>
      <w:divsChild>
        <w:div w:id="687485768">
          <w:marLeft w:val="0"/>
          <w:marRight w:val="0"/>
          <w:marTop w:val="0"/>
          <w:marBottom w:val="0"/>
          <w:divBdr>
            <w:top w:val="none" w:sz="0" w:space="0" w:color="auto"/>
            <w:left w:val="none" w:sz="0" w:space="0" w:color="auto"/>
            <w:bottom w:val="none" w:sz="0" w:space="0" w:color="auto"/>
            <w:right w:val="none" w:sz="0" w:space="0" w:color="auto"/>
          </w:divBdr>
        </w:div>
        <w:div w:id="687485781">
          <w:marLeft w:val="0"/>
          <w:marRight w:val="0"/>
          <w:marTop w:val="0"/>
          <w:marBottom w:val="0"/>
          <w:divBdr>
            <w:top w:val="none" w:sz="0" w:space="0" w:color="auto"/>
            <w:left w:val="none" w:sz="0" w:space="0" w:color="auto"/>
            <w:bottom w:val="none" w:sz="0" w:space="0" w:color="auto"/>
            <w:right w:val="none" w:sz="0" w:space="0" w:color="auto"/>
          </w:divBdr>
          <w:divsChild>
            <w:div w:id="68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72">
      <w:marLeft w:val="0"/>
      <w:marRight w:val="0"/>
      <w:marTop w:val="0"/>
      <w:marBottom w:val="0"/>
      <w:divBdr>
        <w:top w:val="none" w:sz="0" w:space="0" w:color="auto"/>
        <w:left w:val="none" w:sz="0" w:space="0" w:color="auto"/>
        <w:bottom w:val="none" w:sz="0" w:space="0" w:color="auto"/>
        <w:right w:val="none" w:sz="0" w:space="0" w:color="auto"/>
      </w:divBdr>
      <w:divsChild>
        <w:div w:id="687485778">
          <w:marLeft w:val="0"/>
          <w:marRight w:val="0"/>
          <w:marTop w:val="0"/>
          <w:marBottom w:val="0"/>
          <w:divBdr>
            <w:top w:val="none" w:sz="0" w:space="0" w:color="auto"/>
            <w:left w:val="none" w:sz="0" w:space="0" w:color="auto"/>
            <w:bottom w:val="none" w:sz="0" w:space="0" w:color="auto"/>
            <w:right w:val="none" w:sz="0" w:space="0" w:color="auto"/>
          </w:divBdr>
        </w:div>
        <w:div w:id="687485915">
          <w:marLeft w:val="0"/>
          <w:marRight w:val="0"/>
          <w:marTop w:val="0"/>
          <w:marBottom w:val="0"/>
          <w:divBdr>
            <w:top w:val="none" w:sz="0" w:space="0" w:color="auto"/>
            <w:left w:val="none" w:sz="0" w:space="0" w:color="auto"/>
            <w:bottom w:val="none" w:sz="0" w:space="0" w:color="auto"/>
            <w:right w:val="none" w:sz="0" w:space="0" w:color="auto"/>
          </w:divBdr>
          <w:divsChild>
            <w:div w:id="687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74">
      <w:marLeft w:val="0"/>
      <w:marRight w:val="0"/>
      <w:marTop w:val="0"/>
      <w:marBottom w:val="0"/>
      <w:divBdr>
        <w:top w:val="none" w:sz="0" w:space="0" w:color="auto"/>
        <w:left w:val="none" w:sz="0" w:space="0" w:color="auto"/>
        <w:bottom w:val="none" w:sz="0" w:space="0" w:color="auto"/>
        <w:right w:val="none" w:sz="0" w:space="0" w:color="auto"/>
      </w:divBdr>
    </w:div>
    <w:div w:id="687485777">
      <w:marLeft w:val="0"/>
      <w:marRight w:val="0"/>
      <w:marTop w:val="0"/>
      <w:marBottom w:val="0"/>
      <w:divBdr>
        <w:top w:val="none" w:sz="0" w:space="0" w:color="auto"/>
        <w:left w:val="none" w:sz="0" w:space="0" w:color="auto"/>
        <w:bottom w:val="none" w:sz="0" w:space="0" w:color="auto"/>
        <w:right w:val="none" w:sz="0" w:space="0" w:color="auto"/>
      </w:divBdr>
    </w:div>
    <w:div w:id="687485789">
      <w:marLeft w:val="0"/>
      <w:marRight w:val="0"/>
      <w:marTop w:val="0"/>
      <w:marBottom w:val="0"/>
      <w:divBdr>
        <w:top w:val="none" w:sz="0" w:space="0" w:color="auto"/>
        <w:left w:val="none" w:sz="0" w:space="0" w:color="auto"/>
        <w:bottom w:val="none" w:sz="0" w:space="0" w:color="auto"/>
        <w:right w:val="none" w:sz="0" w:space="0" w:color="auto"/>
      </w:divBdr>
      <w:divsChild>
        <w:div w:id="687485624">
          <w:marLeft w:val="0"/>
          <w:marRight w:val="0"/>
          <w:marTop w:val="0"/>
          <w:marBottom w:val="0"/>
          <w:divBdr>
            <w:top w:val="none" w:sz="0" w:space="0" w:color="auto"/>
            <w:left w:val="none" w:sz="0" w:space="0" w:color="auto"/>
            <w:bottom w:val="none" w:sz="0" w:space="0" w:color="auto"/>
            <w:right w:val="none" w:sz="0" w:space="0" w:color="auto"/>
          </w:divBdr>
        </w:div>
        <w:div w:id="687485845">
          <w:marLeft w:val="0"/>
          <w:marRight w:val="0"/>
          <w:marTop w:val="0"/>
          <w:marBottom w:val="0"/>
          <w:divBdr>
            <w:top w:val="none" w:sz="0" w:space="0" w:color="auto"/>
            <w:left w:val="none" w:sz="0" w:space="0" w:color="auto"/>
            <w:bottom w:val="none" w:sz="0" w:space="0" w:color="auto"/>
            <w:right w:val="none" w:sz="0" w:space="0" w:color="auto"/>
          </w:divBdr>
          <w:divsChild>
            <w:div w:id="6874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794">
      <w:marLeft w:val="0"/>
      <w:marRight w:val="0"/>
      <w:marTop w:val="0"/>
      <w:marBottom w:val="0"/>
      <w:divBdr>
        <w:top w:val="none" w:sz="0" w:space="0" w:color="auto"/>
        <w:left w:val="none" w:sz="0" w:space="0" w:color="auto"/>
        <w:bottom w:val="none" w:sz="0" w:space="0" w:color="auto"/>
        <w:right w:val="none" w:sz="0" w:space="0" w:color="auto"/>
      </w:divBdr>
      <w:divsChild>
        <w:div w:id="687485695">
          <w:marLeft w:val="0"/>
          <w:marRight w:val="0"/>
          <w:marTop w:val="0"/>
          <w:marBottom w:val="0"/>
          <w:divBdr>
            <w:top w:val="none" w:sz="0" w:space="0" w:color="auto"/>
            <w:left w:val="none" w:sz="0" w:space="0" w:color="auto"/>
            <w:bottom w:val="none" w:sz="0" w:space="0" w:color="auto"/>
            <w:right w:val="none" w:sz="0" w:space="0" w:color="auto"/>
          </w:divBdr>
          <w:divsChild>
            <w:div w:id="687485784">
              <w:marLeft w:val="0"/>
              <w:marRight w:val="0"/>
              <w:marTop w:val="0"/>
              <w:marBottom w:val="0"/>
              <w:divBdr>
                <w:top w:val="none" w:sz="0" w:space="0" w:color="auto"/>
                <w:left w:val="none" w:sz="0" w:space="0" w:color="auto"/>
                <w:bottom w:val="none" w:sz="0" w:space="0" w:color="auto"/>
                <w:right w:val="none" w:sz="0" w:space="0" w:color="auto"/>
              </w:divBdr>
            </w:div>
          </w:divsChild>
        </w:div>
        <w:div w:id="687485850">
          <w:marLeft w:val="0"/>
          <w:marRight w:val="0"/>
          <w:marTop w:val="0"/>
          <w:marBottom w:val="0"/>
          <w:divBdr>
            <w:top w:val="none" w:sz="0" w:space="0" w:color="auto"/>
            <w:left w:val="none" w:sz="0" w:space="0" w:color="auto"/>
            <w:bottom w:val="none" w:sz="0" w:space="0" w:color="auto"/>
            <w:right w:val="none" w:sz="0" w:space="0" w:color="auto"/>
          </w:divBdr>
        </w:div>
      </w:divsChild>
    </w:div>
    <w:div w:id="687485795">
      <w:marLeft w:val="0"/>
      <w:marRight w:val="0"/>
      <w:marTop w:val="0"/>
      <w:marBottom w:val="0"/>
      <w:divBdr>
        <w:top w:val="none" w:sz="0" w:space="0" w:color="auto"/>
        <w:left w:val="none" w:sz="0" w:space="0" w:color="auto"/>
        <w:bottom w:val="none" w:sz="0" w:space="0" w:color="auto"/>
        <w:right w:val="none" w:sz="0" w:space="0" w:color="auto"/>
      </w:divBdr>
      <w:divsChild>
        <w:div w:id="687485629">
          <w:marLeft w:val="0"/>
          <w:marRight w:val="0"/>
          <w:marTop w:val="0"/>
          <w:marBottom w:val="0"/>
          <w:divBdr>
            <w:top w:val="none" w:sz="0" w:space="0" w:color="auto"/>
            <w:left w:val="none" w:sz="0" w:space="0" w:color="auto"/>
            <w:bottom w:val="none" w:sz="0" w:space="0" w:color="auto"/>
            <w:right w:val="none" w:sz="0" w:space="0" w:color="auto"/>
          </w:divBdr>
          <w:divsChild>
            <w:div w:id="687485726">
              <w:marLeft w:val="0"/>
              <w:marRight w:val="0"/>
              <w:marTop w:val="0"/>
              <w:marBottom w:val="0"/>
              <w:divBdr>
                <w:top w:val="none" w:sz="0" w:space="0" w:color="auto"/>
                <w:left w:val="none" w:sz="0" w:space="0" w:color="auto"/>
                <w:bottom w:val="none" w:sz="0" w:space="0" w:color="auto"/>
                <w:right w:val="none" w:sz="0" w:space="0" w:color="auto"/>
              </w:divBdr>
            </w:div>
          </w:divsChild>
        </w:div>
        <w:div w:id="687485658">
          <w:marLeft w:val="0"/>
          <w:marRight w:val="0"/>
          <w:marTop w:val="0"/>
          <w:marBottom w:val="0"/>
          <w:divBdr>
            <w:top w:val="none" w:sz="0" w:space="0" w:color="auto"/>
            <w:left w:val="none" w:sz="0" w:space="0" w:color="auto"/>
            <w:bottom w:val="none" w:sz="0" w:space="0" w:color="auto"/>
            <w:right w:val="none" w:sz="0" w:space="0" w:color="auto"/>
          </w:divBdr>
        </w:div>
      </w:divsChild>
    </w:div>
    <w:div w:id="687485800">
      <w:marLeft w:val="0"/>
      <w:marRight w:val="0"/>
      <w:marTop w:val="0"/>
      <w:marBottom w:val="0"/>
      <w:divBdr>
        <w:top w:val="none" w:sz="0" w:space="0" w:color="auto"/>
        <w:left w:val="none" w:sz="0" w:space="0" w:color="auto"/>
        <w:bottom w:val="none" w:sz="0" w:space="0" w:color="auto"/>
        <w:right w:val="none" w:sz="0" w:space="0" w:color="auto"/>
      </w:divBdr>
    </w:div>
    <w:div w:id="687485801">
      <w:marLeft w:val="0"/>
      <w:marRight w:val="0"/>
      <w:marTop w:val="0"/>
      <w:marBottom w:val="0"/>
      <w:divBdr>
        <w:top w:val="none" w:sz="0" w:space="0" w:color="auto"/>
        <w:left w:val="none" w:sz="0" w:space="0" w:color="auto"/>
        <w:bottom w:val="none" w:sz="0" w:space="0" w:color="auto"/>
        <w:right w:val="none" w:sz="0" w:space="0" w:color="auto"/>
      </w:divBdr>
    </w:div>
    <w:div w:id="687485802">
      <w:marLeft w:val="0"/>
      <w:marRight w:val="0"/>
      <w:marTop w:val="0"/>
      <w:marBottom w:val="0"/>
      <w:divBdr>
        <w:top w:val="none" w:sz="0" w:space="0" w:color="auto"/>
        <w:left w:val="none" w:sz="0" w:space="0" w:color="auto"/>
        <w:bottom w:val="none" w:sz="0" w:space="0" w:color="auto"/>
        <w:right w:val="none" w:sz="0" w:space="0" w:color="auto"/>
      </w:divBdr>
    </w:div>
    <w:div w:id="687485803">
      <w:marLeft w:val="0"/>
      <w:marRight w:val="0"/>
      <w:marTop w:val="0"/>
      <w:marBottom w:val="0"/>
      <w:divBdr>
        <w:top w:val="none" w:sz="0" w:space="0" w:color="auto"/>
        <w:left w:val="none" w:sz="0" w:space="0" w:color="auto"/>
        <w:bottom w:val="none" w:sz="0" w:space="0" w:color="auto"/>
        <w:right w:val="none" w:sz="0" w:space="0" w:color="auto"/>
      </w:divBdr>
    </w:div>
    <w:div w:id="687485804">
      <w:marLeft w:val="0"/>
      <w:marRight w:val="0"/>
      <w:marTop w:val="0"/>
      <w:marBottom w:val="0"/>
      <w:divBdr>
        <w:top w:val="none" w:sz="0" w:space="0" w:color="auto"/>
        <w:left w:val="none" w:sz="0" w:space="0" w:color="auto"/>
        <w:bottom w:val="none" w:sz="0" w:space="0" w:color="auto"/>
        <w:right w:val="none" w:sz="0" w:space="0" w:color="auto"/>
      </w:divBdr>
    </w:div>
    <w:div w:id="687485805">
      <w:marLeft w:val="0"/>
      <w:marRight w:val="0"/>
      <w:marTop w:val="0"/>
      <w:marBottom w:val="0"/>
      <w:divBdr>
        <w:top w:val="none" w:sz="0" w:space="0" w:color="auto"/>
        <w:left w:val="none" w:sz="0" w:space="0" w:color="auto"/>
        <w:bottom w:val="none" w:sz="0" w:space="0" w:color="auto"/>
        <w:right w:val="none" w:sz="0" w:space="0" w:color="auto"/>
      </w:divBdr>
    </w:div>
    <w:div w:id="687485807">
      <w:marLeft w:val="0"/>
      <w:marRight w:val="0"/>
      <w:marTop w:val="0"/>
      <w:marBottom w:val="0"/>
      <w:divBdr>
        <w:top w:val="none" w:sz="0" w:space="0" w:color="auto"/>
        <w:left w:val="none" w:sz="0" w:space="0" w:color="auto"/>
        <w:bottom w:val="none" w:sz="0" w:space="0" w:color="auto"/>
        <w:right w:val="none" w:sz="0" w:space="0" w:color="auto"/>
      </w:divBdr>
      <w:divsChild>
        <w:div w:id="687485766">
          <w:marLeft w:val="0"/>
          <w:marRight w:val="0"/>
          <w:marTop w:val="0"/>
          <w:marBottom w:val="0"/>
          <w:divBdr>
            <w:top w:val="none" w:sz="0" w:space="0" w:color="auto"/>
            <w:left w:val="none" w:sz="0" w:space="0" w:color="auto"/>
            <w:bottom w:val="none" w:sz="0" w:space="0" w:color="auto"/>
            <w:right w:val="none" w:sz="0" w:space="0" w:color="auto"/>
          </w:divBdr>
        </w:div>
      </w:divsChild>
    </w:div>
    <w:div w:id="687485809">
      <w:marLeft w:val="0"/>
      <w:marRight w:val="0"/>
      <w:marTop w:val="0"/>
      <w:marBottom w:val="0"/>
      <w:divBdr>
        <w:top w:val="none" w:sz="0" w:space="0" w:color="auto"/>
        <w:left w:val="none" w:sz="0" w:space="0" w:color="auto"/>
        <w:bottom w:val="none" w:sz="0" w:space="0" w:color="auto"/>
        <w:right w:val="none" w:sz="0" w:space="0" w:color="auto"/>
      </w:divBdr>
      <w:divsChild>
        <w:div w:id="687485694">
          <w:marLeft w:val="0"/>
          <w:marRight w:val="0"/>
          <w:marTop w:val="0"/>
          <w:marBottom w:val="0"/>
          <w:divBdr>
            <w:top w:val="none" w:sz="0" w:space="0" w:color="auto"/>
            <w:left w:val="none" w:sz="0" w:space="0" w:color="auto"/>
            <w:bottom w:val="none" w:sz="0" w:space="0" w:color="auto"/>
            <w:right w:val="none" w:sz="0" w:space="0" w:color="auto"/>
          </w:divBdr>
        </w:div>
        <w:div w:id="687485773">
          <w:marLeft w:val="0"/>
          <w:marRight w:val="0"/>
          <w:marTop w:val="0"/>
          <w:marBottom w:val="0"/>
          <w:divBdr>
            <w:top w:val="none" w:sz="0" w:space="0" w:color="auto"/>
            <w:left w:val="none" w:sz="0" w:space="0" w:color="auto"/>
            <w:bottom w:val="none" w:sz="0" w:space="0" w:color="auto"/>
            <w:right w:val="none" w:sz="0" w:space="0" w:color="auto"/>
          </w:divBdr>
        </w:div>
      </w:divsChild>
    </w:div>
    <w:div w:id="687485811">
      <w:marLeft w:val="0"/>
      <w:marRight w:val="0"/>
      <w:marTop w:val="0"/>
      <w:marBottom w:val="0"/>
      <w:divBdr>
        <w:top w:val="none" w:sz="0" w:space="0" w:color="auto"/>
        <w:left w:val="none" w:sz="0" w:space="0" w:color="auto"/>
        <w:bottom w:val="none" w:sz="0" w:space="0" w:color="auto"/>
        <w:right w:val="none" w:sz="0" w:space="0" w:color="auto"/>
      </w:divBdr>
    </w:div>
    <w:div w:id="687485813">
      <w:marLeft w:val="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sChild>
            <w:div w:id="687485707">
              <w:marLeft w:val="0"/>
              <w:marRight w:val="0"/>
              <w:marTop w:val="0"/>
              <w:marBottom w:val="0"/>
              <w:divBdr>
                <w:top w:val="none" w:sz="0" w:space="0" w:color="auto"/>
                <w:left w:val="none" w:sz="0" w:space="0" w:color="auto"/>
                <w:bottom w:val="none" w:sz="0" w:space="0" w:color="auto"/>
                <w:right w:val="none" w:sz="0" w:space="0" w:color="auto"/>
              </w:divBdr>
            </w:div>
          </w:divsChild>
        </w:div>
        <w:div w:id="687485721">
          <w:marLeft w:val="0"/>
          <w:marRight w:val="0"/>
          <w:marTop w:val="0"/>
          <w:marBottom w:val="0"/>
          <w:divBdr>
            <w:top w:val="none" w:sz="0" w:space="0" w:color="auto"/>
            <w:left w:val="none" w:sz="0" w:space="0" w:color="auto"/>
            <w:bottom w:val="none" w:sz="0" w:space="0" w:color="auto"/>
            <w:right w:val="none" w:sz="0" w:space="0" w:color="auto"/>
          </w:divBdr>
        </w:div>
      </w:divsChild>
    </w:div>
    <w:div w:id="687485817">
      <w:marLeft w:val="0"/>
      <w:marRight w:val="0"/>
      <w:marTop w:val="0"/>
      <w:marBottom w:val="0"/>
      <w:divBdr>
        <w:top w:val="none" w:sz="0" w:space="0" w:color="auto"/>
        <w:left w:val="none" w:sz="0" w:space="0" w:color="auto"/>
        <w:bottom w:val="none" w:sz="0" w:space="0" w:color="auto"/>
        <w:right w:val="none" w:sz="0" w:space="0" w:color="auto"/>
      </w:divBdr>
      <w:divsChild>
        <w:div w:id="687485709">
          <w:marLeft w:val="0"/>
          <w:marRight w:val="0"/>
          <w:marTop w:val="0"/>
          <w:marBottom w:val="0"/>
          <w:divBdr>
            <w:top w:val="none" w:sz="0" w:space="0" w:color="auto"/>
            <w:left w:val="none" w:sz="0" w:space="0" w:color="auto"/>
            <w:bottom w:val="none" w:sz="0" w:space="0" w:color="auto"/>
            <w:right w:val="none" w:sz="0" w:space="0" w:color="auto"/>
          </w:divBdr>
        </w:div>
        <w:div w:id="687485723">
          <w:marLeft w:val="0"/>
          <w:marRight w:val="0"/>
          <w:marTop w:val="0"/>
          <w:marBottom w:val="0"/>
          <w:divBdr>
            <w:top w:val="none" w:sz="0" w:space="0" w:color="auto"/>
            <w:left w:val="none" w:sz="0" w:space="0" w:color="auto"/>
            <w:bottom w:val="none" w:sz="0" w:space="0" w:color="auto"/>
            <w:right w:val="none" w:sz="0" w:space="0" w:color="auto"/>
          </w:divBdr>
          <w:divsChild>
            <w:div w:id="687485824">
              <w:marLeft w:val="0"/>
              <w:marRight w:val="0"/>
              <w:marTop w:val="0"/>
              <w:marBottom w:val="0"/>
              <w:divBdr>
                <w:top w:val="none" w:sz="0" w:space="0" w:color="auto"/>
                <w:left w:val="none" w:sz="0" w:space="0" w:color="auto"/>
                <w:bottom w:val="none" w:sz="0" w:space="0" w:color="auto"/>
                <w:right w:val="none" w:sz="0" w:space="0" w:color="auto"/>
              </w:divBdr>
            </w:div>
            <w:div w:id="687485827">
              <w:marLeft w:val="0"/>
              <w:marRight w:val="0"/>
              <w:marTop w:val="0"/>
              <w:marBottom w:val="0"/>
              <w:divBdr>
                <w:top w:val="none" w:sz="0" w:space="0" w:color="auto"/>
                <w:left w:val="none" w:sz="0" w:space="0" w:color="auto"/>
                <w:bottom w:val="none" w:sz="0" w:space="0" w:color="auto"/>
                <w:right w:val="none" w:sz="0" w:space="0" w:color="auto"/>
              </w:divBdr>
              <w:divsChild>
                <w:div w:id="687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5823">
      <w:marLeft w:val="0"/>
      <w:marRight w:val="0"/>
      <w:marTop w:val="0"/>
      <w:marBottom w:val="0"/>
      <w:divBdr>
        <w:top w:val="none" w:sz="0" w:space="0" w:color="auto"/>
        <w:left w:val="none" w:sz="0" w:space="0" w:color="auto"/>
        <w:bottom w:val="none" w:sz="0" w:space="0" w:color="auto"/>
        <w:right w:val="none" w:sz="0" w:space="0" w:color="auto"/>
      </w:divBdr>
      <w:divsChild>
        <w:div w:id="687485733">
          <w:marLeft w:val="0"/>
          <w:marRight w:val="0"/>
          <w:marTop w:val="0"/>
          <w:marBottom w:val="0"/>
          <w:divBdr>
            <w:top w:val="none" w:sz="0" w:space="0" w:color="auto"/>
            <w:left w:val="none" w:sz="0" w:space="0" w:color="auto"/>
            <w:bottom w:val="none" w:sz="0" w:space="0" w:color="auto"/>
            <w:right w:val="none" w:sz="0" w:space="0" w:color="auto"/>
          </w:divBdr>
        </w:div>
        <w:div w:id="687485938">
          <w:marLeft w:val="0"/>
          <w:marRight w:val="0"/>
          <w:marTop w:val="0"/>
          <w:marBottom w:val="0"/>
          <w:divBdr>
            <w:top w:val="none" w:sz="0" w:space="0" w:color="auto"/>
            <w:left w:val="none" w:sz="0" w:space="0" w:color="auto"/>
            <w:bottom w:val="none" w:sz="0" w:space="0" w:color="auto"/>
            <w:right w:val="none" w:sz="0" w:space="0" w:color="auto"/>
          </w:divBdr>
          <w:divsChild>
            <w:div w:id="687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31">
      <w:marLeft w:val="0"/>
      <w:marRight w:val="0"/>
      <w:marTop w:val="0"/>
      <w:marBottom w:val="0"/>
      <w:divBdr>
        <w:top w:val="none" w:sz="0" w:space="0" w:color="auto"/>
        <w:left w:val="none" w:sz="0" w:space="0" w:color="auto"/>
        <w:bottom w:val="none" w:sz="0" w:space="0" w:color="auto"/>
        <w:right w:val="none" w:sz="0" w:space="0" w:color="auto"/>
      </w:divBdr>
    </w:div>
    <w:div w:id="687485834">
      <w:marLeft w:val="0"/>
      <w:marRight w:val="0"/>
      <w:marTop w:val="0"/>
      <w:marBottom w:val="0"/>
      <w:divBdr>
        <w:top w:val="none" w:sz="0" w:space="0" w:color="auto"/>
        <w:left w:val="none" w:sz="0" w:space="0" w:color="auto"/>
        <w:bottom w:val="none" w:sz="0" w:space="0" w:color="auto"/>
        <w:right w:val="none" w:sz="0" w:space="0" w:color="auto"/>
      </w:divBdr>
      <w:divsChild>
        <w:div w:id="687485799">
          <w:marLeft w:val="0"/>
          <w:marRight w:val="0"/>
          <w:marTop w:val="0"/>
          <w:marBottom w:val="0"/>
          <w:divBdr>
            <w:top w:val="none" w:sz="0" w:space="0" w:color="auto"/>
            <w:left w:val="none" w:sz="0" w:space="0" w:color="auto"/>
            <w:bottom w:val="none" w:sz="0" w:space="0" w:color="auto"/>
            <w:right w:val="none" w:sz="0" w:space="0" w:color="auto"/>
          </w:divBdr>
        </w:div>
      </w:divsChild>
    </w:div>
    <w:div w:id="687485835">
      <w:marLeft w:val="0"/>
      <w:marRight w:val="0"/>
      <w:marTop w:val="0"/>
      <w:marBottom w:val="0"/>
      <w:divBdr>
        <w:top w:val="none" w:sz="0" w:space="0" w:color="auto"/>
        <w:left w:val="none" w:sz="0" w:space="0" w:color="auto"/>
        <w:bottom w:val="none" w:sz="0" w:space="0" w:color="auto"/>
        <w:right w:val="none" w:sz="0" w:space="0" w:color="auto"/>
      </w:divBdr>
      <w:divsChild>
        <w:div w:id="687485630">
          <w:marLeft w:val="0"/>
          <w:marRight w:val="0"/>
          <w:marTop w:val="0"/>
          <w:marBottom w:val="0"/>
          <w:divBdr>
            <w:top w:val="none" w:sz="0" w:space="0" w:color="auto"/>
            <w:left w:val="none" w:sz="0" w:space="0" w:color="auto"/>
            <w:bottom w:val="none" w:sz="0" w:space="0" w:color="auto"/>
            <w:right w:val="none" w:sz="0" w:space="0" w:color="auto"/>
          </w:divBdr>
        </w:div>
        <w:div w:id="687485814">
          <w:marLeft w:val="0"/>
          <w:marRight w:val="0"/>
          <w:marTop w:val="0"/>
          <w:marBottom w:val="0"/>
          <w:divBdr>
            <w:top w:val="none" w:sz="0" w:space="0" w:color="auto"/>
            <w:left w:val="none" w:sz="0" w:space="0" w:color="auto"/>
            <w:bottom w:val="none" w:sz="0" w:space="0" w:color="auto"/>
            <w:right w:val="none" w:sz="0" w:space="0" w:color="auto"/>
          </w:divBdr>
          <w:divsChild>
            <w:div w:id="687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37">
      <w:marLeft w:val="0"/>
      <w:marRight w:val="0"/>
      <w:marTop w:val="0"/>
      <w:marBottom w:val="0"/>
      <w:divBdr>
        <w:top w:val="none" w:sz="0" w:space="0" w:color="auto"/>
        <w:left w:val="none" w:sz="0" w:space="0" w:color="auto"/>
        <w:bottom w:val="none" w:sz="0" w:space="0" w:color="auto"/>
        <w:right w:val="none" w:sz="0" w:space="0" w:color="auto"/>
      </w:divBdr>
    </w:div>
    <w:div w:id="687485838">
      <w:marLeft w:val="0"/>
      <w:marRight w:val="0"/>
      <w:marTop w:val="0"/>
      <w:marBottom w:val="0"/>
      <w:divBdr>
        <w:top w:val="none" w:sz="0" w:space="0" w:color="auto"/>
        <w:left w:val="none" w:sz="0" w:space="0" w:color="auto"/>
        <w:bottom w:val="none" w:sz="0" w:space="0" w:color="auto"/>
        <w:right w:val="none" w:sz="0" w:space="0" w:color="auto"/>
      </w:divBdr>
      <w:divsChild>
        <w:div w:id="687485810">
          <w:marLeft w:val="0"/>
          <w:marRight w:val="0"/>
          <w:marTop w:val="0"/>
          <w:marBottom w:val="0"/>
          <w:divBdr>
            <w:top w:val="none" w:sz="0" w:space="0" w:color="auto"/>
            <w:left w:val="none" w:sz="0" w:space="0" w:color="auto"/>
            <w:bottom w:val="none" w:sz="0" w:space="0" w:color="auto"/>
            <w:right w:val="none" w:sz="0" w:space="0" w:color="auto"/>
          </w:divBdr>
        </w:div>
        <w:div w:id="687485924">
          <w:marLeft w:val="0"/>
          <w:marRight w:val="0"/>
          <w:marTop w:val="0"/>
          <w:marBottom w:val="0"/>
          <w:divBdr>
            <w:top w:val="none" w:sz="0" w:space="0" w:color="auto"/>
            <w:left w:val="none" w:sz="0" w:space="0" w:color="auto"/>
            <w:bottom w:val="none" w:sz="0" w:space="0" w:color="auto"/>
            <w:right w:val="none" w:sz="0" w:space="0" w:color="auto"/>
          </w:divBdr>
        </w:div>
      </w:divsChild>
    </w:div>
    <w:div w:id="687485841">
      <w:marLeft w:val="0"/>
      <w:marRight w:val="0"/>
      <w:marTop w:val="0"/>
      <w:marBottom w:val="0"/>
      <w:divBdr>
        <w:top w:val="none" w:sz="0" w:space="0" w:color="auto"/>
        <w:left w:val="none" w:sz="0" w:space="0" w:color="auto"/>
        <w:bottom w:val="none" w:sz="0" w:space="0" w:color="auto"/>
        <w:right w:val="none" w:sz="0" w:space="0" w:color="auto"/>
      </w:divBdr>
      <w:divsChild>
        <w:div w:id="687485615">
          <w:marLeft w:val="0"/>
          <w:marRight w:val="0"/>
          <w:marTop w:val="0"/>
          <w:marBottom w:val="0"/>
          <w:divBdr>
            <w:top w:val="none" w:sz="0" w:space="0" w:color="auto"/>
            <w:left w:val="none" w:sz="0" w:space="0" w:color="auto"/>
            <w:bottom w:val="none" w:sz="0" w:space="0" w:color="auto"/>
            <w:right w:val="none" w:sz="0" w:space="0" w:color="auto"/>
          </w:divBdr>
        </w:div>
        <w:div w:id="687485621">
          <w:marLeft w:val="0"/>
          <w:marRight w:val="0"/>
          <w:marTop w:val="0"/>
          <w:marBottom w:val="0"/>
          <w:divBdr>
            <w:top w:val="none" w:sz="0" w:space="0" w:color="auto"/>
            <w:left w:val="none" w:sz="0" w:space="0" w:color="auto"/>
            <w:bottom w:val="none" w:sz="0" w:space="0" w:color="auto"/>
            <w:right w:val="none" w:sz="0" w:space="0" w:color="auto"/>
          </w:divBdr>
          <w:divsChild>
            <w:div w:id="687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43">
      <w:marLeft w:val="0"/>
      <w:marRight w:val="0"/>
      <w:marTop w:val="0"/>
      <w:marBottom w:val="0"/>
      <w:divBdr>
        <w:top w:val="none" w:sz="0" w:space="0" w:color="auto"/>
        <w:left w:val="none" w:sz="0" w:space="0" w:color="auto"/>
        <w:bottom w:val="none" w:sz="0" w:space="0" w:color="auto"/>
        <w:right w:val="none" w:sz="0" w:space="0" w:color="auto"/>
      </w:divBdr>
      <w:divsChild>
        <w:div w:id="687485793">
          <w:marLeft w:val="0"/>
          <w:marRight w:val="0"/>
          <w:marTop w:val="0"/>
          <w:marBottom w:val="0"/>
          <w:divBdr>
            <w:top w:val="none" w:sz="0" w:space="0" w:color="auto"/>
            <w:left w:val="none" w:sz="0" w:space="0" w:color="auto"/>
            <w:bottom w:val="none" w:sz="0" w:space="0" w:color="auto"/>
            <w:right w:val="none" w:sz="0" w:space="0" w:color="auto"/>
          </w:divBdr>
          <w:divsChild>
            <w:div w:id="687485706">
              <w:marLeft w:val="0"/>
              <w:marRight w:val="0"/>
              <w:marTop w:val="0"/>
              <w:marBottom w:val="0"/>
              <w:divBdr>
                <w:top w:val="none" w:sz="0" w:space="0" w:color="auto"/>
                <w:left w:val="none" w:sz="0" w:space="0" w:color="auto"/>
                <w:bottom w:val="none" w:sz="0" w:space="0" w:color="auto"/>
                <w:right w:val="none" w:sz="0" w:space="0" w:color="auto"/>
              </w:divBdr>
            </w:div>
          </w:divsChild>
        </w:div>
        <w:div w:id="687485898">
          <w:marLeft w:val="0"/>
          <w:marRight w:val="0"/>
          <w:marTop w:val="0"/>
          <w:marBottom w:val="0"/>
          <w:divBdr>
            <w:top w:val="none" w:sz="0" w:space="0" w:color="auto"/>
            <w:left w:val="none" w:sz="0" w:space="0" w:color="auto"/>
            <w:bottom w:val="none" w:sz="0" w:space="0" w:color="auto"/>
            <w:right w:val="none" w:sz="0" w:space="0" w:color="auto"/>
          </w:divBdr>
        </w:div>
      </w:divsChild>
    </w:div>
    <w:div w:id="687485844">
      <w:marLeft w:val="0"/>
      <w:marRight w:val="0"/>
      <w:marTop w:val="0"/>
      <w:marBottom w:val="0"/>
      <w:divBdr>
        <w:top w:val="none" w:sz="0" w:space="0" w:color="auto"/>
        <w:left w:val="none" w:sz="0" w:space="0" w:color="auto"/>
        <w:bottom w:val="none" w:sz="0" w:space="0" w:color="auto"/>
        <w:right w:val="none" w:sz="0" w:space="0" w:color="auto"/>
      </w:divBdr>
    </w:div>
    <w:div w:id="687485847">
      <w:marLeft w:val="0"/>
      <w:marRight w:val="0"/>
      <w:marTop w:val="0"/>
      <w:marBottom w:val="0"/>
      <w:divBdr>
        <w:top w:val="none" w:sz="0" w:space="0" w:color="auto"/>
        <w:left w:val="none" w:sz="0" w:space="0" w:color="auto"/>
        <w:bottom w:val="none" w:sz="0" w:space="0" w:color="auto"/>
        <w:right w:val="none" w:sz="0" w:space="0" w:color="auto"/>
      </w:divBdr>
      <w:divsChild>
        <w:div w:id="687485771">
          <w:marLeft w:val="0"/>
          <w:marRight w:val="0"/>
          <w:marTop w:val="0"/>
          <w:marBottom w:val="0"/>
          <w:divBdr>
            <w:top w:val="none" w:sz="0" w:space="0" w:color="auto"/>
            <w:left w:val="none" w:sz="0" w:space="0" w:color="auto"/>
            <w:bottom w:val="none" w:sz="0" w:space="0" w:color="auto"/>
            <w:right w:val="none" w:sz="0" w:space="0" w:color="auto"/>
          </w:divBdr>
        </w:div>
      </w:divsChild>
    </w:div>
    <w:div w:id="687485849">
      <w:marLeft w:val="0"/>
      <w:marRight w:val="0"/>
      <w:marTop w:val="0"/>
      <w:marBottom w:val="0"/>
      <w:divBdr>
        <w:top w:val="none" w:sz="0" w:space="0" w:color="auto"/>
        <w:left w:val="none" w:sz="0" w:space="0" w:color="auto"/>
        <w:bottom w:val="none" w:sz="0" w:space="0" w:color="auto"/>
        <w:right w:val="none" w:sz="0" w:space="0" w:color="auto"/>
      </w:divBdr>
    </w:div>
    <w:div w:id="687485852">
      <w:marLeft w:val="0"/>
      <w:marRight w:val="0"/>
      <w:marTop w:val="0"/>
      <w:marBottom w:val="0"/>
      <w:divBdr>
        <w:top w:val="none" w:sz="0" w:space="0" w:color="auto"/>
        <w:left w:val="none" w:sz="0" w:space="0" w:color="auto"/>
        <w:bottom w:val="none" w:sz="0" w:space="0" w:color="auto"/>
        <w:right w:val="none" w:sz="0" w:space="0" w:color="auto"/>
      </w:divBdr>
      <w:divsChild>
        <w:div w:id="687485632">
          <w:marLeft w:val="0"/>
          <w:marRight w:val="0"/>
          <w:marTop w:val="0"/>
          <w:marBottom w:val="0"/>
          <w:divBdr>
            <w:top w:val="none" w:sz="0" w:space="0" w:color="auto"/>
            <w:left w:val="none" w:sz="0" w:space="0" w:color="auto"/>
            <w:bottom w:val="none" w:sz="0" w:space="0" w:color="auto"/>
            <w:right w:val="none" w:sz="0" w:space="0" w:color="auto"/>
          </w:divBdr>
          <w:divsChild>
            <w:div w:id="687485651">
              <w:marLeft w:val="0"/>
              <w:marRight w:val="0"/>
              <w:marTop w:val="0"/>
              <w:marBottom w:val="0"/>
              <w:divBdr>
                <w:top w:val="none" w:sz="0" w:space="0" w:color="auto"/>
                <w:left w:val="none" w:sz="0" w:space="0" w:color="auto"/>
                <w:bottom w:val="none" w:sz="0" w:space="0" w:color="auto"/>
                <w:right w:val="none" w:sz="0" w:space="0" w:color="auto"/>
              </w:divBdr>
            </w:div>
          </w:divsChild>
        </w:div>
        <w:div w:id="687485833">
          <w:marLeft w:val="0"/>
          <w:marRight w:val="0"/>
          <w:marTop w:val="0"/>
          <w:marBottom w:val="0"/>
          <w:divBdr>
            <w:top w:val="none" w:sz="0" w:space="0" w:color="auto"/>
            <w:left w:val="none" w:sz="0" w:space="0" w:color="auto"/>
            <w:bottom w:val="none" w:sz="0" w:space="0" w:color="auto"/>
            <w:right w:val="none" w:sz="0" w:space="0" w:color="auto"/>
          </w:divBdr>
        </w:div>
      </w:divsChild>
    </w:div>
    <w:div w:id="687485854">
      <w:marLeft w:val="0"/>
      <w:marRight w:val="0"/>
      <w:marTop w:val="0"/>
      <w:marBottom w:val="0"/>
      <w:divBdr>
        <w:top w:val="none" w:sz="0" w:space="0" w:color="auto"/>
        <w:left w:val="none" w:sz="0" w:space="0" w:color="auto"/>
        <w:bottom w:val="none" w:sz="0" w:space="0" w:color="auto"/>
        <w:right w:val="none" w:sz="0" w:space="0" w:color="auto"/>
      </w:divBdr>
    </w:div>
    <w:div w:id="687485855">
      <w:marLeft w:val="0"/>
      <w:marRight w:val="0"/>
      <w:marTop w:val="0"/>
      <w:marBottom w:val="0"/>
      <w:divBdr>
        <w:top w:val="none" w:sz="0" w:space="0" w:color="auto"/>
        <w:left w:val="none" w:sz="0" w:space="0" w:color="auto"/>
        <w:bottom w:val="none" w:sz="0" w:space="0" w:color="auto"/>
        <w:right w:val="none" w:sz="0" w:space="0" w:color="auto"/>
      </w:divBdr>
    </w:div>
    <w:div w:id="687485859">
      <w:marLeft w:val="0"/>
      <w:marRight w:val="0"/>
      <w:marTop w:val="0"/>
      <w:marBottom w:val="0"/>
      <w:divBdr>
        <w:top w:val="none" w:sz="0" w:space="0" w:color="auto"/>
        <w:left w:val="none" w:sz="0" w:space="0" w:color="auto"/>
        <w:bottom w:val="none" w:sz="0" w:space="0" w:color="auto"/>
        <w:right w:val="none" w:sz="0" w:space="0" w:color="auto"/>
      </w:divBdr>
    </w:div>
    <w:div w:id="687485860">
      <w:marLeft w:val="0"/>
      <w:marRight w:val="0"/>
      <w:marTop w:val="0"/>
      <w:marBottom w:val="0"/>
      <w:divBdr>
        <w:top w:val="none" w:sz="0" w:space="0" w:color="auto"/>
        <w:left w:val="none" w:sz="0" w:space="0" w:color="auto"/>
        <w:bottom w:val="none" w:sz="0" w:space="0" w:color="auto"/>
        <w:right w:val="none" w:sz="0" w:space="0" w:color="auto"/>
      </w:divBdr>
      <w:divsChild>
        <w:div w:id="687485598">
          <w:marLeft w:val="0"/>
          <w:marRight w:val="0"/>
          <w:marTop w:val="0"/>
          <w:marBottom w:val="0"/>
          <w:divBdr>
            <w:top w:val="none" w:sz="0" w:space="0" w:color="auto"/>
            <w:left w:val="none" w:sz="0" w:space="0" w:color="auto"/>
            <w:bottom w:val="none" w:sz="0" w:space="0" w:color="auto"/>
            <w:right w:val="none" w:sz="0" w:space="0" w:color="auto"/>
          </w:divBdr>
        </w:div>
        <w:div w:id="687485819">
          <w:marLeft w:val="0"/>
          <w:marRight w:val="0"/>
          <w:marTop w:val="0"/>
          <w:marBottom w:val="0"/>
          <w:divBdr>
            <w:top w:val="none" w:sz="0" w:space="0" w:color="auto"/>
            <w:left w:val="none" w:sz="0" w:space="0" w:color="auto"/>
            <w:bottom w:val="none" w:sz="0" w:space="0" w:color="auto"/>
            <w:right w:val="none" w:sz="0" w:space="0" w:color="auto"/>
          </w:divBdr>
          <w:divsChild>
            <w:div w:id="6874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62">
      <w:marLeft w:val="0"/>
      <w:marRight w:val="0"/>
      <w:marTop w:val="0"/>
      <w:marBottom w:val="0"/>
      <w:divBdr>
        <w:top w:val="none" w:sz="0" w:space="0" w:color="auto"/>
        <w:left w:val="none" w:sz="0" w:space="0" w:color="auto"/>
        <w:bottom w:val="none" w:sz="0" w:space="0" w:color="auto"/>
        <w:right w:val="none" w:sz="0" w:space="0" w:color="auto"/>
      </w:divBdr>
      <w:divsChild>
        <w:div w:id="687485883">
          <w:marLeft w:val="0"/>
          <w:marRight w:val="0"/>
          <w:marTop w:val="0"/>
          <w:marBottom w:val="0"/>
          <w:divBdr>
            <w:top w:val="none" w:sz="0" w:space="0" w:color="auto"/>
            <w:left w:val="none" w:sz="0" w:space="0" w:color="auto"/>
            <w:bottom w:val="none" w:sz="0" w:space="0" w:color="auto"/>
            <w:right w:val="none" w:sz="0" w:space="0" w:color="auto"/>
          </w:divBdr>
        </w:div>
        <w:div w:id="687485922">
          <w:marLeft w:val="0"/>
          <w:marRight w:val="0"/>
          <w:marTop w:val="0"/>
          <w:marBottom w:val="0"/>
          <w:divBdr>
            <w:top w:val="none" w:sz="0" w:space="0" w:color="auto"/>
            <w:left w:val="none" w:sz="0" w:space="0" w:color="auto"/>
            <w:bottom w:val="none" w:sz="0" w:space="0" w:color="auto"/>
            <w:right w:val="none" w:sz="0" w:space="0" w:color="auto"/>
          </w:divBdr>
        </w:div>
      </w:divsChild>
    </w:div>
    <w:div w:id="687485863">
      <w:marLeft w:val="0"/>
      <w:marRight w:val="0"/>
      <w:marTop w:val="0"/>
      <w:marBottom w:val="0"/>
      <w:divBdr>
        <w:top w:val="none" w:sz="0" w:space="0" w:color="auto"/>
        <w:left w:val="none" w:sz="0" w:space="0" w:color="auto"/>
        <w:bottom w:val="none" w:sz="0" w:space="0" w:color="auto"/>
        <w:right w:val="none" w:sz="0" w:space="0" w:color="auto"/>
      </w:divBdr>
      <w:divsChild>
        <w:div w:id="687485758">
          <w:marLeft w:val="0"/>
          <w:marRight w:val="0"/>
          <w:marTop w:val="0"/>
          <w:marBottom w:val="0"/>
          <w:divBdr>
            <w:top w:val="none" w:sz="0" w:space="0" w:color="auto"/>
            <w:left w:val="none" w:sz="0" w:space="0" w:color="auto"/>
            <w:bottom w:val="none" w:sz="0" w:space="0" w:color="auto"/>
            <w:right w:val="none" w:sz="0" w:space="0" w:color="auto"/>
          </w:divBdr>
          <w:divsChild>
            <w:div w:id="687485682">
              <w:marLeft w:val="0"/>
              <w:marRight w:val="0"/>
              <w:marTop w:val="0"/>
              <w:marBottom w:val="0"/>
              <w:divBdr>
                <w:top w:val="none" w:sz="0" w:space="0" w:color="auto"/>
                <w:left w:val="none" w:sz="0" w:space="0" w:color="auto"/>
                <w:bottom w:val="none" w:sz="0" w:space="0" w:color="auto"/>
                <w:right w:val="none" w:sz="0" w:space="0" w:color="auto"/>
              </w:divBdr>
            </w:div>
          </w:divsChild>
        </w:div>
        <w:div w:id="687485818">
          <w:marLeft w:val="0"/>
          <w:marRight w:val="0"/>
          <w:marTop w:val="0"/>
          <w:marBottom w:val="0"/>
          <w:divBdr>
            <w:top w:val="none" w:sz="0" w:space="0" w:color="auto"/>
            <w:left w:val="none" w:sz="0" w:space="0" w:color="auto"/>
            <w:bottom w:val="none" w:sz="0" w:space="0" w:color="auto"/>
            <w:right w:val="none" w:sz="0" w:space="0" w:color="auto"/>
          </w:divBdr>
        </w:div>
      </w:divsChild>
    </w:div>
    <w:div w:id="687485866">
      <w:marLeft w:val="0"/>
      <w:marRight w:val="0"/>
      <w:marTop w:val="0"/>
      <w:marBottom w:val="0"/>
      <w:divBdr>
        <w:top w:val="none" w:sz="0" w:space="0" w:color="auto"/>
        <w:left w:val="none" w:sz="0" w:space="0" w:color="auto"/>
        <w:bottom w:val="none" w:sz="0" w:space="0" w:color="auto"/>
        <w:right w:val="none" w:sz="0" w:space="0" w:color="auto"/>
      </w:divBdr>
      <w:divsChild>
        <w:div w:id="687485641">
          <w:marLeft w:val="0"/>
          <w:marRight w:val="0"/>
          <w:marTop w:val="0"/>
          <w:marBottom w:val="0"/>
          <w:divBdr>
            <w:top w:val="none" w:sz="0" w:space="0" w:color="auto"/>
            <w:left w:val="none" w:sz="0" w:space="0" w:color="auto"/>
            <w:bottom w:val="none" w:sz="0" w:space="0" w:color="auto"/>
            <w:right w:val="none" w:sz="0" w:space="0" w:color="auto"/>
          </w:divBdr>
        </w:div>
        <w:div w:id="687485815">
          <w:marLeft w:val="0"/>
          <w:marRight w:val="0"/>
          <w:marTop w:val="0"/>
          <w:marBottom w:val="0"/>
          <w:divBdr>
            <w:top w:val="none" w:sz="0" w:space="0" w:color="auto"/>
            <w:left w:val="none" w:sz="0" w:space="0" w:color="auto"/>
            <w:bottom w:val="none" w:sz="0" w:space="0" w:color="auto"/>
            <w:right w:val="none" w:sz="0" w:space="0" w:color="auto"/>
          </w:divBdr>
        </w:div>
      </w:divsChild>
    </w:div>
    <w:div w:id="687485867">
      <w:marLeft w:val="0"/>
      <w:marRight w:val="0"/>
      <w:marTop w:val="0"/>
      <w:marBottom w:val="0"/>
      <w:divBdr>
        <w:top w:val="none" w:sz="0" w:space="0" w:color="auto"/>
        <w:left w:val="none" w:sz="0" w:space="0" w:color="auto"/>
        <w:bottom w:val="none" w:sz="0" w:space="0" w:color="auto"/>
        <w:right w:val="none" w:sz="0" w:space="0" w:color="auto"/>
      </w:divBdr>
      <w:divsChild>
        <w:div w:id="687485617">
          <w:marLeft w:val="0"/>
          <w:marRight w:val="0"/>
          <w:marTop w:val="0"/>
          <w:marBottom w:val="0"/>
          <w:divBdr>
            <w:top w:val="none" w:sz="0" w:space="0" w:color="auto"/>
            <w:left w:val="none" w:sz="0" w:space="0" w:color="auto"/>
            <w:bottom w:val="none" w:sz="0" w:space="0" w:color="auto"/>
            <w:right w:val="none" w:sz="0" w:space="0" w:color="auto"/>
          </w:divBdr>
          <w:divsChild>
            <w:div w:id="687485644">
              <w:marLeft w:val="0"/>
              <w:marRight w:val="0"/>
              <w:marTop w:val="0"/>
              <w:marBottom w:val="0"/>
              <w:divBdr>
                <w:top w:val="none" w:sz="0" w:space="0" w:color="auto"/>
                <w:left w:val="none" w:sz="0" w:space="0" w:color="auto"/>
                <w:bottom w:val="none" w:sz="0" w:space="0" w:color="auto"/>
                <w:right w:val="none" w:sz="0" w:space="0" w:color="auto"/>
              </w:divBdr>
            </w:div>
          </w:divsChild>
        </w:div>
        <w:div w:id="687485684">
          <w:marLeft w:val="0"/>
          <w:marRight w:val="0"/>
          <w:marTop w:val="0"/>
          <w:marBottom w:val="0"/>
          <w:divBdr>
            <w:top w:val="none" w:sz="0" w:space="0" w:color="auto"/>
            <w:left w:val="none" w:sz="0" w:space="0" w:color="auto"/>
            <w:bottom w:val="none" w:sz="0" w:space="0" w:color="auto"/>
            <w:right w:val="none" w:sz="0" w:space="0" w:color="auto"/>
          </w:divBdr>
        </w:div>
      </w:divsChild>
    </w:div>
    <w:div w:id="687485868">
      <w:marLeft w:val="0"/>
      <w:marRight w:val="0"/>
      <w:marTop w:val="0"/>
      <w:marBottom w:val="0"/>
      <w:divBdr>
        <w:top w:val="none" w:sz="0" w:space="0" w:color="auto"/>
        <w:left w:val="none" w:sz="0" w:space="0" w:color="auto"/>
        <w:bottom w:val="none" w:sz="0" w:space="0" w:color="auto"/>
        <w:right w:val="none" w:sz="0" w:space="0" w:color="auto"/>
      </w:divBdr>
      <w:divsChild>
        <w:div w:id="687485631">
          <w:marLeft w:val="0"/>
          <w:marRight w:val="0"/>
          <w:marTop w:val="0"/>
          <w:marBottom w:val="0"/>
          <w:divBdr>
            <w:top w:val="none" w:sz="0" w:space="0" w:color="auto"/>
            <w:left w:val="none" w:sz="0" w:space="0" w:color="auto"/>
            <w:bottom w:val="none" w:sz="0" w:space="0" w:color="auto"/>
            <w:right w:val="none" w:sz="0" w:space="0" w:color="auto"/>
          </w:divBdr>
        </w:div>
        <w:div w:id="687485750">
          <w:marLeft w:val="0"/>
          <w:marRight w:val="0"/>
          <w:marTop w:val="0"/>
          <w:marBottom w:val="0"/>
          <w:divBdr>
            <w:top w:val="none" w:sz="0" w:space="0" w:color="auto"/>
            <w:left w:val="none" w:sz="0" w:space="0" w:color="auto"/>
            <w:bottom w:val="none" w:sz="0" w:space="0" w:color="auto"/>
            <w:right w:val="none" w:sz="0" w:space="0" w:color="auto"/>
          </w:divBdr>
          <w:divsChild>
            <w:div w:id="687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69">
      <w:marLeft w:val="0"/>
      <w:marRight w:val="0"/>
      <w:marTop w:val="0"/>
      <w:marBottom w:val="0"/>
      <w:divBdr>
        <w:top w:val="none" w:sz="0" w:space="0" w:color="auto"/>
        <w:left w:val="none" w:sz="0" w:space="0" w:color="auto"/>
        <w:bottom w:val="none" w:sz="0" w:space="0" w:color="auto"/>
        <w:right w:val="none" w:sz="0" w:space="0" w:color="auto"/>
      </w:divBdr>
    </w:div>
    <w:div w:id="687485870">
      <w:marLeft w:val="0"/>
      <w:marRight w:val="0"/>
      <w:marTop w:val="0"/>
      <w:marBottom w:val="0"/>
      <w:divBdr>
        <w:top w:val="none" w:sz="0" w:space="0" w:color="auto"/>
        <w:left w:val="none" w:sz="0" w:space="0" w:color="auto"/>
        <w:bottom w:val="none" w:sz="0" w:space="0" w:color="auto"/>
        <w:right w:val="none" w:sz="0" w:space="0" w:color="auto"/>
      </w:divBdr>
      <w:divsChild>
        <w:div w:id="687485660">
          <w:marLeft w:val="0"/>
          <w:marRight w:val="0"/>
          <w:marTop w:val="0"/>
          <w:marBottom w:val="0"/>
          <w:divBdr>
            <w:top w:val="none" w:sz="0" w:space="0" w:color="auto"/>
            <w:left w:val="none" w:sz="0" w:space="0" w:color="auto"/>
            <w:bottom w:val="none" w:sz="0" w:space="0" w:color="auto"/>
            <w:right w:val="none" w:sz="0" w:space="0" w:color="auto"/>
          </w:divBdr>
          <w:divsChild>
            <w:div w:id="687485699">
              <w:marLeft w:val="0"/>
              <w:marRight w:val="0"/>
              <w:marTop w:val="0"/>
              <w:marBottom w:val="0"/>
              <w:divBdr>
                <w:top w:val="none" w:sz="0" w:space="0" w:color="auto"/>
                <w:left w:val="none" w:sz="0" w:space="0" w:color="auto"/>
                <w:bottom w:val="none" w:sz="0" w:space="0" w:color="auto"/>
                <w:right w:val="none" w:sz="0" w:space="0" w:color="auto"/>
              </w:divBdr>
            </w:div>
          </w:divsChild>
        </w:div>
        <w:div w:id="687485910">
          <w:marLeft w:val="0"/>
          <w:marRight w:val="0"/>
          <w:marTop w:val="0"/>
          <w:marBottom w:val="0"/>
          <w:divBdr>
            <w:top w:val="none" w:sz="0" w:space="0" w:color="auto"/>
            <w:left w:val="none" w:sz="0" w:space="0" w:color="auto"/>
            <w:bottom w:val="none" w:sz="0" w:space="0" w:color="auto"/>
            <w:right w:val="none" w:sz="0" w:space="0" w:color="auto"/>
          </w:divBdr>
        </w:div>
      </w:divsChild>
    </w:div>
    <w:div w:id="687485872">
      <w:marLeft w:val="0"/>
      <w:marRight w:val="0"/>
      <w:marTop w:val="0"/>
      <w:marBottom w:val="0"/>
      <w:divBdr>
        <w:top w:val="none" w:sz="0" w:space="0" w:color="auto"/>
        <w:left w:val="none" w:sz="0" w:space="0" w:color="auto"/>
        <w:bottom w:val="none" w:sz="0" w:space="0" w:color="auto"/>
        <w:right w:val="none" w:sz="0" w:space="0" w:color="auto"/>
      </w:divBdr>
      <w:divsChild>
        <w:div w:id="687485673">
          <w:marLeft w:val="0"/>
          <w:marRight w:val="0"/>
          <w:marTop w:val="0"/>
          <w:marBottom w:val="0"/>
          <w:divBdr>
            <w:top w:val="none" w:sz="0" w:space="0" w:color="auto"/>
            <w:left w:val="none" w:sz="0" w:space="0" w:color="auto"/>
            <w:bottom w:val="none" w:sz="0" w:space="0" w:color="auto"/>
            <w:right w:val="none" w:sz="0" w:space="0" w:color="auto"/>
          </w:divBdr>
          <w:divsChild>
            <w:div w:id="687485698">
              <w:marLeft w:val="0"/>
              <w:marRight w:val="0"/>
              <w:marTop w:val="0"/>
              <w:marBottom w:val="0"/>
              <w:divBdr>
                <w:top w:val="none" w:sz="0" w:space="0" w:color="auto"/>
                <w:left w:val="none" w:sz="0" w:space="0" w:color="auto"/>
                <w:bottom w:val="none" w:sz="0" w:space="0" w:color="auto"/>
                <w:right w:val="none" w:sz="0" w:space="0" w:color="auto"/>
              </w:divBdr>
            </w:div>
          </w:divsChild>
        </w:div>
        <w:div w:id="687485681">
          <w:marLeft w:val="0"/>
          <w:marRight w:val="0"/>
          <w:marTop w:val="0"/>
          <w:marBottom w:val="0"/>
          <w:divBdr>
            <w:top w:val="none" w:sz="0" w:space="0" w:color="auto"/>
            <w:left w:val="none" w:sz="0" w:space="0" w:color="auto"/>
            <w:bottom w:val="none" w:sz="0" w:space="0" w:color="auto"/>
            <w:right w:val="none" w:sz="0" w:space="0" w:color="auto"/>
          </w:divBdr>
        </w:div>
      </w:divsChild>
    </w:div>
    <w:div w:id="687485873">
      <w:marLeft w:val="0"/>
      <w:marRight w:val="0"/>
      <w:marTop w:val="0"/>
      <w:marBottom w:val="0"/>
      <w:divBdr>
        <w:top w:val="none" w:sz="0" w:space="0" w:color="auto"/>
        <w:left w:val="none" w:sz="0" w:space="0" w:color="auto"/>
        <w:bottom w:val="none" w:sz="0" w:space="0" w:color="auto"/>
        <w:right w:val="none" w:sz="0" w:space="0" w:color="auto"/>
      </w:divBdr>
    </w:div>
    <w:div w:id="687485877">
      <w:marLeft w:val="0"/>
      <w:marRight w:val="0"/>
      <w:marTop w:val="0"/>
      <w:marBottom w:val="0"/>
      <w:divBdr>
        <w:top w:val="none" w:sz="0" w:space="0" w:color="auto"/>
        <w:left w:val="none" w:sz="0" w:space="0" w:color="auto"/>
        <w:bottom w:val="none" w:sz="0" w:space="0" w:color="auto"/>
        <w:right w:val="none" w:sz="0" w:space="0" w:color="auto"/>
      </w:divBdr>
    </w:div>
    <w:div w:id="687485878">
      <w:marLeft w:val="0"/>
      <w:marRight w:val="0"/>
      <w:marTop w:val="0"/>
      <w:marBottom w:val="0"/>
      <w:divBdr>
        <w:top w:val="none" w:sz="0" w:space="0" w:color="auto"/>
        <w:left w:val="none" w:sz="0" w:space="0" w:color="auto"/>
        <w:bottom w:val="none" w:sz="0" w:space="0" w:color="auto"/>
        <w:right w:val="none" w:sz="0" w:space="0" w:color="auto"/>
      </w:divBdr>
      <w:divsChild>
        <w:div w:id="687485761">
          <w:marLeft w:val="0"/>
          <w:marRight w:val="0"/>
          <w:marTop w:val="0"/>
          <w:marBottom w:val="0"/>
          <w:divBdr>
            <w:top w:val="none" w:sz="0" w:space="0" w:color="auto"/>
            <w:left w:val="none" w:sz="0" w:space="0" w:color="auto"/>
            <w:bottom w:val="none" w:sz="0" w:space="0" w:color="auto"/>
            <w:right w:val="none" w:sz="0" w:space="0" w:color="auto"/>
          </w:divBdr>
          <w:divsChild>
            <w:div w:id="687485806">
              <w:marLeft w:val="0"/>
              <w:marRight w:val="0"/>
              <w:marTop w:val="0"/>
              <w:marBottom w:val="0"/>
              <w:divBdr>
                <w:top w:val="none" w:sz="0" w:space="0" w:color="auto"/>
                <w:left w:val="none" w:sz="0" w:space="0" w:color="auto"/>
                <w:bottom w:val="none" w:sz="0" w:space="0" w:color="auto"/>
                <w:right w:val="none" w:sz="0" w:space="0" w:color="auto"/>
              </w:divBdr>
              <w:divsChild>
                <w:div w:id="687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5879">
      <w:marLeft w:val="0"/>
      <w:marRight w:val="0"/>
      <w:marTop w:val="0"/>
      <w:marBottom w:val="0"/>
      <w:divBdr>
        <w:top w:val="none" w:sz="0" w:space="0" w:color="auto"/>
        <w:left w:val="none" w:sz="0" w:space="0" w:color="auto"/>
        <w:bottom w:val="none" w:sz="0" w:space="0" w:color="auto"/>
        <w:right w:val="none" w:sz="0" w:space="0" w:color="auto"/>
      </w:divBdr>
    </w:div>
    <w:div w:id="687485880">
      <w:marLeft w:val="0"/>
      <w:marRight w:val="0"/>
      <w:marTop w:val="0"/>
      <w:marBottom w:val="0"/>
      <w:divBdr>
        <w:top w:val="none" w:sz="0" w:space="0" w:color="auto"/>
        <w:left w:val="none" w:sz="0" w:space="0" w:color="auto"/>
        <w:bottom w:val="none" w:sz="0" w:space="0" w:color="auto"/>
        <w:right w:val="none" w:sz="0" w:space="0" w:color="auto"/>
      </w:divBdr>
    </w:div>
    <w:div w:id="687485881">
      <w:marLeft w:val="0"/>
      <w:marRight w:val="0"/>
      <w:marTop w:val="0"/>
      <w:marBottom w:val="0"/>
      <w:divBdr>
        <w:top w:val="none" w:sz="0" w:space="0" w:color="auto"/>
        <w:left w:val="none" w:sz="0" w:space="0" w:color="auto"/>
        <w:bottom w:val="none" w:sz="0" w:space="0" w:color="auto"/>
        <w:right w:val="none" w:sz="0" w:space="0" w:color="auto"/>
      </w:divBdr>
      <w:divsChild>
        <w:div w:id="687485779">
          <w:marLeft w:val="0"/>
          <w:marRight w:val="0"/>
          <w:marTop w:val="0"/>
          <w:marBottom w:val="0"/>
          <w:divBdr>
            <w:top w:val="none" w:sz="0" w:space="0" w:color="auto"/>
            <w:left w:val="none" w:sz="0" w:space="0" w:color="auto"/>
            <w:bottom w:val="none" w:sz="0" w:space="0" w:color="auto"/>
            <w:right w:val="none" w:sz="0" w:space="0" w:color="auto"/>
          </w:divBdr>
        </w:div>
        <w:div w:id="687485942">
          <w:marLeft w:val="0"/>
          <w:marRight w:val="0"/>
          <w:marTop w:val="0"/>
          <w:marBottom w:val="0"/>
          <w:divBdr>
            <w:top w:val="none" w:sz="0" w:space="0" w:color="auto"/>
            <w:left w:val="none" w:sz="0" w:space="0" w:color="auto"/>
            <w:bottom w:val="none" w:sz="0" w:space="0" w:color="auto"/>
            <w:right w:val="none" w:sz="0" w:space="0" w:color="auto"/>
          </w:divBdr>
          <w:divsChild>
            <w:div w:id="687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882">
      <w:marLeft w:val="0"/>
      <w:marRight w:val="0"/>
      <w:marTop w:val="0"/>
      <w:marBottom w:val="0"/>
      <w:divBdr>
        <w:top w:val="none" w:sz="0" w:space="0" w:color="auto"/>
        <w:left w:val="none" w:sz="0" w:space="0" w:color="auto"/>
        <w:bottom w:val="none" w:sz="0" w:space="0" w:color="auto"/>
        <w:right w:val="none" w:sz="0" w:space="0" w:color="auto"/>
      </w:divBdr>
      <w:divsChild>
        <w:div w:id="687485840">
          <w:marLeft w:val="0"/>
          <w:marRight w:val="0"/>
          <w:marTop w:val="0"/>
          <w:marBottom w:val="0"/>
          <w:divBdr>
            <w:top w:val="none" w:sz="0" w:space="0" w:color="auto"/>
            <w:left w:val="none" w:sz="0" w:space="0" w:color="auto"/>
            <w:bottom w:val="none" w:sz="0" w:space="0" w:color="auto"/>
            <w:right w:val="none" w:sz="0" w:space="0" w:color="auto"/>
          </w:divBdr>
        </w:div>
      </w:divsChild>
    </w:div>
    <w:div w:id="687485886">
      <w:marLeft w:val="0"/>
      <w:marRight w:val="0"/>
      <w:marTop w:val="0"/>
      <w:marBottom w:val="0"/>
      <w:divBdr>
        <w:top w:val="none" w:sz="0" w:space="0" w:color="auto"/>
        <w:left w:val="none" w:sz="0" w:space="0" w:color="auto"/>
        <w:bottom w:val="none" w:sz="0" w:space="0" w:color="auto"/>
        <w:right w:val="none" w:sz="0" w:space="0" w:color="auto"/>
      </w:divBdr>
      <w:divsChild>
        <w:div w:id="687485606">
          <w:marLeft w:val="0"/>
          <w:marRight w:val="0"/>
          <w:marTop w:val="0"/>
          <w:marBottom w:val="0"/>
          <w:divBdr>
            <w:top w:val="none" w:sz="0" w:space="0" w:color="auto"/>
            <w:left w:val="none" w:sz="0" w:space="0" w:color="auto"/>
            <w:bottom w:val="none" w:sz="0" w:space="0" w:color="auto"/>
            <w:right w:val="none" w:sz="0" w:space="0" w:color="auto"/>
          </w:divBdr>
          <w:divsChild>
            <w:div w:id="687485610">
              <w:marLeft w:val="0"/>
              <w:marRight w:val="0"/>
              <w:marTop w:val="0"/>
              <w:marBottom w:val="0"/>
              <w:divBdr>
                <w:top w:val="none" w:sz="0" w:space="0" w:color="auto"/>
                <w:left w:val="none" w:sz="0" w:space="0" w:color="auto"/>
                <w:bottom w:val="none" w:sz="0" w:space="0" w:color="auto"/>
                <w:right w:val="none" w:sz="0" w:space="0" w:color="auto"/>
              </w:divBdr>
            </w:div>
          </w:divsChild>
        </w:div>
        <w:div w:id="687485611">
          <w:marLeft w:val="0"/>
          <w:marRight w:val="0"/>
          <w:marTop w:val="0"/>
          <w:marBottom w:val="0"/>
          <w:divBdr>
            <w:top w:val="none" w:sz="0" w:space="0" w:color="auto"/>
            <w:left w:val="none" w:sz="0" w:space="0" w:color="auto"/>
            <w:bottom w:val="none" w:sz="0" w:space="0" w:color="auto"/>
            <w:right w:val="none" w:sz="0" w:space="0" w:color="auto"/>
          </w:divBdr>
        </w:div>
      </w:divsChild>
    </w:div>
    <w:div w:id="687485896">
      <w:marLeft w:val="0"/>
      <w:marRight w:val="0"/>
      <w:marTop w:val="0"/>
      <w:marBottom w:val="0"/>
      <w:divBdr>
        <w:top w:val="none" w:sz="0" w:space="0" w:color="auto"/>
        <w:left w:val="none" w:sz="0" w:space="0" w:color="auto"/>
        <w:bottom w:val="none" w:sz="0" w:space="0" w:color="auto"/>
        <w:right w:val="none" w:sz="0" w:space="0" w:color="auto"/>
      </w:divBdr>
      <w:divsChild>
        <w:div w:id="687485820">
          <w:marLeft w:val="0"/>
          <w:marRight w:val="0"/>
          <w:marTop w:val="0"/>
          <w:marBottom w:val="0"/>
          <w:divBdr>
            <w:top w:val="none" w:sz="0" w:space="0" w:color="auto"/>
            <w:left w:val="none" w:sz="0" w:space="0" w:color="auto"/>
            <w:bottom w:val="none" w:sz="0" w:space="0" w:color="auto"/>
            <w:right w:val="none" w:sz="0" w:space="0" w:color="auto"/>
          </w:divBdr>
        </w:div>
        <w:div w:id="687485851">
          <w:marLeft w:val="0"/>
          <w:marRight w:val="0"/>
          <w:marTop w:val="0"/>
          <w:marBottom w:val="0"/>
          <w:divBdr>
            <w:top w:val="none" w:sz="0" w:space="0" w:color="auto"/>
            <w:left w:val="none" w:sz="0" w:space="0" w:color="auto"/>
            <w:bottom w:val="none" w:sz="0" w:space="0" w:color="auto"/>
            <w:right w:val="none" w:sz="0" w:space="0" w:color="auto"/>
          </w:divBdr>
          <w:divsChild>
            <w:div w:id="687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900">
      <w:marLeft w:val="0"/>
      <w:marRight w:val="0"/>
      <w:marTop w:val="0"/>
      <w:marBottom w:val="0"/>
      <w:divBdr>
        <w:top w:val="none" w:sz="0" w:space="0" w:color="auto"/>
        <w:left w:val="none" w:sz="0" w:space="0" w:color="auto"/>
        <w:bottom w:val="none" w:sz="0" w:space="0" w:color="auto"/>
        <w:right w:val="none" w:sz="0" w:space="0" w:color="auto"/>
      </w:divBdr>
      <w:divsChild>
        <w:div w:id="687485627">
          <w:marLeft w:val="0"/>
          <w:marRight w:val="0"/>
          <w:marTop w:val="0"/>
          <w:marBottom w:val="0"/>
          <w:divBdr>
            <w:top w:val="none" w:sz="0" w:space="0" w:color="auto"/>
            <w:left w:val="none" w:sz="0" w:space="0" w:color="auto"/>
            <w:bottom w:val="none" w:sz="0" w:space="0" w:color="auto"/>
            <w:right w:val="none" w:sz="0" w:space="0" w:color="auto"/>
          </w:divBdr>
        </w:div>
        <w:div w:id="687485825">
          <w:marLeft w:val="0"/>
          <w:marRight w:val="0"/>
          <w:marTop w:val="0"/>
          <w:marBottom w:val="0"/>
          <w:divBdr>
            <w:top w:val="none" w:sz="0" w:space="0" w:color="auto"/>
            <w:left w:val="none" w:sz="0" w:space="0" w:color="auto"/>
            <w:bottom w:val="none" w:sz="0" w:space="0" w:color="auto"/>
            <w:right w:val="none" w:sz="0" w:space="0" w:color="auto"/>
          </w:divBdr>
          <w:divsChild>
            <w:div w:id="6874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902">
      <w:marLeft w:val="0"/>
      <w:marRight w:val="0"/>
      <w:marTop w:val="0"/>
      <w:marBottom w:val="0"/>
      <w:divBdr>
        <w:top w:val="none" w:sz="0" w:space="0" w:color="auto"/>
        <w:left w:val="none" w:sz="0" w:space="0" w:color="auto"/>
        <w:bottom w:val="none" w:sz="0" w:space="0" w:color="auto"/>
        <w:right w:val="none" w:sz="0" w:space="0" w:color="auto"/>
      </w:divBdr>
      <w:divsChild>
        <w:div w:id="687485759">
          <w:marLeft w:val="0"/>
          <w:marRight w:val="0"/>
          <w:marTop w:val="0"/>
          <w:marBottom w:val="0"/>
          <w:divBdr>
            <w:top w:val="none" w:sz="0" w:space="0" w:color="auto"/>
            <w:left w:val="none" w:sz="0" w:space="0" w:color="auto"/>
            <w:bottom w:val="none" w:sz="0" w:space="0" w:color="auto"/>
            <w:right w:val="none" w:sz="0" w:space="0" w:color="auto"/>
          </w:divBdr>
        </w:div>
        <w:div w:id="687485857">
          <w:marLeft w:val="0"/>
          <w:marRight w:val="0"/>
          <w:marTop w:val="0"/>
          <w:marBottom w:val="0"/>
          <w:divBdr>
            <w:top w:val="none" w:sz="0" w:space="0" w:color="auto"/>
            <w:left w:val="none" w:sz="0" w:space="0" w:color="auto"/>
            <w:bottom w:val="none" w:sz="0" w:space="0" w:color="auto"/>
            <w:right w:val="none" w:sz="0" w:space="0" w:color="auto"/>
          </w:divBdr>
          <w:divsChild>
            <w:div w:id="6874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907">
      <w:marLeft w:val="0"/>
      <w:marRight w:val="0"/>
      <w:marTop w:val="0"/>
      <w:marBottom w:val="0"/>
      <w:divBdr>
        <w:top w:val="none" w:sz="0" w:space="0" w:color="auto"/>
        <w:left w:val="none" w:sz="0" w:space="0" w:color="auto"/>
        <w:bottom w:val="none" w:sz="0" w:space="0" w:color="auto"/>
        <w:right w:val="none" w:sz="0" w:space="0" w:color="auto"/>
      </w:divBdr>
    </w:div>
    <w:div w:id="687485909">
      <w:marLeft w:val="0"/>
      <w:marRight w:val="0"/>
      <w:marTop w:val="0"/>
      <w:marBottom w:val="0"/>
      <w:divBdr>
        <w:top w:val="none" w:sz="0" w:space="0" w:color="auto"/>
        <w:left w:val="none" w:sz="0" w:space="0" w:color="auto"/>
        <w:bottom w:val="none" w:sz="0" w:space="0" w:color="auto"/>
        <w:right w:val="none" w:sz="0" w:space="0" w:color="auto"/>
      </w:divBdr>
      <w:divsChild>
        <w:div w:id="687485742">
          <w:marLeft w:val="0"/>
          <w:marRight w:val="0"/>
          <w:marTop w:val="0"/>
          <w:marBottom w:val="0"/>
          <w:divBdr>
            <w:top w:val="none" w:sz="0" w:space="0" w:color="auto"/>
            <w:left w:val="none" w:sz="0" w:space="0" w:color="auto"/>
            <w:bottom w:val="none" w:sz="0" w:space="0" w:color="auto"/>
            <w:right w:val="none" w:sz="0" w:space="0" w:color="auto"/>
          </w:divBdr>
        </w:div>
        <w:div w:id="687485893">
          <w:marLeft w:val="0"/>
          <w:marRight w:val="0"/>
          <w:marTop w:val="0"/>
          <w:marBottom w:val="0"/>
          <w:divBdr>
            <w:top w:val="none" w:sz="0" w:space="0" w:color="auto"/>
            <w:left w:val="none" w:sz="0" w:space="0" w:color="auto"/>
            <w:bottom w:val="none" w:sz="0" w:space="0" w:color="auto"/>
            <w:right w:val="none" w:sz="0" w:space="0" w:color="auto"/>
          </w:divBdr>
        </w:div>
      </w:divsChild>
    </w:div>
    <w:div w:id="687485911">
      <w:marLeft w:val="0"/>
      <w:marRight w:val="0"/>
      <w:marTop w:val="0"/>
      <w:marBottom w:val="0"/>
      <w:divBdr>
        <w:top w:val="none" w:sz="0" w:space="0" w:color="auto"/>
        <w:left w:val="none" w:sz="0" w:space="0" w:color="auto"/>
        <w:bottom w:val="none" w:sz="0" w:space="0" w:color="auto"/>
        <w:right w:val="none" w:sz="0" w:space="0" w:color="auto"/>
      </w:divBdr>
      <w:divsChild>
        <w:div w:id="687485690">
          <w:marLeft w:val="0"/>
          <w:marRight w:val="0"/>
          <w:marTop w:val="0"/>
          <w:marBottom w:val="0"/>
          <w:divBdr>
            <w:top w:val="none" w:sz="0" w:space="0" w:color="auto"/>
            <w:left w:val="none" w:sz="0" w:space="0" w:color="auto"/>
            <w:bottom w:val="none" w:sz="0" w:space="0" w:color="auto"/>
            <w:right w:val="none" w:sz="0" w:space="0" w:color="auto"/>
          </w:divBdr>
          <w:divsChild>
            <w:div w:id="687485892">
              <w:marLeft w:val="0"/>
              <w:marRight w:val="0"/>
              <w:marTop w:val="0"/>
              <w:marBottom w:val="0"/>
              <w:divBdr>
                <w:top w:val="none" w:sz="0" w:space="0" w:color="auto"/>
                <w:left w:val="none" w:sz="0" w:space="0" w:color="auto"/>
                <w:bottom w:val="none" w:sz="0" w:space="0" w:color="auto"/>
                <w:right w:val="none" w:sz="0" w:space="0" w:color="auto"/>
              </w:divBdr>
            </w:div>
          </w:divsChild>
        </w:div>
        <w:div w:id="687485791">
          <w:marLeft w:val="0"/>
          <w:marRight w:val="0"/>
          <w:marTop w:val="0"/>
          <w:marBottom w:val="0"/>
          <w:divBdr>
            <w:top w:val="none" w:sz="0" w:space="0" w:color="auto"/>
            <w:left w:val="none" w:sz="0" w:space="0" w:color="auto"/>
            <w:bottom w:val="none" w:sz="0" w:space="0" w:color="auto"/>
            <w:right w:val="none" w:sz="0" w:space="0" w:color="auto"/>
          </w:divBdr>
        </w:div>
      </w:divsChild>
    </w:div>
    <w:div w:id="687485912">
      <w:marLeft w:val="0"/>
      <w:marRight w:val="0"/>
      <w:marTop w:val="0"/>
      <w:marBottom w:val="0"/>
      <w:divBdr>
        <w:top w:val="none" w:sz="0" w:space="0" w:color="auto"/>
        <w:left w:val="none" w:sz="0" w:space="0" w:color="auto"/>
        <w:bottom w:val="none" w:sz="0" w:space="0" w:color="auto"/>
        <w:right w:val="none" w:sz="0" w:space="0" w:color="auto"/>
      </w:divBdr>
    </w:div>
    <w:div w:id="687485913">
      <w:marLeft w:val="0"/>
      <w:marRight w:val="0"/>
      <w:marTop w:val="0"/>
      <w:marBottom w:val="0"/>
      <w:divBdr>
        <w:top w:val="none" w:sz="0" w:space="0" w:color="auto"/>
        <w:left w:val="none" w:sz="0" w:space="0" w:color="auto"/>
        <w:bottom w:val="none" w:sz="0" w:space="0" w:color="auto"/>
        <w:right w:val="none" w:sz="0" w:space="0" w:color="auto"/>
      </w:divBdr>
    </w:div>
    <w:div w:id="687485914">
      <w:marLeft w:val="0"/>
      <w:marRight w:val="0"/>
      <w:marTop w:val="0"/>
      <w:marBottom w:val="0"/>
      <w:divBdr>
        <w:top w:val="none" w:sz="0" w:space="0" w:color="auto"/>
        <w:left w:val="none" w:sz="0" w:space="0" w:color="auto"/>
        <w:bottom w:val="none" w:sz="0" w:space="0" w:color="auto"/>
        <w:right w:val="none" w:sz="0" w:space="0" w:color="auto"/>
      </w:divBdr>
      <w:divsChild>
        <w:div w:id="687485638">
          <w:marLeft w:val="0"/>
          <w:marRight w:val="0"/>
          <w:marTop w:val="0"/>
          <w:marBottom w:val="0"/>
          <w:divBdr>
            <w:top w:val="none" w:sz="0" w:space="0" w:color="auto"/>
            <w:left w:val="none" w:sz="0" w:space="0" w:color="auto"/>
            <w:bottom w:val="none" w:sz="0" w:space="0" w:color="auto"/>
            <w:right w:val="none" w:sz="0" w:space="0" w:color="auto"/>
          </w:divBdr>
        </w:div>
        <w:div w:id="687485790">
          <w:marLeft w:val="0"/>
          <w:marRight w:val="0"/>
          <w:marTop w:val="0"/>
          <w:marBottom w:val="0"/>
          <w:divBdr>
            <w:top w:val="none" w:sz="0" w:space="0" w:color="auto"/>
            <w:left w:val="none" w:sz="0" w:space="0" w:color="auto"/>
            <w:bottom w:val="none" w:sz="0" w:space="0" w:color="auto"/>
            <w:right w:val="none" w:sz="0" w:space="0" w:color="auto"/>
          </w:divBdr>
          <w:divsChild>
            <w:div w:id="6874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917">
      <w:marLeft w:val="0"/>
      <w:marRight w:val="0"/>
      <w:marTop w:val="0"/>
      <w:marBottom w:val="0"/>
      <w:divBdr>
        <w:top w:val="none" w:sz="0" w:space="0" w:color="auto"/>
        <w:left w:val="none" w:sz="0" w:space="0" w:color="auto"/>
        <w:bottom w:val="none" w:sz="0" w:space="0" w:color="auto"/>
        <w:right w:val="none" w:sz="0" w:space="0" w:color="auto"/>
      </w:divBdr>
    </w:div>
    <w:div w:id="687485918">
      <w:marLeft w:val="0"/>
      <w:marRight w:val="0"/>
      <w:marTop w:val="0"/>
      <w:marBottom w:val="0"/>
      <w:divBdr>
        <w:top w:val="none" w:sz="0" w:space="0" w:color="auto"/>
        <w:left w:val="none" w:sz="0" w:space="0" w:color="auto"/>
        <w:bottom w:val="none" w:sz="0" w:space="0" w:color="auto"/>
        <w:right w:val="none" w:sz="0" w:space="0" w:color="auto"/>
      </w:divBdr>
    </w:div>
    <w:div w:id="687485926">
      <w:marLeft w:val="0"/>
      <w:marRight w:val="0"/>
      <w:marTop w:val="0"/>
      <w:marBottom w:val="0"/>
      <w:divBdr>
        <w:top w:val="none" w:sz="0" w:space="0" w:color="auto"/>
        <w:left w:val="none" w:sz="0" w:space="0" w:color="auto"/>
        <w:bottom w:val="none" w:sz="0" w:space="0" w:color="auto"/>
        <w:right w:val="none" w:sz="0" w:space="0" w:color="auto"/>
      </w:divBdr>
    </w:div>
    <w:div w:id="687485927">
      <w:marLeft w:val="0"/>
      <w:marRight w:val="0"/>
      <w:marTop w:val="0"/>
      <w:marBottom w:val="0"/>
      <w:divBdr>
        <w:top w:val="none" w:sz="0" w:space="0" w:color="auto"/>
        <w:left w:val="none" w:sz="0" w:space="0" w:color="auto"/>
        <w:bottom w:val="none" w:sz="0" w:space="0" w:color="auto"/>
        <w:right w:val="none" w:sz="0" w:space="0" w:color="auto"/>
      </w:divBdr>
    </w:div>
    <w:div w:id="687485929">
      <w:marLeft w:val="0"/>
      <w:marRight w:val="0"/>
      <w:marTop w:val="0"/>
      <w:marBottom w:val="0"/>
      <w:divBdr>
        <w:top w:val="none" w:sz="0" w:space="0" w:color="auto"/>
        <w:left w:val="none" w:sz="0" w:space="0" w:color="auto"/>
        <w:bottom w:val="none" w:sz="0" w:space="0" w:color="auto"/>
        <w:right w:val="none" w:sz="0" w:space="0" w:color="auto"/>
      </w:divBdr>
    </w:div>
    <w:div w:id="687485930">
      <w:marLeft w:val="0"/>
      <w:marRight w:val="0"/>
      <w:marTop w:val="0"/>
      <w:marBottom w:val="0"/>
      <w:divBdr>
        <w:top w:val="none" w:sz="0" w:space="0" w:color="auto"/>
        <w:left w:val="none" w:sz="0" w:space="0" w:color="auto"/>
        <w:bottom w:val="none" w:sz="0" w:space="0" w:color="auto"/>
        <w:right w:val="none" w:sz="0" w:space="0" w:color="auto"/>
      </w:divBdr>
    </w:div>
    <w:div w:id="687485931">
      <w:marLeft w:val="0"/>
      <w:marRight w:val="0"/>
      <w:marTop w:val="0"/>
      <w:marBottom w:val="0"/>
      <w:divBdr>
        <w:top w:val="none" w:sz="0" w:space="0" w:color="auto"/>
        <w:left w:val="none" w:sz="0" w:space="0" w:color="auto"/>
        <w:bottom w:val="none" w:sz="0" w:space="0" w:color="auto"/>
        <w:right w:val="none" w:sz="0" w:space="0" w:color="auto"/>
      </w:divBdr>
      <w:divsChild>
        <w:div w:id="687485874">
          <w:marLeft w:val="0"/>
          <w:marRight w:val="0"/>
          <w:marTop w:val="0"/>
          <w:marBottom w:val="0"/>
          <w:divBdr>
            <w:top w:val="none" w:sz="0" w:space="0" w:color="auto"/>
            <w:left w:val="none" w:sz="0" w:space="0" w:color="auto"/>
            <w:bottom w:val="none" w:sz="0" w:space="0" w:color="auto"/>
            <w:right w:val="none" w:sz="0" w:space="0" w:color="auto"/>
          </w:divBdr>
        </w:div>
      </w:divsChild>
    </w:div>
    <w:div w:id="687485932">
      <w:marLeft w:val="0"/>
      <w:marRight w:val="0"/>
      <w:marTop w:val="0"/>
      <w:marBottom w:val="0"/>
      <w:divBdr>
        <w:top w:val="none" w:sz="0" w:space="0" w:color="auto"/>
        <w:left w:val="none" w:sz="0" w:space="0" w:color="auto"/>
        <w:bottom w:val="none" w:sz="0" w:space="0" w:color="auto"/>
        <w:right w:val="none" w:sz="0" w:space="0" w:color="auto"/>
      </w:divBdr>
    </w:div>
    <w:div w:id="687485934">
      <w:marLeft w:val="0"/>
      <w:marRight w:val="0"/>
      <w:marTop w:val="0"/>
      <w:marBottom w:val="0"/>
      <w:divBdr>
        <w:top w:val="none" w:sz="0" w:space="0" w:color="auto"/>
        <w:left w:val="none" w:sz="0" w:space="0" w:color="auto"/>
        <w:bottom w:val="none" w:sz="0" w:space="0" w:color="auto"/>
        <w:right w:val="none" w:sz="0" w:space="0" w:color="auto"/>
      </w:divBdr>
      <w:divsChild>
        <w:div w:id="687485637">
          <w:marLeft w:val="0"/>
          <w:marRight w:val="0"/>
          <w:marTop w:val="0"/>
          <w:marBottom w:val="0"/>
          <w:divBdr>
            <w:top w:val="none" w:sz="0" w:space="0" w:color="auto"/>
            <w:left w:val="none" w:sz="0" w:space="0" w:color="auto"/>
            <w:bottom w:val="none" w:sz="0" w:space="0" w:color="auto"/>
            <w:right w:val="none" w:sz="0" w:space="0" w:color="auto"/>
          </w:divBdr>
        </w:div>
        <w:div w:id="687485712">
          <w:marLeft w:val="0"/>
          <w:marRight w:val="0"/>
          <w:marTop w:val="0"/>
          <w:marBottom w:val="0"/>
          <w:divBdr>
            <w:top w:val="none" w:sz="0" w:space="0" w:color="auto"/>
            <w:left w:val="none" w:sz="0" w:space="0" w:color="auto"/>
            <w:bottom w:val="none" w:sz="0" w:space="0" w:color="auto"/>
            <w:right w:val="none" w:sz="0" w:space="0" w:color="auto"/>
          </w:divBdr>
          <w:divsChild>
            <w:div w:id="6874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936">
      <w:marLeft w:val="0"/>
      <w:marRight w:val="0"/>
      <w:marTop w:val="0"/>
      <w:marBottom w:val="0"/>
      <w:divBdr>
        <w:top w:val="none" w:sz="0" w:space="0" w:color="auto"/>
        <w:left w:val="none" w:sz="0" w:space="0" w:color="auto"/>
        <w:bottom w:val="none" w:sz="0" w:space="0" w:color="auto"/>
        <w:right w:val="none" w:sz="0" w:space="0" w:color="auto"/>
      </w:divBdr>
      <w:divsChild>
        <w:div w:id="687485702">
          <w:marLeft w:val="0"/>
          <w:marRight w:val="0"/>
          <w:marTop w:val="0"/>
          <w:marBottom w:val="0"/>
          <w:divBdr>
            <w:top w:val="none" w:sz="0" w:space="0" w:color="auto"/>
            <w:left w:val="none" w:sz="0" w:space="0" w:color="auto"/>
            <w:bottom w:val="none" w:sz="0" w:space="0" w:color="auto"/>
            <w:right w:val="none" w:sz="0" w:space="0" w:color="auto"/>
          </w:divBdr>
          <w:divsChild>
            <w:div w:id="687485725">
              <w:marLeft w:val="0"/>
              <w:marRight w:val="0"/>
              <w:marTop w:val="0"/>
              <w:marBottom w:val="0"/>
              <w:divBdr>
                <w:top w:val="none" w:sz="0" w:space="0" w:color="auto"/>
                <w:left w:val="none" w:sz="0" w:space="0" w:color="auto"/>
                <w:bottom w:val="none" w:sz="0" w:space="0" w:color="auto"/>
                <w:right w:val="none" w:sz="0" w:space="0" w:color="auto"/>
              </w:divBdr>
            </w:div>
          </w:divsChild>
        </w:div>
        <w:div w:id="687485904">
          <w:marLeft w:val="0"/>
          <w:marRight w:val="0"/>
          <w:marTop w:val="0"/>
          <w:marBottom w:val="0"/>
          <w:divBdr>
            <w:top w:val="none" w:sz="0" w:space="0" w:color="auto"/>
            <w:left w:val="none" w:sz="0" w:space="0" w:color="auto"/>
            <w:bottom w:val="none" w:sz="0" w:space="0" w:color="auto"/>
            <w:right w:val="none" w:sz="0" w:space="0" w:color="auto"/>
          </w:divBdr>
        </w:div>
      </w:divsChild>
    </w:div>
    <w:div w:id="687485937">
      <w:marLeft w:val="0"/>
      <w:marRight w:val="0"/>
      <w:marTop w:val="0"/>
      <w:marBottom w:val="0"/>
      <w:divBdr>
        <w:top w:val="none" w:sz="0" w:space="0" w:color="auto"/>
        <w:left w:val="none" w:sz="0" w:space="0" w:color="auto"/>
        <w:bottom w:val="none" w:sz="0" w:space="0" w:color="auto"/>
        <w:right w:val="none" w:sz="0" w:space="0" w:color="auto"/>
      </w:divBdr>
      <w:divsChild>
        <w:div w:id="687485697">
          <w:marLeft w:val="0"/>
          <w:marRight w:val="0"/>
          <w:marTop w:val="0"/>
          <w:marBottom w:val="0"/>
          <w:divBdr>
            <w:top w:val="none" w:sz="0" w:space="0" w:color="auto"/>
            <w:left w:val="none" w:sz="0" w:space="0" w:color="auto"/>
            <w:bottom w:val="none" w:sz="0" w:space="0" w:color="auto"/>
            <w:right w:val="none" w:sz="0" w:space="0" w:color="auto"/>
          </w:divBdr>
        </w:div>
      </w:divsChild>
    </w:div>
    <w:div w:id="687485939">
      <w:marLeft w:val="0"/>
      <w:marRight w:val="0"/>
      <w:marTop w:val="0"/>
      <w:marBottom w:val="0"/>
      <w:divBdr>
        <w:top w:val="none" w:sz="0" w:space="0" w:color="auto"/>
        <w:left w:val="none" w:sz="0" w:space="0" w:color="auto"/>
        <w:bottom w:val="none" w:sz="0" w:space="0" w:color="auto"/>
        <w:right w:val="none" w:sz="0" w:space="0" w:color="auto"/>
      </w:divBdr>
    </w:div>
    <w:div w:id="687485940">
      <w:marLeft w:val="0"/>
      <w:marRight w:val="0"/>
      <w:marTop w:val="0"/>
      <w:marBottom w:val="0"/>
      <w:divBdr>
        <w:top w:val="none" w:sz="0" w:space="0" w:color="auto"/>
        <w:left w:val="none" w:sz="0" w:space="0" w:color="auto"/>
        <w:bottom w:val="none" w:sz="0" w:space="0" w:color="auto"/>
        <w:right w:val="none" w:sz="0" w:space="0" w:color="auto"/>
      </w:divBdr>
    </w:div>
    <w:div w:id="687485941">
      <w:marLeft w:val="0"/>
      <w:marRight w:val="0"/>
      <w:marTop w:val="0"/>
      <w:marBottom w:val="0"/>
      <w:divBdr>
        <w:top w:val="none" w:sz="0" w:space="0" w:color="auto"/>
        <w:left w:val="none" w:sz="0" w:space="0" w:color="auto"/>
        <w:bottom w:val="none" w:sz="0" w:space="0" w:color="auto"/>
        <w:right w:val="none" w:sz="0" w:space="0" w:color="auto"/>
      </w:divBdr>
      <w:divsChild>
        <w:div w:id="68748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14759</Words>
  <Characters>84131</Characters>
  <Application>Microsoft Office Word</Application>
  <DocSecurity>0</DocSecurity>
  <Lines>701</Lines>
  <Paragraphs>197</Paragraphs>
  <ScaleCrop>false</ScaleCrop>
  <Company>McMaster University</Company>
  <LinksUpToDate>false</LinksUpToDate>
  <CharactersWithSpaces>98693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Wallace</dc:creator>
  <cp:lastModifiedBy>LS Ma</cp:lastModifiedBy>
  <cp:revision>2</cp:revision>
  <cp:lastPrinted>2013-01-08T18:54:00Z</cp:lastPrinted>
  <dcterms:created xsi:type="dcterms:W3CDTF">2013-03-07T07:18:00Z</dcterms:created>
  <dcterms:modified xsi:type="dcterms:W3CDTF">2013-03-07T07:18:00Z</dcterms:modified>
</cp:coreProperties>
</file>