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26C56" w14:textId="77777777" w:rsidR="000C0BCB" w:rsidRPr="00164D69" w:rsidRDefault="000C0BCB" w:rsidP="002F6FCA">
      <w:pPr>
        <w:adjustRightInd w:val="0"/>
        <w:snapToGrid w:val="0"/>
        <w:spacing w:after="0" w:line="360" w:lineRule="auto"/>
        <w:jc w:val="both"/>
        <w:rPr>
          <w:rFonts w:ascii="Book Antiqua" w:hAnsi="Book Antiqua" w:cs="Times New Roman"/>
          <w:b/>
          <w:sz w:val="24"/>
          <w:szCs w:val="24"/>
        </w:rPr>
      </w:pPr>
      <w:bookmarkStart w:id="0" w:name="_GoBack"/>
      <w:bookmarkEnd w:id="0"/>
      <w:r w:rsidRPr="00164D69">
        <w:rPr>
          <w:rFonts w:ascii="Book Antiqua" w:hAnsi="Book Antiqua" w:cs="Times New Roman"/>
          <w:b/>
          <w:sz w:val="24"/>
          <w:szCs w:val="24"/>
        </w:rPr>
        <w:t xml:space="preserve">Name of Journal: </w:t>
      </w:r>
      <w:r w:rsidRPr="00164D69">
        <w:rPr>
          <w:rFonts w:ascii="Book Antiqua" w:hAnsi="Book Antiqua" w:cs="Times New Roman"/>
          <w:i/>
          <w:sz w:val="24"/>
          <w:szCs w:val="24"/>
        </w:rPr>
        <w:t>World Journal of Gastroenterology</w:t>
      </w:r>
    </w:p>
    <w:p w14:paraId="6E72E556" w14:textId="77777777" w:rsidR="000C0BCB" w:rsidRPr="00164D69" w:rsidRDefault="000C0BCB" w:rsidP="002F6FCA">
      <w:pPr>
        <w:adjustRightInd w:val="0"/>
        <w:snapToGrid w:val="0"/>
        <w:spacing w:after="0" w:line="360" w:lineRule="auto"/>
        <w:jc w:val="both"/>
        <w:rPr>
          <w:rFonts w:ascii="Book Antiqua" w:hAnsi="Book Antiqua" w:cs="Times New Roman"/>
          <w:b/>
          <w:sz w:val="24"/>
          <w:szCs w:val="24"/>
        </w:rPr>
      </w:pPr>
      <w:r w:rsidRPr="00164D69">
        <w:rPr>
          <w:rFonts w:ascii="Book Antiqua" w:hAnsi="Book Antiqua" w:cs="Times New Roman"/>
          <w:b/>
          <w:sz w:val="24"/>
          <w:szCs w:val="24"/>
        </w:rPr>
        <w:t>ESPS manuscript number: 20815</w:t>
      </w:r>
    </w:p>
    <w:p w14:paraId="48D4FE61" w14:textId="015C4EC2" w:rsidR="000C0BCB" w:rsidRPr="00164D69" w:rsidRDefault="000C0BCB" w:rsidP="002F6FCA">
      <w:pPr>
        <w:adjustRightInd w:val="0"/>
        <w:snapToGrid w:val="0"/>
        <w:spacing w:after="0" w:line="360" w:lineRule="auto"/>
        <w:jc w:val="both"/>
        <w:rPr>
          <w:rFonts w:ascii="Book Antiqua" w:eastAsia="宋体" w:hAnsi="Book Antiqua" w:cs="Times New Roman"/>
          <w:b/>
          <w:sz w:val="24"/>
          <w:szCs w:val="24"/>
          <w:lang w:eastAsia="zh-CN"/>
        </w:rPr>
      </w:pPr>
      <w:r w:rsidRPr="00164D69">
        <w:rPr>
          <w:rFonts w:ascii="Book Antiqua" w:hAnsi="Book Antiqua" w:cs="Times New Roman"/>
          <w:b/>
          <w:sz w:val="24"/>
          <w:szCs w:val="24"/>
        </w:rPr>
        <w:t xml:space="preserve">Manuscript type: </w:t>
      </w:r>
      <w:r w:rsidR="00F64FEB" w:rsidRPr="00164D69">
        <w:rPr>
          <w:rFonts w:ascii="Book Antiqua" w:eastAsia="宋体" w:hAnsi="Book Antiqua" w:cs="Times New Roman" w:hint="eastAsia"/>
          <w:b/>
          <w:sz w:val="24"/>
          <w:szCs w:val="24"/>
          <w:lang w:eastAsia="zh-CN"/>
        </w:rPr>
        <w:t>TOPIC HIGHLIGHT</w:t>
      </w:r>
      <w:r w:rsidRPr="00164D69">
        <w:rPr>
          <w:rFonts w:ascii="Book Antiqua" w:hAnsi="Book Antiqua" w:cs="Times New Roman"/>
          <w:b/>
          <w:sz w:val="24"/>
          <w:szCs w:val="24"/>
        </w:rPr>
        <w:t xml:space="preserve"> </w:t>
      </w:r>
    </w:p>
    <w:p w14:paraId="2E2FA149" w14:textId="77777777" w:rsidR="000C0BCB" w:rsidRPr="00164D69" w:rsidRDefault="000C0BCB" w:rsidP="002F6FCA">
      <w:pPr>
        <w:adjustRightInd w:val="0"/>
        <w:snapToGrid w:val="0"/>
        <w:spacing w:after="0" w:line="360" w:lineRule="auto"/>
        <w:jc w:val="both"/>
        <w:rPr>
          <w:rFonts w:ascii="Book Antiqua" w:eastAsia="宋体" w:hAnsi="Book Antiqua" w:cs="Times New Roman"/>
          <w:b/>
          <w:sz w:val="24"/>
          <w:szCs w:val="24"/>
          <w:lang w:eastAsia="zh-CN"/>
        </w:rPr>
      </w:pPr>
    </w:p>
    <w:p w14:paraId="5E6ECA1B" w14:textId="7EFD58E0" w:rsidR="00F64FEB" w:rsidRPr="00164D69" w:rsidRDefault="00F64FEB" w:rsidP="002F6FCA">
      <w:pPr>
        <w:adjustRightInd w:val="0"/>
        <w:snapToGrid w:val="0"/>
        <w:spacing w:after="0" w:line="360" w:lineRule="auto"/>
        <w:jc w:val="both"/>
        <w:rPr>
          <w:rFonts w:ascii="Book Antiqua" w:eastAsia="宋体" w:hAnsi="Book Antiqua" w:cs="Times New Roman"/>
          <w:b/>
          <w:sz w:val="24"/>
          <w:szCs w:val="24"/>
          <w:lang w:eastAsia="zh-CN"/>
        </w:rPr>
      </w:pPr>
      <w:r w:rsidRPr="00164D69">
        <w:rPr>
          <w:rFonts w:ascii="Book Antiqua" w:eastAsia="宋体" w:hAnsi="Book Antiqua" w:cs="Times New Roman"/>
          <w:b/>
          <w:sz w:val="24"/>
          <w:szCs w:val="24"/>
          <w:lang w:eastAsia="zh-CN"/>
        </w:rPr>
        <w:t>2015 Advances in Inflammatory Bowel Disease</w:t>
      </w:r>
    </w:p>
    <w:p w14:paraId="584790B2" w14:textId="77777777" w:rsidR="00F64FEB" w:rsidRPr="00164D69" w:rsidRDefault="00F64FEB" w:rsidP="002F6FCA">
      <w:pPr>
        <w:adjustRightInd w:val="0"/>
        <w:snapToGrid w:val="0"/>
        <w:spacing w:after="0" w:line="360" w:lineRule="auto"/>
        <w:jc w:val="both"/>
        <w:rPr>
          <w:rFonts w:ascii="Book Antiqua" w:eastAsia="宋体" w:hAnsi="Book Antiqua" w:cs="Times New Roman"/>
          <w:b/>
          <w:sz w:val="24"/>
          <w:szCs w:val="24"/>
          <w:lang w:eastAsia="zh-CN"/>
        </w:rPr>
      </w:pPr>
    </w:p>
    <w:p w14:paraId="744B4362" w14:textId="4D4618A8" w:rsidR="00A43052" w:rsidRPr="00164D69" w:rsidRDefault="00A43052" w:rsidP="002F6FCA">
      <w:pPr>
        <w:adjustRightInd w:val="0"/>
        <w:snapToGrid w:val="0"/>
        <w:spacing w:after="0" w:line="360" w:lineRule="auto"/>
        <w:jc w:val="both"/>
        <w:rPr>
          <w:rFonts w:ascii="Book Antiqua" w:hAnsi="Book Antiqua" w:cs="Times New Roman"/>
          <w:b/>
          <w:sz w:val="24"/>
          <w:szCs w:val="24"/>
        </w:rPr>
      </w:pPr>
      <w:bookmarkStart w:id="1" w:name="OLE_LINK2042"/>
      <w:bookmarkStart w:id="2" w:name="OLE_LINK2044"/>
      <w:bookmarkStart w:id="3" w:name="OLE_LINK2045"/>
      <w:r w:rsidRPr="00164D69">
        <w:rPr>
          <w:rFonts w:ascii="Book Antiqua" w:hAnsi="Book Antiqua" w:cs="Times New Roman"/>
          <w:b/>
          <w:sz w:val="24"/>
          <w:szCs w:val="24"/>
        </w:rPr>
        <w:t xml:space="preserve">Th17 plasticity and its </w:t>
      </w:r>
      <w:r w:rsidR="00A51420" w:rsidRPr="00164D69">
        <w:rPr>
          <w:rFonts w:ascii="Book Antiqua" w:hAnsi="Book Antiqua" w:cs="Times New Roman"/>
          <w:b/>
          <w:sz w:val="24"/>
          <w:szCs w:val="24"/>
        </w:rPr>
        <w:t>changes associated with</w:t>
      </w:r>
      <w:r w:rsidRPr="00164D69">
        <w:rPr>
          <w:rFonts w:ascii="Book Antiqua" w:hAnsi="Book Antiqua" w:cs="Times New Roman"/>
          <w:b/>
          <w:sz w:val="24"/>
          <w:szCs w:val="24"/>
        </w:rPr>
        <w:t xml:space="preserve"> inflammatory bowel disease</w:t>
      </w:r>
    </w:p>
    <w:p w14:paraId="6F757BB9" w14:textId="77777777" w:rsidR="00F64FEB" w:rsidRPr="00164D69" w:rsidRDefault="00F64FEB" w:rsidP="002F6FCA">
      <w:pPr>
        <w:adjustRightInd w:val="0"/>
        <w:snapToGrid w:val="0"/>
        <w:spacing w:after="0" w:line="360" w:lineRule="auto"/>
        <w:jc w:val="both"/>
        <w:rPr>
          <w:rFonts w:ascii="Book Antiqua" w:eastAsia="宋体" w:hAnsi="Book Antiqua"/>
          <w:b/>
          <w:sz w:val="24"/>
          <w:szCs w:val="24"/>
          <w:lang w:eastAsia="zh-CN"/>
        </w:rPr>
      </w:pPr>
      <w:bookmarkStart w:id="4" w:name="OLE_LINK2232"/>
      <w:bookmarkStart w:id="5" w:name="OLE_LINK2077"/>
      <w:bookmarkStart w:id="6" w:name="OLE_LINK1950"/>
      <w:bookmarkStart w:id="7" w:name="OLE_LINK1875"/>
      <w:bookmarkStart w:id="8" w:name="OLE_LINK1789"/>
      <w:bookmarkStart w:id="9" w:name="OLE_LINK1405"/>
      <w:bookmarkStart w:id="10" w:name="OLE_LINK278"/>
      <w:bookmarkStart w:id="11" w:name="OLE_LINK1349"/>
      <w:bookmarkStart w:id="12" w:name="OLE_LINK1177"/>
      <w:bookmarkStart w:id="13" w:name="OLE_LINK1014"/>
      <w:bookmarkStart w:id="14" w:name="OLE_LINK741"/>
      <w:bookmarkStart w:id="15" w:name="OLE_LINK698"/>
      <w:bookmarkStart w:id="16" w:name="OLE_LINK626"/>
      <w:bookmarkStart w:id="17" w:name="OLE_LINK527"/>
      <w:bookmarkStart w:id="18" w:name="OLE_LINK1045"/>
      <w:bookmarkStart w:id="19" w:name="OLE_LINK593"/>
      <w:bookmarkStart w:id="20" w:name="OLE_LINK419"/>
      <w:bookmarkStart w:id="21" w:name="OLE_LINK414"/>
      <w:bookmarkStart w:id="22" w:name="OLE_LINK2846"/>
      <w:bookmarkStart w:id="23" w:name="OLE_LINK2662"/>
      <w:bookmarkStart w:id="24" w:name="OLE_LINK2650"/>
      <w:bookmarkStart w:id="25" w:name="OLE_LINK1957"/>
      <w:bookmarkStart w:id="26" w:name="OLE_LINK1866"/>
      <w:bookmarkStart w:id="27" w:name="OLE_LINK1873"/>
      <w:bookmarkStart w:id="28" w:name="OLE_LINK474"/>
      <w:bookmarkStart w:id="29" w:name="OLE_LINK282"/>
      <w:bookmarkStart w:id="30" w:name="OLE_LINK1232"/>
      <w:bookmarkStart w:id="31" w:name="OLE_LINK380"/>
      <w:bookmarkStart w:id="32" w:name="OLE_LINK256"/>
      <w:bookmarkStart w:id="33" w:name="OLE_LINK893"/>
      <w:bookmarkStart w:id="34" w:name="OLE_LINK1990"/>
      <w:bookmarkStart w:id="35" w:name="OLE_LINK1989"/>
      <w:bookmarkEnd w:id="1"/>
      <w:bookmarkEnd w:id="2"/>
      <w:bookmarkEnd w:id="3"/>
    </w:p>
    <w:p w14:paraId="06650CF4" w14:textId="08C09204" w:rsidR="00A43052" w:rsidRPr="00164D69" w:rsidRDefault="000C0BCB" w:rsidP="002F6FCA">
      <w:pPr>
        <w:adjustRightInd w:val="0"/>
        <w:snapToGrid w:val="0"/>
        <w:spacing w:after="0" w:line="360" w:lineRule="auto"/>
        <w:jc w:val="both"/>
        <w:rPr>
          <w:rFonts w:ascii="Book Antiqua" w:hAnsi="Book Antiqua"/>
          <w:b/>
          <w:sz w:val="24"/>
          <w:szCs w:val="24"/>
        </w:rPr>
      </w:pPr>
      <w:r w:rsidRPr="00164D69">
        <w:rPr>
          <w:rFonts w:ascii="Book Antiqua" w:hAnsi="Book Antiqua" w:cs="Times New Roman"/>
          <w:sz w:val="24"/>
          <w:szCs w:val="24"/>
        </w:rPr>
        <w:t xml:space="preserve">Ueno A </w:t>
      </w:r>
      <w:r w:rsidRPr="00164D69">
        <w:rPr>
          <w:rFonts w:ascii="Book Antiqua" w:hAnsi="Book Antiqua" w:cs="Times New Roman"/>
          <w:i/>
          <w:sz w:val="24"/>
          <w:szCs w:val="24"/>
        </w:rPr>
        <w:t>et</w:t>
      </w:r>
      <w:r w:rsidR="00D64BD4" w:rsidRPr="00164D69">
        <w:rPr>
          <w:rFonts w:ascii="Book Antiqua" w:hAnsi="Book Antiqua" w:cs="Times New Roman"/>
          <w:i/>
          <w:sz w:val="24"/>
          <w:szCs w:val="24"/>
        </w:rPr>
        <w:t xml:space="preserve"> </w:t>
      </w:r>
      <w:r w:rsidRPr="00164D69">
        <w:rPr>
          <w:rFonts w:ascii="Book Antiqua" w:hAnsi="Book Antiqua" w:cs="Times New Roman"/>
          <w:i/>
          <w:sz w:val="24"/>
          <w:szCs w:val="24"/>
        </w:rPr>
        <w:t>al</w:t>
      </w:r>
      <w:r w:rsidR="00F64FEB" w:rsidRPr="00164D69">
        <w:rPr>
          <w:rFonts w:ascii="Book Antiqua" w:eastAsia="宋体" w:hAnsi="Book Antiqua" w:cs="Times New Roman" w:hint="eastAsia"/>
          <w:i/>
          <w:sz w:val="24"/>
          <w:szCs w:val="24"/>
          <w:lang w:eastAsia="zh-CN"/>
        </w:rPr>
        <w:t>.</w:t>
      </w:r>
      <w:r w:rsidRPr="00164D69">
        <w:rPr>
          <w:rFonts w:ascii="Book Antiqua" w:hAnsi="Book Antiqua" w:cs="Times New Roman"/>
          <w:sz w:val="24"/>
          <w:szCs w:val="24"/>
        </w:rPr>
        <w:t xml:space="preserve"> </w:t>
      </w:r>
      <w:r w:rsidR="00715579" w:rsidRPr="00164D69">
        <w:rPr>
          <w:rFonts w:ascii="Book Antiqua" w:hAnsi="Book Antiqua" w:cs="Times New Roman"/>
          <w:sz w:val="24"/>
          <w:szCs w:val="24"/>
        </w:rPr>
        <w:t>Th17 plasticity in IBD</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6DAE93FA" w14:textId="77777777" w:rsidR="00A43052" w:rsidRPr="00164D69" w:rsidRDefault="00A43052" w:rsidP="002F6FCA">
      <w:pPr>
        <w:adjustRightInd w:val="0"/>
        <w:snapToGrid w:val="0"/>
        <w:spacing w:after="0" w:line="360" w:lineRule="auto"/>
        <w:jc w:val="both"/>
        <w:rPr>
          <w:rFonts w:ascii="Book Antiqua" w:hAnsi="Book Antiqua" w:cs="Times New Roman"/>
          <w:sz w:val="24"/>
          <w:szCs w:val="24"/>
        </w:rPr>
      </w:pPr>
    </w:p>
    <w:p w14:paraId="5D6FC585" w14:textId="58CBB963" w:rsidR="00A43052" w:rsidRPr="00164D69" w:rsidRDefault="00A43052" w:rsidP="002F6FCA">
      <w:pPr>
        <w:adjustRightInd w:val="0"/>
        <w:snapToGrid w:val="0"/>
        <w:spacing w:after="0" w:line="360" w:lineRule="auto"/>
        <w:jc w:val="both"/>
        <w:rPr>
          <w:rFonts w:ascii="Book Antiqua" w:eastAsia="宋体" w:hAnsi="Book Antiqua" w:cs="Times New Roman"/>
          <w:sz w:val="24"/>
          <w:szCs w:val="24"/>
          <w:lang w:eastAsia="zh-CN"/>
        </w:rPr>
      </w:pPr>
      <w:bookmarkStart w:id="36" w:name="OLE_LINK2046"/>
      <w:bookmarkStart w:id="37" w:name="OLE_LINK2047"/>
      <w:r w:rsidRPr="00164D69">
        <w:rPr>
          <w:rFonts w:ascii="Book Antiqua" w:hAnsi="Book Antiqua" w:cs="Times New Roman"/>
          <w:sz w:val="24"/>
          <w:szCs w:val="24"/>
        </w:rPr>
        <w:t>Aito Ueno, Abhi</w:t>
      </w:r>
      <w:r w:rsidR="00D425A2" w:rsidRPr="00164D69">
        <w:rPr>
          <w:rFonts w:ascii="Book Antiqua" w:hAnsi="Book Antiqua" w:cs="Times New Roman"/>
          <w:sz w:val="24"/>
          <w:szCs w:val="24"/>
        </w:rPr>
        <w:t>sek</w:t>
      </w:r>
      <w:r w:rsidRPr="00164D69">
        <w:rPr>
          <w:rFonts w:ascii="Book Antiqua" w:hAnsi="Book Antiqua" w:cs="Times New Roman"/>
          <w:sz w:val="24"/>
          <w:szCs w:val="24"/>
        </w:rPr>
        <w:t xml:space="preserve"> Ghosh,</w:t>
      </w:r>
      <w:r w:rsidR="00D73D3B" w:rsidRPr="00164D69">
        <w:rPr>
          <w:rFonts w:ascii="Book Antiqua" w:hAnsi="Book Antiqua" w:cs="Times New Roman"/>
          <w:sz w:val="24"/>
          <w:szCs w:val="24"/>
        </w:rPr>
        <w:t xml:space="preserve"> Daniel Hung,</w:t>
      </w:r>
      <w:r w:rsidRPr="00164D69">
        <w:rPr>
          <w:rFonts w:ascii="Book Antiqua" w:hAnsi="Book Antiqua" w:cs="Times New Roman"/>
          <w:sz w:val="24"/>
          <w:szCs w:val="24"/>
        </w:rPr>
        <w:t xml:space="preserve"> Ji Li, Humberto Jijon</w:t>
      </w:r>
    </w:p>
    <w:bookmarkEnd w:id="36"/>
    <w:bookmarkEnd w:id="37"/>
    <w:p w14:paraId="60FC1D9F" w14:textId="77777777" w:rsidR="00F64FEB" w:rsidRPr="00164D69" w:rsidRDefault="00F64FEB" w:rsidP="002F6FCA">
      <w:pPr>
        <w:adjustRightInd w:val="0"/>
        <w:snapToGrid w:val="0"/>
        <w:spacing w:after="0" w:line="360" w:lineRule="auto"/>
        <w:jc w:val="both"/>
        <w:rPr>
          <w:rFonts w:ascii="Book Antiqua" w:eastAsia="宋体" w:hAnsi="Book Antiqua" w:cs="Times New Roman"/>
          <w:sz w:val="24"/>
          <w:szCs w:val="24"/>
          <w:lang w:eastAsia="zh-CN"/>
        </w:rPr>
      </w:pPr>
    </w:p>
    <w:p w14:paraId="23F96825" w14:textId="7E16D685" w:rsidR="00A43052" w:rsidRPr="00164D69" w:rsidRDefault="00F64FEB" w:rsidP="002F6FCA">
      <w:pPr>
        <w:adjustRightInd w:val="0"/>
        <w:snapToGrid w:val="0"/>
        <w:spacing w:after="0" w:line="360" w:lineRule="auto"/>
        <w:jc w:val="both"/>
        <w:rPr>
          <w:rFonts w:ascii="Book Antiqua" w:eastAsia="宋体" w:hAnsi="Book Antiqua" w:cs="Times New Roman"/>
          <w:sz w:val="24"/>
          <w:szCs w:val="24"/>
          <w:lang w:eastAsia="zh-CN"/>
        </w:rPr>
      </w:pPr>
      <w:r w:rsidRPr="00164D69">
        <w:rPr>
          <w:rFonts w:ascii="Book Antiqua" w:hAnsi="Book Antiqua" w:cs="Times New Roman"/>
          <w:b/>
          <w:sz w:val="24"/>
          <w:szCs w:val="24"/>
        </w:rPr>
        <w:t>Aito Ueno, Daniel Hung, Humberto Jijon</w:t>
      </w:r>
      <w:r w:rsidRPr="00164D69">
        <w:rPr>
          <w:rFonts w:ascii="Book Antiqua" w:eastAsia="宋体" w:hAnsi="Book Antiqua" w:cs="Times New Roman" w:hint="eastAsia"/>
          <w:b/>
          <w:sz w:val="24"/>
          <w:szCs w:val="24"/>
          <w:lang w:eastAsia="zh-CN"/>
        </w:rPr>
        <w:t>,</w:t>
      </w:r>
      <w:r w:rsidR="00A43052" w:rsidRPr="00164D69">
        <w:rPr>
          <w:rFonts w:ascii="Book Antiqua" w:hAnsi="Book Antiqua" w:cs="Times New Roman"/>
          <w:b/>
          <w:sz w:val="24"/>
          <w:szCs w:val="24"/>
        </w:rPr>
        <w:t xml:space="preserve"> </w:t>
      </w:r>
      <w:bookmarkStart w:id="38" w:name="OLE_LINK2004"/>
      <w:bookmarkStart w:id="39" w:name="OLE_LINK2005"/>
      <w:r w:rsidR="00A43052" w:rsidRPr="00164D69">
        <w:rPr>
          <w:rFonts w:ascii="Book Antiqua" w:hAnsi="Book Antiqua" w:cs="Times New Roman"/>
          <w:sz w:val="24"/>
          <w:szCs w:val="24"/>
        </w:rPr>
        <w:t>Department of Medicine, University of Calgary, Calgary</w:t>
      </w:r>
      <w:r w:rsidR="00B05CBE" w:rsidRPr="00164D69">
        <w:rPr>
          <w:rFonts w:ascii="Book Antiqua" w:eastAsia="宋体" w:hAnsi="Book Antiqua" w:cs="Times New Roman" w:hint="eastAsia"/>
          <w:sz w:val="24"/>
          <w:szCs w:val="24"/>
          <w:lang w:eastAsia="zh-CN"/>
        </w:rPr>
        <w:t xml:space="preserve"> </w:t>
      </w:r>
      <w:r w:rsidR="00B05CBE" w:rsidRPr="00164D69">
        <w:rPr>
          <w:rFonts w:ascii="Book Antiqua" w:eastAsia="宋体" w:hAnsi="Book Antiqua" w:cs="Times New Roman"/>
          <w:sz w:val="24"/>
          <w:szCs w:val="24"/>
          <w:lang w:eastAsia="zh-CN"/>
        </w:rPr>
        <w:t>T2N 1N4</w:t>
      </w:r>
      <w:r w:rsidR="00A43052" w:rsidRPr="00164D69">
        <w:rPr>
          <w:rFonts w:ascii="Book Antiqua" w:hAnsi="Book Antiqua" w:cs="Times New Roman"/>
          <w:sz w:val="24"/>
          <w:szCs w:val="24"/>
        </w:rPr>
        <w:t xml:space="preserve">, Alberta, </w:t>
      </w:r>
      <w:bookmarkEnd w:id="38"/>
      <w:bookmarkEnd w:id="39"/>
      <w:r w:rsidR="00A43052" w:rsidRPr="00164D69">
        <w:rPr>
          <w:rFonts w:ascii="Book Antiqua" w:hAnsi="Book Antiqua" w:cs="Times New Roman"/>
          <w:sz w:val="24"/>
          <w:szCs w:val="24"/>
        </w:rPr>
        <w:t>Canada</w:t>
      </w:r>
    </w:p>
    <w:p w14:paraId="508FF237" w14:textId="77777777" w:rsidR="00F64FEB" w:rsidRPr="00164D69" w:rsidRDefault="00F64FEB" w:rsidP="002F6FCA">
      <w:pPr>
        <w:adjustRightInd w:val="0"/>
        <w:snapToGrid w:val="0"/>
        <w:spacing w:after="0" w:line="360" w:lineRule="auto"/>
        <w:jc w:val="both"/>
        <w:rPr>
          <w:rFonts w:ascii="Book Antiqua" w:eastAsia="宋体" w:hAnsi="Book Antiqua" w:cs="Times New Roman"/>
          <w:sz w:val="24"/>
          <w:szCs w:val="24"/>
          <w:lang w:eastAsia="zh-CN"/>
        </w:rPr>
      </w:pPr>
    </w:p>
    <w:p w14:paraId="321D0B57" w14:textId="30607454" w:rsidR="00A43052" w:rsidRPr="00164D69" w:rsidRDefault="00F64FEB" w:rsidP="002F6FCA">
      <w:pPr>
        <w:adjustRightInd w:val="0"/>
        <w:snapToGrid w:val="0"/>
        <w:spacing w:after="0" w:line="360" w:lineRule="auto"/>
        <w:jc w:val="both"/>
        <w:rPr>
          <w:rFonts w:ascii="Book Antiqua" w:eastAsia="宋体" w:hAnsi="Book Antiqua" w:cs="Times New Roman"/>
          <w:sz w:val="24"/>
          <w:szCs w:val="24"/>
          <w:lang w:eastAsia="zh-CN"/>
        </w:rPr>
      </w:pPr>
      <w:r w:rsidRPr="00164D69">
        <w:rPr>
          <w:rFonts w:ascii="Book Antiqua" w:hAnsi="Book Antiqua" w:cs="Times New Roman"/>
          <w:b/>
          <w:sz w:val="24"/>
          <w:szCs w:val="24"/>
        </w:rPr>
        <w:t>Abhisek Ghosh</w:t>
      </w:r>
      <w:r w:rsidRPr="00164D69">
        <w:rPr>
          <w:rFonts w:ascii="Book Antiqua" w:eastAsia="宋体" w:hAnsi="Book Antiqua" w:cs="Times New Roman" w:hint="eastAsia"/>
          <w:b/>
          <w:sz w:val="24"/>
          <w:szCs w:val="24"/>
          <w:lang w:eastAsia="zh-CN"/>
        </w:rPr>
        <w:t>,</w:t>
      </w:r>
      <w:r w:rsidR="00A43052" w:rsidRPr="00164D69">
        <w:rPr>
          <w:rFonts w:ascii="Book Antiqua" w:hAnsi="Book Antiqua" w:cs="Times New Roman"/>
          <w:b/>
          <w:sz w:val="24"/>
          <w:szCs w:val="24"/>
        </w:rPr>
        <w:t xml:space="preserve"> </w:t>
      </w:r>
      <w:r w:rsidR="00A43052" w:rsidRPr="00164D69">
        <w:rPr>
          <w:rFonts w:ascii="Book Antiqua" w:hAnsi="Book Antiqua" w:cs="Times New Roman"/>
          <w:sz w:val="24"/>
          <w:szCs w:val="24"/>
        </w:rPr>
        <w:t xml:space="preserve">Darent Valley Hospital, Dartford, </w:t>
      </w:r>
      <w:r w:rsidRPr="00164D69">
        <w:rPr>
          <w:rFonts w:ascii="Book Antiqua" w:hAnsi="Book Antiqua" w:cs="Times New Roman"/>
          <w:sz w:val="24"/>
          <w:szCs w:val="24"/>
        </w:rPr>
        <w:t xml:space="preserve">DA2 8DA </w:t>
      </w:r>
      <w:r w:rsidR="008E6DAA" w:rsidRPr="00164D69">
        <w:rPr>
          <w:rFonts w:ascii="Book Antiqua" w:hAnsi="Book Antiqua" w:cs="Times New Roman"/>
          <w:sz w:val="24"/>
          <w:szCs w:val="24"/>
        </w:rPr>
        <w:t xml:space="preserve">Kent, </w:t>
      </w:r>
      <w:r w:rsidR="00A43052" w:rsidRPr="00164D69">
        <w:rPr>
          <w:rFonts w:ascii="Book Antiqua" w:hAnsi="Book Antiqua" w:cs="Times New Roman"/>
          <w:sz w:val="24"/>
          <w:szCs w:val="24"/>
        </w:rPr>
        <w:t>U</w:t>
      </w:r>
      <w:r w:rsidRPr="00164D69">
        <w:rPr>
          <w:rFonts w:ascii="Book Antiqua" w:eastAsia="宋体" w:hAnsi="Book Antiqua" w:cs="Times New Roman" w:hint="eastAsia"/>
          <w:sz w:val="24"/>
          <w:szCs w:val="24"/>
          <w:lang w:eastAsia="zh-CN"/>
        </w:rPr>
        <w:t>nited Kingdom</w:t>
      </w:r>
    </w:p>
    <w:p w14:paraId="4FE5B334" w14:textId="77777777" w:rsidR="00F64FEB" w:rsidRPr="00164D69" w:rsidRDefault="00F64FEB" w:rsidP="002F6FCA">
      <w:pPr>
        <w:adjustRightInd w:val="0"/>
        <w:snapToGrid w:val="0"/>
        <w:spacing w:after="0" w:line="360" w:lineRule="auto"/>
        <w:jc w:val="both"/>
        <w:rPr>
          <w:rFonts w:ascii="Book Antiqua" w:eastAsia="宋体" w:hAnsi="Book Antiqua" w:cs="Times New Roman"/>
          <w:sz w:val="24"/>
          <w:szCs w:val="24"/>
          <w:lang w:eastAsia="zh-CN"/>
        </w:rPr>
      </w:pPr>
    </w:p>
    <w:p w14:paraId="1F48CF6A" w14:textId="0A17B696" w:rsidR="00A43052" w:rsidRPr="00164D69" w:rsidRDefault="00F64FEB" w:rsidP="002F6FCA">
      <w:pPr>
        <w:adjustRightInd w:val="0"/>
        <w:snapToGrid w:val="0"/>
        <w:spacing w:after="0" w:line="360" w:lineRule="auto"/>
        <w:jc w:val="both"/>
        <w:rPr>
          <w:rFonts w:ascii="Book Antiqua" w:hAnsi="Book Antiqua" w:cs="Times New Roman"/>
          <w:sz w:val="24"/>
          <w:szCs w:val="24"/>
        </w:rPr>
      </w:pPr>
      <w:r w:rsidRPr="00164D69">
        <w:rPr>
          <w:rFonts w:ascii="Book Antiqua" w:hAnsi="Book Antiqua" w:cs="Times New Roman"/>
          <w:b/>
          <w:sz w:val="24"/>
          <w:szCs w:val="24"/>
        </w:rPr>
        <w:t>Ji Li</w:t>
      </w:r>
      <w:r w:rsidRPr="00164D69">
        <w:rPr>
          <w:rFonts w:ascii="Book Antiqua" w:eastAsia="宋体" w:hAnsi="Book Antiqua" w:cs="Times New Roman" w:hint="eastAsia"/>
          <w:b/>
          <w:sz w:val="24"/>
          <w:szCs w:val="24"/>
          <w:lang w:eastAsia="zh-CN"/>
        </w:rPr>
        <w:t>,</w:t>
      </w:r>
      <w:r w:rsidR="00164D69" w:rsidRPr="00164D69">
        <w:rPr>
          <w:rFonts w:ascii="Book Antiqua" w:eastAsia="宋体" w:hAnsi="Book Antiqua" w:cs="Times New Roman" w:hint="eastAsia"/>
          <w:b/>
          <w:sz w:val="24"/>
          <w:szCs w:val="24"/>
          <w:lang w:eastAsia="zh-CN"/>
        </w:rPr>
        <w:t xml:space="preserve"> </w:t>
      </w:r>
      <w:r w:rsidR="00E75E8A">
        <w:rPr>
          <w:rFonts w:ascii="Book Antiqua" w:eastAsia="宋体" w:hAnsi="Book Antiqua" w:cs="Times New Roman"/>
          <w:sz w:val="24"/>
          <w:szCs w:val="24"/>
          <w:lang w:eastAsia="zh-CN"/>
        </w:rPr>
        <w:t xml:space="preserve">Department of </w:t>
      </w:r>
      <w:r w:rsidR="00A43052" w:rsidRPr="00164D69">
        <w:rPr>
          <w:rFonts w:ascii="Book Antiqua" w:hAnsi="Book Antiqua" w:cs="Times New Roman"/>
          <w:sz w:val="24"/>
          <w:szCs w:val="24"/>
        </w:rPr>
        <w:t>Gastroenterology, Pekin</w:t>
      </w:r>
      <w:r w:rsidR="00B94706" w:rsidRPr="00164D69">
        <w:rPr>
          <w:rFonts w:ascii="Book Antiqua" w:hAnsi="Book Antiqua" w:cs="Times New Roman"/>
          <w:sz w:val="24"/>
          <w:szCs w:val="24"/>
        </w:rPr>
        <w:t>g</w:t>
      </w:r>
      <w:r w:rsidRPr="00164D69">
        <w:rPr>
          <w:rFonts w:ascii="Book Antiqua" w:hAnsi="Book Antiqua" w:cs="Times New Roman"/>
          <w:sz w:val="24"/>
          <w:szCs w:val="24"/>
        </w:rPr>
        <w:t xml:space="preserve"> Union Hospital, Beijing</w:t>
      </w:r>
      <w:r w:rsidR="00A43052" w:rsidRPr="00164D69">
        <w:rPr>
          <w:rFonts w:ascii="Book Antiqua" w:hAnsi="Book Antiqua" w:cs="Times New Roman"/>
          <w:sz w:val="24"/>
          <w:szCs w:val="24"/>
        </w:rPr>
        <w:t xml:space="preserve"> </w:t>
      </w:r>
      <w:r w:rsidR="008E6DAA" w:rsidRPr="00164D69">
        <w:rPr>
          <w:rFonts w:ascii="Book Antiqua" w:hAnsi="Book Antiqua" w:cs="Times New Roman"/>
          <w:sz w:val="24"/>
          <w:szCs w:val="24"/>
        </w:rPr>
        <w:t xml:space="preserve">100730, </w:t>
      </w:r>
      <w:r w:rsidR="00A43052" w:rsidRPr="00164D69">
        <w:rPr>
          <w:rFonts w:ascii="Book Antiqua" w:hAnsi="Book Antiqua" w:cs="Times New Roman"/>
          <w:sz w:val="24"/>
          <w:szCs w:val="24"/>
        </w:rPr>
        <w:t>China</w:t>
      </w:r>
    </w:p>
    <w:p w14:paraId="4749E1EF" w14:textId="77777777" w:rsidR="00A43052" w:rsidRPr="00164D69" w:rsidRDefault="00A43052" w:rsidP="002F6FCA">
      <w:pPr>
        <w:adjustRightInd w:val="0"/>
        <w:snapToGrid w:val="0"/>
        <w:spacing w:after="0" w:line="360" w:lineRule="auto"/>
        <w:jc w:val="both"/>
        <w:rPr>
          <w:rFonts w:ascii="Book Antiqua" w:hAnsi="Book Antiqua" w:cs="Times New Roman"/>
          <w:sz w:val="24"/>
          <w:szCs w:val="24"/>
        </w:rPr>
      </w:pPr>
    </w:p>
    <w:p w14:paraId="786D7226" w14:textId="43ACD80D" w:rsidR="00A43052" w:rsidRPr="00164D69" w:rsidRDefault="005A301B" w:rsidP="002F6FCA">
      <w:pPr>
        <w:adjustRightInd w:val="0"/>
        <w:snapToGrid w:val="0"/>
        <w:spacing w:after="0" w:line="360" w:lineRule="auto"/>
        <w:jc w:val="both"/>
        <w:rPr>
          <w:rFonts w:ascii="Book Antiqua" w:eastAsia="宋体" w:hAnsi="Book Antiqua" w:cs="Times New Roman"/>
          <w:sz w:val="24"/>
          <w:szCs w:val="24"/>
          <w:lang w:eastAsia="zh-CN"/>
        </w:rPr>
      </w:pPr>
      <w:bookmarkStart w:id="40" w:name="OLE_LINK17"/>
      <w:bookmarkStart w:id="41" w:name="OLE_LINK18"/>
      <w:bookmarkStart w:id="42" w:name="OLE_LINK1048"/>
      <w:bookmarkStart w:id="43" w:name="OLE_LINK1049"/>
      <w:r w:rsidRPr="00164D69">
        <w:rPr>
          <w:rFonts w:ascii="Book Antiqua" w:hAnsi="Book Antiqua"/>
          <w:b/>
          <w:sz w:val="24"/>
        </w:rPr>
        <w:t xml:space="preserve">Author </w:t>
      </w:r>
      <w:bookmarkStart w:id="44" w:name="OLE_LINK1527"/>
      <w:bookmarkStart w:id="45" w:name="OLE_LINK1528"/>
      <w:r w:rsidRPr="00164D69">
        <w:rPr>
          <w:rFonts w:ascii="Book Antiqua" w:hAnsi="Book Antiqua"/>
          <w:b/>
          <w:sz w:val="24"/>
        </w:rPr>
        <w:t>contributions</w:t>
      </w:r>
      <w:bookmarkEnd w:id="40"/>
      <w:bookmarkEnd w:id="41"/>
      <w:r w:rsidRPr="00164D69">
        <w:rPr>
          <w:rStyle w:val="af"/>
          <w:rFonts w:ascii="Book Antiqua" w:hAnsi="Book Antiqua"/>
          <w:sz w:val="24"/>
          <w:szCs w:val="24"/>
        </w:rPr>
        <w:t>:</w:t>
      </w:r>
      <w:bookmarkEnd w:id="42"/>
      <w:bookmarkEnd w:id="43"/>
      <w:bookmarkEnd w:id="44"/>
      <w:bookmarkEnd w:id="45"/>
      <w:r w:rsidR="00A43052" w:rsidRPr="00164D69">
        <w:rPr>
          <w:rFonts w:ascii="Book Antiqua" w:hAnsi="Book Antiqua" w:cs="Times New Roman"/>
          <w:sz w:val="24"/>
          <w:szCs w:val="24"/>
        </w:rPr>
        <w:t xml:space="preserve"> The listed authors solely contributed to this manuscript</w:t>
      </w:r>
      <w:r w:rsidR="000C0BCB" w:rsidRPr="00164D69">
        <w:rPr>
          <w:rFonts w:ascii="Book Antiqua" w:hAnsi="Book Antiqua" w:cs="Times New Roman"/>
          <w:sz w:val="24"/>
          <w:szCs w:val="24"/>
        </w:rPr>
        <w:t xml:space="preserve"> in writing and searching the literatures</w:t>
      </w:r>
    </w:p>
    <w:p w14:paraId="122AB80F" w14:textId="77777777" w:rsidR="005A301B" w:rsidRPr="00164D69" w:rsidRDefault="005A301B" w:rsidP="002F6FCA">
      <w:pPr>
        <w:adjustRightInd w:val="0"/>
        <w:snapToGrid w:val="0"/>
        <w:spacing w:after="0" w:line="360" w:lineRule="auto"/>
        <w:jc w:val="both"/>
        <w:rPr>
          <w:rFonts w:ascii="Book Antiqua" w:eastAsia="宋体" w:hAnsi="Book Antiqua" w:cs="Times New Roman"/>
          <w:sz w:val="24"/>
          <w:szCs w:val="24"/>
          <w:lang w:eastAsia="zh-CN"/>
        </w:rPr>
      </w:pPr>
    </w:p>
    <w:p w14:paraId="19C12454" w14:textId="7B45A915" w:rsidR="00A43052" w:rsidRPr="00164D69" w:rsidRDefault="00A43052" w:rsidP="002F6FCA">
      <w:pPr>
        <w:autoSpaceDE w:val="0"/>
        <w:autoSpaceDN w:val="0"/>
        <w:adjustRightInd w:val="0"/>
        <w:snapToGrid w:val="0"/>
        <w:spacing w:after="0" w:line="360" w:lineRule="auto"/>
        <w:jc w:val="both"/>
        <w:rPr>
          <w:rFonts w:ascii="Book Antiqua" w:hAnsi="Book Antiqua" w:cs="TimesNewRomanPS-BoldItalicMT"/>
          <w:bCs/>
          <w:iCs/>
          <w:sz w:val="24"/>
          <w:szCs w:val="24"/>
        </w:rPr>
      </w:pPr>
      <w:r w:rsidRPr="00164D69">
        <w:rPr>
          <w:rFonts w:ascii="Book Antiqua" w:hAnsi="Book Antiqua" w:cs="TimesNewRomanPS-BoldItalicMT"/>
          <w:b/>
          <w:bCs/>
          <w:iCs/>
          <w:sz w:val="24"/>
          <w:szCs w:val="24"/>
        </w:rPr>
        <w:t>Conflict-of-interest</w:t>
      </w:r>
      <w:r w:rsidR="005A301B" w:rsidRPr="00164D69">
        <w:rPr>
          <w:rFonts w:ascii="Book Antiqua" w:eastAsia="宋体" w:hAnsi="Book Antiqua" w:cs="TimesNewRomanPS-BoldItalicMT" w:hint="eastAsia"/>
          <w:b/>
          <w:bCs/>
          <w:iCs/>
          <w:sz w:val="24"/>
          <w:szCs w:val="24"/>
          <w:lang w:eastAsia="zh-CN"/>
        </w:rPr>
        <w:t xml:space="preserve"> </w:t>
      </w:r>
      <w:r w:rsidR="005A301B" w:rsidRPr="00164D69">
        <w:rPr>
          <w:rFonts w:ascii="Book Antiqua" w:hAnsi="Book Antiqua"/>
          <w:b/>
          <w:bCs/>
          <w:iCs/>
          <w:sz w:val="24"/>
          <w:szCs w:val="24"/>
        </w:rPr>
        <w:t>statement</w:t>
      </w:r>
      <w:r w:rsidRPr="00164D69">
        <w:rPr>
          <w:rFonts w:ascii="Book Antiqua" w:hAnsi="Book Antiqua" w:cs="TimesNewRomanPS-BoldItalicMT"/>
          <w:b/>
          <w:bCs/>
          <w:iCs/>
          <w:sz w:val="24"/>
          <w:szCs w:val="24"/>
        </w:rPr>
        <w:t>:</w:t>
      </w:r>
      <w:r w:rsidR="00886D9C" w:rsidRPr="00164D69">
        <w:rPr>
          <w:rFonts w:ascii="Book Antiqua" w:hAnsi="Book Antiqua" w:cs="TimesNewRomanPS-BoldItalicMT"/>
          <w:b/>
          <w:bCs/>
          <w:iCs/>
          <w:sz w:val="24"/>
          <w:szCs w:val="24"/>
        </w:rPr>
        <w:t xml:space="preserve"> </w:t>
      </w:r>
      <w:r w:rsidR="00886D9C" w:rsidRPr="00164D69">
        <w:rPr>
          <w:rFonts w:ascii="Book Antiqua" w:hAnsi="Book Antiqua" w:cs="TimesNewRomanPS-BoldItalicMT"/>
          <w:bCs/>
          <w:iCs/>
          <w:sz w:val="24"/>
          <w:szCs w:val="24"/>
        </w:rPr>
        <w:t xml:space="preserve">The authors have no conflict of interest to report in this work. </w:t>
      </w:r>
    </w:p>
    <w:p w14:paraId="219B5C32" w14:textId="77777777" w:rsidR="00A43052" w:rsidRPr="00164D69" w:rsidRDefault="00A43052" w:rsidP="002F6FCA">
      <w:pPr>
        <w:adjustRightInd w:val="0"/>
        <w:snapToGrid w:val="0"/>
        <w:spacing w:after="0" w:line="360" w:lineRule="auto"/>
        <w:jc w:val="both"/>
        <w:rPr>
          <w:rFonts w:ascii="Book Antiqua" w:eastAsia="宋体" w:hAnsi="Book Antiqua" w:cs="Times New Roman"/>
          <w:sz w:val="24"/>
          <w:szCs w:val="24"/>
          <w:lang w:eastAsia="zh-CN"/>
        </w:rPr>
      </w:pPr>
    </w:p>
    <w:p w14:paraId="76B47D38" w14:textId="77777777" w:rsidR="005A301B" w:rsidRPr="00164D69" w:rsidRDefault="005A301B" w:rsidP="005A301B">
      <w:pPr>
        <w:spacing w:after="0" w:line="360" w:lineRule="auto"/>
        <w:jc w:val="both"/>
        <w:rPr>
          <w:rFonts w:ascii="Book Antiqua" w:eastAsia="宋体" w:hAnsi="Book Antiqua" w:cs="宋体"/>
          <w:sz w:val="24"/>
          <w:szCs w:val="24"/>
          <w:lang w:val="en-US" w:eastAsia="zh-CN"/>
        </w:rPr>
      </w:pPr>
      <w:bookmarkStart w:id="46" w:name="OLE_LINK441"/>
      <w:bookmarkStart w:id="47" w:name="OLE_LINK442"/>
      <w:bookmarkStart w:id="48" w:name="OLE_LINK1032"/>
      <w:bookmarkStart w:id="49" w:name="OLE_LINK1460"/>
      <w:bookmarkStart w:id="50" w:name="OLE_LINK1568"/>
      <w:bookmarkStart w:id="51" w:name="OLE_LINK1708"/>
      <w:bookmarkStart w:id="52" w:name="OLE_LINK1435"/>
      <w:bookmarkStart w:id="53" w:name="OLE_LINK1478"/>
      <w:bookmarkStart w:id="54" w:name="OLE_LINK1428"/>
      <w:bookmarkStart w:id="55" w:name="OLE_LINK1355"/>
      <w:bookmarkStart w:id="56" w:name="OLE_LINK1425"/>
      <w:bookmarkStart w:id="57" w:name="OLE_LINK1504"/>
      <w:bookmarkStart w:id="58" w:name="OLE_LINK1544"/>
      <w:bookmarkStart w:id="59" w:name="OLE_LINK1680"/>
      <w:bookmarkStart w:id="60" w:name="OLE_LINK1710"/>
      <w:bookmarkStart w:id="61" w:name="OLE_LINK3317"/>
      <w:bookmarkStart w:id="62" w:name="OLE_LINK22"/>
      <w:bookmarkStart w:id="63" w:name="OLE_LINK1818"/>
      <w:bookmarkStart w:id="64" w:name="OLE_LINK1684"/>
      <w:bookmarkStart w:id="65" w:name="OLE_LINK1885"/>
      <w:bookmarkStart w:id="66" w:name="OLE_LINK1799"/>
      <w:bookmarkStart w:id="67" w:name="OLE_LINK1894"/>
      <w:bookmarkStart w:id="68" w:name="OLE_LINK27"/>
      <w:bookmarkStart w:id="69" w:name="OLE_LINK732"/>
      <w:bookmarkStart w:id="70" w:name="OLE_LINK2053"/>
      <w:bookmarkStart w:id="71" w:name="OLE_LINK2096"/>
      <w:r w:rsidRPr="00164D69">
        <w:rPr>
          <w:rFonts w:ascii="Book Antiqua" w:eastAsia="宋体" w:hAnsi="Book Antiqua" w:cs="Times New Roman"/>
          <w:b/>
          <w:sz w:val="24"/>
          <w:szCs w:val="24"/>
          <w:lang w:val="en-US" w:eastAsia="zh-CN"/>
        </w:rPr>
        <w:t xml:space="preserve">Open-Access: </w:t>
      </w:r>
      <w:bookmarkStart w:id="72" w:name="OLE_LINK479"/>
      <w:bookmarkStart w:id="73" w:name="OLE_LINK496"/>
      <w:bookmarkStart w:id="74" w:name="OLE_LINK506"/>
      <w:bookmarkStart w:id="75" w:name="OLE_LINK507"/>
      <w:r w:rsidRPr="00164D69">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164D69">
        <w:rPr>
          <w:rFonts w:ascii="Book Antiqua" w:eastAsia="宋体" w:hAnsi="Book Antiqua" w:cs="Times New Roman"/>
          <w:kern w:val="2"/>
          <w:sz w:val="24"/>
          <w:szCs w:val="24"/>
          <w:lang w:val="en-US" w:eastAsia="zh-CN"/>
        </w:rPr>
        <w:lastRenderedPageBreak/>
        <w:t xml:space="preserve">provided the original work is properly cited and the use is non-commercial. See: </w:t>
      </w:r>
      <w:hyperlink r:id="rId9" w:history="1">
        <w:r w:rsidRPr="00164D69">
          <w:rPr>
            <w:rFonts w:ascii="Book Antiqua" w:eastAsia="宋体" w:hAnsi="Book Antiqua" w:cs="Times New Roman"/>
            <w:kern w:val="2"/>
            <w:sz w:val="24"/>
            <w:szCs w:val="24"/>
            <w:u w:val="single"/>
            <w:lang w:val="en-US" w:eastAsia="zh-CN"/>
          </w:rPr>
          <w:t>http://creativecommons.org/licenses/by-nc/4.0/</w:t>
        </w:r>
      </w:hyperlink>
      <w:bookmarkEnd w:id="72"/>
      <w:bookmarkEnd w:id="73"/>
      <w:bookmarkEnd w:id="74"/>
      <w:bookmarkEnd w:id="75"/>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14:paraId="23681313" w14:textId="77777777" w:rsidR="005A301B" w:rsidRPr="00164D69" w:rsidRDefault="005A301B" w:rsidP="002F6FCA">
      <w:pPr>
        <w:adjustRightInd w:val="0"/>
        <w:snapToGrid w:val="0"/>
        <w:spacing w:after="0" w:line="360" w:lineRule="auto"/>
        <w:jc w:val="both"/>
        <w:rPr>
          <w:rFonts w:ascii="Book Antiqua" w:eastAsia="宋体" w:hAnsi="Book Antiqua" w:cs="Times New Roman"/>
          <w:sz w:val="24"/>
          <w:szCs w:val="24"/>
          <w:lang w:eastAsia="zh-CN"/>
        </w:rPr>
      </w:pPr>
    </w:p>
    <w:p w14:paraId="2D1DF1EE" w14:textId="58127317" w:rsidR="00A43052" w:rsidRPr="00164D69" w:rsidRDefault="00A43052" w:rsidP="002F6FCA">
      <w:pPr>
        <w:adjustRightInd w:val="0"/>
        <w:snapToGrid w:val="0"/>
        <w:spacing w:after="0" w:line="360" w:lineRule="auto"/>
        <w:jc w:val="both"/>
        <w:rPr>
          <w:rFonts w:ascii="Book Antiqua" w:eastAsia="宋体" w:hAnsi="Book Antiqua" w:cs="Times New Roman"/>
          <w:sz w:val="24"/>
          <w:szCs w:val="24"/>
          <w:lang w:eastAsia="zh-CN"/>
        </w:rPr>
      </w:pPr>
      <w:r w:rsidRPr="00164D69">
        <w:rPr>
          <w:rFonts w:ascii="Book Antiqua" w:hAnsi="Book Antiqua" w:cs="Times New Roman"/>
          <w:b/>
          <w:sz w:val="24"/>
          <w:szCs w:val="24"/>
        </w:rPr>
        <w:t>Correspond</w:t>
      </w:r>
      <w:r w:rsidR="000C0BCB" w:rsidRPr="00164D69">
        <w:rPr>
          <w:rFonts w:ascii="Book Antiqua" w:hAnsi="Book Antiqua" w:cs="Times New Roman"/>
          <w:b/>
          <w:sz w:val="24"/>
          <w:szCs w:val="24"/>
        </w:rPr>
        <w:t>ence to</w:t>
      </w:r>
      <w:r w:rsidRPr="00164D69">
        <w:rPr>
          <w:rFonts w:ascii="Book Antiqua" w:hAnsi="Book Antiqua" w:cs="Times New Roman"/>
          <w:b/>
          <w:sz w:val="24"/>
          <w:szCs w:val="24"/>
        </w:rPr>
        <w:t xml:space="preserve">: </w:t>
      </w:r>
      <w:bookmarkStart w:id="76" w:name="OLE_LINK2048"/>
      <w:bookmarkStart w:id="77" w:name="OLE_LINK2049"/>
      <w:r w:rsidR="000C0BCB" w:rsidRPr="00164D69">
        <w:rPr>
          <w:rFonts w:ascii="Book Antiqua" w:hAnsi="Book Antiqua" w:cs="Times New Roman"/>
          <w:b/>
          <w:sz w:val="24"/>
          <w:szCs w:val="24"/>
        </w:rPr>
        <w:t xml:space="preserve">Dr. </w:t>
      </w:r>
      <w:r w:rsidR="005A301B" w:rsidRPr="00164D69">
        <w:rPr>
          <w:rFonts w:ascii="Book Antiqua" w:hAnsi="Book Antiqua" w:cs="Times New Roman"/>
          <w:b/>
          <w:sz w:val="24"/>
          <w:szCs w:val="24"/>
        </w:rPr>
        <w:t>Aito Ueno</w:t>
      </w:r>
      <w:r w:rsidR="005A301B" w:rsidRPr="00164D69">
        <w:rPr>
          <w:rFonts w:ascii="Book Antiqua" w:eastAsia="宋体" w:hAnsi="Book Antiqua" w:cs="Times New Roman" w:hint="eastAsia"/>
          <w:sz w:val="24"/>
          <w:szCs w:val="24"/>
          <w:lang w:eastAsia="zh-CN"/>
        </w:rPr>
        <w:t xml:space="preserve">, </w:t>
      </w:r>
      <w:r w:rsidR="005A301B" w:rsidRPr="00164D69">
        <w:rPr>
          <w:rFonts w:ascii="Book Antiqua" w:eastAsia="宋体" w:hAnsi="Book Antiqua" w:cs="Times New Roman"/>
          <w:sz w:val="24"/>
          <w:szCs w:val="24"/>
          <w:lang w:eastAsia="zh-CN"/>
        </w:rPr>
        <w:t xml:space="preserve">Department of Medicine, University of Calgary, </w:t>
      </w:r>
      <w:r w:rsidR="002F6D72" w:rsidRPr="00164D69">
        <w:rPr>
          <w:rFonts w:ascii="Book Antiqua" w:eastAsia="宋体" w:hAnsi="Book Antiqua" w:cs="Times New Roman"/>
          <w:sz w:val="24"/>
          <w:szCs w:val="24"/>
          <w:lang w:eastAsia="zh-CN"/>
        </w:rPr>
        <w:t>HSC1838,</w:t>
      </w:r>
      <w:r w:rsidR="005A301B" w:rsidRPr="00164D69">
        <w:rPr>
          <w:rFonts w:ascii="Book Antiqua" w:eastAsia="宋体" w:hAnsi="Book Antiqua" w:cs="Times New Roman"/>
          <w:sz w:val="24"/>
          <w:szCs w:val="24"/>
          <w:lang w:eastAsia="zh-CN"/>
        </w:rPr>
        <w:t xml:space="preserve"> </w:t>
      </w:r>
      <w:r w:rsidR="002F6D72" w:rsidRPr="00164D69">
        <w:rPr>
          <w:rFonts w:ascii="Book Antiqua" w:eastAsia="宋体" w:hAnsi="Book Antiqua" w:cs="Times New Roman"/>
          <w:sz w:val="24"/>
          <w:szCs w:val="24"/>
          <w:lang w:eastAsia="zh-CN"/>
        </w:rPr>
        <w:t>2500 University Dr. NW</w:t>
      </w:r>
      <w:r w:rsidR="002F6D72" w:rsidRPr="00164D69">
        <w:rPr>
          <w:rFonts w:ascii="Book Antiqua" w:eastAsia="宋体" w:hAnsi="Book Antiqua" w:cs="Times New Roman" w:hint="eastAsia"/>
          <w:sz w:val="24"/>
          <w:szCs w:val="24"/>
          <w:lang w:eastAsia="zh-CN"/>
        </w:rPr>
        <w:t>,</w:t>
      </w:r>
      <w:r w:rsidR="002F6D72" w:rsidRPr="00164D69">
        <w:rPr>
          <w:rFonts w:ascii="Book Antiqua" w:eastAsia="宋体" w:hAnsi="Book Antiqua" w:cs="Times New Roman"/>
          <w:sz w:val="24"/>
          <w:szCs w:val="24"/>
          <w:lang w:eastAsia="zh-CN"/>
        </w:rPr>
        <w:t xml:space="preserve"> Calgary,</w:t>
      </w:r>
      <w:r w:rsidR="002F6D72" w:rsidRPr="00164D69">
        <w:rPr>
          <w:rFonts w:ascii="Book Antiqua" w:eastAsia="宋体" w:hAnsi="Book Antiqua" w:cs="Times New Roman" w:hint="eastAsia"/>
          <w:sz w:val="24"/>
          <w:szCs w:val="24"/>
          <w:lang w:eastAsia="zh-CN"/>
        </w:rPr>
        <w:t xml:space="preserve"> </w:t>
      </w:r>
      <w:r w:rsidR="005A301B" w:rsidRPr="00164D69">
        <w:rPr>
          <w:rFonts w:ascii="Book Antiqua" w:eastAsia="宋体" w:hAnsi="Book Antiqua" w:cs="Times New Roman"/>
          <w:sz w:val="24"/>
          <w:szCs w:val="24"/>
          <w:lang w:eastAsia="zh-CN"/>
        </w:rPr>
        <w:t>Alberta</w:t>
      </w:r>
      <w:r w:rsidR="002F6D72" w:rsidRPr="00164D69">
        <w:rPr>
          <w:rFonts w:ascii="Book Antiqua" w:eastAsia="宋体" w:hAnsi="Book Antiqua" w:cs="Times New Roman" w:hint="eastAsia"/>
          <w:sz w:val="24"/>
          <w:szCs w:val="24"/>
          <w:lang w:eastAsia="zh-CN"/>
        </w:rPr>
        <w:t xml:space="preserve"> </w:t>
      </w:r>
      <w:r w:rsidR="002F6D72" w:rsidRPr="00164D69">
        <w:rPr>
          <w:rFonts w:ascii="Book Antiqua" w:eastAsia="宋体" w:hAnsi="Book Antiqua" w:cs="Times New Roman"/>
          <w:sz w:val="24"/>
          <w:szCs w:val="24"/>
          <w:lang w:eastAsia="zh-CN"/>
        </w:rPr>
        <w:t>T2N 1N4</w:t>
      </w:r>
      <w:r w:rsidR="005A301B" w:rsidRPr="00164D69">
        <w:rPr>
          <w:rFonts w:ascii="Book Antiqua" w:eastAsia="宋体" w:hAnsi="Book Antiqua" w:cs="Times New Roman"/>
          <w:sz w:val="24"/>
          <w:szCs w:val="24"/>
          <w:lang w:eastAsia="zh-CN"/>
        </w:rPr>
        <w:t>,</w:t>
      </w:r>
      <w:r w:rsidR="002F6D72" w:rsidRPr="00164D69">
        <w:rPr>
          <w:rFonts w:ascii="Book Antiqua" w:hAnsi="Book Antiqua" w:cs="Times New Roman"/>
          <w:sz w:val="24"/>
          <w:szCs w:val="24"/>
        </w:rPr>
        <w:t xml:space="preserve"> </w:t>
      </w:r>
      <w:r w:rsidRPr="00164D69">
        <w:rPr>
          <w:rFonts w:ascii="Book Antiqua" w:hAnsi="Book Antiqua" w:cs="Times New Roman"/>
          <w:sz w:val="24"/>
          <w:szCs w:val="24"/>
        </w:rPr>
        <w:t>Canada</w:t>
      </w:r>
      <w:r w:rsidR="005A301B" w:rsidRPr="00164D69">
        <w:rPr>
          <w:rFonts w:ascii="Book Antiqua" w:eastAsia="宋体" w:hAnsi="Book Antiqua" w:cs="Times New Roman" w:hint="eastAsia"/>
          <w:sz w:val="24"/>
          <w:szCs w:val="24"/>
          <w:lang w:eastAsia="zh-CN"/>
        </w:rPr>
        <w:t>.</w:t>
      </w:r>
      <w:r w:rsidR="005A301B" w:rsidRPr="00164D69">
        <w:rPr>
          <w:rFonts w:ascii="Book Antiqua" w:hAnsi="Book Antiqua"/>
          <w:sz w:val="24"/>
          <w:szCs w:val="24"/>
        </w:rPr>
        <w:t xml:space="preserve"> </w:t>
      </w:r>
      <w:hyperlink r:id="rId10" w:history="1">
        <w:r w:rsidR="005A301B" w:rsidRPr="00164D69">
          <w:rPr>
            <w:rStyle w:val="ab"/>
            <w:rFonts w:ascii="Book Antiqua" w:eastAsia="宋体" w:hAnsi="Book Antiqua" w:cs="Times New Roman"/>
            <w:color w:val="auto"/>
            <w:sz w:val="24"/>
            <w:szCs w:val="24"/>
            <w:u w:val="none"/>
            <w:lang w:eastAsia="zh-CN"/>
          </w:rPr>
          <w:t>aueno@ucalgary.ca</w:t>
        </w:r>
      </w:hyperlink>
    </w:p>
    <w:p w14:paraId="70D6FCB1" w14:textId="03F7F233" w:rsidR="00A43052" w:rsidRPr="00164D69" w:rsidRDefault="002F6D72" w:rsidP="002F6FCA">
      <w:pPr>
        <w:adjustRightInd w:val="0"/>
        <w:snapToGrid w:val="0"/>
        <w:spacing w:after="0" w:line="360" w:lineRule="auto"/>
        <w:jc w:val="both"/>
        <w:rPr>
          <w:rFonts w:ascii="Book Antiqua" w:hAnsi="Book Antiqua" w:cs="Times New Roman"/>
          <w:sz w:val="24"/>
          <w:szCs w:val="24"/>
        </w:rPr>
      </w:pPr>
      <w:bookmarkStart w:id="78" w:name="OLE_LINK14"/>
      <w:bookmarkStart w:id="79" w:name="OLE_LINK15"/>
      <w:bookmarkStart w:id="80" w:name="OLE_LINK1518"/>
      <w:bookmarkStart w:id="81" w:name="OLE_LINK1693"/>
      <w:bookmarkStart w:id="82" w:name="OLE_LINK28"/>
      <w:bookmarkStart w:id="83" w:name="OLE_LINK220"/>
      <w:bookmarkStart w:id="84" w:name="OLE_LINK221"/>
      <w:bookmarkStart w:id="85" w:name="OLE_LINK1374"/>
      <w:bookmarkStart w:id="86" w:name="OLE_LINK1919"/>
      <w:bookmarkEnd w:id="76"/>
      <w:bookmarkEnd w:id="77"/>
      <w:r w:rsidRPr="00164D69">
        <w:rPr>
          <w:rFonts w:ascii="Book Antiqua" w:hAnsi="Book Antiqua"/>
          <w:b/>
          <w:sz w:val="24"/>
        </w:rPr>
        <w:t>Telephone:</w:t>
      </w:r>
      <w:bookmarkEnd w:id="78"/>
      <w:bookmarkEnd w:id="79"/>
      <w:bookmarkEnd w:id="80"/>
      <w:bookmarkEnd w:id="81"/>
      <w:bookmarkEnd w:id="82"/>
      <w:r w:rsidRPr="00164D69">
        <w:rPr>
          <w:rFonts w:ascii="Book Antiqua" w:hAnsi="Book Antiqua"/>
          <w:b/>
          <w:sz w:val="24"/>
        </w:rPr>
        <w:t xml:space="preserve"> </w:t>
      </w:r>
      <w:bookmarkEnd w:id="83"/>
      <w:bookmarkEnd w:id="84"/>
      <w:bookmarkEnd w:id="85"/>
      <w:bookmarkEnd w:id="86"/>
      <w:r w:rsidRPr="00164D69">
        <w:rPr>
          <w:rFonts w:ascii="Book Antiqua" w:hAnsi="Book Antiqua" w:cs="Times New Roman"/>
          <w:sz w:val="24"/>
          <w:szCs w:val="24"/>
        </w:rPr>
        <w:t>+1-403-220</w:t>
      </w:r>
      <w:r w:rsidR="00A43052" w:rsidRPr="00164D69">
        <w:rPr>
          <w:rFonts w:ascii="Book Antiqua" w:hAnsi="Book Antiqua" w:cs="Times New Roman"/>
          <w:sz w:val="24"/>
          <w:szCs w:val="24"/>
        </w:rPr>
        <w:t>6603</w:t>
      </w:r>
    </w:p>
    <w:p w14:paraId="02A90C37" w14:textId="101B72A2" w:rsidR="00A43052" w:rsidRPr="00164D69" w:rsidRDefault="00A43052" w:rsidP="002F6FCA">
      <w:pPr>
        <w:adjustRightInd w:val="0"/>
        <w:snapToGrid w:val="0"/>
        <w:spacing w:after="0" w:line="360" w:lineRule="auto"/>
        <w:jc w:val="both"/>
        <w:rPr>
          <w:rFonts w:ascii="Book Antiqua" w:eastAsia="宋体" w:hAnsi="Book Antiqua" w:cs="Times New Roman"/>
          <w:sz w:val="24"/>
          <w:szCs w:val="24"/>
          <w:lang w:eastAsia="zh-CN"/>
        </w:rPr>
      </w:pPr>
      <w:r w:rsidRPr="00164D69">
        <w:rPr>
          <w:rFonts w:ascii="Book Antiqua" w:hAnsi="Book Antiqua" w:cs="Times New Roman"/>
          <w:b/>
          <w:sz w:val="24"/>
          <w:szCs w:val="24"/>
        </w:rPr>
        <w:t>Fax:</w:t>
      </w:r>
      <w:r w:rsidR="002F6D72" w:rsidRPr="00164D69">
        <w:rPr>
          <w:rFonts w:ascii="Book Antiqua" w:hAnsi="Book Antiqua" w:cs="Times New Roman"/>
          <w:sz w:val="24"/>
          <w:szCs w:val="24"/>
        </w:rPr>
        <w:t xml:space="preserve"> +1</w:t>
      </w:r>
      <w:r w:rsidR="00696287" w:rsidRPr="00164D69">
        <w:rPr>
          <w:rFonts w:ascii="Book Antiqua" w:eastAsia="宋体" w:hAnsi="Book Antiqua" w:cs="Times New Roman" w:hint="eastAsia"/>
          <w:sz w:val="24"/>
          <w:szCs w:val="24"/>
          <w:lang w:eastAsia="zh-CN"/>
        </w:rPr>
        <w:t>-</w:t>
      </w:r>
      <w:r w:rsidR="002F6D72" w:rsidRPr="00164D69">
        <w:rPr>
          <w:rFonts w:ascii="Book Antiqua" w:hAnsi="Book Antiqua" w:cs="Times New Roman"/>
          <w:sz w:val="24"/>
          <w:szCs w:val="24"/>
        </w:rPr>
        <w:t>403-210</w:t>
      </w:r>
      <w:r w:rsidRPr="00164D69">
        <w:rPr>
          <w:rFonts w:ascii="Book Antiqua" w:hAnsi="Book Antiqua" w:cs="Times New Roman"/>
          <w:sz w:val="24"/>
          <w:szCs w:val="24"/>
        </w:rPr>
        <w:t>9157</w:t>
      </w:r>
    </w:p>
    <w:p w14:paraId="2992CC15" w14:textId="77777777" w:rsidR="002F6D72" w:rsidRPr="00164D69" w:rsidRDefault="002F6D72" w:rsidP="002F6FCA">
      <w:pPr>
        <w:adjustRightInd w:val="0"/>
        <w:snapToGrid w:val="0"/>
        <w:spacing w:after="0" w:line="360" w:lineRule="auto"/>
        <w:jc w:val="both"/>
        <w:rPr>
          <w:rFonts w:ascii="Book Antiqua" w:eastAsia="宋体" w:hAnsi="Book Antiqua" w:cs="Times New Roman"/>
          <w:sz w:val="24"/>
          <w:szCs w:val="24"/>
          <w:lang w:eastAsia="zh-CN"/>
        </w:rPr>
      </w:pPr>
    </w:p>
    <w:p w14:paraId="2EBF1E29" w14:textId="04F88D35" w:rsidR="002F6D72" w:rsidRPr="00164D69" w:rsidRDefault="002F6D72" w:rsidP="002F6D72">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bookmarkStart w:id="87" w:name="OLE_LINK1346"/>
      <w:bookmarkStart w:id="88" w:name="OLE_LINK1347"/>
      <w:bookmarkStart w:id="89" w:name="OLE_LINK1461"/>
      <w:bookmarkStart w:id="90" w:name="OLE_LINK1437"/>
      <w:bookmarkStart w:id="91" w:name="OLE_LINK1493"/>
      <w:bookmarkStart w:id="92" w:name="OLE_LINK1436"/>
      <w:bookmarkStart w:id="93" w:name="OLE_LINK1584"/>
      <w:bookmarkStart w:id="94" w:name="OLE_LINK1426"/>
      <w:bookmarkStart w:id="95" w:name="OLE_LINK1470"/>
      <w:bookmarkStart w:id="96" w:name="OLE_LINK1726"/>
      <w:bookmarkStart w:id="97" w:name="OLE_LINK1773"/>
      <w:bookmarkStart w:id="98" w:name="OLE_LINK1819"/>
      <w:bookmarkStart w:id="99" w:name="OLE_LINK1886"/>
      <w:bookmarkStart w:id="100" w:name="OLE_LINK1800"/>
      <w:bookmarkStart w:id="101" w:name="OLE_LINK1718"/>
      <w:bookmarkStart w:id="102" w:name="OLE_LINK1832"/>
      <w:bookmarkStart w:id="103" w:name="OLE_LINK1895"/>
      <w:bookmarkStart w:id="104" w:name="OLE_LINK1973"/>
      <w:bookmarkStart w:id="105" w:name="OLE_LINK25"/>
      <w:bookmarkStart w:id="106" w:name="OLE_LINK29"/>
      <w:bookmarkStart w:id="107" w:name="OLE_LINK733"/>
      <w:bookmarkStart w:id="108" w:name="OLE_LINK2054"/>
      <w:bookmarkStart w:id="109" w:name="OLE_LINK2097"/>
      <w:r w:rsidRPr="00164D69">
        <w:rPr>
          <w:rFonts w:ascii="Book Antiqua" w:eastAsia="宋体" w:hAnsi="Book Antiqua" w:cs="Times New Roman"/>
          <w:b/>
          <w:bCs/>
          <w:kern w:val="2"/>
          <w:sz w:val="24"/>
          <w:szCs w:val="24"/>
          <w:lang w:val="en-US" w:eastAsia="zh-CN"/>
        </w:rPr>
        <w:t xml:space="preserve">Received: </w:t>
      </w:r>
      <w:r w:rsidR="00A46860" w:rsidRPr="00164D69">
        <w:rPr>
          <w:rFonts w:ascii="Book Antiqua" w:eastAsia="宋体" w:hAnsi="Book Antiqua" w:cs="Times New Roman" w:hint="eastAsia"/>
          <w:bCs/>
          <w:kern w:val="2"/>
          <w:sz w:val="24"/>
          <w:szCs w:val="24"/>
          <w:lang w:val="en-US" w:eastAsia="zh-CN"/>
        </w:rPr>
        <w:t>June</w:t>
      </w:r>
      <w:r w:rsidRPr="00164D69">
        <w:rPr>
          <w:rFonts w:ascii="Book Antiqua" w:eastAsia="宋体" w:hAnsi="Book Antiqua" w:cs="Times New Roman" w:hint="eastAsia"/>
          <w:bCs/>
          <w:kern w:val="2"/>
          <w:sz w:val="24"/>
          <w:szCs w:val="24"/>
          <w:lang w:val="en-US" w:eastAsia="zh-CN"/>
        </w:rPr>
        <w:t xml:space="preserve"> </w:t>
      </w:r>
      <w:r w:rsidR="00A46860" w:rsidRPr="00164D69">
        <w:rPr>
          <w:rFonts w:ascii="Book Antiqua" w:eastAsia="宋体" w:hAnsi="Book Antiqua" w:cs="Times New Roman" w:hint="eastAsia"/>
          <w:bCs/>
          <w:kern w:val="2"/>
          <w:sz w:val="24"/>
          <w:szCs w:val="24"/>
          <w:lang w:val="en-US" w:eastAsia="zh-CN"/>
        </w:rPr>
        <w:t>23</w:t>
      </w:r>
      <w:r w:rsidRPr="00164D69">
        <w:rPr>
          <w:rFonts w:ascii="Book Antiqua" w:eastAsia="宋体" w:hAnsi="Book Antiqua" w:cs="Times New Roman" w:hint="eastAsia"/>
          <w:bCs/>
          <w:kern w:val="2"/>
          <w:sz w:val="24"/>
          <w:szCs w:val="24"/>
          <w:lang w:val="en-US" w:eastAsia="zh-CN"/>
        </w:rPr>
        <w:t>, 2015</w:t>
      </w:r>
    </w:p>
    <w:p w14:paraId="74F4D346" w14:textId="4D465850" w:rsidR="002F6D72" w:rsidRPr="00164D69" w:rsidRDefault="002F6D72" w:rsidP="002F6D72">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r w:rsidRPr="00164D69">
        <w:rPr>
          <w:rFonts w:ascii="Book Antiqua" w:eastAsia="宋体" w:hAnsi="Book Antiqua" w:cs="Times New Roman"/>
          <w:b/>
          <w:bCs/>
          <w:kern w:val="2"/>
          <w:sz w:val="24"/>
          <w:szCs w:val="24"/>
          <w:lang w:val="en-US" w:eastAsia="zh-CN"/>
        </w:rPr>
        <w:t>Peer-review started:</w:t>
      </w:r>
      <w:r w:rsidRPr="00164D69">
        <w:rPr>
          <w:rFonts w:ascii="Book Antiqua" w:eastAsia="宋体" w:hAnsi="Book Antiqua" w:cs="Times New Roman" w:hint="eastAsia"/>
          <w:b/>
          <w:bCs/>
          <w:kern w:val="2"/>
          <w:sz w:val="24"/>
          <w:szCs w:val="24"/>
          <w:lang w:val="en-US" w:eastAsia="zh-CN"/>
        </w:rPr>
        <w:t xml:space="preserve"> </w:t>
      </w:r>
      <w:r w:rsidR="00A46860" w:rsidRPr="00164D69">
        <w:rPr>
          <w:rFonts w:ascii="Book Antiqua" w:eastAsia="宋体" w:hAnsi="Book Antiqua" w:cs="Times New Roman" w:hint="eastAsia"/>
          <w:bCs/>
          <w:kern w:val="2"/>
          <w:sz w:val="24"/>
          <w:szCs w:val="24"/>
          <w:lang w:val="en-US" w:eastAsia="zh-CN"/>
        </w:rPr>
        <w:t>June</w:t>
      </w:r>
      <w:r w:rsidRPr="00164D69">
        <w:rPr>
          <w:rFonts w:ascii="Book Antiqua" w:eastAsia="宋体" w:hAnsi="Book Antiqua" w:cs="Times New Roman" w:hint="eastAsia"/>
          <w:bCs/>
          <w:kern w:val="2"/>
          <w:sz w:val="24"/>
          <w:szCs w:val="24"/>
          <w:lang w:val="en-US" w:eastAsia="zh-CN"/>
        </w:rPr>
        <w:t xml:space="preserve"> </w:t>
      </w:r>
      <w:r w:rsidR="00A46860" w:rsidRPr="00164D69">
        <w:rPr>
          <w:rFonts w:ascii="Book Antiqua" w:eastAsia="宋体" w:hAnsi="Book Antiqua" w:cs="Times New Roman" w:hint="eastAsia"/>
          <w:bCs/>
          <w:kern w:val="2"/>
          <w:sz w:val="24"/>
          <w:szCs w:val="24"/>
          <w:lang w:val="en-US" w:eastAsia="zh-CN"/>
        </w:rPr>
        <w:t>26</w:t>
      </w:r>
      <w:r w:rsidRPr="00164D69">
        <w:rPr>
          <w:rFonts w:ascii="Book Antiqua" w:eastAsia="宋体" w:hAnsi="Book Antiqua" w:cs="Times New Roman" w:hint="eastAsia"/>
          <w:bCs/>
          <w:kern w:val="2"/>
          <w:sz w:val="24"/>
          <w:szCs w:val="24"/>
          <w:lang w:val="en-US" w:eastAsia="zh-CN"/>
        </w:rPr>
        <w:t>, 2015</w:t>
      </w:r>
    </w:p>
    <w:p w14:paraId="6F5A1019" w14:textId="2454B402" w:rsidR="002F6D72" w:rsidRPr="00164D69" w:rsidRDefault="002F6D72" w:rsidP="002F6D72">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bookmarkStart w:id="110" w:name="OLE_LINK23"/>
      <w:bookmarkStart w:id="111" w:name="OLE_LINK24"/>
      <w:r w:rsidRPr="00164D69">
        <w:rPr>
          <w:rFonts w:ascii="Book Antiqua" w:eastAsia="宋体" w:hAnsi="Book Antiqua" w:cs="Times New Roman"/>
          <w:b/>
          <w:bCs/>
          <w:kern w:val="2"/>
          <w:sz w:val="24"/>
          <w:szCs w:val="24"/>
          <w:lang w:val="en-US" w:eastAsia="zh-CN"/>
        </w:rPr>
        <w:t>First decision:</w:t>
      </w:r>
      <w:r w:rsidRPr="00164D69">
        <w:rPr>
          <w:rFonts w:ascii="Book Antiqua" w:eastAsia="宋体" w:hAnsi="Book Antiqua" w:cs="Times New Roman" w:hint="eastAsia"/>
          <w:bCs/>
          <w:kern w:val="2"/>
          <w:sz w:val="24"/>
          <w:szCs w:val="24"/>
          <w:lang w:val="en-US" w:eastAsia="zh-CN"/>
        </w:rPr>
        <w:t xml:space="preserve"> July </w:t>
      </w:r>
      <w:r w:rsidR="00A46860" w:rsidRPr="00164D69">
        <w:rPr>
          <w:rFonts w:ascii="Book Antiqua" w:eastAsia="宋体" w:hAnsi="Book Antiqua" w:cs="Times New Roman" w:hint="eastAsia"/>
          <w:bCs/>
          <w:kern w:val="2"/>
          <w:sz w:val="24"/>
          <w:szCs w:val="24"/>
          <w:lang w:val="en-US" w:eastAsia="zh-CN"/>
        </w:rPr>
        <w:t>20</w:t>
      </w:r>
      <w:r w:rsidRPr="00164D69">
        <w:rPr>
          <w:rFonts w:ascii="Book Antiqua" w:eastAsia="宋体" w:hAnsi="Book Antiqua" w:cs="Times New Roman" w:hint="eastAsia"/>
          <w:bCs/>
          <w:kern w:val="2"/>
          <w:sz w:val="24"/>
          <w:szCs w:val="24"/>
          <w:lang w:val="en-US" w:eastAsia="zh-CN"/>
        </w:rPr>
        <w:t>, 2015</w:t>
      </w:r>
    </w:p>
    <w:p w14:paraId="6D289008" w14:textId="4F7EAF4A" w:rsidR="002F6D72" w:rsidRPr="00164D69" w:rsidRDefault="002F6D72" w:rsidP="002F6D72">
      <w:pPr>
        <w:widowControl w:val="0"/>
        <w:adjustRightInd w:val="0"/>
        <w:snapToGrid w:val="0"/>
        <w:spacing w:after="0" w:line="360" w:lineRule="auto"/>
        <w:jc w:val="both"/>
        <w:rPr>
          <w:rFonts w:ascii="Book Antiqua" w:eastAsia="宋体" w:hAnsi="Book Antiqua" w:cs="Times New Roman"/>
          <w:bCs/>
          <w:kern w:val="2"/>
          <w:sz w:val="24"/>
          <w:szCs w:val="24"/>
          <w:lang w:val="en-US" w:eastAsia="zh-CN"/>
        </w:rPr>
      </w:pPr>
      <w:r w:rsidRPr="00164D69">
        <w:rPr>
          <w:rFonts w:ascii="Book Antiqua" w:eastAsia="宋体" w:hAnsi="Book Antiqua" w:cs="Times New Roman"/>
          <w:b/>
          <w:bCs/>
          <w:kern w:val="2"/>
          <w:sz w:val="24"/>
          <w:szCs w:val="24"/>
          <w:lang w:val="en-US" w:eastAsia="zh-CN"/>
        </w:rPr>
        <w:t>Revised:</w:t>
      </w:r>
      <w:r w:rsidRPr="00164D69">
        <w:rPr>
          <w:rFonts w:ascii="Book Antiqua" w:eastAsia="宋体" w:hAnsi="Book Antiqua" w:cs="Times New Roman" w:hint="eastAsia"/>
          <w:bCs/>
          <w:kern w:val="2"/>
          <w:sz w:val="24"/>
          <w:szCs w:val="24"/>
          <w:lang w:val="en-US" w:eastAsia="zh-CN"/>
        </w:rPr>
        <w:t xml:space="preserve"> </w:t>
      </w:r>
      <w:r w:rsidR="00A46860" w:rsidRPr="00164D69">
        <w:rPr>
          <w:rFonts w:ascii="Book Antiqua" w:eastAsia="宋体" w:hAnsi="Book Antiqua" w:cs="Times New Roman" w:hint="eastAsia"/>
          <w:bCs/>
          <w:kern w:val="2"/>
          <w:sz w:val="24"/>
          <w:szCs w:val="24"/>
          <w:lang w:val="en-US" w:eastAsia="zh-CN"/>
        </w:rPr>
        <w:t>August</w:t>
      </w:r>
      <w:r w:rsidRPr="00164D69">
        <w:rPr>
          <w:rFonts w:ascii="Book Antiqua" w:eastAsia="宋体" w:hAnsi="Book Antiqua" w:cs="Times New Roman" w:hint="eastAsia"/>
          <w:bCs/>
          <w:kern w:val="2"/>
          <w:sz w:val="24"/>
          <w:szCs w:val="24"/>
          <w:lang w:val="en-US" w:eastAsia="zh-CN"/>
        </w:rPr>
        <w:t xml:space="preserve"> </w:t>
      </w:r>
      <w:r w:rsidR="00A46860" w:rsidRPr="00164D69">
        <w:rPr>
          <w:rFonts w:ascii="Book Antiqua" w:eastAsia="宋体" w:hAnsi="Book Antiqua" w:cs="Times New Roman" w:hint="eastAsia"/>
          <w:bCs/>
          <w:kern w:val="2"/>
          <w:sz w:val="24"/>
          <w:szCs w:val="24"/>
          <w:lang w:val="en-US" w:eastAsia="zh-CN"/>
        </w:rPr>
        <w:t>17</w:t>
      </w:r>
      <w:r w:rsidRPr="00164D69">
        <w:rPr>
          <w:rFonts w:ascii="Book Antiqua" w:eastAsia="宋体" w:hAnsi="Book Antiqua" w:cs="Times New Roman" w:hint="eastAsia"/>
          <w:bCs/>
          <w:kern w:val="2"/>
          <w:sz w:val="24"/>
          <w:szCs w:val="24"/>
          <w:lang w:val="en-US" w:eastAsia="zh-CN"/>
        </w:rPr>
        <w:t>, 2015</w:t>
      </w:r>
    </w:p>
    <w:p w14:paraId="482A73F9" w14:textId="14FE1634" w:rsidR="002F6D72" w:rsidRPr="007C310A" w:rsidRDefault="002F6D72" w:rsidP="007C310A">
      <w:pPr>
        <w:spacing w:line="360" w:lineRule="auto"/>
        <w:rPr>
          <w:rFonts w:ascii="Book Antiqua" w:hAnsi="Book Antiqua"/>
          <w:color w:val="000000"/>
          <w:sz w:val="24"/>
        </w:rPr>
      </w:pPr>
      <w:r w:rsidRPr="00164D69">
        <w:rPr>
          <w:rFonts w:ascii="Book Antiqua" w:eastAsia="宋体" w:hAnsi="Book Antiqua" w:cs="Times New Roman"/>
          <w:b/>
          <w:bCs/>
          <w:kern w:val="2"/>
          <w:sz w:val="24"/>
          <w:szCs w:val="24"/>
          <w:lang w:val="en-US" w:eastAsia="zh-CN"/>
        </w:rPr>
        <w:t>Accepted:</w:t>
      </w:r>
      <w:bookmarkStart w:id="112" w:name="OLE_LINK98"/>
      <w:bookmarkStart w:id="113" w:name="OLE_LINK99"/>
      <w:bookmarkStart w:id="114" w:name="OLE_LINK104"/>
      <w:bookmarkStart w:id="115" w:name="OLE_LINK110"/>
      <w:bookmarkStart w:id="116" w:name="OLE_LINK111"/>
      <w:bookmarkStart w:id="117" w:name="OLE_LINK115"/>
      <w:bookmarkStart w:id="118" w:name="OLE_LINK116"/>
      <w:bookmarkStart w:id="119" w:name="OLE_LINK117"/>
      <w:bookmarkStart w:id="120" w:name="OLE_LINK118"/>
      <w:bookmarkStart w:id="121" w:name="OLE_LINK119"/>
      <w:bookmarkStart w:id="122" w:name="OLE_LINK121"/>
      <w:bookmarkStart w:id="123" w:name="OLE_LINK122"/>
      <w:bookmarkStart w:id="124" w:name="OLE_LINK125"/>
      <w:bookmarkStart w:id="125" w:name="OLE_LINK126"/>
      <w:bookmarkStart w:id="126" w:name="OLE_LINK127"/>
      <w:bookmarkStart w:id="127" w:name="OLE_LINK129"/>
      <w:bookmarkStart w:id="128" w:name="OLE_LINK132"/>
      <w:bookmarkStart w:id="129" w:name="OLE_LINK134"/>
      <w:bookmarkStart w:id="130" w:name="OLE_LINK135"/>
      <w:bookmarkStart w:id="131" w:name="OLE_LINK136"/>
      <w:bookmarkStart w:id="132" w:name="OLE_LINK137"/>
      <w:bookmarkStart w:id="133" w:name="OLE_LINK138"/>
      <w:bookmarkStart w:id="134" w:name="OLE_LINK139"/>
      <w:bookmarkStart w:id="135" w:name="OLE_LINK141"/>
      <w:bookmarkStart w:id="136" w:name="OLE_LINK142"/>
      <w:r w:rsidR="004A3177" w:rsidRPr="004A3177">
        <w:rPr>
          <w:rFonts w:ascii="Book Antiqua" w:hAnsi="Book Antiqua"/>
          <w:color w:val="000000"/>
          <w:sz w:val="24"/>
        </w:rPr>
        <w:t xml:space="preserve"> </w:t>
      </w:r>
      <w:r w:rsidR="004A3177">
        <w:rPr>
          <w:rFonts w:ascii="Book Antiqua" w:hAnsi="Book Antiqua"/>
          <w:color w:val="000000"/>
          <w:sz w:val="24"/>
        </w:rPr>
        <w:t>October 23, 2015</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164D69" w:rsidRPr="00164D69">
        <w:rPr>
          <w:rFonts w:ascii="Book Antiqua" w:eastAsia="宋体" w:hAnsi="Book Antiqua" w:cs="Times New Roman"/>
          <w:b/>
          <w:bCs/>
          <w:kern w:val="2"/>
          <w:sz w:val="24"/>
          <w:szCs w:val="24"/>
          <w:lang w:val="en-US" w:eastAsia="zh-CN"/>
        </w:rPr>
        <w:t xml:space="preserve"> </w:t>
      </w:r>
    </w:p>
    <w:p w14:paraId="1FAFF50B" w14:textId="77777777" w:rsidR="002F6D72" w:rsidRPr="00164D69" w:rsidRDefault="002F6D72" w:rsidP="002F6D72">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r w:rsidRPr="00164D69">
        <w:rPr>
          <w:rFonts w:ascii="Book Antiqua" w:eastAsia="宋体" w:hAnsi="Book Antiqua" w:cs="Times New Roman"/>
          <w:b/>
          <w:bCs/>
          <w:kern w:val="2"/>
          <w:sz w:val="24"/>
          <w:szCs w:val="24"/>
          <w:lang w:val="en-US" w:eastAsia="zh-CN"/>
        </w:rPr>
        <w:t>Article in press:</w:t>
      </w:r>
    </w:p>
    <w:p w14:paraId="3C587BD1" w14:textId="77777777" w:rsidR="002F6D72" w:rsidRPr="00164D69" w:rsidRDefault="002F6D72" w:rsidP="002F6D72">
      <w:pPr>
        <w:widowControl w:val="0"/>
        <w:adjustRightInd w:val="0"/>
        <w:snapToGrid w:val="0"/>
        <w:spacing w:after="0" w:line="360" w:lineRule="auto"/>
        <w:jc w:val="both"/>
        <w:rPr>
          <w:rFonts w:ascii="Book Antiqua" w:eastAsia="宋体" w:hAnsi="Book Antiqua" w:cs="Times New Roman"/>
          <w:b/>
          <w:bCs/>
          <w:kern w:val="2"/>
          <w:sz w:val="24"/>
          <w:szCs w:val="24"/>
          <w:lang w:val="en-US" w:eastAsia="zh-CN"/>
        </w:rPr>
      </w:pPr>
      <w:r w:rsidRPr="00164D69">
        <w:rPr>
          <w:rFonts w:ascii="Book Antiqua" w:eastAsia="宋体" w:hAnsi="Book Antiqua" w:cs="Times New Roman"/>
          <w:b/>
          <w:bCs/>
          <w:kern w:val="2"/>
          <w:sz w:val="24"/>
          <w:szCs w:val="24"/>
          <w:lang w:val="en-US" w:eastAsia="zh-CN"/>
        </w:rPr>
        <w:t xml:space="preserve">Published online: </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25EBB4E4" w14:textId="77777777" w:rsidR="002F6D72" w:rsidRPr="00164D69" w:rsidRDefault="002F6D72" w:rsidP="002F6FCA">
      <w:pPr>
        <w:adjustRightInd w:val="0"/>
        <w:snapToGrid w:val="0"/>
        <w:spacing w:after="0" w:line="360" w:lineRule="auto"/>
        <w:jc w:val="both"/>
        <w:rPr>
          <w:rFonts w:ascii="Book Antiqua" w:eastAsia="宋体" w:hAnsi="Book Antiqua" w:cs="Times New Roman"/>
          <w:sz w:val="24"/>
          <w:szCs w:val="24"/>
          <w:lang w:val="en-US" w:eastAsia="zh-CN"/>
        </w:rPr>
      </w:pPr>
    </w:p>
    <w:p w14:paraId="2A463B7A" w14:textId="77777777" w:rsidR="00A43052" w:rsidRPr="00164D69" w:rsidRDefault="00A43052" w:rsidP="002F6FCA">
      <w:pPr>
        <w:adjustRightInd w:val="0"/>
        <w:snapToGrid w:val="0"/>
        <w:spacing w:after="0" w:line="360" w:lineRule="auto"/>
        <w:jc w:val="both"/>
        <w:rPr>
          <w:rFonts w:ascii="Book Antiqua" w:hAnsi="Book Antiqua" w:cs="Times New Roman"/>
          <w:i/>
          <w:sz w:val="24"/>
          <w:szCs w:val="24"/>
          <w:u w:val="single"/>
        </w:rPr>
      </w:pPr>
      <w:r w:rsidRPr="00164D69">
        <w:rPr>
          <w:rFonts w:ascii="Book Antiqua" w:hAnsi="Book Antiqua" w:cs="Times New Roman"/>
          <w:i/>
          <w:sz w:val="24"/>
          <w:szCs w:val="24"/>
          <w:u w:val="single"/>
        </w:rPr>
        <w:br w:type="page"/>
      </w:r>
    </w:p>
    <w:p w14:paraId="1F7E8FFC" w14:textId="08096EF9" w:rsidR="00A43052" w:rsidRPr="00164D69" w:rsidRDefault="00A43052" w:rsidP="002F6FCA">
      <w:pPr>
        <w:adjustRightInd w:val="0"/>
        <w:snapToGrid w:val="0"/>
        <w:spacing w:after="0" w:line="360" w:lineRule="auto"/>
        <w:jc w:val="both"/>
        <w:rPr>
          <w:rFonts w:ascii="Book Antiqua" w:hAnsi="Book Antiqua" w:cs="Times New Roman"/>
          <w:b/>
          <w:sz w:val="24"/>
          <w:szCs w:val="24"/>
        </w:rPr>
      </w:pPr>
      <w:r w:rsidRPr="00164D69">
        <w:rPr>
          <w:rFonts w:ascii="Book Antiqua" w:hAnsi="Book Antiqua" w:cs="Times New Roman"/>
          <w:b/>
          <w:sz w:val="24"/>
          <w:szCs w:val="24"/>
        </w:rPr>
        <w:lastRenderedPageBreak/>
        <w:t xml:space="preserve">Abstract </w:t>
      </w:r>
    </w:p>
    <w:p w14:paraId="55666E84" w14:textId="0E3D5C68" w:rsidR="00A43052" w:rsidRPr="00164D69" w:rsidRDefault="00A43052" w:rsidP="00696287">
      <w:pPr>
        <w:pStyle w:val="a4"/>
        <w:adjustRightInd w:val="0"/>
        <w:snapToGrid w:val="0"/>
        <w:spacing w:after="0" w:line="360" w:lineRule="auto"/>
        <w:ind w:left="0"/>
        <w:contextualSpacing w:val="0"/>
        <w:jc w:val="both"/>
        <w:rPr>
          <w:rFonts w:ascii="Book Antiqua" w:hAnsi="Book Antiqua" w:cs="Times New Roman"/>
          <w:sz w:val="24"/>
          <w:szCs w:val="24"/>
        </w:rPr>
      </w:pPr>
      <w:r w:rsidRPr="00164D69">
        <w:rPr>
          <w:rFonts w:ascii="Book Antiqua" w:hAnsi="Book Antiqua" w:cs="Times New Roman"/>
          <w:sz w:val="24"/>
          <w:szCs w:val="24"/>
        </w:rPr>
        <w:t>CD4 T helper (Th) cell differentiation into distinct T cell subsets is critical to the normal function of the immune system.</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Until recently, the paradigm held that naïve T cells differentiated into distinct subsets under the guidance of environmental cues (</w:t>
      </w:r>
      <w:r w:rsidRPr="00164D69">
        <w:rPr>
          <w:rFonts w:ascii="Book Antiqua" w:hAnsi="Book Antiqua" w:cs="Times New Roman"/>
          <w:i/>
          <w:sz w:val="24"/>
          <w:szCs w:val="24"/>
        </w:rPr>
        <w:t>e.g.</w:t>
      </w:r>
      <w:r w:rsidR="00696287" w:rsidRPr="00164D69">
        <w:rPr>
          <w:rFonts w:ascii="Book Antiqua" w:eastAsia="宋体" w:hAnsi="Book Antiqua" w:cs="Times New Roman" w:hint="eastAsia"/>
          <w:i/>
          <w:sz w:val="24"/>
          <w:szCs w:val="24"/>
          <w:lang w:eastAsia="zh-CN"/>
        </w:rPr>
        <w:t>,</w:t>
      </w:r>
      <w:r w:rsidRPr="00164D69">
        <w:rPr>
          <w:rFonts w:ascii="Book Antiqua" w:hAnsi="Book Antiqua" w:cs="Times New Roman"/>
          <w:sz w:val="24"/>
          <w:szCs w:val="24"/>
        </w:rPr>
        <w:t xml:space="preserve"> cytokines) and that once polarized, these cells were committed to a particular functional state.</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However, the existence of </w:t>
      </w:r>
      <w:r w:rsidR="00A51420" w:rsidRPr="00164D69">
        <w:rPr>
          <w:rFonts w:ascii="Book Antiqua" w:hAnsi="Book Antiqua" w:cs="Times New Roman"/>
          <w:sz w:val="24"/>
          <w:szCs w:val="24"/>
        </w:rPr>
        <w:t xml:space="preserve">transdifferentiated </w:t>
      </w:r>
      <w:r w:rsidRPr="00164D69">
        <w:rPr>
          <w:rFonts w:ascii="Book Antiqua" w:hAnsi="Book Antiqua" w:cs="Times New Roman"/>
          <w:sz w:val="24"/>
          <w:szCs w:val="24"/>
        </w:rPr>
        <w:t>T cell populations</w:t>
      </w:r>
      <w:r w:rsidR="00B94706" w:rsidRPr="00164D69">
        <w:rPr>
          <w:rFonts w:ascii="Book Antiqua" w:hAnsi="Book Antiqua" w:cs="Times New Roman"/>
          <w:sz w:val="24"/>
          <w:szCs w:val="24"/>
        </w:rPr>
        <w:t>,</w:t>
      </w:r>
      <w:r w:rsidRPr="00164D69">
        <w:rPr>
          <w:rFonts w:ascii="Book Antiqua" w:hAnsi="Book Antiqua" w:cs="Times New Roman"/>
          <w:sz w:val="24"/>
          <w:szCs w:val="24"/>
        </w:rPr>
        <w:t xml:space="preserve"> which express signature transcription factors and cytokines associated with more than one Th subset</w:t>
      </w:r>
      <w:r w:rsidR="00B94706" w:rsidRPr="00164D69">
        <w:rPr>
          <w:rFonts w:ascii="Book Antiqua" w:hAnsi="Book Antiqua" w:cs="Times New Roman"/>
          <w:sz w:val="24"/>
          <w:szCs w:val="24"/>
        </w:rPr>
        <w:t>,</w:t>
      </w:r>
      <w:r w:rsidRPr="00164D69">
        <w:rPr>
          <w:rFonts w:ascii="Book Antiqua" w:hAnsi="Book Antiqua" w:cs="Times New Roman"/>
          <w:sz w:val="24"/>
          <w:szCs w:val="24"/>
        </w:rPr>
        <w:t xml:space="preserve"> challenges the immutability of T helper subsets and suggests that plasticity is a feature of multifaceted immune responses.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How this process impacts immune dysregulation in diseases such as inflammatory bowel diseases (IBD) and the machinery that underlies this process is far from fully understood. Interleukin (IL)-17 secreting helper T (Th17) cells have been heavily implicated in tissue-specific immune pathology including murine models of IBD, human Crohn’s disease and ulcerative colitis.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Plasticity within this subset is suggested by the existence of IL-17 secreting cells, whi</w:t>
      </w:r>
      <w:r w:rsidR="00696287" w:rsidRPr="00164D69">
        <w:rPr>
          <w:rFonts w:ascii="Book Antiqua" w:hAnsi="Book Antiqua" w:cs="Times New Roman"/>
          <w:sz w:val="24"/>
          <w:szCs w:val="24"/>
        </w:rPr>
        <w:t>ch, can also secrete interferon</w:t>
      </w:r>
      <w:r w:rsidRPr="00164D69">
        <w:rPr>
          <w:rFonts w:ascii="Book Antiqua" w:hAnsi="Book Antiqua" w:cs="Times New Roman"/>
          <w:sz w:val="24"/>
          <w:szCs w:val="24"/>
        </w:rPr>
        <w:t>-γ, the signature cytokine for Th1 cells or, can co-express the anti-inflammatory transcription factor Foxp3, a signature transcription factor of regulatory T cells.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In this review we mainly discuss evidence for Th17 plasticity, mechanisms, which govern it, and highlight the potential to therapeutically target this process in human IBD.</w:t>
      </w:r>
    </w:p>
    <w:p w14:paraId="107F0B07" w14:textId="77777777" w:rsidR="00A43052" w:rsidRPr="00164D69" w:rsidRDefault="00A43052" w:rsidP="002F6FCA">
      <w:pPr>
        <w:adjustRightInd w:val="0"/>
        <w:snapToGrid w:val="0"/>
        <w:spacing w:after="0" w:line="360" w:lineRule="auto"/>
        <w:jc w:val="both"/>
        <w:rPr>
          <w:rFonts w:ascii="Book Antiqua" w:eastAsia="宋体" w:hAnsi="Book Antiqua" w:cs="Times New Roman"/>
          <w:sz w:val="24"/>
          <w:szCs w:val="24"/>
          <w:lang w:eastAsia="zh-CN"/>
        </w:rPr>
      </w:pPr>
    </w:p>
    <w:p w14:paraId="74D6C9E1" w14:textId="4B978C65" w:rsidR="00A43052" w:rsidRPr="00164D69" w:rsidRDefault="00A43052" w:rsidP="002F6FCA">
      <w:pPr>
        <w:adjustRightInd w:val="0"/>
        <w:snapToGrid w:val="0"/>
        <w:spacing w:after="0" w:line="360" w:lineRule="auto"/>
        <w:jc w:val="both"/>
        <w:rPr>
          <w:rFonts w:ascii="Book Antiqua" w:eastAsia="宋体" w:hAnsi="Book Antiqua" w:cs="Times New Roman"/>
          <w:sz w:val="24"/>
          <w:szCs w:val="24"/>
          <w:lang w:eastAsia="zh-CN"/>
        </w:rPr>
      </w:pPr>
      <w:r w:rsidRPr="00164D69">
        <w:rPr>
          <w:rFonts w:ascii="Book Antiqua" w:hAnsi="Book Antiqua" w:cs="Times New Roman"/>
          <w:b/>
          <w:sz w:val="24"/>
          <w:szCs w:val="24"/>
        </w:rPr>
        <w:t xml:space="preserve">Key words: </w:t>
      </w:r>
      <w:bookmarkStart w:id="137" w:name="OLE_LINK2050"/>
      <w:bookmarkStart w:id="138" w:name="OLE_LINK2051"/>
      <w:r w:rsidRPr="00164D69">
        <w:rPr>
          <w:rFonts w:ascii="Book Antiqua" w:hAnsi="Book Antiqua" w:cs="Times New Roman"/>
          <w:sz w:val="24"/>
          <w:szCs w:val="24"/>
        </w:rPr>
        <w:t>Th17</w:t>
      </w:r>
      <w:r w:rsidR="00696287" w:rsidRPr="00164D69">
        <w:rPr>
          <w:rFonts w:ascii="Book Antiqua" w:eastAsia="宋体" w:hAnsi="Book Antiqua" w:cs="Times New Roman" w:hint="eastAsia"/>
          <w:sz w:val="24"/>
          <w:szCs w:val="24"/>
          <w:lang w:eastAsia="zh-CN"/>
        </w:rPr>
        <w:t>;</w:t>
      </w:r>
      <w:r w:rsidRPr="00164D69">
        <w:rPr>
          <w:rFonts w:ascii="Book Antiqua" w:hAnsi="Book Antiqua" w:cs="Times New Roman"/>
          <w:sz w:val="24"/>
          <w:szCs w:val="24"/>
        </w:rPr>
        <w:t xml:space="preserve"> </w:t>
      </w:r>
      <w:r w:rsidR="00696287" w:rsidRPr="00164D69">
        <w:rPr>
          <w:rFonts w:ascii="Book Antiqua" w:hAnsi="Book Antiqua" w:cs="Times New Roman"/>
          <w:sz w:val="24"/>
          <w:szCs w:val="24"/>
        </w:rPr>
        <w:t>Regulatory T cells</w:t>
      </w:r>
      <w:r w:rsidR="00696287" w:rsidRPr="00164D69">
        <w:rPr>
          <w:rFonts w:ascii="Book Antiqua" w:eastAsia="宋体" w:hAnsi="Book Antiqua" w:cs="Times New Roman" w:hint="eastAsia"/>
          <w:sz w:val="24"/>
          <w:szCs w:val="24"/>
          <w:lang w:eastAsia="zh-CN"/>
        </w:rPr>
        <w:t>;</w:t>
      </w:r>
      <w:r w:rsidRPr="00164D69">
        <w:rPr>
          <w:rFonts w:ascii="Book Antiqua" w:hAnsi="Book Antiqua" w:cs="Times New Roman"/>
          <w:sz w:val="24"/>
          <w:szCs w:val="24"/>
        </w:rPr>
        <w:t xml:space="preserve"> T cell plasticity</w:t>
      </w:r>
      <w:r w:rsidR="00696287" w:rsidRPr="00164D69">
        <w:rPr>
          <w:rFonts w:ascii="Book Antiqua" w:eastAsia="宋体" w:hAnsi="Book Antiqua" w:cs="Times New Roman" w:hint="eastAsia"/>
          <w:sz w:val="24"/>
          <w:szCs w:val="24"/>
          <w:lang w:eastAsia="zh-CN"/>
        </w:rPr>
        <w:t>;</w:t>
      </w:r>
      <w:r w:rsidRPr="00164D69">
        <w:rPr>
          <w:rFonts w:ascii="Book Antiqua" w:hAnsi="Book Antiqua" w:cs="Times New Roman"/>
          <w:sz w:val="24"/>
          <w:szCs w:val="24"/>
        </w:rPr>
        <w:t xml:space="preserve"> Inflammatory </w:t>
      </w:r>
      <w:r w:rsidR="00696287" w:rsidRPr="00164D69">
        <w:rPr>
          <w:rFonts w:ascii="Book Antiqua" w:hAnsi="Book Antiqua" w:cs="Times New Roman"/>
          <w:sz w:val="24"/>
          <w:szCs w:val="24"/>
        </w:rPr>
        <w:t>bowel disease</w:t>
      </w:r>
    </w:p>
    <w:bookmarkEnd w:id="137"/>
    <w:bookmarkEnd w:id="138"/>
    <w:p w14:paraId="53F07EC2" w14:textId="77777777" w:rsidR="00696287" w:rsidRPr="00164D69" w:rsidRDefault="00696287" w:rsidP="002F6FCA">
      <w:pPr>
        <w:adjustRightInd w:val="0"/>
        <w:snapToGrid w:val="0"/>
        <w:spacing w:after="0" w:line="360" w:lineRule="auto"/>
        <w:jc w:val="both"/>
        <w:rPr>
          <w:rFonts w:ascii="Book Antiqua" w:eastAsia="宋体" w:hAnsi="Book Antiqua" w:cs="Times New Roman"/>
          <w:sz w:val="24"/>
          <w:szCs w:val="24"/>
          <w:lang w:eastAsia="zh-CN"/>
        </w:rPr>
      </w:pPr>
    </w:p>
    <w:p w14:paraId="46A2DCC0" w14:textId="77777777" w:rsidR="00696287" w:rsidRPr="00164D69" w:rsidRDefault="00696287" w:rsidP="00696287">
      <w:pPr>
        <w:widowControl w:val="0"/>
        <w:adjustRightInd w:val="0"/>
        <w:snapToGrid w:val="0"/>
        <w:spacing w:after="0" w:line="360" w:lineRule="auto"/>
        <w:jc w:val="both"/>
        <w:rPr>
          <w:rFonts w:ascii="Book Antiqua" w:eastAsia="宋体" w:hAnsi="Book Antiqua" w:cs="Times New Roman"/>
          <w:kern w:val="2"/>
          <w:sz w:val="24"/>
          <w:lang w:val="en-US" w:eastAsia="zh-CN"/>
        </w:rPr>
      </w:pPr>
      <w:bookmarkStart w:id="139" w:name="OLE_LINK60"/>
      <w:bookmarkStart w:id="140" w:name="OLE_LINK61"/>
      <w:bookmarkStart w:id="141" w:name="OLE_LINK1429"/>
      <w:bookmarkStart w:id="142" w:name="OLE_LINK1801"/>
      <w:bookmarkStart w:id="143" w:name="OLE_LINK1833"/>
      <w:bookmarkStart w:id="144" w:name="OLE_LINK1896"/>
      <w:bookmarkStart w:id="145" w:name="OLE_LINK1974"/>
      <w:bookmarkStart w:id="146" w:name="OLE_LINK1795"/>
      <w:bookmarkStart w:id="147" w:name="OLE_LINK1956"/>
      <w:bookmarkStart w:id="148" w:name="OLE_LINK1915"/>
      <w:bookmarkStart w:id="149" w:name="OLE_LINK1941"/>
      <w:bookmarkStart w:id="150" w:name="OLE_LINK2024"/>
      <w:bookmarkStart w:id="151" w:name="OLE_LINK1992"/>
      <w:bookmarkStart w:id="152" w:name="OLE_LINK3313"/>
      <w:r w:rsidRPr="00164D69">
        <w:rPr>
          <w:rFonts w:ascii="Book Antiqua" w:eastAsia="宋体" w:hAnsi="Book Antiqua" w:cs="Times New Roman" w:hint="eastAsia"/>
          <w:b/>
          <w:kern w:val="2"/>
          <w:sz w:val="24"/>
          <w:lang w:val="en-US" w:eastAsia="zh-CN"/>
        </w:rPr>
        <w:t>©</w:t>
      </w:r>
      <w:r w:rsidRPr="00164D69">
        <w:rPr>
          <w:rFonts w:ascii="Book Antiqua" w:eastAsia="宋体" w:hAnsi="Book Antiqua" w:cs="Times New Roman"/>
          <w:b/>
          <w:kern w:val="2"/>
          <w:sz w:val="24"/>
          <w:lang w:val="en-US" w:eastAsia="zh-CN"/>
        </w:rPr>
        <w:t xml:space="preserve"> The Author(s) 2015. </w:t>
      </w:r>
      <w:r w:rsidRPr="00164D69">
        <w:rPr>
          <w:rFonts w:ascii="Book Antiqua" w:eastAsia="宋体" w:hAnsi="Book Antiqua" w:cs="Times New Roman"/>
          <w:kern w:val="2"/>
          <w:sz w:val="24"/>
          <w:lang w:val="en-US" w:eastAsia="zh-CN"/>
        </w:rPr>
        <w:t>Published by Baishideng Publishing Group Inc. All rights reserved.</w:t>
      </w:r>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14:paraId="6F0BC1BC" w14:textId="77777777" w:rsidR="00A43052" w:rsidRPr="00164D69" w:rsidRDefault="00A43052" w:rsidP="002F6FCA">
      <w:pPr>
        <w:adjustRightInd w:val="0"/>
        <w:snapToGrid w:val="0"/>
        <w:spacing w:after="0" w:line="360" w:lineRule="auto"/>
        <w:jc w:val="both"/>
        <w:rPr>
          <w:rFonts w:ascii="Book Antiqua" w:hAnsi="Book Antiqua" w:cs="Times New Roman"/>
          <w:sz w:val="24"/>
          <w:szCs w:val="24"/>
        </w:rPr>
      </w:pPr>
    </w:p>
    <w:p w14:paraId="31143306" w14:textId="0589935A" w:rsidR="00A43052" w:rsidRPr="00164D69" w:rsidRDefault="00A43052" w:rsidP="002F6FCA">
      <w:pPr>
        <w:adjustRightInd w:val="0"/>
        <w:snapToGrid w:val="0"/>
        <w:spacing w:after="0" w:line="360" w:lineRule="auto"/>
        <w:jc w:val="both"/>
        <w:rPr>
          <w:rFonts w:ascii="Book Antiqua" w:eastAsia="宋体" w:hAnsi="Book Antiqua" w:cs="Times New Roman"/>
          <w:sz w:val="24"/>
          <w:szCs w:val="24"/>
          <w:lang w:eastAsia="zh-CN"/>
        </w:rPr>
      </w:pPr>
      <w:r w:rsidRPr="00164D69">
        <w:rPr>
          <w:rFonts w:ascii="Book Antiqua" w:hAnsi="Book Antiqua" w:cs="Times New Roman"/>
          <w:b/>
          <w:sz w:val="24"/>
          <w:szCs w:val="24"/>
        </w:rPr>
        <w:t>Core tip:</w:t>
      </w:r>
      <w:r w:rsidR="00164D69" w:rsidRPr="00164D69">
        <w:rPr>
          <w:rFonts w:ascii="Book Antiqua" w:hAnsi="Book Antiqua" w:cs="Times New Roman"/>
          <w:b/>
          <w:sz w:val="24"/>
          <w:szCs w:val="24"/>
        </w:rPr>
        <w:t xml:space="preserve"> </w:t>
      </w:r>
      <w:bookmarkStart w:id="153" w:name="OLE_LINK2052"/>
      <w:bookmarkStart w:id="154" w:name="OLE_LINK2055"/>
      <w:r w:rsidR="00D64BD4" w:rsidRPr="00164D69">
        <w:rPr>
          <w:rFonts w:ascii="Book Antiqua" w:hAnsi="Book Antiqua" w:cs="Times New Roman"/>
          <w:sz w:val="24"/>
          <w:szCs w:val="24"/>
        </w:rPr>
        <w:t xml:space="preserve">Recently, two innovative clinical failures in inflammatory bowel disease which sought to manipulate </w:t>
      </w:r>
      <w:r w:rsidR="0091612E" w:rsidRPr="00164D69">
        <w:rPr>
          <w:rFonts w:ascii="Book Antiqua" w:hAnsi="Book Antiqua" w:cs="Times New Roman"/>
          <w:sz w:val="24"/>
          <w:szCs w:val="24"/>
        </w:rPr>
        <w:t>T helper (Th)</w:t>
      </w:r>
      <w:r w:rsidR="0091612E" w:rsidRPr="00164D69">
        <w:rPr>
          <w:rFonts w:ascii="Book Antiqua" w:eastAsia="宋体" w:hAnsi="Book Antiqua" w:cs="Times New Roman" w:hint="eastAsia"/>
          <w:sz w:val="24"/>
          <w:szCs w:val="24"/>
          <w:lang w:eastAsia="zh-CN"/>
        </w:rPr>
        <w:t xml:space="preserve"> </w:t>
      </w:r>
      <w:r w:rsidR="00D64BD4" w:rsidRPr="00164D69">
        <w:rPr>
          <w:rFonts w:ascii="Book Antiqua" w:hAnsi="Book Antiqua" w:cs="Times New Roman"/>
          <w:sz w:val="24"/>
          <w:szCs w:val="24"/>
        </w:rPr>
        <w:t xml:space="preserve">subsets </w:t>
      </w:r>
      <w:r w:rsidR="00164D69" w:rsidRPr="00164D69">
        <w:rPr>
          <w:rFonts w:ascii="Book Antiqua" w:hAnsi="Book Antiqua" w:cs="Times New Roman"/>
          <w:i/>
          <w:sz w:val="24"/>
          <w:szCs w:val="24"/>
        </w:rPr>
        <w:t xml:space="preserve">via </w:t>
      </w:r>
      <w:r w:rsidR="00D64BD4" w:rsidRPr="00164D69">
        <w:rPr>
          <w:rFonts w:ascii="Book Antiqua" w:hAnsi="Book Antiqua" w:cs="Times New Roman"/>
          <w:sz w:val="24"/>
          <w:szCs w:val="24"/>
        </w:rPr>
        <w:t xml:space="preserve"> either transplantation of regulatory T cells or </w:t>
      </w:r>
      <w:r w:rsidR="0091612E" w:rsidRPr="00164D69">
        <w:rPr>
          <w:rFonts w:ascii="Book Antiqua" w:hAnsi="Book Antiqua" w:cs="Times New Roman"/>
          <w:sz w:val="24"/>
          <w:szCs w:val="24"/>
        </w:rPr>
        <w:t>interleukin</w:t>
      </w:r>
      <w:r w:rsidR="00D64BD4" w:rsidRPr="00164D69">
        <w:rPr>
          <w:rFonts w:ascii="Book Antiqua" w:hAnsi="Book Antiqua" w:cs="Times New Roman"/>
          <w:sz w:val="24"/>
          <w:szCs w:val="24"/>
        </w:rPr>
        <w:t xml:space="preserve">-17 blockade using secukinumab, suggest that altering the balance between inflammatory and regulatory subsets in </w:t>
      </w:r>
      <w:r w:rsidR="0091612E" w:rsidRPr="00164D69">
        <w:rPr>
          <w:rFonts w:ascii="Book Antiqua" w:hAnsi="Book Antiqua" w:cs="Times New Roman"/>
          <w:sz w:val="24"/>
          <w:szCs w:val="24"/>
        </w:rPr>
        <w:t>inflammatory bowel diseases (IBD)</w:t>
      </w:r>
      <w:r w:rsidR="0091612E" w:rsidRPr="00164D69">
        <w:rPr>
          <w:rFonts w:ascii="Book Antiqua" w:eastAsia="宋体" w:hAnsi="Book Antiqua" w:cs="Times New Roman" w:hint="eastAsia"/>
          <w:sz w:val="24"/>
          <w:szCs w:val="24"/>
          <w:lang w:eastAsia="zh-CN"/>
        </w:rPr>
        <w:t xml:space="preserve"> </w:t>
      </w:r>
      <w:r w:rsidR="00D64BD4" w:rsidRPr="00164D69">
        <w:rPr>
          <w:rFonts w:ascii="Book Antiqua" w:hAnsi="Book Antiqua" w:cs="Times New Roman"/>
          <w:sz w:val="24"/>
          <w:szCs w:val="24"/>
        </w:rPr>
        <w:t xml:space="preserve">may be more complex than previously thought. One reason may be the flexible nature of T helper subset commitment, otherwise referred to as </w:t>
      </w:r>
      <w:r w:rsidR="00D64BD4" w:rsidRPr="00164D69">
        <w:rPr>
          <w:rFonts w:ascii="Book Antiqua" w:hAnsi="Book Antiqua" w:cs="Times New Roman"/>
          <w:sz w:val="24"/>
          <w:szCs w:val="24"/>
        </w:rPr>
        <w:lastRenderedPageBreak/>
        <w:t>plasticity. Here we discuss plasticity between regulatory and inflammatory subsets in T helper CD4</w:t>
      </w:r>
      <w:r w:rsidR="00D64BD4" w:rsidRPr="00164D69">
        <w:rPr>
          <w:rFonts w:ascii="Book Antiqua" w:hAnsi="Book Antiqua" w:cs="Times New Roman"/>
          <w:sz w:val="24"/>
          <w:szCs w:val="24"/>
          <w:vertAlign w:val="superscript"/>
        </w:rPr>
        <w:t>+</w:t>
      </w:r>
      <w:r w:rsidR="00D64BD4" w:rsidRPr="00164D69">
        <w:rPr>
          <w:rFonts w:ascii="Book Antiqua" w:hAnsi="Book Antiqua" w:cs="Times New Roman"/>
          <w:sz w:val="24"/>
          <w:szCs w:val="24"/>
        </w:rPr>
        <w:t xml:space="preserve"> cells, especially Th17 cell subset, and the potential to therapeutically target this process in human IBD. </w:t>
      </w:r>
    </w:p>
    <w:bookmarkEnd w:id="153"/>
    <w:bookmarkEnd w:id="154"/>
    <w:p w14:paraId="62A7EE00" w14:textId="77777777" w:rsidR="0091612E" w:rsidRPr="00164D69" w:rsidRDefault="0091612E" w:rsidP="002F6FCA">
      <w:pPr>
        <w:adjustRightInd w:val="0"/>
        <w:snapToGrid w:val="0"/>
        <w:spacing w:after="0" w:line="360" w:lineRule="auto"/>
        <w:jc w:val="both"/>
        <w:rPr>
          <w:rFonts w:ascii="Book Antiqua" w:eastAsia="宋体" w:hAnsi="Book Antiqua" w:cs="Times New Roman"/>
          <w:sz w:val="24"/>
          <w:szCs w:val="24"/>
          <w:lang w:eastAsia="zh-CN"/>
        </w:rPr>
      </w:pPr>
    </w:p>
    <w:p w14:paraId="3FA7D1F4" w14:textId="21C4D103" w:rsidR="0091612E" w:rsidRPr="00164D69" w:rsidRDefault="0091612E" w:rsidP="0091612E">
      <w:pPr>
        <w:adjustRightInd w:val="0"/>
        <w:snapToGrid w:val="0"/>
        <w:spacing w:line="360" w:lineRule="auto"/>
        <w:jc w:val="both"/>
        <w:rPr>
          <w:rFonts w:ascii="Book Antiqua" w:hAnsi="Book Antiqua"/>
          <w:sz w:val="24"/>
        </w:rPr>
      </w:pPr>
      <w:bookmarkStart w:id="155" w:name="OLE_LINK2057"/>
      <w:bookmarkStart w:id="156" w:name="OLE_LINK2058"/>
      <w:r w:rsidRPr="00164D69">
        <w:rPr>
          <w:rFonts w:ascii="Book Antiqua" w:eastAsia="宋体" w:hAnsi="Book Antiqua" w:cs="Times New Roman"/>
          <w:sz w:val="24"/>
          <w:szCs w:val="24"/>
          <w:lang w:eastAsia="zh-CN"/>
        </w:rPr>
        <w:t>Ueno</w:t>
      </w:r>
      <w:r w:rsidRPr="00164D69">
        <w:rPr>
          <w:rFonts w:ascii="Book Antiqua" w:eastAsia="宋体" w:hAnsi="Book Antiqua" w:cs="Times New Roman" w:hint="eastAsia"/>
          <w:sz w:val="24"/>
          <w:szCs w:val="24"/>
          <w:lang w:eastAsia="zh-CN"/>
        </w:rPr>
        <w:t xml:space="preserve"> A</w:t>
      </w:r>
      <w:r w:rsidRPr="00164D69">
        <w:rPr>
          <w:rFonts w:ascii="Book Antiqua" w:eastAsia="宋体" w:hAnsi="Book Antiqua" w:cs="Times New Roman"/>
          <w:sz w:val="24"/>
          <w:szCs w:val="24"/>
          <w:lang w:eastAsia="zh-CN"/>
        </w:rPr>
        <w:t>, Ghosh</w:t>
      </w:r>
      <w:r w:rsidRPr="00164D69">
        <w:rPr>
          <w:rFonts w:ascii="Book Antiqua" w:eastAsia="宋体" w:hAnsi="Book Antiqua" w:cs="Times New Roman" w:hint="eastAsia"/>
          <w:sz w:val="24"/>
          <w:szCs w:val="24"/>
          <w:lang w:eastAsia="zh-CN"/>
        </w:rPr>
        <w:t xml:space="preserve"> A</w:t>
      </w:r>
      <w:r w:rsidRPr="00164D69">
        <w:rPr>
          <w:rFonts w:ascii="Book Antiqua" w:eastAsia="宋体" w:hAnsi="Book Antiqua" w:cs="Times New Roman"/>
          <w:sz w:val="24"/>
          <w:szCs w:val="24"/>
          <w:lang w:eastAsia="zh-CN"/>
        </w:rPr>
        <w:t>, Hung</w:t>
      </w:r>
      <w:r w:rsidRPr="00164D69">
        <w:rPr>
          <w:rFonts w:ascii="Book Antiqua" w:eastAsia="宋体" w:hAnsi="Book Antiqua" w:cs="Times New Roman" w:hint="eastAsia"/>
          <w:sz w:val="24"/>
          <w:szCs w:val="24"/>
          <w:lang w:eastAsia="zh-CN"/>
        </w:rPr>
        <w:t xml:space="preserve"> D</w:t>
      </w:r>
      <w:r w:rsidRPr="00164D69">
        <w:rPr>
          <w:rFonts w:ascii="Book Antiqua" w:eastAsia="宋体" w:hAnsi="Book Antiqua" w:cs="Times New Roman"/>
          <w:sz w:val="24"/>
          <w:szCs w:val="24"/>
          <w:lang w:eastAsia="zh-CN"/>
        </w:rPr>
        <w:t>, Li</w:t>
      </w:r>
      <w:r w:rsidRPr="00164D69">
        <w:rPr>
          <w:rFonts w:ascii="Book Antiqua" w:eastAsia="宋体" w:hAnsi="Book Antiqua" w:cs="Times New Roman" w:hint="eastAsia"/>
          <w:sz w:val="24"/>
          <w:szCs w:val="24"/>
          <w:lang w:eastAsia="zh-CN"/>
        </w:rPr>
        <w:t xml:space="preserve"> J</w:t>
      </w:r>
      <w:r w:rsidRPr="00164D69">
        <w:rPr>
          <w:rFonts w:ascii="Book Antiqua" w:eastAsia="宋体" w:hAnsi="Book Antiqua" w:cs="Times New Roman"/>
          <w:sz w:val="24"/>
          <w:szCs w:val="24"/>
          <w:lang w:eastAsia="zh-CN"/>
        </w:rPr>
        <w:t>, Jijon</w:t>
      </w:r>
      <w:r w:rsidRPr="00164D69">
        <w:rPr>
          <w:rFonts w:ascii="Book Antiqua" w:eastAsia="宋体" w:hAnsi="Book Antiqua" w:cs="Times New Roman" w:hint="eastAsia"/>
          <w:sz w:val="24"/>
          <w:szCs w:val="24"/>
          <w:lang w:eastAsia="zh-CN"/>
        </w:rPr>
        <w:t xml:space="preserve"> H. </w:t>
      </w:r>
      <w:r w:rsidRPr="00164D69">
        <w:rPr>
          <w:rFonts w:ascii="Book Antiqua" w:eastAsia="宋体" w:hAnsi="Book Antiqua" w:cs="Times New Roman"/>
          <w:sz w:val="24"/>
          <w:szCs w:val="24"/>
          <w:lang w:eastAsia="zh-CN"/>
        </w:rPr>
        <w:t>Th17 plasticity and its changes associated with inflammatory bowel disease</w:t>
      </w:r>
      <w:r w:rsidRPr="00164D69">
        <w:rPr>
          <w:rFonts w:ascii="Book Antiqua" w:eastAsia="宋体" w:hAnsi="Book Antiqua" w:cs="Times New Roman" w:hint="eastAsia"/>
          <w:sz w:val="24"/>
          <w:szCs w:val="24"/>
          <w:lang w:eastAsia="zh-CN"/>
        </w:rPr>
        <w:t>.</w:t>
      </w:r>
      <w:bookmarkStart w:id="157" w:name="OLE_LINK199"/>
      <w:bookmarkStart w:id="158" w:name="OLE_LINK200"/>
      <w:bookmarkStart w:id="159" w:name="OLE_LINK196"/>
      <w:bookmarkStart w:id="160" w:name="OLE_LINK341"/>
      <w:bookmarkStart w:id="161" w:name="OLE_LINK377"/>
      <w:bookmarkStart w:id="162" w:name="OLE_LINK366"/>
      <w:bookmarkStart w:id="163" w:name="OLE_LINK1038"/>
      <w:bookmarkStart w:id="164" w:name="OLE_LINK1166"/>
      <w:bookmarkStart w:id="165" w:name="OLE_LINK1175"/>
      <w:bookmarkStart w:id="166" w:name="OLE_LINK1423"/>
      <w:bookmarkStart w:id="167" w:name="OLE_LINK1440"/>
      <w:bookmarkStart w:id="168" w:name="OLE_LINK1572"/>
      <w:bookmarkStart w:id="169" w:name="OLE_LINK1388"/>
      <w:bookmarkStart w:id="170" w:name="OLE_LINK1439"/>
      <w:bookmarkStart w:id="171" w:name="OLE_LINK16"/>
      <w:bookmarkStart w:id="172" w:name="OLE_LINK1381"/>
      <w:bookmarkStart w:id="173" w:name="OLE_LINK1442"/>
      <w:bookmarkStart w:id="174" w:name="OLE_LINK1500"/>
      <w:bookmarkStart w:id="175" w:name="OLE_LINK1681"/>
      <w:bookmarkStart w:id="176" w:name="OLE_LINK1712"/>
      <w:bookmarkStart w:id="177" w:name="OLE_LINK3321"/>
      <w:bookmarkStart w:id="178" w:name="OLE_LINK747"/>
      <w:bookmarkStart w:id="179" w:name="OLE_LINK107"/>
      <w:bookmarkStart w:id="180" w:name="OLE_LINK108"/>
      <w:bookmarkStart w:id="181" w:name="OLE_LINK1128"/>
      <w:bookmarkStart w:id="182" w:name="OLE_LINK1143"/>
      <w:bookmarkStart w:id="183" w:name="OLE_LINK20"/>
      <w:bookmarkStart w:id="184" w:name="OLE_LINK1608"/>
      <w:bookmarkStart w:id="185" w:name="OLE_LINK1862"/>
      <w:r w:rsidRPr="00164D69">
        <w:rPr>
          <w:rFonts w:ascii="Book Antiqua" w:hAnsi="Book Antiqua"/>
          <w:i/>
          <w:sz w:val="24"/>
        </w:rPr>
        <w:t xml:space="preserve"> World J Gastroenterol </w:t>
      </w:r>
      <w:r w:rsidRPr="00164D69">
        <w:rPr>
          <w:rFonts w:ascii="Book Antiqua" w:hAnsi="Book Antiqua" w:hint="eastAsia"/>
          <w:sz w:val="24"/>
        </w:rPr>
        <w:t>2015</w:t>
      </w:r>
      <w:r w:rsidRPr="00164D69">
        <w:rPr>
          <w:rFonts w:ascii="Book Antiqua" w:hAnsi="Book Antiqua"/>
          <w:sz w:val="24"/>
        </w:rPr>
        <w:t>; In press</w:t>
      </w:r>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14:paraId="242E5D7A" w14:textId="77777777" w:rsidR="0091612E" w:rsidRPr="00164D69" w:rsidRDefault="0091612E" w:rsidP="0091612E">
      <w:pPr>
        <w:spacing w:line="360" w:lineRule="auto"/>
        <w:rPr>
          <w:rFonts w:ascii="Book Antiqua" w:hAnsi="Book Antiqua"/>
          <w:b/>
          <w:sz w:val="24"/>
        </w:rPr>
      </w:pPr>
    </w:p>
    <w:bookmarkEnd w:id="179"/>
    <w:bookmarkEnd w:id="180"/>
    <w:bookmarkEnd w:id="181"/>
    <w:bookmarkEnd w:id="182"/>
    <w:bookmarkEnd w:id="183"/>
    <w:bookmarkEnd w:id="184"/>
    <w:bookmarkEnd w:id="185"/>
    <w:p w14:paraId="4E4E01E3" w14:textId="2C6BBB15" w:rsidR="0091612E" w:rsidRPr="00164D69" w:rsidRDefault="0091612E" w:rsidP="0091612E">
      <w:pPr>
        <w:adjustRightInd w:val="0"/>
        <w:snapToGrid w:val="0"/>
        <w:spacing w:after="0" w:line="360" w:lineRule="auto"/>
        <w:jc w:val="both"/>
        <w:rPr>
          <w:rFonts w:ascii="Book Antiqua" w:eastAsia="宋体" w:hAnsi="Book Antiqua" w:cs="Times New Roman"/>
          <w:sz w:val="24"/>
          <w:szCs w:val="24"/>
          <w:lang w:eastAsia="zh-CN"/>
        </w:rPr>
      </w:pPr>
    </w:p>
    <w:p w14:paraId="5E14183F" w14:textId="77777777" w:rsidR="0091612E" w:rsidRPr="00164D69" w:rsidRDefault="0091612E" w:rsidP="002F6FCA">
      <w:pPr>
        <w:adjustRightInd w:val="0"/>
        <w:snapToGrid w:val="0"/>
        <w:spacing w:after="0" w:line="360" w:lineRule="auto"/>
        <w:jc w:val="both"/>
        <w:rPr>
          <w:rFonts w:ascii="Book Antiqua" w:eastAsia="宋体" w:hAnsi="Book Antiqua" w:cs="Times New Roman"/>
          <w:sz w:val="24"/>
          <w:szCs w:val="24"/>
          <w:lang w:eastAsia="zh-CN"/>
        </w:rPr>
      </w:pPr>
    </w:p>
    <w:p w14:paraId="4A57184F" w14:textId="77777777" w:rsidR="00715579" w:rsidRPr="00164D69" w:rsidRDefault="00715579" w:rsidP="002F6FCA">
      <w:pPr>
        <w:adjustRightInd w:val="0"/>
        <w:snapToGrid w:val="0"/>
        <w:spacing w:after="0" w:line="360" w:lineRule="auto"/>
        <w:jc w:val="both"/>
        <w:rPr>
          <w:rFonts w:ascii="Book Antiqua" w:hAnsi="Book Antiqua"/>
          <w:sz w:val="24"/>
          <w:szCs w:val="24"/>
        </w:rPr>
      </w:pPr>
      <w:r w:rsidRPr="00164D69">
        <w:rPr>
          <w:rFonts w:ascii="Book Antiqua" w:hAnsi="Book Antiqua"/>
          <w:sz w:val="24"/>
          <w:szCs w:val="24"/>
        </w:rPr>
        <w:br w:type="page"/>
      </w:r>
    </w:p>
    <w:p w14:paraId="0A4C7D86" w14:textId="4A944892" w:rsidR="00A43052" w:rsidRPr="00164D69" w:rsidRDefault="00F90E82" w:rsidP="00F90E82">
      <w:pPr>
        <w:pStyle w:val="a4"/>
        <w:adjustRightInd w:val="0"/>
        <w:snapToGrid w:val="0"/>
        <w:spacing w:after="0" w:line="360" w:lineRule="auto"/>
        <w:ind w:left="0"/>
        <w:contextualSpacing w:val="0"/>
        <w:jc w:val="both"/>
        <w:rPr>
          <w:rFonts w:ascii="Book Antiqua" w:hAnsi="Book Antiqua" w:cs="Times New Roman"/>
          <w:b/>
          <w:sz w:val="24"/>
          <w:szCs w:val="24"/>
        </w:rPr>
      </w:pPr>
      <w:r w:rsidRPr="00164D69">
        <w:rPr>
          <w:rFonts w:ascii="Book Antiqua" w:hAnsi="Book Antiqua" w:cs="Times New Roman"/>
          <w:b/>
          <w:sz w:val="24"/>
          <w:szCs w:val="24"/>
        </w:rPr>
        <w:lastRenderedPageBreak/>
        <w:t xml:space="preserve">INTRODUCTION </w:t>
      </w:r>
    </w:p>
    <w:p w14:paraId="33782398" w14:textId="4AB700A8" w:rsidR="00A43052" w:rsidRPr="00164D69" w:rsidRDefault="00A43052" w:rsidP="00F90E82">
      <w:pPr>
        <w:adjustRightInd w:val="0"/>
        <w:snapToGrid w:val="0"/>
        <w:spacing w:after="0" w:line="360" w:lineRule="auto"/>
        <w:jc w:val="both"/>
        <w:rPr>
          <w:rFonts w:ascii="Book Antiqua" w:hAnsi="Book Antiqua" w:cs="Times New Roman"/>
          <w:sz w:val="24"/>
          <w:szCs w:val="24"/>
        </w:rPr>
      </w:pPr>
      <w:r w:rsidRPr="00164D69">
        <w:rPr>
          <w:rFonts w:ascii="Book Antiqua" w:hAnsi="Book Antiqua" w:cs="Times New Roman"/>
          <w:sz w:val="24"/>
          <w:szCs w:val="24"/>
        </w:rPr>
        <w:t>The spectrum of immune-mediated disease encompasses a wide variety of chronic inflammatory conditions such as inflammatory bowel disease (IBD) comprised of Crohn’s disease (CD), and ulcerative colitis (UC) as well as rheumatoid arthritis (RA), multiple sclerosis (MS), and psoriasis.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Although the underlying triggers remain poorly understood, it is now clear that T cells are essential to the development and perpetuation of these diseases</w:t>
      </w:r>
      <w:r w:rsidRPr="00164D69">
        <w:rPr>
          <w:rFonts w:ascii="Book Antiqua" w:hAnsi="Book Antiqua" w:cs="Times New Roman"/>
          <w:sz w:val="24"/>
          <w:szCs w:val="24"/>
          <w:vertAlign w:val="superscript"/>
        </w:rPr>
        <w:t>[</w:t>
      </w:r>
      <w:r w:rsidRPr="00164D69">
        <w:rPr>
          <w:rFonts w:ascii="Book Antiqua" w:hAnsi="Book Antiqua" w:cs="Times New Roman"/>
          <w:sz w:val="24"/>
          <w:szCs w:val="24"/>
          <w:vertAlign w:val="superscript"/>
        </w:rPr>
        <w:fldChar w:fldCharType="begin"/>
      </w:r>
      <w:r w:rsidRPr="00164D69">
        <w:rPr>
          <w:rFonts w:ascii="Book Antiqua" w:hAnsi="Book Antiqua" w:cs="Times New Roman"/>
          <w:sz w:val="24"/>
          <w:szCs w:val="24"/>
          <w:vertAlign w:val="superscript"/>
        </w:rPr>
        <w:instrText>ADDIN RW.CITE{{1 Feldmann,M. 2008; 2 Damsker,J.M. 2010; 3 Kunz,M. 2009}}</w:instrText>
      </w:r>
      <w:r w:rsidRPr="00164D69">
        <w:rPr>
          <w:rFonts w:ascii="Book Antiqua" w:hAnsi="Book Antiqua" w:cs="Times New Roman"/>
          <w:sz w:val="24"/>
          <w:szCs w:val="24"/>
          <w:vertAlign w:val="superscript"/>
        </w:rPr>
        <w:fldChar w:fldCharType="separate"/>
      </w:r>
      <w:r w:rsidRPr="00164D69">
        <w:rPr>
          <w:rFonts w:ascii="Book Antiqua" w:hAnsi="Book Antiqua" w:cs="Times New Roman"/>
          <w:sz w:val="24"/>
          <w:szCs w:val="24"/>
          <w:vertAlign w:val="superscript"/>
        </w:rPr>
        <w:t>1-3</w:t>
      </w:r>
      <w:r w:rsidRPr="00164D69">
        <w:rPr>
          <w:rFonts w:ascii="Book Antiqua" w:hAnsi="Book Antiqua" w:cs="Times New Roman"/>
          <w:sz w:val="24"/>
          <w:szCs w:val="24"/>
          <w:vertAlign w:val="superscript"/>
        </w:rPr>
        <w:fldChar w:fldCharType="end"/>
      </w:r>
      <w:r w:rsidR="008F1C59" w:rsidRPr="00164D69">
        <w:rPr>
          <w:rFonts w:ascii="Book Antiqua" w:hAnsi="Book Antiqua" w:cs="Times New Roman"/>
          <w:sz w:val="24"/>
          <w:szCs w:val="24"/>
          <w:vertAlign w:val="superscript"/>
        </w:rPr>
        <w:t>]</w:t>
      </w:r>
      <w:r w:rsidRPr="00164D69">
        <w:rPr>
          <w:rFonts w:ascii="Book Antiqua" w:hAnsi="Book Antiqua" w:cs="Times New Roman"/>
          <w:sz w:val="24"/>
          <w:szCs w:val="24"/>
        </w:rPr>
        <w:t>. Since the landmark description of functionally distinct T</w:t>
      </w:r>
      <w:r w:rsidR="008F1C59" w:rsidRPr="00164D69">
        <w:rPr>
          <w:rFonts w:ascii="Book Antiqua" w:hAnsi="Book Antiqua" w:cs="Times New Roman"/>
          <w:sz w:val="24"/>
          <w:szCs w:val="24"/>
        </w:rPr>
        <w:t xml:space="preserve"> </w:t>
      </w:r>
      <w:r w:rsidRPr="00164D69">
        <w:rPr>
          <w:rFonts w:ascii="Book Antiqua" w:hAnsi="Book Antiqua" w:cs="Times New Roman"/>
          <w:sz w:val="24"/>
          <w:szCs w:val="24"/>
        </w:rPr>
        <w:t>helper 1 (Th1) and Th2 CD4</w:t>
      </w:r>
      <w:r w:rsidRPr="00164D69">
        <w:rPr>
          <w:rFonts w:ascii="Book Antiqua" w:hAnsi="Book Antiqua" w:cs="Times New Roman"/>
          <w:b/>
          <w:sz w:val="24"/>
          <w:szCs w:val="24"/>
          <w:vertAlign w:val="superscript"/>
        </w:rPr>
        <w:t>+</w:t>
      </w:r>
      <w:r w:rsidRPr="00164D69">
        <w:rPr>
          <w:rFonts w:ascii="Book Antiqua" w:hAnsi="Book Antiqua" w:cs="Times New Roman"/>
          <w:sz w:val="24"/>
          <w:szCs w:val="24"/>
        </w:rPr>
        <w:t xml:space="preserve"> effector subsets, each with unique cytokine profiles</w:t>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RW.CITE{{35 Mosmann,T.R. 2005}}</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4</w:t>
      </w:r>
      <w:r w:rsidRPr="00164D69">
        <w:rPr>
          <w:rFonts w:ascii="Book Antiqua" w:hAnsi="Book Antiqua" w:cs="Times New Roman"/>
          <w:sz w:val="24"/>
          <w:szCs w:val="24"/>
        </w:rPr>
        <w:fldChar w:fldCharType="end"/>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much work has focussed on dissecting their roles in both health and disease. </w:t>
      </w:r>
      <w:r w:rsidR="008F1C59" w:rsidRPr="00164D69">
        <w:rPr>
          <w:rFonts w:ascii="Book Antiqua" w:hAnsi="Book Antiqua" w:cs="Times New Roman"/>
          <w:sz w:val="24"/>
          <w:szCs w:val="24"/>
        </w:rPr>
        <w:t>T</w:t>
      </w:r>
      <w:r w:rsidRPr="00164D69">
        <w:rPr>
          <w:rFonts w:ascii="Book Antiqua" w:hAnsi="Book Antiqua" w:cs="Times New Roman"/>
          <w:sz w:val="24"/>
          <w:szCs w:val="24"/>
        </w:rPr>
        <w:t xml:space="preserve">he spotlight has </w:t>
      </w:r>
      <w:r w:rsidR="008F1C59" w:rsidRPr="00164D69">
        <w:rPr>
          <w:rFonts w:ascii="Book Antiqua" w:hAnsi="Book Antiqua" w:cs="Times New Roman"/>
          <w:sz w:val="24"/>
          <w:szCs w:val="24"/>
        </w:rPr>
        <w:t xml:space="preserve">recently </w:t>
      </w:r>
      <w:r w:rsidRPr="00164D69">
        <w:rPr>
          <w:rFonts w:ascii="Book Antiqua" w:hAnsi="Book Antiqua" w:cs="Times New Roman"/>
          <w:sz w:val="24"/>
          <w:szCs w:val="24"/>
        </w:rPr>
        <w:t>been drawn to a novel subset, the Th17 cell, so named due to its ability to secrete interleukin (IL)-17A, which has emerged as a major player in tissue-specific immune pathology. The initial emphasis on the detrimental effects of Th17 is reflected by the plethora of early literature supporting such a role in both human and murine studies</w:t>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RW.CITE{{4 Ahern,P.P. 2008; 5 Annunziato,F. 2009; 6 Chen,Z. 2008; 8 Fouser,L.A. 2008; 9 Hue,S. 2006; 11 Kullberg,M.C. 2006}}</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5-10</w:t>
      </w:r>
      <w:r w:rsidRPr="00164D69">
        <w:rPr>
          <w:rFonts w:ascii="Book Antiqua" w:hAnsi="Book Antiqua" w:cs="Times New Roman"/>
          <w:sz w:val="24"/>
          <w:szCs w:val="24"/>
        </w:rPr>
        <w:fldChar w:fldCharType="end"/>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t>. However, a growing body of evidence now suggests essential protective roles, particularly in the context of mucosal integrity and defence against extracellular pathogens</w:t>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RW.CITE{{4 Ahern,P.P. 2008; 14 Conti,H.R. 2009; 16 Langrish,C.L. 2004; 17 Lin,Y. 2009; 18 Maloy,K.J. 2008; 19 O'Connor,W.,Jr 2009; 20 Ogawa,A. 2004}}</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5,11-16</w:t>
      </w:r>
      <w:r w:rsidRPr="00164D69">
        <w:rPr>
          <w:rFonts w:ascii="Book Antiqua" w:hAnsi="Book Antiqua" w:cs="Times New Roman"/>
          <w:sz w:val="24"/>
          <w:szCs w:val="24"/>
        </w:rPr>
        <w:fldChar w:fldCharType="end"/>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t>. Th17 cells and their associated cytokines have been found to interact more closely with other adaptive immune cells than previously thought, raising interesting questions about how to select and design therapeutic strategies targeting this cell population</w:t>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RW.CITE{{2 Damsker,J.M. 2010; 22 Izcue,A. 2008}}</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2,17</w:t>
      </w:r>
      <w:r w:rsidRPr="00164D69">
        <w:rPr>
          <w:rFonts w:ascii="Book Antiqua" w:hAnsi="Book Antiqua" w:cs="Times New Roman"/>
          <w:sz w:val="24"/>
          <w:szCs w:val="24"/>
        </w:rPr>
        <w:fldChar w:fldCharType="end"/>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t>. New technologies such as transcriptome profiling, global epigenetic mapping and computerized simulation analysis</w:t>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RW.CITE{{106 Lee,Y.K. 2009; 67 Rebhahn,J.A. 2014}}</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18,19</w:t>
      </w:r>
      <w:r w:rsidRPr="00164D69">
        <w:rPr>
          <w:rFonts w:ascii="Book Antiqua" w:hAnsi="Book Antiqua" w:cs="Times New Roman"/>
          <w:sz w:val="24"/>
          <w:szCs w:val="24"/>
        </w:rPr>
        <w:fldChar w:fldCharType="end"/>
      </w:r>
      <w:r w:rsidR="007E0C34" w:rsidRPr="00164D69">
        <w:rPr>
          <w:rFonts w:ascii="Book Antiqua" w:hAnsi="Book Antiqua" w:cs="Times New Roman"/>
          <w:sz w:val="24"/>
          <w:szCs w:val="24"/>
          <w:vertAlign w:val="superscript"/>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have captured a more accurate picture of this T cell subset revealing it to be more transient, complex and perhaps more reversible than previously imagined. In addition to a well-established role in extracellular pathogen clearance, Th17 </w:t>
      </w:r>
      <w:r w:rsidR="008F1C59" w:rsidRPr="00164D69">
        <w:rPr>
          <w:rFonts w:ascii="Book Antiqua" w:hAnsi="Book Antiqua" w:cs="Times New Roman"/>
          <w:sz w:val="24"/>
          <w:szCs w:val="24"/>
        </w:rPr>
        <w:t xml:space="preserve">cells </w:t>
      </w:r>
      <w:r w:rsidRPr="00164D69">
        <w:rPr>
          <w:rFonts w:ascii="Book Antiqua" w:hAnsi="Book Antiqua" w:cs="Times New Roman"/>
          <w:sz w:val="24"/>
          <w:szCs w:val="24"/>
        </w:rPr>
        <w:t xml:space="preserve">can also participate in intracellular pathogen clearance </w:t>
      </w:r>
      <w:r w:rsidR="00164D69" w:rsidRPr="00164D69">
        <w:rPr>
          <w:rFonts w:ascii="Book Antiqua" w:hAnsi="Book Antiqua" w:cs="Times New Roman"/>
          <w:i/>
          <w:sz w:val="24"/>
          <w:szCs w:val="24"/>
        </w:rPr>
        <w:t xml:space="preserve">via </w:t>
      </w:r>
      <w:r w:rsidRPr="00164D69">
        <w:rPr>
          <w:rFonts w:ascii="Book Antiqua" w:hAnsi="Book Antiqua" w:cs="Times New Roman"/>
          <w:sz w:val="24"/>
          <w:szCs w:val="24"/>
        </w:rPr>
        <w:t xml:space="preserve"> unconventional IFN-γ secretion</w:t>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RW.CITE{{37 Khader,S.A. 2007; 38 Harbour,S.N. 2015}}</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20,21</w:t>
      </w:r>
      <w:r w:rsidRPr="00164D69">
        <w:rPr>
          <w:rFonts w:ascii="Book Antiqua" w:hAnsi="Book Antiqua" w:cs="Times New Roman"/>
          <w:sz w:val="24"/>
          <w:szCs w:val="24"/>
        </w:rPr>
        <w:fldChar w:fldCharType="end"/>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Human Foxp3+ regulatory T cells (Treg) can differentiate into IL-17 promoting cells </w:t>
      </w:r>
      <w:r w:rsidR="002822E2" w:rsidRPr="00164D69">
        <w:rPr>
          <w:rFonts w:ascii="Book Antiqua" w:hAnsi="Book Antiqua" w:cs="Times New Roman"/>
          <w:i/>
          <w:sz w:val="24"/>
          <w:szCs w:val="24"/>
        </w:rPr>
        <w:t>in vitro</w:t>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RW.CITE{{64 Koenen,H.J. 2008}}</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22</w:t>
      </w:r>
      <w:r w:rsidRPr="00164D69">
        <w:rPr>
          <w:rFonts w:ascii="Book Antiqua" w:hAnsi="Book Antiqua" w:cs="Times New Roman"/>
          <w:sz w:val="24"/>
          <w:szCs w:val="24"/>
        </w:rPr>
        <w:fldChar w:fldCharType="end"/>
      </w:r>
      <w:r w:rsidR="007E0C34"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Flexibility within this subset may allow Th17 cells to embrace pro-inflammatory and protective roles in mucosal immunity by secreting a spectrum of cytokines without requiring </w:t>
      </w:r>
      <w:r w:rsidRPr="00164D69">
        <w:rPr>
          <w:rFonts w:ascii="Book Antiqua" w:hAnsi="Book Antiqua" w:cs="Times New Roman"/>
          <w:i/>
          <w:sz w:val="24"/>
          <w:szCs w:val="24"/>
        </w:rPr>
        <w:t>de novo</w:t>
      </w:r>
      <w:r w:rsidRPr="00164D69">
        <w:rPr>
          <w:rFonts w:ascii="Book Antiqua" w:hAnsi="Book Antiqua" w:cs="Times New Roman"/>
          <w:sz w:val="24"/>
          <w:szCs w:val="24"/>
        </w:rPr>
        <w:t xml:space="preserve"> differentiation of naïve T cells.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Likewise, Th17 cells may be generated quickly from regulatory T cells (Treg) in order to defend from acute invasion of pathogens. This ability to transition between functional states is defined as T cell plasticity.</w:t>
      </w:r>
    </w:p>
    <w:p w14:paraId="22FA549D" w14:textId="77777777" w:rsidR="00A43052" w:rsidRPr="00164D69" w:rsidRDefault="00A43052" w:rsidP="002F6FCA">
      <w:pPr>
        <w:adjustRightInd w:val="0"/>
        <w:snapToGrid w:val="0"/>
        <w:spacing w:after="0" w:line="360" w:lineRule="auto"/>
        <w:ind w:firstLine="360"/>
        <w:jc w:val="both"/>
        <w:rPr>
          <w:rFonts w:ascii="Book Antiqua" w:hAnsi="Book Antiqua" w:cs="Times New Roman"/>
          <w:sz w:val="24"/>
          <w:szCs w:val="24"/>
        </w:rPr>
      </w:pPr>
      <w:r w:rsidRPr="00164D69">
        <w:rPr>
          <w:rFonts w:ascii="Book Antiqua" w:hAnsi="Book Antiqua" w:cs="Times New Roman"/>
          <w:sz w:val="24"/>
          <w:szCs w:val="24"/>
        </w:rPr>
        <w:lastRenderedPageBreak/>
        <w:t>This review mainly focuses on human studies and outlines the major features of Th17 plasticity including the Treg/Th17 paradigm shift in the context of IBD and in the maintenance of intestinal homeostasis.</w:t>
      </w:r>
    </w:p>
    <w:p w14:paraId="788CCF11" w14:textId="77777777" w:rsidR="00A43052" w:rsidRPr="00164D69" w:rsidRDefault="00A43052" w:rsidP="002F6FCA">
      <w:pPr>
        <w:pStyle w:val="a4"/>
        <w:adjustRightInd w:val="0"/>
        <w:snapToGrid w:val="0"/>
        <w:spacing w:after="0" w:line="360" w:lineRule="auto"/>
        <w:ind w:left="0"/>
        <w:contextualSpacing w:val="0"/>
        <w:jc w:val="both"/>
        <w:rPr>
          <w:rFonts w:ascii="Book Antiqua" w:hAnsi="Book Antiqua" w:cs="Times New Roman"/>
          <w:sz w:val="24"/>
          <w:szCs w:val="24"/>
        </w:rPr>
      </w:pPr>
    </w:p>
    <w:p w14:paraId="4CF0BCAE" w14:textId="2BBC82A7" w:rsidR="00A43052" w:rsidRPr="00164D69" w:rsidRDefault="00D538E9" w:rsidP="00D538E9">
      <w:pPr>
        <w:pStyle w:val="a4"/>
        <w:adjustRightInd w:val="0"/>
        <w:snapToGrid w:val="0"/>
        <w:spacing w:after="0" w:line="360" w:lineRule="auto"/>
        <w:ind w:left="0"/>
        <w:contextualSpacing w:val="0"/>
        <w:jc w:val="both"/>
        <w:rPr>
          <w:rFonts w:ascii="Book Antiqua" w:hAnsi="Book Antiqua" w:cs="Times New Roman"/>
          <w:b/>
          <w:sz w:val="24"/>
          <w:szCs w:val="24"/>
        </w:rPr>
      </w:pPr>
      <w:r w:rsidRPr="00164D69">
        <w:rPr>
          <w:rFonts w:ascii="Book Antiqua" w:hAnsi="Book Antiqua" w:cs="Times New Roman"/>
          <w:b/>
          <w:sz w:val="24"/>
          <w:szCs w:val="24"/>
        </w:rPr>
        <w:t>CHARACTERISATION OF TH17 AND TREG SUBSETS IN IBD</w:t>
      </w:r>
      <w:r w:rsidR="00164D69" w:rsidRPr="00164D69">
        <w:rPr>
          <w:rFonts w:ascii="Book Antiqua" w:hAnsi="Book Antiqua" w:cs="Times New Roman"/>
          <w:b/>
          <w:sz w:val="24"/>
          <w:szCs w:val="24"/>
        </w:rPr>
        <w:t xml:space="preserve"> </w:t>
      </w:r>
    </w:p>
    <w:p w14:paraId="4A8342A4" w14:textId="77777777" w:rsidR="00A43052" w:rsidRPr="00164D69" w:rsidRDefault="00A43052" w:rsidP="00D538E9">
      <w:pPr>
        <w:pStyle w:val="a4"/>
        <w:adjustRightInd w:val="0"/>
        <w:snapToGrid w:val="0"/>
        <w:spacing w:after="0" w:line="360" w:lineRule="auto"/>
        <w:ind w:left="0"/>
        <w:contextualSpacing w:val="0"/>
        <w:jc w:val="both"/>
        <w:rPr>
          <w:rFonts w:ascii="Book Antiqua" w:hAnsi="Book Antiqua" w:cs="Times New Roman"/>
          <w:sz w:val="24"/>
          <w:szCs w:val="24"/>
        </w:rPr>
      </w:pPr>
      <w:r w:rsidRPr="00164D69">
        <w:rPr>
          <w:rFonts w:ascii="Book Antiqua" w:hAnsi="Book Antiqua" w:cs="Times New Roman"/>
          <w:sz w:val="24"/>
          <w:szCs w:val="24"/>
        </w:rPr>
        <w:t>In the last 15 years or so, the focus of attention regarding T cell subset</w:t>
      </w:r>
      <w:r w:rsidR="008F1C59" w:rsidRPr="00164D69">
        <w:rPr>
          <w:rFonts w:ascii="Book Antiqua" w:hAnsi="Book Antiqua" w:cs="Times New Roman"/>
          <w:sz w:val="24"/>
          <w:szCs w:val="24"/>
        </w:rPr>
        <w:t>s</w:t>
      </w:r>
      <w:r w:rsidRPr="00164D69">
        <w:rPr>
          <w:rFonts w:ascii="Book Antiqua" w:hAnsi="Book Antiqua" w:cs="Times New Roman"/>
          <w:sz w:val="24"/>
          <w:szCs w:val="24"/>
        </w:rPr>
        <w:t xml:space="preserve"> has shifted from the classical Th1/Th2 paradigm to that of Th17/Treg</w:t>
      </w:r>
      <w:r w:rsidR="008F1C59" w:rsidRPr="00164D69">
        <w:rPr>
          <w:rFonts w:ascii="Book Antiqua" w:hAnsi="Book Antiqua" w:cs="Times New Roman"/>
          <w:sz w:val="24"/>
          <w:szCs w:val="24"/>
        </w:rPr>
        <w:t>.</w:t>
      </w:r>
      <w:r w:rsidRPr="00164D69">
        <w:rPr>
          <w:rFonts w:ascii="Book Antiqua" w:hAnsi="Book Antiqua" w:cs="Times New Roman"/>
          <w:sz w:val="24"/>
          <w:szCs w:val="24"/>
        </w:rPr>
        <w:t xml:space="preserve"> </w:t>
      </w:r>
      <w:r w:rsidR="008F1C59" w:rsidRPr="00164D69">
        <w:rPr>
          <w:rFonts w:ascii="Book Antiqua" w:hAnsi="Book Antiqua" w:cs="Times New Roman"/>
          <w:sz w:val="24"/>
          <w:szCs w:val="24"/>
        </w:rPr>
        <w:t>T</w:t>
      </w:r>
      <w:r w:rsidRPr="00164D69">
        <w:rPr>
          <w:rFonts w:ascii="Book Antiqua" w:hAnsi="Book Antiqua" w:cs="Times New Roman"/>
          <w:sz w:val="24"/>
          <w:szCs w:val="24"/>
        </w:rPr>
        <w:t xml:space="preserve">his has indeed been the case in IBD. </w:t>
      </w:r>
    </w:p>
    <w:p w14:paraId="28A068D8" w14:textId="69ED4993" w:rsidR="00A43052" w:rsidRPr="00164D69" w:rsidRDefault="00A43052" w:rsidP="00D538E9">
      <w:pPr>
        <w:pStyle w:val="a4"/>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164D69">
        <w:rPr>
          <w:rFonts w:ascii="Book Antiqua" w:hAnsi="Book Antiqua" w:cs="Times New Roman"/>
          <w:sz w:val="24"/>
          <w:szCs w:val="24"/>
        </w:rPr>
        <w:t>The discovery of extrathymic Treg development in the intestine has attracted enormous attention and highlights the importance of Treg</w:t>
      </w:r>
      <w:r w:rsidR="007F6C85" w:rsidRPr="00164D69">
        <w:rPr>
          <w:rFonts w:ascii="Book Antiqua" w:hAnsi="Book Antiqua" w:cs="Times New Roman"/>
          <w:sz w:val="24"/>
          <w:szCs w:val="24"/>
        </w:rPr>
        <w:t xml:space="preserve"> cells </w:t>
      </w:r>
      <w:r w:rsidRPr="00164D69">
        <w:rPr>
          <w:rFonts w:ascii="Book Antiqua" w:hAnsi="Book Antiqua" w:cs="Times New Roman"/>
          <w:sz w:val="24"/>
          <w:szCs w:val="24"/>
        </w:rPr>
        <w:t xml:space="preserve">in intestinal homeostasis. Hori </w:t>
      </w:r>
      <w:r w:rsidRPr="00164D69">
        <w:rPr>
          <w:rFonts w:ascii="Book Antiqua" w:hAnsi="Book Antiqua" w:cs="Times New Roman"/>
          <w:i/>
          <w:sz w:val="24"/>
          <w:szCs w:val="24"/>
        </w:rPr>
        <w:t>et</w:t>
      </w:r>
      <w:r w:rsidR="00D64BD4" w:rsidRPr="00164D69">
        <w:rPr>
          <w:rFonts w:ascii="Book Antiqua" w:hAnsi="Book Antiqua" w:cs="Times New Roman"/>
          <w:i/>
          <w:sz w:val="24"/>
          <w:szCs w:val="24"/>
        </w:rPr>
        <w:t xml:space="preserve"> </w:t>
      </w:r>
      <w:r w:rsidRPr="00164D69">
        <w:rPr>
          <w:rFonts w:ascii="Book Antiqua" w:hAnsi="Book Antiqua" w:cs="Times New Roman"/>
          <w:i/>
          <w:sz w:val="24"/>
          <w:szCs w:val="24"/>
        </w:rPr>
        <w:t>al</w:t>
      </w:r>
      <w:r w:rsidR="00D538E9" w:rsidRPr="00164D69">
        <w:rPr>
          <w:rFonts w:ascii="Book Antiqua" w:hAnsi="Book Antiqua" w:cs="Times New Roman"/>
          <w:sz w:val="24"/>
          <w:szCs w:val="24"/>
          <w:vertAlign w:val="superscript"/>
        </w:rPr>
        <w:t>[</w:t>
      </w:r>
      <w:r w:rsidR="00D538E9" w:rsidRPr="00164D69">
        <w:rPr>
          <w:rFonts w:ascii="Book Antiqua" w:hAnsi="Book Antiqua" w:cs="Times New Roman"/>
          <w:sz w:val="24"/>
          <w:szCs w:val="24"/>
        </w:rPr>
        <w:fldChar w:fldCharType="begin"/>
      </w:r>
      <w:r w:rsidR="00D538E9" w:rsidRPr="00164D69">
        <w:rPr>
          <w:rFonts w:ascii="Book Antiqua" w:hAnsi="Book Antiqua" w:cs="Times New Roman"/>
          <w:sz w:val="24"/>
          <w:szCs w:val="24"/>
        </w:rPr>
        <w:instrText>ADDIN RW.CITE{{39 Hori,S. 2003}}</w:instrText>
      </w:r>
      <w:r w:rsidR="00D538E9" w:rsidRPr="00164D69">
        <w:rPr>
          <w:rFonts w:ascii="Book Antiqua" w:hAnsi="Book Antiqua" w:cs="Times New Roman"/>
          <w:sz w:val="24"/>
          <w:szCs w:val="24"/>
        </w:rPr>
        <w:fldChar w:fldCharType="separate"/>
      </w:r>
      <w:r w:rsidR="00D538E9" w:rsidRPr="00164D69">
        <w:rPr>
          <w:rFonts w:ascii="Book Antiqua" w:hAnsi="Book Antiqua" w:cs="Times New Roman"/>
          <w:sz w:val="24"/>
          <w:szCs w:val="24"/>
          <w:vertAlign w:val="superscript"/>
        </w:rPr>
        <w:t>23</w:t>
      </w:r>
      <w:r w:rsidR="00D538E9" w:rsidRPr="00164D69">
        <w:rPr>
          <w:rFonts w:ascii="Book Antiqua" w:hAnsi="Book Antiqua" w:cs="Times New Roman"/>
          <w:sz w:val="24"/>
          <w:szCs w:val="24"/>
        </w:rPr>
        <w:fldChar w:fldCharType="end"/>
      </w:r>
      <w:r w:rsidR="00D538E9" w:rsidRPr="00164D69">
        <w:rPr>
          <w:rFonts w:ascii="Book Antiqua" w:hAnsi="Book Antiqua" w:cs="Times New Roman"/>
          <w:sz w:val="24"/>
          <w:szCs w:val="24"/>
          <w:vertAlign w:val="superscript"/>
        </w:rPr>
        <w:t>]</w:t>
      </w:r>
      <w:r w:rsidRPr="00164D69">
        <w:rPr>
          <w:rFonts w:ascii="Book Antiqua" w:hAnsi="Book Antiqua" w:cs="Times New Roman"/>
          <w:i/>
          <w:sz w:val="24"/>
          <w:szCs w:val="24"/>
        </w:rPr>
        <w:t>,</w:t>
      </w:r>
      <w:r w:rsidRPr="00164D69">
        <w:rPr>
          <w:rFonts w:ascii="Book Antiqua" w:hAnsi="Book Antiqua" w:cs="Times New Roman"/>
          <w:sz w:val="24"/>
          <w:szCs w:val="24"/>
        </w:rPr>
        <w:t xml:space="preserve"> demonstrated that co-transfer of peripherally generated forkhead box p3 (Foxp3) positive Treg</w:t>
      </w:r>
      <w:r w:rsidR="007F6C85" w:rsidRPr="00164D69">
        <w:rPr>
          <w:rFonts w:ascii="Book Antiqua" w:hAnsi="Book Antiqua" w:cs="Times New Roman"/>
          <w:sz w:val="24"/>
          <w:szCs w:val="24"/>
        </w:rPr>
        <w:t xml:space="preserve"> cells</w:t>
      </w:r>
      <w:r w:rsidRPr="00164D69">
        <w:rPr>
          <w:rFonts w:ascii="Book Antiqua" w:hAnsi="Book Antiqua" w:cs="Times New Roman"/>
          <w:sz w:val="24"/>
          <w:szCs w:val="24"/>
        </w:rPr>
        <w:t xml:space="preserve"> could attenuate disease in the adoptive transfer model of mouse colitis.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Shortly after this study, Makita </w:t>
      </w:r>
      <w:r w:rsidRPr="00164D69">
        <w:rPr>
          <w:rFonts w:ascii="Book Antiqua" w:hAnsi="Book Antiqua" w:cs="Times New Roman"/>
          <w:i/>
          <w:sz w:val="24"/>
          <w:szCs w:val="24"/>
        </w:rPr>
        <w:t>et</w:t>
      </w:r>
      <w:r w:rsidR="00D64BD4" w:rsidRPr="00164D69">
        <w:rPr>
          <w:rFonts w:ascii="Book Antiqua" w:hAnsi="Book Antiqua" w:cs="Times New Roman"/>
          <w:i/>
          <w:sz w:val="24"/>
          <w:szCs w:val="24"/>
        </w:rPr>
        <w:t xml:space="preserve"> </w:t>
      </w:r>
      <w:r w:rsidRPr="00164D69">
        <w:rPr>
          <w:rFonts w:ascii="Book Antiqua" w:hAnsi="Book Antiqua" w:cs="Times New Roman"/>
          <w:i/>
          <w:sz w:val="24"/>
          <w:szCs w:val="24"/>
        </w:rPr>
        <w:t>al</w:t>
      </w:r>
      <w:r w:rsidR="00D538E9" w:rsidRPr="00164D69">
        <w:rPr>
          <w:rFonts w:ascii="Book Antiqua" w:hAnsi="Book Antiqua" w:cs="Times New Roman"/>
          <w:sz w:val="24"/>
          <w:szCs w:val="24"/>
          <w:vertAlign w:val="superscript"/>
        </w:rPr>
        <w:t>[</w:t>
      </w:r>
      <w:r w:rsidR="00D538E9" w:rsidRPr="00164D69">
        <w:rPr>
          <w:rFonts w:ascii="Book Antiqua" w:hAnsi="Book Antiqua" w:cs="Times New Roman"/>
          <w:sz w:val="24"/>
          <w:szCs w:val="24"/>
        </w:rPr>
        <w:fldChar w:fldCharType="begin"/>
      </w:r>
      <w:r w:rsidR="00D538E9" w:rsidRPr="00164D69">
        <w:rPr>
          <w:rFonts w:ascii="Book Antiqua" w:hAnsi="Book Antiqua" w:cs="Times New Roman"/>
          <w:sz w:val="24"/>
          <w:szCs w:val="24"/>
        </w:rPr>
        <w:instrText>ADDIN RW.CITE{{40 Makita,S. 2004}}</w:instrText>
      </w:r>
      <w:r w:rsidR="00D538E9" w:rsidRPr="00164D69">
        <w:rPr>
          <w:rFonts w:ascii="Book Antiqua" w:hAnsi="Book Antiqua" w:cs="Times New Roman"/>
          <w:sz w:val="24"/>
          <w:szCs w:val="24"/>
        </w:rPr>
        <w:fldChar w:fldCharType="separate"/>
      </w:r>
      <w:r w:rsidR="00D538E9" w:rsidRPr="00164D69">
        <w:rPr>
          <w:rFonts w:ascii="Book Antiqua" w:hAnsi="Book Antiqua" w:cs="Times New Roman"/>
          <w:sz w:val="24"/>
          <w:szCs w:val="24"/>
          <w:vertAlign w:val="superscript"/>
        </w:rPr>
        <w:t>24</w:t>
      </w:r>
      <w:r w:rsidR="00D538E9" w:rsidRPr="00164D69">
        <w:rPr>
          <w:rFonts w:ascii="Book Antiqua" w:hAnsi="Book Antiqua" w:cs="Times New Roman"/>
          <w:sz w:val="24"/>
          <w:szCs w:val="24"/>
        </w:rPr>
        <w:fldChar w:fldCharType="end"/>
      </w:r>
      <w:r w:rsidR="00D538E9" w:rsidRPr="00164D69">
        <w:rPr>
          <w:rFonts w:ascii="Book Antiqua" w:hAnsi="Book Antiqua" w:cs="Times New Roman"/>
          <w:sz w:val="24"/>
          <w:szCs w:val="24"/>
          <w:vertAlign w:val="superscript"/>
        </w:rPr>
        <w:t>]</w:t>
      </w:r>
      <w:r w:rsidRPr="00164D69">
        <w:rPr>
          <w:rFonts w:ascii="Book Antiqua" w:hAnsi="Book Antiqua" w:cs="Times New Roman"/>
          <w:i/>
          <w:sz w:val="24"/>
          <w:szCs w:val="24"/>
        </w:rPr>
        <w:t>,</w:t>
      </w:r>
      <w:r w:rsidRPr="00164D69">
        <w:rPr>
          <w:rFonts w:ascii="Book Antiqua" w:hAnsi="Book Antiqua" w:cs="Times New Roman"/>
          <w:sz w:val="24"/>
          <w:szCs w:val="24"/>
        </w:rPr>
        <w:t xml:space="preserve"> showed the intestinal prevalence of Treg in patients with IBD.</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Mucida </w:t>
      </w:r>
      <w:r w:rsidRPr="00164D69">
        <w:rPr>
          <w:rFonts w:ascii="Book Antiqua" w:hAnsi="Book Antiqua" w:cs="Times New Roman"/>
          <w:i/>
          <w:sz w:val="24"/>
          <w:szCs w:val="24"/>
        </w:rPr>
        <w:t>et</w:t>
      </w:r>
      <w:r w:rsidR="00D64BD4" w:rsidRPr="00164D69">
        <w:rPr>
          <w:rFonts w:ascii="Book Antiqua" w:hAnsi="Book Antiqua" w:cs="Times New Roman"/>
          <w:i/>
          <w:sz w:val="24"/>
          <w:szCs w:val="24"/>
        </w:rPr>
        <w:t xml:space="preserve"> </w:t>
      </w:r>
      <w:r w:rsidRPr="00164D69">
        <w:rPr>
          <w:rFonts w:ascii="Book Antiqua" w:hAnsi="Book Antiqua" w:cs="Times New Roman"/>
          <w:i/>
          <w:sz w:val="24"/>
          <w:szCs w:val="24"/>
        </w:rPr>
        <w:t>al</w:t>
      </w:r>
      <w:r w:rsidR="00D538E9" w:rsidRPr="00164D69">
        <w:rPr>
          <w:rFonts w:ascii="Book Antiqua" w:hAnsi="Book Antiqua" w:cs="Times New Roman"/>
          <w:sz w:val="24"/>
          <w:szCs w:val="24"/>
          <w:vertAlign w:val="superscript"/>
        </w:rPr>
        <w:t>[</w:t>
      </w:r>
      <w:r w:rsidR="00D538E9" w:rsidRPr="00164D69">
        <w:rPr>
          <w:rFonts w:ascii="Book Antiqua" w:hAnsi="Book Antiqua" w:cs="Times New Roman"/>
          <w:sz w:val="24"/>
          <w:szCs w:val="24"/>
        </w:rPr>
        <w:fldChar w:fldCharType="begin"/>
      </w:r>
      <w:r w:rsidR="00D538E9" w:rsidRPr="00164D69">
        <w:rPr>
          <w:rFonts w:ascii="Book Antiqua" w:hAnsi="Book Antiqua" w:cs="Times New Roman"/>
          <w:sz w:val="24"/>
          <w:szCs w:val="24"/>
        </w:rPr>
        <w:instrText>ADDIN RW.CITE{{41 Mucida,D. 2007}}</w:instrText>
      </w:r>
      <w:r w:rsidR="00D538E9" w:rsidRPr="00164D69">
        <w:rPr>
          <w:rFonts w:ascii="Book Antiqua" w:hAnsi="Book Antiqua" w:cs="Times New Roman"/>
          <w:sz w:val="24"/>
          <w:szCs w:val="24"/>
        </w:rPr>
        <w:fldChar w:fldCharType="separate"/>
      </w:r>
      <w:r w:rsidR="00D538E9" w:rsidRPr="00164D69">
        <w:rPr>
          <w:rFonts w:ascii="Book Antiqua" w:hAnsi="Book Antiqua" w:cs="Times New Roman"/>
          <w:sz w:val="24"/>
          <w:szCs w:val="24"/>
          <w:vertAlign w:val="superscript"/>
        </w:rPr>
        <w:t>25</w:t>
      </w:r>
      <w:r w:rsidR="00D538E9" w:rsidRPr="00164D69">
        <w:rPr>
          <w:rFonts w:ascii="Book Antiqua" w:hAnsi="Book Antiqua" w:cs="Times New Roman"/>
          <w:sz w:val="24"/>
          <w:szCs w:val="24"/>
        </w:rPr>
        <w:fldChar w:fldCharType="end"/>
      </w:r>
      <w:r w:rsidR="00D538E9" w:rsidRPr="00164D69">
        <w:rPr>
          <w:rFonts w:ascii="Book Antiqua" w:hAnsi="Book Antiqua" w:cs="Times New Roman"/>
          <w:sz w:val="24"/>
          <w:szCs w:val="24"/>
          <w:vertAlign w:val="superscript"/>
        </w:rPr>
        <w:t>]</w:t>
      </w:r>
      <w:r w:rsidRPr="00164D69">
        <w:rPr>
          <w:rFonts w:ascii="Book Antiqua" w:hAnsi="Book Antiqua" w:cs="Times New Roman"/>
          <w:i/>
          <w:sz w:val="24"/>
          <w:szCs w:val="24"/>
        </w:rPr>
        <w:t xml:space="preserve">, </w:t>
      </w:r>
      <w:r w:rsidRPr="00164D69">
        <w:rPr>
          <w:rFonts w:ascii="Book Antiqua" w:hAnsi="Book Antiqua" w:cs="Times New Roman"/>
          <w:sz w:val="24"/>
          <w:szCs w:val="24"/>
        </w:rPr>
        <w:t>have since</w:t>
      </w:r>
      <w:r w:rsidRPr="00164D69">
        <w:rPr>
          <w:rFonts w:ascii="Book Antiqua" w:hAnsi="Book Antiqua" w:cs="Times New Roman"/>
          <w:i/>
          <w:sz w:val="24"/>
          <w:szCs w:val="24"/>
        </w:rPr>
        <w:t xml:space="preserve"> </w:t>
      </w:r>
      <w:r w:rsidRPr="00164D69">
        <w:rPr>
          <w:rFonts w:ascii="Book Antiqua" w:hAnsi="Book Antiqua" w:cs="Times New Roman"/>
          <w:sz w:val="24"/>
          <w:szCs w:val="24"/>
        </w:rPr>
        <w:t>identified retinoic acid, derived from vitamin A and metabolized by dendritic cells, as a key signal regulating Foxp3 expression by naïve T cells in response to TGF-β. Overall, the digestive tract requires high levels of inducible Treg</w:t>
      </w:r>
      <w:r w:rsidR="007F6C85" w:rsidRPr="00164D69">
        <w:rPr>
          <w:rFonts w:ascii="Book Antiqua" w:hAnsi="Book Antiqua" w:cs="Times New Roman"/>
          <w:sz w:val="24"/>
          <w:szCs w:val="24"/>
        </w:rPr>
        <w:t xml:space="preserve"> cells</w:t>
      </w:r>
      <w:r w:rsidRPr="00164D69">
        <w:rPr>
          <w:rFonts w:ascii="Book Antiqua" w:hAnsi="Book Antiqua" w:cs="Times New Roman"/>
          <w:sz w:val="24"/>
          <w:szCs w:val="24"/>
        </w:rPr>
        <w:t xml:space="preserve"> in order to preserve tolerance to the enormous antigenic burden comprised by commensal flora and dietary antigens</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RW.CITE{{42 Gratz,I.K. 2014}}</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26</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w:t>
      </w:r>
    </w:p>
    <w:p w14:paraId="2CE2E316" w14:textId="0F4266E8" w:rsidR="00A43052" w:rsidRPr="00164D69" w:rsidRDefault="00A43052" w:rsidP="00D538E9">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 xml:space="preserve">At around the same time, Fujino </w:t>
      </w:r>
      <w:r w:rsidRPr="00164D69">
        <w:rPr>
          <w:rFonts w:ascii="Book Antiqua" w:hAnsi="Book Antiqua" w:cs="Times New Roman"/>
          <w:i/>
          <w:sz w:val="24"/>
          <w:szCs w:val="24"/>
        </w:rPr>
        <w:t>et</w:t>
      </w:r>
      <w:r w:rsidR="00D64BD4" w:rsidRPr="00164D69">
        <w:rPr>
          <w:rFonts w:ascii="Book Antiqua" w:hAnsi="Book Antiqua" w:cs="Times New Roman"/>
          <w:i/>
          <w:sz w:val="24"/>
          <w:szCs w:val="24"/>
        </w:rPr>
        <w:t xml:space="preserve"> </w:t>
      </w:r>
      <w:r w:rsidRPr="00164D69">
        <w:rPr>
          <w:rFonts w:ascii="Book Antiqua" w:hAnsi="Book Antiqua" w:cs="Times New Roman"/>
          <w:i/>
          <w:sz w:val="24"/>
          <w:szCs w:val="24"/>
        </w:rPr>
        <w:t>al</w:t>
      </w:r>
      <w:r w:rsidR="00D538E9" w:rsidRPr="00164D69">
        <w:rPr>
          <w:rFonts w:ascii="Book Antiqua" w:hAnsi="Book Antiqua" w:cs="Times New Roman"/>
          <w:sz w:val="24"/>
          <w:szCs w:val="24"/>
          <w:vertAlign w:val="superscript"/>
        </w:rPr>
        <w:t>[</w:t>
      </w:r>
      <w:r w:rsidR="00D538E9" w:rsidRPr="00164D69">
        <w:rPr>
          <w:rFonts w:ascii="Book Antiqua" w:hAnsi="Book Antiqua" w:cs="Times New Roman"/>
          <w:sz w:val="24"/>
          <w:szCs w:val="24"/>
        </w:rPr>
        <w:fldChar w:fldCharType="begin"/>
      </w:r>
      <w:r w:rsidR="00D538E9" w:rsidRPr="00164D69">
        <w:rPr>
          <w:rFonts w:ascii="Book Antiqua" w:hAnsi="Book Antiqua" w:cs="Times New Roman"/>
          <w:sz w:val="24"/>
          <w:szCs w:val="24"/>
        </w:rPr>
        <w:instrText>ADDIN RW.CITE{{43 Fujino,S. 2003}}</w:instrText>
      </w:r>
      <w:r w:rsidR="00D538E9" w:rsidRPr="00164D69">
        <w:rPr>
          <w:rFonts w:ascii="Book Antiqua" w:hAnsi="Book Antiqua" w:cs="Times New Roman"/>
          <w:sz w:val="24"/>
          <w:szCs w:val="24"/>
        </w:rPr>
        <w:fldChar w:fldCharType="separate"/>
      </w:r>
      <w:r w:rsidR="00D538E9" w:rsidRPr="00164D69">
        <w:rPr>
          <w:rFonts w:ascii="Book Antiqua" w:hAnsi="Book Antiqua" w:cs="Times New Roman"/>
          <w:sz w:val="24"/>
          <w:szCs w:val="24"/>
          <w:vertAlign w:val="superscript"/>
        </w:rPr>
        <w:t>27</w:t>
      </w:r>
      <w:r w:rsidR="00D538E9" w:rsidRPr="00164D69">
        <w:rPr>
          <w:rFonts w:ascii="Book Antiqua" w:hAnsi="Book Antiqua" w:cs="Times New Roman"/>
          <w:sz w:val="24"/>
          <w:szCs w:val="24"/>
        </w:rPr>
        <w:fldChar w:fldCharType="end"/>
      </w:r>
      <w:r w:rsidR="00D538E9" w:rsidRPr="00164D69">
        <w:rPr>
          <w:rFonts w:ascii="Book Antiqua" w:hAnsi="Book Antiqua" w:cs="Times New Roman"/>
          <w:sz w:val="24"/>
          <w:szCs w:val="24"/>
          <w:vertAlign w:val="superscript"/>
        </w:rPr>
        <w:t>]</w:t>
      </w:r>
      <w:r w:rsidRPr="00164D69">
        <w:rPr>
          <w:rFonts w:ascii="Book Antiqua" w:hAnsi="Book Antiqua" w:cs="Times New Roman"/>
          <w:i/>
          <w:sz w:val="24"/>
          <w:szCs w:val="24"/>
        </w:rPr>
        <w:t>,</w:t>
      </w:r>
      <w:r w:rsidRPr="00164D69">
        <w:rPr>
          <w:rFonts w:ascii="Book Antiqua" w:hAnsi="Book Antiqua" w:cs="Times New Roman"/>
          <w:sz w:val="24"/>
          <w:szCs w:val="24"/>
        </w:rPr>
        <w:t xml:space="preserve"> first reported on the prevalence of Th17</w:t>
      </w:r>
      <w:r w:rsidR="00857F5E" w:rsidRPr="00164D69">
        <w:rPr>
          <w:rFonts w:ascii="Book Antiqua" w:hAnsi="Book Antiqua" w:cs="Times New Roman"/>
          <w:sz w:val="24"/>
          <w:szCs w:val="24"/>
        </w:rPr>
        <w:t xml:space="preserve"> cells</w:t>
      </w:r>
      <w:r w:rsidRPr="00164D69">
        <w:rPr>
          <w:rFonts w:ascii="Book Antiqua" w:hAnsi="Book Antiqua" w:cs="Times New Roman"/>
          <w:sz w:val="24"/>
          <w:szCs w:val="24"/>
        </w:rPr>
        <w:t xml:space="preserve"> in patients with IBD.</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Patients with UC and CD show increased IL-17A levels in serum and mucosa</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vertAlign w:val="superscript"/>
        </w:rPr>
        <w:t>17</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and an IL-17A gene polymorphism has been linked to UC susceptibility</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RW.CITE{{34 Yang,X.O. 2008}}</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28</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This cytokine, in addition to promoting barrier function, is a potent promoter of granulopoiesis and neutrophil chemotaxis and plays an important role in the clearance of extracellular bacterial and fungal infections</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RW.CITE{{45 Blaschitz,C. 2010}}</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29</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Recently, </w:t>
      </w:r>
      <w:r w:rsidR="002822E2" w:rsidRPr="00164D69">
        <w:rPr>
          <w:rFonts w:ascii="Book Antiqua" w:hAnsi="Book Antiqua" w:cs="Times New Roman"/>
          <w:sz w:val="24"/>
          <w:szCs w:val="24"/>
        </w:rPr>
        <w:t xml:space="preserve">Ciofani </w:t>
      </w:r>
      <w:r w:rsidR="002822E2" w:rsidRPr="00164D69">
        <w:rPr>
          <w:rFonts w:ascii="Book Antiqua" w:eastAsia="宋体" w:hAnsi="Book Antiqua" w:cs="Times New Roman" w:hint="eastAsia"/>
          <w:i/>
          <w:sz w:val="24"/>
          <w:szCs w:val="24"/>
          <w:lang w:eastAsia="zh-CN"/>
        </w:rPr>
        <w:t>et al</w:t>
      </w:r>
      <w:r w:rsidR="002822E2" w:rsidRPr="00164D69">
        <w:rPr>
          <w:rFonts w:ascii="Book Antiqua" w:eastAsia="宋体" w:hAnsi="Book Antiqua" w:cs="Times New Roman"/>
          <w:sz w:val="24"/>
          <w:szCs w:val="24"/>
          <w:vertAlign w:val="superscript"/>
          <w:lang w:eastAsia="zh-CN"/>
        </w:rPr>
        <w:t>[</w:t>
      </w:r>
      <w:r w:rsidR="002822E2" w:rsidRPr="00164D69">
        <w:rPr>
          <w:rFonts w:ascii="Book Antiqua" w:eastAsia="宋体" w:hAnsi="Book Antiqua" w:cs="Times New Roman"/>
          <w:sz w:val="24"/>
          <w:szCs w:val="24"/>
          <w:lang w:eastAsia="zh-CN"/>
        </w:rPr>
        <w:fldChar w:fldCharType="begin"/>
      </w:r>
      <w:r w:rsidR="002822E2" w:rsidRPr="00164D69">
        <w:rPr>
          <w:rFonts w:ascii="Book Antiqua" w:eastAsia="宋体" w:hAnsi="Book Antiqua" w:cs="Times New Roman"/>
          <w:sz w:val="24"/>
          <w:szCs w:val="24"/>
          <w:lang w:eastAsia="zh-CN"/>
        </w:rPr>
        <w:instrText>ADDIN RW.CITE{{44 Ciofani,M. 2012}}</w:instrText>
      </w:r>
      <w:r w:rsidR="002822E2" w:rsidRPr="00164D69">
        <w:rPr>
          <w:rFonts w:ascii="Book Antiqua" w:eastAsia="宋体" w:hAnsi="Book Antiqua" w:cs="Times New Roman"/>
          <w:sz w:val="24"/>
          <w:szCs w:val="24"/>
          <w:lang w:eastAsia="zh-CN"/>
        </w:rPr>
        <w:fldChar w:fldCharType="separate"/>
      </w:r>
      <w:r w:rsidR="002822E2" w:rsidRPr="00164D69">
        <w:rPr>
          <w:rFonts w:ascii="Book Antiqua" w:eastAsia="宋体" w:hAnsi="Book Antiqua" w:cs="Times New Roman"/>
          <w:sz w:val="24"/>
          <w:szCs w:val="24"/>
          <w:vertAlign w:val="superscript"/>
          <w:lang w:eastAsia="zh-CN"/>
        </w:rPr>
        <w:t>30</w:t>
      </w:r>
      <w:r w:rsidR="002822E2" w:rsidRPr="00164D69">
        <w:rPr>
          <w:rFonts w:ascii="Book Antiqua" w:eastAsia="宋体" w:hAnsi="Book Antiqua" w:cs="Times New Roman"/>
          <w:sz w:val="24"/>
          <w:szCs w:val="24"/>
          <w:lang w:eastAsia="zh-CN"/>
        </w:rPr>
        <w:fldChar w:fldCharType="end"/>
      </w:r>
      <w:r w:rsidR="002822E2" w:rsidRPr="00164D69">
        <w:rPr>
          <w:rFonts w:ascii="Book Antiqua" w:eastAsia="宋体" w:hAnsi="Book Antiqua" w:cs="Times New Roman"/>
          <w:sz w:val="24"/>
          <w:szCs w:val="24"/>
          <w:vertAlign w:val="superscript"/>
          <w:lang w:eastAsia="zh-CN"/>
        </w:rPr>
        <w:t>]</w:t>
      </w:r>
      <w:r w:rsidRPr="00164D69">
        <w:rPr>
          <w:rFonts w:ascii="Book Antiqua" w:hAnsi="Book Antiqua" w:cs="Times New Roman"/>
          <w:sz w:val="24"/>
          <w:szCs w:val="24"/>
        </w:rPr>
        <w:t xml:space="preserve"> have described an intracellular network regulating Th17 specification. </w:t>
      </w:r>
      <w:r w:rsidR="00415BE0" w:rsidRPr="00164D69">
        <w:rPr>
          <w:rFonts w:ascii="Book Antiqua" w:hAnsi="Book Antiqua" w:cs="Times New Roman"/>
          <w:sz w:val="24"/>
          <w:szCs w:val="24"/>
        </w:rPr>
        <w:t>Interestingly, genome-wide association studies</w:t>
      </w:r>
      <w:r w:rsidR="004E2CCB" w:rsidRPr="00164D69">
        <w:rPr>
          <w:rFonts w:ascii="Book Antiqua" w:hAnsi="Book Antiqua" w:cs="Times New Roman"/>
          <w:sz w:val="24"/>
          <w:szCs w:val="24"/>
        </w:rPr>
        <w:t xml:space="preserve"> linked at least 24 loci within this network to single nucleotide polymorphisms (SNPs) associated with </w:t>
      </w:r>
      <w:r w:rsidRPr="00164D69">
        <w:rPr>
          <w:rFonts w:ascii="Book Antiqua" w:hAnsi="Book Antiqua" w:cs="Times New Roman"/>
          <w:sz w:val="24"/>
          <w:szCs w:val="24"/>
        </w:rPr>
        <w:t>ulcerative colitis and Crohn’s disease</w:t>
      </w:r>
      <w:r w:rsidR="004E2CCB" w:rsidRPr="00164D69">
        <w:rPr>
          <w:rFonts w:ascii="Book Antiqua" w:hAnsi="Book Antiqua" w:cs="Times New Roman"/>
          <w:sz w:val="24"/>
          <w:szCs w:val="24"/>
        </w:rPr>
        <w:t xml:space="preserve">, </w:t>
      </w:r>
      <w:r w:rsidRPr="00164D69">
        <w:rPr>
          <w:rFonts w:ascii="Book Antiqua" w:hAnsi="Book Antiqua" w:cs="Times New Roman"/>
          <w:sz w:val="24"/>
          <w:szCs w:val="24"/>
        </w:rPr>
        <w:t>highlighting the importance of this T cell subset towards the pathogenesis of IBD</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RW.CITE{{44 Ciofani,M. 2012; 66 Jostins,L. 2012}}</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30,31</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p>
    <w:p w14:paraId="172E9AD0" w14:textId="77777777" w:rsidR="00A43052" w:rsidRPr="00164D69" w:rsidRDefault="00A43052" w:rsidP="002F6FCA">
      <w:pPr>
        <w:adjustRightInd w:val="0"/>
        <w:snapToGrid w:val="0"/>
        <w:spacing w:after="0" w:line="360" w:lineRule="auto"/>
        <w:jc w:val="both"/>
        <w:rPr>
          <w:rFonts w:ascii="Book Antiqua" w:hAnsi="Book Antiqua" w:cs="Times New Roman"/>
          <w:sz w:val="24"/>
          <w:szCs w:val="24"/>
        </w:rPr>
      </w:pPr>
    </w:p>
    <w:p w14:paraId="71F5CC8A" w14:textId="77777777" w:rsidR="00A43052" w:rsidRPr="00164D69" w:rsidRDefault="00A43052" w:rsidP="00D538E9">
      <w:pPr>
        <w:pStyle w:val="a4"/>
        <w:adjustRightInd w:val="0"/>
        <w:snapToGrid w:val="0"/>
        <w:spacing w:after="0" w:line="360" w:lineRule="auto"/>
        <w:ind w:left="0"/>
        <w:contextualSpacing w:val="0"/>
        <w:jc w:val="both"/>
        <w:rPr>
          <w:rFonts w:ascii="Book Antiqua" w:hAnsi="Book Antiqua" w:cs="Times New Roman"/>
          <w:b/>
          <w:i/>
          <w:sz w:val="24"/>
          <w:szCs w:val="24"/>
        </w:rPr>
      </w:pPr>
      <w:r w:rsidRPr="00164D69">
        <w:rPr>
          <w:rFonts w:ascii="Book Antiqua" w:hAnsi="Book Antiqua" w:cs="Times New Roman"/>
          <w:b/>
          <w:i/>
          <w:sz w:val="24"/>
          <w:szCs w:val="24"/>
        </w:rPr>
        <w:lastRenderedPageBreak/>
        <w:t>IL-17 secreting Th17 subset</w:t>
      </w:r>
    </w:p>
    <w:p w14:paraId="7DB4C610" w14:textId="69E28699" w:rsidR="00A43052" w:rsidRPr="00164D69" w:rsidRDefault="00A43052" w:rsidP="00D538E9">
      <w:pPr>
        <w:adjustRightInd w:val="0"/>
        <w:snapToGrid w:val="0"/>
        <w:spacing w:after="0" w:line="360" w:lineRule="auto"/>
        <w:jc w:val="both"/>
        <w:rPr>
          <w:rFonts w:ascii="Book Antiqua" w:hAnsi="Book Antiqua" w:cs="Times New Roman"/>
          <w:sz w:val="24"/>
          <w:szCs w:val="24"/>
        </w:rPr>
      </w:pPr>
      <w:r w:rsidRPr="00164D69">
        <w:rPr>
          <w:rFonts w:ascii="Book Antiqua" w:hAnsi="Book Antiqua" w:cs="Times New Roman"/>
          <w:sz w:val="24"/>
          <w:szCs w:val="24"/>
        </w:rPr>
        <w:t>Intestinal effector T cells arise from naïve lymphocytes derived from the thymus, which then undergo functional differentiation in the intestinal mucosa upon encountering their cognate antigen displayed by activated antigen-presenting cells (APC</w:t>
      </w:r>
      <w:r w:rsidR="004E2CCB" w:rsidRPr="00164D69">
        <w:rPr>
          <w:rFonts w:ascii="Book Antiqua" w:hAnsi="Book Antiqua" w:cs="Times New Roman"/>
          <w:sz w:val="24"/>
          <w:szCs w:val="24"/>
        </w:rPr>
        <w:t>s</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APC</w:t>
      </w:r>
      <w:r w:rsidR="004E2CCB" w:rsidRPr="00164D69">
        <w:rPr>
          <w:rFonts w:ascii="Book Antiqua" w:hAnsi="Book Antiqua" w:cs="Times New Roman"/>
          <w:sz w:val="24"/>
          <w:szCs w:val="24"/>
        </w:rPr>
        <w:t>s</w:t>
      </w:r>
      <w:r w:rsidRPr="00164D69">
        <w:rPr>
          <w:rFonts w:ascii="Book Antiqua" w:hAnsi="Book Antiqua" w:cs="Times New Roman"/>
          <w:sz w:val="24"/>
          <w:szCs w:val="24"/>
        </w:rPr>
        <w:t xml:space="preserve"> and </w:t>
      </w:r>
      <w:r w:rsidR="004E2CCB" w:rsidRPr="00164D69">
        <w:rPr>
          <w:rFonts w:ascii="Book Antiqua" w:hAnsi="Book Antiqua" w:cs="Times New Roman"/>
          <w:sz w:val="24"/>
          <w:szCs w:val="24"/>
        </w:rPr>
        <w:t xml:space="preserve">potentially </w:t>
      </w:r>
      <w:r w:rsidRPr="00164D69">
        <w:rPr>
          <w:rFonts w:ascii="Book Antiqua" w:hAnsi="Book Antiqua" w:cs="Times New Roman"/>
          <w:sz w:val="24"/>
          <w:szCs w:val="24"/>
        </w:rPr>
        <w:t>other cell</w:t>
      </w:r>
      <w:r w:rsidR="004E2CCB" w:rsidRPr="00164D69">
        <w:rPr>
          <w:rFonts w:ascii="Book Antiqua" w:hAnsi="Book Antiqua" w:cs="Times New Roman"/>
          <w:sz w:val="24"/>
          <w:szCs w:val="24"/>
        </w:rPr>
        <w:t xml:space="preserve">s release cytokines, which act in combination </w:t>
      </w:r>
      <w:r w:rsidRPr="00164D69">
        <w:rPr>
          <w:rFonts w:ascii="Book Antiqua" w:hAnsi="Book Antiqua" w:cs="Times New Roman"/>
          <w:sz w:val="24"/>
          <w:szCs w:val="24"/>
        </w:rPr>
        <w:t>with environmental cues</w:t>
      </w:r>
      <w:r w:rsidR="004E2CCB" w:rsidRPr="00164D69">
        <w:rPr>
          <w:rFonts w:ascii="Book Antiqua" w:hAnsi="Book Antiqua" w:cs="Times New Roman"/>
          <w:sz w:val="24"/>
          <w:szCs w:val="24"/>
        </w:rPr>
        <w:t>,</w:t>
      </w:r>
      <w:r w:rsidRPr="00164D69">
        <w:rPr>
          <w:rFonts w:ascii="Book Antiqua" w:hAnsi="Book Antiqua" w:cs="Times New Roman"/>
          <w:sz w:val="24"/>
          <w:szCs w:val="24"/>
        </w:rPr>
        <w:t xml:space="preserve"> including bacterial</w:t>
      </w:r>
      <w:r w:rsidR="004E2CCB" w:rsidRPr="00164D69">
        <w:rPr>
          <w:rFonts w:ascii="Book Antiqua" w:hAnsi="Book Antiqua" w:cs="Times New Roman"/>
          <w:sz w:val="24"/>
          <w:szCs w:val="24"/>
        </w:rPr>
        <w:t xml:space="preserve"> and</w:t>
      </w:r>
      <w:r w:rsidRPr="00164D69">
        <w:rPr>
          <w:rFonts w:ascii="Book Antiqua" w:hAnsi="Book Antiqua" w:cs="Times New Roman"/>
          <w:sz w:val="24"/>
          <w:szCs w:val="24"/>
        </w:rPr>
        <w:t xml:space="preserve"> dietary products</w:t>
      </w:r>
      <w:r w:rsidR="004E2CCB" w:rsidRPr="00164D69">
        <w:rPr>
          <w:rFonts w:ascii="Book Antiqua" w:hAnsi="Book Antiqua" w:cs="Times New Roman"/>
          <w:sz w:val="24"/>
          <w:szCs w:val="24"/>
        </w:rPr>
        <w:t xml:space="preserve"> as well as</w:t>
      </w:r>
      <w:r w:rsidRPr="00164D69">
        <w:rPr>
          <w:rFonts w:ascii="Book Antiqua" w:hAnsi="Book Antiqua" w:cs="Times New Roman"/>
          <w:sz w:val="24"/>
          <w:szCs w:val="24"/>
        </w:rPr>
        <w:t xml:space="preserve"> salt concentration</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RW.CITE{{46 Wu,C. 2013; 47 Dang,E.V. 2011}}</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32,33</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w:t>
      </w:r>
      <w:r w:rsidR="004E2CCB" w:rsidRPr="00164D69">
        <w:rPr>
          <w:rFonts w:ascii="Book Antiqua" w:hAnsi="Book Antiqua" w:cs="Times New Roman"/>
          <w:sz w:val="24"/>
          <w:szCs w:val="24"/>
        </w:rPr>
        <w:t>thereby activating the</w:t>
      </w:r>
      <w:r w:rsidRPr="00164D69">
        <w:rPr>
          <w:rFonts w:ascii="Book Antiqua" w:hAnsi="Book Antiqua" w:cs="Times New Roman"/>
          <w:sz w:val="24"/>
          <w:szCs w:val="24"/>
        </w:rPr>
        <w:t xml:space="preserve"> Jak-STAT and other signalling pathways to exert their biological functions.</w:t>
      </w:r>
      <w:r w:rsidR="00164D69" w:rsidRPr="00164D69">
        <w:rPr>
          <w:rFonts w:ascii="Book Antiqua" w:hAnsi="Book Antiqua" w:cs="Times New Roman"/>
          <w:sz w:val="24"/>
          <w:szCs w:val="24"/>
        </w:rPr>
        <w:t xml:space="preserve"> </w:t>
      </w:r>
    </w:p>
    <w:p w14:paraId="1B1F3E70" w14:textId="2BE8F5FA" w:rsidR="00A43052" w:rsidRPr="00164D69" w:rsidRDefault="00A43052" w:rsidP="002822E2">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Differentiation of Th17 cells is exclusively dependent on signal transducer and activator of transcription 3 (STAT3)</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RW.CITE{{23 deBeaucoudrey,L. 2008}}</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34</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and crucially requires the expression of the transcription factor r</w:t>
      </w:r>
      <w:r w:rsidRPr="00164D69">
        <w:rPr>
          <w:rFonts w:ascii="Book Antiqua" w:eastAsia="Arial Unicode MS" w:hAnsi="Book Antiqua" w:cs="Times New Roman"/>
          <w:sz w:val="24"/>
          <w:szCs w:val="24"/>
          <w:shd w:val="clear" w:color="auto" w:fill="FFFFFF"/>
        </w:rPr>
        <w:t>etinoic acid receptor-related orphan receptor γ thymus</w:t>
      </w:r>
      <w:r w:rsidR="005B250C" w:rsidRPr="00164D69">
        <w:rPr>
          <w:rFonts w:ascii="Book Antiqua" w:eastAsia="Arial Unicode MS" w:hAnsi="Book Antiqua" w:cs="Times New Roman"/>
          <w:sz w:val="24"/>
          <w:szCs w:val="24"/>
          <w:shd w:val="clear" w:color="auto" w:fill="FFFFFF"/>
        </w:rPr>
        <w:t xml:space="preserve"> in mouse</w:t>
      </w:r>
      <w:r w:rsidRPr="00164D69">
        <w:rPr>
          <w:rFonts w:ascii="Book Antiqua" w:hAnsi="Book Antiqua" w:cs="Times New Roman"/>
          <w:sz w:val="24"/>
          <w:szCs w:val="24"/>
        </w:rPr>
        <w:t> (RORγt)</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RW.CITE{{24 Ivanov,I.I. 2006}}</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35</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Studies in the mouse and </w:t>
      </w:r>
      <w:r w:rsidR="002822E2" w:rsidRPr="00164D69">
        <w:rPr>
          <w:rFonts w:ascii="Book Antiqua" w:hAnsi="Book Antiqua" w:cs="Times New Roman"/>
          <w:i/>
          <w:sz w:val="24"/>
          <w:szCs w:val="24"/>
        </w:rPr>
        <w:t>in vitro</w:t>
      </w:r>
      <w:r w:rsidRPr="00164D69">
        <w:rPr>
          <w:rFonts w:ascii="Book Antiqua" w:hAnsi="Book Antiqua" w:cs="Times New Roman"/>
          <w:sz w:val="24"/>
          <w:szCs w:val="24"/>
        </w:rPr>
        <w:t xml:space="preserve"> human cell cultures have revealed the critical rol</w:t>
      </w:r>
      <w:r w:rsidR="004E2CCB" w:rsidRPr="00164D69">
        <w:rPr>
          <w:rFonts w:ascii="Book Antiqua" w:hAnsi="Book Antiqua" w:cs="Times New Roman"/>
          <w:sz w:val="24"/>
          <w:szCs w:val="24"/>
        </w:rPr>
        <w:t>e</w:t>
      </w:r>
      <w:r w:rsidRPr="00164D69">
        <w:rPr>
          <w:rFonts w:ascii="Book Antiqua" w:hAnsi="Book Antiqua" w:cs="Times New Roman"/>
          <w:sz w:val="24"/>
          <w:szCs w:val="24"/>
        </w:rPr>
        <w:t xml:space="preserve">s </w:t>
      </w:r>
      <w:r w:rsidR="004E2CCB" w:rsidRPr="00164D69">
        <w:rPr>
          <w:rFonts w:ascii="Book Antiqua" w:hAnsi="Book Antiqua" w:cs="Times New Roman"/>
          <w:sz w:val="24"/>
          <w:szCs w:val="24"/>
        </w:rPr>
        <w:t>of</w:t>
      </w:r>
      <w:r w:rsidRPr="00164D69">
        <w:rPr>
          <w:rFonts w:ascii="Book Antiqua" w:hAnsi="Book Antiqua" w:cs="Times New Roman"/>
          <w:sz w:val="24"/>
          <w:szCs w:val="24"/>
        </w:rPr>
        <w:t xml:space="preserve"> transforming growth factor β1 (TGF-β1) </w:t>
      </w:r>
      <w:r w:rsidR="004C1EB3" w:rsidRPr="00164D69">
        <w:rPr>
          <w:rFonts w:ascii="Book Antiqua" w:hAnsi="Book Antiqua" w:cs="Times New Roman"/>
          <w:sz w:val="24"/>
          <w:szCs w:val="24"/>
        </w:rPr>
        <w:t xml:space="preserve">alongside </w:t>
      </w:r>
      <w:r w:rsidRPr="00164D69">
        <w:rPr>
          <w:rFonts w:ascii="Book Antiqua" w:hAnsi="Book Antiqua" w:cs="Times New Roman"/>
          <w:sz w:val="24"/>
          <w:szCs w:val="24"/>
        </w:rPr>
        <w:t>IL-6</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RW.CITE{{25 Bettelli,E. 2006; 26 Mangan,P.R. 2006; 27 Veldhoen,M. 2006}}</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36-38</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 IL-1β</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RW.CITE{{28 Sutton,C. 2006}}</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39</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and IL-21</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RW.CITE{{29 Nurieva,R. 2007}}</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40</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004E2CCB" w:rsidRPr="00164D69">
        <w:rPr>
          <w:rFonts w:ascii="Book Antiqua" w:hAnsi="Book Antiqua" w:cs="Times New Roman"/>
          <w:sz w:val="24"/>
          <w:szCs w:val="24"/>
        </w:rPr>
        <w:t xml:space="preserve"> </w:t>
      </w:r>
      <w:r w:rsidRPr="00164D69">
        <w:rPr>
          <w:rFonts w:ascii="Book Antiqua" w:hAnsi="Book Antiqua" w:cs="Times New Roman"/>
          <w:sz w:val="24"/>
          <w:szCs w:val="24"/>
        </w:rPr>
        <w:t>in Th17 polarization.</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IL-23, secreted mainly by innate myeloid cells including activated dendritic cells (DC), monocytes and macrophages, is critical for Th17 proliferation and maintenance</w:t>
      </w:r>
      <w:r w:rsidR="004C1EB3" w:rsidRPr="00164D69">
        <w:rPr>
          <w:rFonts w:ascii="Book Antiqua" w:hAnsi="Book Antiqua" w:cs="Times New Roman"/>
          <w:sz w:val="24"/>
          <w:szCs w:val="24"/>
        </w:rPr>
        <w:t>, though dispensable for the initiation of Th17 development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Importantly, mutations within the </w:t>
      </w:r>
      <w:r w:rsidRPr="00164D69">
        <w:rPr>
          <w:rFonts w:ascii="Book Antiqua" w:hAnsi="Book Antiqua" w:cs="Times New Roman"/>
          <w:i/>
          <w:sz w:val="24"/>
          <w:szCs w:val="24"/>
        </w:rPr>
        <w:t xml:space="preserve">il23r </w:t>
      </w:r>
      <w:r w:rsidRPr="00164D69">
        <w:rPr>
          <w:rFonts w:ascii="Book Antiqua" w:hAnsi="Book Antiqua" w:cs="Times New Roman"/>
          <w:sz w:val="24"/>
          <w:szCs w:val="24"/>
        </w:rPr>
        <w:t>locus, which encodes a receptor subunit unique to IL-23, are associated with psoriasis</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RW.CITE{{30 Cargill,M. 2007}}</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41</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 ankylosing spondylitis</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RW.CITE{{31 WellcomeTrustCaseControlConsortium 2007}}</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42</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and IBD</w:t>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RW.CITE{{32 WellcomeTrustCaseControlConsortium 2007; 33 Duerr,R.H. 2006}}</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43,44</w:t>
      </w:r>
      <w:r w:rsidRPr="00164D69">
        <w:rPr>
          <w:rFonts w:ascii="Book Antiqua" w:hAnsi="Book Antiqua" w:cs="Times New Roman"/>
          <w:sz w:val="24"/>
          <w:szCs w:val="24"/>
        </w:rPr>
        <w:fldChar w:fldCharType="end"/>
      </w:r>
      <w:r w:rsidR="00AB2EF2"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p>
    <w:p w14:paraId="18AB1473" w14:textId="1E118B63" w:rsidR="00A43052" w:rsidRPr="00164D69" w:rsidRDefault="00A43052" w:rsidP="002822E2">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Whilst Th17 cells are distinguished by IL-17A production, they are also capable of producing other cytokines, including but not limited to IL-17F, IL-21 and IL-22.</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IL-17F, a member of the IL-17 family, may also have dual roles in the context of mucosal disease. In the DSS model of IBD, IL-17F</w:t>
      </w:r>
      <w:r w:rsidRPr="00164D69">
        <w:rPr>
          <w:rFonts w:ascii="Book Antiqua" w:hAnsi="Book Antiqua" w:cs="Times New Roman"/>
          <w:position w:val="2"/>
          <w:sz w:val="24"/>
          <w:szCs w:val="24"/>
          <w:vertAlign w:val="superscript"/>
        </w:rPr>
        <w:t>-</w:t>
      </w:r>
      <w:r w:rsidRPr="00164D69">
        <w:rPr>
          <w:rFonts w:ascii="Book Antiqua" w:hAnsi="Book Antiqua" w:cs="Times New Roman"/>
          <w:position w:val="-2"/>
          <w:sz w:val="24"/>
          <w:szCs w:val="24"/>
          <w:vertAlign w:val="superscript"/>
        </w:rPr>
        <w:t>/</w:t>
      </w:r>
      <w:r w:rsidRPr="00164D69">
        <w:rPr>
          <w:rFonts w:ascii="Book Antiqua" w:hAnsi="Book Antiqua" w:cs="Times New Roman"/>
          <w:position w:val="2"/>
          <w:sz w:val="24"/>
          <w:szCs w:val="24"/>
          <w:vertAlign w:val="superscript"/>
        </w:rPr>
        <w:t>-</w:t>
      </w:r>
      <w:r w:rsidRPr="00164D69">
        <w:rPr>
          <w:rFonts w:ascii="Book Antiqua" w:hAnsi="Book Antiqua" w:cs="Times New Roman"/>
          <w:position w:val="2"/>
          <w:sz w:val="24"/>
          <w:szCs w:val="24"/>
        </w:rPr>
        <w:t xml:space="preserve"> mice show less severe disease than wild-types</w:t>
      </w:r>
      <w:r w:rsidR="00AB2EF2" w:rsidRPr="00164D69">
        <w:rPr>
          <w:rFonts w:ascii="Book Antiqua" w:hAnsi="Book Antiqua" w:cs="Times New Roman"/>
          <w:position w:val="2"/>
          <w:sz w:val="24"/>
          <w:szCs w:val="24"/>
          <w:vertAlign w:val="superscript"/>
        </w:rPr>
        <w:t>[</w:t>
      </w:r>
      <w:r w:rsidRPr="00164D69">
        <w:rPr>
          <w:rFonts w:ascii="Book Antiqua" w:hAnsi="Book Antiqua" w:cs="Times New Roman"/>
          <w:position w:val="2"/>
          <w:sz w:val="24"/>
          <w:szCs w:val="24"/>
        </w:rPr>
        <w:fldChar w:fldCharType="begin"/>
      </w:r>
      <w:r w:rsidRPr="00164D69">
        <w:rPr>
          <w:rFonts w:ascii="Book Antiqua" w:hAnsi="Book Antiqua" w:cs="Times New Roman"/>
          <w:position w:val="2"/>
          <w:sz w:val="24"/>
          <w:szCs w:val="24"/>
        </w:rPr>
        <w:instrText>ADDIN RW.CITE{{34 Yang,X.O. 2008}}</w:instrText>
      </w:r>
      <w:r w:rsidRPr="00164D69">
        <w:rPr>
          <w:rFonts w:ascii="Book Antiqua" w:hAnsi="Book Antiqua" w:cs="Times New Roman"/>
          <w:position w:val="2"/>
          <w:sz w:val="24"/>
          <w:szCs w:val="24"/>
        </w:rPr>
        <w:fldChar w:fldCharType="separate"/>
      </w:r>
      <w:r w:rsidRPr="00164D69">
        <w:rPr>
          <w:rFonts w:ascii="Book Antiqua" w:hAnsi="Book Antiqua" w:cs="Times New Roman"/>
          <w:position w:val="2"/>
          <w:sz w:val="24"/>
          <w:szCs w:val="24"/>
          <w:vertAlign w:val="superscript"/>
        </w:rPr>
        <w:t>28</w:t>
      </w:r>
      <w:r w:rsidRPr="00164D69">
        <w:rPr>
          <w:rFonts w:ascii="Book Antiqua" w:hAnsi="Book Antiqua" w:cs="Times New Roman"/>
          <w:position w:val="2"/>
          <w:sz w:val="24"/>
          <w:szCs w:val="24"/>
        </w:rPr>
        <w:fldChar w:fldCharType="end"/>
      </w:r>
      <w:r w:rsidR="00AB2EF2" w:rsidRPr="00164D69">
        <w:rPr>
          <w:rFonts w:ascii="Book Antiqua" w:hAnsi="Book Antiqua" w:cs="Times New Roman"/>
          <w:position w:val="2"/>
          <w:sz w:val="24"/>
          <w:szCs w:val="24"/>
          <w:vertAlign w:val="superscript"/>
        </w:rPr>
        <w:t>]</w:t>
      </w:r>
      <w:r w:rsidRPr="00164D69">
        <w:rPr>
          <w:rFonts w:ascii="Book Antiqua" w:hAnsi="Book Antiqua" w:cs="Times New Roman"/>
          <w:position w:val="2"/>
          <w:sz w:val="24"/>
          <w:szCs w:val="24"/>
        </w:rPr>
        <w:t>. IL-17F evidently appears to have a distinct set of roles, despite structural similarity to IL-17A, and further research will be necessary to establish its specific importance. Substantial evidence exists for pathogenic roles of IL-22, particularly in the context of psoriasis</w:t>
      </w:r>
      <w:r w:rsidR="00AB2EF2" w:rsidRPr="00164D69">
        <w:rPr>
          <w:rFonts w:ascii="Book Antiqua" w:hAnsi="Book Antiqua" w:cs="Times New Roman"/>
          <w:position w:val="2"/>
          <w:sz w:val="24"/>
          <w:szCs w:val="24"/>
          <w:vertAlign w:val="superscript"/>
        </w:rPr>
        <w:t>[</w:t>
      </w:r>
      <w:r w:rsidR="00F60CED" w:rsidRPr="00164D69">
        <w:rPr>
          <w:rFonts w:ascii="Book Antiqua" w:hAnsi="Book Antiqua" w:cs="Times New Roman"/>
          <w:position w:val="2"/>
          <w:sz w:val="24"/>
          <w:szCs w:val="24"/>
          <w:vertAlign w:val="superscript"/>
        </w:rPr>
        <w:t>4</w:t>
      </w:r>
      <w:r w:rsidRPr="00164D69">
        <w:rPr>
          <w:rFonts w:ascii="Book Antiqua" w:hAnsi="Book Antiqua" w:cs="Times New Roman"/>
          <w:position w:val="2"/>
          <w:sz w:val="24"/>
          <w:szCs w:val="24"/>
          <w:vertAlign w:val="superscript"/>
        </w:rPr>
        <w:t>5</w:t>
      </w:r>
      <w:r w:rsidR="00AB2EF2" w:rsidRPr="00164D69">
        <w:rPr>
          <w:rFonts w:ascii="Book Antiqua" w:hAnsi="Book Antiqua" w:cs="Times New Roman"/>
          <w:position w:val="2"/>
          <w:sz w:val="24"/>
          <w:szCs w:val="24"/>
          <w:vertAlign w:val="superscript"/>
        </w:rPr>
        <w:t>]</w:t>
      </w:r>
      <w:r w:rsidRPr="00164D69">
        <w:rPr>
          <w:rFonts w:ascii="Book Antiqua" w:hAnsi="Book Antiqua" w:cs="Times New Roman"/>
          <w:position w:val="2"/>
          <w:sz w:val="24"/>
          <w:szCs w:val="24"/>
        </w:rPr>
        <w:t>.</w:t>
      </w:r>
      <w:r w:rsidR="00164D69" w:rsidRPr="00164D69">
        <w:rPr>
          <w:rFonts w:ascii="Book Antiqua" w:hAnsi="Book Antiqua" w:cs="Times New Roman"/>
          <w:position w:val="2"/>
          <w:sz w:val="24"/>
          <w:szCs w:val="24"/>
        </w:rPr>
        <w:t xml:space="preserve"> </w:t>
      </w:r>
      <w:r w:rsidRPr="00164D69">
        <w:rPr>
          <w:rFonts w:ascii="Book Antiqua" w:hAnsi="Book Antiqua" w:cs="Times New Roman"/>
          <w:position w:val="2"/>
          <w:sz w:val="24"/>
          <w:szCs w:val="24"/>
        </w:rPr>
        <w:t>However, IL-22 may play a critical role in the maintenance of the intestinal epithelial barrier and in mucosal healing</w:t>
      </w:r>
      <w:r w:rsidR="00AB2EF2" w:rsidRPr="00164D69">
        <w:rPr>
          <w:rFonts w:ascii="Book Antiqua" w:hAnsi="Book Antiqua" w:cs="Times New Roman"/>
          <w:position w:val="2"/>
          <w:sz w:val="24"/>
          <w:szCs w:val="24"/>
          <w:vertAlign w:val="superscript"/>
        </w:rPr>
        <w:t>[</w:t>
      </w:r>
      <w:r w:rsidRPr="00164D69">
        <w:rPr>
          <w:rFonts w:ascii="Book Antiqua" w:hAnsi="Book Antiqua" w:cs="Times New Roman"/>
          <w:position w:val="2"/>
          <w:sz w:val="24"/>
          <w:szCs w:val="24"/>
        </w:rPr>
        <w:fldChar w:fldCharType="begin"/>
      </w:r>
      <w:r w:rsidRPr="00164D69">
        <w:rPr>
          <w:rFonts w:ascii="Book Antiqua" w:hAnsi="Book Antiqua" w:cs="Times New Roman"/>
          <w:position w:val="2"/>
          <w:sz w:val="24"/>
          <w:szCs w:val="24"/>
        </w:rPr>
        <w:instrText>ADDIN RW.CITE{{48 Li,L.J. 2014}}</w:instrText>
      </w:r>
      <w:r w:rsidRPr="00164D69">
        <w:rPr>
          <w:rFonts w:ascii="Book Antiqua" w:hAnsi="Book Antiqua" w:cs="Times New Roman"/>
          <w:position w:val="2"/>
          <w:sz w:val="24"/>
          <w:szCs w:val="24"/>
        </w:rPr>
        <w:fldChar w:fldCharType="separate"/>
      </w:r>
      <w:r w:rsidRPr="00164D69">
        <w:rPr>
          <w:rFonts w:ascii="Book Antiqua" w:hAnsi="Book Antiqua" w:cs="Times New Roman"/>
          <w:position w:val="2"/>
          <w:sz w:val="24"/>
          <w:szCs w:val="24"/>
          <w:vertAlign w:val="superscript"/>
        </w:rPr>
        <w:t>45</w:t>
      </w:r>
      <w:r w:rsidRPr="00164D69">
        <w:rPr>
          <w:rFonts w:ascii="Book Antiqua" w:hAnsi="Book Antiqua" w:cs="Times New Roman"/>
          <w:position w:val="2"/>
          <w:sz w:val="24"/>
          <w:szCs w:val="24"/>
        </w:rPr>
        <w:fldChar w:fldCharType="end"/>
      </w:r>
      <w:r w:rsidR="00AB2EF2" w:rsidRPr="00164D69">
        <w:rPr>
          <w:rFonts w:ascii="Book Antiqua" w:hAnsi="Book Antiqua" w:cs="Times New Roman"/>
          <w:position w:val="2"/>
          <w:sz w:val="24"/>
          <w:szCs w:val="24"/>
          <w:vertAlign w:val="superscript"/>
        </w:rPr>
        <w:t>]</w:t>
      </w:r>
      <w:r w:rsidRPr="00164D69">
        <w:rPr>
          <w:rFonts w:ascii="Book Antiqua" w:hAnsi="Book Antiqua" w:cs="Times New Roman"/>
          <w:position w:val="2"/>
          <w:sz w:val="24"/>
          <w:szCs w:val="24"/>
        </w:rPr>
        <w:t>.</w:t>
      </w:r>
      <w:r w:rsidR="00164D69" w:rsidRPr="00164D69">
        <w:rPr>
          <w:rFonts w:ascii="Book Antiqua" w:hAnsi="Book Antiqua" w:cs="Times New Roman"/>
          <w:position w:val="2"/>
          <w:sz w:val="24"/>
          <w:szCs w:val="24"/>
        </w:rPr>
        <w:t xml:space="preserve"> </w:t>
      </w:r>
      <w:r w:rsidRPr="00164D69">
        <w:rPr>
          <w:rFonts w:ascii="Book Antiqua" w:hAnsi="Book Antiqua" w:cs="Times New Roman"/>
          <w:position w:val="2"/>
          <w:sz w:val="24"/>
          <w:szCs w:val="24"/>
        </w:rPr>
        <w:t xml:space="preserve">It is thus important to emphasize that although Th17 cells are defined by their expression of </w:t>
      </w:r>
      <w:r w:rsidR="005B250C" w:rsidRPr="00164D69">
        <w:rPr>
          <w:rFonts w:ascii="Book Antiqua" w:hAnsi="Book Antiqua" w:cs="Times New Roman"/>
          <w:position w:val="2"/>
          <w:sz w:val="24"/>
          <w:szCs w:val="24"/>
        </w:rPr>
        <w:t>IL-</w:t>
      </w:r>
      <w:r w:rsidRPr="00164D69">
        <w:rPr>
          <w:rFonts w:ascii="Book Antiqua" w:hAnsi="Book Antiqua" w:cs="Times New Roman"/>
          <w:position w:val="2"/>
          <w:sz w:val="24"/>
          <w:szCs w:val="24"/>
        </w:rPr>
        <w:t xml:space="preserve">17 and </w:t>
      </w:r>
      <w:r w:rsidR="005B250C" w:rsidRPr="00164D69">
        <w:rPr>
          <w:rFonts w:ascii="Book Antiqua" w:hAnsi="Book Antiqua" w:cs="Times New Roman"/>
          <w:position w:val="2"/>
          <w:sz w:val="24"/>
          <w:szCs w:val="24"/>
        </w:rPr>
        <w:t xml:space="preserve">RORc, human counterpart of </w:t>
      </w:r>
      <w:r w:rsidRPr="00164D69">
        <w:rPr>
          <w:rFonts w:ascii="Book Antiqua" w:hAnsi="Book Antiqua" w:cs="Times New Roman"/>
          <w:position w:val="2"/>
          <w:sz w:val="24"/>
          <w:szCs w:val="24"/>
        </w:rPr>
        <w:t>RORγt, these cell</w:t>
      </w:r>
      <w:r w:rsidR="00AB2EF2" w:rsidRPr="00164D69">
        <w:rPr>
          <w:rFonts w:ascii="Book Antiqua" w:hAnsi="Book Antiqua" w:cs="Times New Roman"/>
          <w:position w:val="2"/>
          <w:sz w:val="24"/>
          <w:szCs w:val="24"/>
        </w:rPr>
        <w:t>s</w:t>
      </w:r>
      <w:r w:rsidRPr="00164D69">
        <w:rPr>
          <w:rFonts w:ascii="Book Antiqua" w:hAnsi="Book Antiqua" w:cs="Times New Roman"/>
          <w:position w:val="2"/>
          <w:sz w:val="24"/>
          <w:szCs w:val="24"/>
        </w:rPr>
        <w:t xml:space="preserve"> likely express </w:t>
      </w:r>
      <w:r w:rsidR="001E6BCF" w:rsidRPr="00164D69">
        <w:rPr>
          <w:rFonts w:ascii="Book Antiqua" w:hAnsi="Book Antiqua" w:cs="Times New Roman"/>
          <w:position w:val="2"/>
          <w:sz w:val="24"/>
          <w:szCs w:val="24"/>
        </w:rPr>
        <w:t>heterogeneous</w:t>
      </w:r>
      <w:r w:rsidRPr="00164D69">
        <w:rPr>
          <w:rFonts w:ascii="Book Antiqua" w:hAnsi="Book Antiqua" w:cs="Times New Roman"/>
          <w:position w:val="2"/>
          <w:sz w:val="24"/>
          <w:szCs w:val="24"/>
        </w:rPr>
        <w:t xml:space="preserve"> </w:t>
      </w:r>
      <w:r w:rsidRPr="00164D69">
        <w:rPr>
          <w:rFonts w:ascii="Book Antiqua" w:hAnsi="Book Antiqua" w:cs="Times New Roman"/>
          <w:sz w:val="24"/>
          <w:szCs w:val="24"/>
        </w:rPr>
        <w:t>cytokine profiles, at times simultaneously</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expressing both protective </w:t>
      </w:r>
      <w:r w:rsidRPr="00164D69">
        <w:rPr>
          <w:rFonts w:ascii="Book Antiqua" w:hAnsi="Book Antiqua" w:cs="Times New Roman"/>
          <w:sz w:val="24"/>
          <w:szCs w:val="24"/>
        </w:rPr>
        <w:lastRenderedPageBreak/>
        <w:t>(IL-22) and deleterious (IL-17A, IFN-γ) cytokines in a tissue-temporal specific manner</w:t>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RW.CITE{{4 Ahern,P.P. 2008}}</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5</w:t>
      </w:r>
      <w:r w:rsidRPr="00164D69">
        <w:rPr>
          <w:rFonts w:ascii="Book Antiqua" w:hAnsi="Book Antiqua" w:cs="Times New Roman"/>
          <w:sz w:val="24"/>
          <w:szCs w:val="24"/>
        </w:rPr>
        <w:fldChar w:fldCharType="end"/>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In addition, the unexpected failure of secukinumab</w:t>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RW.CITE{{49 Hueber,W. 2012}}</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46</w:t>
      </w:r>
      <w:r w:rsidRPr="00164D69">
        <w:rPr>
          <w:rFonts w:ascii="Book Antiqua" w:hAnsi="Book Antiqua" w:cs="Times New Roman"/>
          <w:sz w:val="24"/>
          <w:szCs w:val="24"/>
        </w:rPr>
        <w:fldChar w:fldCharType="end"/>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t>, a human anti</w:t>
      </w:r>
      <w:r w:rsidR="00D46E38" w:rsidRPr="00164D69">
        <w:rPr>
          <w:rFonts w:ascii="Book Antiqua" w:hAnsi="Book Antiqua" w:cs="Times New Roman"/>
          <w:sz w:val="24"/>
          <w:szCs w:val="24"/>
        </w:rPr>
        <w:t>-</w:t>
      </w:r>
      <w:r w:rsidRPr="00164D69">
        <w:rPr>
          <w:rFonts w:ascii="Book Antiqua" w:hAnsi="Book Antiqua" w:cs="Times New Roman"/>
          <w:sz w:val="24"/>
          <w:szCs w:val="24"/>
        </w:rPr>
        <w:t>IL-17 monoclonal antibody</w:t>
      </w:r>
      <w:r w:rsidR="00D02133" w:rsidRPr="00164D69">
        <w:rPr>
          <w:rFonts w:ascii="Book Antiqua" w:hAnsi="Book Antiqua" w:cs="Times New Roman"/>
          <w:sz w:val="24"/>
          <w:szCs w:val="24"/>
        </w:rPr>
        <w:t>,</w:t>
      </w:r>
      <w:r w:rsidRPr="00164D69">
        <w:rPr>
          <w:rFonts w:ascii="Book Antiqua" w:hAnsi="Book Antiqua" w:cs="Times New Roman"/>
          <w:sz w:val="24"/>
          <w:szCs w:val="24"/>
        </w:rPr>
        <w:t xml:space="preserve"> in the treatment of Crohn’s disease </w:t>
      </w:r>
      <w:r w:rsidR="00135975" w:rsidRPr="00164D69">
        <w:rPr>
          <w:rFonts w:ascii="Book Antiqua" w:hAnsi="Book Antiqua" w:cs="Times New Roman"/>
          <w:sz w:val="24"/>
          <w:szCs w:val="24"/>
        </w:rPr>
        <w:t>reflects the complex role of IL-17 and the heterogeneous causes of the disease</w:t>
      </w:r>
      <w:r w:rsidR="00135975" w:rsidRPr="00164D69" w:rsidDel="00135975">
        <w:rPr>
          <w:rFonts w:ascii="Book Antiqua" w:hAnsi="Book Antiqua" w:cs="Times New Roman"/>
          <w:sz w:val="24"/>
          <w:szCs w:val="24"/>
        </w:rPr>
        <w:t xml:space="preserve"> </w:t>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RW.CITE{{50 O'Shea,J.J. 2014}}</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47</w:t>
      </w:r>
      <w:r w:rsidRPr="00164D69">
        <w:rPr>
          <w:rFonts w:ascii="Book Antiqua" w:hAnsi="Book Antiqua" w:cs="Times New Roman"/>
          <w:sz w:val="24"/>
          <w:szCs w:val="24"/>
        </w:rPr>
        <w:fldChar w:fldCharType="end"/>
      </w:r>
      <w:r w:rsidR="00D46E38" w:rsidRPr="00164D69">
        <w:rPr>
          <w:rFonts w:ascii="Book Antiqua" w:hAnsi="Book Antiqua" w:cs="Times New Roman"/>
          <w:sz w:val="24"/>
          <w:szCs w:val="24"/>
          <w:vertAlign w:val="superscript"/>
        </w:rPr>
        <w:t>]</w:t>
      </w:r>
      <w:r w:rsidR="00D46E38"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p>
    <w:p w14:paraId="763C375F" w14:textId="77777777" w:rsidR="00A43052" w:rsidRPr="00164D69" w:rsidRDefault="00A43052" w:rsidP="002F6FCA">
      <w:pPr>
        <w:adjustRightInd w:val="0"/>
        <w:snapToGrid w:val="0"/>
        <w:spacing w:after="0" w:line="360" w:lineRule="auto"/>
        <w:ind w:firstLine="720"/>
        <w:jc w:val="both"/>
        <w:rPr>
          <w:rFonts w:ascii="Book Antiqua" w:hAnsi="Book Antiqua" w:cs="Times New Roman"/>
          <w:sz w:val="24"/>
          <w:szCs w:val="24"/>
        </w:rPr>
      </w:pPr>
    </w:p>
    <w:p w14:paraId="7F252F2B" w14:textId="146EA1D7"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b/>
          <w:sz w:val="24"/>
          <w:szCs w:val="24"/>
        </w:rPr>
      </w:pPr>
      <w:r w:rsidRPr="00164D69">
        <w:rPr>
          <w:rFonts w:ascii="Book Antiqua" w:hAnsi="Book Antiqua" w:cs="Times New Roman"/>
          <w:b/>
          <w:i/>
          <w:sz w:val="24"/>
          <w:szCs w:val="24"/>
        </w:rPr>
        <w:t xml:space="preserve">Foxp3+ </w:t>
      </w:r>
      <w:r w:rsidR="002822E2" w:rsidRPr="00164D69">
        <w:rPr>
          <w:rFonts w:ascii="Book Antiqua" w:hAnsi="Book Antiqua" w:cs="Times New Roman"/>
          <w:b/>
          <w:i/>
          <w:sz w:val="24"/>
          <w:szCs w:val="24"/>
        </w:rPr>
        <w:t>Treg</w:t>
      </w:r>
      <w:r w:rsidRPr="00164D69">
        <w:rPr>
          <w:rFonts w:ascii="Book Antiqua" w:hAnsi="Book Antiqua" w:cs="Times New Roman"/>
          <w:b/>
          <w:i/>
          <w:sz w:val="24"/>
          <w:szCs w:val="24"/>
        </w:rPr>
        <w:t xml:space="preserve"> subset</w:t>
      </w:r>
      <w:r w:rsidRPr="00164D69">
        <w:rPr>
          <w:rFonts w:ascii="Book Antiqua" w:hAnsi="Book Antiqua" w:cs="Times New Roman"/>
          <w:b/>
          <w:sz w:val="24"/>
          <w:szCs w:val="24"/>
        </w:rPr>
        <w:t xml:space="preserve"> </w:t>
      </w:r>
    </w:p>
    <w:p w14:paraId="508F87F8" w14:textId="5FE23E15" w:rsidR="00A43052" w:rsidRPr="00164D69" w:rsidRDefault="00A43052" w:rsidP="002822E2">
      <w:pPr>
        <w:adjustRightInd w:val="0"/>
        <w:snapToGrid w:val="0"/>
        <w:spacing w:after="0" w:line="360" w:lineRule="auto"/>
        <w:jc w:val="both"/>
        <w:rPr>
          <w:rFonts w:ascii="Book Antiqua" w:hAnsi="Book Antiqua" w:cs="Times New Roman"/>
          <w:sz w:val="24"/>
          <w:szCs w:val="24"/>
        </w:rPr>
      </w:pPr>
      <w:r w:rsidRPr="00164D69">
        <w:rPr>
          <w:rFonts w:ascii="Book Antiqua" w:hAnsi="Book Antiqua" w:cs="Times New Roman"/>
          <w:sz w:val="24"/>
          <w:szCs w:val="24"/>
        </w:rPr>
        <w:t>In contrast, anti-inflammatory Foxp3-expressing Treg</w:t>
      </w:r>
      <w:r w:rsidR="004C1EB3" w:rsidRPr="00164D69">
        <w:rPr>
          <w:rFonts w:ascii="Book Antiqua" w:hAnsi="Book Antiqua" w:cs="Times New Roman"/>
          <w:sz w:val="24"/>
          <w:szCs w:val="24"/>
        </w:rPr>
        <w:t xml:space="preserve"> cells</w:t>
      </w:r>
      <w:r w:rsidRPr="00164D69">
        <w:rPr>
          <w:rFonts w:ascii="Book Antiqua" w:hAnsi="Book Antiqua" w:cs="Times New Roman"/>
          <w:sz w:val="24"/>
          <w:szCs w:val="24"/>
        </w:rPr>
        <w:t xml:space="preserve"> play an important role in tissue homeostasis </w:t>
      </w:r>
      <w:r w:rsidR="00164D69" w:rsidRPr="00164D69">
        <w:rPr>
          <w:rFonts w:ascii="Book Antiqua" w:hAnsi="Book Antiqua" w:cs="Times New Roman"/>
          <w:i/>
          <w:sz w:val="24"/>
          <w:szCs w:val="24"/>
        </w:rPr>
        <w:t xml:space="preserve">via </w:t>
      </w:r>
      <w:r w:rsidRPr="00164D69">
        <w:rPr>
          <w:rFonts w:ascii="Book Antiqua" w:hAnsi="Book Antiqua" w:cs="Times New Roman"/>
          <w:sz w:val="24"/>
          <w:szCs w:val="24"/>
        </w:rPr>
        <w:t xml:space="preserve"> controlling pro-inflammatory effector T cells. Treg</w:t>
      </w:r>
      <w:r w:rsidR="004C1EB3" w:rsidRPr="00164D69">
        <w:rPr>
          <w:rFonts w:ascii="Book Antiqua" w:hAnsi="Book Antiqua" w:cs="Times New Roman"/>
          <w:sz w:val="24"/>
          <w:szCs w:val="24"/>
        </w:rPr>
        <w:t xml:space="preserve"> cells</w:t>
      </w:r>
      <w:r w:rsidRPr="00164D69">
        <w:rPr>
          <w:rFonts w:ascii="Book Antiqua" w:hAnsi="Book Antiqua" w:cs="Times New Roman"/>
          <w:sz w:val="24"/>
          <w:szCs w:val="24"/>
        </w:rPr>
        <w:t xml:space="preserve"> were first described as “self”-recognising T cells which develop in the thymus. Nowadays this population of Treg</w:t>
      </w:r>
      <w:r w:rsidR="004C1EB3" w:rsidRPr="00164D69">
        <w:rPr>
          <w:rFonts w:ascii="Book Antiqua" w:hAnsi="Book Antiqua" w:cs="Times New Roman"/>
          <w:sz w:val="24"/>
          <w:szCs w:val="24"/>
        </w:rPr>
        <w:t xml:space="preserve"> cells</w:t>
      </w:r>
      <w:r w:rsidRPr="00164D69">
        <w:rPr>
          <w:rFonts w:ascii="Book Antiqua" w:hAnsi="Book Antiqua" w:cs="Times New Roman"/>
          <w:sz w:val="24"/>
          <w:szCs w:val="24"/>
        </w:rPr>
        <w:t xml:space="preserve"> has come to be referred to as naturally occurring Treg (nTreg)</w:t>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RW.CITE{{51 Josefowicz,S.Z. 2012}}</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48</w:t>
      </w:r>
      <w:r w:rsidRPr="00164D69">
        <w:rPr>
          <w:rFonts w:ascii="Book Antiqua" w:hAnsi="Book Antiqua" w:cs="Times New Roman"/>
          <w:sz w:val="24"/>
          <w:szCs w:val="24"/>
        </w:rPr>
        <w:fldChar w:fldCharType="end"/>
      </w:r>
      <w:r w:rsidR="00D46E38" w:rsidRPr="00164D69">
        <w:rPr>
          <w:rFonts w:ascii="Book Antiqua" w:hAnsi="Book Antiqua" w:cs="Times New Roman"/>
          <w:sz w:val="24"/>
          <w:szCs w:val="24"/>
          <w:vertAlign w:val="superscript"/>
        </w:rPr>
        <w:t>]</w:t>
      </w:r>
      <w:r w:rsidR="00D46E38" w:rsidRPr="00164D69">
        <w:rPr>
          <w:rFonts w:ascii="Book Antiqua" w:hAnsi="Book Antiqua" w:cs="Times New Roman"/>
          <w:sz w:val="24"/>
          <w:szCs w:val="24"/>
        </w:rPr>
        <w:t>.</w:t>
      </w:r>
      <w:r w:rsidRPr="00164D69">
        <w:rPr>
          <w:rFonts w:ascii="Book Antiqua" w:hAnsi="Book Antiqua" w:cs="Times New Roman"/>
          <w:sz w:val="24"/>
          <w:szCs w:val="24"/>
        </w:rPr>
        <w:t xml:space="preserve"> Initially, Treg </w:t>
      </w:r>
      <w:r w:rsidR="004C1EB3" w:rsidRPr="00164D69">
        <w:rPr>
          <w:rFonts w:ascii="Book Antiqua" w:hAnsi="Book Antiqua" w:cs="Times New Roman"/>
          <w:sz w:val="24"/>
          <w:szCs w:val="24"/>
        </w:rPr>
        <w:t xml:space="preserve">cells </w:t>
      </w:r>
      <w:r w:rsidRPr="00164D69">
        <w:rPr>
          <w:rFonts w:ascii="Book Antiqua" w:hAnsi="Book Antiqua" w:cs="Times New Roman"/>
          <w:sz w:val="24"/>
          <w:szCs w:val="24"/>
        </w:rPr>
        <w:t xml:space="preserve">were believed to differentiate along a distinct pathway to that of conventional T cells which arise from </w:t>
      </w:r>
      <w:r w:rsidR="004C1EB3" w:rsidRPr="00164D69">
        <w:rPr>
          <w:rFonts w:ascii="Book Antiqua" w:hAnsi="Book Antiqua" w:cs="Times New Roman"/>
          <w:sz w:val="24"/>
          <w:szCs w:val="24"/>
        </w:rPr>
        <w:t>naïve</w:t>
      </w:r>
      <w:r w:rsidRPr="00164D69">
        <w:rPr>
          <w:rFonts w:ascii="Book Antiqua" w:hAnsi="Book Antiqua" w:cs="Times New Roman"/>
          <w:sz w:val="24"/>
          <w:szCs w:val="24"/>
        </w:rPr>
        <w:t xml:space="preserve"> T cells in the periphery (extra-thymically). It is now apparent however that naïve progenitor T cells can give rise to a population of anti-inflammatory Foxp3 expressing T cells extra-thymically. This population is referred to as inducible Treg (iTreg</w:t>
      </w:r>
      <w:r w:rsidR="004C1EB3" w:rsidRPr="00164D69">
        <w:rPr>
          <w:rFonts w:ascii="Book Antiqua" w:hAnsi="Book Antiqua" w:cs="Times New Roman"/>
          <w:sz w:val="24"/>
          <w:szCs w:val="24"/>
        </w:rPr>
        <w:t>)</w:t>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RW.CITE{{51 Josefowicz,S.Z. 2012}}</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48</w:t>
      </w:r>
      <w:r w:rsidRPr="00164D69">
        <w:rPr>
          <w:rFonts w:ascii="Book Antiqua" w:hAnsi="Book Antiqua" w:cs="Times New Roman"/>
          <w:sz w:val="24"/>
          <w:szCs w:val="24"/>
        </w:rPr>
        <w:fldChar w:fldCharType="end"/>
      </w:r>
      <w:r w:rsidR="00D46E38" w:rsidRPr="00164D69">
        <w:rPr>
          <w:rFonts w:ascii="Book Antiqua" w:hAnsi="Book Antiqua" w:cs="Times New Roman"/>
          <w:sz w:val="24"/>
          <w:szCs w:val="24"/>
          <w:vertAlign w:val="superscript"/>
        </w:rPr>
        <w:t>]</w:t>
      </w:r>
      <w:r w:rsidR="00D46E38" w:rsidRPr="00164D69">
        <w:rPr>
          <w:rFonts w:ascii="Book Antiqua" w:hAnsi="Book Antiqua" w:cs="Times New Roman"/>
          <w:sz w:val="24"/>
          <w:szCs w:val="24"/>
        </w:rPr>
        <w:t>.</w:t>
      </w:r>
      <w:r w:rsidRPr="00164D69">
        <w:rPr>
          <w:rFonts w:ascii="Book Antiqua" w:hAnsi="Book Antiqua" w:cs="Times New Roman"/>
          <w:sz w:val="24"/>
          <w:szCs w:val="24"/>
        </w:rPr>
        <w:t xml:space="preserve"> The major residential and developmental organs of iTreg</w:t>
      </w:r>
      <w:r w:rsidR="004C1EB3" w:rsidRPr="00164D69">
        <w:rPr>
          <w:rFonts w:ascii="Book Antiqua" w:hAnsi="Book Antiqua" w:cs="Times New Roman"/>
          <w:sz w:val="24"/>
          <w:szCs w:val="24"/>
        </w:rPr>
        <w:t xml:space="preserve"> cells</w:t>
      </w:r>
      <w:r w:rsidRPr="00164D69">
        <w:rPr>
          <w:rFonts w:ascii="Book Antiqua" w:hAnsi="Book Antiqua" w:cs="Times New Roman"/>
          <w:sz w:val="24"/>
          <w:szCs w:val="24"/>
        </w:rPr>
        <w:t xml:space="preserve"> are in fact the gut mucosa and mesenteric lymph nodes. Differentiation of iTreg cells is dependent on STAT5 and requires activation of the lineage-specifying transcription factor Foxp3.</w:t>
      </w:r>
      <w:r w:rsidR="00164D69" w:rsidRPr="00164D69">
        <w:rPr>
          <w:rFonts w:ascii="Book Antiqua" w:hAnsi="Book Antiqua" w:cs="Times New Roman"/>
          <w:sz w:val="24"/>
          <w:szCs w:val="24"/>
        </w:rPr>
        <w:t xml:space="preserve"> </w:t>
      </w:r>
      <w:r w:rsidR="002822E2" w:rsidRPr="00164D69">
        <w:rPr>
          <w:rFonts w:ascii="Book Antiqua" w:hAnsi="Book Antiqua" w:cs="Times New Roman"/>
          <w:i/>
          <w:sz w:val="24"/>
          <w:szCs w:val="24"/>
        </w:rPr>
        <w:t>in vitro</w:t>
      </w:r>
      <w:r w:rsidRPr="00164D69">
        <w:rPr>
          <w:rFonts w:ascii="Book Antiqua" w:hAnsi="Book Antiqua" w:cs="Times New Roman"/>
          <w:sz w:val="24"/>
          <w:szCs w:val="24"/>
        </w:rPr>
        <w:t xml:space="preserve"> studies using human cells have revealed the critical roles for TGF-β1, together with the cofactor retinoic acid in iTreg development from na</w:t>
      </w:r>
      <w:r w:rsidR="001963E1" w:rsidRPr="00164D69">
        <w:rPr>
          <w:rFonts w:ascii="Book Antiqua" w:hAnsi="Book Antiqua" w:cs="Times New Roman"/>
          <w:sz w:val="24"/>
          <w:szCs w:val="24"/>
        </w:rPr>
        <w:t>ï</w:t>
      </w:r>
      <w:r w:rsidRPr="00164D69">
        <w:rPr>
          <w:rFonts w:ascii="Book Antiqua" w:hAnsi="Book Antiqua" w:cs="Times New Roman"/>
          <w:sz w:val="24"/>
          <w:szCs w:val="24"/>
        </w:rPr>
        <w:t>ve Th cells</w:t>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RW.CITE{{52 Kang,S.G. 2007}}</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49</w:t>
      </w:r>
      <w:r w:rsidRPr="00164D69">
        <w:rPr>
          <w:rFonts w:ascii="Book Antiqua" w:hAnsi="Book Antiqua" w:cs="Times New Roman"/>
          <w:sz w:val="24"/>
          <w:szCs w:val="24"/>
        </w:rPr>
        <w:fldChar w:fldCharType="end"/>
      </w:r>
      <w:r w:rsidR="00D46E38" w:rsidRPr="00164D69">
        <w:rPr>
          <w:rFonts w:ascii="Book Antiqua" w:hAnsi="Book Antiqua" w:cs="Times New Roman"/>
          <w:sz w:val="24"/>
          <w:szCs w:val="24"/>
          <w:vertAlign w:val="superscript"/>
        </w:rPr>
        <w:t>]</w:t>
      </w:r>
      <w:r w:rsidR="00D46E38" w:rsidRPr="00164D69">
        <w:rPr>
          <w:rFonts w:ascii="Book Antiqua" w:hAnsi="Book Antiqua" w:cs="Times New Roman"/>
          <w:sz w:val="24"/>
          <w:szCs w:val="24"/>
        </w:rPr>
        <w:t>.</w:t>
      </w:r>
      <w:r w:rsidRPr="00164D69">
        <w:rPr>
          <w:rFonts w:ascii="Book Antiqua" w:hAnsi="Book Antiqua" w:cs="Times New Roman"/>
          <w:sz w:val="24"/>
          <w:szCs w:val="24"/>
        </w:rPr>
        <w:t xml:space="preserve"> </w:t>
      </w:r>
    </w:p>
    <w:p w14:paraId="2D601EF8" w14:textId="77777777" w:rsidR="00A43052" w:rsidRPr="00164D69" w:rsidRDefault="00A43052" w:rsidP="002F6FCA">
      <w:pPr>
        <w:adjustRightInd w:val="0"/>
        <w:snapToGrid w:val="0"/>
        <w:spacing w:after="0" w:line="360" w:lineRule="auto"/>
        <w:ind w:firstLine="720"/>
        <w:jc w:val="both"/>
        <w:rPr>
          <w:rFonts w:ascii="Book Antiqua" w:hAnsi="Book Antiqua" w:cs="Times New Roman"/>
          <w:sz w:val="24"/>
          <w:szCs w:val="24"/>
        </w:rPr>
      </w:pPr>
    </w:p>
    <w:p w14:paraId="5B90DCD2" w14:textId="77777777" w:rsidR="00A43052" w:rsidRPr="00164D69" w:rsidRDefault="00A43052" w:rsidP="002F6FCA">
      <w:pPr>
        <w:pStyle w:val="a4"/>
        <w:numPr>
          <w:ilvl w:val="1"/>
          <w:numId w:val="7"/>
        </w:numPr>
        <w:adjustRightInd w:val="0"/>
        <w:snapToGrid w:val="0"/>
        <w:spacing w:after="0" w:line="360" w:lineRule="auto"/>
        <w:ind w:left="0"/>
        <w:contextualSpacing w:val="0"/>
        <w:jc w:val="both"/>
        <w:rPr>
          <w:rFonts w:ascii="Book Antiqua" w:hAnsi="Book Antiqua" w:cs="Times New Roman"/>
          <w:vanish/>
          <w:sz w:val="24"/>
          <w:szCs w:val="24"/>
        </w:rPr>
      </w:pPr>
    </w:p>
    <w:p w14:paraId="5F743E20" w14:textId="77777777" w:rsidR="00A43052" w:rsidRPr="00164D69" w:rsidRDefault="003D1406" w:rsidP="002822E2">
      <w:pPr>
        <w:pStyle w:val="a4"/>
        <w:adjustRightInd w:val="0"/>
        <w:snapToGrid w:val="0"/>
        <w:spacing w:after="0" w:line="360" w:lineRule="auto"/>
        <w:ind w:left="0"/>
        <w:contextualSpacing w:val="0"/>
        <w:jc w:val="both"/>
        <w:rPr>
          <w:rFonts w:ascii="Book Antiqua" w:hAnsi="Book Antiqua" w:cs="Times New Roman"/>
          <w:b/>
          <w:i/>
          <w:sz w:val="24"/>
          <w:szCs w:val="24"/>
        </w:rPr>
      </w:pPr>
      <w:r w:rsidRPr="00164D69">
        <w:rPr>
          <w:rFonts w:ascii="Book Antiqua" w:hAnsi="Book Antiqua" w:cs="Times New Roman"/>
          <w:b/>
          <w:i/>
          <w:sz w:val="24"/>
          <w:szCs w:val="24"/>
        </w:rPr>
        <w:t>Similarities and differences</w:t>
      </w:r>
      <w:r w:rsidR="00D025ED" w:rsidRPr="00164D69">
        <w:rPr>
          <w:rFonts w:ascii="Book Antiqua" w:hAnsi="Book Antiqua" w:cs="Times New Roman"/>
          <w:b/>
          <w:i/>
          <w:sz w:val="24"/>
          <w:szCs w:val="24"/>
        </w:rPr>
        <w:t xml:space="preserve"> </w:t>
      </w:r>
      <w:r w:rsidRPr="00164D69">
        <w:rPr>
          <w:rFonts w:ascii="Book Antiqua" w:hAnsi="Book Antiqua" w:cs="Times New Roman"/>
          <w:b/>
          <w:i/>
          <w:sz w:val="24"/>
          <w:szCs w:val="24"/>
        </w:rPr>
        <w:t>between</w:t>
      </w:r>
      <w:r w:rsidR="00A43052" w:rsidRPr="00164D69">
        <w:rPr>
          <w:rFonts w:ascii="Book Antiqua" w:hAnsi="Book Antiqua" w:cs="Times New Roman"/>
          <w:b/>
          <w:i/>
          <w:sz w:val="24"/>
          <w:szCs w:val="24"/>
        </w:rPr>
        <w:t xml:space="preserve"> Th17 and Treg</w:t>
      </w:r>
      <w:r w:rsidRPr="00164D69">
        <w:rPr>
          <w:rFonts w:ascii="Book Antiqua" w:hAnsi="Book Antiqua" w:cs="Times New Roman"/>
          <w:b/>
          <w:i/>
          <w:sz w:val="24"/>
          <w:szCs w:val="24"/>
        </w:rPr>
        <w:t xml:space="preserve"> </w:t>
      </w:r>
      <w:r w:rsidR="00B6204A" w:rsidRPr="00164D69">
        <w:rPr>
          <w:rFonts w:ascii="Book Antiqua" w:hAnsi="Book Antiqua" w:cs="Times New Roman"/>
          <w:b/>
          <w:i/>
          <w:sz w:val="24"/>
          <w:szCs w:val="24"/>
        </w:rPr>
        <w:t>development</w:t>
      </w:r>
    </w:p>
    <w:p w14:paraId="098049AA" w14:textId="4E49EF30" w:rsidR="00A43052" w:rsidRPr="00164D69" w:rsidRDefault="00A43052" w:rsidP="002822E2">
      <w:pPr>
        <w:adjustRightInd w:val="0"/>
        <w:snapToGrid w:val="0"/>
        <w:spacing w:after="0" w:line="360" w:lineRule="auto"/>
        <w:jc w:val="both"/>
        <w:rPr>
          <w:rFonts w:ascii="Book Antiqua" w:hAnsi="Book Antiqua" w:cs="Times New Roman"/>
          <w:sz w:val="24"/>
          <w:szCs w:val="24"/>
        </w:rPr>
      </w:pPr>
      <w:r w:rsidRPr="00164D69">
        <w:rPr>
          <w:rFonts w:ascii="Book Antiqua" w:hAnsi="Book Antiqua" w:cs="Times New Roman"/>
          <w:sz w:val="24"/>
          <w:szCs w:val="24"/>
        </w:rPr>
        <w:t>Interestingly, both Th17 and iTreg</w:t>
      </w:r>
      <w:r w:rsidR="00D025ED" w:rsidRPr="00164D69">
        <w:rPr>
          <w:rFonts w:ascii="Book Antiqua" w:hAnsi="Book Antiqua" w:cs="Times New Roman"/>
          <w:sz w:val="24"/>
          <w:szCs w:val="24"/>
        </w:rPr>
        <w:t xml:space="preserve"> cells </w:t>
      </w:r>
      <w:r w:rsidRPr="00164D69">
        <w:rPr>
          <w:rFonts w:ascii="Book Antiqua" w:hAnsi="Book Antiqua" w:cs="Times New Roman"/>
          <w:sz w:val="24"/>
          <w:szCs w:val="24"/>
        </w:rPr>
        <w:t>share essential developmental cues</w:t>
      </w:r>
      <w:r w:rsidR="00D025ED" w:rsidRPr="00164D69">
        <w:rPr>
          <w:rFonts w:ascii="Book Antiqua" w:hAnsi="Book Antiqua" w:cs="Times New Roman"/>
          <w:sz w:val="24"/>
          <w:szCs w:val="24"/>
        </w:rPr>
        <w:t>,</w:t>
      </w:r>
      <w:r w:rsidRPr="00164D69">
        <w:rPr>
          <w:rFonts w:ascii="Book Antiqua" w:hAnsi="Book Antiqua" w:cs="Times New Roman"/>
          <w:sz w:val="24"/>
          <w:szCs w:val="24"/>
        </w:rPr>
        <w:t xml:space="preserve"> and thus similar developmental pathway</w:t>
      </w:r>
      <w:r w:rsidR="00217D72" w:rsidRPr="00164D69">
        <w:rPr>
          <w:rFonts w:ascii="Book Antiqua" w:hAnsi="Book Antiqua" w:cs="Times New Roman"/>
          <w:sz w:val="24"/>
          <w:szCs w:val="24"/>
        </w:rPr>
        <w:t>s</w:t>
      </w:r>
      <w:r w:rsidR="00D46E38" w:rsidRPr="00164D69">
        <w:rPr>
          <w:rFonts w:ascii="Book Antiqua" w:hAnsi="Book Antiqua" w:cs="Times New Roman"/>
          <w:sz w:val="24"/>
          <w:szCs w:val="24"/>
        </w:rPr>
        <w:t>,</w:t>
      </w:r>
      <w:r w:rsidR="00217D72" w:rsidRPr="00164D69">
        <w:rPr>
          <w:rFonts w:ascii="Book Antiqua" w:hAnsi="Book Antiqua" w:cs="Times New Roman"/>
          <w:sz w:val="24"/>
          <w:szCs w:val="24"/>
        </w:rPr>
        <w:t xml:space="preserve"> as both subsets</w:t>
      </w:r>
      <w:r w:rsidRPr="00164D69">
        <w:rPr>
          <w:rFonts w:ascii="Book Antiqua" w:hAnsi="Book Antiqua" w:cs="Times New Roman"/>
          <w:sz w:val="24"/>
          <w:szCs w:val="24"/>
        </w:rPr>
        <w:t xml:space="preserve"> can be generated under the influence of TGF-β1</w:t>
      </w:r>
      <w:r w:rsidR="00D025ED" w:rsidRPr="00164D69">
        <w:rPr>
          <w:rFonts w:ascii="Book Antiqua" w:hAnsi="Book Antiqua" w:cs="Times New Roman"/>
          <w:sz w:val="24"/>
          <w:szCs w:val="24"/>
        </w:rPr>
        <w:t>.</w:t>
      </w:r>
      <w:r w:rsidRPr="00164D69">
        <w:rPr>
          <w:rFonts w:ascii="Book Antiqua" w:hAnsi="Book Antiqua" w:cs="Times New Roman"/>
          <w:sz w:val="24"/>
          <w:szCs w:val="24"/>
        </w:rPr>
        <w:t xml:space="preserve"> </w:t>
      </w:r>
      <w:r w:rsidR="00D025ED" w:rsidRPr="00164D69">
        <w:rPr>
          <w:rFonts w:ascii="Book Antiqua" w:hAnsi="Book Antiqua" w:cs="Times New Roman"/>
          <w:sz w:val="24"/>
          <w:szCs w:val="24"/>
        </w:rPr>
        <w:t>H</w:t>
      </w:r>
      <w:r w:rsidRPr="00164D69">
        <w:rPr>
          <w:rFonts w:ascii="Book Antiqua" w:hAnsi="Book Antiqua" w:cs="Times New Roman"/>
          <w:sz w:val="24"/>
          <w:szCs w:val="24"/>
        </w:rPr>
        <w:t>owever additional signals specify development of each subset. Similar to Th1 and Th2 subsets, Th17 and Treg can negatively influence each other.</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In mice, increasing concentrations of TGF-β1 are associated </w:t>
      </w:r>
      <w:r w:rsidR="00D025ED" w:rsidRPr="00164D69">
        <w:rPr>
          <w:rFonts w:ascii="Book Antiqua" w:hAnsi="Book Antiqua" w:cs="Times New Roman"/>
          <w:sz w:val="24"/>
          <w:szCs w:val="24"/>
        </w:rPr>
        <w:t xml:space="preserve">with </w:t>
      </w:r>
      <w:r w:rsidRPr="00164D69">
        <w:rPr>
          <w:rFonts w:ascii="Book Antiqua" w:hAnsi="Book Antiqua" w:cs="Times New Roman"/>
          <w:sz w:val="24"/>
          <w:szCs w:val="24"/>
        </w:rPr>
        <w:t>increased Foxp3 levels and decreased IL-23R expression, leading to decreased IL-23-dependent maintenance of Th17 cells and resulting in impaired Th17 development</w:t>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RW.CITE{{53 Zhou,L. 2008}}</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50</w:t>
      </w:r>
      <w:r w:rsidRPr="00164D69">
        <w:rPr>
          <w:rFonts w:ascii="Book Antiqua" w:hAnsi="Book Antiqua" w:cs="Times New Roman"/>
          <w:sz w:val="24"/>
          <w:szCs w:val="24"/>
        </w:rPr>
        <w:fldChar w:fldCharType="end"/>
      </w:r>
      <w:r w:rsidR="00D46E38" w:rsidRPr="00164D69">
        <w:rPr>
          <w:rFonts w:ascii="Book Antiqua" w:hAnsi="Book Antiqua" w:cs="Times New Roman"/>
          <w:sz w:val="24"/>
          <w:szCs w:val="24"/>
          <w:vertAlign w:val="superscript"/>
        </w:rPr>
        <w:t>]</w:t>
      </w:r>
      <w:r w:rsidR="00D46E38" w:rsidRPr="00164D69">
        <w:rPr>
          <w:rFonts w:ascii="Book Antiqua" w:hAnsi="Book Antiqua" w:cs="Times New Roman"/>
          <w:sz w:val="24"/>
          <w:szCs w:val="24"/>
        </w:rPr>
        <w:t>.</w:t>
      </w:r>
      <w:r w:rsidRPr="00164D69">
        <w:rPr>
          <w:rFonts w:ascii="Book Antiqua" w:hAnsi="Book Antiqua" w:cs="Times New Roman"/>
          <w:sz w:val="24"/>
          <w:szCs w:val="24"/>
        </w:rPr>
        <w:t xml:space="preserve"> In addition, Foxp3 was found to directly inhibit IL-17 expression. As a result, Foxp3 and RORγt double expressing T cells in the lamina propria produced lower levels of </w:t>
      </w:r>
      <w:r w:rsidRPr="00164D69">
        <w:rPr>
          <w:rFonts w:ascii="Book Antiqua" w:hAnsi="Book Antiqua" w:cs="Times New Roman"/>
          <w:sz w:val="24"/>
          <w:szCs w:val="24"/>
        </w:rPr>
        <w:lastRenderedPageBreak/>
        <w:t>IL-17 compared to T cells expressing RORγt alone</w:t>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RW.CITE{{53 Zhou,L. 2008}}</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50</w:t>
      </w:r>
      <w:r w:rsidRPr="00164D69">
        <w:rPr>
          <w:rFonts w:ascii="Book Antiqua" w:hAnsi="Book Antiqua" w:cs="Times New Roman"/>
          <w:sz w:val="24"/>
          <w:szCs w:val="24"/>
        </w:rPr>
        <w:fldChar w:fldCharType="end"/>
      </w:r>
      <w:r w:rsidR="00D46E38" w:rsidRPr="00164D69">
        <w:rPr>
          <w:rFonts w:ascii="Book Antiqua" w:hAnsi="Book Antiqua" w:cs="Times New Roman"/>
          <w:sz w:val="24"/>
          <w:szCs w:val="24"/>
          <w:vertAlign w:val="superscript"/>
        </w:rPr>
        <w:t>]</w:t>
      </w:r>
      <w:r w:rsidR="00D46E38"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Smad 2, 3, and 4, which t</w:t>
      </w:r>
      <w:r w:rsidR="002822E2" w:rsidRPr="00164D69">
        <w:rPr>
          <w:rFonts w:ascii="Book Antiqua" w:hAnsi="Book Antiqua" w:cs="Times New Roman"/>
          <w:sz w:val="24"/>
          <w:szCs w:val="24"/>
        </w:rPr>
        <w:t>ransduce the extracellular TGF-</w:t>
      </w:r>
      <w:r w:rsidRPr="00164D69">
        <w:rPr>
          <w:rFonts w:ascii="Book Antiqua" w:hAnsi="Book Antiqua" w:cs="Times New Roman"/>
          <w:sz w:val="24"/>
          <w:szCs w:val="24"/>
        </w:rPr>
        <w:t xml:space="preserve">β1 </w:t>
      </w:r>
      <w:r w:rsidRPr="00164D69">
        <w:rPr>
          <w:rFonts w:ascii="Book Antiqua" w:hAnsi="Book Antiqua" w:cs="Times New Roman"/>
          <w:sz w:val="24"/>
          <w:szCs w:val="24"/>
          <w:shd w:val="clear" w:color="auto" w:fill="FFFFFF"/>
        </w:rPr>
        <w:t xml:space="preserve">signal to the nucleus, </w:t>
      </w:r>
      <w:r w:rsidRPr="00164D69">
        <w:rPr>
          <w:rFonts w:ascii="Book Antiqua" w:hAnsi="Book Antiqua" w:cs="Times New Roman"/>
          <w:sz w:val="24"/>
          <w:szCs w:val="24"/>
        </w:rPr>
        <w:t>are pivotal to iTreg generation whilst dispensable for Th17 development</w:t>
      </w:r>
      <w:r w:rsidR="00D46E3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RW.CITE{{55 Yang,K.L. 2008; 54 Martinez,G.J. 2010}}</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51,52</w:t>
      </w:r>
      <w:r w:rsidRPr="00164D69">
        <w:rPr>
          <w:rFonts w:ascii="Book Antiqua" w:hAnsi="Book Antiqua" w:cs="Times New Roman"/>
          <w:sz w:val="24"/>
          <w:szCs w:val="24"/>
        </w:rPr>
        <w:fldChar w:fldCharType="end"/>
      </w:r>
      <w:r w:rsidR="00D46E38" w:rsidRPr="00164D69">
        <w:rPr>
          <w:rFonts w:ascii="Book Antiqua" w:hAnsi="Book Antiqua" w:cs="Times New Roman"/>
          <w:sz w:val="24"/>
          <w:szCs w:val="24"/>
          <w:vertAlign w:val="superscript"/>
        </w:rPr>
        <w:t>]</w:t>
      </w:r>
      <w:r w:rsidR="00D46E38" w:rsidRPr="00164D69">
        <w:rPr>
          <w:rFonts w:ascii="Book Antiqua" w:hAnsi="Book Antiqua" w:cs="Times New Roman"/>
          <w:sz w:val="24"/>
          <w:szCs w:val="24"/>
        </w:rPr>
        <w:t>.</w:t>
      </w:r>
      <w:r w:rsidRPr="00164D69">
        <w:rPr>
          <w:rFonts w:ascii="Book Antiqua" w:hAnsi="Book Antiqua" w:cs="Times New Roman"/>
          <w:sz w:val="24"/>
          <w:szCs w:val="24"/>
        </w:rPr>
        <w:t xml:space="preserve"> </w:t>
      </w:r>
    </w:p>
    <w:p w14:paraId="1996B1C9" w14:textId="62C6978A" w:rsidR="00A43052" w:rsidRPr="00164D69" w:rsidRDefault="00D025ED" w:rsidP="002822E2">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G</w:t>
      </w:r>
      <w:r w:rsidR="00A43052" w:rsidRPr="00164D69">
        <w:rPr>
          <w:rFonts w:ascii="Book Antiqua" w:hAnsi="Book Antiqua" w:cs="Times New Roman"/>
          <w:sz w:val="24"/>
          <w:szCs w:val="24"/>
        </w:rPr>
        <w:t>ut resident and pathogenic microbes contribute to gut homeostasis and disease in part by shaping Th subset polarization.</w:t>
      </w:r>
      <w:r w:rsidR="00164D69" w:rsidRPr="00164D69">
        <w:rPr>
          <w:rFonts w:ascii="Book Antiqua" w:hAnsi="Book Antiqua" w:cs="Times New Roman"/>
          <w:sz w:val="24"/>
          <w:szCs w:val="24"/>
        </w:rPr>
        <w:t xml:space="preserve"> </w:t>
      </w:r>
      <w:r w:rsidR="00A43052" w:rsidRPr="00164D69">
        <w:rPr>
          <w:rFonts w:ascii="Book Antiqua" w:hAnsi="Book Antiqua" w:cs="Times New Roman"/>
          <w:sz w:val="24"/>
          <w:szCs w:val="24"/>
        </w:rPr>
        <w:t>Interestingly, Th17 cells are induced by components of the intestinal flora</w:t>
      </w:r>
      <w:r w:rsidRPr="00164D69">
        <w:rPr>
          <w:rFonts w:ascii="Book Antiqua" w:hAnsi="Book Antiqua" w:cs="Times New Roman"/>
          <w:sz w:val="24"/>
          <w:szCs w:val="24"/>
        </w:rPr>
        <w:t>,</w:t>
      </w:r>
      <w:r w:rsidR="00A43052" w:rsidRPr="00164D69">
        <w:rPr>
          <w:rFonts w:ascii="Book Antiqua" w:hAnsi="Book Antiqua" w:cs="Times New Roman"/>
          <w:sz w:val="24"/>
          <w:szCs w:val="24"/>
        </w:rPr>
        <w:t xml:space="preserve"> as has been shown for segmented filamentous bacteri</w:t>
      </w:r>
      <w:r w:rsidR="002822E2" w:rsidRPr="00164D69">
        <w:rPr>
          <w:rFonts w:ascii="Book Antiqua" w:hAnsi="Book Antiqua" w:cs="Times New Roman"/>
          <w:sz w:val="24"/>
          <w:szCs w:val="24"/>
        </w:rPr>
        <w:t>a (SFB)</w:t>
      </w:r>
      <w:r w:rsidR="009C6BDD"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fldChar w:fldCharType="begin"/>
      </w:r>
      <w:r w:rsidR="00A43052" w:rsidRPr="00164D69">
        <w:rPr>
          <w:rFonts w:ascii="Book Antiqua" w:hAnsi="Book Antiqua" w:cs="Times New Roman"/>
          <w:sz w:val="24"/>
          <w:szCs w:val="24"/>
        </w:rPr>
        <w:instrText>ADDIN RW.CITE{{56 Goto,Y. 2014}}</w:instrText>
      </w:r>
      <w:r w:rsidR="00A43052" w:rsidRPr="00164D69">
        <w:rPr>
          <w:rFonts w:ascii="Book Antiqua" w:hAnsi="Book Antiqua" w:cs="Times New Roman"/>
          <w:sz w:val="24"/>
          <w:szCs w:val="24"/>
        </w:rPr>
        <w:fldChar w:fldCharType="separate"/>
      </w:r>
      <w:r w:rsidR="00A43052" w:rsidRPr="00164D69">
        <w:rPr>
          <w:rFonts w:ascii="Book Antiqua" w:hAnsi="Book Antiqua" w:cs="Times New Roman"/>
          <w:sz w:val="24"/>
          <w:szCs w:val="24"/>
          <w:vertAlign w:val="superscript"/>
        </w:rPr>
        <w:t>53</w:t>
      </w:r>
      <w:r w:rsidR="00A43052" w:rsidRPr="00164D69">
        <w:rPr>
          <w:rFonts w:ascii="Book Antiqua" w:hAnsi="Book Antiqua" w:cs="Times New Roman"/>
          <w:sz w:val="24"/>
          <w:szCs w:val="24"/>
        </w:rPr>
        <w:fldChar w:fldCharType="end"/>
      </w:r>
      <w:r w:rsidR="009C6BDD" w:rsidRPr="00164D69">
        <w:rPr>
          <w:rFonts w:ascii="Book Antiqua" w:hAnsi="Book Antiqua" w:cs="Times New Roman"/>
          <w:sz w:val="24"/>
          <w:szCs w:val="24"/>
          <w:vertAlign w:val="superscript"/>
        </w:rPr>
        <w:t>]</w:t>
      </w:r>
      <w:r w:rsidR="009C6BDD"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00A43052" w:rsidRPr="00164D69">
        <w:rPr>
          <w:rFonts w:ascii="Book Antiqua" w:hAnsi="Book Antiqua" w:cs="Times New Roman"/>
          <w:sz w:val="24"/>
          <w:szCs w:val="24"/>
        </w:rPr>
        <w:t xml:space="preserve">This </w:t>
      </w:r>
      <w:r w:rsidR="00217D72" w:rsidRPr="00164D69">
        <w:rPr>
          <w:rFonts w:ascii="Book Antiqua" w:hAnsi="Book Antiqua" w:cs="Times New Roman"/>
          <w:sz w:val="24"/>
          <w:szCs w:val="24"/>
        </w:rPr>
        <w:t>requires</w:t>
      </w:r>
      <w:r w:rsidR="00A43052" w:rsidRPr="00164D69">
        <w:rPr>
          <w:rFonts w:ascii="Book Antiqua" w:hAnsi="Book Antiqua" w:cs="Times New Roman"/>
          <w:sz w:val="24"/>
          <w:szCs w:val="24"/>
        </w:rPr>
        <w:t xml:space="preserve"> MHC class II</w:t>
      </w:r>
      <w:r w:rsidR="00217D72" w:rsidRPr="00164D69">
        <w:rPr>
          <w:rFonts w:ascii="Book Antiqua" w:hAnsi="Book Antiqua" w:cs="Times New Roman"/>
          <w:sz w:val="24"/>
          <w:szCs w:val="24"/>
        </w:rPr>
        <w:t xml:space="preserve">-dependent </w:t>
      </w:r>
      <w:r w:rsidR="00436D05" w:rsidRPr="00164D69">
        <w:rPr>
          <w:rFonts w:ascii="Book Antiqua" w:hAnsi="Book Antiqua" w:cs="Times New Roman"/>
          <w:sz w:val="24"/>
          <w:szCs w:val="24"/>
        </w:rPr>
        <w:t>present</w:t>
      </w:r>
      <w:r w:rsidR="00F60CED" w:rsidRPr="00164D69">
        <w:rPr>
          <w:rFonts w:ascii="Book Antiqua" w:hAnsi="Book Antiqua" w:cs="Times New Roman"/>
          <w:sz w:val="24"/>
          <w:szCs w:val="24"/>
        </w:rPr>
        <w:t>at</w:t>
      </w:r>
      <w:r w:rsidR="00436D05" w:rsidRPr="00164D69">
        <w:rPr>
          <w:rFonts w:ascii="Book Antiqua" w:hAnsi="Book Antiqua" w:cs="Times New Roman"/>
          <w:sz w:val="24"/>
          <w:szCs w:val="24"/>
        </w:rPr>
        <w:t>i</w:t>
      </w:r>
      <w:r w:rsidR="00217D72" w:rsidRPr="00164D69">
        <w:rPr>
          <w:rFonts w:ascii="Book Antiqua" w:hAnsi="Book Antiqua" w:cs="Times New Roman"/>
          <w:sz w:val="24"/>
          <w:szCs w:val="24"/>
        </w:rPr>
        <w:t>on of</w:t>
      </w:r>
      <w:r w:rsidR="00A43052" w:rsidRPr="00164D69">
        <w:rPr>
          <w:rFonts w:ascii="Book Antiqua" w:hAnsi="Book Antiqua" w:cs="Times New Roman"/>
          <w:sz w:val="24"/>
          <w:szCs w:val="24"/>
        </w:rPr>
        <w:t xml:space="preserve"> </w:t>
      </w:r>
      <w:r w:rsidR="00436D05" w:rsidRPr="00164D69">
        <w:rPr>
          <w:rFonts w:ascii="Book Antiqua" w:hAnsi="Book Antiqua" w:cs="Times New Roman"/>
          <w:sz w:val="24"/>
          <w:szCs w:val="24"/>
        </w:rPr>
        <w:t xml:space="preserve">SFB </w:t>
      </w:r>
      <w:r w:rsidR="00A43052" w:rsidRPr="00164D69">
        <w:rPr>
          <w:rFonts w:ascii="Book Antiqua" w:hAnsi="Book Antiqua" w:cs="Times New Roman"/>
          <w:sz w:val="24"/>
          <w:szCs w:val="24"/>
        </w:rPr>
        <w:t>antigens by DCs.</w:t>
      </w:r>
      <w:r w:rsidR="00164D69" w:rsidRPr="00164D69">
        <w:rPr>
          <w:rFonts w:ascii="Book Antiqua" w:hAnsi="Book Antiqua" w:cs="Times New Roman"/>
          <w:sz w:val="24"/>
          <w:szCs w:val="24"/>
        </w:rPr>
        <w:t xml:space="preserve"> </w:t>
      </w:r>
      <w:r w:rsidR="00A43052" w:rsidRPr="00164D69">
        <w:rPr>
          <w:rFonts w:ascii="Book Antiqua" w:hAnsi="Book Antiqua" w:cs="Times New Roman"/>
          <w:sz w:val="24"/>
          <w:szCs w:val="24"/>
        </w:rPr>
        <w:t xml:space="preserve">On the other hand, commensal bacteria are known to influence gut tolerance by generating Treg </w:t>
      </w:r>
      <w:r w:rsidR="009C6BDD" w:rsidRPr="00164D69">
        <w:rPr>
          <w:rFonts w:ascii="Book Antiqua" w:hAnsi="Book Antiqua" w:cs="Times New Roman"/>
          <w:sz w:val="24"/>
          <w:szCs w:val="24"/>
        </w:rPr>
        <w:t xml:space="preserve">cells </w:t>
      </w:r>
      <w:r w:rsidR="00A43052" w:rsidRPr="00164D69">
        <w:rPr>
          <w:rFonts w:ascii="Book Antiqua" w:hAnsi="Book Antiqua" w:cs="Times New Roman"/>
          <w:sz w:val="24"/>
          <w:szCs w:val="24"/>
        </w:rPr>
        <w:t>specific to themselves. Transplantation of specific</w:t>
      </w:r>
      <w:r w:rsidR="00164D69" w:rsidRPr="00164D69">
        <w:rPr>
          <w:rFonts w:ascii="Book Antiqua" w:hAnsi="Book Antiqua" w:cs="Times New Roman"/>
          <w:sz w:val="24"/>
          <w:szCs w:val="24"/>
        </w:rPr>
        <w:t xml:space="preserve"> </w:t>
      </w:r>
      <w:r w:rsidR="00A43052" w:rsidRPr="00164D69">
        <w:rPr>
          <w:rFonts w:ascii="Book Antiqua" w:hAnsi="Book Antiqua" w:cs="Times New Roman"/>
          <w:i/>
          <w:sz w:val="24"/>
          <w:szCs w:val="24"/>
        </w:rPr>
        <w:t xml:space="preserve">Clostridia </w:t>
      </w:r>
      <w:r w:rsidR="00A43052" w:rsidRPr="00164D69">
        <w:rPr>
          <w:rFonts w:ascii="Book Antiqua" w:hAnsi="Book Antiqua" w:cs="Times New Roman"/>
          <w:sz w:val="24"/>
          <w:szCs w:val="24"/>
        </w:rPr>
        <w:t>clusters into germ free mice induces increased colonic Treg</w:t>
      </w:r>
      <w:r w:rsidR="009C6BDD" w:rsidRPr="00164D69">
        <w:rPr>
          <w:rFonts w:ascii="Book Antiqua" w:hAnsi="Book Antiqua" w:cs="Times New Roman"/>
          <w:sz w:val="24"/>
          <w:szCs w:val="24"/>
          <w:vertAlign w:val="superscript"/>
        </w:rPr>
        <w:t xml:space="preserve"> </w:t>
      </w:r>
      <w:r w:rsidR="00B7614A" w:rsidRPr="00164D69">
        <w:rPr>
          <w:rFonts w:ascii="Book Antiqua" w:hAnsi="Book Antiqua" w:cs="Times New Roman"/>
          <w:sz w:val="24"/>
          <w:szCs w:val="24"/>
        </w:rPr>
        <w:t>cells</w:t>
      </w:r>
      <w:r w:rsidR="009C6BDD" w:rsidRPr="00164D69">
        <w:rPr>
          <w:rFonts w:ascii="Book Antiqua" w:hAnsi="Book Antiqua" w:cs="Times New Roman"/>
          <w:sz w:val="24"/>
          <w:szCs w:val="24"/>
          <w:vertAlign w:val="superscript"/>
        </w:rPr>
        <w:t>[</w:t>
      </w:r>
      <w:r w:rsidR="009C6BDD" w:rsidRPr="00164D69">
        <w:rPr>
          <w:rFonts w:ascii="Book Antiqua" w:hAnsi="Book Antiqua" w:cs="Times New Roman"/>
          <w:sz w:val="24"/>
          <w:szCs w:val="24"/>
        </w:rPr>
        <w:fldChar w:fldCharType="begin"/>
      </w:r>
      <w:r w:rsidR="009C6BDD" w:rsidRPr="00164D69">
        <w:rPr>
          <w:rFonts w:ascii="Book Antiqua" w:hAnsi="Book Antiqua" w:cs="Times New Roman"/>
          <w:sz w:val="24"/>
          <w:szCs w:val="24"/>
        </w:rPr>
        <w:instrText>ADDIN RW.CITE{{58 Atarashi,K. 2013; 59 Geuking,M.B. 2011}}</w:instrText>
      </w:r>
      <w:r w:rsidR="009C6BDD" w:rsidRPr="00164D69">
        <w:rPr>
          <w:rFonts w:ascii="Book Antiqua" w:hAnsi="Book Antiqua" w:cs="Times New Roman"/>
          <w:sz w:val="24"/>
          <w:szCs w:val="24"/>
        </w:rPr>
        <w:fldChar w:fldCharType="separate"/>
      </w:r>
      <w:r w:rsidR="009C6BDD" w:rsidRPr="00164D69">
        <w:rPr>
          <w:rFonts w:ascii="Book Antiqua" w:hAnsi="Book Antiqua" w:cs="Times New Roman"/>
          <w:sz w:val="24"/>
          <w:szCs w:val="24"/>
          <w:vertAlign w:val="superscript"/>
        </w:rPr>
        <w:t>54,55</w:t>
      </w:r>
      <w:r w:rsidR="009C6BDD" w:rsidRPr="00164D69">
        <w:rPr>
          <w:rFonts w:ascii="Book Antiqua" w:hAnsi="Book Antiqua" w:cs="Times New Roman"/>
          <w:sz w:val="24"/>
          <w:szCs w:val="24"/>
        </w:rPr>
        <w:fldChar w:fldCharType="end"/>
      </w:r>
      <w:r w:rsidR="009C6BDD"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00A43052" w:rsidRPr="00164D69">
        <w:rPr>
          <w:rFonts w:ascii="Book Antiqua" w:hAnsi="Book Antiqua" w:cs="Times New Roman"/>
          <w:i/>
          <w:sz w:val="24"/>
          <w:szCs w:val="24"/>
        </w:rPr>
        <w:t>Lactobacillus reuteri</w:t>
      </w:r>
      <w:r w:rsidR="00A43052" w:rsidRPr="00164D69">
        <w:rPr>
          <w:rFonts w:ascii="Book Antiqua" w:hAnsi="Book Antiqua" w:cs="Times New Roman"/>
          <w:sz w:val="24"/>
          <w:szCs w:val="24"/>
        </w:rPr>
        <w:t xml:space="preserve"> colonization is also associated with an increase in gut residential Treg</w:t>
      </w:r>
      <w:r w:rsidR="009C6BDD" w:rsidRPr="00164D69">
        <w:rPr>
          <w:rFonts w:ascii="Book Antiqua" w:hAnsi="Book Antiqua" w:cs="Times New Roman"/>
          <w:sz w:val="24"/>
          <w:szCs w:val="24"/>
          <w:vertAlign w:val="superscript"/>
        </w:rPr>
        <w:t xml:space="preserve"> </w:t>
      </w:r>
      <w:r w:rsidR="00B7614A" w:rsidRPr="00164D69">
        <w:rPr>
          <w:rFonts w:ascii="Book Antiqua" w:hAnsi="Book Antiqua" w:cs="Times New Roman"/>
          <w:sz w:val="24"/>
          <w:szCs w:val="24"/>
        </w:rPr>
        <w:t>cells</w:t>
      </w:r>
      <w:r w:rsidR="009C6BDD" w:rsidRPr="00164D69">
        <w:rPr>
          <w:rFonts w:ascii="Book Antiqua" w:hAnsi="Book Antiqua" w:cs="Times New Roman"/>
          <w:sz w:val="24"/>
          <w:szCs w:val="24"/>
          <w:vertAlign w:val="superscript"/>
        </w:rPr>
        <w:t>[</w:t>
      </w:r>
      <w:r w:rsidR="009C6BDD" w:rsidRPr="00164D69">
        <w:rPr>
          <w:rFonts w:ascii="Book Antiqua" w:hAnsi="Book Antiqua" w:cs="Times New Roman"/>
          <w:sz w:val="24"/>
          <w:szCs w:val="24"/>
        </w:rPr>
        <w:fldChar w:fldCharType="begin"/>
      </w:r>
      <w:r w:rsidR="009C6BDD" w:rsidRPr="00164D69">
        <w:rPr>
          <w:rFonts w:ascii="Book Antiqua" w:hAnsi="Book Antiqua" w:cs="Times New Roman"/>
          <w:sz w:val="24"/>
          <w:szCs w:val="24"/>
        </w:rPr>
        <w:instrText>ADDIN RW.CITE{{60 Livingston,M. 2010}}</w:instrText>
      </w:r>
      <w:r w:rsidR="009C6BDD" w:rsidRPr="00164D69">
        <w:rPr>
          <w:rFonts w:ascii="Book Antiqua" w:hAnsi="Book Antiqua" w:cs="Times New Roman"/>
          <w:sz w:val="24"/>
          <w:szCs w:val="24"/>
        </w:rPr>
        <w:fldChar w:fldCharType="separate"/>
      </w:r>
      <w:r w:rsidR="009C6BDD" w:rsidRPr="00164D69">
        <w:rPr>
          <w:rFonts w:ascii="Book Antiqua" w:hAnsi="Book Antiqua" w:cs="Times New Roman"/>
          <w:sz w:val="24"/>
          <w:szCs w:val="24"/>
          <w:vertAlign w:val="superscript"/>
        </w:rPr>
        <w:t>56</w:t>
      </w:r>
      <w:r w:rsidR="009C6BDD" w:rsidRPr="00164D69">
        <w:rPr>
          <w:rFonts w:ascii="Book Antiqua" w:hAnsi="Book Antiqua" w:cs="Times New Roman"/>
          <w:sz w:val="24"/>
          <w:szCs w:val="24"/>
        </w:rPr>
        <w:fldChar w:fldCharType="end"/>
      </w:r>
      <w:r w:rsidR="009C6BDD"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t>. Interestingly, bacterial fermentation products may also play an important role in Treg generation. The short-chain fatty acids (SCFAs) can promote DC tolerance along with generation of colonic Treg</w:t>
      </w:r>
      <w:r w:rsidR="009C6BDD" w:rsidRPr="00164D69">
        <w:rPr>
          <w:rFonts w:ascii="Book Antiqua" w:hAnsi="Book Antiqua" w:cs="Times New Roman"/>
          <w:sz w:val="24"/>
          <w:szCs w:val="24"/>
          <w:vertAlign w:val="superscript"/>
        </w:rPr>
        <w:t xml:space="preserve"> </w:t>
      </w:r>
      <w:r w:rsidR="00B7614A" w:rsidRPr="00164D69">
        <w:rPr>
          <w:rFonts w:ascii="Book Antiqua" w:hAnsi="Book Antiqua" w:cs="Times New Roman"/>
          <w:sz w:val="24"/>
          <w:szCs w:val="24"/>
        </w:rPr>
        <w:t>cells</w:t>
      </w:r>
      <w:r w:rsidR="009C6BDD" w:rsidRPr="00164D69">
        <w:rPr>
          <w:rFonts w:ascii="Book Antiqua" w:hAnsi="Book Antiqua" w:cs="Times New Roman"/>
          <w:sz w:val="24"/>
          <w:szCs w:val="24"/>
          <w:vertAlign w:val="superscript"/>
        </w:rPr>
        <w:t>[</w:t>
      </w:r>
      <w:r w:rsidR="009C6BDD" w:rsidRPr="00164D69">
        <w:rPr>
          <w:rFonts w:ascii="Book Antiqua" w:hAnsi="Book Antiqua" w:cs="Times New Roman"/>
          <w:sz w:val="24"/>
          <w:szCs w:val="24"/>
        </w:rPr>
        <w:fldChar w:fldCharType="begin"/>
      </w:r>
      <w:r w:rsidR="009C6BDD" w:rsidRPr="00164D69">
        <w:rPr>
          <w:rFonts w:ascii="Book Antiqua" w:hAnsi="Book Antiqua" w:cs="Times New Roman"/>
          <w:sz w:val="24"/>
          <w:szCs w:val="24"/>
        </w:rPr>
        <w:instrText>ADDIN RW.CITE{{62 Singh,N. 2014; 61 Arpaia,N. 2013}}</w:instrText>
      </w:r>
      <w:r w:rsidR="009C6BDD" w:rsidRPr="00164D69">
        <w:rPr>
          <w:rFonts w:ascii="Book Antiqua" w:hAnsi="Book Antiqua" w:cs="Times New Roman"/>
          <w:sz w:val="24"/>
          <w:szCs w:val="24"/>
        </w:rPr>
        <w:fldChar w:fldCharType="separate"/>
      </w:r>
      <w:r w:rsidR="009C6BDD" w:rsidRPr="00164D69">
        <w:rPr>
          <w:rFonts w:ascii="Book Antiqua" w:hAnsi="Book Antiqua" w:cs="Times New Roman"/>
          <w:sz w:val="24"/>
          <w:szCs w:val="24"/>
          <w:vertAlign w:val="superscript"/>
        </w:rPr>
        <w:t>57,58</w:t>
      </w:r>
      <w:r w:rsidR="009C6BDD" w:rsidRPr="00164D69">
        <w:rPr>
          <w:rFonts w:ascii="Book Antiqua" w:hAnsi="Book Antiqua" w:cs="Times New Roman"/>
          <w:sz w:val="24"/>
          <w:szCs w:val="24"/>
        </w:rPr>
        <w:fldChar w:fldCharType="end"/>
      </w:r>
      <w:r w:rsidR="009C6BDD"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t xml:space="preserve">. Another bacterial product, polysaccharide A (PSA) from </w:t>
      </w:r>
      <w:r w:rsidR="00A43052" w:rsidRPr="00164D69">
        <w:rPr>
          <w:rFonts w:ascii="Book Antiqua" w:hAnsi="Book Antiqua" w:cs="Times New Roman"/>
          <w:i/>
          <w:sz w:val="24"/>
          <w:szCs w:val="24"/>
        </w:rPr>
        <w:t xml:space="preserve">Bacteroides fragilis </w:t>
      </w:r>
      <w:r w:rsidR="00A43052" w:rsidRPr="00164D69">
        <w:rPr>
          <w:rFonts w:ascii="Book Antiqua" w:hAnsi="Book Antiqua" w:cs="Times New Roman"/>
          <w:sz w:val="24"/>
          <w:szCs w:val="24"/>
        </w:rPr>
        <w:t>can induce anti-inflammatory Foxp3+, IL-10 secreting Treg</w:t>
      </w:r>
      <w:r w:rsidR="002337B8" w:rsidRPr="00164D69">
        <w:rPr>
          <w:rFonts w:ascii="Book Antiqua" w:hAnsi="Book Antiqua" w:cs="Times New Roman"/>
          <w:sz w:val="24"/>
          <w:szCs w:val="24"/>
        </w:rPr>
        <w:t xml:space="preserve"> cells</w:t>
      </w:r>
      <w:r w:rsidR="00A43052" w:rsidRPr="00164D69">
        <w:rPr>
          <w:rFonts w:ascii="Book Antiqua" w:hAnsi="Book Antiqua" w:cs="Times New Roman"/>
          <w:sz w:val="24"/>
          <w:szCs w:val="24"/>
        </w:rPr>
        <w:t xml:space="preserve"> </w:t>
      </w:r>
      <w:r w:rsidR="00164D69" w:rsidRPr="00164D69">
        <w:rPr>
          <w:rFonts w:ascii="Book Antiqua" w:hAnsi="Book Antiqua" w:cs="Times New Roman"/>
          <w:i/>
          <w:sz w:val="24"/>
          <w:szCs w:val="24"/>
        </w:rPr>
        <w:t xml:space="preserve">via </w:t>
      </w:r>
      <w:r w:rsidR="00A43052" w:rsidRPr="00164D69">
        <w:rPr>
          <w:rFonts w:ascii="Book Antiqua" w:hAnsi="Book Antiqua" w:cs="Times New Roman"/>
          <w:sz w:val="24"/>
          <w:szCs w:val="24"/>
        </w:rPr>
        <w:t xml:space="preserve"> TLR2 signalling</w:t>
      </w:r>
      <w:r w:rsidR="009C6BDD"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fldChar w:fldCharType="begin"/>
      </w:r>
      <w:r w:rsidR="00A43052" w:rsidRPr="00164D69">
        <w:rPr>
          <w:rFonts w:ascii="Book Antiqua" w:hAnsi="Book Antiqua" w:cs="Times New Roman"/>
          <w:sz w:val="24"/>
          <w:szCs w:val="24"/>
        </w:rPr>
        <w:instrText>ADDIN RW.CITE{{63 Round,J.L. 2011}}</w:instrText>
      </w:r>
      <w:r w:rsidR="00A43052" w:rsidRPr="00164D69">
        <w:rPr>
          <w:rFonts w:ascii="Book Antiqua" w:hAnsi="Book Antiqua" w:cs="Times New Roman"/>
          <w:sz w:val="24"/>
          <w:szCs w:val="24"/>
        </w:rPr>
        <w:fldChar w:fldCharType="separate"/>
      </w:r>
      <w:r w:rsidR="00A43052" w:rsidRPr="00164D69">
        <w:rPr>
          <w:rFonts w:ascii="Book Antiqua" w:hAnsi="Book Antiqua" w:cs="Times New Roman"/>
          <w:sz w:val="24"/>
          <w:szCs w:val="24"/>
          <w:vertAlign w:val="superscript"/>
        </w:rPr>
        <w:t>59</w:t>
      </w:r>
      <w:r w:rsidR="00A43052" w:rsidRPr="00164D69">
        <w:rPr>
          <w:rFonts w:ascii="Book Antiqua" w:hAnsi="Book Antiqua" w:cs="Times New Roman"/>
          <w:sz w:val="24"/>
          <w:szCs w:val="24"/>
        </w:rPr>
        <w:fldChar w:fldCharType="end"/>
      </w:r>
      <w:r w:rsidR="009C6BDD" w:rsidRPr="00164D69">
        <w:rPr>
          <w:rFonts w:ascii="Book Antiqua" w:hAnsi="Book Antiqua" w:cs="Times New Roman"/>
          <w:sz w:val="24"/>
          <w:szCs w:val="24"/>
          <w:vertAlign w:val="superscript"/>
        </w:rPr>
        <w:t>]</w:t>
      </w:r>
      <w:r w:rsidR="00B7614A" w:rsidRPr="00164D69">
        <w:rPr>
          <w:rFonts w:ascii="Book Antiqua" w:hAnsi="Book Antiqua" w:cs="Times New Roman"/>
          <w:sz w:val="24"/>
          <w:szCs w:val="24"/>
        </w:rPr>
        <w:t>.</w:t>
      </w:r>
      <w:r w:rsidR="00A43052" w:rsidRPr="00164D69">
        <w:rPr>
          <w:rFonts w:ascii="Book Antiqua" w:hAnsi="Book Antiqua" w:cs="Times New Roman"/>
          <w:sz w:val="24"/>
          <w:szCs w:val="24"/>
        </w:rPr>
        <w:t xml:space="preserve"> Thus, intestinal dietary and commensal products can influence Treg and Th17 development. </w:t>
      </w:r>
    </w:p>
    <w:p w14:paraId="452F3A3F" w14:textId="77777777" w:rsidR="00A43052" w:rsidRPr="00164D69" w:rsidRDefault="00A43052" w:rsidP="002F6FCA">
      <w:pPr>
        <w:adjustRightInd w:val="0"/>
        <w:snapToGrid w:val="0"/>
        <w:spacing w:after="0" w:line="360" w:lineRule="auto"/>
        <w:jc w:val="both"/>
        <w:rPr>
          <w:rFonts w:ascii="Book Antiqua" w:hAnsi="Book Antiqua" w:cs="Times New Roman"/>
          <w:sz w:val="24"/>
          <w:szCs w:val="24"/>
        </w:rPr>
      </w:pPr>
    </w:p>
    <w:p w14:paraId="3FDA4EA4" w14:textId="66347872" w:rsidR="00A43052" w:rsidRPr="00164D69" w:rsidRDefault="002822E2" w:rsidP="002822E2">
      <w:pPr>
        <w:pStyle w:val="a4"/>
        <w:adjustRightInd w:val="0"/>
        <w:snapToGrid w:val="0"/>
        <w:spacing w:after="0" w:line="360" w:lineRule="auto"/>
        <w:ind w:left="0"/>
        <w:contextualSpacing w:val="0"/>
        <w:jc w:val="both"/>
        <w:rPr>
          <w:rFonts w:ascii="Book Antiqua" w:hAnsi="Book Antiqua" w:cs="Times New Roman"/>
          <w:b/>
          <w:sz w:val="24"/>
          <w:szCs w:val="24"/>
        </w:rPr>
      </w:pPr>
      <w:r w:rsidRPr="00164D69">
        <w:rPr>
          <w:rFonts w:ascii="Book Antiqua" w:hAnsi="Book Antiqua" w:cs="Times New Roman"/>
          <w:b/>
          <w:sz w:val="24"/>
          <w:szCs w:val="24"/>
        </w:rPr>
        <w:t>MECHANISMS OF PLASTICITY AND RECIPROCAL REGULATION BETWEEN TREG AND TH17 SUBSET</w:t>
      </w:r>
    </w:p>
    <w:p w14:paraId="3507B58E" w14:textId="4721E17D"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sz w:val="24"/>
          <w:szCs w:val="24"/>
        </w:rPr>
      </w:pPr>
      <w:r w:rsidRPr="00164D69">
        <w:rPr>
          <w:rFonts w:ascii="Book Antiqua" w:hAnsi="Book Antiqua" w:cs="Times New Roman"/>
          <w:sz w:val="24"/>
          <w:szCs w:val="24"/>
        </w:rPr>
        <w:t xml:space="preserve">There are at least four major pathways and/or factors which contribute to Th17 plasticity. The cytokine milieu directs T cell subset development and also induces plasticity </w:t>
      </w:r>
      <w:r w:rsidR="00164D69" w:rsidRPr="00164D69">
        <w:rPr>
          <w:rFonts w:ascii="Book Antiqua" w:hAnsi="Book Antiqua" w:cs="Times New Roman"/>
          <w:i/>
          <w:sz w:val="24"/>
          <w:szCs w:val="24"/>
        </w:rPr>
        <w:t xml:space="preserve">via </w:t>
      </w:r>
      <w:r w:rsidRPr="00164D69">
        <w:rPr>
          <w:rFonts w:ascii="Book Antiqua" w:hAnsi="Book Antiqua" w:cs="Times New Roman"/>
          <w:sz w:val="24"/>
          <w:szCs w:val="24"/>
        </w:rPr>
        <w:t xml:space="preserve"> the activation of different and specific STAT molecules and multiple transcription factors. </w:t>
      </w:r>
      <w:r w:rsidR="00A84DF4" w:rsidRPr="00164D69">
        <w:rPr>
          <w:rFonts w:ascii="Book Antiqua" w:hAnsi="Book Antiqua" w:cs="Times New Roman"/>
          <w:sz w:val="24"/>
          <w:szCs w:val="24"/>
        </w:rPr>
        <w:t xml:space="preserve">Furthermore, it has emerged that </w:t>
      </w:r>
      <w:r w:rsidRPr="00164D69">
        <w:rPr>
          <w:rFonts w:ascii="Book Antiqua" w:hAnsi="Book Antiqua" w:cs="Times New Roman"/>
          <w:sz w:val="24"/>
          <w:szCs w:val="24"/>
        </w:rPr>
        <w:t>immune-regulatory micro RNA (miR) play</w:t>
      </w:r>
      <w:r w:rsidR="00A84DF4" w:rsidRPr="00164D69">
        <w:rPr>
          <w:rFonts w:ascii="Book Antiqua" w:hAnsi="Book Antiqua" w:cs="Times New Roman"/>
          <w:sz w:val="24"/>
          <w:szCs w:val="24"/>
        </w:rPr>
        <w:t>s</w:t>
      </w:r>
      <w:r w:rsidRPr="00164D69">
        <w:rPr>
          <w:rFonts w:ascii="Book Antiqua" w:hAnsi="Book Antiqua" w:cs="Times New Roman"/>
          <w:sz w:val="24"/>
          <w:szCs w:val="24"/>
        </w:rPr>
        <w:t xml:space="preserve"> a fundamental role in controlling gene expression</w:t>
      </w:r>
      <w:r w:rsidR="00A84DF4" w:rsidRPr="00164D69">
        <w:rPr>
          <w:rFonts w:ascii="Book Antiqua" w:hAnsi="Book Antiqua" w:cs="Times New Roman"/>
          <w:sz w:val="24"/>
          <w:szCs w:val="24"/>
        </w:rPr>
        <w:t>,</w:t>
      </w:r>
      <w:r w:rsidRPr="00164D69">
        <w:rPr>
          <w:rFonts w:ascii="Book Antiqua" w:hAnsi="Book Antiqua" w:cs="Times New Roman"/>
          <w:sz w:val="24"/>
          <w:szCs w:val="24"/>
        </w:rPr>
        <w:t xml:space="preserve"> thus influenc</w:t>
      </w:r>
      <w:r w:rsidR="00A84DF4" w:rsidRPr="00164D69">
        <w:rPr>
          <w:rFonts w:ascii="Book Antiqua" w:hAnsi="Book Antiqua" w:cs="Times New Roman"/>
          <w:sz w:val="24"/>
          <w:szCs w:val="24"/>
        </w:rPr>
        <w:t>ing</w:t>
      </w:r>
      <w:r w:rsidRPr="00164D69">
        <w:rPr>
          <w:rFonts w:ascii="Book Antiqua" w:hAnsi="Book Antiqua" w:cs="Times New Roman"/>
          <w:sz w:val="24"/>
          <w:szCs w:val="24"/>
        </w:rPr>
        <w:t xml:space="preserve"> T cell fate and plasticity.</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There is also the unique role of aryl hydrocarbon receptor (AhR) and its environmental and physiological ligands </w:t>
      </w:r>
      <w:r w:rsidR="00000D24" w:rsidRPr="00164D69">
        <w:rPr>
          <w:rFonts w:ascii="Book Antiqua" w:hAnsi="Book Antiqua" w:cs="Times New Roman"/>
          <w:sz w:val="24"/>
          <w:szCs w:val="24"/>
        </w:rPr>
        <w:t>alongside</w:t>
      </w:r>
      <w:r w:rsidRPr="00164D69">
        <w:rPr>
          <w:rFonts w:ascii="Book Antiqua" w:hAnsi="Book Antiqua" w:cs="Times New Roman"/>
          <w:sz w:val="24"/>
          <w:szCs w:val="24"/>
        </w:rPr>
        <w:t xml:space="preserve"> histone methylation and epigenenetic modifications which may fundamentally influence T cell plasticity. </w:t>
      </w:r>
      <w:r w:rsidR="00DD58CA" w:rsidRPr="00164D69">
        <w:rPr>
          <w:rFonts w:ascii="Book Antiqua" w:hAnsi="Book Antiqua" w:cs="Times New Roman"/>
          <w:sz w:val="24"/>
          <w:szCs w:val="24"/>
        </w:rPr>
        <w:t xml:space="preserve">Figure 1 summarizes </w:t>
      </w:r>
      <w:r w:rsidR="001E6BCF" w:rsidRPr="00164D69">
        <w:rPr>
          <w:rFonts w:ascii="Book Antiqua" w:hAnsi="Book Antiqua" w:cs="Times New Roman"/>
          <w:sz w:val="24"/>
          <w:szCs w:val="24"/>
        </w:rPr>
        <w:t>the</w:t>
      </w:r>
      <w:r w:rsidR="00DD58CA" w:rsidRPr="00164D69">
        <w:rPr>
          <w:rFonts w:ascii="Book Antiqua" w:hAnsi="Book Antiqua" w:cs="Times New Roman"/>
          <w:sz w:val="24"/>
          <w:szCs w:val="24"/>
        </w:rPr>
        <w:t xml:space="preserve"> concept of Th17 plasticity.</w:t>
      </w:r>
      <w:r w:rsidR="00164D69" w:rsidRPr="00164D69">
        <w:rPr>
          <w:rFonts w:ascii="Book Antiqua" w:hAnsi="Book Antiqua" w:cs="Times New Roman"/>
          <w:sz w:val="24"/>
          <w:szCs w:val="24"/>
        </w:rPr>
        <w:t xml:space="preserve"> </w:t>
      </w:r>
    </w:p>
    <w:p w14:paraId="03CCE979" w14:textId="77777777" w:rsidR="00A43052" w:rsidRPr="00164D69" w:rsidRDefault="00A43052" w:rsidP="002F6FCA">
      <w:pPr>
        <w:pStyle w:val="a4"/>
        <w:adjustRightInd w:val="0"/>
        <w:snapToGrid w:val="0"/>
        <w:spacing w:after="0" w:line="360" w:lineRule="auto"/>
        <w:ind w:left="0" w:firstLine="720"/>
        <w:contextualSpacing w:val="0"/>
        <w:jc w:val="both"/>
        <w:rPr>
          <w:rFonts w:ascii="Book Antiqua" w:hAnsi="Book Antiqua" w:cs="Times New Roman"/>
          <w:sz w:val="24"/>
          <w:szCs w:val="24"/>
        </w:rPr>
      </w:pPr>
    </w:p>
    <w:p w14:paraId="6725751C" w14:textId="77777777"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b/>
          <w:i/>
          <w:sz w:val="24"/>
          <w:szCs w:val="24"/>
        </w:rPr>
      </w:pPr>
      <w:r w:rsidRPr="00164D69">
        <w:rPr>
          <w:rFonts w:ascii="Book Antiqua" w:hAnsi="Book Antiqua" w:cs="Times New Roman"/>
          <w:b/>
          <w:i/>
          <w:sz w:val="24"/>
          <w:szCs w:val="24"/>
        </w:rPr>
        <w:t>Cytokine pathways (main contributor to plasticity</w:t>
      </w:r>
      <w:r w:rsidRPr="00164D69">
        <w:rPr>
          <w:rFonts w:ascii="Book Antiqua" w:hAnsi="Book Antiqua" w:cs="Times New Roman"/>
          <w:b/>
          <w:sz w:val="24"/>
          <w:szCs w:val="24"/>
        </w:rPr>
        <w:t>)</w:t>
      </w:r>
    </w:p>
    <w:p w14:paraId="230AAF2E" w14:textId="1959AD74" w:rsidR="00A43052" w:rsidRPr="00164D69" w:rsidRDefault="00A43052" w:rsidP="002822E2">
      <w:pPr>
        <w:adjustRightInd w:val="0"/>
        <w:snapToGrid w:val="0"/>
        <w:spacing w:after="0" w:line="360" w:lineRule="auto"/>
        <w:jc w:val="both"/>
        <w:rPr>
          <w:rFonts w:ascii="Book Antiqua" w:hAnsi="Book Antiqua" w:cs="Times New Roman"/>
          <w:sz w:val="24"/>
          <w:szCs w:val="24"/>
        </w:rPr>
      </w:pPr>
      <w:r w:rsidRPr="00164D69">
        <w:rPr>
          <w:rFonts w:ascii="Book Antiqua" w:hAnsi="Book Antiqua" w:cs="Times New Roman"/>
          <w:sz w:val="24"/>
          <w:szCs w:val="24"/>
        </w:rPr>
        <w:lastRenderedPageBreak/>
        <w:t>As described above, TGF-β signalling with the additional influence of IL-1β, IL-6 and IL-21 are critical to Th17 lineage development as well as the role of IL-23 signalling for the maintenance and function of this subset. High concentrations of exogenous Th17-generating cytokines are able to convert Foxp3</w:t>
      </w:r>
      <w:r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Treg cells into IL-17 secreting Th cells </w:t>
      </w:r>
      <w:r w:rsidR="002822E2" w:rsidRPr="00164D69">
        <w:rPr>
          <w:rFonts w:ascii="Book Antiqua" w:hAnsi="Book Antiqua" w:cs="Times New Roman"/>
          <w:i/>
          <w:sz w:val="24"/>
          <w:szCs w:val="24"/>
        </w:rPr>
        <w:t>in vitro</w:t>
      </w:r>
      <w:r w:rsidRPr="00164D69">
        <w:rPr>
          <w:rFonts w:ascii="Book Antiqua" w:hAnsi="Book Antiqua" w:cs="Times New Roman"/>
          <w:sz w:val="24"/>
          <w:szCs w:val="24"/>
        </w:rPr>
        <w:t xml:space="preserve">. Since cytokine secretion is a final step in lineage differentiation, this population is considered to possess two signature features </w:t>
      </w:r>
      <w:r w:rsidR="00000D24" w:rsidRPr="00164D69">
        <w:rPr>
          <w:rFonts w:ascii="Book Antiqua" w:hAnsi="Book Antiqua" w:cs="Times New Roman"/>
          <w:sz w:val="24"/>
          <w:szCs w:val="24"/>
        </w:rPr>
        <w:t>for</w:t>
      </w:r>
      <w:r w:rsidRPr="00164D69">
        <w:rPr>
          <w:rFonts w:ascii="Book Antiqua" w:hAnsi="Book Antiqua" w:cs="Times New Roman"/>
          <w:sz w:val="24"/>
          <w:szCs w:val="24"/>
        </w:rPr>
        <w:t xml:space="preserve"> two different subsets; Foxp3 for Treg</w:t>
      </w:r>
      <w:r w:rsidR="000C27E2" w:rsidRPr="00164D69">
        <w:rPr>
          <w:rFonts w:ascii="Book Antiqua" w:hAnsi="Book Antiqua" w:cs="Times New Roman"/>
          <w:sz w:val="24"/>
          <w:szCs w:val="24"/>
        </w:rPr>
        <w:t>,</w:t>
      </w:r>
      <w:r w:rsidRPr="00164D69">
        <w:rPr>
          <w:rFonts w:ascii="Book Antiqua" w:hAnsi="Book Antiqua" w:cs="Times New Roman"/>
          <w:sz w:val="24"/>
          <w:szCs w:val="24"/>
        </w:rPr>
        <w:t xml:space="preserve"> and IL-17 for Th17. We found increased levels of circulating IL-17 and Foxp3 double expressing T cells in IBD patients compared to healthy controls. Furthermore, we demonstrated the conversion of CD25</w:t>
      </w:r>
      <w:r w:rsidRPr="00164D69">
        <w:rPr>
          <w:rFonts w:ascii="Book Antiqua" w:hAnsi="Book Antiqua" w:cs="Times New Roman"/>
          <w:b/>
          <w:sz w:val="24"/>
          <w:szCs w:val="24"/>
          <w:vertAlign w:val="superscript"/>
        </w:rPr>
        <w:t>+</w:t>
      </w:r>
      <w:r w:rsidRPr="00164D69">
        <w:rPr>
          <w:rFonts w:ascii="Book Antiqua" w:hAnsi="Book Antiqua" w:cs="Times New Roman"/>
          <w:sz w:val="24"/>
          <w:szCs w:val="24"/>
        </w:rPr>
        <w:t xml:space="preserve"> CD45RO</w:t>
      </w:r>
      <w:r w:rsidRPr="00164D69">
        <w:rPr>
          <w:rFonts w:ascii="Book Antiqua" w:hAnsi="Book Antiqua" w:cs="Times New Roman"/>
          <w:b/>
          <w:sz w:val="24"/>
          <w:szCs w:val="24"/>
          <w:vertAlign w:val="superscript"/>
        </w:rPr>
        <w:t>-</w:t>
      </w:r>
      <w:r w:rsidRPr="00164D69">
        <w:rPr>
          <w:rFonts w:ascii="Book Antiqua" w:hAnsi="Book Antiqua" w:cs="Times New Roman"/>
          <w:sz w:val="24"/>
          <w:szCs w:val="24"/>
        </w:rPr>
        <w:t xml:space="preserve"> Treg cells from peripheral blood of IBD patients into IL-17 secreting Foxp3 expressing cells as well as ROR</w:t>
      </w:r>
      <w:r w:rsidR="005B250C" w:rsidRPr="00164D69">
        <w:rPr>
          <w:rFonts w:ascii="Book Antiqua" w:hAnsi="Book Antiqua" w:cs="Times New Roman"/>
          <w:sz w:val="24"/>
          <w:szCs w:val="24"/>
        </w:rPr>
        <w:t>c</w:t>
      </w:r>
      <w:r w:rsidRPr="00164D69">
        <w:rPr>
          <w:rFonts w:ascii="Book Antiqua" w:hAnsi="Book Antiqua" w:cs="Times New Roman"/>
          <w:sz w:val="24"/>
          <w:szCs w:val="24"/>
        </w:rPr>
        <w:t xml:space="preserve"> and Foxp3 expressing cells in the presence of combinations of the above mentioned cytokines</w:t>
      </w:r>
      <w:r w:rsidR="0056190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RW.CITE{{68 Ueno,A.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60</w:t>
      </w:r>
      <w:r w:rsidRPr="00164D69">
        <w:rPr>
          <w:rFonts w:ascii="Book Antiqua" w:hAnsi="Book Antiqua" w:cs="Times New Roman"/>
          <w:sz w:val="24"/>
          <w:szCs w:val="24"/>
        </w:rPr>
        <w:fldChar w:fldCharType="end"/>
      </w:r>
      <w:r w:rsidR="00561908"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Comparing the </w:t>
      </w:r>
      <w:r w:rsidR="002822E2" w:rsidRPr="00164D69">
        <w:rPr>
          <w:rFonts w:ascii="Book Antiqua" w:hAnsi="Book Antiqua" w:cs="Times New Roman"/>
          <w:i/>
          <w:sz w:val="24"/>
          <w:szCs w:val="24"/>
        </w:rPr>
        <w:t>in vitro</w:t>
      </w:r>
      <w:r w:rsidRPr="00164D69">
        <w:rPr>
          <w:rFonts w:ascii="Book Antiqua" w:hAnsi="Book Antiqua" w:cs="Times New Roman"/>
          <w:sz w:val="24"/>
          <w:szCs w:val="24"/>
        </w:rPr>
        <w:t xml:space="preserve"> generation of double expressing cells in two types of IBD patients, CD patients have a higher prevalence of double expressing cells generated in the presence of IL-1β/TGF-β/IL-6 than UC while UC patients have an increased frequency of this population in response to IL-21/IL-23 than CD samples, suggesting disease-associated plasticity of Th cells in IBD</w:t>
      </w:r>
      <w:r w:rsidR="0056190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RW.CITE{{68 Ueno,A.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60</w:t>
      </w:r>
      <w:r w:rsidRPr="00164D69">
        <w:rPr>
          <w:rFonts w:ascii="Book Antiqua" w:hAnsi="Book Antiqua" w:cs="Times New Roman"/>
          <w:sz w:val="24"/>
          <w:szCs w:val="24"/>
        </w:rPr>
        <w:fldChar w:fldCharType="end"/>
      </w:r>
      <w:r w:rsidR="00561908"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A recent elegant study </w:t>
      </w:r>
      <w:r w:rsidR="001E6BCF" w:rsidRPr="00164D69">
        <w:rPr>
          <w:rFonts w:ascii="Book Antiqua" w:hAnsi="Book Antiqua" w:cs="Times New Roman"/>
          <w:sz w:val="24"/>
          <w:szCs w:val="24"/>
        </w:rPr>
        <w:t>by</w:t>
      </w:r>
      <w:r w:rsidRPr="00164D69">
        <w:rPr>
          <w:rFonts w:ascii="Book Antiqua" w:hAnsi="Book Antiqua" w:cs="Times New Roman"/>
          <w:sz w:val="24"/>
          <w:szCs w:val="24"/>
        </w:rPr>
        <w:t xml:space="preserve"> Basu </w:t>
      </w:r>
      <w:r w:rsidRPr="00164D69">
        <w:rPr>
          <w:rFonts w:ascii="Book Antiqua" w:hAnsi="Book Antiqua" w:cs="Times New Roman"/>
          <w:i/>
          <w:sz w:val="24"/>
          <w:szCs w:val="24"/>
        </w:rPr>
        <w:t>et</w:t>
      </w:r>
      <w:r w:rsidR="00D64BD4" w:rsidRPr="00164D69">
        <w:rPr>
          <w:rFonts w:ascii="Book Antiqua" w:hAnsi="Book Antiqua" w:cs="Times New Roman"/>
          <w:i/>
          <w:sz w:val="24"/>
          <w:szCs w:val="24"/>
        </w:rPr>
        <w:t xml:space="preserve"> </w:t>
      </w:r>
      <w:r w:rsidRPr="00164D69">
        <w:rPr>
          <w:rFonts w:ascii="Book Antiqua" w:hAnsi="Book Antiqua" w:cs="Times New Roman"/>
          <w:i/>
          <w:sz w:val="24"/>
          <w:szCs w:val="24"/>
        </w:rPr>
        <w:t>al.,</w:t>
      </w:r>
      <w:r w:rsidRPr="00164D69">
        <w:rPr>
          <w:rFonts w:ascii="Book Antiqua" w:hAnsi="Book Antiqua" w:cs="Times New Roman"/>
          <w:sz w:val="24"/>
          <w:szCs w:val="24"/>
        </w:rPr>
        <w:t xml:space="preserve"> revealed that IL-1 signalling represses SOCS3, an inhibitory molecule of STAT3 altering the STAT3/STAT5 balance resulting in Th17 generation.</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This model </w:t>
      </w:r>
      <w:r w:rsidR="00A84DF4" w:rsidRPr="00164D69">
        <w:rPr>
          <w:rFonts w:ascii="Book Antiqua" w:hAnsi="Book Antiqua" w:cs="Times New Roman"/>
          <w:sz w:val="24"/>
          <w:szCs w:val="24"/>
        </w:rPr>
        <w:t>offers an explanation for why</w:t>
      </w:r>
      <w:r w:rsidRPr="00164D69">
        <w:rPr>
          <w:rFonts w:ascii="Book Antiqua" w:hAnsi="Book Antiqua" w:cs="Times New Roman"/>
          <w:sz w:val="24"/>
          <w:szCs w:val="24"/>
        </w:rPr>
        <w:t xml:space="preserve"> exogenous IL-1β converts Foxp3+ Treg cells into IL-17</w:t>
      </w:r>
      <w:r w:rsidRPr="00164D69">
        <w:rPr>
          <w:rFonts w:ascii="Book Antiqua" w:hAnsi="Book Antiqua" w:cs="Times New Roman"/>
          <w:b/>
          <w:sz w:val="24"/>
          <w:szCs w:val="24"/>
          <w:vertAlign w:val="superscript"/>
        </w:rPr>
        <w:t>+</w:t>
      </w:r>
      <w:r w:rsidRPr="00164D69">
        <w:rPr>
          <w:rFonts w:ascii="Book Antiqua" w:hAnsi="Book Antiqua" w:cs="Times New Roman"/>
          <w:sz w:val="24"/>
          <w:szCs w:val="24"/>
        </w:rPr>
        <w:t xml:space="preserve"> Foxp3</w:t>
      </w:r>
      <w:r w:rsidRPr="00164D69">
        <w:rPr>
          <w:rFonts w:ascii="Book Antiqua" w:hAnsi="Book Antiqua" w:cs="Times New Roman"/>
          <w:b/>
          <w:sz w:val="24"/>
          <w:szCs w:val="24"/>
          <w:vertAlign w:val="superscript"/>
        </w:rPr>
        <w:t>+</w:t>
      </w:r>
      <w:r w:rsidRPr="00164D69">
        <w:rPr>
          <w:rFonts w:ascii="Book Antiqua" w:hAnsi="Book Antiqua" w:cs="Times New Roman"/>
          <w:sz w:val="24"/>
          <w:szCs w:val="24"/>
        </w:rPr>
        <w:t xml:space="preserve"> double expressing Th cells</w:t>
      </w:r>
      <w:r w:rsidR="0056190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RW.CITE{{69 Basu,R. 2015}}</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61</w:t>
      </w:r>
      <w:r w:rsidRPr="00164D69">
        <w:rPr>
          <w:rFonts w:ascii="Book Antiqua" w:hAnsi="Book Antiqua" w:cs="Times New Roman"/>
          <w:sz w:val="24"/>
          <w:szCs w:val="24"/>
        </w:rPr>
        <w:fldChar w:fldCharType="end"/>
      </w:r>
      <w:r w:rsidR="00561908"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p>
    <w:p w14:paraId="6BEF42C9" w14:textId="549A2683" w:rsidR="00A43052" w:rsidRPr="00164D69" w:rsidRDefault="00A43052" w:rsidP="002822E2">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Cytokines which induce Th17 development and plasticity are summarised in Table 1</w:t>
      </w:r>
      <w:r w:rsidR="00561908"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RW.CITE{{114 Zhang,L. 2011; 115 Yang,L. 2008; 116 Fantini,M.C. 2007; 117 Peluso,I. 2007; 118 Sugimoto,K. 2008; 119 Zenewicz,L.A. 2008; 120 Awasthi,A. 2009; 121 Coccia,M. 2012}}</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62-69</w:t>
      </w:r>
      <w:r w:rsidRPr="00164D69">
        <w:rPr>
          <w:rFonts w:ascii="Book Antiqua" w:hAnsi="Book Antiqua" w:cs="Times New Roman"/>
          <w:sz w:val="24"/>
          <w:szCs w:val="24"/>
        </w:rPr>
        <w:fldChar w:fldCharType="end"/>
      </w:r>
      <w:r w:rsidR="00561908"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p>
    <w:p w14:paraId="54E2195F" w14:textId="77777777" w:rsidR="00A43052" w:rsidRPr="00164D69" w:rsidRDefault="00A43052" w:rsidP="002F6FCA">
      <w:pPr>
        <w:adjustRightInd w:val="0"/>
        <w:snapToGrid w:val="0"/>
        <w:spacing w:after="0" w:line="360" w:lineRule="auto"/>
        <w:ind w:firstLine="810"/>
        <w:jc w:val="both"/>
        <w:rPr>
          <w:rFonts w:ascii="Book Antiqua" w:hAnsi="Book Antiqua" w:cs="Times New Roman"/>
          <w:sz w:val="24"/>
          <w:szCs w:val="24"/>
        </w:rPr>
      </w:pPr>
      <w:r w:rsidRPr="00164D69">
        <w:rPr>
          <w:rFonts w:ascii="Book Antiqua" w:hAnsi="Book Antiqua" w:cs="Times New Roman"/>
          <w:sz w:val="24"/>
          <w:szCs w:val="24"/>
        </w:rPr>
        <w:t xml:space="preserve"> </w:t>
      </w:r>
    </w:p>
    <w:p w14:paraId="00F43133" w14:textId="77777777"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b/>
          <w:i/>
          <w:sz w:val="24"/>
          <w:szCs w:val="24"/>
        </w:rPr>
      </w:pPr>
      <w:r w:rsidRPr="00164D69">
        <w:rPr>
          <w:rFonts w:ascii="Book Antiqua" w:hAnsi="Book Antiqua" w:cs="Times New Roman"/>
          <w:b/>
          <w:i/>
          <w:sz w:val="24"/>
          <w:szCs w:val="24"/>
        </w:rPr>
        <w:t>Transcription factors</w:t>
      </w:r>
    </w:p>
    <w:p w14:paraId="33102348" w14:textId="0922F3A3" w:rsidR="00A43052" w:rsidRPr="00164D69" w:rsidRDefault="00A43052" w:rsidP="002822E2">
      <w:pPr>
        <w:adjustRightInd w:val="0"/>
        <w:snapToGrid w:val="0"/>
        <w:spacing w:after="0" w:line="360" w:lineRule="auto"/>
        <w:jc w:val="both"/>
        <w:rPr>
          <w:rFonts w:ascii="Book Antiqua" w:hAnsi="Book Antiqua" w:cs="Times New Roman"/>
          <w:sz w:val="24"/>
          <w:szCs w:val="24"/>
        </w:rPr>
      </w:pPr>
      <w:r w:rsidRPr="00164D69">
        <w:rPr>
          <w:rFonts w:ascii="Book Antiqua" w:hAnsi="Book Antiqua" w:cs="Times New Roman"/>
          <w:sz w:val="24"/>
          <w:szCs w:val="24"/>
        </w:rPr>
        <w:t>There is now vast literature detailing multiple transcription factors</w:t>
      </w:r>
      <w:r w:rsidR="003C6501" w:rsidRPr="00164D69">
        <w:rPr>
          <w:rFonts w:ascii="Book Antiqua" w:hAnsi="Book Antiqua" w:cs="Times New Roman"/>
          <w:sz w:val="24"/>
          <w:szCs w:val="24"/>
        </w:rPr>
        <w:t xml:space="preserve"> and their relationship to T cell plasticity. These transcription factors</w:t>
      </w:r>
      <w:r w:rsidRPr="00164D69">
        <w:rPr>
          <w:rFonts w:ascii="Book Antiqua" w:hAnsi="Book Antiqua" w:cs="Times New Roman"/>
          <w:sz w:val="24"/>
          <w:szCs w:val="24"/>
        </w:rPr>
        <w:t xml:space="preserve"> directly regulate and/or promote gene expression by binding to their promoter regions in order to contribute to the multifaceted nature of T cell subsets</w:t>
      </w:r>
      <w:r w:rsidR="003C6501" w:rsidRPr="00164D69">
        <w:rPr>
          <w:rFonts w:ascii="Book Antiqua" w:hAnsi="Book Antiqua" w:cs="Times New Roman"/>
          <w:sz w:val="24"/>
          <w:szCs w:val="24"/>
        </w:rPr>
        <w:t>.</w:t>
      </w:r>
    </w:p>
    <w:p w14:paraId="0D264C04" w14:textId="30A7417C" w:rsidR="00A43052" w:rsidRPr="00164D69" w:rsidRDefault="002822E2" w:rsidP="002822E2">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 xml:space="preserve">Ciofani </w:t>
      </w:r>
      <w:r w:rsidRPr="00164D69">
        <w:rPr>
          <w:rFonts w:ascii="Book Antiqua" w:eastAsia="宋体" w:hAnsi="Book Antiqua" w:cs="Times New Roman" w:hint="eastAsia"/>
          <w:i/>
          <w:sz w:val="24"/>
          <w:szCs w:val="24"/>
          <w:lang w:eastAsia="zh-CN"/>
        </w:rPr>
        <w:t>et al</w:t>
      </w:r>
      <w:r w:rsidRPr="00164D69">
        <w:rPr>
          <w:rFonts w:ascii="Book Antiqua" w:eastAsia="宋体" w:hAnsi="Book Antiqua" w:cs="Times New Roman"/>
          <w:sz w:val="24"/>
          <w:szCs w:val="24"/>
          <w:vertAlign w:val="superscript"/>
          <w:lang w:eastAsia="zh-CN"/>
        </w:rPr>
        <w:t>[</w:t>
      </w:r>
      <w:r w:rsidRPr="00164D69">
        <w:rPr>
          <w:rFonts w:ascii="Book Antiqua" w:eastAsia="宋体" w:hAnsi="Book Antiqua" w:cs="Times New Roman"/>
          <w:sz w:val="24"/>
          <w:szCs w:val="24"/>
          <w:lang w:eastAsia="zh-CN"/>
        </w:rPr>
        <w:fldChar w:fldCharType="begin"/>
      </w:r>
      <w:r w:rsidRPr="00164D69">
        <w:rPr>
          <w:rFonts w:ascii="Book Antiqua" w:eastAsia="宋体" w:hAnsi="Book Antiqua" w:cs="Times New Roman"/>
          <w:sz w:val="24"/>
          <w:szCs w:val="24"/>
          <w:lang w:eastAsia="zh-CN"/>
        </w:rPr>
        <w:instrText>ADDIN RW.CITE{{44 Ciofani,M. 2012}}</w:instrText>
      </w:r>
      <w:r w:rsidRPr="00164D69">
        <w:rPr>
          <w:rFonts w:ascii="Book Antiqua" w:eastAsia="宋体" w:hAnsi="Book Antiqua" w:cs="Times New Roman"/>
          <w:sz w:val="24"/>
          <w:szCs w:val="24"/>
          <w:lang w:eastAsia="zh-CN"/>
        </w:rPr>
        <w:fldChar w:fldCharType="separate"/>
      </w:r>
      <w:r w:rsidRPr="00164D69">
        <w:rPr>
          <w:rFonts w:ascii="Book Antiqua" w:eastAsia="宋体" w:hAnsi="Book Antiqua" w:cs="Times New Roman"/>
          <w:sz w:val="24"/>
          <w:szCs w:val="24"/>
          <w:vertAlign w:val="superscript"/>
          <w:lang w:eastAsia="zh-CN"/>
        </w:rPr>
        <w:t>30</w:t>
      </w:r>
      <w:r w:rsidRPr="00164D69">
        <w:rPr>
          <w:rFonts w:ascii="Book Antiqua" w:eastAsia="宋体" w:hAnsi="Book Antiqua" w:cs="Times New Roman"/>
          <w:sz w:val="24"/>
          <w:szCs w:val="24"/>
          <w:lang w:eastAsia="zh-CN"/>
        </w:rPr>
        <w:fldChar w:fldCharType="end"/>
      </w:r>
      <w:r w:rsidRPr="00164D69">
        <w:rPr>
          <w:rFonts w:ascii="Book Antiqua" w:eastAsia="宋体" w:hAnsi="Book Antiqua" w:cs="Times New Roman"/>
          <w:sz w:val="24"/>
          <w:szCs w:val="24"/>
          <w:vertAlign w:val="superscript"/>
          <w:lang w:eastAsia="zh-CN"/>
        </w:rPr>
        <w:t>]</w:t>
      </w:r>
      <w:r w:rsidRPr="00164D69">
        <w:rPr>
          <w:rFonts w:ascii="Book Antiqua" w:eastAsia="宋体" w:hAnsi="Book Antiqua" w:cs="Times New Roman" w:hint="eastAsia"/>
          <w:sz w:val="24"/>
          <w:szCs w:val="24"/>
          <w:lang w:eastAsia="zh-CN"/>
        </w:rPr>
        <w:t xml:space="preserve"> </w:t>
      </w:r>
      <w:r w:rsidR="00A43052" w:rsidRPr="00164D69">
        <w:rPr>
          <w:rFonts w:ascii="Book Antiqua" w:hAnsi="Book Antiqua" w:cs="Times New Roman"/>
          <w:sz w:val="24"/>
          <w:szCs w:val="24"/>
        </w:rPr>
        <w:t>recently identified FOS-like antigen 2 (Fosl2) as a key determinant of Th17 plasticity in their remarkable study of Th17 cell specification</w:t>
      </w:r>
      <w:r w:rsidR="0021779E"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fldChar w:fldCharType="begin"/>
      </w:r>
      <w:r w:rsidR="00A43052" w:rsidRPr="00164D69">
        <w:rPr>
          <w:rFonts w:ascii="Book Antiqua" w:hAnsi="Book Antiqua" w:cs="Times New Roman"/>
          <w:sz w:val="24"/>
          <w:szCs w:val="24"/>
        </w:rPr>
        <w:instrText>ADDIN RW.CITE{{44 Ciofani,M. 2012}}</w:instrText>
      </w:r>
      <w:r w:rsidR="00A43052" w:rsidRPr="00164D69">
        <w:rPr>
          <w:rFonts w:ascii="Book Antiqua" w:hAnsi="Book Antiqua" w:cs="Times New Roman"/>
          <w:sz w:val="24"/>
          <w:szCs w:val="24"/>
        </w:rPr>
        <w:fldChar w:fldCharType="separate"/>
      </w:r>
      <w:r w:rsidR="00A43052" w:rsidRPr="00164D69">
        <w:rPr>
          <w:rFonts w:ascii="Book Antiqua" w:hAnsi="Book Antiqua" w:cs="Times New Roman"/>
          <w:sz w:val="24"/>
          <w:szCs w:val="24"/>
          <w:vertAlign w:val="superscript"/>
        </w:rPr>
        <w:t>30</w:t>
      </w:r>
      <w:r w:rsidR="00A43052" w:rsidRPr="00164D69">
        <w:rPr>
          <w:rFonts w:ascii="Book Antiqua" w:hAnsi="Book Antiqua" w:cs="Times New Roman"/>
          <w:sz w:val="24"/>
          <w:szCs w:val="24"/>
        </w:rPr>
        <w:fldChar w:fldCharType="end"/>
      </w:r>
      <w:r w:rsidR="0021779E"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i/>
          <w:sz w:val="24"/>
          <w:szCs w:val="24"/>
        </w:rPr>
        <w:t>in vitro</w:t>
      </w:r>
      <w:r w:rsidR="00A43052" w:rsidRPr="00164D69">
        <w:rPr>
          <w:rFonts w:ascii="Book Antiqua" w:hAnsi="Book Antiqua" w:cs="Times New Roman"/>
          <w:i/>
          <w:sz w:val="24"/>
          <w:szCs w:val="24"/>
        </w:rPr>
        <w:t xml:space="preserve"> </w:t>
      </w:r>
      <w:r w:rsidR="00A43052" w:rsidRPr="00164D69">
        <w:rPr>
          <w:rFonts w:ascii="Book Antiqua" w:hAnsi="Book Antiqua" w:cs="Times New Roman"/>
          <w:sz w:val="24"/>
          <w:szCs w:val="24"/>
        </w:rPr>
        <w:t xml:space="preserve">differentiation of mouse CD4 T cells deficient in Fosl2 under Th17 polarizing </w:t>
      </w:r>
      <w:r w:rsidR="00A43052" w:rsidRPr="00164D69">
        <w:rPr>
          <w:rFonts w:ascii="Book Antiqua" w:hAnsi="Book Antiqua" w:cs="Times New Roman"/>
          <w:sz w:val="24"/>
          <w:szCs w:val="24"/>
        </w:rPr>
        <w:lastRenderedPageBreak/>
        <w:t>conditions yielded IL-17 producing cells which co</w:t>
      </w:r>
      <w:r w:rsidR="00F60CED" w:rsidRPr="00164D69">
        <w:rPr>
          <w:rFonts w:ascii="Book Antiqua" w:hAnsi="Book Antiqua" w:cs="Times New Roman"/>
          <w:sz w:val="24"/>
          <w:szCs w:val="24"/>
        </w:rPr>
        <w:t>-</w:t>
      </w:r>
      <w:r w:rsidR="00A43052" w:rsidRPr="00164D69">
        <w:rPr>
          <w:rFonts w:ascii="Book Antiqua" w:hAnsi="Book Antiqua" w:cs="Times New Roman"/>
          <w:sz w:val="24"/>
          <w:szCs w:val="24"/>
        </w:rPr>
        <w:t>expressed Foxp3.</w:t>
      </w:r>
      <w:r w:rsidR="00164D69" w:rsidRPr="00164D69">
        <w:rPr>
          <w:rFonts w:ascii="Book Antiqua" w:hAnsi="Book Antiqua" w:cs="Times New Roman"/>
          <w:sz w:val="24"/>
          <w:szCs w:val="24"/>
        </w:rPr>
        <w:t xml:space="preserve"> </w:t>
      </w:r>
      <w:r w:rsidR="00A43052" w:rsidRPr="00164D69">
        <w:rPr>
          <w:rFonts w:ascii="Book Antiqua" w:hAnsi="Book Antiqua" w:cs="Times New Roman"/>
          <w:sz w:val="24"/>
          <w:szCs w:val="24"/>
        </w:rPr>
        <w:t xml:space="preserve">Interestingly, Fosl2 </w:t>
      </w:r>
      <w:r w:rsidR="001E6BCF" w:rsidRPr="00164D69">
        <w:rPr>
          <w:rFonts w:ascii="Book Antiqua" w:hAnsi="Book Antiqua" w:cs="Times New Roman"/>
          <w:sz w:val="24"/>
          <w:szCs w:val="24"/>
        </w:rPr>
        <w:t>deficiency</w:t>
      </w:r>
      <w:r w:rsidR="00A43052" w:rsidRPr="00164D69">
        <w:rPr>
          <w:rFonts w:ascii="Book Antiqua" w:hAnsi="Book Antiqua" w:cs="Times New Roman"/>
          <w:sz w:val="24"/>
          <w:szCs w:val="24"/>
        </w:rPr>
        <w:t xml:space="preserve"> also enabled IFN-γ production in Th17 and Th2 cultures, particularly when Th17 cells were subsequently exposed to Th1-skewing conditions.</w:t>
      </w:r>
      <w:r w:rsidR="00164D69" w:rsidRPr="00164D69">
        <w:rPr>
          <w:rFonts w:ascii="Book Antiqua" w:hAnsi="Book Antiqua" w:cs="Times New Roman"/>
          <w:sz w:val="24"/>
          <w:szCs w:val="24"/>
        </w:rPr>
        <w:t xml:space="preserve"> </w:t>
      </w:r>
    </w:p>
    <w:p w14:paraId="113EDFAE" w14:textId="3B52CFE2" w:rsidR="00A43052" w:rsidRPr="00164D69" w:rsidRDefault="00A43052" w:rsidP="002822E2">
      <w:pPr>
        <w:adjustRightInd w:val="0"/>
        <w:snapToGrid w:val="0"/>
        <w:spacing w:after="0" w:line="360" w:lineRule="auto"/>
        <w:ind w:firstLineChars="100" w:firstLine="240"/>
        <w:jc w:val="both"/>
        <w:rPr>
          <w:rFonts w:ascii="Book Antiqua" w:hAnsi="Book Antiqua" w:cs="Times New Roman"/>
          <w:sz w:val="24"/>
          <w:szCs w:val="24"/>
          <w:shd w:val="clear" w:color="auto" w:fill="FFFFFF"/>
        </w:rPr>
      </w:pPr>
      <w:r w:rsidRPr="00164D69">
        <w:rPr>
          <w:rFonts w:ascii="Book Antiqua" w:hAnsi="Book Antiqua" w:cs="Times New Roman"/>
          <w:sz w:val="24"/>
          <w:szCs w:val="24"/>
        </w:rPr>
        <w:t>Interferon regulatory factor 4 (IRF4) is a transcription factor expressed in hematopoietic cells and plays pivotal roles in the immune response.</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shd w:val="clear" w:color="auto" w:fill="FFFFFF"/>
        </w:rPr>
        <w:t>IRF4 levels were augmented in patients with active inflammatory bowel disease and correlated with enhanced production of </w:t>
      </w:r>
      <w:r w:rsidRPr="00164D69">
        <w:rPr>
          <w:rFonts w:ascii="Book Antiqua" w:hAnsi="Book Antiqua" w:cs="Times New Roman"/>
          <w:iCs/>
          <w:sz w:val="24"/>
          <w:szCs w:val="24"/>
          <w:bdr w:val="none" w:sz="0" w:space="0" w:color="auto" w:frame="1"/>
          <w:shd w:val="clear" w:color="auto" w:fill="FFFFFF"/>
        </w:rPr>
        <w:t>IL</w:t>
      </w:r>
      <w:r w:rsidR="0021779E" w:rsidRPr="00164D69">
        <w:rPr>
          <w:rFonts w:ascii="Book Antiqua" w:hAnsi="Book Antiqua" w:cs="Times New Roman"/>
          <w:iCs/>
          <w:sz w:val="24"/>
          <w:szCs w:val="24"/>
          <w:bdr w:val="none" w:sz="0" w:space="0" w:color="auto" w:frame="1"/>
          <w:shd w:val="clear" w:color="auto" w:fill="FFFFFF"/>
        </w:rPr>
        <w:t>-</w:t>
      </w:r>
      <w:r w:rsidRPr="00164D69">
        <w:rPr>
          <w:rFonts w:ascii="Book Antiqua" w:hAnsi="Book Antiqua" w:cs="Times New Roman"/>
          <w:iCs/>
          <w:sz w:val="24"/>
          <w:szCs w:val="24"/>
          <w:bdr w:val="none" w:sz="0" w:space="0" w:color="auto" w:frame="1"/>
          <w:shd w:val="clear" w:color="auto" w:fill="FFFFFF"/>
        </w:rPr>
        <w:t>17</w:t>
      </w:r>
      <w:r w:rsidRPr="00164D69">
        <w:rPr>
          <w:rFonts w:ascii="Book Antiqua" w:hAnsi="Book Antiqua" w:cs="Times New Roman"/>
          <w:sz w:val="24"/>
          <w:szCs w:val="24"/>
          <w:shd w:val="clear" w:color="auto" w:fill="FFFFFF"/>
        </w:rPr>
        <w:t> and </w:t>
      </w:r>
      <w:r w:rsidRPr="00164D69">
        <w:rPr>
          <w:rFonts w:ascii="Book Antiqua" w:hAnsi="Book Antiqua" w:cs="Times New Roman"/>
          <w:iCs/>
          <w:sz w:val="24"/>
          <w:szCs w:val="24"/>
          <w:bdr w:val="none" w:sz="0" w:space="0" w:color="auto" w:frame="1"/>
          <w:shd w:val="clear" w:color="auto" w:fill="FFFFFF"/>
        </w:rPr>
        <w:t>IL</w:t>
      </w:r>
      <w:r w:rsidR="0021779E" w:rsidRPr="00164D69">
        <w:rPr>
          <w:rFonts w:ascii="Book Antiqua" w:hAnsi="Book Antiqua" w:cs="Times New Roman"/>
          <w:iCs/>
          <w:sz w:val="24"/>
          <w:szCs w:val="24"/>
          <w:bdr w:val="none" w:sz="0" w:space="0" w:color="auto" w:frame="1"/>
          <w:shd w:val="clear" w:color="auto" w:fill="FFFFFF"/>
        </w:rPr>
        <w:t>-</w:t>
      </w:r>
      <w:r w:rsidRPr="00164D69">
        <w:rPr>
          <w:rFonts w:ascii="Book Antiqua" w:hAnsi="Book Antiqua" w:cs="Times New Roman"/>
          <w:iCs/>
          <w:sz w:val="24"/>
          <w:szCs w:val="24"/>
          <w:bdr w:val="none" w:sz="0" w:space="0" w:color="auto" w:frame="1"/>
          <w:shd w:val="clear" w:color="auto" w:fill="FFFFFF"/>
        </w:rPr>
        <w:t>22</w:t>
      </w:r>
      <w:r w:rsidRPr="00164D69">
        <w:rPr>
          <w:rFonts w:ascii="Book Antiqua" w:hAnsi="Book Antiqua" w:cs="Times New Roman"/>
          <w:sz w:val="24"/>
          <w:szCs w:val="24"/>
          <w:shd w:val="clear" w:color="auto" w:fill="FFFFFF"/>
        </w:rPr>
        <w:t> mRNA</w:t>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fldChar w:fldCharType="begin"/>
      </w:r>
      <w:r w:rsidRPr="00164D69">
        <w:rPr>
          <w:rFonts w:ascii="Book Antiqua" w:hAnsi="Book Antiqua" w:cs="Times New Roman"/>
          <w:sz w:val="24"/>
          <w:szCs w:val="24"/>
          <w:shd w:val="clear" w:color="auto" w:fill="FFFFFF"/>
        </w:rPr>
        <w:instrText>ADDIN RW.CITE{{80 Mudter,J. 2011}}</w:instrText>
      </w:r>
      <w:r w:rsidRPr="00164D69">
        <w:rPr>
          <w:rFonts w:ascii="Book Antiqua" w:hAnsi="Book Antiqua" w:cs="Times New Roman"/>
          <w:sz w:val="24"/>
          <w:szCs w:val="24"/>
          <w:shd w:val="clear" w:color="auto" w:fill="FFFFFF"/>
        </w:rPr>
        <w:fldChar w:fldCharType="separate"/>
      </w:r>
      <w:r w:rsidRPr="00164D69">
        <w:rPr>
          <w:rFonts w:ascii="Book Antiqua" w:hAnsi="Book Antiqua" w:cs="Times New Roman"/>
          <w:sz w:val="24"/>
          <w:szCs w:val="24"/>
          <w:shd w:val="clear" w:color="auto" w:fill="FFFFFF"/>
          <w:vertAlign w:val="superscript"/>
        </w:rPr>
        <w:t>70</w:t>
      </w:r>
      <w:r w:rsidRPr="00164D69">
        <w:rPr>
          <w:rFonts w:ascii="Book Antiqua" w:hAnsi="Book Antiqua" w:cs="Times New Roman"/>
          <w:sz w:val="24"/>
          <w:szCs w:val="24"/>
          <w:shd w:val="clear" w:color="auto" w:fill="FFFFFF"/>
        </w:rPr>
        <w:fldChar w:fldCharType="end"/>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t>. On the other hand, lack of IRF4 seems to cause resistance to Th17-mediated autoimmune diseases</w:t>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fldChar w:fldCharType="begin"/>
      </w:r>
      <w:r w:rsidRPr="00164D69">
        <w:rPr>
          <w:rFonts w:ascii="Book Antiqua" w:hAnsi="Book Antiqua" w:cs="Times New Roman"/>
          <w:sz w:val="24"/>
          <w:szCs w:val="24"/>
          <w:shd w:val="clear" w:color="auto" w:fill="FFFFFF"/>
        </w:rPr>
        <w:instrText>ADDIN RW.CITE{{81 Huber,M. 2014}}</w:instrText>
      </w:r>
      <w:r w:rsidRPr="00164D69">
        <w:rPr>
          <w:rFonts w:ascii="Book Antiqua" w:hAnsi="Book Antiqua" w:cs="Times New Roman"/>
          <w:sz w:val="24"/>
          <w:szCs w:val="24"/>
          <w:shd w:val="clear" w:color="auto" w:fill="FFFFFF"/>
        </w:rPr>
        <w:fldChar w:fldCharType="separate"/>
      </w:r>
      <w:r w:rsidRPr="00164D69">
        <w:rPr>
          <w:rFonts w:ascii="Book Antiqua" w:hAnsi="Book Antiqua" w:cs="Times New Roman"/>
          <w:sz w:val="24"/>
          <w:szCs w:val="24"/>
          <w:shd w:val="clear" w:color="auto" w:fill="FFFFFF"/>
          <w:vertAlign w:val="superscript"/>
        </w:rPr>
        <w:t>71</w:t>
      </w:r>
      <w:r w:rsidRPr="00164D69">
        <w:rPr>
          <w:rFonts w:ascii="Book Antiqua" w:hAnsi="Book Antiqua" w:cs="Times New Roman"/>
          <w:sz w:val="24"/>
          <w:szCs w:val="24"/>
          <w:shd w:val="clear" w:color="auto" w:fill="FFFFFF"/>
        </w:rPr>
        <w:fldChar w:fldCharType="end"/>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t>.</w:t>
      </w:r>
      <w:r w:rsidR="00164D69" w:rsidRPr="00164D69">
        <w:rPr>
          <w:rFonts w:ascii="Book Antiqua" w:hAnsi="Book Antiqua" w:cs="Times New Roman"/>
          <w:sz w:val="24"/>
          <w:szCs w:val="24"/>
          <w:shd w:val="clear" w:color="auto" w:fill="FFFFFF"/>
        </w:rPr>
        <w:t xml:space="preserve"> </w:t>
      </w:r>
      <w:r w:rsidRPr="00164D69">
        <w:rPr>
          <w:rFonts w:ascii="Book Antiqua" w:hAnsi="Book Antiqua" w:cs="Times New Roman"/>
          <w:bCs/>
          <w:sz w:val="24"/>
          <w:szCs w:val="24"/>
          <w:shd w:val="clear" w:color="auto" w:fill="FFFFFF"/>
        </w:rPr>
        <w:t>Basic leucine zipper transcription factor, B</w:t>
      </w:r>
      <w:r w:rsidRPr="00164D69">
        <w:rPr>
          <w:rFonts w:ascii="Book Antiqua" w:hAnsi="Book Antiqua" w:cs="Times New Roman"/>
          <w:sz w:val="24"/>
          <w:szCs w:val="24"/>
          <w:shd w:val="clear" w:color="auto" w:fill="FFFFFF"/>
        </w:rPr>
        <w:t>ATF, along with IRF4, was recently proposed as a 'pioneer factor' in T cells</w:t>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fldChar w:fldCharType="begin"/>
      </w:r>
      <w:r w:rsidRPr="00164D69">
        <w:rPr>
          <w:rFonts w:ascii="Book Antiqua" w:hAnsi="Book Antiqua" w:cs="Times New Roman"/>
          <w:sz w:val="24"/>
          <w:szCs w:val="24"/>
          <w:shd w:val="clear" w:color="auto" w:fill="FFFFFF"/>
        </w:rPr>
        <w:instrText>ADDIN RW.CITE{{44 Ciofani,M. 2012}}</w:instrText>
      </w:r>
      <w:r w:rsidRPr="00164D69">
        <w:rPr>
          <w:rFonts w:ascii="Book Antiqua" w:hAnsi="Book Antiqua" w:cs="Times New Roman"/>
          <w:sz w:val="24"/>
          <w:szCs w:val="24"/>
          <w:shd w:val="clear" w:color="auto" w:fill="FFFFFF"/>
        </w:rPr>
        <w:fldChar w:fldCharType="separate"/>
      </w:r>
      <w:r w:rsidRPr="00164D69">
        <w:rPr>
          <w:rFonts w:ascii="Book Antiqua" w:hAnsi="Book Antiqua" w:cs="Times New Roman"/>
          <w:sz w:val="24"/>
          <w:szCs w:val="24"/>
          <w:shd w:val="clear" w:color="auto" w:fill="FFFFFF"/>
          <w:vertAlign w:val="superscript"/>
        </w:rPr>
        <w:t>30</w:t>
      </w:r>
      <w:r w:rsidRPr="00164D69">
        <w:rPr>
          <w:rFonts w:ascii="Book Antiqua" w:hAnsi="Book Antiqua" w:cs="Times New Roman"/>
          <w:sz w:val="24"/>
          <w:szCs w:val="24"/>
          <w:shd w:val="clear" w:color="auto" w:fill="FFFFFF"/>
        </w:rPr>
        <w:fldChar w:fldCharType="end"/>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t xml:space="preserve">. After T cell receptor (TCR) ligation, </w:t>
      </w:r>
      <w:r w:rsidR="003B4316" w:rsidRPr="00164D69">
        <w:rPr>
          <w:rFonts w:ascii="Book Antiqua" w:hAnsi="Book Antiqua" w:cs="Times New Roman"/>
          <w:iCs/>
          <w:sz w:val="24"/>
          <w:szCs w:val="24"/>
          <w:shd w:val="clear" w:color="auto" w:fill="FFFFFF"/>
        </w:rPr>
        <w:t xml:space="preserve">BATF </w:t>
      </w:r>
      <w:r w:rsidRPr="00164D69">
        <w:rPr>
          <w:rFonts w:ascii="Book Antiqua" w:hAnsi="Book Antiqua" w:cs="Times New Roman"/>
          <w:sz w:val="24"/>
          <w:szCs w:val="24"/>
          <w:shd w:val="clear" w:color="auto" w:fill="FFFFFF"/>
        </w:rPr>
        <w:t>expression is rapidly induced in na</w:t>
      </w:r>
      <w:r w:rsidR="001963E1" w:rsidRPr="00164D69">
        <w:rPr>
          <w:rFonts w:ascii="Book Antiqua" w:hAnsi="Book Antiqua" w:cs="Times New Roman"/>
          <w:sz w:val="24"/>
          <w:szCs w:val="24"/>
        </w:rPr>
        <w:t>ï</w:t>
      </w:r>
      <w:r w:rsidRPr="00164D69">
        <w:rPr>
          <w:rFonts w:ascii="Book Antiqua" w:hAnsi="Book Antiqua" w:cs="Times New Roman"/>
          <w:sz w:val="24"/>
          <w:szCs w:val="24"/>
          <w:shd w:val="clear" w:color="auto" w:fill="FFFFFF"/>
        </w:rPr>
        <w:t>ve</w:t>
      </w:r>
      <w:r w:rsidR="00164D69" w:rsidRPr="00164D69">
        <w:rPr>
          <w:rFonts w:ascii="Book Antiqua" w:hAnsi="Book Antiqua" w:cs="Times New Roman"/>
          <w:sz w:val="24"/>
          <w:szCs w:val="24"/>
          <w:shd w:val="clear" w:color="auto" w:fill="FFFFFF"/>
        </w:rPr>
        <w:t xml:space="preserve"> </w:t>
      </w:r>
      <w:r w:rsidRPr="00164D69">
        <w:rPr>
          <w:rFonts w:ascii="Book Antiqua" w:hAnsi="Book Antiqua" w:cs="Times New Roman"/>
          <w:sz w:val="24"/>
          <w:szCs w:val="24"/>
          <w:shd w:val="clear" w:color="auto" w:fill="FFFFFF"/>
        </w:rPr>
        <w:t xml:space="preserve">T cells. </w:t>
      </w:r>
      <w:r w:rsidR="003C6501" w:rsidRPr="00164D69">
        <w:rPr>
          <w:rFonts w:ascii="Book Antiqua" w:hAnsi="Book Antiqua" w:cs="Times New Roman"/>
          <w:sz w:val="24"/>
          <w:szCs w:val="24"/>
          <w:shd w:val="clear" w:color="auto" w:fill="FFFFFF"/>
        </w:rPr>
        <w:t>T</w:t>
      </w:r>
      <w:r w:rsidRPr="00164D69">
        <w:rPr>
          <w:rFonts w:ascii="Book Antiqua" w:hAnsi="Book Antiqua" w:cs="Times New Roman"/>
          <w:sz w:val="24"/>
          <w:szCs w:val="24"/>
          <w:shd w:val="clear" w:color="auto" w:fill="FFFFFF"/>
        </w:rPr>
        <w:t>he BATF-JUN heterodimer and IRF4 bind to the same regulatory regions to mediate chromatin remodelling and facilitate accessibility to regulatory elements by other Th cell subset-specific transcription factors including STAT3, MAF and RORγt in Th17. Interestingly, BATF and IRF4 are also necessary for Treg differentiation in visceral adipose tissue through direct regulation of IL-33 receptor, ST2 and PPAR-γ expression</w:t>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fldChar w:fldCharType="begin"/>
      </w:r>
      <w:r w:rsidRPr="00164D69">
        <w:rPr>
          <w:rFonts w:ascii="Book Antiqua" w:hAnsi="Book Antiqua" w:cs="Times New Roman"/>
          <w:sz w:val="24"/>
          <w:szCs w:val="24"/>
          <w:shd w:val="clear" w:color="auto" w:fill="FFFFFF"/>
        </w:rPr>
        <w:instrText>ADDIN RW.CITE{{83 Vasanthakumar,A. 2015}}</w:instrText>
      </w:r>
      <w:r w:rsidRPr="00164D69">
        <w:rPr>
          <w:rFonts w:ascii="Book Antiqua" w:hAnsi="Book Antiqua" w:cs="Times New Roman"/>
          <w:sz w:val="24"/>
          <w:szCs w:val="24"/>
          <w:shd w:val="clear" w:color="auto" w:fill="FFFFFF"/>
        </w:rPr>
        <w:fldChar w:fldCharType="separate"/>
      </w:r>
      <w:r w:rsidRPr="00164D69">
        <w:rPr>
          <w:rFonts w:ascii="Book Antiqua" w:hAnsi="Book Antiqua" w:cs="Times New Roman"/>
          <w:sz w:val="24"/>
          <w:szCs w:val="24"/>
          <w:shd w:val="clear" w:color="auto" w:fill="FFFFFF"/>
          <w:vertAlign w:val="superscript"/>
        </w:rPr>
        <w:t>72</w:t>
      </w:r>
      <w:r w:rsidRPr="00164D69">
        <w:rPr>
          <w:rFonts w:ascii="Book Antiqua" w:hAnsi="Book Antiqua" w:cs="Times New Roman"/>
          <w:sz w:val="24"/>
          <w:szCs w:val="24"/>
          <w:shd w:val="clear" w:color="auto" w:fill="FFFFFF"/>
        </w:rPr>
        <w:fldChar w:fldCharType="end"/>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t xml:space="preserve">. </w:t>
      </w:r>
      <w:r w:rsidRPr="00164D69">
        <w:rPr>
          <w:rFonts w:ascii="Book Antiqua" w:hAnsi="Book Antiqua" w:cs="Times New Roman"/>
          <w:sz w:val="24"/>
          <w:szCs w:val="24"/>
        </w:rPr>
        <w:t>B</w:t>
      </w:r>
      <w:r w:rsidR="003B4316" w:rsidRPr="00164D69">
        <w:rPr>
          <w:rFonts w:ascii="Book Antiqua" w:hAnsi="Book Antiqua" w:cs="Times New Roman"/>
          <w:sz w:val="24"/>
          <w:szCs w:val="24"/>
        </w:rPr>
        <w:t>ATF</w:t>
      </w:r>
      <w:r w:rsidRPr="00164D69">
        <w:rPr>
          <w:rFonts w:ascii="Book Antiqua" w:hAnsi="Book Antiqua" w:cs="Times New Roman"/>
          <w:b/>
          <w:sz w:val="24"/>
          <w:szCs w:val="24"/>
          <w:vertAlign w:val="superscript"/>
        </w:rPr>
        <w:t>+</w:t>
      </w:r>
      <w:r w:rsidRPr="00164D69">
        <w:rPr>
          <w:rFonts w:ascii="Book Antiqua" w:hAnsi="Book Antiqua" w:cs="Times New Roman"/>
          <w:sz w:val="24"/>
          <w:szCs w:val="24"/>
        </w:rPr>
        <w:t xml:space="preserve"> ROR</w:t>
      </w:r>
      <w:r w:rsidR="003B4316" w:rsidRPr="00164D69">
        <w:rPr>
          <w:rFonts w:ascii="Book Antiqua" w:hAnsi="Book Antiqua" w:cs="Times New Roman"/>
          <w:sz w:val="24"/>
          <w:szCs w:val="24"/>
        </w:rPr>
        <w:t>c</w:t>
      </w:r>
      <w:r w:rsidR="005B250C" w:rsidRPr="00164D69">
        <w:rPr>
          <w:rFonts w:ascii="Book Antiqua" w:hAnsi="Book Antiqua" w:cs="Times New Roman"/>
          <w:sz w:val="24"/>
          <w:szCs w:val="24"/>
          <w:vertAlign w:val="superscript"/>
        </w:rPr>
        <w:t xml:space="preserve"> </w:t>
      </w:r>
      <w:r w:rsidRPr="00164D69">
        <w:rPr>
          <w:rFonts w:ascii="Book Antiqua" w:hAnsi="Book Antiqua" w:cs="Times New Roman"/>
          <w:b/>
          <w:sz w:val="24"/>
          <w:szCs w:val="24"/>
          <w:vertAlign w:val="superscript"/>
        </w:rPr>
        <w:t>-</w:t>
      </w:r>
      <w:r w:rsidRPr="00164D69">
        <w:rPr>
          <w:rFonts w:ascii="Book Antiqua" w:hAnsi="Book Antiqua" w:cs="Times New Roman"/>
          <w:sz w:val="24"/>
          <w:szCs w:val="24"/>
        </w:rPr>
        <w:t xml:space="preserve"> Th17 cells are found in gut tissues from UC but not CD patients</w:t>
      </w:r>
      <w:r w:rsidR="001963E1"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RW.CITE{{113 Punkenburg,E. 2015}}</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73</w:t>
      </w:r>
      <w:r w:rsidRPr="00164D69">
        <w:rPr>
          <w:rFonts w:ascii="Book Antiqua" w:hAnsi="Book Antiqua" w:cs="Times New Roman"/>
          <w:sz w:val="24"/>
          <w:szCs w:val="24"/>
        </w:rPr>
        <w:fldChar w:fldCharType="end"/>
      </w:r>
      <w:r w:rsidR="001963E1"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w:t>
      </w:r>
      <w:r w:rsidRPr="00164D69">
        <w:rPr>
          <w:rFonts w:ascii="Book Antiqua" w:hAnsi="Book Antiqua" w:cs="Times New Roman"/>
          <w:sz w:val="24"/>
          <w:szCs w:val="24"/>
          <w:shd w:val="clear" w:color="auto" w:fill="FFFFFF"/>
        </w:rPr>
        <w:t>Taken together BATF/IRF4 axis may direct Treg/Th17 balance and plasticity</w:t>
      </w:r>
      <w:r w:rsidR="003B4316" w:rsidRPr="00164D69">
        <w:rPr>
          <w:rFonts w:ascii="Book Antiqua" w:hAnsi="Book Antiqua" w:cs="Times New Roman"/>
          <w:sz w:val="24"/>
          <w:szCs w:val="24"/>
          <w:shd w:val="clear" w:color="auto" w:fill="FFFFFF"/>
        </w:rPr>
        <w:t xml:space="preserve"> in the gut</w:t>
      </w:r>
      <w:r w:rsidRPr="00164D69">
        <w:rPr>
          <w:rFonts w:ascii="Book Antiqua" w:hAnsi="Book Antiqua" w:cs="Times New Roman"/>
          <w:sz w:val="24"/>
          <w:szCs w:val="24"/>
          <w:shd w:val="clear" w:color="auto" w:fill="FFFFFF"/>
        </w:rPr>
        <w:t xml:space="preserve">. </w:t>
      </w:r>
    </w:p>
    <w:p w14:paraId="3417C41B" w14:textId="0E44B04D" w:rsidR="00A43052" w:rsidRPr="00164D69" w:rsidRDefault="00A43052" w:rsidP="002822E2">
      <w:pPr>
        <w:adjustRightInd w:val="0"/>
        <w:snapToGrid w:val="0"/>
        <w:spacing w:after="0" w:line="360" w:lineRule="auto"/>
        <w:ind w:firstLineChars="100" w:firstLine="240"/>
        <w:jc w:val="both"/>
        <w:rPr>
          <w:rFonts w:ascii="Book Antiqua" w:hAnsi="Book Antiqua" w:cs="Times New Roman"/>
          <w:sz w:val="24"/>
          <w:szCs w:val="24"/>
          <w:shd w:val="clear" w:color="auto" w:fill="FFFFFF"/>
        </w:rPr>
      </w:pPr>
      <w:r w:rsidRPr="00164D69">
        <w:rPr>
          <w:rFonts w:ascii="Book Antiqua" w:hAnsi="Book Antiqua" w:cs="Times New Roman"/>
          <w:sz w:val="24"/>
          <w:szCs w:val="24"/>
          <w:shd w:val="clear" w:color="auto" w:fill="FFFFFF"/>
        </w:rPr>
        <w:t>A member of the Ikaros family, IKZF3 (or Aiolos) is known to promote Th17 differentiation by supressing IL-2 production</w:t>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fldChar w:fldCharType="begin"/>
      </w:r>
      <w:r w:rsidRPr="00164D69">
        <w:rPr>
          <w:rFonts w:ascii="Book Antiqua" w:hAnsi="Book Antiqua" w:cs="Times New Roman"/>
          <w:sz w:val="24"/>
          <w:szCs w:val="24"/>
          <w:shd w:val="clear" w:color="auto" w:fill="FFFFFF"/>
        </w:rPr>
        <w:instrText>ADDIN RW.CITE{{84 Quintana,F.J. 2012}}</w:instrText>
      </w:r>
      <w:r w:rsidRPr="00164D69">
        <w:rPr>
          <w:rFonts w:ascii="Book Antiqua" w:hAnsi="Book Antiqua" w:cs="Times New Roman"/>
          <w:sz w:val="24"/>
          <w:szCs w:val="24"/>
          <w:shd w:val="clear" w:color="auto" w:fill="FFFFFF"/>
        </w:rPr>
        <w:fldChar w:fldCharType="separate"/>
      </w:r>
      <w:r w:rsidRPr="00164D69">
        <w:rPr>
          <w:rFonts w:ascii="Book Antiqua" w:hAnsi="Book Antiqua" w:cs="Times New Roman"/>
          <w:sz w:val="24"/>
          <w:szCs w:val="24"/>
          <w:shd w:val="clear" w:color="auto" w:fill="FFFFFF"/>
          <w:vertAlign w:val="superscript"/>
        </w:rPr>
        <w:t>74</w:t>
      </w:r>
      <w:r w:rsidRPr="00164D69">
        <w:rPr>
          <w:rFonts w:ascii="Book Antiqua" w:hAnsi="Book Antiqua" w:cs="Times New Roman"/>
          <w:sz w:val="24"/>
          <w:szCs w:val="24"/>
          <w:shd w:val="clear" w:color="auto" w:fill="FFFFFF"/>
        </w:rPr>
        <w:fldChar w:fldCharType="end"/>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t>. Interestingly, IKZF3 is also expressed in iTreg lacking the expression IKZF2, (or Helios).</w:t>
      </w:r>
      <w:r w:rsidR="00164D69" w:rsidRPr="00164D69">
        <w:rPr>
          <w:rFonts w:ascii="Book Antiqua" w:hAnsi="Book Antiqua" w:cs="Times New Roman"/>
          <w:sz w:val="24"/>
          <w:szCs w:val="24"/>
          <w:shd w:val="clear" w:color="auto" w:fill="FFFFFF"/>
        </w:rPr>
        <w:t xml:space="preserve"> </w:t>
      </w:r>
      <w:r w:rsidRPr="00164D69">
        <w:rPr>
          <w:rFonts w:ascii="Book Antiqua" w:hAnsi="Book Antiqua" w:cs="Times New Roman"/>
          <w:sz w:val="24"/>
          <w:szCs w:val="24"/>
          <w:shd w:val="clear" w:color="auto" w:fill="FFFFFF"/>
        </w:rPr>
        <w:t>These IKZF2</w:t>
      </w:r>
      <w:r w:rsidR="005B250C" w:rsidRPr="00164D69">
        <w:rPr>
          <w:rFonts w:ascii="Book Antiqua" w:hAnsi="Book Antiqua" w:cs="Times New Roman"/>
          <w:sz w:val="24"/>
          <w:szCs w:val="24"/>
          <w:shd w:val="clear" w:color="auto" w:fill="FFFFFF"/>
          <w:vertAlign w:val="superscript"/>
        </w:rPr>
        <w:t xml:space="preserve"> </w:t>
      </w:r>
      <w:r w:rsidRPr="00164D69">
        <w:rPr>
          <w:rFonts w:ascii="Book Antiqua" w:hAnsi="Book Antiqua" w:cs="Times New Roman"/>
          <w:b/>
          <w:sz w:val="24"/>
          <w:szCs w:val="24"/>
          <w:shd w:val="clear" w:color="auto" w:fill="FFFFFF"/>
          <w:vertAlign w:val="superscript"/>
        </w:rPr>
        <w:t>-</w:t>
      </w:r>
      <w:r w:rsidRPr="00164D69">
        <w:rPr>
          <w:rFonts w:ascii="Book Antiqua" w:hAnsi="Book Antiqua" w:cs="Times New Roman"/>
          <w:sz w:val="24"/>
          <w:szCs w:val="24"/>
          <w:shd w:val="clear" w:color="auto" w:fill="FFFFFF"/>
        </w:rPr>
        <w:t xml:space="preserve"> IKZF3</w:t>
      </w:r>
      <w:r w:rsidRPr="00164D69">
        <w:rPr>
          <w:rFonts w:ascii="Book Antiqua" w:hAnsi="Book Antiqua" w:cs="Times New Roman"/>
          <w:b/>
          <w:sz w:val="24"/>
          <w:szCs w:val="24"/>
          <w:shd w:val="clear" w:color="auto" w:fill="FFFFFF"/>
          <w:vertAlign w:val="superscript"/>
        </w:rPr>
        <w:t>+</w:t>
      </w:r>
      <w:r w:rsidRPr="00164D69">
        <w:rPr>
          <w:rFonts w:ascii="Book Antiqua" w:hAnsi="Book Antiqua" w:cs="Times New Roman"/>
          <w:sz w:val="24"/>
          <w:szCs w:val="24"/>
          <w:shd w:val="clear" w:color="auto" w:fill="FFFFFF"/>
        </w:rPr>
        <w:t xml:space="preserve"> Foxp3</w:t>
      </w:r>
      <w:r w:rsidRPr="00164D69">
        <w:rPr>
          <w:rFonts w:ascii="Book Antiqua" w:hAnsi="Book Antiqua" w:cs="Times New Roman"/>
          <w:b/>
          <w:sz w:val="24"/>
          <w:szCs w:val="24"/>
          <w:shd w:val="clear" w:color="auto" w:fill="FFFFFF"/>
          <w:vertAlign w:val="superscript"/>
        </w:rPr>
        <w:t>+</w:t>
      </w:r>
      <w:r w:rsidRPr="00164D69">
        <w:rPr>
          <w:rFonts w:ascii="Book Antiqua" w:hAnsi="Book Antiqua" w:cs="Times New Roman"/>
          <w:sz w:val="24"/>
          <w:szCs w:val="24"/>
          <w:shd w:val="clear" w:color="auto" w:fill="FFFFFF"/>
        </w:rPr>
        <w:t xml:space="preserve"> Th cells express IL-17 and exert reduced regulatory functions in healthy human blood samples</w:t>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fldChar w:fldCharType="begin"/>
      </w:r>
      <w:r w:rsidRPr="00164D69">
        <w:rPr>
          <w:rFonts w:ascii="Book Antiqua" w:hAnsi="Book Antiqua" w:cs="Times New Roman"/>
          <w:sz w:val="24"/>
          <w:szCs w:val="24"/>
          <w:shd w:val="clear" w:color="auto" w:fill="FFFFFF"/>
        </w:rPr>
        <w:instrText>ADDIN RW.CITE{{85 Raffin,C. 2013}}</w:instrText>
      </w:r>
      <w:r w:rsidRPr="00164D69">
        <w:rPr>
          <w:rFonts w:ascii="Book Antiqua" w:hAnsi="Book Antiqua" w:cs="Times New Roman"/>
          <w:sz w:val="24"/>
          <w:szCs w:val="24"/>
          <w:shd w:val="clear" w:color="auto" w:fill="FFFFFF"/>
        </w:rPr>
        <w:fldChar w:fldCharType="separate"/>
      </w:r>
      <w:r w:rsidRPr="00164D69">
        <w:rPr>
          <w:rFonts w:ascii="Book Antiqua" w:hAnsi="Book Antiqua" w:cs="Times New Roman"/>
          <w:sz w:val="24"/>
          <w:szCs w:val="24"/>
          <w:shd w:val="clear" w:color="auto" w:fill="FFFFFF"/>
          <w:vertAlign w:val="superscript"/>
        </w:rPr>
        <w:t>75</w:t>
      </w:r>
      <w:r w:rsidRPr="00164D69">
        <w:rPr>
          <w:rFonts w:ascii="Book Antiqua" w:hAnsi="Book Antiqua" w:cs="Times New Roman"/>
          <w:sz w:val="24"/>
          <w:szCs w:val="24"/>
          <w:shd w:val="clear" w:color="auto" w:fill="FFFFFF"/>
        </w:rPr>
        <w:fldChar w:fldCharType="end"/>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t xml:space="preserve">. Furthermore, polymorphism in </w:t>
      </w:r>
      <w:r w:rsidRPr="00164D69">
        <w:rPr>
          <w:rFonts w:ascii="Book Antiqua" w:hAnsi="Book Antiqua" w:cs="Times New Roman"/>
          <w:i/>
          <w:sz w:val="24"/>
          <w:szCs w:val="24"/>
          <w:shd w:val="clear" w:color="auto" w:fill="FFFFFF"/>
        </w:rPr>
        <w:t>Ikzf3</w:t>
      </w:r>
      <w:r w:rsidRPr="00164D69">
        <w:rPr>
          <w:rFonts w:ascii="Book Antiqua" w:hAnsi="Book Antiqua" w:cs="Times New Roman"/>
          <w:sz w:val="24"/>
          <w:szCs w:val="24"/>
          <w:shd w:val="clear" w:color="auto" w:fill="FFFFFF"/>
        </w:rPr>
        <w:t xml:space="preserve"> locus shows an association with CD and UC</w:t>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fldChar w:fldCharType="begin"/>
      </w:r>
      <w:r w:rsidRPr="00164D69">
        <w:rPr>
          <w:rFonts w:ascii="Book Antiqua" w:hAnsi="Book Antiqua" w:cs="Times New Roman"/>
          <w:sz w:val="24"/>
          <w:szCs w:val="24"/>
          <w:shd w:val="clear" w:color="auto" w:fill="FFFFFF"/>
        </w:rPr>
        <w:instrText>ADDIN RW.CITE{{66 Jostins,L. 2012}}</w:instrText>
      </w:r>
      <w:r w:rsidRPr="00164D69">
        <w:rPr>
          <w:rFonts w:ascii="Book Antiqua" w:hAnsi="Book Antiqua" w:cs="Times New Roman"/>
          <w:sz w:val="24"/>
          <w:szCs w:val="24"/>
          <w:shd w:val="clear" w:color="auto" w:fill="FFFFFF"/>
        </w:rPr>
        <w:fldChar w:fldCharType="separate"/>
      </w:r>
      <w:r w:rsidRPr="00164D69">
        <w:rPr>
          <w:rFonts w:ascii="Book Antiqua" w:hAnsi="Book Antiqua" w:cs="Times New Roman"/>
          <w:sz w:val="24"/>
          <w:szCs w:val="24"/>
          <w:shd w:val="clear" w:color="auto" w:fill="FFFFFF"/>
          <w:vertAlign w:val="superscript"/>
        </w:rPr>
        <w:t>31</w:t>
      </w:r>
      <w:r w:rsidRPr="00164D69">
        <w:rPr>
          <w:rFonts w:ascii="Book Antiqua" w:hAnsi="Book Antiqua" w:cs="Times New Roman"/>
          <w:sz w:val="24"/>
          <w:szCs w:val="24"/>
          <w:shd w:val="clear" w:color="auto" w:fill="FFFFFF"/>
        </w:rPr>
        <w:fldChar w:fldCharType="end"/>
      </w:r>
      <w:r w:rsidR="001963E1"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t>. Thus, IKZF3 may turn out to be an important regulator of Th17-Treg plasticity in IBD.</w:t>
      </w:r>
      <w:r w:rsidR="00164D69" w:rsidRPr="00164D69">
        <w:rPr>
          <w:rFonts w:ascii="Book Antiqua" w:hAnsi="Book Antiqua" w:cs="Times New Roman"/>
          <w:sz w:val="24"/>
          <w:szCs w:val="24"/>
          <w:shd w:val="clear" w:color="auto" w:fill="FFFFFF"/>
        </w:rPr>
        <w:t xml:space="preserve"> </w:t>
      </w:r>
    </w:p>
    <w:p w14:paraId="0ECB103F" w14:textId="79C1E209" w:rsidR="00A43052" w:rsidRPr="00164D69" w:rsidRDefault="00A43052" w:rsidP="002822E2">
      <w:pPr>
        <w:adjustRightInd w:val="0"/>
        <w:snapToGrid w:val="0"/>
        <w:spacing w:after="0" w:line="360" w:lineRule="auto"/>
        <w:ind w:firstLineChars="100" w:firstLine="240"/>
        <w:jc w:val="both"/>
        <w:rPr>
          <w:rFonts w:ascii="Book Antiqua" w:eastAsia="Arial Unicode MS" w:hAnsi="Book Antiqua" w:cs="Times New Roman"/>
          <w:sz w:val="24"/>
          <w:szCs w:val="24"/>
          <w:shd w:val="clear" w:color="auto" w:fill="FFFFFF"/>
        </w:rPr>
      </w:pPr>
      <w:r w:rsidRPr="00164D69">
        <w:rPr>
          <w:rFonts w:ascii="Book Antiqua" w:hAnsi="Book Antiqua" w:cs="Times New Roman"/>
          <w:sz w:val="24"/>
          <w:szCs w:val="24"/>
          <w:shd w:val="clear" w:color="auto" w:fill="FFFFFF"/>
        </w:rPr>
        <w:t>An environmental sensor, Hypoxia-inducible factor 1 (HIF-1)</w:t>
      </w:r>
      <w:r w:rsidR="00997D97" w:rsidRPr="00164D69">
        <w:rPr>
          <w:rFonts w:ascii="Book Antiqua" w:hAnsi="Book Antiqua" w:cs="Times New Roman"/>
          <w:sz w:val="24"/>
          <w:szCs w:val="24"/>
          <w:shd w:val="clear" w:color="auto" w:fill="FFFFFF"/>
        </w:rPr>
        <w:t>,</w:t>
      </w:r>
      <w:r w:rsidRPr="00164D69">
        <w:rPr>
          <w:rFonts w:ascii="Book Antiqua" w:hAnsi="Book Antiqua" w:cs="Times New Roman"/>
          <w:sz w:val="24"/>
          <w:szCs w:val="24"/>
          <w:shd w:val="clear" w:color="auto" w:fill="FFFFFF"/>
        </w:rPr>
        <w:t xml:space="preserve"> which </w:t>
      </w:r>
      <w:r w:rsidRPr="00164D69">
        <w:rPr>
          <w:rFonts w:ascii="Book Antiqua" w:eastAsia="Arial Unicode MS" w:hAnsi="Book Antiqua" w:cs="Times New Roman"/>
          <w:sz w:val="24"/>
          <w:szCs w:val="24"/>
          <w:shd w:val="clear" w:color="auto" w:fill="FFFFFF"/>
        </w:rPr>
        <w:t>is induced by Th17</w:t>
      </w:r>
      <w:r w:rsidR="00997D97" w:rsidRPr="00164D69">
        <w:rPr>
          <w:rFonts w:ascii="Book Antiqua" w:eastAsia="Arial Unicode MS" w:hAnsi="Book Antiqua" w:cs="Times New Roman"/>
          <w:sz w:val="24"/>
          <w:szCs w:val="24"/>
          <w:shd w:val="clear" w:color="auto" w:fill="FFFFFF"/>
        </w:rPr>
        <w:t xml:space="preserve"> cells</w:t>
      </w:r>
      <w:r w:rsidRPr="00164D69">
        <w:rPr>
          <w:rFonts w:ascii="Book Antiqua" w:eastAsia="Arial Unicode MS" w:hAnsi="Book Antiqua" w:cs="Times New Roman"/>
          <w:sz w:val="24"/>
          <w:szCs w:val="24"/>
          <w:shd w:val="clear" w:color="auto" w:fill="FFFFFF"/>
        </w:rPr>
        <w:t xml:space="preserve"> </w:t>
      </w:r>
      <w:r w:rsidR="00997D97" w:rsidRPr="00164D69">
        <w:rPr>
          <w:rFonts w:ascii="Book Antiqua" w:eastAsia="Arial Unicode MS" w:hAnsi="Book Antiqua" w:cs="Times New Roman"/>
          <w:sz w:val="24"/>
          <w:szCs w:val="24"/>
          <w:shd w:val="clear" w:color="auto" w:fill="FFFFFF"/>
        </w:rPr>
        <w:t>to promote signalling</w:t>
      </w:r>
      <w:r w:rsidRPr="00164D69">
        <w:rPr>
          <w:rFonts w:ascii="Book Antiqua" w:eastAsia="Arial Unicode MS" w:hAnsi="Book Antiqua" w:cs="Times New Roman"/>
          <w:sz w:val="24"/>
          <w:szCs w:val="24"/>
          <w:shd w:val="clear" w:color="auto" w:fill="FFFFFF"/>
        </w:rPr>
        <w:t xml:space="preserve"> in a Stat3-dependent manner, cooperates with ROR</w:t>
      </w:r>
      <w:r w:rsidR="00997D97" w:rsidRPr="00164D69">
        <w:rPr>
          <w:rFonts w:ascii="Book Antiqua" w:hAnsi="Book Antiqua" w:cs="Times New Roman"/>
          <w:sz w:val="24"/>
          <w:szCs w:val="24"/>
          <w:shd w:val="clear" w:color="auto" w:fill="FFFFFF"/>
        </w:rPr>
        <w:t>γ</w:t>
      </w:r>
      <w:r w:rsidRPr="00164D69">
        <w:rPr>
          <w:rFonts w:ascii="Book Antiqua" w:eastAsia="Arial Unicode MS" w:hAnsi="Book Antiqua" w:cs="Times New Roman"/>
          <w:sz w:val="24"/>
          <w:szCs w:val="24"/>
          <w:shd w:val="clear" w:color="auto" w:fill="FFFFFF"/>
        </w:rPr>
        <w:t>t to control expression of T</w:t>
      </w:r>
      <w:r w:rsidR="00997D97" w:rsidRPr="00164D69">
        <w:rPr>
          <w:rFonts w:ascii="Book Antiqua" w:eastAsia="Arial Unicode MS" w:hAnsi="Book Antiqua" w:cs="Times New Roman"/>
          <w:sz w:val="24"/>
          <w:szCs w:val="24"/>
          <w:bdr w:val="none" w:sz="0" w:space="0" w:color="auto" w:frame="1"/>
          <w:shd w:val="clear" w:color="auto" w:fill="FFFFFF"/>
        </w:rPr>
        <w:t>h</w:t>
      </w:r>
      <w:r w:rsidRPr="00164D69">
        <w:rPr>
          <w:rFonts w:ascii="Book Antiqua" w:eastAsia="Arial Unicode MS" w:hAnsi="Book Antiqua" w:cs="Times New Roman"/>
          <w:sz w:val="24"/>
          <w:szCs w:val="24"/>
          <w:shd w:val="clear" w:color="auto" w:fill="FFFFFF"/>
        </w:rPr>
        <w:t>17 genes, such as IL-17A, IL-17F, and IL-23R. Furthermore, HIF-1 negatively regulates Treg development by mediating Foxp3 protein degradation</w:t>
      </w:r>
      <w:r w:rsidR="001963E1" w:rsidRPr="00164D69">
        <w:rPr>
          <w:rFonts w:ascii="Book Antiqua" w:eastAsia="Arial Unicode MS" w:hAnsi="Book Antiqua" w:cs="Times New Roman"/>
          <w:sz w:val="24"/>
          <w:szCs w:val="24"/>
          <w:shd w:val="clear" w:color="auto" w:fill="FFFFFF"/>
          <w:vertAlign w:val="superscript"/>
        </w:rPr>
        <w:t>[</w:t>
      </w:r>
      <w:r w:rsidRPr="00164D69">
        <w:rPr>
          <w:rFonts w:ascii="Book Antiqua" w:eastAsia="Arial Unicode MS" w:hAnsi="Book Antiqua" w:cs="Times New Roman"/>
          <w:sz w:val="24"/>
          <w:szCs w:val="24"/>
          <w:shd w:val="clear" w:color="auto" w:fill="FFFFFF"/>
        </w:rPr>
        <w:fldChar w:fldCharType="begin"/>
      </w:r>
      <w:r w:rsidRPr="00164D69">
        <w:rPr>
          <w:rFonts w:ascii="Book Antiqua" w:eastAsia="Arial Unicode MS" w:hAnsi="Book Antiqua" w:cs="Times New Roman"/>
          <w:sz w:val="24"/>
          <w:szCs w:val="24"/>
          <w:shd w:val="clear" w:color="auto" w:fill="FFFFFF"/>
        </w:rPr>
        <w:instrText>ADDIN RW.CITE{{47 Dang,E.V. 2011}}</w:instrText>
      </w:r>
      <w:r w:rsidRPr="00164D69">
        <w:rPr>
          <w:rFonts w:ascii="Book Antiqua" w:eastAsia="Arial Unicode MS" w:hAnsi="Book Antiqua" w:cs="Times New Roman"/>
          <w:sz w:val="24"/>
          <w:szCs w:val="24"/>
          <w:shd w:val="clear" w:color="auto" w:fill="FFFFFF"/>
        </w:rPr>
        <w:fldChar w:fldCharType="separate"/>
      </w:r>
      <w:r w:rsidRPr="00164D69">
        <w:rPr>
          <w:rFonts w:ascii="Book Antiqua" w:eastAsia="Arial Unicode MS" w:hAnsi="Book Antiqua" w:cs="Times New Roman"/>
          <w:sz w:val="24"/>
          <w:szCs w:val="24"/>
          <w:shd w:val="clear" w:color="auto" w:fill="FFFFFF"/>
          <w:vertAlign w:val="superscript"/>
        </w:rPr>
        <w:t>33</w:t>
      </w:r>
      <w:r w:rsidRPr="00164D69">
        <w:rPr>
          <w:rFonts w:ascii="Book Antiqua" w:eastAsia="Arial Unicode MS" w:hAnsi="Book Antiqua" w:cs="Times New Roman"/>
          <w:sz w:val="24"/>
          <w:szCs w:val="24"/>
          <w:shd w:val="clear" w:color="auto" w:fill="FFFFFF"/>
        </w:rPr>
        <w:fldChar w:fldCharType="end"/>
      </w:r>
      <w:r w:rsidR="001963E1" w:rsidRPr="00164D69">
        <w:rPr>
          <w:rFonts w:ascii="Book Antiqua" w:eastAsia="Arial Unicode MS" w:hAnsi="Book Antiqua" w:cs="Times New Roman"/>
          <w:sz w:val="24"/>
          <w:szCs w:val="24"/>
          <w:shd w:val="clear" w:color="auto" w:fill="FFFFFF"/>
          <w:vertAlign w:val="superscript"/>
        </w:rPr>
        <w:t>]</w:t>
      </w:r>
      <w:r w:rsidRPr="00164D69">
        <w:rPr>
          <w:rFonts w:ascii="Book Antiqua" w:eastAsia="Arial Unicode MS" w:hAnsi="Book Antiqua" w:cs="Times New Roman"/>
          <w:sz w:val="24"/>
          <w:szCs w:val="24"/>
          <w:shd w:val="clear" w:color="auto" w:fill="FFFFFF"/>
        </w:rPr>
        <w:t>.</w:t>
      </w:r>
      <w:r w:rsidR="00164D69" w:rsidRPr="00164D69">
        <w:rPr>
          <w:rFonts w:ascii="Book Antiqua" w:eastAsia="Arial Unicode MS" w:hAnsi="Book Antiqua" w:cs="Times New Roman"/>
          <w:sz w:val="24"/>
          <w:szCs w:val="24"/>
          <w:shd w:val="clear" w:color="auto" w:fill="FFFFFF"/>
        </w:rPr>
        <w:t xml:space="preserve"> </w:t>
      </w:r>
    </w:p>
    <w:p w14:paraId="1F3B0736" w14:textId="60953C3B" w:rsidR="00A43052" w:rsidRPr="00164D69" w:rsidRDefault="00A43052" w:rsidP="002822E2">
      <w:pPr>
        <w:adjustRightInd w:val="0"/>
        <w:snapToGrid w:val="0"/>
        <w:spacing w:after="0" w:line="360" w:lineRule="auto"/>
        <w:ind w:firstLineChars="100" w:firstLine="240"/>
        <w:jc w:val="both"/>
        <w:rPr>
          <w:rStyle w:val="highlight"/>
          <w:rFonts w:ascii="Book Antiqua" w:hAnsi="Book Antiqua" w:cs="Times New Roman"/>
          <w:sz w:val="24"/>
          <w:szCs w:val="24"/>
          <w:shd w:val="clear" w:color="auto" w:fill="FFFFFF"/>
        </w:rPr>
      </w:pPr>
      <w:r w:rsidRPr="00164D69">
        <w:rPr>
          <w:rFonts w:ascii="Book Antiqua" w:eastAsia="Arial Unicode MS" w:hAnsi="Book Antiqua" w:cs="Times New Roman"/>
          <w:sz w:val="24"/>
          <w:szCs w:val="24"/>
          <w:shd w:val="clear" w:color="auto" w:fill="FFFFFF"/>
        </w:rPr>
        <w:lastRenderedPageBreak/>
        <w:t>On the other hand, Liu et al</w:t>
      </w:r>
      <w:r w:rsidR="001963E1" w:rsidRPr="00164D69">
        <w:rPr>
          <w:rFonts w:ascii="Book Antiqua" w:eastAsia="Arial Unicode MS" w:hAnsi="Book Antiqua" w:cs="Times New Roman"/>
          <w:sz w:val="24"/>
          <w:szCs w:val="24"/>
          <w:shd w:val="clear" w:color="auto" w:fill="FFFFFF"/>
        </w:rPr>
        <w:t>.</w:t>
      </w:r>
      <w:r w:rsidRPr="00164D69">
        <w:rPr>
          <w:rFonts w:ascii="Book Antiqua" w:eastAsia="Arial Unicode MS" w:hAnsi="Book Antiqua" w:cs="Times New Roman"/>
          <w:sz w:val="24"/>
          <w:szCs w:val="24"/>
          <w:shd w:val="clear" w:color="auto" w:fill="FFFFFF"/>
        </w:rPr>
        <w:t xml:space="preserve"> recently reported that </w:t>
      </w:r>
      <w:r w:rsidRPr="00164D69">
        <w:rPr>
          <w:rFonts w:ascii="Book Antiqua" w:hAnsi="Book Antiqua" w:cs="Times New Roman"/>
          <w:sz w:val="24"/>
          <w:szCs w:val="24"/>
          <w:shd w:val="clear" w:color="auto" w:fill="FFFFFF"/>
        </w:rPr>
        <w:t>TGF-β and IL-6 regulate Th1 cell conversion into</w:t>
      </w:r>
      <w:r w:rsidRPr="00164D69">
        <w:rPr>
          <w:rStyle w:val="apple-converted-space"/>
          <w:rFonts w:ascii="Book Antiqua" w:hAnsi="Book Antiqua" w:cs="Times New Roman"/>
          <w:sz w:val="24"/>
          <w:szCs w:val="24"/>
          <w:shd w:val="clear" w:color="auto" w:fill="FFFFFF"/>
        </w:rPr>
        <w:t> </w:t>
      </w:r>
      <w:r w:rsidR="0027569E" w:rsidRPr="00164D69">
        <w:rPr>
          <w:rStyle w:val="apple-converted-space"/>
          <w:rFonts w:ascii="Book Antiqua" w:hAnsi="Book Antiqua" w:cs="Times New Roman"/>
          <w:sz w:val="24"/>
          <w:szCs w:val="24"/>
          <w:shd w:val="clear" w:color="auto" w:fill="FFFFFF"/>
        </w:rPr>
        <w:t xml:space="preserve">the </w:t>
      </w:r>
      <w:r w:rsidRPr="00164D69">
        <w:rPr>
          <w:rStyle w:val="highlight"/>
          <w:rFonts w:ascii="Book Antiqua" w:hAnsi="Book Antiqua" w:cs="Times New Roman"/>
          <w:sz w:val="24"/>
          <w:szCs w:val="24"/>
          <w:shd w:val="clear" w:color="auto" w:fill="FFFFFF"/>
        </w:rPr>
        <w:t>Th17 subset</w:t>
      </w:r>
      <w:r w:rsidRPr="00164D69">
        <w:rPr>
          <w:rFonts w:ascii="Book Antiqua" w:hAnsi="Book Antiqua" w:cs="Times New Roman"/>
          <w:sz w:val="24"/>
          <w:szCs w:val="24"/>
          <w:shd w:val="clear" w:color="auto" w:fill="FFFFFF"/>
        </w:rPr>
        <w:t xml:space="preserve"> </w:t>
      </w:r>
      <w:r w:rsidR="00164D69" w:rsidRPr="00164D69">
        <w:rPr>
          <w:rFonts w:ascii="Book Antiqua" w:hAnsi="Book Antiqua" w:cs="Times New Roman"/>
          <w:i/>
          <w:sz w:val="24"/>
          <w:szCs w:val="24"/>
          <w:shd w:val="clear" w:color="auto" w:fill="FFFFFF"/>
        </w:rPr>
        <w:t xml:space="preserve">via </w:t>
      </w:r>
      <w:r w:rsidRPr="00164D69">
        <w:rPr>
          <w:rFonts w:ascii="Book Antiqua" w:hAnsi="Book Antiqua" w:cs="Times New Roman"/>
          <w:sz w:val="24"/>
          <w:szCs w:val="24"/>
          <w:shd w:val="clear" w:color="auto" w:fill="FFFFFF"/>
        </w:rPr>
        <w:t xml:space="preserve"> </w:t>
      </w:r>
      <w:r w:rsidR="0027569E" w:rsidRPr="00164D69">
        <w:rPr>
          <w:rFonts w:ascii="Book Antiqua" w:hAnsi="Book Antiqua" w:cs="Times New Roman"/>
          <w:sz w:val="24"/>
          <w:szCs w:val="24"/>
          <w:shd w:val="clear" w:color="auto" w:fill="FFFFFF"/>
        </w:rPr>
        <w:t xml:space="preserve">expression of </w:t>
      </w:r>
      <w:r w:rsidRPr="00164D69">
        <w:rPr>
          <w:rFonts w:ascii="Book Antiqua" w:hAnsi="Book Antiqua" w:cs="Times New Roman"/>
          <w:sz w:val="24"/>
          <w:szCs w:val="24"/>
          <w:shd w:val="clear" w:color="auto" w:fill="FFFFFF"/>
        </w:rPr>
        <w:t>Runx1</w:t>
      </w:r>
      <w:r w:rsidR="0027569E" w:rsidRPr="00164D69">
        <w:rPr>
          <w:rFonts w:ascii="Book Antiqua" w:hAnsi="Book Antiqua" w:cs="Times New Roman"/>
          <w:sz w:val="24"/>
          <w:szCs w:val="24"/>
          <w:shd w:val="clear" w:color="auto" w:fill="FFFFFF"/>
        </w:rPr>
        <w:t>.</w:t>
      </w:r>
      <w:r w:rsidRPr="00164D69">
        <w:rPr>
          <w:rFonts w:ascii="Book Antiqua" w:hAnsi="Book Antiqua" w:cs="Times New Roman"/>
          <w:sz w:val="24"/>
          <w:szCs w:val="24"/>
          <w:shd w:val="clear" w:color="auto" w:fill="FFFFFF"/>
        </w:rPr>
        <w:t xml:space="preserve"> </w:t>
      </w:r>
      <w:r w:rsidR="0027569E" w:rsidRPr="00164D69">
        <w:rPr>
          <w:rFonts w:ascii="Book Antiqua" w:hAnsi="Book Antiqua" w:cs="Times New Roman"/>
          <w:sz w:val="24"/>
          <w:szCs w:val="24"/>
          <w:shd w:val="clear" w:color="auto" w:fill="FFFFFF"/>
        </w:rPr>
        <w:t>This is supported by the finding that siRNA mediated silencing of Runx1 inhibits this conversion</w:t>
      </w:r>
      <w:r w:rsidRPr="00164D69">
        <w:rPr>
          <w:rFonts w:ascii="Book Antiqua" w:hAnsi="Book Antiqua" w:cs="Times New Roman"/>
          <w:sz w:val="24"/>
          <w:szCs w:val="24"/>
          <w:shd w:val="clear" w:color="auto" w:fill="FFFFFF"/>
        </w:rPr>
        <w:t>. Furthermore, TGF-β enhanced histone H3K9 acetylation but inhibited H3K9 trimethylation of Runx1- and ROR-γt-binding sites on</w:t>
      </w:r>
      <w:r w:rsidR="00312D91" w:rsidRPr="00164D69">
        <w:rPr>
          <w:rFonts w:ascii="Book Antiqua" w:hAnsi="Book Antiqua" w:cs="Times New Roman"/>
          <w:sz w:val="24"/>
          <w:szCs w:val="24"/>
          <w:shd w:val="clear" w:color="auto" w:fill="FFFFFF"/>
        </w:rPr>
        <w:t xml:space="preserve"> the</w:t>
      </w:r>
      <w:r w:rsidRPr="00164D69">
        <w:rPr>
          <w:rFonts w:ascii="Book Antiqua" w:hAnsi="Book Antiqua" w:cs="Times New Roman"/>
          <w:sz w:val="24"/>
          <w:szCs w:val="24"/>
          <w:shd w:val="clear" w:color="auto" w:fill="FFFFFF"/>
        </w:rPr>
        <w:t xml:space="preserve"> </w:t>
      </w:r>
      <w:r w:rsidRPr="00164D69">
        <w:rPr>
          <w:rFonts w:ascii="Book Antiqua" w:hAnsi="Book Antiqua" w:cs="Times New Roman"/>
          <w:i/>
          <w:sz w:val="24"/>
          <w:szCs w:val="24"/>
          <w:shd w:val="clear" w:color="auto" w:fill="FFFFFF"/>
        </w:rPr>
        <w:t>il-17</w:t>
      </w:r>
      <w:r w:rsidRPr="00164D69">
        <w:rPr>
          <w:rFonts w:ascii="Book Antiqua" w:hAnsi="Book Antiqua" w:cs="Times New Roman"/>
          <w:sz w:val="24"/>
          <w:szCs w:val="24"/>
          <w:shd w:val="clear" w:color="auto" w:fill="FFFFFF"/>
        </w:rPr>
        <w:t xml:space="preserve"> or </w:t>
      </w:r>
      <w:r w:rsidRPr="00164D69">
        <w:rPr>
          <w:rFonts w:ascii="Book Antiqua" w:hAnsi="Book Antiqua" w:cs="Times New Roman"/>
          <w:i/>
          <w:sz w:val="24"/>
          <w:szCs w:val="24"/>
          <w:shd w:val="clear" w:color="auto" w:fill="FFFFFF"/>
        </w:rPr>
        <w:t>rorc</w:t>
      </w:r>
      <w:r w:rsidRPr="00164D69">
        <w:rPr>
          <w:rFonts w:ascii="Book Antiqua" w:hAnsi="Book Antiqua" w:cs="Times New Roman"/>
          <w:sz w:val="24"/>
          <w:szCs w:val="24"/>
          <w:shd w:val="clear" w:color="auto" w:fill="FFFFFF"/>
        </w:rPr>
        <w:t xml:space="preserve"> gene in Th1</w:t>
      </w:r>
      <w:r w:rsidRPr="00164D69">
        <w:rPr>
          <w:rStyle w:val="apple-converted-space"/>
          <w:rFonts w:ascii="Book Antiqua" w:hAnsi="Book Antiqua" w:cs="Times New Roman"/>
          <w:sz w:val="24"/>
          <w:szCs w:val="24"/>
          <w:shd w:val="clear" w:color="auto" w:fill="FFFFFF"/>
        </w:rPr>
        <w:t> </w:t>
      </w:r>
      <w:r w:rsidRPr="00164D69">
        <w:rPr>
          <w:rStyle w:val="highlight"/>
          <w:rFonts w:ascii="Book Antiqua" w:hAnsi="Book Antiqua" w:cs="Times New Roman"/>
          <w:sz w:val="24"/>
          <w:szCs w:val="24"/>
          <w:shd w:val="clear" w:color="auto" w:fill="FFFFFF"/>
        </w:rPr>
        <w:t>cells in this disease model</w:t>
      </w:r>
      <w:r w:rsidR="001963E1" w:rsidRPr="00164D69">
        <w:rPr>
          <w:rStyle w:val="highlight"/>
          <w:rFonts w:ascii="Book Antiqua" w:hAnsi="Book Antiqua" w:cs="Times New Roman"/>
          <w:sz w:val="24"/>
          <w:szCs w:val="24"/>
          <w:shd w:val="clear" w:color="auto" w:fill="FFFFFF"/>
          <w:vertAlign w:val="superscript"/>
        </w:rPr>
        <w:t>[</w:t>
      </w:r>
      <w:r w:rsidRPr="00164D69">
        <w:rPr>
          <w:rStyle w:val="highlight"/>
          <w:rFonts w:ascii="Book Antiqua" w:hAnsi="Book Antiqua" w:cs="Times New Roman"/>
          <w:sz w:val="24"/>
          <w:szCs w:val="24"/>
          <w:shd w:val="clear" w:color="auto" w:fill="FFFFFF"/>
        </w:rPr>
        <w:fldChar w:fldCharType="begin"/>
      </w:r>
      <w:r w:rsidRPr="00164D69">
        <w:rPr>
          <w:rStyle w:val="highlight"/>
          <w:rFonts w:ascii="Book Antiqua" w:hAnsi="Book Antiqua" w:cs="Times New Roman"/>
          <w:sz w:val="24"/>
          <w:szCs w:val="24"/>
          <w:shd w:val="clear" w:color="auto" w:fill="FFFFFF"/>
        </w:rPr>
        <w:instrText>ADDIN RW.CITE{{65 Liu,H.P. 2015}}</w:instrText>
      </w:r>
      <w:r w:rsidRPr="00164D69">
        <w:rPr>
          <w:rStyle w:val="highlight"/>
          <w:rFonts w:ascii="Book Antiqua" w:hAnsi="Book Antiqua" w:cs="Times New Roman"/>
          <w:sz w:val="24"/>
          <w:szCs w:val="24"/>
          <w:shd w:val="clear" w:color="auto" w:fill="FFFFFF"/>
        </w:rPr>
        <w:fldChar w:fldCharType="separate"/>
      </w:r>
      <w:r w:rsidRPr="00164D69">
        <w:rPr>
          <w:rStyle w:val="highlight"/>
          <w:rFonts w:ascii="Book Antiqua" w:hAnsi="Book Antiqua" w:cs="Times New Roman"/>
          <w:sz w:val="24"/>
          <w:szCs w:val="24"/>
          <w:shd w:val="clear" w:color="auto" w:fill="FFFFFF"/>
          <w:vertAlign w:val="superscript"/>
        </w:rPr>
        <w:t>76</w:t>
      </w:r>
      <w:r w:rsidRPr="00164D69">
        <w:rPr>
          <w:rStyle w:val="highlight"/>
          <w:rFonts w:ascii="Book Antiqua" w:hAnsi="Book Antiqua" w:cs="Times New Roman"/>
          <w:sz w:val="24"/>
          <w:szCs w:val="24"/>
          <w:shd w:val="clear" w:color="auto" w:fill="FFFFFF"/>
        </w:rPr>
        <w:fldChar w:fldCharType="end"/>
      </w:r>
      <w:r w:rsidR="001963E1" w:rsidRPr="00164D69">
        <w:rPr>
          <w:rStyle w:val="highlight"/>
          <w:rFonts w:ascii="Book Antiqua" w:hAnsi="Book Antiqua" w:cs="Times New Roman"/>
          <w:sz w:val="24"/>
          <w:szCs w:val="24"/>
          <w:shd w:val="clear" w:color="auto" w:fill="FFFFFF"/>
          <w:vertAlign w:val="superscript"/>
        </w:rPr>
        <w:t>]</w:t>
      </w:r>
      <w:r w:rsidRPr="00164D69">
        <w:rPr>
          <w:rStyle w:val="highlight"/>
          <w:rFonts w:ascii="Book Antiqua" w:hAnsi="Book Antiqua" w:cs="Times New Roman"/>
          <w:sz w:val="24"/>
          <w:szCs w:val="24"/>
          <w:shd w:val="clear" w:color="auto" w:fill="FFFFFF"/>
        </w:rPr>
        <w:t xml:space="preserve">. </w:t>
      </w:r>
    </w:p>
    <w:p w14:paraId="369054EF" w14:textId="77777777" w:rsidR="00A43052" w:rsidRPr="00164D69" w:rsidRDefault="00A43052" w:rsidP="002822E2">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Transcription factors which are critical for Th17 development and plasticity are summarised in Table 2.</w:t>
      </w:r>
    </w:p>
    <w:p w14:paraId="5A171A65" w14:textId="77777777" w:rsidR="00A43052" w:rsidRPr="00164D69" w:rsidRDefault="00A43052" w:rsidP="002F6FCA">
      <w:pPr>
        <w:adjustRightInd w:val="0"/>
        <w:snapToGrid w:val="0"/>
        <w:spacing w:after="0" w:line="360" w:lineRule="auto"/>
        <w:ind w:firstLine="567"/>
        <w:jc w:val="both"/>
        <w:rPr>
          <w:rFonts w:ascii="Book Antiqua" w:hAnsi="Book Antiqua" w:cs="Times New Roman"/>
          <w:i/>
          <w:sz w:val="24"/>
          <w:szCs w:val="24"/>
        </w:rPr>
      </w:pPr>
    </w:p>
    <w:p w14:paraId="435C7473" w14:textId="77777777"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b/>
          <w:i/>
          <w:sz w:val="24"/>
          <w:szCs w:val="24"/>
        </w:rPr>
      </w:pPr>
      <w:r w:rsidRPr="00164D69">
        <w:rPr>
          <w:rFonts w:ascii="Book Antiqua" w:hAnsi="Book Antiqua" w:cs="Times New Roman"/>
          <w:b/>
          <w:i/>
          <w:sz w:val="24"/>
          <w:szCs w:val="24"/>
        </w:rPr>
        <w:t>Micro-RNA (a cause of plasticity)</w:t>
      </w:r>
    </w:p>
    <w:p w14:paraId="4CEC3EDC" w14:textId="273C5D58"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sz w:val="24"/>
          <w:szCs w:val="24"/>
        </w:rPr>
      </w:pPr>
      <w:r w:rsidRPr="00164D69">
        <w:rPr>
          <w:rFonts w:ascii="Book Antiqua" w:hAnsi="Book Antiqua" w:cs="Times New Roman"/>
          <w:sz w:val="24"/>
          <w:szCs w:val="24"/>
        </w:rPr>
        <w:t xml:space="preserve">Micro RNA (miR) are small fragments of non-coding RNA </w:t>
      </w:r>
      <w:r w:rsidR="005631E6" w:rsidRPr="00164D69">
        <w:rPr>
          <w:rFonts w:ascii="Book Antiqua" w:hAnsi="Book Antiqua" w:cs="Times New Roman"/>
          <w:sz w:val="24"/>
          <w:szCs w:val="24"/>
        </w:rPr>
        <w:t xml:space="preserve">(mostly 17~22 nucleotides) </w:t>
      </w:r>
      <w:r w:rsidR="001E6BCF" w:rsidRPr="00164D69">
        <w:rPr>
          <w:rFonts w:ascii="Book Antiqua" w:hAnsi="Book Antiqua" w:cs="Times New Roman"/>
          <w:sz w:val="24"/>
          <w:szCs w:val="24"/>
        </w:rPr>
        <w:t xml:space="preserve">that </w:t>
      </w:r>
      <w:r w:rsidRPr="00164D69">
        <w:rPr>
          <w:rFonts w:ascii="Book Antiqua" w:hAnsi="Book Antiqua" w:cs="Times New Roman"/>
          <w:sz w:val="24"/>
          <w:szCs w:val="24"/>
        </w:rPr>
        <w:t>act as regulators of RNA expression through binding to the 3’-UTR of complementary mRNA resulting in repression/silencing of target RNAs. Several miRs have been reported to influence the differentiation of Th cell subsets</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RW.CITE{{86 Nakayamada,S. 2012}}</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77</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as well as plasticity and reciprocal regulation among Th cell subsets</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RW.CITE{{87 Baumjohann,D.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78</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p>
    <w:p w14:paraId="1E346B05" w14:textId="1ED4BCD6" w:rsidR="00A43052" w:rsidRPr="00164D69" w:rsidRDefault="00A43052" w:rsidP="002822E2">
      <w:pPr>
        <w:pStyle w:val="a4"/>
        <w:adjustRightInd w:val="0"/>
        <w:snapToGrid w:val="0"/>
        <w:spacing w:after="0" w:line="360" w:lineRule="auto"/>
        <w:ind w:left="0" w:firstLineChars="100" w:firstLine="240"/>
        <w:contextualSpacing w:val="0"/>
        <w:jc w:val="both"/>
        <w:rPr>
          <w:rFonts w:ascii="Book Antiqua" w:hAnsi="Book Antiqua" w:cs="Times New Roman"/>
          <w:i/>
          <w:sz w:val="24"/>
          <w:szCs w:val="24"/>
        </w:rPr>
      </w:pPr>
      <w:r w:rsidRPr="00164D69">
        <w:rPr>
          <w:rFonts w:ascii="Book Antiqua" w:hAnsi="Book Antiqua" w:cs="Times New Roman"/>
          <w:sz w:val="24"/>
          <w:szCs w:val="24"/>
        </w:rPr>
        <w:t>Targeting STAT1, which is required for optimal Th1 development, miR146a plays an essential role in Treg function</w:t>
      </w:r>
      <w:r w:rsidR="00E16AB7" w:rsidRPr="00164D69">
        <w:rPr>
          <w:rFonts w:ascii="Book Antiqua" w:hAnsi="Book Antiqua" w:cs="Times New Roman"/>
          <w:sz w:val="24"/>
          <w:szCs w:val="24"/>
        </w:rPr>
        <w:t xml:space="preserve"> and </w:t>
      </w:r>
      <w:r w:rsidRPr="00164D69">
        <w:rPr>
          <w:rFonts w:ascii="Book Antiqua" w:hAnsi="Book Antiqua" w:cs="Times New Roman"/>
          <w:sz w:val="24"/>
          <w:szCs w:val="24"/>
        </w:rPr>
        <w:t>development</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RW.CITE{{87 Baumjohann,D.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78</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 Targeting suppressor of cytokine signalling 1 (SOCS1), an inhibitor of STAT1, 4, and 5, miR155 plays an unique role in the development of Th1, Th2, and Treg cells and conversely in the suppression of Th17 differentiation</w:t>
      </w:r>
      <w:r w:rsidRPr="00164D69">
        <w:rPr>
          <w:rFonts w:ascii="Book Antiqua" w:hAnsi="Book Antiqua" w:cs="Times New Roman"/>
          <w:sz w:val="24"/>
          <w:szCs w:val="24"/>
          <w:shd w:val="clear" w:color="auto" w:fill="FFFFFF"/>
        </w:rPr>
        <w:t xml:space="preserve">. </w:t>
      </w:r>
      <w:r w:rsidRPr="00164D69">
        <w:rPr>
          <w:rFonts w:ascii="Book Antiqua" w:hAnsi="Book Antiqua" w:cs="Times New Roman"/>
          <w:sz w:val="24"/>
          <w:szCs w:val="24"/>
        </w:rPr>
        <w:t>Targeting of PIAS3, an antagonist of STAT3, miR301 influences Th17 expansion</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RW.CITE{{87 Baumjohann,D.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78</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 Interestingly, the miR146a and miR155 are induced by toll-like receptors, well-known bacterial sensors, suggesting a critical involvement of micro-organisms</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RW.CITE{{124 O'Neill,L.A. 2011}}</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79</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Moreover, NOD2, a bacterial sensor closely linked to the pathogenesis of Crohn’s disease, induces miR29 resulting in downregulation of IL-23 secretion by dendritic cells through targeting of IL-12p40 and IL-23p19.</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This, in turn, was shown to suppress RORγt expression in the DSS mouse model of colitis</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RW.CITE{{89 Brain,O.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80</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w:t>
      </w:r>
    </w:p>
    <w:p w14:paraId="5BFA6446" w14:textId="4294B9E9" w:rsidR="00A43052" w:rsidRPr="00164D69" w:rsidRDefault="001A1AA3" w:rsidP="002822E2">
      <w:pPr>
        <w:pStyle w:val="a4"/>
        <w:adjustRightInd w:val="0"/>
        <w:snapToGrid w:val="0"/>
        <w:spacing w:after="0" w:line="360" w:lineRule="auto"/>
        <w:ind w:left="0" w:firstLineChars="100" w:firstLine="240"/>
        <w:contextualSpacing w:val="0"/>
        <w:jc w:val="both"/>
        <w:rPr>
          <w:rFonts w:ascii="Book Antiqua" w:hAnsi="Book Antiqua" w:cs="Times New Roman"/>
          <w:sz w:val="24"/>
          <w:szCs w:val="24"/>
          <w:shd w:val="clear" w:color="auto" w:fill="FFFFFF"/>
        </w:rPr>
      </w:pPr>
      <w:r w:rsidRPr="00164D69">
        <w:rPr>
          <w:rFonts w:ascii="Book Antiqua" w:hAnsi="Book Antiqua" w:cs="Times New Roman"/>
          <w:sz w:val="24"/>
          <w:szCs w:val="24"/>
          <w:shd w:val="clear" w:color="auto" w:fill="FFFFFF"/>
        </w:rPr>
        <w:t>In activated T cells, miR-210, which targets HIF-1, is upregulated 100 fold. This is especially notable in Th17 cells, resulting in decreased HIF-1</w:t>
      </w:r>
      <w:r w:rsidRPr="00164D69">
        <w:rPr>
          <w:rStyle w:val="mb"/>
          <w:rFonts w:ascii="Book Antiqua" w:hAnsi="Book Antiqua" w:cs="Times New Roman"/>
          <w:sz w:val="24"/>
          <w:szCs w:val="24"/>
          <w:shd w:val="clear" w:color="auto" w:fill="FFFFFF"/>
        </w:rPr>
        <w:t>α</w:t>
      </w:r>
      <w:r w:rsidRPr="00164D69">
        <w:rPr>
          <w:rStyle w:val="apple-converted-space"/>
          <w:rFonts w:ascii="Book Antiqua" w:hAnsi="Book Antiqua" w:cs="Times New Roman"/>
          <w:sz w:val="24"/>
          <w:szCs w:val="24"/>
          <w:shd w:val="clear" w:color="auto" w:fill="FFFFFF"/>
        </w:rPr>
        <w:t> </w:t>
      </w:r>
      <w:r w:rsidRPr="00164D69">
        <w:rPr>
          <w:rFonts w:ascii="Book Antiqua" w:hAnsi="Book Antiqua" w:cs="Times New Roman"/>
          <w:sz w:val="24"/>
          <w:szCs w:val="24"/>
          <w:shd w:val="clear" w:color="auto" w:fill="FFFFFF"/>
        </w:rPr>
        <w:t>expression.</w:t>
      </w:r>
      <w:r w:rsidR="00A43052" w:rsidRPr="00164D69">
        <w:rPr>
          <w:rFonts w:ascii="Book Antiqua" w:hAnsi="Book Antiqua" w:cs="Times New Roman"/>
          <w:sz w:val="24"/>
          <w:szCs w:val="24"/>
          <w:shd w:val="clear" w:color="auto" w:fill="FFFFFF"/>
        </w:rPr>
        <w:t xml:space="preserve"> Deletion of </w:t>
      </w:r>
      <w:r w:rsidR="00A43052" w:rsidRPr="00164D69">
        <w:rPr>
          <w:rFonts w:ascii="Book Antiqua" w:hAnsi="Book Antiqua" w:cs="Times New Roman"/>
          <w:i/>
          <w:iCs/>
          <w:sz w:val="24"/>
          <w:szCs w:val="24"/>
          <w:shd w:val="clear" w:color="auto" w:fill="FFFFFF"/>
        </w:rPr>
        <w:t xml:space="preserve">Mir210 </w:t>
      </w:r>
      <w:r w:rsidR="00A43052" w:rsidRPr="00164D69">
        <w:rPr>
          <w:rFonts w:ascii="Book Antiqua" w:hAnsi="Book Antiqua" w:cs="Times New Roman"/>
          <w:sz w:val="24"/>
          <w:szCs w:val="24"/>
          <w:shd w:val="clear" w:color="auto" w:fill="FFFFFF"/>
        </w:rPr>
        <w:t>promotes Th17 differentiation under hypoxic conditions. In experimental colitis, miR210 reduced the abundance of</w:t>
      </w:r>
      <w:r w:rsidR="00A43052" w:rsidRPr="00164D69">
        <w:rPr>
          <w:rStyle w:val="apple-converted-space"/>
          <w:rFonts w:ascii="Book Antiqua" w:hAnsi="Book Antiqua" w:cs="Times New Roman"/>
          <w:sz w:val="24"/>
          <w:szCs w:val="24"/>
          <w:shd w:val="clear" w:color="auto" w:fill="FFFFFF"/>
        </w:rPr>
        <w:t> </w:t>
      </w:r>
      <w:r w:rsidR="00A43052" w:rsidRPr="00164D69">
        <w:rPr>
          <w:rFonts w:ascii="Book Antiqua" w:hAnsi="Book Antiqua" w:cs="Times New Roman"/>
          <w:i/>
          <w:iCs/>
          <w:sz w:val="24"/>
          <w:szCs w:val="24"/>
          <w:shd w:val="clear" w:color="auto" w:fill="FFFFFF"/>
        </w:rPr>
        <w:t>Hif1a</w:t>
      </w:r>
      <w:r w:rsidR="00A43052" w:rsidRPr="00164D69">
        <w:rPr>
          <w:rStyle w:val="apple-converted-space"/>
          <w:rFonts w:ascii="Book Antiqua" w:hAnsi="Book Antiqua" w:cs="Times New Roman"/>
          <w:sz w:val="24"/>
          <w:szCs w:val="24"/>
          <w:shd w:val="clear" w:color="auto" w:fill="FFFFFF"/>
        </w:rPr>
        <w:t> </w:t>
      </w:r>
      <w:r w:rsidR="00A43052" w:rsidRPr="00164D69">
        <w:rPr>
          <w:rFonts w:ascii="Book Antiqua" w:hAnsi="Book Antiqua" w:cs="Times New Roman"/>
          <w:sz w:val="24"/>
          <w:szCs w:val="24"/>
          <w:shd w:val="clear" w:color="auto" w:fill="FFFFFF"/>
        </w:rPr>
        <w:t xml:space="preserve">transcripts and the proportion of </w:t>
      </w:r>
      <w:r w:rsidR="00A43052" w:rsidRPr="00164D69">
        <w:rPr>
          <w:rFonts w:ascii="Book Antiqua" w:hAnsi="Book Antiqua" w:cs="Times New Roman"/>
          <w:sz w:val="24"/>
          <w:szCs w:val="24"/>
          <w:shd w:val="clear" w:color="auto" w:fill="FFFFFF"/>
        </w:rPr>
        <w:lastRenderedPageBreak/>
        <w:t>cells that produced inflammatory cytokines resulting in decreased disease severity</w:t>
      </w:r>
      <w:r w:rsidR="00A9720F" w:rsidRPr="00164D69">
        <w:rPr>
          <w:rFonts w:ascii="Book Antiqua" w:hAnsi="Book Antiqua" w:cs="Times New Roman"/>
          <w:sz w:val="24"/>
          <w:szCs w:val="24"/>
          <w:shd w:val="clear" w:color="auto" w:fill="FFFFFF"/>
          <w:vertAlign w:val="superscript"/>
        </w:rPr>
        <w:t>[</w:t>
      </w:r>
      <w:r w:rsidR="00A43052" w:rsidRPr="00164D69">
        <w:rPr>
          <w:rFonts w:ascii="Book Antiqua" w:hAnsi="Book Antiqua" w:cs="Times New Roman"/>
          <w:sz w:val="24"/>
          <w:szCs w:val="24"/>
          <w:shd w:val="clear" w:color="auto" w:fill="FFFFFF"/>
        </w:rPr>
        <w:fldChar w:fldCharType="begin"/>
      </w:r>
      <w:r w:rsidR="00A43052" w:rsidRPr="00164D69">
        <w:rPr>
          <w:rFonts w:ascii="Book Antiqua" w:hAnsi="Book Antiqua" w:cs="Times New Roman"/>
          <w:sz w:val="24"/>
          <w:szCs w:val="24"/>
          <w:shd w:val="clear" w:color="auto" w:fill="FFFFFF"/>
        </w:rPr>
        <w:instrText>ADDIN RW.CITE{{88 Wang,H. 2014}}</w:instrText>
      </w:r>
      <w:r w:rsidR="00A43052" w:rsidRPr="00164D69">
        <w:rPr>
          <w:rFonts w:ascii="Book Antiqua" w:hAnsi="Book Antiqua" w:cs="Times New Roman"/>
          <w:sz w:val="24"/>
          <w:szCs w:val="24"/>
          <w:shd w:val="clear" w:color="auto" w:fill="FFFFFF"/>
        </w:rPr>
        <w:fldChar w:fldCharType="separate"/>
      </w:r>
      <w:r w:rsidR="00A43052" w:rsidRPr="00164D69">
        <w:rPr>
          <w:rFonts w:ascii="Book Antiqua" w:hAnsi="Book Antiqua" w:cs="Times New Roman"/>
          <w:sz w:val="24"/>
          <w:szCs w:val="24"/>
          <w:shd w:val="clear" w:color="auto" w:fill="FFFFFF"/>
          <w:vertAlign w:val="superscript"/>
        </w:rPr>
        <w:t>81</w:t>
      </w:r>
      <w:r w:rsidR="00A43052" w:rsidRPr="00164D69">
        <w:rPr>
          <w:rFonts w:ascii="Book Antiqua" w:hAnsi="Book Antiqua" w:cs="Times New Roman"/>
          <w:sz w:val="24"/>
          <w:szCs w:val="24"/>
          <w:shd w:val="clear" w:color="auto" w:fill="FFFFFF"/>
        </w:rPr>
        <w:fldChar w:fldCharType="end"/>
      </w:r>
      <w:r w:rsidR="00A9720F" w:rsidRPr="00164D69">
        <w:rPr>
          <w:rFonts w:ascii="Book Antiqua" w:hAnsi="Book Antiqua" w:cs="Times New Roman"/>
          <w:sz w:val="24"/>
          <w:szCs w:val="24"/>
          <w:shd w:val="clear" w:color="auto" w:fill="FFFFFF"/>
          <w:vertAlign w:val="superscript"/>
        </w:rPr>
        <w:t>]</w:t>
      </w:r>
      <w:r w:rsidR="00A43052" w:rsidRPr="00164D69">
        <w:rPr>
          <w:rFonts w:ascii="Book Antiqua" w:hAnsi="Book Antiqua" w:cs="Times New Roman"/>
          <w:sz w:val="24"/>
          <w:szCs w:val="24"/>
          <w:shd w:val="clear" w:color="auto" w:fill="FFFFFF"/>
        </w:rPr>
        <w:t xml:space="preserve">. Induced by natural and environmental ligands of </w:t>
      </w:r>
      <w:r w:rsidRPr="00164D69">
        <w:rPr>
          <w:rFonts w:ascii="Book Antiqua" w:hAnsi="Book Antiqua" w:cs="Times New Roman"/>
          <w:sz w:val="24"/>
          <w:szCs w:val="24"/>
          <w:shd w:val="clear" w:color="auto" w:fill="FFFFFF"/>
        </w:rPr>
        <w:t xml:space="preserve">the </w:t>
      </w:r>
      <w:r w:rsidR="00A43052" w:rsidRPr="00164D69">
        <w:rPr>
          <w:rFonts w:ascii="Book Antiqua" w:hAnsi="Book Antiqua" w:cs="Times New Roman"/>
          <w:sz w:val="24"/>
          <w:szCs w:val="24"/>
          <w:shd w:val="clear" w:color="auto" w:fill="FFFFFF"/>
        </w:rPr>
        <w:t xml:space="preserve">aryl hydrocarbon receptor, </w:t>
      </w:r>
      <w:r w:rsidRPr="00164D69">
        <w:rPr>
          <w:rFonts w:ascii="Book Antiqua" w:hAnsi="Book Antiqua" w:cs="Times New Roman"/>
          <w:sz w:val="24"/>
          <w:szCs w:val="24"/>
          <w:shd w:val="clear" w:color="auto" w:fill="FFFFFF"/>
        </w:rPr>
        <w:t xml:space="preserve">the </w:t>
      </w:r>
      <w:r w:rsidR="00A43052" w:rsidRPr="00164D69">
        <w:rPr>
          <w:rFonts w:ascii="Book Antiqua" w:hAnsi="Book Antiqua" w:cs="Times New Roman"/>
          <w:sz w:val="24"/>
          <w:szCs w:val="24"/>
          <w:shd w:val="clear" w:color="auto" w:fill="FFFFFF"/>
        </w:rPr>
        <w:t>miR132/212 cluster promotes Th17 development</w:t>
      </w:r>
      <w:r w:rsidR="00A9720F" w:rsidRPr="00164D69">
        <w:rPr>
          <w:rFonts w:ascii="Book Antiqua" w:hAnsi="Book Antiqua" w:cs="Times New Roman"/>
          <w:sz w:val="24"/>
          <w:szCs w:val="24"/>
          <w:shd w:val="clear" w:color="auto" w:fill="FFFFFF"/>
          <w:vertAlign w:val="superscript"/>
        </w:rPr>
        <w:t>[</w:t>
      </w:r>
      <w:r w:rsidR="00A43052" w:rsidRPr="00164D69">
        <w:rPr>
          <w:rFonts w:ascii="Book Antiqua" w:hAnsi="Book Antiqua" w:cs="Times New Roman"/>
          <w:sz w:val="24"/>
          <w:szCs w:val="24"/>
          <w:shd w:val="clear" w:color="auto" w:fill="FFFFFF"/>
        </w:rPr>
        <w:fldChar w:fldCharType="begin"/>
      </w:r>
      <w:r w:rsidR="00A43052" w:rsidRPr="00164D69">
        <w:rPr>
          <w:rFonts w:ascii="Book Antiqua" w:hAnsi="Book Antiqua" w:cs="Times New Roman"/>
          <w:sz w:val="24"/>
          <w:szCs w:val="24"/>
          <w:shd w:val="clear" w:color="auto" w:fill="FFFFFF"/>
        </w:rPr>
        <w:instrText>ADDIN RW.CITE{{140 Nakahama,T. 2013}}</w:instrText>
      </w:r>
      <w:r w:rsidR="00A43052" w:rsidRPr="00164D69">
        <w:rPr>
          <w:rFonts w:ascii="Book Antiqua" w:hAnsi="Book Antiqua" w:cs="Times New Roman"/>
          <w:sz w:val="24"/>
          <w:szCs w:val="24"/>
          <w:shd w:val="clear" w:color="auto" w:fill="FFFFFF"/>
        </w:rPr>
        <w:fldChar w:fldCharType="separate"/>
      </w:r>
      <w:r w:rsidR="00A43052" w:rsidRPr="00164D69">
        <w:rPr>
          <w:rFonts w:ascii="Book Antiqua" w:hAnsi="Book Antiqua" w:cs="Times New Roman"/>
          <w:sz w:val="24"/>
          <w:szCs w:val="24"/>
          <w:shd w:val="clear" w:color="auto" w:fill="FFFFFF"/>
          <w:vertAlign w:val="superscript"/>
        </w:rPr>
        <w:t>82</w:t>
      </w:r>
      <w:r w:rsidR="00A43052" w:rsidRPr="00164D69">
        <w:rPr>
          <w:rFonts w:ascii="Book Antiqua" w:hAnsi="Book Antiqua" w:cs="Times New Roman"/>
          <w:sz w:val="24"/>
          <w:szCs w:val="24"/>
          <w:shd w:val="clear" w:color="auto" w:fill="FFFFFF"/>
        </w:rPr>
        <w:fldChar w:fldCharType="end"/>
      </w:r>
      <w:r w:rsidR="00A9720F" w:rsidRPr="00164D69">
        <w:rPr>
          <w:rFonts w:ascii="Book Antiqua" w:hAnsi="Book Antiqua" w:cs="Times New Roman"/>
          <w:sz w:val="24"/>
          <w:szCs w:val="24"/>
          <w:shd w:val="clear" w:color="auto" w:fill="FFFFFF"/>
          <w:vertAlign w:val="superscript"/>
        </w:rPr>
        <w:t>]</w:t>
      </w:r>
      <w:r w:rsidR="00A43052" w:rsidRPr="00164D69">
        <w:rPr>
          <w:rFonts w:ascii="Book Antiqua" w:hAnsi="Book Antiqua" w:cs="Times New Roman"/>
          <w:sz w:val="24"/>
          <w:szCs w:val="24"/>
          <w:shd w:val="clear" w:color="auto" w:fill="FFFFFF"/>
        </w:rPr>
        <w:t xml:space="preserve">. The mechanisms of Th plasticity in aryl hydrocarbon receptor signalling will be described in the next section of this review. </w:t>
      </w:r>
    </w:p>
    <w:p w14:paraId="2FE5B9E2" w14:textId="2A9D9E29" w:rsidR="00A43052" w:rsidRPr="00164D69" w:rsidRDefault="00A43052" w:rsidP="002822E2">
      <w:pPr>
        <w:pStyle w:val="a4"/>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164D69">
        <w:rPr>
          <w:rFonts w:ascii="Book Antiqua" w:hAnsi="Book Antiqua" w:cs="Times New Roman"/>
          <w:sz w:val="24"/>
          <w:szCs w:val="24"/>
        </w:rPr>
        <w:t>Targeting EST1 which is a negative regulator of Th17 cells, miR326 is critical for Th17 differentiation.</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Furthermore, miR10, which is selectively expressed in Treg and induced by TGF-β signalling together with retinoic acid, can limit Th17 differentiation and furthermore can convert conventional Th cells into iTreg. The contribution of this miRNA to Treg stability is highly dependent on Foxp3 expression yet not responsible for Foxp3 induction</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RW.CITE{{87 Baumjohann,D.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78</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A regulator of the suppressive activity of Treg cells, miR-126 leads to enhanced Foxp3 expression by targeting PIK3R2, a regulatory component of PI3K which </w:t>
      </w:r>
      <w:r w:rsidR="00673662" w:rsidRPr="00164D69">
        <w:rPr>
          <w:rFonts w:ascii="Book Antiqua" w:hAnsi="Book Antiqua" w:cs="Times New Roman"/>
          <w:sz w:val="24"/>
          <w:szCs w:val="24"/>
        </w:rPr>
        <w:t>down</w:t>
      </w:r>
      <w:r w:rsidR="001E6BCF" w:rsidRPr="00164D69">
        <w:rPr>
          <w:rFonts w:ascii="Book Antiqua" w:hAnsi="Book Antiqua" w:cs="Times New Roman"/>
          <w:sz w:val="24"/>
          <w:szCs w:val="24"/>
        </w:rPr>
        <w:t>regulates</w:t>
      </w:r>
      <w:r w:rsidRPr="00164D69">
        <w:rPr>
          <w:rFonts w:ascii="Book Antiqua" w:hAnsi="Book Antiqua" w:cs="Times New Roman"/>
          <w:sz w:val="24"/>
          <w:szCs w:val="24"/>
        </w:rPr>
        <w:t xml:space="preserve"> Foxp3 induction</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RW.CITE{{136 Kroesen,B.J. 2015}}</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83</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Pr="00164D69">
        <w:rPr>
          <w:rFonts w:ascii="Book Antiqua" w:hAnsi="Book Antiqua"/>
          <w:sz w:val="24"/>
          <w:szCs w:val="24"/>
        </w:rPr>
        <w:t xml:space="preserve"> </w:t>
      </w:r>
      <w:r w:rsidRPr="00164D69">
        <w:rPr>
          <w:rFonts w:ascii="Book Antiqua" w:hAnsi="Book Antiqua" w:cs="Times New Roman"/>
          <w:sz w:val="24"/>
          <w:szCs w:val="24"/>
        </w:rPr>
        <w:t xml:space="preserve">The cluster of miR17~92, a complex of 6 miRNAs, influences Treg function </w:t>
      </w:r>
      <w:r w:rsidR="002822E2" w:rsidRPr="00164D69">
        <w:rPr>
          <w:rFonts w:ascii="Book Antiqua" w:hAnsi="Book Antiqua" w:cs="Times New Roman"/>
          <w:i/>
          <w:sz w:val="24"/>
          <w:szCs w:val="24"/>
        </w:rPr>
        <w:t>in vitro</w:t>
      </w:r>
      <w:r w:rsidRPr="00164D69">
        <w:rPr>
          <w:rFonts w:ascii="Book Antiqua" w:hAnsi="Book Antiqua" w:cs="Times New Roman"/>
          <w:sz w:val="24"/>
          <w:szCs w:val="24"/>
        </w:rPr>
        <w:t xml:space="preserve"> resulting in the generation of IL-10 secreting Foxp3+ T cells. Although miR17 specifically targets TGFβ receptor II and Creb1, the targets of other parts of this cluster are still unknown</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RW.CITE{{87 Baumjohann,D.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78</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w:t>
      </w:r>
    </w:p>
    <w:p w14:paraId="1B18CE86" w14:textId="748F9B7B" w:rsidR="00A43052" w:rsidRPr="00164D69" w:rsidRDefault="00A43052" w:rsidP="002822E2">
      <w:pPr>
        <w:pStyle w:val="a4"/>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164D69">
        <w:rPr>
          <w:rFonts w:ascii="Book Antiqua" w:hAnsi="Book Antiqua" w:cs="Times New Roman"/>
          <w:sz w:val="24"/>
          <w:szCs w:val="24"/>
        </w:rPr>
        <w:t>Interestingly, deletion of critical compounds for miR signalling, such as DICER or DROSHA which are found in the micro RNA biogenesis pathways, showed that Treg-specific micro RNA expression is required to suppress T effector cells and maintain tolerance, suggesting that lack of Treg-specific miR results in immune-dysregulation</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RW.CITE{{87 Baumjohann,D.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78</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p>
    <w:p w14:paraId="21B79FBB" w14:textId="4C156221" w:rsidR="00A43052" w:rsidRPr="00164D69" w:rsidRDefault="00A43052" w:rsidP="002822E2">
      <w:pPr>
        <w:pStyle w:val="a4"/>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164D69">
        <w:rPr>
          <w:rFonts w:ascii="Book Antiqua" w:hAnsi="Book Antiqua" w:cs="Times New Roman"/>
          <w:sz w:val="24"/>
          <w:szCs w:val="24"/>
        </w:rPr>
        <w:t>Since miRs directly regulate the expression of many genes essential to Treg and Th17 subsets, it is highly likely they contribute to Th17-Treg plasticity.</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However, this exciting field is still in its infancy and further studies are undeniably required. </w:t>
      </w:r>
    </w:p>
    <w:p w14:paraId="1C77937D" w14:textId="77777777" w:rsidR="00A43052" w:rsidRPr="00164D69" w:rsidRDefault="00A43052" w:rsidP="002822E2">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MicroRNA which influence Th17 development and plasticity are summarised in Table 3.</w:t>
      </w:r>
    </w:p>
    <w:p w14:paraId="3261F1FC" w14:textId="77777777" w:rsidR="00A43052" w:rsidRPr="00164D69" w:rsidRDefault="00A43052" w:rsidP="002F6FCA">
      <w:pPr>
        <w:pStyle w:val="a4"/>
        <w:adjustRightInd w:val="0"/>
        <w:snapToGrid w:val="0"/>
        <w:spacing w:after="0" w:line="360" w:lineRule="auto"/>
        <w:ind w:left="0" w:firstLine="744"/>
        <w:contextualSpacing w:val="0"/>
        <w:jc w:val="both"/>
        <w:rPr>
          <w:rFonts w:ascii="Book Antiqua" w:hAnsi="Book Antiqua" w:cs="Times New Roman"/>
          <w:sz w:val="24"/>
          <w:szCs w:val="24"/>
        </w:rPr>
      </w:pPr>
    </w:p>
    <w:p w14:paraId="728D26A3" w14:textId="77777777"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b/>
          <w:i/>
          <w:sz w:val="24"/>
          <w:szCs w:val="24"/>
        </w:rPr>
      </w:pPr>
      <w:r w:rsidRPr="00164D69">
        <w:rPr>
          <w:rFonts w:ascii="Book Antiqua" w:hAnsi="Book Antiqua" w:cs="Times New Roman"/>
          <w:b/>
          <w:i/>
          <w:sz w:val="24"/>
          <w:szCs w:val="24"/>
        </w:rPr>
        <w:t xml:space="preserve">Aryl hydrocarbon receptor (unique mechanistic role of a receptor with dual functions) </w:t>
      </w:r>
    </w:p>
    <w:p w14:paraId="2C10301B" w14:textId="5E104910"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sz w:val="24"/>
          <w:szCs w:val="24"/>
        </w:rPr>
      </w:pPr>
      <w:r w:rsidRPr="00164D69">
        <w:rPr>
          <w:rFonts w:ascii="Book Antiqua" w:hAnsi="Book Antiqua" w:cs="Times New Roman"/>
          <w:sz w:val="24"/>
          <w:szCs w:val="24"/>
        </w:rPr>
        <w:lastRenderedPageBreak/>
        <w:t>The Aryl hydrocarbon receptor (AhR) first came to attention1970</w:t>
      </w:r>
      <w:r w:rsidR="002822E2" w:rsidRPr="00164D69">
        <w:rPr>
          <w:rFonts w:ascii="Book Antiqua" w:eastAsia="宋体" w:hAnsi="Book Antiqua" w:cs="Times New Roman" w:hint="eastAsia"/>
          <w:sz w:val="24"/>
          <w:szCs w:val="24"/>
          <w:lang w:eastAsia="zh-CN"/>
        </w:rPr>
        <w:t>-</w:t>
      </w:r>
      <w:r w:rsidRPr="00164D69">
        <w:rPr>
          <w:rFonts w:ascii="Book Antiqua" w:hAnsi="Book Antiqua" w:cs="Times New Roman"/>
          <w:sz w:val="24"/>
          <w:szCs w:val="24"/>
        </w:rPr>
        <w:t>80s</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RW.CITE{{90 Kouri,R.R. 1974; 91 Mason,M.E. 1981}}</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84,85</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as a receptor for a recognized carcinogen,</w:t>
      </w:r>
      <w:r w:rsidRPr="00164D69">
        <w:rPr>
          <w:rStyle w:val="apple-converted-space"/>
          <w:rFonts w:ascii="Book Antiqua" w:hAnsi="Book Antiqua" w:cs="Times New Roman"/>
          <w:sz w:val="24"/>
          <w:szCs w:val="24"/>
          <w:shd w:val="clear" w:color="auto" w:fill="FFFFFF"/>
        </w:rPr>
        <w:t> </w:t>
      </w:r>
      <w:r w:rsidRPr="00164D69">
        <w:rPr>
          <w:rFonts w:ascii="Book Antiqua" w:hAnsi="Book Antiqua" w:cs="Times New Roman"/>
          <w:sz w:val="24"/>
          <w:szCs w:val="24"/>
          <w:shd w:val="clear" w:color="auto" w:fill="FFFFFF"/>
        </w:rPr>
        <w:t>2,3,7,8-tetrachlorodibenzo-</w:t>
      </w:r>
      <w:r w:rsidRPr="00164D69">
        <w:rPr>
          <w:rFonts w:ascii="Book Antiqua" w:hAnsi="Book Antiqua" w:cs="Times New Roman"/>
          <w:i/>
          <w:iCs/>
          <w:sz w:val="24"/>
          <w:szCs w:val="24"/>
          <w:shd w:val="clear" w:color="auto" w:fill="FFFFFF"/>
        </w:rPr>
        <w:t>p</w:t>
      </w:r>
      <w:r w:rsidRPr="00164D69">
        <w:rPr>
          <w:rFonts w:ascii="Book Antiqua" w:hAnsi="Book Antiqua" w:cs="Times New Roman"/>
          <w:sz w:val="24"/>
          <w:szCs w:val="24"/>
          <w:shd w:val="clear" w:color="auto" w:fill="FFFFFF"/>
        </w:rPr>
        <w:t>-</w:t>
      </w:r>
      <w:r w:rsidRPr="00164D69">
        <w:rPr>
          <w:rFonts w:ascii="Book Antiqua" w:hAnsi="Book Antiqua" w:cs="Times New Roman"/>
          <w:sz w:val="24"/>
          <w:szCs w:val="24"/>
        </w:rPr>
        <w:t>dioxin (TCDD).</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This receptor is </w:t>
      </w:r>
      <w:r w:rsidRPr="00164D69">
        <w:rPr>
          <w:rFonts w:ascii="Book Antiqua" w:hAnsi="Book Antiqua" w:cs="Times New Roman"/>
          <w:sz w:val="24"/>
          <w:szCs w:val="24"/>
          <w:shd w:val="clear" w:color="auto" w:fill="FFFFFF"/>
        </w:rPr>
        <w:t xml:space="preserve">a ligand-activated transcription factor, which is responsible for the regulation of several xenobiotic response genes, such as </w:t>
      </w:r>
      <w:r w:rsidR="002D45E8" w:rsidRPr="00164D69">
        <w:rPr>
          <w:rFonts w:ascii="Book Antiqua" w:hAnsi="Book Antiqua" w:cs="Times New Roman"/>
          <w:sz w:val="24"/>
          <w:szCs w:val="24"/>
          <w:shd w:val="clear" w:color="auto" w:fill="FFFFFF"/>
        </w:rPr>
        <w:t>the c</w:t>
      </w:r>
      <w:r w:rsidRPr="00164D69">
        <w:rPr>
          <w:rFonts w:ascii="Book Antiqua" w:hAnsi="Book Antiqua" w:cs="Times New Roman"/>
          <w:sz w:val="24"/>
          <w:szCs w:val="24"/>
          <w:shd w:val="clear" w:color="auto" w:fill="FFFFFF"/>
        </w:rPr>
        <w:t>ytochrome P450 family</w:t>
      </w:r>
      <w:r w:rsidR="00A9720F"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fldChar w:fldCharType="begin"/>
      </w:r>
      <w:r w:rsidRPr="00164D69">
        <w:rPr>
          <w:rFonts w:ascii="Book Antiqua" w:hAnsi="Book Antiqua" w:cs="Times New Roman"/>
          <w:sz w:val="24"/>
          <w:szCs w:val="24"/>
          <w:shd w:val="clear" w:color="auto" w:fill="FFFFFF"/>
        </w:rPr>
        <w:instrText>ADDIN RW.CITE{{92 Okey,A.B. 1994}}</w:instrText>
      </w:r>
      <w:r w:rsidRPr="00164D69">
        <w:rPr>
          <w:rFonts w:ascii="Book Antiqua" w:hAnsi="Book Antiqua" w:cs="Times New Roman"/>
          <w:sz w:val="24"/>
          <w:szCs w:val="24"/>
          <w:shd w:val="clear" w:color="auto" w:fill="FFFFFF"/>
        </w:rPr>
        <w:fldChar w:fldCharType="separate"/>
      </w:r>
      <w:r w:rsidRPr="00164D69">
        <w:rPr>
          <w:rFonts w:ascii="Book Antiqua" w:hAnsi="Book Antiqua" w:cs="Times New Roman"/>
          <w:sz w:val="24"/>
          <w:szCs w:val="24"/>
          <w:shd w:val="clear" w:color="auto" w:fill="FFFFFF"/>
          <w:vertAlign w:val="superscript"/>
        </w:rPr>
        <w:t>86</w:t>
      </w:r>
      <w:r w:rsidRPr="00164D69">
        <w:rPr>
          <w:rFonts w:ascii="Book Antiqua" w:hAnsi="Book Antiqua" w:cs="Times New Roman"/>
          <w:sz w:val="24"/>
          <w:szCs w:val="24"/>
          <w:shd w:val="clear" w:color="auto" w:fill="FFFFFF"/>
        </w:rPr>
        <w:fldChar w:fldCharType="end"/>
      </w:r>
      <w:r w:rsidR="00A9720F"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rPr>
        <w:t xml:space="preserve">. Soon, attention shifted to the contribution of this receptor to oncogenesis </w:t>
      </w:r>
      <w:r w:rsidR="00164D69" w:rsidRPr="00164D69">
        <w:rPr>
          <w:rFonts w:ascii="Book Antiqua" w:hAnsi="Book Antiqua" w:cs="Times New Roman"/>
          <w:i/>
          <w:sz w:val="24"/>
          <w:szCs w:val="24"/>
        </w:rPr>
        <w:t xml:space="preserve">via </w:t>
      </w:r>
      <w:r w:rsidRPr="00164D69">
        <w:rPr>
          <w:rFonts w:ascii="Book Antiqua" w:hAnsi="Book Antiqua" w:cs="Times New Roman"/>
          <w:sz w:val="24"/>
          <w:szCs w:val="24"/>
        </w:rPr>
        <w:t xml:space="preserve"> the suppression of immune-surveillance in response to TCDD, suggesting a TCDD-induced immune regulatory function of AhR pathways</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RW.CITE{{93 Marshall,N.B. 2010}}</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87</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Later, </w:t>
      </w:r>
      <w:r w:rsidRPr="00164D69">
        <w:rPr>
          <w:rFonts w:ascii="Book Antiqua" w:hAnsi="Book Antiqua" w:cs="Times New Roman"/>
          <w:sz w:val="24"/>
          <w:szCs w:val="24"/>
          <w:shd w:val="clear" w:color="auto" w:fill="FFFFFF"/>
        </w:rPr>
        <w:t xml:space="preserve">6-formylindolo </w:t>
      </w:r>
      <w:r w:rsidRPr="00164D69">
        <w:rPr>
          <w:rStyle w:val="mb"/>
          <w:rFonts w:ascii="Book Antiqua" w:hAnsi="Book Antiqua" w:cs="Times New Roman"/>
          <w:sz w:val="24"/>
          <w:szCs w:val="24"/>
          <w:shd w:val="clear" w:color="auto" w:fill="FFFFFF"/>
        </w:rPr>
        <w:t>[</w:t>
      </w:r>
      <w:r w:rsidRPr="00164D69">
        <w:rPr>
          <w:rFonts w:ascii="Book Antiqua" w:hAnsi="Book Antiqua" w:cs="Times New Roman"/>
          <w:sz w:val="24"/>
          <w:szCs w:val="24"/>
          <w:shd w:val="clear" w:color="auto" w:fill="FFFFFF"/>
        </w:rPr>
        <w:t>3,2-b</w:t>
      </w:r>
      <w:r w:rsidRPr="00164D69">
        <w:rPr>
          <w:rStyle w:val="mb"/>
          <w:rFonts w:ascii="Book Antiqua" w:hAnsi="Book Antiqua" w:cs="Times New Roman"/>
          <w:sz w:val="24"/>
          <w:szCs w:val="24"/>
          <w:shd w:val="clear" w:color="auto" w:fill="FFFFFF"/>
        </w:rPr>
        <w:t xml:space="preserve">] </w:t>
      </w:r>
      <w:r w:rsidRPr="00164D69">
        <w:rPr>
          <w:rFonts w:ascii="Book Antiqua" w:hAnsi="Book Antiqua" w:cs="Times New Roman"/>
          <w:sz w:val="24"/>
          <w:szCs w:val="24"/>
          <w:shd w:val="clear" w:color="auto" w:fill="FFFFFF"/>
        </w:rPr>
        <w:t>carbazole (FICZ)</w:t>
      </w:r>
      <w:r w:rsidRPr="00164D69">
        <w:rPr>
          <w:rStyle w:val="apple-converted-space"/>
          <w:rFonts w:ascii="Book Antiqua" w:hAnsi="Book Antiqua" w:cs="Times New Roman"/>
          <w:sz w:val="24"/>
          <w:szCs w:val="24"/>
          <w:shd w:val="clear" w:color="auto" w:fill="FFFFFF"/>
        </w:rPr>
        <w:t xml:space="preserve"> was recognised as </w:t>
      </w:r>
      <w:r w:rsidRPr="00164D69">
        <w:rPr>
          <w:rFonts w:ascii="Book Antiqua" w:hAnsi="Book Antiqua" w:cs="Times New Roman"/>
          <w:sz w:val="24"/>
          <w:szCs w:val="24"/>
        </w:rPr>
        <w:t>an endogenous ligand of AhR; however the function of the receptor bound to FICZ was not the same as that bound to TCDD, suggesting that this receptor has ligand specific functions</w:t>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RW.CITE{{94 Esser,C. 2009}}</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88</w:t>
      </w:r>
      <w:r w:rsidRPr="00164D69">
        <w:rPr>
          <w:rFonts w:ascii="Book Antiqua" w:hAnsi="Book Antiqua" w:cs="Times New Roman"/>
          <w:sz w:val="24"/>
          <w:szCs w:val="24"/>
        </w:rPr>
        <w:fldChar w:fldCharType="end"/>
      </w:r>
      <w:r w:rsidR="00A9720F"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In regard to T cell polarization, </w:t>
      </w:r>
      <w:r w:rsidRPr="00164D69">
        <w:rPr>
          <w:rFonts w:ascii="Book Antiqua" w:hAnsi="Book Antiqua" w:cs="Times New Roman"/>
          <w:sz w:val="24"/>
          <w:szCs w:val="24"/>
          <w:shd w:val="clear" w:color="auto" w:fill="FFFFFF"/>
        </w:rPr>
        <w:t xml:space="preserve">Quintana </w:t>
      </w:r>
      <w:r w:rsidRPr="00164D69">
        <w:rPr>
          <w:rFonts w:ascii="Book Antiqua" w:hAnsi="Book Antiqua" w:cs="Times New Roman"/>
          <w:i/>
          <w:sz w:val="24"/>
          <w:szCs w:val="24"/>
          <w:shd w:val="clear" w:color="auto" w:fill="FFFFFF"/>
        </w:rPr>
        <w:t>et al.,</w:t>
      </w:r>
      <w:r w:rsidRPr="00164D69">
        <w:rPr>
          <w:rFonts w:ascii="Book Antiqua" w:hAnsi="Book Antiqua" w:cs="Times New Roman"/>
          <w:sz w:val="24"/>
          <w:szCs w:val="24"/>
          <w:shd w:val="clear" w:color="auto" w:fill="FFFFFF"/>
        </w:rPr>
        <w:t xml:space="preserve"> discovered that activation of the AhR with TCDD leads to the generation of Tregs</w:t>
      </w:r>
      <w:r w:rsidR="00A9720F"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fldChar w:fldCharType="begin"/>
      </w:r>
      <w:r w:rsidRPr="00164D69">
        <w:rPr>
          <w:rFonts w:ascii="Book Antiqua" w:hAnsi="Book Antiqua" w:cs="Times New Roman"/>
          <w:sz w:val="24"/>
          <w:szCs w:val="24"/>
          <w:shd w:val="clear" w:color="auto" w:fill="FFFFFF"/>
        </w:rPr>
        <w:instrText>ADDIN RW.CITE{{95 Quintana,F.J. 2008}}</w:instrText>
      </w:r>
      <w:r w:rsidRPr="00164D69">
        <w:rPr>
          <w:rFonts w:ascii="Book Antiqua" w:hAnsi="Book Antiqua" w:cs="Times New Roman"/>
          <w:sz w:val="24"/>
          <w:szCs w:val="24"/>
          <w:shd w:val="clear" w:color="auto" w:fill="FFFFFF"/>
        </w:rPr>
        <w:fldChar w:fldCharType="separate"/>
      </w:r>
      <w:r w:rsidRPr="00164D69">
        <w:rPr>
          <w:rFonts w:ascii="Book Antiqua" w:hAnsi="Book Antiqua" w:cs="Times New Roman"/>
          <w:sz w:val="24"/>
          <w:szCs w:val="24"/>
          <w:shd w:val="clear" w:color="auto" w:fill="FFFFFF"/>
          <w:vertAlign w:val="superscript"/>
        </w:rPr>
        <w:t>89</w:t>
      </w:r>
      <w:r w:rsidRPr="00164D69">
        <w:rPr>
          <w:rFonts w:ascii="Book Antiqua" w:hAnsi="Book Antiqua" w:cs="Times New Roman"/>
          <w:sz w:val="24"/>
          <w:szCs w:val="24"/>
          <w:shd w:val="clear" w:color="auto" w:fill="FFFFFF"/>
        </w:rPr>
        <w:fldChar w:fldCharType="end"/>
      </w:r>
      <w:r w:rsidR="00A9720F"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t xml:space="preserve">, and in the same issue of Nature, Veldhoen </w:t>
      </w:r>
      <w:r w:rsidRPr="00164D69">
        <w:rPr>
          <w:rFonts w:ascii="Book Antiqua" w:hAnsi="Book Antiqua" w:cs="Times New Roman"/>
          <w:i/>
          <w:sz w:val="24"/>
          <w:szCs w:val="24"/>
          <w:shd w:val="clear" w:color="auto" w:fill="FFFFFF"/>
        </w:rPr>
        <w:t>et al</w:t>
      </w:r>
      <w:r w:rsidR="002822E2" w:rsidRPr="00164D69">
        <w:rPr>
          <w:rFonts w:ascii="Book Antiqua" w:hAnsi="Book Antiqua" w:cs="Times New Roman"/>
          <w:sz w:val="24"/>
          <w:szCs w:val="24"/>
          <w:shd w:val="clear" w:color="auto" w:fill="FFFFFF"/>
          <w:vertAlign w:val="superscript"/>
        </w:rPr>
        <w:t>[</w:t>
      </w:r>
      <w:r w:rsidR="002822E2" w:rsidRPr="00164D69">
        <w:rPr>
          <w:rFonts w:ascii="Book Antiqua" w:hAnsi="Book Antiqua" w:cs="Times New Roman"/>
          <w:sz w:val="24"/>
          <w:szCs w:val="24"/>
          <w:shd w:val="clear" w:color="auto" w:fill="FFFFFF"/>
        </w:rPr>
        <w:fldChar w:fldCharType="begin"/>
      </w:r>
      <w:r w:rsidR="002822E2" w:rsidRPr="00164D69">
        <w:rPr>
          <w:rFonts w:ascii="Book Antiqua" w:hAnsi="Book Antiqua" w:cs="Times New Roman"/>
          <w:sz w:val="24"/>
          <w:szCs w:val="24"/>
          <w:shd w:val="clear" w:color="auto" w:fill="FFFFFF"/>
        </w:rPr>
        <w:instrText>ADDIN RW.CITE{{96 Veldhoen,M. 2008}}</w:instrText>
      </w:r>
      <w:r w:rsidR="002822E2" w:rsidRPr="00164D69">
        <w:rPr>
          <w:rFonts w:ascii="Book Antiqua" w:hAnsi="Book Antiqua" w:cs="Times New Roman"/>
          <w:sz w:val="24"/>
          <w:szCs w:val="24"/>
          <w:shd w:val="clear" w:color="auto" w:fill="FFFFFF"/>
        </w:rPr>
        <w:fldChar w:fldCharType="separate"/>
      </w:r>
      <w:r w:rsidR="002822E2" w:rsidRPr="00164D69">
        <w:rPr>
          <w:rFonts w:ascii="Book Antiqua" w:hAnsi="Book Antiqua" w:cs="Times New Roman"/>
          <w:sz w:val="24"/>
          <w:szCs w:val="24"/>
          <w:shd w:val="clear" w:color="auto" w:fill="FFFFFF"/>
          <w:vertAlign w:val="superscript"/>
        </w:rPr>
        <w:t>90</w:t>
      </w:r>
      <w:r w:rsidR="002822E2" w:rsidRPr="00164D69">
        <w:rPr>
          <w:rFonts w:ascii="Book Antiqua" w:hAnsi="Book Antiqua" w:cs="Times New Roman"/>
          <w:sz w:val="24"/>
          <w:szCs w:val="24"/>
          <w:shd w:val="clear" w:color="auto" w:fill="FFFFFF"/>
        </w:rPr>
        <w:fldChar w:fldCharType="end"/>
      </w:r>
      <w:r w:rsidR="002822E2"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i/>
          <w:sz w:val="24"/>
          <w:szCs w:val="24"/>
          <w:shd w:val="clear" w:color="auto" w:fill="FFFFFF"/>
        </w:rPr>
        <w:t>,</w:t>
      </w:r>
      <w:r w:rsidRPr="00164D69">
        <w:rPr>
          <w:rFonts w:ascii="Book Antiqua" w:hAnsi="Book Antiqua" w:cs="Times New Roman"/>
          <w:sz w:val="24"/>
          <w:szCs w:val="24"/>
          <w:shd w:val="clear" w:color="auto" w:fill="FFFFFF"/>
        </w:rPr>
        <w:t xml:space="preserve"> reported alternative activation with FICZ leading to Th17 cell differentiation. The effect on Th17 generation has been confirmed by subsequent studies </w:t>
      </w:r>
      <w:r w:rsidR="002822E2" w:rsidRPr="00164D69">
        <w:rPr>
          <w:rStyle w:val="ac"/>
          <w:rFonts w:ascii="Book Antiqua" w:hAnsi="Book Antiqua" w:cs="Times New Roman"/>
          <w:sz w:val="24"/>
          <w:szCs w:val="24"/>
          <w:shd w:val="clear" w:color="auto" w:fill="FFFFFF"/>
        </w:rPr>
        <w:t>in vitro</w:t>
      </w:r>
      <w:r w:rsidRPr="00164D69">
        <w:rPr>
          <w:rStyle w:val="apple-converted-space"/>
          <w:rFonts w:ascii="Book Antiqua" w:hAnsi="Book Antiqua" w:cs="Times New Roman"/>
          <w:sz w:val="24"/>
          <w:szCs w:val="24"/>
          <w:shd w:val="clear" w:color="auto" w:fill="FFFFFF"/>
        </w:rPr>
        <w:t> </w:t>
      </w:r>
      <w:r w:rsidRPr="00164D69">
        <w:rPr>
          <w:rFonts w:ascii="Book Antiqua" w:hAnsi="Book Antiqua" w:cs="Times New Roman"/>
          <w:sz w:val="24"/>
          <w:szCs w:val="24"/>
          <w:shd w:val="clear" w:color="auto" w:fill="FFFFFF"/>
        </w:rPr>
        <w:t xml:space="preserve">and </w:t>
      </w:r>
      <w:r w:rsidRPr="00164D69">
        <w:rPr>
          <w:rStyle w:val="ac"/>
          <w:rFonts w:ascii="Book Antiqua" w:hAnsi="Book Antiqua" w:cs="Times New Roman"/>
          <w:sz w:val="24"/>
          <w:szCs w:val="24"/>
          <w:shd w:val="clear" w:color="auto" w:fill="FFFFFF"/>
        </w:rPr>
        <w:t>in vivo</w:t>
      </w:r>
      <w:r w:rsidR="00A9720F" w:rsidRPr="00164D69">
        <w:rPr>
          <w:rStyle w:val="apple-converted-space"/>
          <w:rFonts w:ascii="Book Antiqua" w:hAnsi="Book Antiqua" w:cs="Times New Roman"/>
          <w:sz w:val="24"/>
          <w:szCs w:val="24"/>
          <w:shd w:val="clear" w:color="auto" w:fill="FFFFFF"/>
          <w:vertAlign w:val="superscript"/>
        </w:rPr>
        <w:t>[</w:t>
      </w:r>
      <w:r w:rsidRPr="00164D69">
        <w:rPr>
          <w:rStyle w:val="apple-converted-space"/>
          <w:rFonts w:ascii="Book Antiqua" w:hAnsi="Book Antiqua" w:cs="Times New Roman"/>
          <w:sz w:val="24"/>
          <w:szCs w:val="24"/>
          <w:shd w:val="clear" w:color="auto" w:fill="FFFFFF"/>
        </w:rPr>
        <w:fldChar w:fldCharType="begin"/>
      </w:r>
      <w:r w:rsidRPr="00164D69">
        <w:rPr>
          <w:rStyle w:val="apple-converted-space"/>
          <w:rFonts w:ascii="Book Antiqua" w:hAnsi="Book Antiqua" w:cs="Times New Roman"/>
          <w:sz w:val="24"/>
          <w:szCs w:val="24"/>
          <w:shd w:val="clear" w:color="auto" w:fill="FFFFFF"/>
        </w:rPr>
        <w:instrText>ADDIN RW.CITE{{97 Kimura,A. 2008; 98 Veldhoen,M. 2009}}</w:instrText>
      </w:r>
      <w:r w:rsidRPr="00164D69">
        <w:rPr>
          <w:rStyle w:val="apple-converted-space"/>
          <w:rFonts w:ascii="Book Antiqua" w:hAnsi="Book Antiqua" w:cs="Times New Roman"/>
          <w:sz w:val="24"/>
          <w:szCs w:val="24"/>
          <w:shd w:val="clear" w:color="auto" w:fill="FFFFFF"/>
        </w:rPr>
        <w:fldChar w:fldCharType="separate"/>
      </w:r>
      <w:r w:rsidRPr="00164D69">
        <w:rPr>
          <w:rStyle w:val="apple-converted-space"/>
          <w:rFonts w:ascii="Book Antiqua" w:hAnsi="Book Antiqua" w:cs="Times New Roman"/>
          <w:sz w:val="24"/>
          <w:szCs w:val="24"/>
          <w:shd w:val="clear" w:color="auto" w:fill="FFFFFF"/>
          <w:vertAlign w:val="superscript"/>
        </w:rPr>
        <w:t>91,92</w:t>
      </w:r>
      <w:r w:rsidRPr="00164D69">
        <w:rPr>
          <w:rStyle w:val="apple-converted-space"/>
          <w:rFonts w:ascii="Book Antiqua" w:hAnsi="Book Antiqua" w:cs="Times New Roman"/>
          <w:sz w:val="24"/>
          <w:szCs w:val="24"/>
          <w:shd w:val="clear" w:color="auto" w:fill="FFFFFF"/>
        </w:rPr>
        <w:fldChar w:fldCharType="end"/>
      </w:r>
      <w:r w:rsidR="00A9720F" w:rsidRPr="00164D69">
        <w:rPr>
          <w:rStyle w:val="apple-converted-space"/>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t xml:space="preserve">, while the influence </w:t>
      </w:r>
      <w:r w:rsidR="002D45E8" w:rsidRPr="00164D69">
        <w:rPr>
          <w:rFonts w:ascii="Book Antiqua" w:hAnsi="Book Antiqua" w:cs="Times New Roman"/>
          <w:sz w:val="24"/>
          <w:szCs w:val="24"/>
          <w:shd w:val="clear" w:color="auto" w:fill="FFFFFF"/>
        </w:rPr>
        <w:t>o</w:t>
      </w:r>
      <w:r w:rsidRPr="00164D69">
        <w:rPr>
          <w:rFonts w:ascii="Book Antiqua" w:hAnsi="Book Antiqua" w:cs="Times New Roman"/>
          <w:sz w:val="24"/>
          <w:szCs w:val="24"/>
          <w:shd w:val="clear" w:color="auto" w:fill="FFFFFF"/>
        </w:rPr>
        <w:t>n Treg generation has been more controversial</w:t>
      </w:r>
      <w:r w:rsidR="00A9720F"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fldChar w:fldCharType="begin"/>
      </w:r>
      <w:r w:rsidRPr="00164D69">
        <w:rPr>
          <w:rFonts w:ascii="Book Antiqua" w:hAnsi="Book Antiqua" w:cs="Times New Roman"/>
          <w:sz w:val="24"/>
          <w:szCs w:val="24"/>
          <w:shd w:val="clear" w:color="auto" w:fill="FFFFFF"/>
        </w:rPr>
        <w:instrText>ADDIN RW.CITE{{99 Hauben,E. 2008}}</w:instrText>
      </w:r>
      <w:r w:rsidRPr="00164D69">
        <w:rPr>
          <w:rFonts w:ascii="Book Antiqua" w:hAnsi="Book Antiqua" w:cs="Times New Roman"/>
          <w:sz w:val="24"/>
          <w:szCs w:val="24"/>
          <w:shd w:val="clear" w:color="auto" w:fill="FFFFFF"/>
        </w:rPr>
        <w:fldChar w:fldCharType="separate"/>
      </w:r>
      <w:r w:rsidRPr="00164D69">
        <w:rPr>
          <w:rFonts w:ascii="Book Antiqua" w:hAnsi="Book Antiqua" w:cs="Times New Roman"/>
          <w:sz w:val="24"/>
          <w:szCs w:val="24"/>
          <w:shd w:val="clear" w:color="auto" w:fill="FFFFFF"/>
          <w:vertAlign w:val="superscript"/>
        </w:rPr>
        <w:t>93</w:t>
      </w:r>
      <w:r w:rsidRPr="00164D69">
        <w:rPr>
          <w:rFonts w:ascii="Book Antiqua" w:hAnsi="Book Antiqua" w:cs="Times New Roman"/>
          <w:sz w:val="24"/>
          <w:szCs w:val="24"/>
          <w:shd w:val="clear" w:color="auto" w:fill="FFFFFF"/>
        </w:rPr>
        <w:fldChar w:fldCharType="end"/>
      </w:r>
      <w:r w:rsidR="00A9720F"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sz w:val="24"/>
          <w:szCs w:val="24"/>
          <w:shd w:val="clear" w:color="auto" w:fill="FFFFFF"/>
        </w:rPr>
        <w:t>.</w:t>
      </w:r>
      <w:r w:rsidR="00164D69" w:rsidRPr="00164D69">
        <w:rPr>
          <w:rFonts w:ascii="Book Antiqua" w:hAnsi="Book Antiqua" w:cs="Times New Roman"/>
          <w:sz w:val="24"/>
          <w:szCs w:val="24"/>
          <w:shd w:val="clear" w:color="auto" w:fill="FFFFFF"/>
        </w:rPr>
        <w:t xml:space="preserve"> </w:t>
      </w:r>
      <w:r w:rsidRPr="00164D69">
        <w:rPr>
          <w:rFonts w:ascii="Book Antiqua" w:hAnsi="Book Antiqua" w:cs="Times New Roman"/>
          <w:sz w:val="24"/>
          <w:szCs w:val="24"/>
        </w:rPr>
        <w:t xml:space="preserve">Recently, Mezrich </w:t>
      </w:r>
      <w:r w:rsidRPr="00164D69">
        <w:rPr>
          <w:rFonts w:ascii="Book Antiqua" w:hAnsi="Book Antiqua" w:cs="Times New Roman"/>
          <w:i/>
          <w:sz w:val="24"/>
          <w:szCs w:val="24"/>
        </w:rPr>
        <w:t>et</w:t>
      </w:r>
      <w:r w:rsidR="001D3D7B" w:rsidRPr="00164D69">
        <w:rPr>
          <w:rFonts w:ascii="Book Antiqua" w:hAnsi="Book Antiqua" w:cs="Times New Roman"/>
          <w:i/>
          <w:sz w:val="24"/>
          <w:szCs w:val="24"/>
        </w:rPr>
        <w:t xml:space="preserve"> </w:t>
      </w:r>
      <w:r w:rsidRPr="00164D69">
        <w:rPr>
          <w:rFonts w:ascii="Book Antiqua" w:hAnsi="Book Antiqua" w:cs="Times New Roman"/>
          <w:i/>
          <w:sz w:val="24"/>
          <w:szCs w:val="24"/>
        </w:rPr>
        <w:t>al</w:t>
      </w:r>
      <w:r w:rsidR="002822E2" w:rsidRPr="00164D69">
        <w:rPr>
          <w:rFonts w:ascii="Book Antiqua" w:hAnsi="Book Antiqua" w:cs="Times New Roman"/>
          <w:sz w:val="24"/>
          <w:szCs w:val="24"/>
          <w:shd w:val="clear" w:color="auto" w:fill="FFFFFF"/>
          <w:vertAlign w:val="superscript"/>
        </w:rPr>
        <w:t>[</w:t>
      </w:r>
      <w:r w:rsidR="002822E2" w:rsidRPr="00164D69">
        <w:rPr>
          <w:rFonts w:ascii="Book Antiqua" w:hAnsi="Book Antiqua" w:cs="Times New Roman"/>
          <w:sz w:val="24"/>
          <w:szCs w:val="24"/>
          <w:shd w:val="clear" w:color="auto" w:fill="FFFFFF"/>
        </w:rPr>
        <w:fldChar w:fldCharType="begin"/>
      </w:r>
      <w:r w:rsidR="002822E2" w:rsidRPr="00164D69">
        <w:rPr>
          <w:rFonts w:ascii="Book Antiqua" w:hAnsi="Book Antiqua" w:cs="Times New Roman"/>
          <w:sz w:val="24"/>
          <w:szCs w:val="24"/>
          <w:shd w:val="clear" w:color="auto" w:fill="FFFFFF"/>
        </w:rPr>
        <w:instrText>ADDIN RW.CITE{{96 Veldhoen,M. 2008}}</w:instrText>
      </w:r>
      <w:r w:rsidR="002822E2" w:rsidRPr="00164D69">
        <w:rPr>
          <w:rFonts w:ascii="Book Antiqua" w:hAnsi="Book Antiqua" w:cs="Times New Roman"/>
          <w:sz w:val="24"/>
          <w:szCs w:val="24"/>
          <w:shd w:val="clear" w:color="auto" w:fill="FFFFFF"/>
        </w:rPr>
        <w:fldChar w:fldCharType="separate"/>
      </w:r>
      <w:r w:rsidR="002822E2" w:rsidRPr="00164D69">
        <w:rPr>
          <w:rFonts w:ascii="Book Antiqua" w:hAnsi="Book Antiqua" w:cs="Times New Roman"/>
          <w:sz w:val="24"/>
          <w:szCs w:val="24"/>
          <w:shd w:val="clear" w:color="auto" w:fill="FFFFFF"/>
          <w:vertAlign w:val="superscript"/>
        </w:rPr>
        <w:t>9</w:t>
      </w:r>
      <w:r w:rsidR="002822E2" w:rsidRPr="00164D69">
        <w:rPr>
          <w:rFonts w:ascii="Book Antiqua" w:eastAsia="宋体" w:hAnsi="Book Antiqua" w:cs="Times New Roman" w:hint="eastAsia"/>
          <w:sz w:val="24"/>
          <w:szCs w:val="24"/>
          <w:shd w:val="clear" w:color="auto" w:fill="FFFFFF"/>
          <w:vertAlign w:val="superscript"/>
          <w:lang w:eastAsia="zh-CN"/>
        </w:rPr>
        <w:t>4</w:t>
      </w:r>
      <w:r w:rsidR="002822E2" w:rsidRPr="00164D69">
        <w:rPr>
          <w:rFonts w:ascii="Book Antiqua" w:hAnsi="Book Antiqua" w:cs="Times New Roman"/>
          <w:sz w:val="24"/>
          <w:szCs w:val="24"/>
          <w:shd w:val="clear" w:color="auto" w:fill="FFFFFF"/>
        </w:rPr>
        <w:fldChar w:fldCharType="end"/>
      </w:r>
      <w:r w:rsidR="002822E2" w:rsidRPr="00164D69">
        <w:rPr>
          <w:rFonts w:ascii="Book Antiqua" w:hAnsi="Book Antiqua" w:cs="Times New Roman"/>
          <w:sz w:val="24"/>
          <w:szCs w:val="24"/>
          <w:shd w:val="clear" w:color="auto" w:fill="FFFFFF"/>
          <w:vertAlign w:val="superscript"/>
        </w:rPr>
        <w:t>]</w:t>
      </w:r>
      <w:r w:rsidRPr="00164D69">
        <w:rPr>
          <w:rFonts w:ascii="Book Antiqua" w:hAnsi="Book Antiqua" w:cs="Times New Roman"/>
          <w:i/>
          <w:sz w:val="24"/>
          <w:szCs w:val="24"/>
        </w:rPr>
        <w:t>,</w:t>
      </w:r>
      <w:r w:rsidRPr="00164D69">
        <w:rPr>
          <w:rFonts w:ascii="Book Antiqua" w:hAnsi="Book Antiqua" w:cs="Times New Roman"/>
          <w:sz w:val="24"/>
          <w:szCs w:val="24"/>
        </w:rPr>
        <w:t xml:space="preserve"> showed evidence for a missing link in AhR-derived Treg generation in that kynurenine, a metabolite in the indoleamine 2,3-dioxygenese (IDO) dependent tryptophan degradation pathway, is a key ligand of AhR</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RW.CITE{{100 Mezrich,J.D. 2010; 101 Nguyen,N.T. 2014}}</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94,95</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IDO is an enzyme known to suppress effector T cells and </w:t>
      </w:r>
      <w:r w:rsidR="002D45E8" w:rsidRPr="00164D69">
        <w:rPr>
          <w:rFonts w:ascii="Book Antiqua" w:hAnsi="Book Antiqua" w:cs="Times New Roman"/>
          <w:sz w:val="24"/>
          <w:szCs w:val="24"/>
        </w:rPr>
        <w:t xml:space="preserve">is </w:t>
      </w:r>
      <w:r w:rsidRPr="00164D69">
        <w:rPr>
          <w:rFonts w:ascii="Book Antiqua" w:hAnsi="Book Antiqua" w:cs="Times New Roman"/>
          <w:sz w:val="24"/>
          <w:szCs w:val="24"/>
        </w:rPr>
        <w:t xml:space="preserve">expressed in regulatory plasmacytoid dendritic cells in response to IFN-γ. This kynurenine bound AhR generates Treg </w:t>
      </w:r>
      <w:r w:rsidR="00164D69" w:rsidRPr="00164D69">
        <w:rPr>
          <w:rFonts w:ascii="Book Antiqua" w:hAnsi="Book Antiqua" w:cs="Times New Roman"/>
          <w:i/>
          <w:sz w:val="24"/>
          <w:szCs w:val="24"/>
        </w:rPr>
        <w:t xml:space="preserve">via </w:t>
      </w:r>
      <w:r w:rsidRPr="00164D69">
        <w:rPr>
          <w:rFonts w:ascii="Book Antiqua" w:hAnsi="Book Antiqua" w:cs="Times New Roman"/>
          <w:sz w:val="24"/>
          <w:szCs w:val="24"/>
        </w:rPr>
        <w:t xml:space="preserve"> influencing the TGF-beta signalling pathway</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RW.CITE{{100 Mezrich,J.D. 2010}}</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94</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Furthermore, Moura-Alves </w:t>
      </w:r>
      <w:r w:rsidRPr="00164D69">
        <w:rPr>
          <w:rFonts w:ascii="Book Antiqua" w:hAnsi="Book Antiqua" w:cs="Times New Roman"/>
          <w:i/>
          <w:sz w:val="24"/>
          <w:szCs w:val="24"/>
        </w:rPr>
        <w:t>et</w:t>
      </w:r>
      <w:r w:rsidR="001D3D7B" w:rsidRPr="00164D69">
        <w:rPr>
          <w:rFonts w:ascii="Book Antiqua" w:hAnsi="Book Antiqua" w:cs="Times New Roman"/>
          <w:i/>
          <w:sz w:val="24"/>
          <w:szCs w:val="24"/>
        </w:rPr>
        <w:t xml:space="preserve"> </w:t>
      </w:r>
      <w:r w:rsidRPr="00164D69">
        <w:rPr>
          <w:rFonts w:ascii="Book Antiqua" w:hAnsi="Book Antiqua" w:cs="Times New Roman"/>
          <w:i/>
          <w:sz w:val="24"/>
          <w:szCs w:val="24"/>
        </w:rPr>
        <w:t>al</w:t>
      </w:r>
      <w:r w:rsidR="002822E2" w:rsidRPr="00164D69">
        <w:rPr>
          <w:rFonts w:ascii="Book Antiqua" w:hAnsi="Book Antiqua" w:cs="Times New Roman"/>
          <w:sz w:val="24"/>
          <w:szCs w:val="24"/>
          <w:vertAlign w:val="superscript"/>
        </w:rPr>
        <w:t>[</w:t>
      </w:r>
      <w:r w:rsidR="002822E2" w:rsidRPr="00164D69">
        <w:rPr>
          <w:rFonts w:ascii="Book Antiqua" w:hAnsi="Book Antiqua" w:cs="Times New Roman"/>
          <w:sz w:val="24"/>
          <w:szCs w:val="24"/>
        </w:rPr>
        <w:fldChar w:fldCharType="begin"/>
      </w:r>
      <w:r w:rsidR="002822E2" w:rsidRPr="00164D69">
        <w:rPr>
          <w:rFonts w:ascii="Book Antiqua" w:hAnsi="Book Antiqua" w:cs="Times New Roman"/>
          <w:sz w:val="24"/>
          <w:szCs w:val="24"/>
        </w:rPr>
        <w:instrText>ADDIN RW.CITE{{102 Moura-Alves,P. 2014}}</w:instrText>
      </w:r>
      <w:r w:rsidR="002822E2" w:rsidRPr="00164D69">
        <w:rPr>
          <w:rFonts w:ascii="Book Antiqua" w:hAnsi="Book Antiqua" w:cs="Times New Roman"/>
          <w:sz w:val="24"/>
          <w:szCs w:val="24"/>
        </w:rPr>
        <w:fldChar w:fldCharType="separate"/>
      </w:r>
      <w:r w:rsidR="002822E2" w:rsidRPr="00164D69">
        <w:rPr>
          <w:rFonts w:ascii="Book Antiqua" w:hAnsi="Book Antiqua" w:cs="Times New Roman"/>
          <w:sz w:val="24"/>
          <w:szCs w:val="24"/>
          <w:vertAlign w:val="superscript"/>
        </w:rPr>
        <w:t>96</w:t>
      </w:r>
      <w:r w:rsidR="002822E2" w:rsidRPr="00164D69">
        <w:rPr>
          <w:rFonts w:ascii="Book Antiqua" w:hAnsi="Book Antiqua" w:cs="Times New Roman"/>
          <w:sz w:val="24"/>
          <w:szCs w:val="24"/>
        </w:rPr>
        <w:fldChar w:fldCharType="end"/>
      </w:r>
      <w:r w:rsidR="002822E2" w:rsidRPr="00164D69">
        <w:rPr>
          <w:rFonts w:ascii="Book Antiqua" w:hAnsi="Book Antiqua" w:cs="Times New Roman"/>
          <w:sz w:val="24"/>
          <w:szCs w:val="24"/>
          <w:vertAlign w:val="superscript"/>
        </w:rPr>
        <w:t>]</w:t>
      </w:r>
      <w:r w:rsidRPr="00164D69">
        <w:rPr>
          <w:rFonts w:ascii="Book Antiqua" w:hAnsi="Book Antiqua" w:cs="Times New Roman"/>
          <w:i/>
          <w:sz w:val="24"/>
          <w:szCs w:val="24"/>
        </w:rPr>
        <w:t>,</w:t>
      </w:r>
      <w:r w:rsidRPr="00164D69">
        <w:rPr>
          <w:rFonts w:ascii="Book Antiqua" w:hAnsi="Book Antiqua" w:cs="Times New Roman"/>
          <w:sz w:val="24"/>
          <w:szCs w:val="24"/>
        </w:rPr>
        <w:t xml:space="preserve"> has reported that AhR binds pathogen-associated molecular patterns (PAMPs), regulating immunity in response to bacteria. Although this observation was limited to myeloid and epithelial cells from lung in a murine infectious model, there is a possibility that bacterial activation of AhR may modulate development of Th subsets in a complex bacterial environment, such as the digestive tract.</w:t>
      </w:r>
      <w:r w:rsidR="00164D69" w:rsidRPr="00164D69">
        <w:rPr>
          <w:rFonts w:ascii="Book Antiqua" w:hAnsi="Book Antiqua" w:cs="Times New Roman"/>
          <w:sz w:val="24"/>
          <w:szCs w:val="24"/>
        </w:rPr>
        <w:t xml:space="preserve"> </w:t>
      </w:r>
    </w:p>
    <w:p w14:paraId="5643CE7A" w14:textId="0F9A7416" w:rsidR="00B467CA" w:rsidRPr="00164D69" w:rsidRDefault="00A43052" w:rsidP="002822E2">
      <w:pPr>
        <w:pStyle w:val="a4"/>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164D69">
        <w:rPr>
          <w:rFonts w:ascii="Book Antiqua" w:hAnsi="Book Antiqua" w:cs="Times New Roman"/>
          <w:sz w:val="24"/>
          <w:szCs w:val="24"/>
        </w:rPr>
        <w:t xml:space="preserve">Taken together one can speculate that a unique function of AhR may be to contribute to plasticity between the Treg and Th17 subsets </w:t>
      </w:r>
      <w:r w:rsidR="00164D69" w:rsidRPr="00164D69">
        <w:rPr>
          <w:rFonts w:ascii="Book Antiqua" w:hAnsi="Book Antiqua" w:cs="Times New Roman"/>
          <w:i/>
          <w:sz w:val="24"/>
          <w:szCs w:val="24"/>
        </w:rPr>
        <w:t xml:space="preserve">via </w:t>
      </w:r>
      <w:r w:rsidRPr="00164D69">
        <w:rPr>
          <w:rFonts w:ascii="Book Antiqua" w:hAnsi="Book Antiqua" w:cs="Times New Roman"/>
          <w:sz w:val="24"/>
          <w:szCs w:val="24"/>
        </w:rPr>
        <w:t xml:space="preserve"> differential binding to environmental or physiological ligands including bacteria-derived metabolites and PAMPs. </w:t>
      </w:r>
    </w:p>
    <w:p w14:paraId="37DA43A1" w14:textId="77777777" w:rsidR="00B467CA" w:rsidRPr="00164D69" w:rsidRDefault="00B467CA" w:rsidP="002F6FCA">
      <w:pPr>
        <w:pStyle w:val="a4"/>
        <w:adjustRightInd w:val="0"/>
        <w:snapToGrid w:val="0"/>
        <w:spacing w:after="0" w:line="360" w:lineRule="auto"/>
        <w:ind w:left="0" w:firstLine="720"/>
        <w:contextualSpacing w:val="0"/>
        <w:jc w:val="both"/>
        <w:rPr>
          <w:rFonts w:ascii="Book Antiqua" w:hAnsi="Book Antiqua" w:cs="Times New Roman"/>
          <w:sz w:val="24"/>
          <w:szCs w:val="24"/>
        </w:rPr>
      </w:pPr>
    </w:p>
    <w:p w14:paraId="144D65B4" w14:textId="6CFB9C14" w:rsidR="00B467CA" w:rsidRPr="00164D69" w:rsidRDefault="00B467CA" w:rsidP="002822E2">
      <w:pPr>
        <w:pStyle w:val="a4"/>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164D69">
        <w:rPr>
          <w:rFonts w:ascii="Book Antiqua" w:hAnsi="Book Antiqua" w:cs="Times New Roman"/>
          <w:sz w:val="24"/>
          <w:szCs w:val="24"/>
        </w:rPr>
        <w:t>Figure 2 illustrates the contributing factors to the plasticity between Treg and Th17.</w:t>
      </w:r>
      <w:r w:rsidR="00164D69" w:rsidRPr="00164D69">
        <w:rPr>
          <w:rFonts w:ascii="Book Antiqua" w:hAnsi="Book Antiqua" w:cs="Times New Roman"/>
          <w:sz w:val="24"/>
          <w:szCs w:val="24"/>
        </w:rPr>
        <w:t xml:space="preserve"> </w:t>
      </w:r>
    </w:p>
    <w:p w14:paraId="02550FD7" w14:textId="77777777" w:rsidR="00B467CA" w:rsidRPr="00164D69" w:rsidRDefault="00B467CA" w:rsidP="002F6FCA">
      <w:pPr>
        <w:pStyle w:val="a4"/>
        <w:adjustRightInd w:val="0"/>
        <w:snapToGrid w:val="0"/>
        <w:spacing w:after="0" w:line="360" w:lineRule="auto"/>
        <w:ind w:left="0" w:firstLine="720"/>
        <w:contextualSpacing w:val="0"/>
        <w:jc w:val="both"/>
        <w:rPr>
          <w:rFonts w:ascii="Book Antiqua" w:hAnsi="Book Antiqua" w:cs="Times New Roman"/>
          <w:sz w:val="24"/>
          <w:szCs w:val="24"/>
        </w:rPr>
      </w:pPr>
    </w:p>
    <w:p w14:paraId="4ABDBD65" w14:textId="77777777" w:rsidR="00A43052" w:rsidRPr="00164D69" w:rsidRDefault="00A43052" w:rsidP="002F6FCA">
      <w:pPr>
        <w:adjustRightInd w:val="0"/>
        <w:snapToGrid w:val="0"/>
        <w:spacing w:after="0" w:line="360" w:lineRule="auto"/>
        <w:jc w:val="both"/>
        <w:rPr>
          <w:rFonts w:ascii="Book Antiqua" w:hAnsi="Book Antiqua" w:cs="Times New Roman"/>
          <w:sz w:val="24"/>
          <w:szCs w:val="24"/>
        </w:rPr>
      </w:pPr>
    </w:p>
    <w:p w14:paraId="6C17AE12" w14:textId="77777777"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b/>
          <w:i/>
          <w:sz w:val="24"/>
          <w:szCs w:val="24"/>
        </w:rPr>
      </w:pPr>
      <w:r w:rsidRPr="00164D69">
        <w:rPr>
          <w:rFonts w:ascii="Book Antiqua" w:hAnsi="Book Antiqua" w:cs="Times New Roman"/>
          <w:b/>
          <w:i/>
          <w:sz w:val="24"/>
          <w:szCs w:val="24"/>
        </w:rPr>
        <w:t>Histone methylation (monitoring the characteristics of plasticity)</w:t>
      </w:r>
    </w:p>
    <w:p w14:paraId="637DD555" w14:textId="252FD311"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sz w:val="24"/>
          <w:szCs w:val="24"/>
        </w:rPr>
      </w:pPr>
      <w:r w:rsidRPr="00164D69">
        <w:rPr>
          <w:rFonts w:ascii="Book Antiqua" w:hAnsi="Book Antiqua" w:cs="Times New Roman"/>
          <w:sz w:val="24"/>
          <w:szCs w:val="24"/>
        </w:rPr>
        <w:t xml:space="preserve">Histone modifications including acetylation, methylation, and phosphorylation, are associated with gene expression or repression </w:t>
      </w:r>
      <w:r w:rsidR="00164D69" w:rsidRPr="00164D69">
        <w:rPr>
          <w:rFonts w:ascii="Book Antiqua" w:hAnsi="Book Antiqua" w:cs="Times New Roman"/>
          <w:i/>
          <w:sz w:val="24"/>
          <w:szCs w:val="24"/>
        </w:rPr>
        <w:t xml:space="preserve">via </w:t>
      </w:r>
      <w:r w:rsidRPr="00164D69">
        <w:rPr>
          <w:rFonts w:ascii="Book Antiqua" w:hAnsi="Book Antiqua" w:cs="Times New Roman"/>
          <w:sz w:val="24"/>
          <w:szCs w:val="24"/>
        </w:rPr>
        <w:t xml:space="preserve"> alternations in chromatin structure</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RW.CITE{{86 Nakayamada,S. 2012}}</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77</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 In regard to Th1, Th2 and Th17 subset development, trimethylation of lysine 4(H3K4me3) and lysine 27(H3K27me3) play important roles in activation and repression, respectively, of gene expression downstream of transcription factors specific to Th subsets.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Thus, monitoring H3K4me3 and H3K27me3 status can visualize the potential for plasticity in T cell subsets. </w:t>
      </w:r>
    </w:p>
    <w:p w14:paraId="6D6E1430" w14:textId="0611FCE6" w:rsidR="00A43052" w:rsidRPr="00164D69" w:rsidRDefault="00A43052" w:rsidP="002822E2">
      <w:pPr>
        <w:adjustRightInd w:val="0"/>
        <w:snapToGrid w:val="0"/>
        <w:spacing w:after="0" w:line="360" w:lineRule="auto"/>
        <w:ind w:firstLineChars="50" w:firstLine="120"/>
        <w:jc w:val="both"/>
        <w:rPr>
          <w:rFonts w:ascii="Book Antiqua" w:hAnsi="Book Antiqua" w:cs="Times New Roman"/>
          <w:sz w:val="24"/>
          <w:szCs w:val="24"/>
        </w:rPr>
      </w:pPr>
      <w:r w:rsidRPr="00164D69">
        <w:rPr>
          <w:rFonts w:ascii="Book Antiqua" w:hAnsi="Book Antiqua" w:cs="Times New Roman"/>
          <w:sz w:val="24"/>
          <w:szCs w:val="24"/>
        </w:rPr>
        <w:t xml:space="preserve"> H3K4me3 marks the signature cytokine genes (</w:t>
      </w:r>
      <w:r w:rsidRPr="00164D69">
        <w:rPr>
          <w:rFonts w:ascii="Book Antiqua" w:hAnsi="Book Antiqua" w:cs="Times New Roman"/>
          <w:i/>
          <w:sz w:val="24"/>
          <w:szCs w:val="24"/>
        </w:rPr>
        <w:t>Ifng</w:t>
      </w:r>
      <w:r w:rsidRPr="00164D69">
        <w:rPr>
          <w:rFonts w:ascii="Book Antiqua" w:hAnsi="Book Antiqua" w:cs="Times New Roman"/>
          <w:sz w:val="24"/>
          <w:szCs w:val="24"/>
        </w:rPr>
        <w:t xml:space="preserve"> for Th1, </w:t>
      </w:r>
      <w:r w:rsidRPr="00164D69">
        <w:rPr>
          <w:rFonts w:ascii="Book Antiqua" w:hAnsi="Book Antiqua" w:cs="Times New Roman"/>
          <w:i/>
          <w:sz w:val="24"/>
          <w:szCs w:val="24"/>
        </w:rPr>
        <w:t>Il4</w:t>
      </w:r>
      <w:r w:rsidRPr="00164D69">
        <w:rPr>
          <w:rFonts w:ascii="Book Antiqua" w:hAnsi="Book Antiqua" w:cs="Times New Roman"/>
          <w:sz w:val="24"/>
          <w:szCs w:val="24"/>
        </w:rPr>
        <w:t xml:space="preserve"> for Th2, </w:t>
      </w:r>
      <w:r w:rsidRPr="00164D69">
        <w:rPr>
          <w:rFonts w:ascii="Book Antiqua" w:hAnsi="Book Antiqua" w:cs="Times New Roman"/>
          <w:i/>
          <w:sz w:val="24"/>
          <w:szCs w:val="24"/>
        </w:rPr>
        <w:t>Il17a</w:t>
      </w:r>
      <w:r w:rsidRPr="00164D69">
        <w:rPr>
          <w:rFonts w:ascii="Book Antiqua" w:hAnsi="Book Antiqua" w:cs="Times New Roman"/>
          <w:sz w:val="24"/>
          <w:szCs w:val="24"/>
        </w:rPr>
        <w:t>) within the Th17 subset while repressive H3K27me3 is found on Th17 signature cytokine genes in Th1 (</w:t>
      </w:r>
      <w:r w:rsidRPr="00164D69">
        <w:rPr>
          <w:rFonts w:ascii="Book Antiqua" w:hAnsi="Book Antiqua" w:cs="Times New Roman"/>
          <w:i/>
          <w:sz w:val="24"/>
          <w:szCs w:val="24"/>
        </w:rPr>
        <w:t>Il4, Il17a</w:t>
      </w:r>
      <w:r w:rsidRPr="00164D69">
        <w:rPr>
          <w:rFonts w:ascii="Book Antiqua" w:hAnsi="Book Antiqua" w:cs="Times New Roman"/>
          <w:sz w:val="24"/>
          <w:szCs w:val="24"/>
        </w:rPr>
        <w:t>), Th2 (</w:t>
      </w:r>
      <w:r w:rsidRPr="00164D69">
        <w:rPr>
          <w:rFonts w:ascii="Book Antiqua" w:hAnsi="Book Antiqua" w:cs="Times New Roman"/>
          <w:i/>
          <w:sz w:val="24"/>
          <w:szCs w:val="24"/>
        </w:rPr>
        <w:t>Ifng, Il17a</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and Th17 (</w:t>
      </w:r>
      <w:r w:rsidRPr="00164D69">
        <w:rPr>
          <w:rFonts w:ascii="Book Antiqua" w:hAnsi="Book Antiqua" w:cs="Times New Roman"/>
          <w:i/>
          <w:sz w:val="24"/>
          <w:szCs w:val="24"/>
        </w:rPr>
        <w:t>Il4, Ifng</w:t>
      </w:r>
      <w:r w:rsidRPr="00164D69">
        <w:rPr>
          <w:rFonts w:ascii="Book Antiqua" w:hAnsi="Book Antiqua" w:cs="Times New Roman"/>
          <w:sz w:val="24"/>
          <w:szCs w:val="24"/>
        </w:rPr>
        <w:t>), suggesting lineage commitment to these particular subsets within these cells. Interestingly however, trimethylation on some transcription factor genes is bivalent (both H3K4 and H3K27</w:t>
      </w:r>
      <w:r w:rsidR="007D38C8" w:rsidRPr="00164D69">
        <w:rPr>
          <w:rFonts w:ascii="Book Antiqua" w:hAnsi="Book Antiqua" w:cs="Times New Roman"/>
          <w:sz w:val="24"/>
          <w:szCs w:val="24"/>
        </w:rPr>
        <w:t>)</w:t>
      </w:r>
      <w:r w:rsidRPr="00164D69">
        <w:rPr>
          <w:rFonts w:ascii="Book Antiqua" w:hAnsi="Book Antiqua" w:cs="Times New Roman"/>
          <w:sz w:val="24"/>
          <w:szCs w:val="24"/>
        </w:rPr>
        <w:t xml:space="preserve"> suggesting an element of reversibility in epigenetic status, particularly in Th17 cells.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In these cells it is possible to find bivalent methylation in the Th1 transcription factor </w:t>
      </w:r>
      <w:r w:rsidRPr="00164D69">
        <w:rPr>
          <w:rFonts w:ascii="Book Antiqua" w:hAnsi="Book Antiqua" w:cs="Times New Roman"/>
          <w:i/>
          <w:sz w:val="24"/>
          <w:szCs w:val="24"/>
        </w:rPr>
        <w:t>Tbx21</w:t>
      </w:r>
      <w:r w:rsidRPr="00164D69">
        <w:rPr>
          <w:rFonts w:ascii="Book Antiqua" w:hAnsi="Book Antiqua" w:cs="Times New Roman"/>
          <w:sz w:val="24"/>
          <w:szCs w:val="24"/>
        </w:rPr>
        <w:t xml:space="preserve"> and Th2 transcription factor </w:t>
      </w:r>
      <w:r w:rsidRPr="00164D69">
        <w:rPr>
          <w:rFonts w:ascii="Book Antiqua" w:hAnsi="Book Antiqua" w:cs="Times New Roman"/>
          <w:i/>
          <w:sz w:val="24"/>
          <w:szCs w:val="24"/>
        </w:rPr>
        <w:t>Gata3</w:t>
      </w:r>
      <w:r w:rsidRPr="00164D69">
        <w:rPr>
          <w:rFonts w:ascii="Book Antiqua" w:hAnsi="Book Antiqua" w:cs="Times New Roman"/>
          <w:sz w:val="24"/>
          <w:szCs w:val="24"/>
        </w:rPr>
        <w:t>, in addition, Foxp3 may remain unmethylated suggesting a “neutral” state.</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Thus, histone methylation states may help explain why Th17 cells can swing to other subsets more easily than other T cell subsets</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RW.CITE{{103 Lee,B.M. 2009; 105 Wei,G. 2009; 104 Rowell,E. 2009}}</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97-99</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Cytokines regulate the trime</w:t>
      </w:r>
      <w:r w:rsidR="007D38C8" w:rsidRPr="00164D69">
        <w:rPr>
          <w:rFonts w:ascii="Book Antiqua" w:hAnsi="Book Antiqua" w:cs="Times New Roman"/>
          <w:sz w:val="24"/>
          <w:szCs w:val="24"/>
        </w:rPr>
        <w:t>t</w:t>
      </w:r>
      <w:r w:rsidRPr="00164D69">
        <w:rPr>
          <w:rFonts w:ascii="Book Antiqua" w:hAnsi="Book Antiqua" w:cs="Times New Roman"/>
          <w:sz w:val="24"/>
          <w:szCs w:val="24"/>
        </w:rPr>
        <w:t>hylation status of Th17, resulting in subset conversion and plasticity. Also, the universal bivalent status of Tbx21 in all Th subsets except Th1, where you have only permissive H3K4me3, explains why plasticity towards the Th1 subset is dominant</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RW.CITE{{104 Rowell,E. 2009}}</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99</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Thus, monitoring trimethylation status of H3K4 and H3K27 is useful in predicting the potential for, and direction of Th cell plasticity.</w:t>
      </w:r>
      <w:r w:rsidR="00164D69" w:rsidRPr="00164D69">
        <w:rPr>
          <w:rFonts w:ascii="Book Antiqua" w:hAnsi="Book Antiqua" w:cs="Times New Roman"/>
          <w:sz w:val="24"/>
          <w:szCs w:val="24"/>
        </w:rPr>
        <w:t xml:space="preserve"> </w:t>
      </w:r>
    </w:p>
    <w:p w14:paraId="03DD3E54" w14:textId="256557EA" w:rsidR="00B467CA" w:rsidRPr="00164D69" w:rsidRDefault="00A43052" w:rsidP="002822E2">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A histone modifying enzyme, JMJD3</w:t>
      </w:r>
      <w:r w:rsidRPr="00164D69">
        <w:rPr>
          <w:rFonts w:ascii="Book Antiqua" w:eastAsia="Times New Roman" w:hAnsi="Book Antiqua" w:cs="Times New Roman"/>
          <w:sz w:val="24"/>
          <w:szCs w:val="24"/>
        </w:rPr>
        <w:t xml:space="preserve"> is a histone H3K27 demethylase</w:t>
      </w:r>
      <w:r w:rsidR="001D3D7B" w:rsidRPr="00164D69">
        <w:rPr>
          <w:rFonts w:ascii="Book Antiqua" w:eastAsia="Times New Roman" w:hAnsi="Book Antiqua" w:cs="Times New Roman"/>
          <w:sz w:val="24"/>
          <w:szCs w:val="24"/>
          <w:vertAlign w:val="superscript"/>
        </w:rPr>
        <w:t>[</w:t>
      </w:r>
      <w:r w:rsidRPr="00164D69">
        <w:rPr>
          <w:rFonts w:ascii="Book Antiqua" w:eastAsia="Times New Roman" w:hAnsi="Book Antiqua" w:cs="Times New Roman"/>
          <w:sz w:val="24"/>
          <w:szCs w:val="24"/>
        </w:rPr>
        <w:fldChar w:fldCharType="begin"/>
      </w:r>
      <w:r w:rsidRPr="00164D69">
        <w:rPr>
          <w:rFonts w:ascii="Book Antiqua" w:eastAsia="Times New Roman" w:hAnsi="Book Antiqua" w:cs="Times New Roman"/>
          <w:sz w:val="24"/>
          <w:szCs w:val="24"/>
        </w:rPr>
        <w:instrText>ADDIN RW.CITE{{107 Xiang,Y. 2007}}</w:instrText>
      </w:r>
      <w:r w:rsidRPr="00164D69">
        <w:rPr>
          <w:rFonts w:ascii="Book Antiqua" w:eastAsia="Times New Roman" w:hAnsi="Book Antiqua" w:cs="Times New Roman"/>
          <w:sz w:val="24"/>
          <w:szCs w:val="24"/>
        </w:rPr>
        <w:fldChar w:fldCharType="separate"/>
      </w:r>
      <w:r w:rsidRPr="00164D69">
        <w:rPr>
          <w:rFonts w:ascii="Book Antiqua" w:eastAsia="Times New Roman" w:hAnsi="Book Antiqua" w:cs="Times New Roman"/>
          <w:sz w:val="24"/>
          <w:szCs w:val="24"/>
          <w:vertAlign w:val="superscript"/>
        </w:rPr>
        <w:t>100</w:t>
      </w:r>
      <w:r w:rsidRPr="00164D69">
        <w:rPr>
          <w:rFonts w:ascii="Book Antiqua" w:eastAsia="Times New Roman" w:hAnsi="Book Antiqua" w:cs="Times New Roman"/>
          <w:sz w:val="24"/>
          <w:szCs w:val="24"/>
        </w:rPr>
        <w:fldChar w:fldCharType="end"/>
      </w:r>
      <w:r w:rsidR="001D3D7B" w:rsidRPr="00164D69">
        <w:rPr>
          <w:rFonts w:ascii="Book Antiqua" w:eastAsia="Times New Roman" w:hAnsi="Book Antiqua" w:cs="Times New Roman"/>
          <w:sz w:val="24"/>
          <w:szCs w:val="24"/>
          <w:vertAlign w:val="superscript"/>
        </w:rPr>
        <w:t>]</w:t>
      </w:r>
      <w:r w:rsidRPr="00164D69">
        <w:rPr>
          <w:rFonts w:ascii="Book Antiqua" w:eastAsia="Times New Roman" w:hAnsi="Book Antiqua" w:cs="Times New Roman"/>
          <w:bCs/>
          <w:sz w:val="24"/>
          <w:szCs w:val="24"/>
        </w:rPr>
        <w:t xml:space="preserve">. Li </w:t>
      </w:r>
      <w:r w:rsidRPr="00164D69">
        <w:rPr>
          <w:rFonts w:ascii="Book Antiqua" w:eastAsia="Times New Roman" w:hAnsi="Book Antiqua" w:cs="Times New Roman"/>
          <w:bCs/>
          <w:i/>
          <w:sz w:val="24"/>
          <w:szCs w:val="24"/>
        </w:rPr>
        <w:t>e</w:t>
      </w:r>
      <w:r w:rsidR="001D3D7B" w:rsidRPr="00164D69">
        <w:rPr>
          <w:rFonts w:ascii="Book Antiqua" w:eastAsia="Times New Roman" w:hAnsi="Book Antiqua" w:cs="Times New Roman"/>
          <w:bCs/>
          <w:i/>
          <w:sz w:val="24"/>
          <w:szCs w:val="24"/>
        </w:rPr>
        <w:t xml:space="preserve">t </w:t>
      </w:r>
      <w:r w:rsidRPr="00164D69">
        <w:rPr>
          <w:rFonts w:ascii="Book Antiqua" w:eastAsia="Times New Roman" w:hAnsi="Book Antiqua" w:cs="Times New Roman"/>
          <w:bCs/>
          <w:i/>
          <w:sz w:val="24"/>
          <w:szCs w:val="24"/>
        </w:rPr>
        <w:t>al</w:t>
      </w:r>
      <w:r w:rsidR="002822E2" w:rsidRPr="00164D69">
        <w:rPr>
          <w:rFonts w:ascii="Book Antiqua" w:hAnsi="Book Antiqua" w:cs="Times New Roman"/>
          <w:sz w:val="24"/>
          <w:szCs w:val="24"/>
          <w:vertAlign w:val="superscript"/>
        </w:rPr>
        <w:t>[</w:t>
      </w:r>
      <w:r w:rsidR="002822E2" w:rsidRPr="00164D69">
        <w:rPr>
          <w:rFonts w:ascii="Book Antiqua" w:hAnsi="Book Antiqua" w:cs="Times New Roman"/>
          <w:sz w:val="24"/>
          <w:szCs w:val="24"/>
        </w:rPr>
        <w:fldChar w:fldCharType="begin"/>
      </w:r>
      <w:r w:rsidR="002822E2" w:rsidRPr="00164D69">
        <w:rPr>
          <w:rFonts w:ascii="Book Antiqua" w:hAnsi="Book Antiqua" w:cs="Times New Roman"/>
          <w:sz w:val="24"/>
          <w:szCs w:val="24"/>
        </w:rPr>
        <w:instrText>ADDIN RW.CITE{{108 Li,Q. 2014}}</w:instrText>
      </w:r>
      <w:r w:rsidR="002822E2" w:rsidRPr="00164D69">
        <w:rPr>
          <w:rFonts w:ascii="Book Antiqua" w:hAnsi="Book Antiqua" w:cs="Times New Roman"/>
          <w:sz w:val="24"/>
          <w:szCs w:val="24"/>
        </w:rPr>
        <w:fldChar w:fldCharType="separate"/>
      </w:r>
      <w:r w:rsidR="002822E2" w:rsidRPr="00164D69">
        <w:rPr>
          <w:rFonts w:ascii="Book Antiqua" w:hAnsi="Book Antiqua" w:cs="Times New Roman"/>
          <w:sz w:val="24"/>
          <w:szCs w:val="24"/>
          <w:vertAlign w:val="superscript"/>
        </w:rPr>
        <w:t>101</w:t>
      </w:r>
      <w:r w:rsidR="002822E2" w:rsidRPr="00164D69">
        <w:rPr>
          <w:rFonts w:ascii="Book Antiqua" w:hAnsi="Book Antiqua" w:cs="Times New Roman"/>
          <w:sz w:val="24"/>
          <w:szCs w:val="24"/>
        </w:rPr>
        <w:fldChar w:fldCharType="end"/>
      </w:r>
      <w:r w:rsidR="002822E2" w:rsidRPr="00164D69">
        <w:rPr>
          <w:rFonts w:ascii="Book Antiqua" w:hAnsi="Book Antiqua" w:cs="Times New Roman"/>
          <w:sz w:val="24"/>
          <w:szCs w:val="24"/>
          <w:vertAlign w:val="superscript"/>
        </w:rPr>
        <w:t>]</w:t>
      </w:r>
      <w:r w:rsidRPr="00164D69">
        <w:rPr>
          <w:rFonts w:ascii="Book Antiqua" w:eastAsia="Times New Roman" w:hAnsi="Book Antiqua" w:cs="Times New Roman"/>
          <w:bCs/>
          <w:i/>
          <w:sz w:val="24"/>
          <w:szCs w:val="24"/>
        </w:rPr>
        <w:t>,</w:t>
      </w:r>
      <w:r w:rsidRPr="00164D69">
        <w:rPr>
          <w:rFonts w:ascii="Book Antiqua" w:eastAsia="Times New Roman" w:hAnsi="Book Antiqua" w:cs="Times New Roman"/>
          <w:bCs/>
          <w:sz w:val="24"/>
          <w:szCs w:val="24"/>
        </w:rPr>
        <w:t xml:space="preserve"> </w:t>
      </w:r>
      <w:r w:rsidRPr="00164D69">
        <w:rPr>
          <w:rFonts w:ascii="Book Antiqua" w:hAnsi="Book Antiqua" w:cs="Times New Roman"/>
          <w:sz w:val="24"/>
          <w:szCs w:val="24"/>
        </w:rPr>
        <w:t xml:space="preserve">reported that JMJD3 ablation promoted Th cell differentiation into Th2 and Th17 cells in the small and large intestines, and inhibited T-cell differentiation into </w:t>
      </w:r>
      <w:r w:rsidRPr="00164D69">
        <w:rPr>
          <w:rFonts w:ascii="Book Antiqua" w:hAnsi="Book Antiqua" w:cs="Times New Roman"/>
          <w:sz w:val="24"/>
          <w:szCs w:val="24"/>
        </w:rPr>
        <w:lastRenderedPageBreak/>
        <w:t xml:space="preserve">Th1 cells </w:t>
      </w:r>
      <w:r w:rsidR="002822E2" w:rsidRPr="00164D69">
        <w:rPr>
          <w:rFonts w:ascii="Book Antiqua" w:hAnsi="Book Antiqua" w:cs="Times New Roman"/>
          <w:i/>
          <w:sz w:val="24"/>
          <w:szCs w:val="24"/>
        </w:rPr>
        <w:t>in vitro</w:t>
      </w:r>
      <w:r w:rsidRPr="00164D69">
        <w:rPr>
          <w:rFonts w:ascii="Book Antiqua" w:hAnsi="Book Antiqua" w:cs="Times New Roman"/>
          <w:sz w:val="24"/>
          <w:szCs w:val="24"/>
        </w:rPr>
        <w:t xml:space="preserve"> and in a Th1-dependent colitis model.</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JMJD3 deficiency also restrains plasticity of Th2, Th17 and Treg cells towards Th1 cells. The skewing of T-cell differentiation is concomitant with changes in the expression of key transcription factors and cytokines </w:t>
      </w:r>
      <w:r w:rsidR="00164D69" w:rsidRPr="00164D69">
        <w:rPr>
          <w:rFonts w:ascii="Book Antiqua" w:hAnsi="Book Antiqua" w:cs="Times New Roman"/>
          <w:i/>
          <w:sz w:val="24"/>
          <w:szCs w:val="24"/>
        </w:rPr>
        <w:t xml:space="preserve">via </w:t>
      </w:r>
      <w:r w:rsidRPr="00164D69">
        <w:rPr>
          <w:rFonts w:ascii="Book Antiqua" w:hAnsi="Book Antiqua" w:cs="Times New Roman"/>
          <w:sz w:val="24"/>
          <w:szCs w:val="24"/>
        </w:rPr>
        <w:t xml:space="preserve"> changes in H3K27me3 and H3K4me3 levels</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RW.CITE{{108 Li,Q. 2014}}</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101</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w:t>
      </w:r>
    </w:p>
    <w:p w14:paraId="0BDC12F3" w14:textId="77777777" w:rsidR="00A43052" w:rsidRPr="00164D69" w:rsidRDefault="00A43052" w:rsidP="002F6FCA">
      <w:pPr>
        <w:adjustRightInd w:val="0"/>
        <w:snapToGrid w:val="0"/>
        <w:spacing w:after="0" w:line="360" w:lineRule="auto"/>
        <w:ind w:firstLine="720"/>
        <w:jc w:val="both"/>
        <w:rPr>
          <w:rFonts w:ascii="Book Antiqua" w:hAnsi="Book Antiqua" w:cs="Times New Roman"/>
          <w:sz w:val="24"/>
          <w:szCs w:val="24"/>
        </w:rPr>
      </w:pPr>
      <w:r w:rsidRPr="00164D69">
        <w:rPr>
          <w:rFonts w:ascii="Book Antiqua" w:hAnsi="Book Antiqua" w:cs="Times New Roman"/>
          <w:sz w:val="24"/>
          <w:szCs w:val="24"/>
        </w:rPr>
        <w:t xml:space="preserve"> </w:t>
      </w:r>
    </w:p>
    <w:p w14:paraId="14CF9EFD" w14:textId="5697D0CA" w:rsidR="00A43052" w:rsidRPr="00164D69" w:rsidRDefault="002822E2" w:rsidP="002822E2">
      <w:pPr>
        <w:pStyle w:val="a4"/>
        <w:adjustRightInd w:val="0"/>
        <w:snapToGrid w:val="0"/>
        <w:spacing w:after="0" w:line="360" w:lineRule="auto"/>
        <w:ind w:left="0"/>
        <w:contextualSpacing w:val="0"/>
        <w:jc w:val="both"/>
        <w:rPr>
          <w:rFonts w:ascii="Book Antiqua" w:hAnsi="Book Antiqua" w:cs="Times New Roman"/>
          <w:b/>
          <w:sz w:val="24"/>
          <w:szCs w:val="24"/>
        </w:rPr>
      </w:pPr>
      <w:r w:rsidRPr="00164D69">
        <w:rPr>
          <w:rFonts w:ascii="Book Antiqua" w:hAnsi="Book Antiqua" w:cs="Times New Roman"/>
          <w:b/>
          <w:sz w:val="24"/>
          <w:szCs w:val="24"/>
        </w:rPr>
        <w:t xml:space="preserve">TH17 PLASTICITY IN CHRONIC INFLAMMATORY DISEASES INCLUDING IBD </w:t>
      </w:r>
    </w:p>
    <w:p w14:paraId="7C1317EA" w14:textId="5741747C" w:rsidR="00A43052" w:rsidRPr="00164D69" w:rsidRDefault="00A43052" w:rsidP="002822E2">
      <w:pPr>
        <w:adjustRightInd w:val="0"/>
        <w:snapToGrid w:val="0"/>
        <w:spacing w:after="0" w:line="360" w:lineRule="auto"/>
        <w:jc w:val="both"/>
        <w:rPr>
          <w:rFonts w:ascii="Book Antiqua" w:hAnsi="Book Antiqua" w:cs="Times New Roman"/>
          <w:sz w:val="24"/>
          <w:szCs w:val="24"/>
        </w:rPr>
      </w:pPr>
      <w:r w:rsidRPr="00164D69">
        <w:rPr>
          <w:rFonts w:ascii="Book Antiqua" w:hAnsi="Book Antiqua" w:cs="Times New Roman"/>
          <w:sz w:val="24"/>
          <w:szCs w:val="24"/>
        </w:rPr>
        <w:t>IFN-γ</w:t>
      </w:r>
      <w:r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IL-17</w:t>
      </w:r>
      <w:r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double expressing cells are considered a cross-over transition of Th17 into Th1 lymphocytes</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RW.CITE{{110 Esposito,M. 2010}}</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102</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 This cell population represents an efficient local host defense system which shifts host defense from extracellular pathogens to intracellular microbial infections</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RW.CITE{{74 Zhou,L. 2009}}</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103</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and may contribute to autoimmune pathogeneses in both mouse models and in human diseases</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RW.CITE{{75 Nistala,K. 2010; 76 Korn,T. 2009}}</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104,105</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Globig </w:t>
      </w:r>
      <w:r w:rsidRPr="00164D69">
        <w:rPr>
          <w:rFonts w:ascii="Book Antiqua" w:hAnsi="Book Antiqua" w:cs="Times New Roman"/>
          <w:i/>
          <w:sz w:val="24"/>
          <w:szCs w:val="24"/>
        </w:rPr>
        <w:t>et</w:t>
      </w:r>
      <w:r w:rsidR="001D3D7B" w:rsidRPr="00164D69">
        <w:rPr>
          <w:rFonts w:ascii="Book Antiqua" w:hAnsi="Book Antiqua" w:cs="Times New Roman"/>
          <w:i/>
          <w:sz w:val="24"/>
          <w:szCs w:val="24"/>
        </w:rPr>
        <w:t xml:space="preserve"> </w:t>
      </w:r>
      <w:r w:rsidRPr="00164D69">
        <w:rPr>
          <w:rFonts w:ascii="Book Antiqua" w:hAnsi="Book Antiqua" w:cs="Times New Roman"/>
          <w:i/>
          <w:sz w:val="24"/>
          <w:szCs w:val="24"/>
        </w:rPr>
        <w:t>al</w:t>
      </w:r>
      <w:r w:rsidR="002822E2" w:rsidRPr="00164D69">
        <w:rPr>
          <w:rFonts w:ascii="Book Antiqua" w:hAnsi="Book Antiqua" w:cs="Times New Roman"/>
          <w:sz w:val="24"/>
          <w:szCs w:val="24"/>
          <w:vertAlign w:val="superscript"/>
        </w:rPr>
        <w:t>[</w:t>
      </w:r>
      <w:r w:rsidR="002822E2" w:rsidRPr="00164D69">
        <w:rPr>
          <w:rFonts w:ascii="Book Antiqua" w:hAnsi="Book Antiqua" w:cs="Times New Roman"/>
          <w:sz w:val="24"/>
          <w:szCs w:val="24"/>
        </w:rPr>
        <w:fldChar w:fldCharType="begin"/>
      </w:r>
      <w:r w:rsidR="002822E2" w:rsidRPr="00164D69">
        <w:rPr>
          <w:rFonts w:ascii="Book Antiqua" w:hAnsi="Book Antiqua" w:cs="Times New Roman"/>
          <w:sz w:val="24"/>
          <w:szCs w:val="24"/>
        </w:rPr>
        <w:instrText>ADDIN RW.CITE{{109 Globig,A.M. 2014}}</w:instrText>
      </w:r>
      <w:r w:rsidR="002822E2" w:rsidRPr="00164D69">
        <w:rPr>
          <w:rFonts w:ascii="Book Antiqua" w:hAnsi="Book Antiqua" w:cs="Times New Roman"/>
          <w:sz w:val="24"/>
          <w:szCs w:val="24"/>
        </w:rPr>
        <w:fldChar w:fldCharType="separate"/>
      </w:r>
      <w:r w:rsidR="002822E2" w:rsidRPr="00164D69">
        <w:rPr>
          <w:rFonts w:ascii="Book Antiqua" w:hAnsi="Book Antiqua" w:cs="Times New Roman"/>
          <w:sz w:val="24"/>
          <w:szCs w:val="24"/>
          <w:vertAlign w:val="superscript"/>
        </w:rPr>
        <w:t>106</w:t>
      </w:r>
      <w:r w:rsidR="002822E2" w:rsidRPr="00164D69">
        <w:rPr>
          <w:rFonts w:ascii="Book Antiqua" w:hAnsi="Book Antiqua" w:cs="Times New Roman"/>
          <w:sz w:val="24"/>
          <w:szCs w:val="24"/>
        </w:rPr>
        <w:fldChar w:fldCharType="end"/>
      </w:r>
      <w:r w:rsidR="002822E2" w:rsidRPr="00164D69">
        <w:rPr>
          <w:rFonts w:ascii="Book Antiqua" w:hAnsi="Book Antiqua" w:cs="Times New Roman"/>
          <w:sz w:val="24"/>
          <w:szCs w:val="24"/>
          <w:vertAlign w:val="superscript"/>
        </w:rPr>
        <w:t>]</w:t>
      </w:r>
      <w:r w:rsidRPr="00164D69">
        <w:rPr>
          <w:rFonts w:ascii="Book Antiqua" w:hAnsi="Book Antiqua" w:cs="Times New Roman"/>
          <w:i/>
          <w:sz w:val="24"/>
          <w:szCs w:val="24"/>
        </w:rPr>
        <w:t>,</w:t>
      </w:r>
      <w:r w:rsidRPr="00164D69">
        <w:rPr>
          <w:rFonts w:ascii="Book Antiqua" w:hAnsi="Book Antiqua" w:cs="Times New Roman"/>
          <w:sz w:val="24"/>
          <w:szCs w:val="24"/>
        </w:rPr>
        <w:t xml:space="preserve"> suggested that this population is indeed a subpopulation of Th17</w:t>
      </w:r>
      <w:r w:rsidR="007D38C8" w:rsidRPr="00164D69">
        <w:rPr>
          <w:rFonts w:ascii="Book Antiqua" w:hAnsi="Book Antiqua" w:cs="Times New Roman"/>
          <w:sz w:val="24"/>
          <w:szCs w:val="24"/>
        </w:rPr>
        <w:t xml:space="preserve"> cells</w:t>
      </w:r>
      <w:r w:rsidRPr="00164D69">
        <w:rPr>
          <w:rFonts w:ascii="Book Antiqua" w:hAnsi="Book Antiqua" w:cs="Times New Roman"/>
          <w:sz w:val="24"/>
          <w:szCs w:val="24"/>
        </w:rPr>
        <w:t xml:space="preserve"> and may be involved in IBD pathogenesis of both CD and UC. Interestingly, Weaver and colleagues recently have provided evidence that Th17 cells can act as precursors for IFN-γ secreting Th1 cells in a mouse of colitis, showing the indispensability of Th17/Th1 plasticity in the pathogenesis of colitis</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RW.CITE{{38 Harbour,S.N. 2015}}</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21</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w:t>
      </w:r>
    </w:p>
    <w:p w14:paraId="03895B35" w14:textId="2BCDADA8" w:rsidR="00A43052" w:rsidRPr="00164D69" w:rsidRDefault="00A43052" w:rsidP="002822E2">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Likewise, IL-17</w:t>
      </w:r>
      <w:r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Foxp3</w:t>
      </w:r>
      <w:r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double expressing CD4</w:t>
      </w:r>
      <w:r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T cells may differentiate into Th17 cells under pro-inflammatory conditions such as IL-1β, IL-6, IL-21, IL-23 and TGF-β</w:t>
      </w:r>
      <w:r w:rsidRPr="00164D69">
        <w:rPr>
          <w:rFonts w:ascii="Book Antiqua" w:hAnsi="Book Antiqua" w:cs="Times New Roman"/>
          <w:b/>
          <w:sz w:val="24"/>
          <w:szCs w:val="24"/>
          <w:vertAlign w:val="superscript"/>
        </w:rPr>
        <w:t>+</w:t>
      </w:r>
      <w:r w:rsidRPr="00164D69">
        <w:rPr>
          <w:rFonts w:ascii="Book Antiqua" w:hAnsi="Book Antiqua" w:cs="Times New Roman"/>
          <w:sz w:val="24"/>
          <w:szCs w:val="24"/>
        </w:rPr>
        <w:t>, having as yet largely unknown consequences for human disease initiation or progression</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RW.CITE{{77 Singh,K.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107</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 On the other hand, plasticity from Th17 to Treg has not been frequently reported.</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However, a recent study from Yale University, suggests that this can in fact occur in the context of intestinal immune responses. According to their findings, Th17 cells generated during bacterial infection can be converted into IL-10</w:t>
      </w:r>
      <w:r w:rsidRPr="00164D69">
        <w:rPr>
          <w:rFonts w:ascii="Book Antiqua" w:hAnsi="Book Antiqua" w:cs="Times New Roman"/>
          <w:sz w:val="24"/>
          <w:szCs w:val="24"/>
          <w:vertAlign w:val="superscript"/>
        </w:rPr>
        <w:t>high</w:t>
      </w:r>
      <w:r w:rsidRPr="00164D69">
        <w:rPr>
          <w:rFonts w:ascii="Book Antiqua" w:hAnsi="Book Antiqua" w:cs="Times New Roman"/>
          <w:sz w:val="24"/>
          <w:szCs w:val="24"/>
        </w:rPr>
        <w:t>, Foxp3</w:t>
      </w:r>
      <w:r w:rsidRPr="00164D69">
        <w:rPr>
          <w:rFonts w:ascii="Book Antiqua" w:hAnsi="Book Antiqua" w:cs="Times New Roman"/>
          <w:sz w:val="24"/>
          <w:szCs w:val="24"/>
          <w:vertAlign w:val="superscript"/>
        </w:rPr>
        <w:t>lo</w:t>
      </w:r>
      <w:r w:rsidRPr="00164D69">
        <w:rPr>
          <w:rFonts w:ascii="Book Antiqua" w:hAnsi="Book Antiqua" w:cs="Times New Roman"/>
          <w:sz w:val="24"/>
          <w:szCs w:val="24"/>
        </w:rPr>
        <w:t xml:space="preserve"> Tr1-like regulatory T cells.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This was dependent on TGF-β1 and could be enhanced </w:t>
      </w:r>
      <w:r w:rsidR="002822E2" w:rsidRPr="00164D69">
        <w:rPr>
          <w:rFonts w:ascii="Book Antiqua" w:hAnsi="Book Antiqua" w:cs="Times New Roman"/>
          <w:i/>
          <w:sz w:val="24"/>
          <w:szCs w:val="24"/>
        </w:rPr>
        <w:t>in vitro</w:t>
      </w:r>
      <w:r w:rsidRPr="00164D69">
        <w:rPr>
          <w:rFonts w:ascii="Book Antiqua" w:hAnsi="Book Antiqua" w:cs="Times New Roman"/>
          <w:sz w:val="24"/>
          <w:szCs w:val="24"/>
        </w:rPr>
        <w:t xml:space="preserve"> using an AhR ligand, FICZ</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RW.CITE{{73 Gagliani,N. 2015}}</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108</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This suggests that Th17 cells may alter their inflammatory status during infection, thus quenching inflammation and suggests possible avenues </w:t>
      </w:r>
      <w:r w:rsidR="00164D69" w:rsidRPr="00164D69">
        <w:rPr>
          <w:rFonts w:ascii="Book Antiqua" w:hAnsi="Book Antiqua" w:cs="Times New Roman"/>
          <w:i/>
          <w:sz w:val="24"/>
          <w:szCs w:val="24"/>
        </w:rPr>
        <w:t xml:space="preserve">via </w:t>
      </w:r>
      <w:r w:rsidRPr="00164D69">
        <w:rPr>
          <w:rFonts w:ascii="Book Antiqua" w:hAnsi="Book Antiqua" w:cs="Times New Roman"/>
          <w:sz w:val="24"/>
          <w:szCs w:val="24"/>
        </w:rPr>
        <w:t xml:space="preserve"> which this mechanism could be harnessed therapeutically</w:t>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RW.CITE{{73 Gagliani,N. 2015}}</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108</w:t>
      </w:r>
      <w:r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w:t>
      </w:r>
    </w:p>
    <w:p w14:paraId="477CA2A5" w14:textId="6B3DF505" w:rsidR="00A43052" w:rsidRPr="00164D69" w:rsidRDefault="007D38C8" w:rsidP="002822E2">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 xml:space="preserve">The </w:t>
      </w:r>
      <w:r w:rsidR="00A43052" w:rsidRPr="00164D69">
        <w:rPr>
          <w:rFonts w:ascii="Book Antiqua" w:hAnsi="Book Antiqua" w:cs="Times New Roman"/>
          <w:sz w:val="24"/>
          <w:szCs w:val="24"/>
        </w:rPr>
        <w:t xml:space="preserve">Th17-promoting cytokine, IL-23 is known to play an essential role in driving intestinal inflammation. </w:t>
      </w:r>
      <w:r w:rsidRPr="00164D69">
        <w:rPr>
          <w:rFonts w:ascii="Book Antiqua" w:hAnsi="Book Antiqua" w:cs="Times New Roman"/>
          <w:sz w:val="24"/>
          <w:szCs w:val="24"/>
        </w:rPr>
        <w:t>T</w:t>
      </w:r>
      <w:r w:rsidR="00A43052" w:rsidRPr="00164D69">
        <w:rPr>
          <w:rFonts w:ascii="Book Antiqua" w:hAnsi="Book Antiqua" w:cs="Times New Roman"/>
          <w:sz w:val="24"/>
          <w:szCs w:val="24"/>
        </w:rPr>
        <w:t xml:space="preserve">his cytokine also plays an inhibitor role in augmentation of </w:t>
      </w:r>
      <w:r w:rsidR="00A43052" w:rsidRPr="00164D69">
        <w:rPr>
          <w:rFonts w:ascii="Book Antiqua" w:hAnsi="Book Antiqua" w:cs="Times New Roman"/>
          <w:sz w:val="24"/>
          <w:szCs w:val="24"/>
        </w:rPr>
        <w:lastRenderedPageBreak/>
        <w:t>intestinal iTreg generation</w:t>
      </w:r>
      <w:r w:rsidR="001D3D7B"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fldChar w:fldCharType="begin"/>
      </w:r>
      <w:r w:rsidR="00A43052" w:rsidRPr="00164D69">
        <w:rPr>
          <w:rFonts w:ascii="Book Antiqua" w:hAnsi="Book Antiqua" w:cs="Times New Roman"/>
          <w:sz w:val="24"/>
          <w:szCs w:val="24"/>
        </w:rPr>
        <w:instrText>ADDIN RW.CITE{{70 Barnes,M.J. 2009}}</w:instrText>
      </w:r>
      <w:r w:rsidR="00A43052" w:rsidRPr="00164D69">
        <w:rPr>
          <w:rFonts w:ascii="Book Antiqua" w:hAnsi="Book Antiqua" w:cs="Times New Roman"/>
          <w:sz w:val="24"/>
          <w:szCs w:val="24"/>
        </w:rPr>
        <w:fldChar w:fldCharType="separate"/>
      </w:r>
      <w:r w:rsidR="00A43052" w:rsidRPr="00164D69">
        <w:rPr>
          <w:rFonts w:ascii="Book Antiqua" w:hAnsi="Book Antiqua" w:cs="Times New Roman"/>
          <w:sz w:val="24"/>
          <w:szCs w:val="24"/>
          <w:vertAlign w:val="superscript"/>
        </w:rPr>
        <w:t>109</w:t>
      </w:r>
      <w:r w:rsidR="00A43052"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t>. Furthermore, IL-23 together with IL-12 signalling promotes IFN-γ secretion from Th17 in intestine, leading Th17/Th1 plasticity</w:t>
      </w:r>
      <w:r w:rsidR="001D3D7B"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fldChar w:fldCharType="begin"/>
      </w:r>
      <w:r w:rsidR="00A43052" w:rsidRPr="00164D69">
        <w:rPr>
          <w:rFonts w:ascii="Book Antiqua" w:hAnsi="Book Antiqua" w:cs="Times New Roman"/>
          <w:sz w:val="24"/>
          <w:szCs w:val="24"/>
        </w:rPr>
        <w:instrText>ADDIN RW.CITE{{71 Morrison,P.J. 2011}}</w:instrText>
      </w:r>
      <w:r w:rsidR="00A43052" w:rsidRPr="00164D69">
        <w:rPr>
          <w:rFonts w:ascii="Book Antiqua" w:hAnsi="Book Antiqua" w:cs="Times New Roman"/>
          <w:sz w:val="24"/>
          <w:szCs w:val="24"/>
        </w:rPr>
        <w:fldChar w:fldCharType="separate"/>
      </w:r>
      <w:r w:rsidR="00A43052" w:rsidRPr="00164D69">
        <w:rPr>
          <w:rFonts w:ascii="Book Antiqua" w:hAnsi="Book Antiqua" w:cs="Times New Roman"/>
          <w:sz w:val="24"/>
          <w:szCs w:val="24"/>
          <w:vertAlign w:val="superscript"/>
        </w:rPr>
        <w:t>110</w:t>
      </w:r>
      <w:r w:rsidR="00A43052" w:rsidRPr="00164D69">
        <w:rPr>
          <w:rFonts w:ascii="Book Antiqua" w:hAnsi="Book Antiqua" w:cs="Times New Roman"/>
          <w:sz w:val="24"/>
          <w:szCs w:val="24"/>
        </w:rPr>
        <w:fldChar w:fldCharType="end"/>
      </w:r>
      <w:r w:rsidR="001D3D7B" w:rsidRPr="00164D69">
        <w:rPr>
          <w:rFonts w:ascii="Book Antiqua" w:hAnsi="Book Antiqua" w:cs="Times New Roman"/>
          <w:sz w:val="24"/>
          <w:szCs w:val="24"/>
          <w:vertAlign w:val="superscript"/>
        </w:rPr>
        <w:t>]</w:t>
      </w:r>
      <w:r w:rsidR="00A43052" w:rsidRPr="00164D69">
        <w:rPr>
          <w:rFonts w:ascii="Book Antiqua" w:hAnsi="Book Antiqua" w:cs="Times New Roman"/>
          <w:sz w:val="24"/>
          <w:szCs w:val="24"/>
        </w:rPr>
        <w:t xml:space="preserve">. IL-23 signalling pathway is considered as a plasticity initiator in regard of Th17 subset </w:t>
      </w:r>
      <w:r w:rsidR="00164D69" w:rsidRPr="00164D69">
        <w:rPr>
          <w:rFonts w:ascii="Book Antiqua" w:hAnsi="Book Antiqua" w:cs="Times New Roman"/>
          <w:i/>
          <w:sz w:val="24"/>
          <w:szCs w:val="24"/>
        </w:rPr>
        <w:t xml:space="preserve">via </w:t>
      </w:r>
      <w:r w:rsidR="00A43052" w:rsidRPr="00164D69">
        <w:rPr>
          <w:rFonts w:ascii="Book Antiqua" w:hAnsi="Book Antiqua" w:cs="Times New Roman"/>
          <w:sz w:val="24"/>
          <w:szCs w:val="24"/>
        </w:rPr>
        <w:t xml:space="preserve"> decreasing Foxp3 expression and assisting increased IFN-γ secretion.</w:t>
      </w:r>
      <w:r w:rsidR="00164D69" w:rsidRPr="00164D69">
        <w:rPr>
          <w:rFonts w:ascii="Book Antiqua" w:hAnsi="Book Antiqua" w:cs="Times New Roman"/>
          <w:sz w:val="24"/>
          <w:szCs w:val="24"/>
        </w:rPr>
        <w:t xml:space="preserve"> </w:t>
      </w:r>
    </w:p>
    <w:p w14:paraId="13787C18" w14:textId="7932197F" w:rsidR="00A43052" w:rsidRPr="00164D69" w:rsidRDefault="00A43052" w:rsidP="002822E2">
      <w:pPr>
        <w:adjustRightInd w:val="0"/>
        <w:snapToGrid w:val="0"/>
        <w:spacing w:after="0" w:line="360" w:lineRule="auto"/>
        <w:ind w:firstLineChars="100" w:firstLine="240"/>
        <w:jc w:val="both"/>
        <w:rPr>
          <w:rFonts w:ascii="Book Antiqua" w:hAnsi="Book Antiqua" w:cs="Times New Roman"/>
          <w:sz w:val="24"/>
          <w:szCs w:val="24"/>
        </w:rPr>
      </w:pPr>
      <w:r w:rsidRPr="00164D69">
        <w:rPr>
          <w:rFonts w:ascii="Book Antiqua" w:hAnsi="Book Antiqua" w:cs="Times New Roman"/>
          <w:sz w:val="24"/>
          <w:szCs w:val="24"/>
        </w:rPr>
        <w:t xml:space="preserve">In 2011, a hallmark study of Hovhannisyan </w:t>
      </w:r>
      <w:r w:rsidR="002822E2" w:rsidRPr="00164D69">
        <w:rPr>
          <w:rFonts w:ascii="Book Antiqua" w:eastAsia="宋体" w:hAnsi="Book Antiqua" w:cs="Times New Roman" w:hint="eastAsia"/>
          <w:i/>
          <w:sz w:val="24"/>
          <w:szCs w:val="24"/>
          <w:lang w:eastAsia="zh-CN"/>
        </w:rPr>
        <w:t>et al</w:t>
      </w:r>
      <w:r w:rsidR="002822E2" w:rsidRPr="00164D69">
        <w:rPr>
          <w:rFonts w:ascii="Book Antiqua" w:hAnsi="Book Antiqua" w:cs="Times New Roman"/>
          <w:sz w:val="24"/>
          <w:szCs w:val="24"/>
          <w:vertAlign w:val="superscript"/>
        </w:rPr>
        <w:t>[</w:t>
      </w:r>
      <w:r w:rsidR="002822E2" w:rsidRPr="00164D69">
        <w:rPr>
          <w:rFonts w:ascii="Book Antiqua" w:hAnsi="Book Antiqua" w:cs="Times New Roman"/>
          <w:sz w:val="24"/>
          <w:szCs w:val="24"/>
        </w:rPr>
        <w:fldChar w:fldCharType="begin"/>
      </w:r>
      <w:r w:rsidR="002822E2" w:rsidRPr="00164D69">
        <w:rPr>
          <w:rFonts w:ascii="Book Antiqua" w:hAnsi="Book Antiqua" w:cs="Times New Roman"/>
          <w:sz w:val="24"/>
          <w:szCs w:val="24"/>
        </w:rPr>
        <w:instrText>ADDIN RW.CITE{{72 Hovhannisyan,Z. 2011}}</w:instrText>
      </w:r>
      <w:r w:rsidR="002822E2" w:rsidRPr="00164D69">
        <w:rPr>
          <w:rFonts w:ascii="Book Antiqua" w:hAnsi="Book Antiqua" w:cs="Times New Roman"/>
          <w:sz w:val="24"/>
          <w:szCs w:val="24"/>
        </w:rPr>
        <w:fldChar w:fldCharType="separate"/>
      </w:r>
      <w:r w:rsidR="002822E2" w:rsidRPr="00164D69">
        <w:rPr>
          <w:rFonts w:ascii="Book Antiqua" w:hAnsi="Book Antiqua" w:cs="Times New Roman"/>
          <w:sz w:val="24"/>
          <w:szCs w:val="24"/>
          <w:vertAlign w:val="superscript"/>
        </w:rPr>
        <w:t>111</w:t>
      </w:r>
      <w:r w:rsidR="002822E2" w:rsidRPr="00164D69">
        <w:rPr>
          <w:rFonts w:ascii="Book Antiqua" w:hAnsi="Book Antiqua" w:cs="Times New Roman"/>
          <w:sz w:val="24"/>
          <w:szCs w:val="24"/>
        </w:rPr>
        <w:fldChar w:fldCharType="end"/>
      </w:r>
      <w:r w:rsidR="002822E2"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showed evidence for Treg/Th17 plasticity in IBD by showing the presence of IL-17 producing, Foxp3 expressing Th cells in inflamed intestinal mucosa from Crohn’s disease patients. Importantly, this population showed suppressor activity </w:t>
      </w:r>
      <w:r w:rsidR="002822E2" w:rsidRPr="00164D69">
        <w:rPr>
          <w:rFonts w:ascii="Book Antiqua" w:hAnsi="Book Antiqua" w:cs="Times New Roman"/>
          <w:i/>
          <w:sz w:val="24"/>
          <w:szCs w:val="24"/>
        </w:rPr>
        <w:t>in vitro</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We have gone on to demonstrate the presence of this unique T cell subset in peripheral blood from IBD patients</w:t>
      </w:r>
      <w:r w:rsidR="005C0220"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RW.CITE{{68 Ueno,A. 2013}}</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60</w:t>
      </w:r>
      <w:r w:rsidRPr="00164D69">
        <w:rPr>
          <w:rFonts w:ascii="Book Antiqua" w:hAnsi="Book Antiqua" w:cs="Times New Roman"/>
          <w:sz w:val="24"/>
          <w:szCs w:val="24"/>
        </w:rPr>
        <w:fldChar w:fldCharType="end"/>
      </w:r>
      <w:r w:rsidR="005C0220"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and have found evidence for several types of plasticity including Treg/Th17, Th1/Th17 and Th22/Th17 within the lamina propria of lesions from IBD patients</w:t>
      </w:r>
      <w:r w:rsidR="005C0220" w:rsidRPr="00164D69">
        <w:rPr>
          <w:rFonts w:ascii="Book Antiqua" w:hAnsi="Book Antiqua" w:cs="Times New Roman"/>
          <w:sz w:val="24"/>
          <w:szCs w:val="24"/>
          <w:vertAlign w:val="superscript"/>
        </w:rPr>
        <w:t>[</w:t>
      </w:r>
      <w:r w:rsidRPr="00164D69">
        <w:rPr>
          <w:rFonts w:ascii="Book Antiqua" w:hAnsi="Book Antiqua" w:cs="Times New Roman"/>
          <w:sz w:val="24"/>
          <w:szCs w:val="24"/>
        </w:rPr>
        <w:fldChar w:fldCharType="begin"/>
      </w:r>
      <w:r w:rsidRPr="00164D69">
        <w:rPr>
          <w:rFonts w:ascii="Book Antiqua" w:hAnsi="Book Antiqua" w:cs="Times New Roman"/>
          <w:sz w:val="24"/>
          <w:szCs w:val="24"/>
        </w:rPr>
        <w:instrText>ADDIN RW.CITE{{36 Li,ji 2015}}</w:instrText>
      </w:r>
      <w:r w:rsidRPr="00164D69">
        <w:rPr>
          <w:rFonts w:ascii="Book Antiqua" w:hAnsi="Book Antiqua" w:cs="Times New Roman"/>
          <w:sz w:val="24"/>
          <w:szCs w:val="24"/>
        </w:rPr>
        <w:fldChar w:fldCharType="separate"/>
      </w:r>
      <w:r w:rsidRPr="00164D69">
        <w:rPr>
          <w:rFonts w:ascii="Book Antiqua" w:hAnsi="Book Antiqua" w:cs="Times New Roman"/>
          <w:sz w:val="24"/>
          <w:szCs w:val="24"/>
          <w:vertAlign w:val="superscript"/>
        </w:rPr>
        <w:t>112</w:t>
      </w:r>
      <w:r w:rsidRPr="00164D69">
        <w:rPr>
          <w:rFonts w:ascii="Book Antiqua" w:hAnsi="Book Antiqua" w:cs="Times New Roman"/>
          <w:sz w:val="24"/>
          <w:szCs w:val="24"/>
        </w:rPr>
        <w:fldChar w:fldCharType="end"/>
      </w:r>
      <w:r w:rsidR="005C0220" w:rsidRPr="00164D69">
        <w:rPr>
          <w:rFonts w:ascii="Book Antiqua" w:hAnsi="Book Antiqua" w:cs="Times New Roman"/>
          <w:sz w:val="24"/>
          <w:szCs w:val="24"/>
          <w:vertAlign w:val="superscript"/>
        </w:rPr>
        <w:t>]</w:t>
      </w:r>
      <w:r w:rsidRPr="00164D69">
        <w:rPr>
          <w:rFonts w:ascii="Book Antiqua" w:hAnsi="Book Antiqua" w:cs="Times New Roman"/>
          <w:sz w:val="24"/>
          <w:szCs w:val="24"/>
        </w:rPr>
        <w:t xml:space="preserve">. </w:t>
      </w:r>
    </w:p>
    <w:p w14:paraId="103D6AA1" w14:textId="77777777" w:rsidR="00A43052" w:rsidRPr="00164D69" w:rsidRDefault="00A43052" w:rsidP="002F6FCA">
      <w:pPr>
        <w:adjustRightInd w:val="0"/>
        <w:snapToGrid w:val="0"/>
        <w:spacing w:after="0" w:line="360" w:lineRule="auto"/>
        <w:ind w:firstLine="720"/>
        <w:jc w:val="both"/>
        <w:rPr>
          <w:rFonts w:ascii="Book Antiqua" w:hAnsi="Book Antiqua" w:cs="Times New Roman"/>
          <w:sz w:val="24"/>
          <w:szCs w:val="24"/>
        </w:rPr>
      </w:pPr>
    </w:p>
    <w:p w14:paraId="1F306806" w14:textId="33A05AC7" w:rsidR="00A43052" w:rsidRPr="00164D69" w:rsidRDefault="002822E2" w:rsidP="002822E2">
      <w:pPr>
        <w:pStyle w:val="a4"/>
        <w:adjustRightInd w:val="0"/>
        <w:snapToGrid w:val="0"/>
        <w:spacing w:after="0" w:line="360" w:lineRule="auto"/>
        <w:ind w:left="0"/>
        <w:contextualSpacing w:val="0"/>
        <w:jc w:val="both"/>
        <w:rPr>
          <w:rFonts w:ascii="Book Antiqua" w:eastAsia="宋体" w:hAnsi="Book Antiqua" w:cs="Times New Roman"/>
          <w:b/>
          <w:sz w:val="24"/>
          <w:szCs w:val="24"/>
          <w:lang w:eastAsia="zh-CN"/>
        </w:rPr>
      </w:pPr>
      <w:r w:rsidRPr="00164D69">
        <w:rPr>
          <w:rFonts w:ascii="Book Antiqua" w:hAnsi="Book Antiqua" w:cs="Times New Roman"/>
          <w:b/>
          <w:sz w:val="24"/>
          <w:szCs w:val="24"/>
        </w:rPr>
        <w:t>CONCLUSION</w:t>
      </w:r>
    </w:p>
    <w:p w14:paraId="1F13773D" w14:textId="4362ABE5" w:rsidR="00A43052" w:rsidRPr="00164D69" w:rsidRDefault="00A43052" w:rsidP="002822E2">
      <w:pPr>
        <w:pStyle w:val="a4"/>
        <w:adjustRightInd w:val="0"/>
        <w:snapToGrid w:val="0"/>
        <w:spacing w:after="0" w:line="360" w:lineRule="auto"/>
        <w:ind w:left="0"/>
        <w:contextualSpacing w:val="0"/>
        <w:jc w:val="both"/>
        <w:rPr>
          <w:rFonts w:ascii="Book Antiqua" w:hAnsi="Book Antiqua" w:cs="Times New Roman"/>
          <w:sz w:val="24"/>
          <w:szCs w:val="24"/>
        </w:rPr>
      </w:pPr>
      <w:r w:rsidRPr="00164D69">
        <w:rPr>
          <w:rFonts w:ascii="Book Antiqua" w:hAnsi="Book Antiqua" w:cs="Times New Roman"/>
          <w:sz w:val="24"/>
          <w:szCs w:val="24"/>
        </w:rPr>
        <w:t>Plasticity between Treg and Th17 likely occurs in the context of dynamic changes in the inflammatory milieu.</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Thus, pro-inflammatory stimuli may promote conversion of immune-suppressive regulatory T cells into pro-inflammatory Th17 cells, while resolution of inflammation may trigger or even require the alternate shift from Th17 to Treg. This concept is just becoming appreciated and requires further study to correlate both cause</w:t>
      </w:r>
      <w:r w:rsidR="007D38C8" w:rsidRPr="00164D69">
        <w:rPr>
          <w:rFonts w:ascii="Book Antiqua" w:hAnsi="Book Antiqua" w:cs="Times New Roman"/>
          <w:sz w:val="24"/>
          <w:szCs w:val="24"/>
        </w:rPr>
        <w:t>s</w:t>
      </w:r>
      <w:r w:rsidRPr="00164D69">
        <w:rPr>
          <w:rFonts w:ascii="Book Antiqua" w:hAnsi="Book Antiqua" w:cs="Times New Roman"/>
          <w:sz w:val="24"/>
          <w:szCs w:val="24"/>
        </w:rPr>
        <w:t xml:space="preserve"> and outcome</w:t>
      </w:r>
      <w:r w:rsidR="007D38C8" w:rsidRPr="00164D69">
        <w:rPr>
          <w:rFonts w:ascii="Book Antiqua" w:hAnsi="Book Antiqua" w:cs="Times New Roman"/>
          <w:sz w:val="24"/>
          <w:szCs w:val="24"/>
        </w:rPr>
        <w:t>s</w:t>
      </w:r>
      <w:r w:rsidRPr="00164D69">
        <w:rPr>
          <w:rFonts w:ascii="Book Antiqua" w:hAnsi="Book Antiqua" w:cs="Times New Roman"/>
          <w:sz w:val="24"/>
          <w:szCs w:val="24"/>
        </w:rPr>
        <w:t>.</w:t>
      </w:r>
      <w:r w:rsidR="00164D69" w:rsidRPr="00164D69">
        <w:rPr>
          <w:rFonts w:ascii="Book Antiqua" w:hAnsi="Book Antiqua" w:cs="Times New Roman"/>
          <w:sz w:val="24"/>
          <w:szCs w:val="24"/>
        </w:rPr>
        <w:t xml:space="preserve"> </w:t>
      </w:r>
      <w:r w:rsidRPr="00164D69">
        <w:rPr>
          <w:rFonts w:ascii="Book Antiqua" w:hAnsi="Book Antiqua" w:cs="Times New Roman"/>
          <w:bCs/>
          <w:sz w:val="24"/>
          <w:szCs w:val="24"/>
          <w:shd w:val="clear" w:color="auto" w:fill="FFFFFF"/>
        </w:rPr>
        <w:t>Targeting plasticity may offer avenues to pharmacologically restore the Th17/Treg balance in the intestine for therapeutic benefit</w:t>
      </w:r>
      <w:r w:rsidR="005C0220" w:rsidRPr="00164D69">
        <w:rPr>
          <w:rFonts w:ascii="Book Antiqua" w:hAnsi="Book Antiqua" w:cs="Times New Roman"/>
          <w:bCs/>
          <w:sz w:val="24"/>
          <w:szCs w:val="24"/>
          <w:shd w:val="clear" w:color="auto" w:fill="FFFFFF"/>
          <w:vertAlign w:val="superscript"/>
        </w:rPr>
        <w:t>[</w:t>
      </w:r>
      <w:r w:rsidRPr="00164D69">
        <w:rPr>
          <w:rFonts w:ascii="Book Antiqua" w:hAnsi="Book Antiqua" w:cs="Times New Roman"/>
          <w:bCs/>
          <w:sz w:val="24"/>
          <w:szCs w:val="24"/>
          <w:shd w:val="clear" w:color="auto" w:fill="FFFFFF"/>
        </w:rPr>
        <w:fldChar w:fldCharType="begin"/>
      </w:r>
      <w:r w:rsidRPr="00164D69">
        <w:rPr>
          <w:rFonts w:ascii="Book Antiqua" w:hAnsi="Book Antiqua" w:cs="Times New Roman"/>
          <w:bCs/>
          <w:sz w:val="24"/>
          <w:szCs w:val="24"/>
          <w:shd w:val="clear" w:color="auto" w:fill="FFFFFF"/>
        </w:rPr>
        <w:instrText>ADDIN RW.CITE{{78 Eisenstein,E.M. 2009}}</w:instrText>
      </w:r>
      <w:r w:rsidRPr="00164D69">
        <w:rPr>
          <w:rFonts w:ascii="Book Antiqua" w:hAnsi="Book Antiqua" w:cs="Times New Roman"/>
          <w:bCs/>
          <w:sz w:val="24"/>
          <w:szCs w:val="24"/>
          <w:shd w:val="clear" w:color="auto" w:fill="FFFFFF"/>
        </w:rPr>
        <w:fldChar w:fldCharType="separate"/>
      </w:r>
      <w:r w:rsidRPr="00164D69">
        <w:rPr>
          <w:rFonts w:ascii="Book Antiqua" w:hAnsi="Book Antiqua" w:cs="Times New Roman"/>
          <w:bCs/>
          <w:sz w:val="24"/>
          <w:szCs w:val="24"/>
          <w:shd w:val="clear" w:color="auto" w:fill="FFFFFF"/>
          <w:vertAlign w:val="superscript"/>
        </w:rPr>
        <w:t>113</w:t>
      </w:r>
      <w:r w:rsidRPr="00164D69">
        <w:rPr>
          <w:rFonts w:ascii="Book Antiqua" w:hAnsi="Book Antiqua" w:cs="Times New Roman"/>
          <w:bCs/>
          <w:sz w:val="24"/>
          <w:szCs w:val="24"/>
          <w:shd w:val="clear" w:color="auto" w:fill="FFFFFF"/>
        </w:rPr>
        <w:fldChar w:fldCharType="end"/>
      </w:r>
      <w:r w:rsidR="005C0220" w:rsidRPr="00164D69">
        <w:rPr>
          <w:rFonts w:ascii="Book Antiqua" w:hAnsi="Book Antiqua" w:cs="Times New Roman"/>
          <w:bCs/>
          <w:sz w:val="24"/>
          <w:szCs w:val="24"/>
          <w:shd w:val="clear" w:color="auto" w:fill="FFFFFF"/>
          <w:vertAlign w:val="superscript"/>
        </w:rPr>
        <w:t>]</w:t>
      </w:r>
      <w:r w:rsidRPr="00164D69">
        <w:rPr>
          <w:rFonts w:ascii="Book Antiqua" w:hAnsi="Book Antiqua" w:cs="Times New Roman"/>
          <w:bCs/>
          <w:sz w:val="24"/>
          <w:szCs w:val="24"/>
          <w:shd w:val="clear" w:color="auto" w:fill="FFFFFF"/>
        </w:rPr>
        <w:t>.</w:t>
      </w:r>
      <w:r w:rsidR="00164D69" w:rsidRPr="00164D69">
        <w:rPr>
          <w:rFonts w:ascii="Book Antiqua" w:hAnsi="Book Antiqua" w:cs="Times New Roman"/>
          <w:bCs/>
          <w:sz w:val="24"/>
          <w:szCs w:val="24"/>
          <w:shd w:val="clear" w:color="auto" w:fill="FFFFFF"/>
        </w:rPr>
        <w:t xml:space="preserve"> </w:t>
      </w:r>
      <w:r w:rsidRPr="00164D69">
        <w:rPr>
          <w:rFonts w:ascii="Book Antiqua" w:hAnsi="Book Antiqua" w:cs="Times New Roman"/>
          <w:bCs/>
          <w:sz w:val="24"/>
          <w:szCs w:val="24"/>
          <w:shd w:val="clear" w:color="auto" w:fill="FFFFFF"/>
        </w:rPr>
        <w:t>In addition, targeting plasticity may help improve upon future therapies.</w:t>
      </w:r>
      <w:r w:rsidR="00164D69" w:rsidRPr="00164D69">
        <w:rPr>
          <w:rFonts w:ascii="Book Antiqua" w:hAnsi="Book Antiqua" w:cs="Times New Roman"/>
          <w:bCs/>
          <w:sz w:val="24"/>
          <w:szCs w:val="24"/>
          <w:shd w:val="clear" w:color="auto" w:fill="FFFFFF"/>
        </w:rPr>
        <w:t xml:space="preserve"> </w:t>
      </w:r>
      <w:r w:rsidRPr="00164D69">
        <w:rPr>
          <w:rFonts w:ascii="Book Antiqua" w:hAnsi="Book Antiqua" w:cs="Times New Roman"/>
          <w:bCs/>
          <w:sz w:val="24"/>
          <w:szCs w:val="24"/>
          <w:shd w:val="clear" w:color="auto" w:fill="FFFFFF"/>
        </w:rPr>
        <w:t>Clinical trials of Treg therapy of Crohn’s disease failed</w:t>
      </w:r>
      <w:r w:rsidR="005C0220" w:rsidRPr="00164D69">
        <w:rPr>
          <w:rFonts w:ascii="Book Antiqua" w:hAnsi="Book Antiqua" w:cs="Times New Roman"/>
          <w:bCs/>
          <w:sz w:val="24"/>
          <w:szCs w:val="24"/>
          <w:shd w:val="clear" w:color="auto" w:fill="FFFFFF"/>
          <w:vertAlign w:val="superscript"/>
        </w:rPr>
        <w:t>[</w:t>
      </w:r>
      <w:r w:rsidRPr="00164D69">
        <w:rPr>
          <w:rFonts w:ascii="Book Antiqua" w:hAnsi="Book Antiqua" w:cs="Times New Roman"/>
          <w:bCs/>
          <w:sz w:val="24"/>
          <w:szCs w:val="24"/>
          <w:shd w:val="clear" w:color="auto" w:fill="FFFFFF"/>
        </w:rPr>
        <w:fldChar w:fldCharType="begin"/>
      </w:r>
      <w:r w:rsidRPr="00164D69">
        <w:rPr>
          <w:rFonts w:ascii="Book Antiqua" w:hAnsi="Book Antiqua" w:cs="Times New Roman"/>
          <w:bCs/>
          <w:sz w:val="24"/>
          <w:szCs w:val="24"/>
          <w:shd w:val="clear" w:color="auto" w:fill="FFFFFF"/>
        </w:rPr>
        <w:instrText>ADDIN RW.CITE{{79 Desreumaux,P. 2012}}</w:instrText>
      </w:r>
      <w:r w:rsidRPr="00164D69">
        <w:rPr>
          <w:rFonts w:ascii="Book Antiqua" w:hAnsi="Book Antiqua" w:cs="Times New Roman"/>
          <w:bCs/>
          <w:sz w:val="24"/>
          <w:szCs w:val="24"/>
          <w:shd w:val="clear" w:color="auto" w:fill="FFFFFF"/>
        </w:rPr>
        <w:fldChar w:fldCharType="separate"/>
      </w:r>
      <w:r w:rsidRPr="00164D69">
        <w:rPr>
          <w:rFonts w:ascii="Book Antiqua" w:hAnsi="Book Antiqua" w:cs="Times New Roman"/>
          <w:bCs/>
          <w:sz w:val="24"/>
          <w:szCs w:val="24"/>
          <w:shd w:val="clear" w:color="auto" w:fill="FFFFFF"/>
          <w:vertAlign w:val="superscript"/>
        </w:rPr>
        <w:t>114</w:t>
      </w:r>
      <w:r w:rsidRPr="00164D69">
        <w:rPr>
          <w:rFonts w:ascii="Book Antiqua" w:hAnsi="Book Antiqua" w:cs="Times New Roman"/>
          <w:bCs/>
          <w:sz w:val="24"/>
          <w:szCs w:val="24"/>
          <w:shd w:val="clear" w:color="auto" w:fill="FFFFFF"/>
        </w:rPr>
        <w:fldChar w:fldCharType="end"/>
      </w:r>
      <w:r w:rsidR="005C0220" w:rsidRPr="00164D69">
        <w:rPr>
          <w:rFonts w:ascii="Book Antiqua" w:hAnsi="Book Antiqua" w:cs="Times New Roman"/>
          <w:bCs/>
          <w:sz w:val="24"/>
          <w:szCs w:val="24"/>
          <w:shd w:val="clear" w:color="auto" w:fill="FFFFFF"/>
          <w:vertAlign w:val="superscript"/>
        </w:rPr>
        <w:t>]</w:t>
      </w:r>
      <w:r w:rsidRPr="00164D69">
        <w:rPr>
          <w:rFonts w:ascii="Book Antiqua" w:hAnsi="Book Antiqua" w:cs="Times New Roman"/>
          <w:bCs/>
          <w:sz w:val="24"/>
          <w:szCs w:val="24"/>
          <w:shd w:val="clear" w:color="auto" w:fill="FFFFFF"/>
        </w:rPr>
        <w:t xml:space="preserve"> perhaps in part due to Treg instability.</w:t>
      </w:r>
      <w:r w:rsidR="00164D69" w:rsidRPr="00164D69">
        <w:rPr>
          <w:rFonts w:ascii="Book Antiqua" w:hAnsi="Book Antiqua" w:cs="Times New Roman"/>
          <w:bCs/>
          <w:sz w:val="24"/>
          <w:szCs w:val="24"/>
          <w:shd w:val="clear" w:color="auto" w:fill="FFFFFF"/>
        </w:rPr>
        <w:t xml:space="preserve"> </w:t>
      </w:r>
      <w:r w:rsidRPr="00164D69">
        <w:rPr>
          <w:rFonts w:ascii="Book Antiqua" w:hAnsi="Book Antiqua" w:cs="Times New Roman"/>
          <w:bCs/>
          <w:sz w:val="24"/>
          <w:szCs w:val="24"/>
          <w:shd w:val="clear" w:color="auto" w:fill="FFFFFF"/>
        </w:rPr>
        <w:t>Further understanding of Treg plasticity may help to augment Treg therapy in the future.</w:t>
      </w:r>
      <w:r w:rsidRPr="00164D69">
        <w:rPr>
          <w:rFonts w:ascii="Book Antiqua" w:hAnsi="Book Antiqua" w:cs="Times New Roman"/>
          <w:sz w:val="24"/>
          <w:szCs w:val="24"/>
        </w:rPr>
        <w:t xml:space="preserve"> </w:t>
      </w:r>
    </w:p>
    <w:p w14:paraId="48D21675" w14:textId="3C518F86" w:rsidR="00A43052" w:rsidRPr="00164D69" w:rsidRDefault="00A43052" w:rsidP="002822E2">
      <w:pPr>
        <w:pStyle w:val="a4"/>
        <w:adjustRightInd w:val="0"/>
        <w:snapToGrid w:val="0"/>
        <w:spacing w:after="0" w:line="360" w:lineRule="auto"/>
        <w:ind w:left="0" w:firstLineChars="100" w:firstLine="240"/>
        <w:contextualSpacing w:val="0"/>
        <w:jc w:val="both"/>
        <w:rPr>
          <w:rFonts w:ascii="Book Antiqua" w:hAnsi="Book Antiqua" w:cs="Times New Roman"/>
          <w:sz w:val="24"/>
          <w:szCs w:val="24"/>
        </w:rPr>
      </w:pPr>
      <w:r w:rsidRPr="00164D69">
        <w:rPr>
          <w:rFonts w:ascii="Book Antiqua" w:hAnsi="Book Antiqua" w:cs="Times New Roman"/>
          <w:sz w:val="24"/>
          <w:szCs w:val="24"/>
        </w:rPr>
        <w:t xml:space="preserve">Many studies have </w:t>
      </w:r>
      <w:r w:rsidR="007D38C8" w:rsidRPr="00164D69">
        <w:rPr>
          <w:rFonts w:ascii="Book Antiqua" w:hAnsi="Book Antiqua" w:cs="Times New Roman"/>
          <w:sz w:val="24"/>
          <w:szCs w:val="24"/>
        </w:rPr>
        <w:t xml:space="preserve">implicitly </w:t>
      </w:r>
      <w:r w:rsidRPr="00164D69">
        <w:rPr>
          <w:rFonts w:ascii="Book Antiqua" w:hAnsi="Book Antiqua" w:cs="Times New Roman"/>
          <w:sz w:val="24"/>
          <w:szCs w:val="24"/>
        </w:rPr>
        <w:t>suggested the possibility of plasticity during their experiments and observation of inflammatory processes.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It is clear however that several pathways give rise to </w:t>
      </w:r>
      <w:r w:rsidR="007D38C8" w:rsidRPr="00164D69">
        <w:rPr>
          <w:rFonts w:ascii="Book Antiqua" w:hAnsi="Book Antiqua" w:cs="Times New Roman"/>
          <w:sz w:val="24"/>
          <w:szCs w:val="24"/>
        </w:rPr>
        <w:t xml:space="preserve">the </w:t>
      </w:r>
      <w:r w:rsidRPr="00164D69">
        <w:rPr>
          <w:rFonts w:ascii="Book Antiqua" w:hAnsi="Book Antiqua" w:cs="Times New Roman"/>
          <w:sz w:val="24"/>
          <w:szCs w:val="24"/>
        </w:rPr>
        <w:t>heterogeneous populations referred to as Th17 and Treg in the intestine.</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The field is in part limited due to constraints inherent to the techniques used to analyse these cells.</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Most investigators rely upon multi</w:t>
      </w:r>
      <w:r w:rsidR="007D38C8" w:rsidRPr="00164D69">
        <w:rPr>
          <w:rFonts w:ascii="Book Antiqua" w:hAnsi="Book Antiqua" w:cs="Times New Roman"/>
          <w:sz w:val="24"/>
          <w:szCs w:val="24"/>
        </w:rPr>
        <w:t>color</w:t>
      </w:r>
      <w:r w:rsidRPr="00164D69">
        <w:rPr>
          <w:rFonts w:ascii="Book Antiqua" w:hAnsi="Book Antiqua" w:cs="Times New Roman"/>
          <w:sz w:val="24"/>
          <w:szCs w:val="24"/>
        </w:rPr>
        <w:t xml:space="preserve"> flow cytometry, requiring the precise selection of surface and intracellular markers</w:t>
      </w:r>
      <w:r w:rsidR="00787BE0" w:rsidRPr="00164D69">
        <w:rPr>
          <w:rFonts w:ascii="Book Antiqua" w:hAnsi="Book Antiqua" w:cs="Times New Roman"/>
          <w:sz w:val="24"/>
          <w:szCs w:val="24"/>
        </w:rPr>
        <w:t xml:space="preserve"> and </w:t>
      </w:r>
      <w:r w:rsidRPr="00164D69">
        <w:rPr>
          <w:rFonts w:ascii="Book Antiqua" w:hAnsi="Book Antiqua" w:cs="Times New Roman"/>
          <w:sz w:val="24"/>
          <w:szCs w:val="24"/>
        </w:rPr>
        <w:lastRenderedPageBreak/>
        <w:t>setting of conditions and controls in order to provid</w:t>
      </w:r>
      <w:r w:rsidR="00787BE0" w:rsidRPr="00164D69">
        <w:rPr>
          <w:rFonts w:ascii="Book Antiqua" w:hAnsi="Book Antiqua" w:cs="Times New Roman"/>
          <w:sz w:val="24"/>
          <w:szCs w:val="24"/>
        </w:rPr>
        <w:t xml:space="preserve">e </w:t>
      </w:r>
      <w:r w:rsidRPr="00164D69">
        <w:rPr>
          <w:rFonts w:ascii="Book Antiqua" w:hAnsi="Book Antiqua" w:cs="Times New Roman"/>
          <w:sz w:val="24"/>
          <w:szCs w:val="24"/>
        </w:rPr>
        <w:t>limited functional and expression data.</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New technologies look to overcome th</w:t>
      </w:r>
      <w:r w:rsidR="00787BE0" w:rsidRPr="00164D69">
        <w:rPr>
          <w:rFonts w:ascii="Book Antiqua" w:hAnsi="Book Antiqua" w:cs="Times New Roman"/>
          <w:sz w:val="24"/>
          <w:szCs w:val="24"/>
        </w:rPr>
        <w:t>ese</w:t>
      </w:r>
      <w:r w:rsidRPr="00164D69">
        <w:rPr>
          <w:rFonts w:ascii="Book Antiqua" w:hAnsi="Book Antiqua" w:cs="Times New Roman"/>
          <w:sz w:val="24"/>
          <w:szCs w:val="24"/>
        </w:rPr>
        <w:t xml:space="preserve"> technical issues as well as to enhance the depth of analysis</w:t>
      </w:r>
      <w:r w:rsidR="00787BE0" w:rsidRPr="00164D69">
        <w:rPr>
          <w:rFonts w:ascii="Book Antiqua" w:hAnsi="Book Antiqua" w:cs="Times New Roman"/>
          <w:sz w:val="24"/>
          <w:szCs w:val="24"/>
        </w:rPr>
        <w:t>.</w:t>
      </w:r>
      <w:r w:rsidRPr="00164D69">
        <w:rPr>
          <w:rFonts w:ascii="Book Antiqua" w:hAnsi="Book Antiqua" w:cs="Times New Roman"/>
          <w:sz w:val="24"/>
          <w:szCs w:val="24"/>
        </w:rPr>
        <w:t xml:space="preserve"> </w:t>
      </w:r>
      <w:r w:rsidR="00787BE0" w:rsidRPr="00164D69">
        <w:rPr>
          <w:rFonts w:ascii="Book Antiqua" w:hAnsi="Book Antiqua" w:cs="Times New Roman"/>
          <w:sz w:val="24"/>
          <w:szCs w:val="24"/>
        </w:rPr>
        <w:t>Examples include</w:t>
      </w:r>
      <w:r w:rsidRPr="00164D69">
        <w:rPr>
          <w:rFonts w:ascii="Book Antiqua" w:hAnsi="Book Antiqua" w:cs="Times New Roman"/>
          <w:sz w:val="24"/>
          <w:szCs w:val="24"/>
        </w:rPr>
        <w:t xml:space="preserve"> deep immune-phenotyping using CYTOF 2 mass spectrometry which allows the analysis of over 100 parameters at the single cell level without dealing with spectral overlap, alone or in combination with single cell transcriptomics.</w:t>
      </w:r>
    </w:p>
    <w:p w14:paraId="3EB4624B" w14:textId="19A643EB" w:rsidR="00A43052" w:rsidRPr="00164D69" w:rsidRDefault="00A43052" w:rsidP="002822E2">
      <w:pPr>
        <w:adjustRightInd w:val="0"/>
        <w:snapToGrid w:val="0"/>
        <w:spacing w:after="0" w:line="360" w:lineRule="auto"/>
        <w:ind w:firstLineChars="100" w:firstLine="240"/>
        <w:jc w:val="both"/>
        <w:rPr>
          <w:rFonts w:ascii="Book Antiqua" w:hAnsi="Book Antiqua" w:cs="Times New Roman"/>
          <w:bCs/>
          <w:sz w:val="24"/>
          <w:szCs w:val="24"/>
          <w:shd w:val="clear" w:color="auto" w:fill="FFFFFF"/>
        </w:rPr>
      </w:pPr>
      <w:r w:rsidRPr="00164D69">
        <w:rPr>
          <w:rFonts w:ascii="Book Antiqua" w:hAnsi="Book Antiqua" w:cs="Times New Roman"/>
          <w:sz w:val="24"/>
          <w:szCs w:val="24"/>
        </w:rPr>
        <w:t>To conclude</w:t>
      </w:r>
      <w:r w:rsidR="00787BE0" w:rsidRPr="00164D69">
        <w:rPr>
          <w:rFonts w:ascii="Book Antiqua" w:hAnsi="Book Antiqua" w:cs="Times New Roman"/>
          <w:sz w:val="24"/>
          <w:szCs w:val="24"/>
        </w:rPr>
        <w:t>,</w:t>
      </w:r>
      <w:r w:rsidRPr="00164D69">
        <w:rPr>
          <w:rFonts w:ascii="Book Antiqua" w:hAnsi="Book Antiqua" w:cs="Times New Roman"/>
          <w:sz w:val="24"/>
          <w:szCs w:val="24"/>
        </w:rPr>
        <w:t xml:space="preserve"> unravelling the complexity that underlies plasticity between Th17 and Treg </w:t>
      </w:r>
      <w:r w:rsidR="00787BE0" w:rsidRPr="00164D69">
        <w:rPr>
          <w:rFonts w:ascii="Book Antiqua" w:hAnsi="Book Antiqua" w:cs="Times New Roman"/>
          <w:sz w:val="24"/>
          <w:szCs w:val="24"/>
        </w:rPr>
        <w:t xml:space="preserve">cells </w:t>
      </w:r>
      <w:r w:rsidRPr="00164D69">
        <w:rPr>
          <w:rFonts w:ascii="Book Antiqua" w:hAnsi="Book Antiqua" w:cs="Times New Roman"/>
          <w:sz w:val="24"/>
          <w:szCs w:val="24"/>
        </w:rPr>
        <w:t>may be key to understanding the intricate pathogenesis of T cell-mediated immune disorders, such as IBD.</w:t>
      </w:r>
      <w:r w:rsidR="00164D69" w:rsidRPr="00164D69">
        <w:rPr>
          <w:rFonts w:ascii="Book Antiqua" w:hAnsi="Book Antiqua" w:cs="Times New Roman"/>
          <w:sz w:val="24"/>
          <w:szCs w:val="24"/>
        </w:rPr>
        <w:t xml:space="preserve"> </w:t>
      </w:r>
      <w:r w:rsidRPr="00164D69">
        <w:rPr>
          <w:rFonts w:ascii="Book Antiqua" w:hAnsi="Book Antiqua" w:cs="Times New Roman"/>
          <w:sz w:val="24"/>
          <w:szCs w:val="24"/>
        </w:rPr>
        <w:t xml:space="preserve">However, novel approaches and their application to human IBD will be required to reach this objective. </w:t>
      </w:r>
    </w:p>
    <w:p w14:paraId="292B9E48" w14:textId="77777777" w:rsidR="00A43052" w:rsidRPr="00164D69" w:rsidRDefault="00A43052" w:rsidP="002F6FCA">
      <w:pPr>
        <w:pStyle w:val="a4"/>
        <w:adjustRightInd w:val="0"/>
        <w:snapToGrid w:val="0"/>
        <w:spacing w:after="0" w:line="360" w:lineRule="auto"/>
        <w:ind w:left="0" w:firstLine="709"/>
        <w:contextualSpacing w:val="0"/>
        <w:jc w:val="both"/>
        <w:rPr>
          <w:rFonts w:ascii="Book Antiqua" w:hAnsi="Book Antiqua" w:cs="Times New Roman"/>
          <w:sz w:val="24"/>
          <w:szCs w:val="24"/>
        </w:rPr>
      </w:pPr>
    </w:p>
    <w:p w14:paraId="0963EB21" w14:textId="77777777" w:rsidR="00A43052" w:rsidRPr="00164D69" w:rsidRDefault="00A43052" w:rsidP="002F6FCA">
      <w:pPr>
        <w:adjustRightInd w:val="0"/>
        <w:snapToGrid w:val="0"/>
        <w:spacing w:after="0" w:line="360" w:lineRule="auto"/>
        <w:jc w:val="both"/>
        <w:rPr>
          <w:rFonts w:ascii="Book Antiqua" w:hAnsi="Book Antiqua"/>
          <w:sz w:val="24"/>
          <w:szCs w:val="24"/>
          <w:lang w:val="en-US"/>
        </w:rPr>
      </w:pPr>
    </w:p>
    <w:p w14:paraId="59400297" w14:textId="77777777" w:rsidR="00A43052" w:rsidRPr="00164D69" w:rsidRDefault="00A43052" w:rsidP="002F6FCA">
      <w:pPr>
        <w:adjustRightInd w:val="0"/>
        <w:snapToGrid w:val="0"/>
        <w:spacing w:after="0" w:line="360" w:lineRule="auto"/>
        <w:jc w:val="both"/>
        <w:rPr>
          <w:rFonts w:ascii="Book Antiqua" w:hAnsi="Book Antiqua"/>
          <w:sz w:val="24"/>
          <w:szCs w:val="24"/>
          <w:lang w:val="en-US"/>
        </w:rPr>
      </w:pPr>
      <w:r w:rsidRPr="00164D69">
        <w:rPr>
          <w:rFonts w:ascii="Book Antiqua" w:hAnsi="Book Antiqua"/>
          <w:sz w:val="24"/>
          <w:szCs w:val="24"/>
          <w:lang w:val="en-US"/>
        </w:rPr>
        <w:br w:type="page"/>
      </w:r>
    </w:p>
    <w:p w14:paraId="1EBDF342" w14:textId="77777777" w:rsidR="00E25DFD" w:rsidRDefault="00E25DFD" w:rsidP="00211A64">
      <w:pPr>
        <w:adjustRightInd w:val="0"/>
        <w:snapToGrid w:val="0"/>
        <w:spacing w:after="0" w:line="360" w:lineRule="auto"/>
        <w:jc w:val="both"/>
        <w:rPr>
          <w:rFonts w:ascii="Book Antiqua" w:eastAsia="宋体" w:hAnsi="Book Antiqua"/>
          <w:b/>
          <w:sz w:val="24"/>
          <w:szCs w:val="24"/>
          <w:lang w:val="en-US" w:eastAsia="zh-CN"/>
        </w:rPr>
      </w:pPr>
      <w:r>
        <w:rPr>
          <w:rFonts w:ascii="Book Antiqua" w:eastAsia="宋体" w:hAnsi="Book Antiqua" w:hint="eastAsia"/>
          <w:b/>
          <w:sz w:val="24"/>
          <w:szCs w:val="24"/>
          <w:lang w:val="en-US" w:eastAsia="zh-CN"/>
        </w:rPr>
        <w:lastRenderedPageBreak/>
        <w:t>REFERENCES</w:t>
      </w:r>
    </w:p>
    <w:p w14:paraId="635BDD8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 </w:t>
      </w:r>
      <w:r w:rsidRPr="00E25DFD">
        <w:rPr>
          <w:rFonts w:ascii="Book Antiqua" w:eastAsia="宋体" w:hAnsi="Book Antiqua" w:cs="宋体"/>
          <w:b/>
          <w:bCs/>
          <w:sz w:val="24"/>
          <w:szCs w:val="24"/>
          <w:lang w:val="en-US" w:eastAsia="zh-CN"/>
        </w:rPr>
        <w:t>Feldmann M</w:t>
      </w:r>
      <w:r w:rsidRPr="00E25DFD">
        <w:rPr>
          <w:rFonts w:ascii="Book Antiqua" w:eastAsia="宋体" w:hAnsi="Book Antiqua" w:cs="宋体"/>
          <w:sz w:val="24"/>
          <w:szCs w:val="24"/>
          <w:lang w:val="en-US" w:eastAsia="zh-CN"/>
        </w:rPr>
        <w:t xml:space="preserve">, Maini SR. Role of cytokines in rheumatoid arthritis: an education in pathophysiology and therapeutics. </w:t>
      </w:r>
      <w:r w:rsidRPr="00E25DFD">
        <w:rPr>
          <w:rFonts w:ascii="Book Antiqua" w:eastAsia="宋体" w:hAnsi="Book Antiqua" w:cs="宋体"/>
          <w:i/>
          <w:iCs/>
          <w:sz w:val="24"/>
          <w:szCs w:val="24"/>
          <w:lang w:val="en-US" w:eastAsia="zh-CN"/>
        </w:rPr>
        <w:t>Immunol Rev</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223</w:t>
      </w:r>
      <w:r w:rsidRPr="00E25DFD">
        <w:rPr>
          <w:rFonts w:ascii="Book Antiqua" w:eastAsia="宋体" w:hAnsi="Book Antiqua" w:cs="宋体"/>
          <w:sz w:val="24"/>
          <w:szCs w:val="24"/>
          <w:lang w:val="en-US" w:eastAsia="zh-CN"/>
        </w:rPr>
        <w:t>: 7-19 [PMID: 18613827 DOI: 10.1111/j.1600-065X.2008.00626.x]</w:t>
      </w:r>
    </w:p>
    <w:p w14:paraId="564E046B"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2 </w:t>
      </w:r>
      <w:r w:rsidRPr="00E25DFD">
        <w:rPr>
          <w:rFonts w:ascii="Book Antiqua" w:eastAsia="宋体" w:hAnsi="Book Antiqua" w:cs="宋体"/>
          <w:b/>
          <w:bCs/>
          <w:sz w:val="24"/>
          <w:szCs w:val="24"/>
          <w:lang w:val="en-US" w:eastAsia="zh-CN"/>
        </w:rPr>
        <w:t>Damsker JM</w:t>
      </w:r>
      <w:r w:rsidRPr="00E25DFD">
        <w:rPr>
          <w:rFonts w:ascii="Book Antiqua" w:eastAsia="宋体" w:hAnsi="Book Antiqua" w:cs="宋体"/>
          <w:sz w:val="24"/>
          <w:szCs w:val="24"/>
          <w:lang w:val="en-US" w:eastAsia="zh-CN"/>
        </w:rPr>
        <w:t xml:space="preserve">, Hansen AM, Caspi RR. Th1 and Th17 cells: adversaries and collaborators. </w:t>
      </w:r>
      <w:r w:rsidRPr="00E25DFD">
        <w:rPr>
          <w:rFonts w:ascii="Book Antiqua" w:eastAsia="宋体" w:hAnsi="Book Antiqua" w:cs="宋体"/>
          <w:i/>
          <w:iCs/>
          <w:sz w:val="24"/>
          <w:szCs w:val="24"/>
          <w:lang w:val="en-US" w:eastAsia="zh-CN"/>
        </w:rPr>
        <w:t>Ann N Y Acad Sci</w:t>
      </w:r>
      <w:r w:rsidRPr="00E25DFD">
        <w:rPr>
          <w:rFonts w:ascii="Book Antiqua" w:eastAsia="宋体" w:hAnsi="Book Antiqua" w:cs="宋体"/>
          <w:sz w:val="24"/>
          <w:szCs w:val="24"/>
          <w:lang w:val="en-US" w:eastAsia="zh-CN"/>
        </w:rPr>
        <w:t xml:space="preserve"> 2010; </w:t>
      </w:r>
      <w:r w:rsidRPr="00E25DFD">
        <w:rPr>
          <w:rFonts w:ascii="Book Antiqua" w:eastAsia="宋体" w:hAnsi="Book Antiqua" w:cs="宋体"/>
          <w:b/>
          <w:bCs/>
          <w:sz w:val="24"/>
          <w:szCs w:val="24"/>
          <w:lang w:val="en-US" w:eastAsia="zh-CN"/>
        </w:rPr>
        <w:t>1183</w:t>
      </w:r>
      <w:r w:rsidRPr="00E25DFD">
        <w:rPr>
          <w:rFonts w:ascii="Book Antiqua" w:eastAsia="宋体" w:hAnsi="Book Antiqua" w:cs="宋体"/>
          <w:sz w:val="24"/>
          <w:szCs w:val="24"/>
          <w:lang w:val="en-US" w:eastAsia="zh-CN"/>
        </w:rPr>
        <w:t>: 211-221 [PMID: 20146717 DOI: 10.1111/j.1749-6632.2009.05133.x]</w:t>
      </w:r>
    </w:p>
    <w:p w14:paraId="0A0C5331"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3 </w:t>
      </w:r>
      <w:r w:rsidRPr="00E25DFD">
        <w:rPr>
          <w:rFonts w:ascii="Book Antiqua" w:eastAsia="宋体" w:hAnsi="Book Antiqua" w:cs="宋体"/>
          <w:b/>
          <w:bCs/>
          <w:sz w:val="24"/>
          <w:szCs w:val="24"/>
          <w:lang w:val="en-US" w:eastAsia="zh-CN"/>
        </w:rPr>
        <w:t>Kunz M</w:t>
      </w:r>
      <w:r w:rsidRPr="00E25DFD">
        <w:rPr>
          <w:rFonts w:ascii="Book Antiqua" w:eastAsia="宋体" w:hAnsi="Book Antiqua" w:cs="宋体"/>
          <w:sz w:val="24"/>
          <w:szCs w:val="24"/>
          <w:lang w:val="en-US" w:eastAsia="zh-CN"/>
        </w:rPr>
        <w:t xml:space="preserve">, Ibrahim SM. Cytokines and cytokine profiles in human autoimmune diseases and animal models of autoimmunity. </w:t>
      </w:r>
      <w:r w:rsidRPr="00E25DFD">
        <w:rPr>
          <w:rFonts w:ascii="Book Antiqua" w:eastAsia="宋体" w:hAnsi="Book Antiqua" w:cs="宋体"/>
          <w:i/>
          <w:iCs/>
          <w:sz w:val="24"/>
          <w:szCs w:val="24"/>
          <w:lang w:val="en-US" w:eastAsia="zh-CN"/>
        </w:rPr>
        <w:t>Mediators Inflamm</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2009</w:t>
      </w:r>
      <w:r w:rsidRPr="00E25DFD">
        <w:rPr>
          <w:rFonts w:ascii="Book Antiqua" w:eastAsia="宋体" w:hAnsi="Book Antiqua" w:cs="宋体"/>
          <w:sz w:val="24"/>
          <w:szCs w:val="24"/>
          <w:lang w:val="en-US" w:eastAsia="zh-CN"/>
        </w:rPr>
        <w:t>: 979258 [PMID: 19884985 DOI: 10.1155/2009/979258]</w:t>
      </w:r>
    </w:p>
    <w:p w14:paraId="15E03BDF"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4 </w:t>
      </w:r>
      <w:r w:rsidRPr="00E25DFD">
        <w:rPr>
          <w:rFonts w:ascii="Book Antiqua" w:eastAsia="宋体" w:hAnsi="Book Antiqua" w:cs="宋体"/>
          <w:b/>
          <w:bCs/>
          <w:sz w:val="24"/>
          <w:szCs w:val="24"/>
          <w:lang w:val="en-US" w:eastAsia="zh-CN"/>
        </w:rPr>
        <w:t>Mosmann TR</w:t>
      </w:r>
      <w:r w:rsidRPr="00E25DFD">
        <w:rPr>
          <w:rFonts w:ascii="Book Antiqua" w:eastAsia="宋体" w:hAnsi="Book Antiqua" w:cs="宋体"/>
          <w:sz w:val="24"/>
          <w:szCs w:val="24"/>
          <w:lang w:val="en-US" w:eastAsia="zh-CN"/>
        </w:rPr>
        <w:t xml:space="preserve">, Cherwinski H, Bond MW, Giedlin MA, Coffman RL. Two types of murine helper T cell clone. I. Definition according to profiles of lymphokine activities and secreted proteins. 1986. </w:t>
      </w:r>
      <w:r w:rsidRPr="00E25DFD">
        <w:rPr>
          <w:rFonts w:ascii="Book Antiqua" w:eastAsia="宋体" w:hAnsi="Book Antiqua" w:cs="宋体"/>
          <w:i/>
          <w:iCs/>
          <w:sz w:val="24"/>
          <w:szCs w:val="24"/>
          <w:lang w:val="en-US" w:eastAsia="zh-CN"/>
        </w:rPr>
        <w:t>J Immunol</w:t>
      </w:r>
      <w:r w:rsidRPr="00E25DFD">
        <w:rPr>
          <w:rFonts w:ascii="Book Antiqua" w:eastAsia="宋体" w:hAnsi="Book Antiqua" w:cs="宋体"/>
          <w:sz w:val="24"/>
          <w:szCs w:val="24"/>
          <w:lang w:val="en-US" w:eastAsia="zh-CN"/>
        </w:rPr>
        <w:t xml:space="preserve"> 2005; </w:t>
      </w:r>
      <w:r w:rsidRPr="00E25DFD">
        <w:rPr>
          <w:rFonts w:ascii="Book Antiqua" w:eastAsia="宋体" w:hAnsi="Book Antiqua" w:cs="宋体"/>
          <w:b/>
          <w:bCs/>
          <w:sz w:val="24"/>
          <w:szCs w:val="24"/>
          <w:lang w:val="en-US" w:eastAsia="zh-CN"/>
        </w:rPr>
        <w:t>175</w:t>
      </w:r>
      <w:r w:rsidRPr="00E25DFD">
        <w:rPr>
          <w:rFonts w:ascii="Book Antiqua" w:eastAsia="宋体" w:hAnsi="Book Antiqua" w:cs="宋体"/>
          <w:sz w:val="24"/>
          <w:szCs w:val="24"/>
          <w:lang w:val="en-US" w:eastAsia="zh-CN"/>
        </w:rPr>
        <w:t>: 5-14 [PMID: 15972624 DOI: 175/1/5]</w:t>
      </w:r>
    </w:p>
    <w:p w14:paraId="56658EE9"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5 </w:t>
      </w:r>
      <w:r w:rsidRPr="00E25DFD">
        <w:rPr>
          <w:rFonts w:ascii="Book Antiqua" w:eastAsia="宋体" w:hAnsi="Book Antiqua" w:cs="宋体"/>
          <w:b/>
          <w:bCs/>
          <w:sz w:val="24"/>
          <w:szCs w:val="24"/>
          <w:lang w:val="en-US" w:eastAsia="zh-CN"/>
        </w:rPr>
        <w:t>Ahern PP</w:t>
      </w:r>
      <w:r w:rsidRPr="00E25DFD">
        <w:rPr>
          <w:rFonts w:ascii="Book Antiqua" w:eastAsia="宋体" w:hAnsi="Book Antiqua" w:cs="宋体"/>
          <w:sz w:val="24"/>
          <w:szCs w:val="24"/>
          <w:lang w:val="en-US" w:eastAsia="zh-CN"/>
        </w:rPr>
        <w:t xml:space="preserve">, Izcue A, Maloy KJ, Powrie F. The interleukin-23 axis in intestinal inflammation. </w:t>
      </w:r>
      <w:r w:rsidRPr="00E25DFD">
        <w:rPr>
          <w:rFonts w:ascii="Book Antiqua" w:eastAsia="宋体" w:hAnsi="Book Antiqua" w:cs="宋体"/>
          <w:i/>
          <w:iCs/>
          <w:sz w:val="24"/>
          <w:szCs w:val="24"/>
          <w:lang w:val="en-US" w:eastAsia="zh-CN"/>
        </w:rPr>
        <w:t>Immunol Rev</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226</w:t>
      </w:r>
      <w:r w:rsidRPr="00E25DFD">
        <w:rPr>
          <w:rFonts w:ascii="Book Antiqua" w:eastAsia="宋体" w:hAnsi="Book Antiqua" w:cs="宋体"/>
          <w:sz w:val="24"/>
          <w:szCs w:val="24"/>
          <w:lang w:val="en-US" w:eastAsia="zh-CN"/>
        </w:rPr>
        <w:t>: 147-159 [PMID: 19161422 DOI: 10.1111/j.1600-065X.2008.00705.x]</w:t>
      </w:r>
    </w:p>
    <w:p w14:paraId="112863A1"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6 </w:t>
      </w:r>
      <w:r w:rsidRPr="00E25DFD">
        <w:rPr>
          <w:rFonts w:ascii="Book Antiqua" w:eastAsia="宋体" w:hAnsi="Book Antiqua" w:cs="宋体"/>
          <w:b/>
          <w:bCs/>
          <w:sz w:val="24"/>
          <w:szCs w:val="24"/>
          <w:lang w:val="en-US" w:eastAsia="zh-CN"/>
        </w:rPr>
        <w:t>Annunziato F</w:t>
      </w:r>
      <w:r w:rsidRPr="00E25DFD">
        <w:rPr>
          <w:rFonts w:ascii="Book Antiqua" w:eastAsia="宋体" w:hAnsi="Book Antiqua" w:cs="宋体"/>
          <w:sz w:val="24"/>
          <w:szCs w:val="24"/>
          <w:lang w:val="en-US" w:eastAsia="zh-CN"/>
        </w:rPr>
        <w:t xml:space="preserve">, Romagnani S. Do studies in humans better depict Th17 cells? </w:t>
      </w:r>
      <w:r w:rsidRPr="00E25DFD">
        <w:rPr>
          <w:rFonts w:ascii="Book Antiqua" w:eastAsia="宋体" w:hAnsi="Book Antiqua" w:cs="宋体"/>
          <w:i/>
          <w:iCs/>
          <w:sz w:val="24"/>
          <w:szCs w:val="24"/>
          <w:lang w:val="en-US" w:eastAsia="zh-CN"/>
        </w:rPr>
        <w:t>Blood</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114</w:t>
      </w:r>
      <w:r w:rsidRPr="00E25DFD">
        <w:rPr>
          <w:rFonts w:ascii="Book Antiqua" w:eastAsia="宋体" w:hAnsi="Book Antiqua" w:cs="宋体"/>
          <w:sz w:val="24"/>
          <w:szCs w:val="24"/>
          <w:lang w:val="en-US" w:eastAsia="zh-CN"/>
        </w:rPr>
        <w:t>: 2213-2219 [PMID: 19494349 DOI: 10.1182/blood-2009-03-209189]</w:t>
      </w:r>
    </w:p>
    <w:p w14:paraId="5582C8F1"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7 </w:t>
      </w:r>
      <w:r w:rsidRPr="00E25DFD">
        <w:rPr>
          <w:rFonts w:ascii="Book Antiqua" w:eastAsia="宋体" w:hAnsi="Book Antiqua" w:cs="宋体"/>
          <w:b/>
          <w:bCs/>
          <w:sz w:val="24"/>
          <w:szCs w:val="24"/>
          <w:lang w:val="en-US" w:eastAsia="zh-CN"/>
        </w:rPr>
        <w:t>Chen Z</w:t>
      </w:r>
      <w:r w:rsidRPr="00E25DFD">
        <w:rPr>
          <w:rFonts w:ascii="Book Antiqua" w:eastAsia="宋体" w:hAnsi="Book Antiqua" w:cs="宋体"/>
          <w:sz w:val="24"/>
          <w:szCs w:val="24"/>
          <w:lang w:val="en-US" w:eastAsia="zh-CN"/>
        </w:rPr>
        <w:t xml:space="preserve">, O'Shea JJ. Th17 cells: a new fate for differentiating helper T cells. </w:t>
      </w:r>
      <w:r w:rsidRPr="00E25DFD">
        <w:rPr>
          <w:rFonts w:ascii="Book Antiqua" w:eastAsia="宋体" w:hAnsi="Book Antiqua" w:cs="宋体"/>
          <w:i/>
          <w:iCs/>
          <w:sz w:val="24"/>
          <w:szCs w:val="24"/>
          <w:lang w:val="en-US" w:eastAsia="zh-CN"/>
        </w:rPr>
        <w:t>Immunol Res</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41</w:t>
      </w:r>
      <w:r w:rsidRPr="00E25DFD">
        <w:rPr>
          <w:rFonts w:ascii="Book Antiqua" w:eastAsia="宋体" w:hAnsi="Book Antiqua" w:cs="宋体"/>
          <w:sz w:val="24"/>
          <w:szCs w:val="24"/>
          <w:lang w:val="en-US" w:eastAsia="zh-CN"/>
        </w:rPr>
        <w:t>: 87-102 [PMID: 18172584 DOI: 10.1007/s12026-007-8014-9]</w:t>
      </w:r>
    </w:p>
    <w:p w14:paraId="15639AE6"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8 </w:t>
      </w:r>
      <w:r w:rsidRPr="00E25DFD">
        <w:rPr>
          <w:rFonts w:ascii="Book Antiqua" w:eastAsia="宋体" w:hAnsi="Book Antiqua" w:cs="宋体"/>
          <w:b/>
          <w:bCs/>
          <w:sz w:val="24"/>
          <w:szCs w:val="24"/>
          <w:lang w:val="en-US" w:eastAsia="zh-CN"/>
        </w:rPr>
        <w:t>Fouser LA</w:t>
      </w:r>
      <w:r w:rsidRPr="00E25DFD">
        <w:rPr>
          <w:rFonts w:ascii="Book Antiqua" w:eastAsia="宋体" w:hAnsi="Book Antiqua" w:cs="宋体"/>
          <w:sz w:val="24"/>
          <w:szCs w:val="24"/>
          <w:lang w:val="en-US" w:eastAsia="zh-CN"/>
        </w:rPr>
        <w:t xml:space="preserve">, Wright JF, Dunussi-Joannopoulos K, Collins M. Th17 cytokines and their emerging roles in inflammation and autoimmunity. </w:t>
      </w:r>
      <w:r w:rsidRPr="00E25DFD">
        <w:rPr>
          <w:rFonts w:ascii="Book Antiqua" w:eastAsia="宋体" w:hAnsi="Book Antiqua" w:cs="宋体"/>
          <w:i/>
          <w:iCs/>
          <w:sz w:val="24"/>
          <w:szCs w:val="24"/>
          <w:lang w:val="en-US" w:eastAsia="zh-CN"/>
        </w:rPr>
        <w:t>Immunol Rev</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226</w:t>
      </w:r>
      <w:r w:rsidRPr="00E25DFD">
        <w:rPr>
          <w:rFonts w:ascii="Book Antiqua" w:eastAsia="宋体" w:hAnsi="Book Antiqua" w:cs="宋体"/>
          <w:sz w:val="24"/>
          <w:szCs w:val="24"/>
          <w:lang w:val="en-US" w:eastAsia="zh-CN"/>
        </w:rPr>
        <w:t>: 87-102 [PMID: 19161418 DOI: 10.1111/j.1600-065X.2008.00712.x]</w:t>
      </w:r>
    </w:p>
    <w:p w14:paraId="293A18C3"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 </w:t>
      </w:r>
      <w:r w:rsidRPr="00E25DFD">
        <w:rPr>
          <w:rFonts w:ascii="Book Antiqua" w:eastAsia="宋体" w:hAnsi="Book Antiqua" w:cs="宋体"/>
          <w:b/>
          <w:bCs/>
          <w:sz w:val="24"/>
          <w:szCs w:val="24"/>
          <w:lang w:val="en-US" w:eastAsia="zh-CN"/>
        </w:rPr>
        <w:t>Hue S</w:t>
      </w:r>
      <w:r w:rsidRPr="00E25DFD">
        <w:rPr>
          <w:rFonts w:ascii="Book Antiqua" w:eastAsia="宋体" w:hAnsi="Book Antiqua" w:cs="宋体"/>
          <w:sz w:val="24"/>
          <w:szCs w:val="24"/>
          <w:lang w:val="en-US" w:eastAsia="zh-CN"/>
        </w:rPr>
        <w:t xml:space="preserve">, Ahern P, Buonocore S, Kullberg MC, Cua DJ, McKenzie BS, Powrie F, Maloy KJ. Interleukin-23 drives innate and T cell-mediated intestinal inflammation. </w:t>
      </w:r>
      <w:r w:rsidRPr="00E25DFD">
        <w:rPr>
          <w:rFonts w:ascii="Book Antiqua" w:eastAsia="宋体" w:hAnsi="Book Antiqua" w:cs="宋体"/>
          <w:i/>
          <w:iCs/>
          <w:sz w:val="24"/>
          <w:szCs w:val="24"/>
          <w:lang w:val="en-US" w:eastAsia="zh-CN"/>
        </w:rPr>
        <w:t>J Exp Med</w:t>
      </w:r>
      <w:r w:rsidRPr="00E25DFD">
        <w:rPr>
          <w:rFonts w:ascii="Book Antiqua" w:eastAsia="宋体" w:hAnsi="Book Antiqua" w:cs="宋体"/>
          <w:sz w:val="24"/>
          <w:szCs w:val="24"/>
          <w:lang w:val="en-US" w:eastAsia="zh-CN"/>
        </w:rPr>
        <w:t xml:space="preserve"> 2006; </w:t>
      </w:r>
      <w:r w:rsidRPr="00E25DFD">
        <w:rPr>
          <w:rFonts w:ascii="Book Antiqua" w:eastAsia="宋体" w:hAnsi="Book Antiqua" w:cs="宋体"/>
          <w:b/>
          <w:bCs/>
          <w:sz w:val="24"/>
          <w:szCs w:val="24"/>
          <w:lang w:val="en-US" w:eastAsia="zh-CN"/>
        </w:rPr>
        <w:t>203</w:t>
      </w:r>
      <w:r w:rsidRPr="00E25DFD">
        <w:rPr>
          <w:rFonts w:ascii="Book Antiqua" w:eastAsia="宋体" w:hAnsi="Book Antiqua" w:cs="宋体"/>
          <w:sz w:val="24"/>
          <w:szCs w:val="24"/>
          <w:lang w:val="en-US" w:eastAsia="zh-CN"/>
        </w:rPr>
        <w:t>: 2473-2483 [PMID: 17030949 DOI: jem.20061099]</w:t>
      </w:r>
    </w:p>
    <w:p w14:paraId="34D4B4F3"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10 </w:t>
      </w:r>
      <w:r w:rsidRPr="00E25DFD">
        <w:rPr>
          <w:rFonts w:ascii="Book Antiqua" w:eastAsia="宋体" w:hAnsi="Book Antiqua" w:cs="宋体"/>
          <w:b/>
          <w:bCs/>
          <w:sz w:val="24"/>
          <w:szCs w:val="24"/>
          <w:lang w:val="en-US" w:eastAsia="zh-CN"/>
        </w:rPr>
        <w:t>Kullberg MC</w:t>
      </w:r>
      <w:r w:rsidRPr="00E25DFD">
        <w:rPr>
          <w:rFonts w:ascii="Book Antiqua" w:eastAsia="宋体" w:hAnsi="Book Antiqua" w:cs="宋体"/>
          <w:sz w:val="24"/>
          <w:szCs w:val="24"/>
          <w:lang w:val="en-US" w:eastAsia="zh-CN"/>
        </w:rPr>
        <w:t xml:space="preserve">, Jankovic D, Feng CG, Hue S, Gorelick PL, McKenzie BS, Cua DJ, Powrie F, Cheever AW, Maloy KJ, Sher A. IL-23 plays a key role in Helicobacter hepaticus-induced T cell-dependent colitis. </w:t>
      </w:r>
      <w:r w:rsidRPr="00E25DFD">
        <w:rPr>
          <w:rFonts w:ascii="Book Antiqua" w:eastAsia="宋体" w:hAnsi="Book Antiqua" w:cs="宋体"/>
          <w:i/>
          <w:iCs/>
          <w:sz w:val="24"/>
          <w:szCs w:val="24"/>
          <w:lang w:val="en-US" w:eastAsia="zh-CN"/>
        </w:rPr>
        <w:t>J Exp Med</w:t>
      </w:r>
      <w:r w:rsidRPr="00E25DFD">
        <w:rPr>
          <w:rFonts w:ascii="Book Antiqua" w:eastAsia="宋体" w:hAnsi="Book Antiqua" w:cs="宋体"/>
          <w:sz w:val="24"/>
          <w:szCs w:val="24"/>
          <w:lang w:val="en-US" w:eastAsia="zh-CN"/>
        </w:rPr>
        <w:t xml:space="preserve"> 2006; </w:t>
      </w:r>
      <w:r w:rsidRPr="00E25DFD">
        <w:rPr>
          <w:rFonts w:ascii="Book Antiqua" w:eastAsia="宋体" w:hAnsi="Book Antiqua" w:cs="宋体"/>
          <w:b/>
          <w:bCs/>
          <w:sz w:val="24"/>
          <w:szCs w:val="24"/>
          <w:lang w:val="en-US" w:eastAsia="zh-CN"/>
        </w:rPr>
        <w:t>203</w:t>
      </w:r>
      <w:r w:rsidRPr="00E25DFD">
        <w:rPr>
          <w:rFonts w:ascii="Book Antiqua" w:eastAsia="宋体" w:hAnsi="Book Antiqua" w:cs="宋体"/>
          <w:sz w:val="24"/>
          <w:szCs w:val="24"/>
          <w:lang w:val="en-US" w:eastAsia="zh-CN"/>
        </w:rPr>
        <w:t>: 2485-2494 [PMID: 17030948 DOI: jem.20061082]</w:t>
      </w:r>
    </w:p>
    <w:p w14:paraId="5F2EAC63"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lastRenderedPageBreak/>
        <w:t xml:space="preserve">11 </w:t>
      </w:r>
      <w:r w:rsidRPr="00E25DFD">
        <w:rPr>
          <w:rFonts w:ascii="Book Antiqua" w:eastAsia="宋体" w:hAnsi="Book Antiqua" w:cs="宋体"/>
          <w:b/>
          <w:bCs/>
          <w:sz w:val="24"/>
          <w:szCs w:val="24"/>
          <w:lang w:val="en-US" w:eastAsia="zh-CN"/>
        </w:rPr>
        <w:t>Conti HR</w:t>
      </w:r>
      <w:r w:rsidRPr="00E25DFD">
        <w:rPr>
          <w:rFonts w:ascii="Book Antiqua" w:eastAsia="宋体" w:hAnsi="Book Antiqua" w:cs="宋体"/>
          <w:sz w:val="24"/>
          <w:szCs w:val="24"/>
          <w:lang w:val="en-US" w:eastAsia="zh-CN"/>
        </w:rPr>
        <w:t xml:space="preserve">, Shen F, Nayyar N, Stocum E, Sun JN, Lindemann MJ, Ho AW, Hai JH, Yu JJ, Jung JW, Filler SG, Masso-Welch P, Edgerton M, Gaffen SL. Th17 cells and IL-17 receptor signaling are essential for mucosal host defense against oral candidiasis. </w:t>
      </w:r>
      <w:r w:rsidRPr="00E25DFD">
        <w:rPr>
          <w:rFonts w:ascii="Book Antiqua" w:eastAsia="宋体" w:hAnsi="Book Antiqua" w:cs="宋体"/>
          <w:i/>
          <w:iCs/>
          <w:sz w:val="24"/>
          <w:szCs w:val="24"/>
          <w:lang w:val="en-US" w:eastAsia="zh-CN"/>
        </w:rPr>
        <w:t>J Exp Med</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206</w:t>
      </w:r>
      <w:r w:rsidRPr="00E25DFD">
        <w:rPr>
          <w:rFonts w:ascii="Book Antiqua" w:eastAsia="宋体" w:hAnsi="Book Antiqua" w:cs="宋体"/>
          <w:sz w:val="24"/>
          <w:szCs w:val="24"/>
          <w:lang w:val="en-US" w:eastAsia="zh-CN"/>
        </w:rPr>
        <w:t>: 299-311 [PMID: 19204111 DOI: 10.1084/jem.20081463]</w:t>
      </w:r>
    </w:p>
    <w:p w14:paraId="1C98313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12 </w:t>
      </w:r>
      <w:r w:rsidRPr="00E25DFD">
        <w:rPr>
          <w:rFonts w:ascii="Book Antiqua" w:eastAsia="宋体" w:hAnsi="Book Antiqua" w:cs="宋体"/>
          <w:b/>
          <w:bCs/>
          <w:sz w:val="24"/>
          <w:szCs w:val="24"/>
          <w:lang w:val="en-US" w:eastAsia="zh-CN"/>
        </w:rPr>
        <w:t>Langrish CL</w:t>
      </w:r>
      <w:r w:rsidRPr="00E25DFD">
        <w:rPr>
          <w:rFonts w:ascii="Book Antiqua" w:eastAsia="宋体" w:hAnsi="Book Antiqua" w:cs="宋体"/>
          <w:sz w:val="24"/>
          <w:szCs w:val="24"/>
          <w:lang w:val="en-US" w:eastAsia="zh-CN"/>
        </w:rPr>
        <w:t xml:space="preserve">, McKenzie BS, Wilson NJ, de Waal Malefyt R, Kastelein RA, Cua DJ. IL-12 and IL-23: master regulators of innate and adaptive immunity. </w:t>
      </w:r>
      <w:r w:rsidRPr="00E25DFD">
        <w:rPr>
          <w:rFonts w:ascii="Book Antiqua" w:eastAsia="宋体" w:hAnsi="Book Antiqua" w:cs="宋体"/>
          <w:i/>
          <w:iCs/>
          <w:sz w:val="24"/>
          <w:szCs w:val="24"/>
          <w:lang w:val="en-US" w:eastAsia="zh-CN"/>
        </w:rPr>
        <w:t>Immunol Rev</w:t>
      </w:r>
      <w:r w:rsidRPr="00E25DFD">
        <w:rPr>
          <w:rFonts w:ascii="Book Antiqua" w:eastAsia="宋体" w:hAnsi="Book Antiqua" w:cs="宋体"/>
          <w:sz w:val="24"/>
          <w:szCs w:val="24"/>
          <w:lang w:val="en-US" w:eastAsia="zh-CN"/>
        </w:rPr>
        <w:t xml:space="preserve"> 2004; </w:t>
      </w:r>
      <w:r w:rsidRPr="00E25DFD">
        <w:rPr>
          <w:rFonts w:ascii="Book Antiqua" w:eastAsia="宋体" w:hAnsi="Book Antiqua" w:cs="宋体"/>
          <w:b/>
          <w:bCs/>
          <w:sz w:val="24"/>
          <w:szCs w:val="24"/>
          <w:lang w:val="en-US" w:eastAsia="zh-CN"/>
        </w:rPr>
        <w:t>202</w:t>
      </w:r>
      <w:r w:rsidRPr="00E25DFD">
        <w:rPr>
          <w:rFonts w:ascii="Book Antiqua" w:eastAsia="宋体" w:hAnsi="Book Antiqua" w:cs="宋体"/>
          <w:sz w:val="24"/>
          <w:szCs w:val="24"/>
          <w:lang w:val="en-US" w:eastAsia="zh-CN"/>
        </w:rPr>
        <w:t>: 96-105 [PMID: 15546388 DOI: IMR214]</w:t>
      </w:r>
    </w:p>
    <w:p w14:paraId="15A44633"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13 </w:t>
      </w:r>
      <w:r w:rsidRPr="00E25DFD">
        <w:rPr>
          <w:rFonts w:ascii="Book Antiqua" w:eastAsia="宋体" w:hAnsi="Book Antiqua" w:cs="宋体"/>
          <w:b/>
          <w:bCs/>
          <w:sz w:val="24"/>
          <w:szCs w:val="24"/>
          <w:lang w:val="en-US" w:eastAsia="zh-CN"/>
        </w:rPr>
        <w:t>Lin Y</w:t>
      </w:r>
      <w:r w:rsidRPr="00E25DFD">
        <w:rPr>
          <w:rFonts w:ascii="Book Antiqua" w:eastAsia="宋体" w:hAnsi="Book Antiqua" w:cs="宋体"/>
          <w:sz w:val="24"/>
          <w:szCs w:val="24"/>
          <w:lang w:val="en-US" w:eastAsia="zh-CN"/>
        </w:rPr>
        <w:t xml:space="preserve">, Ritchea S, Logar A, Slight S, Messmer M, Rangel-Moreno J, Guglani L, Alcorn JF, Strawbridge H, Park SM, Onishi R, Nyugen N, Walter MJ, Pociask D, Randall TD, Gaffen SL, Iwakura Y, Kolls JK, Khader SA. Interleukin-17 is required for T helper 1 cell immunity and host resistance to the intracellular pathogen Francisella tularensis.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31</w:t>
      </w:r>
      <w:r w:rsidRPr="00E25DFD">
        <w:rPr>
          <w:rFonts w:ascii="Book Antiqua" w:eastAsia="宋体" w:hAnsi="Book Antiqua" w:cs="宋体"/>
          <w:sz w:val="24"/>
          <w:szCs w:val="24"/>
          <w:lang w:val="en-US" w:eastAsia="zh-CN"/>
        </w:rPr>
        <w:t>: 799-810 [PMID: 19853481 DOI: 10.1016/j.immuni.2009.08.025]</w:t>
      </w:r>
    </w:p>
    <w:p w14:paraId="5A25CFBE"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14 </w:t>
      </w:r>
      <w:r w:rsidRPr="00E25DFD">
        <w:rPr>
          <w:rFonts w:ascii="Book Antiqua" w:eastAsia="宋体" w:hAnsi="Book Antiqua" w:cs="宋体"/>
          <w:b/>
          <w:bCs/>
          <w:sz w:val="24"/>
          <w:szCs w:val="24"/>
          <w:lang w:val="en-US" w:eastAsia="zh-CN"/>
        </w:rPr>
        <w:t>Maloy KJ</w:t>
      </w:r>
      <w:r w:rsidRPr="00E25DFD">
        <w:rPr>
          <w:rFonts w:ascii="Book Antiqua" w:eastAsia="宋体" w:hAnsi="Book Antiqua" w:cs="宋体"/>
          <w:sz w:val="24"/>
          <w:szCs w:val="24"/>
          <w:lang w:val="en-US" w:eastAsia="zh-CN"/>
        </w:rPr>
        <w:t xml:space="preserve">, Kullberg MC. IL-23 and Th17 cytokines in intestinal homeostasis. </w:t>
      </w:r>
      <w:r w:rsidRPr="00E25DFD">
        <w:rPr>
          <w:rFonts w:ascii="Book Antiqua" w:eastAsia="宋体" w:hAnsi="Book Antiqua" w:cs="宋体"/>
          <w:i/>
          <w:iCs/>
          <w:sz w:val="24"/>
          <w:szCs w:val="24"/>
          <w:lang w:val="en-US" w:eastAsia="zh-CN"/>
        </w:rPr>
        <w:t>Mucosal Immunol</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1</w:t>
      </w:r>
      <w:r w:rsidRPr="00E25DFD">
        <w:rPr>
          <w:rFonts w:ascii="Book Antiqua" w:eastAsia="宋体" w:hAnsi="Book Antiqua" w:cs="宋体"/>
          <w:sz w:val="24"/>
          <w:szCs w:val="24"/>
          <w:lang w:val="en-US" w:eastAsia="zh-CN"/>
        </w:rPr>
        <w:t>: 339-349 [PMID: 19079198 DOI: 10.1038/mi.2008.28]</w:t>
      </w:r>
    </w:p>
    <w:p w14:paraId="779F9538"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15 </w:t>
      </w:r>
      <w:r w:rsidRPr="00E25DFD">
        <w:rPr>
          <w:rFonts w:ascii="Book Antiqua" w:eastAsia="宋体" w:hAnsi="Book Antiqua" w:cs="宋体"/>
          <w:b/>
          <w:bCs/>
          <w:sz w:val="24"/>
          <w:szCs w:val="24"/>
          <w:lang w:val="en-US" w:eastAsia="zh-CN"/>
        </w:rPr>
        <w:t>O'Connor W</w:t>
      </w:r>
      <w:r w:rsidRPr="00E25DFD">
        <w:rPr>
          <w:rFonts w:ascii="Book Antiqua" w:eastAsia="宋体" w:hAnsi="Book Antiqua" w:cs="宋体"/>
          <w:sz w:val="24"/>
          <w:szCs w:val="24"/>
          <w:lang w:val="en-US" w:eastAsia="zh-CN"/>
        </w:rPr>
        <w:t xml:space="preserve">, Kamanaka M, Booth CJ, Town T, Nakae S, Iwakura Y, Kolls JK, Flavell RA. A protective function for interleukin 17A in T cell-mediated intestinal inflammation. </w:t>
      </w:r>
      <w:r w:rsidRPr="00E25DFD">
        <w:rPr>
          <w:rFonts w:ascii="Book Antiqua" w:eastAsia="宋体" w:hAnsi="Book Antiqua" w:cs="宋体"/>
          <w:i/>
          <w:iCs/>
          <w:sz w:val="24"/>
          <w:szCs w:val="24"/>
          <w:lang w:val="en-US" w:eastAsia="zh-CN"/>
        </w:rPr>
        <w:t>Nat Immunol</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10</w:t>
      </w:r>
      <w:r w:rsidRPr="00E25DFD">
        <w:rPr>
          <w:rFonts w:ascii="Book Antiqua" w:eastAsia="宋体" w:hAnsi="Book Antiqua" w:cs="宋体"/>
          <w:sz w:val="24"/>
          <w:szCs w:val="24"/>
          <w:lang w:val="en-US" w:eastAsia="zh-CN"/>
        </w:rPr>
        <w:t>: 603-609 [PMID: 19448631 DOI: 10.1038/ni.1736]</w:t>
      </w:r>
    </w:p>
    <w:p w14:paraId="402C8672"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16 </w:t>
      </w:r>
      <w:r w:rsidRPr="00E25DFD">
        <w:rPr>
          <w:rFonts w:ascii="Book Antiqua" w:eastAsia="宋体" w:hAnsi="Book Antiqua" w:cs="宋体"/>
          <w:b/>
          <w:bCs/>
          <w:sz w:val="24"/>
          <w:szCs w:val="24"/>
          <w:lang w:val="en-US" w:eastAsia="zh-CN"/>
        </w:rPr>
        <w:t>Ogawa A</w:t>
      </w:r>
      <w:r w:rsidRPr="00E25DFD">
        <w:rPr>
          <w:rFonts w:ascii="Book Antiqua" w:eastAsia="宋体" w:hAnsi="Book Antiqua" w:cs="宋体"/>
          <w:sz w:val="24"/>
          <w:szCs w:val="24"/>
          <w:lang w:val="en-US" w:eastAsia="zh-CN"/>
        </w:rPr>
        <w:t xml:space="preserve">, Andoh A, Araki Y, Bamba T, Fujiyama Y. Neutralization of interleukin-17 aggravates dextran sulfate sodium-induced colitis in mice. </w:t>
      </w:r>
      <w:r w:rsidRPr="00E25DFD">
        <w:rPr>
          <w:rFonts w:ascii="Book Antiqua" w:eastAsia="宋体" w:hAnsi="Book Antiqua" w:cs="宋体"/>
          <w:i/>
          <w:iCs/>
          <w:sz w:val="24"/>
          <w:szCs w:val="24"/>
          <w:lang w:val="en-US" w:eastAsia="zh-CN"/>
        </w:rPr>
        <w:t>Clin Immunol</w:t>
      </w:r>
      <w:r w:rsidRPr="00E25DFD">
        <w:rPr>
          <w:rFonts w:ascii="Book Antiqua" w:eastAsia="宋体" w:hAnsi="Book Antiqua" w:cs="宋体"/>
          <w:sz w:val="24"/>
          <w:szCs w:val="24"/>
          <w:lang w:val="en-US" w:eastAsia="zh-CN"/>
        </w:rPr>
        <w:t xml:space="preserve"> 2004; </w:t>
      </w:r>
      <w:r w:rsidRPr="00E25DFD">
        <w:rPr>
          <w:rFonts w:ascii="Book Antiqua" w:eastAsia="宋体" w:hAnsi="Book Antiqua" w:cs="宋体"/>
          <w:b/>
          <w:bCs/>
          <w:sz w:val="24"/>
          <w:szCs w:val="24"/>
          <w:lang w:val="en-US" w:eastAsia="zh-CN"/>
        </w:rPr>
        <w:t>110</w:t>
      </w:r>
      <w:r w:rsidRPr="00E25DFD">
        <w:rPr>
          <w:rFonts w:ascii="Book Antiqua" w:eastAsia="宋体" w:hAnsi="Book Antiqua" w:cs="宋体"/>
          <w:sz w:val="24"/>
          <w:szCs w:val="24"/>
          <w:lang w:val="en-US" w:eastAsia="zh-CN"/>
        </w:rPr>
        <w:t>: 55-62 [PMID: 14962796 DOI: 10.1016/j.clim.2003.09.013]</w:t>
      </w:r>
    </w:p>
    <w:p w14:paraId="072E9C0F"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17 </w:t>
      </w:r>
      <w:r w:rsidRPr="00E25DFD">
        <w:rPr>
          <w:rFonts w:ascii="Book Antiqua" w:eastAsia="宋体" w:hAnsi="Book Antiqua" w:cs="宋体"/>
          <w:b/>
          <w:bCs/>
          <w:sz w:val="24"/>
          <w:szCs w:val="24"/>
          <w:lang w:val="en-US" w:eastAsia="zh-CN"/>
        </w:rPr>
        <w:t>Izcue A</w:t>
      </w:r>
      <w:r w:rsidRPr="00E25DFD">
        <w:rPr>
          <w:rFonts w:ascii="Book Antiqua" w:eastAsia="宋体" w:hAnsi="Book Antiqua" w:cs="宋体"/>
          <w:sz w:val="24"/>
          <w:szCs w:val="24"/>
          <w:lang w:val="en-US" w:eastAsia="zh-CN"/>
        </w:rPr>
        <w:t xml:space="preserve">, Hue S, Buonocore S, Arancibia-Cárcamo CV, Ahern PP, Iwakura Y, Maloy KJ, Powrie F. Interleukin-23 restrains regulatory T cell activity to drive T cell-dependent colitis.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28</w:t>
      </w:r>
      <w:r w:rsidRPr="00E25DFD">
        <w:rPr>
          <w:rFonts w:ascii="Book Antiqua" w:eastAsia="宋体" w:hAnsi="Book Antiqua" w:cs="宋体"/>
          <w:sz w:val="24"/>
          <w:szCs w:val="24"/>
          <w:lang w:val="en-US" w:eastAsia="zh-CN"/>
        </w:rPr>
        <w:t>: 559-570 [PMID: 18400195 DOI: 10.1016/j.immuni.2008.02.019]</w:t>
      </w:r>
    </w:p>
    <w:p w14:paraId="22259A5B"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18 </w:t>
      </w:r>
      <w:r w:rsidRPr="00E25DFD">
        <w:rPr>
          <w:rFonts w:ascii="Book Antiqua" w:eastAsia="宋体" w:hAnsi="Book Antiqua" w:cs="宋体"/>
          <w:b/>
          <w:bCs/>
          <w:sz w:val="24"/>
          <w:szCs w:val="24"/>
          <w:lang w:val="en-US" w:eastAsia="zh-CN"/>
        </w:rPr>
        <w:t>Lee YK</w:t>
      </w:r>
      <w:r w:rsidRPr="00E25DFD">
        <w:rPr>
          <w:rFonts w:ascii="Book Antiqua" w:eastAsia="宋体" w:hAnsi="Book Antiqua" w:cs="宋体"/>
          <w:sz w:val="24"/>
          <w:szCs w:val="24"/>
          <w:lang w:val="en-US" w:eastAsia="zh-CN"/>
        </w:rPr>
        <w:t xml:space="preserve">, Turner H, Maynard CL, Oliver JR, Chen D, Elson CO, Weaver CT. Late developmental plasticity in the T helper 17 lineage.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30</w:t>
      </w:r>
      <w:r w:rsidRPr="00E25DFD">
        <w:rPr>
          <w:rFonts w:ascii="Book Antiqua" w:eastAsia="宋体" w:hAnsi="Book Antiqua" w:cs="宋体"/>
          <w:sz w:val="24"/>
          <w:szCs w:val="24"/>
          <w:lang w:val="en-US" w:eastAsia="zh-CN"/>
        </w:rPr>
        <w:t>: 92-107 [PMID: 19119024 DOI: 10.1016/j.immuni.2008.11.005]</w:t>
      </w:r>
    </w:p>
    <w:p w14:paraId="179F63A9"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19 </w:t>
      </w:r>
      <w:r w:rsidRPr="00E25DFD">
        <w:rPr>
          <w:rFonts w:ascii="Book Antiqua" w:eastAsia="宋体" w:hAnsi="Book Antiqua" w:cs="宋体"/>
          <w:b/>
          <w:bCs/>
          <w:sz w:val="24"/>
          <w:szCs w:val="24"/>
          <w:lang w:val="en-US" w:eastAsia="zh-CN"/>
        </w:rPr>
        <w:t>Rebhahn JA</w:t>
      </w:r>
      <w:r w:rsidRPr="00E25DFD">
        <w:rPr>
          <w:rFonts w:ascii="Book Antiqua" w:eastAsia="宋体" w:hAnsi="Book Antiqua" w:cs="宋体"/>
          <w:sz w:val="24"/>
          <w:szCs w:val="24"/>
          <w:lang w:val="en-US" w:eastAsia="zh-CN"/>
        </w:rPr>
        <w:t xml:space="preserve">, Deng N, Sharma G, Livingstone AM, Huang S, Mosmann TR. An animated landscape representation of CD4+ T-cell differentiation, variability, and </w:t>
      </w:r>
      <w:r w:rsidRPr="00E25DFD">
        <w:rPr>
          <w:rFonts w:ascii="Book Antiqua" w:eastAsia="宋体" w:hAnsi="Book Antiqua" w:cs="宋体"/>
          <w:sz w:val="24"/>
          <w:szCs w:val="24"/>
          <w:lang w:val="en-US" w:eastAsia="zh-CN"/>
        </w:rPr>
        <w:lastRenderedPageBreak/>
        <w:t xml:space="preserve">plasticity: insights into the behavior of populations versus cells. </w:t>
      </w:r>
      <w:r w:rsidRPr="00E25DFD">
        <w:rPr>
          <w:rFonts w:ascii="Book Antiqua" w:eastAsia="宋体" w:hAnsi="Book Antiqua" w:cs="宋体"/>
          <w:i/>
          <w:iCs/>
          <w:sz w:val="24"/>
          <w:szCs w:val="24"/>
          <w:lang w:val="en-US" w:eastAsia="zh-CN"/>
        </w:rPr>
        <w:t>Eur J Immunol</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44</w:t>
      </w:r>
      <w:r w:rsidRPr="00E25DFD">
        <w:rPr>
          <w:rFonts w:ascii="Book Antiqua" w:eastAsia="宋体" w:hAnsi="Book Antiqua" w:cs="宋体"/>
          <w:sz w:val="24"/>
          <w:szCs w:val="24"/>
          <w:lang w:val="en-US" w:eastAsia="zh-CN"/>
        </w:rPr>
        <w:t>: 2216-2229 [PMID: 24945794 DOI: 10.1002/eji.201444645]</w:t>
      </w:r>
    </w:p>
    <w:p w14:paraId="58BF12A0"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20 </w:t>
      </w:r>
      <w:r w:rsidRPr="00E25DFD">
        <w:rPr>
          <w:rFonts w:ascii="Book Antiqua" w:eastAsia="宋体" w:hAnsi="Book Antiqua" w:cs="宋体"/>
          <w:b/>
          <w:bCs/>
          <w:sz w:val="24"/>
          <w:szCs w:val="24"/>
          <w:lang w:val="en-US" w:eastAsia="zh-CN"/>
        </w:rPr>
        <w:t>Khader SA</w:t>
      </w:r>
      <w:r w:rsidRPr="00E25DFD">
        <w:rPr>
          <w:rFonts w:ascii="Book Antiqua" w:eastAsia="宋体" w:hAnsi="Book Antiqua" w:cs="宋体"/>
          <w:sz w:val="24"/>
          <w:szCs w:val="24"/>
          <w:lang w:val="en-US" w:eastAsia="zh-CN"/>
        </w:rPr>
        <w:t xml:space="preserve">, Bell GK, Pearl JE, Fountain JJ, Rangel-Moreno J, Cilley GE, Shen F, Eaton SM, Gaffen SL, Swain SL, Locksley RM, Haynes L, Randall TD, Cooper AM. IL-23 and IL-17 in the establishment of protective pulmonary CD4+ T cell responses after vaccination and during Mycobacterium tuberculosis challenge. </w:t>
      </w:r>
      <w:r w:rsidRPr="00E25DFD">
        <w:rPr>
          <w:rFonts w:ascii="Book Antiqua" w:eastAsia="宋体" w:hAnsi="Book Antiqua" w:cs="宋体"/>
          <w:i/>
          <w:iCs/>
          <w:sz w:val="24"/>
          <w:szCs w:val="24"/>
          <w:lang w:val="en-US" w:eastAsia="zh-CN"/>
        </w:rPr>
        <w:t>Nat Immunol</w:t>
      </w:r>
      <w:r w:rsidRPr="00E25DFD">
        <w:rPr>
          <w:rFonts w:ascii="Book Antiqua" w:eastAsia="宋体" w:hAnsi="Book Antiqua" w:cs="宋体"/>
          <w:sz w:val="24"/>
          <w:szCs w:val="24"/>
          <w:lang w:val="en-US" w:eastAsia="zh-CN"/>
        </w:rPr>
        <w:t xml:space="preserve"> 2007; </w:t>
      </w:r>
      <w:r w:rsidRPr="00E25DFD">
        <w:rPr>
          <w:rFonts w:ascii="Book Antiqua" w:eastAsia="宋体" w:hAnsi="Book Antiqua" w:cs="宋体"/>
          <w:b/>
          <w:bCs/>
          <w:sz w:val="24"/>
          <w:szCs w:val="24"/>
          <w:lang w:val="en-US" w:eastAsia="zh-CN"/>
        </w:rPr>
        <w:t>8</w:t>
      </w:r>
      <w:r w:rsidRPr="00E25DFD">
        <w:rPr>
          <w:rFonts w:ascii="Book Antiqua" w:eastAsia="宋体" w:hAnsi="Book Antiqua" w:cs="宋体"/>
          <w:sz w:val="24"/>
          <w:szCs w:val="24"/>
          <w:lang w:val="en-US" w:eastAsia="zh-CN"/>
        </w:rPr>
        <w:t>: 369-377 [PMID: 17351619 DOI: ni1449]</w:t>
      </w:r>
    </w:p>
    <w:p w14:paraId="353A61DC"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21 </w:t>
      </w:r>
      <w:r w:rsidRPr="00E25DFD">
        <w:rPr>
          <w:rFonts w:ascii="Book Antiqua" w:eastAsia="宋体" w:hAnsi="Book Antiqua" w:cs="宋体"/>
          <w:b/>
          <w:bCs/>
          <w:sz w:val="24"/>
          <w:szCs w:val="24"/>
          <w:lang w:val="en-US" w:eastAsia="zh-CN"/>
        </w:rPr>
        <w:t>Harbour SN</w:t>
      </w:r>
      <w:r w:rsidRPr="00E25DFD">
        <w:rPr>
          <w:rFonts w:ascii="Book Antiqua" w:eastAsia="宋体" w:hAnsi="Book Antiqua" w:cs="宋体"/>
          <w:sz w:val="24"/>
          <w:szCs w:val="24"/>
          <w:lang w:val="en-US" w:eastAsia="zh-CN"/>
        </w:rPr>
        <w:t xml:space="preserve">, Maynard CL, Zindl CL, Schoeb TR, Weaver CT. Th17 cells give rise to Th1 cells that are required for the pathogenesis of colitis. </w:t>
      </w:r>
      <w:r w:rsidRPr="00E25DFD">
        <w:rPr>
          <w:rFonts w:ascii="Book Antiqua" w:eastAsia="宋体" w:hAnsi="Book Antiqua" w:cs="宋体"/>
          <w:i/>
          <w:iCs/>
          <w:sz w:val="24"/>
          <w:szCs w:val="24"/>
          <w:lang w:val="en-US" w:eastAsia="zh-CN"/>
        </w:rPr>
        <w:t>Proc Natl Acad Sci U S A</w:t>
      </w:r>
      <w:r w:rsidRPr="00E25DFD">
        <w:rPr>
          <w:rFonts w:ascii="Book Antiqua" w:eastAsia="宋体" w:hAnsi="Book Antiqua" w:cs="宋体"/>
          <w:sz w:val="24"/>
          <w:szCs w:val="24"/>
          <w:lang w:val="en-US" w:eastAsia="zh-CN"/>
        </w:rPr>
        <w:t xml:space="preserve"> 2015; </w:t>
      </w:r>
      <w:r w:rsidRPr="00E25DFD">
        <w:rPr>
          <w:rFonts w:ascii="Book Antiqua" w:eastAsia="宋体" w:hAnsi="Book Antiqua" w:cs="宋体"/>
          <w:b/>
          <w:bCs/>
          <w:sz w:val="24"/>
          <w:szCs w:val="24"/>
          <w:lang w:val="en-US" w:eastAsia="zh-CN"/>
        </w:rPr>
        <w:t>112</w:t>
      </w:r>
      <w:r w:rsidRPr="00E25DFD">
        <w:rPr>
          <w:rFonts w:ascii="Book Antiqua" w:eastAsia="宋体" w:hAnsi="Book Antiqua" w:cs="宋体"/>
          <w:sz w:val="24"/>
          <w:szCs w:val="24"/>
          <w:lang w:val="en-US" w:eastAsia="zh-CN"/>
        </w:rPr>
        <w:t>: 7061-7066 [PMID: 26038559 DOI: 10.1073/pnas.1415675112]</w:t>
      </w:r>
    </w:p>
    <w:p w14:paraId="1BC917AE"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22 </w:t>
      </w:r>
      <w:r w:rsidRPr="00E25DFD">
        <w:rPr>
          <w:rFonts w:ascii="Book Antiqua" w:eastAsia="宋体" w:hAnsi="Book Antiqua" w:cs="宋体"/>
          <w:b/>
          <w:bCs/>
          <w:sz w:val="24"/>
          <w:szCs w:val="24"/>
          <w:lang w:val="en-US" w:eastAsia="zh-CN"/>
        </w:rPr>
        <w:t>Koenen HJ</w:t>
      </w:r>
      <w:r w:rsidRPr="00E25DFD">
        <w:rPr>
          <w:rFonts w:ascii="Book Antiqua" w:eastAsia="宋体" w:hAnsi="Book Antiqua" w:cs="宋体"/>
          <w:sz w:val="24"/>
          <w:szCs w:val="24"/>
          <w:lang w:val="en-US" w:eastAsia="zh-CN"/>
        </w:rPr>
        <w:t xml:space="preserve">, Smeets RL, Vink PM, van Rijssen E, Boots AM, Joosten I. Human CD25highFoxp3pos regulatory T cells differentiate into IL-17-producing cells. </w:t>
      </w:r>
      <w:r w:rsidRPr="00E25DFD">
        <w:rPr>
          <w:rFonts w:ascii="Book Antiqua" w:eastAsia="宋体" w:hAnsi="Book Antiqua" w:cs="宋体"/>
          <w:i/>
          <w:iCs/>
          <w:sz w:val="24"/>
          <w:szCs w:val="24"/>
          <w:lang w:val="en-US" w:eastAsia="zh-CN"/>
        </w:rPr>
        <w:t>Blood</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112</w:t>
      </w:r>
      <w:r w:rsidRPr="00E25DFD">
        <w:rPr>
          <w:rFonts w:ascii="Book Antiqua" w:eastAsia="宋体" w:hAnsi="Book Antiqua" w:cs="宋体"/>
          <w:sz w:val="24"/>
          <w:szCs w:val="24"/>
          <w:lang w:val="en-US" w:eastAsia="zh-CN"/>
        </w:rPr>
        <w:t>: 2340-2352 [PMID: 18617638 DOI: 10.1182/blood-2008-01-133967]</w:t>
      </w:r>
    </w:p>
    <w:p w14:paraId="0C9E3120"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23 </w:t>
      </w:r>
      <w:r w:rsidRPr="00E25DFD">
        <w:rPr>
          <w:rFonts w:ascii="Book Antiqua" w:eastAsia="宋体" w:hAnsi="Book Antiqua" w:cs="宋体"/>
          <w:b/>
          <w:bCs/>
          <w:sz w:val="24"/>
          <w:szCs w:val="24"/>
          <w:lang w:val="en-US" w:eastAsia="zh-CN"/>
        </w:rPr>
        <w:t>Hori S</w:t>
      </w:r>
      <w:r w:rsidRPr="00E25DFD">
        <w:rPr>
          <w:rFonts w:ascii="Book Antiqua" w:eastAsia="宋体" w:hAnsi="Book Antiqua" w:cs="宋体"/>
          <w:sz w:val="24"/>
          <w:szCs w:val="24"/>
          <w:lang w:val="en-US" w:eastAsia="zh-CN"/>
        </w:rPr>
        <w:t xml:space="preserve">, Nomura T, Sakaguchi S. Control of regulatory T cell development by the transcription factor Foxp3. </w:t>
      </w:r>
      <w:r w:rsidRPr="00E25DFD">
        <w:rPr>
          <w:rFonts w:ascii="Book Antiqua" w:eastAsia="宋体" w:hAnsi="Book Antiqua" w:cs="宋体"/>
          <w:i/>
          <w:iCs/>
          <w:sz w:val="24"/>
          <w:szCs w:val="24"/>
          <w:lang w:val="en-US" w:eastAsia="zh-CN"/>
        </w:rPr>
        <w:t>Science</w:t>
      </w:r>
      <w:r w:rsidRPr="00E25DFD">
        <w:rPr>
          <w:rFonts w:ascii="Book Antiqua" w:eastAsia="宋体" w:hAnsi="Book Antiqua" w:cs="宋体"/>
          <w:sz w:val="24"/>
          <w:szCs w:val="24"/>
          <w:lang w:val="en-US" w:eastAsia="zh-CN"/>
        </w:rPr>
        <w:t xml:space="preserve"> 2003; </w:t>
      </w:r>
      <w:r w:rsidRPr="00E25DFD">
        <w:rPr>
          <w:rFonts w:ascii="Book Antiqua" w:eastAsia="宋体" w:hAnsi="Book Antiqua" w:cs="宋体"/>
          <w:b/>
          <w:bCs/>
          <w:sz w:val="24"/>
          <w:szCs w:val="24"/>
          <w:lang w:val="en-US" w:eastAsia="zh-CN"/>
        </w:rPr>
        <w:t>299</w:t>
      </w:r>
      <w:r w:rsidRPr="00E25DFD">
        <w:rPr>
          <w:rFonts w:ascii="Book Antiqua" w:eastAsia="宋体" w:hAnsi="Book Antiqua" w:cs="宋体"/>
          <w:sz w:val="24"/>
          <w:szCs w:val="24"/>
          <w:lang w:val="en-US" w:eastAsia="zh-CN"/>
        </w:rPr>
        <w:t>: 1057-1061 [PMID: 12522256 DOI: 10.1126/science.1079490]</w:t>
      </w:r>
    </w:p>
    <w:p w14:paraId="2BCF53F8"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24 </w:t>
      </w:r>
      <w:r w:rsidRPr="00E25DFD">
        <w:rPr>
          <w:rFonts w:ascii="Book Antiqua" w:eastAsia="宋体" w:hAnsi="Book Antiqua" w:cs="宋体"/>
          <w:b/>
          <w:bCs/>
          <w:sz w:val="24"/>
          <w:szCs w:val="24"/>
          <w:lang w:val="en-US" w:eastAsia="zh-CN"/>
        </w:rPr>
        <w:t>Makita S</w:t>
      </w:r>
      <w:r w:rsidRPr="00E25DFD">
        <w:rPr>
          <w:rFonts w:ascii="Book Antiqua" w:eastAsia="宋体" w:hAnsi="Book Antiqua" w:cs="宋体"/>
          <w:sz w:val="24"/>
          <w:szCs w:val="24"/>
          <w:lang w:val="en-US" w:eastAsia="zh-CN"/>
        </w:rPr>
        <w:t xml:space="preserve">, Kanai T, Oshima S, Uraushihara K, Totsuka T, Sawada T, Nakamura T, Koganei K, Fukushima T, Watanabe M. CD4+CD25bright T cells in human intestinal lamina propria as regulatory cells. </w:t>
      </w:r>
      <w:r w:rsidRPr="00E25DFD">
        <w:rPr>
          <w:rFonts w:ascii="Book Antiqua" w:eastAsia="宋体" w:hAnsi="Book Antiqua" w:cs="宋体"/>
          <w:i/>
          <w:iCs/>
          <w:sz w:val="24"/>
          <w:szCs w:val="24"/>
          <w:lang w:val="en-US" w:eastAsia="zh-CN"/>
        </w:rPr>
        <w:t>J Immunol</w:t>
      </w:r>
      <w:r w:rsidRPr="00E25DFD">
        <w:rPr>
          <w:rFonts w:ascii="Book Antiqua" w:eastAsia="宋体" w:hAnsi="Book Antiqua" w:cs="宋体"/>
          <w:sz w:val="24"/>
          <w:szCs w:val="24"/>
          <w:lang w:val="en-US" w:eastAsia="zh-CN"/>
        </w:rPr>
        <w:t xml:space="preserve"> 2004; </w:t>
      </w:r>
      <w:r w:rsidRPr="00E25DFD">
        <w:rPr>
          <w:rFonts w:ascii="Book Antiqua" w:eastAsia="宋体" w:hAnsi="Book Antiqua" w:cs="宋体"/>
          <w:b/>
          <w:bCs/>
          <w:sz w:val="24"/>
          <w:szCs w:val="24"/>
          <w:lang w:val="en-US" w:eastAsia="zh-CN"/>
        </w:rPr>
        <w:t>173</w:t>
      </w:r>
      <w:r w:rsidRPr="00E25DFD">
        <w:rPr>
          <w:rFonts w:ascii="Book Antiqua" w:eastAsia="宋体" w:hAnsi="Book Antiqua" w:cs="宋体"/>
          <w:sz w:val="24"/>
          <w:szCs w:val="24"/>
          <w:lang w:val="en-US" w:eastAsia="zh-CN"/>
        </w:rPr>
        <w:t>: 3119-3130 [PMID: 15322172 DOI: 173/5/3119]</w:t>
      </w:r>
    </w:p>
    <w:p w14:paraId="4BD5258A"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25 </w:t>
      </w:r>
      <w:r w:rsidRPr="00E25DFD">
        <w:rPr>
          <w:rFonts w:ascii="Book Antiqua" w:eastAsia="宋体" w:hAnsi="Book Antiqua" w:cs="宋体"/>
          <w:b/>
          <w:bCs/>
          <w:sz w:val="24"/>
          <w:szCs w:val="24"/>
          <w:lang w:val="en-US" w:eastAsia="zh-CN"/>
        </w:rPr>
        <w:t>Mucida D</w:t>
      </w:r>
      <w:r w:rsidRPr="00E25DFD">
        <w:rPr>
          <w:rFonts w:ascii="Book Antiqua" w:eastAsia="宋体" w:hAnsi="Book Antiqua" w:cs="宋体"/>
          <w:sz w:val="24"/>
          <w:szCs w:val="24"/>
          <w:lang w:val="en-US" w:eastAsia="zh-CN"/>
        </w:rPr>
        <w:t xml:space="preserve">, Park Y, Kim G, Turovskaya O, Scott I, Kronenberg M, Cheroutre H. Reciprocal TH17 and regulatory T cell differentiation mediated by retinoic acid. </w:t>
      </w:r>
      <w:r w:rsidRPr="00E25DFD">
        <w:rPr>
          <w:rFonts w:ascii="Book Antiqua" w:eastAsia="宋体" w:hAnsi="Book Antiqua" w:cs="宋体"/>
          <w:i/>
          <w:iCs/>
          <w:sz w:val="24"/>
          <w:szCs w:val="24"/>
          <w:lang w:val="en-US" w:eastAsia="zh-CN"/>
        </w:rPr>
        <w:t>Science</w:t>
      </w:r>
      <w:r w:rsidRPr="00E25DFD">
        <w:rPr>
          <w:rFonts w:ascii="Book Antiqua" w:eastAsia="宋体" w:hAnsi="Book Antiqua" w:cs="宋体"/>
          <w:sz w:val="24"/>
          <w:szCs w:val="24"/>
          <w:lang w:val="en-US" w:eastAsia="zh-CN"/>
        </w:rPr>
        <w:t xml:space="preserve"> 2007; </w:t>
      </w:r>
      <w:r w:rsidRPr="00E25DFD">
        <w:rPr>
          <w:rFonts w:ascii="Book Antiqua" w:eastAsia="宋体" w:hAnsi="Book Antiqua" w:cs="宋体"/>
          <w:b/>
          <w:bCs/>
          <w:sz w:val="24"/>
          <w:szCs w:val="24"/>
          <w:lang w:val="en-US" w:eastAsia="zh-CN"/>
        </w:rPr>
        <w:t>317</w:t>
      </w:r>
      <w:r w:rsidRPr="00E25DFD">
        <w:rPr>
          <w:rFonts w:ascii="Book Antiqua" w:eastAsia="宋体" w:hAnsi="Book Antiqua" w:cs="宋体"/>
          <w:sz w:val="24"/>
          <w:szCs w:val="24"/>
          <w:lang w:val="en-US" w:eastAsia="zh-CN"/>
        </w:rPr>
        <w:t>: 256-260 [PMID: 17569825 DOI: 1145697]</w:t>
      </w:r>
    </w:p>
    <w:p w14:paraId="4B0DEDCF"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26 </w:t>
      </w:r>
      <w:r w:rsidRPr="00E25DFD">
        <w:rPr>
          <w:rFonts w:ascii="Book Antiqua" w:eastAsia="宋体" w:hAnsi="Book Antiqua" w:cs="宋体"/>
          <w:b/>
          <w:bCs/>
          <w:sz w:val="24"/>
          <w:szCs w:val="24"/>
          <w:lang w:val="en-US" w:eastAsia="zh-CN"/>
        </w:rPr>
        <w:t>Gratz IK</w:t>
      </w:r>
      <w:r w:rsidRPr="00E25DFD">
        <w:rPr>
          <w:rFonts w:ascii="Book Antiqua" w:eastAsia="宋体" w:hAnsi="Book Antiqua" w:cs="宋体"/>
          <w:sz w:val="24"/>
          <w:szCs w:val="24"/>
          <w:lang w:val="en-US" w:eastAsia="zh-CN"/>
        </w:rPr>
        <w:t xml:space="preserve">, Campbell DJ. Organ-specific and memory treg cells: specificity, development, function, and maintenance. </w:t>
      </w:r>
      <w:r w:rsidRPr="00E25DFD">
        <w:rPr>
          <w:rFonts w:ascii="Book Antiqua" w:eastAsia="宋体" w:hAnsi="Book Antiqua" w:cs="宋体"/>
          <w:i/>
          <w:iCs/>
          <w:sz w:val="24"/>
          <w:szCs w:val="24"/>
          <w:lang w:val="en-US" w:eastAsia="zh-CN"/>
        </w:rPr>
        <w:t>Front Immunol</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5</w:t>
      </w:r>
      <w:r w:rsidRPr="00E25DFD">
        <w:rPr>
          <w:rFonts w:ascii="Book Antiqua" w:eastAsia="宋体" w:hAnsi="Book Antiqua" w:cs="宋体"/>
          <w:sz w:val="24"/>
          <w:szCs w:val="24"/>
          <w:lang w:val="en-US" w:eastAsia="zh-CN"/>
        </w:rPr>
        <w:t>: 333 [PMID: 25076948 DOI: 10.3389/fimmu.2014.00333]</w:t>
      </w:r>
    </w:p>
    <w:p w14:paraId="7068ED65"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27 </w:t>
      </w:r>
      <w:r w:rsidRPr="00E25DFD">
        <w:rPr>
          <w:rFonts w:ascii="Book Antiqua" w:eastAsia="宋体" w:hAnsi="Book Antiqua" w:cs="宋体"/>
          <w:b/>
          <w:bCs/>
          <w:sz w:val="24"/>
          <w:szCs w:val="24"/>
          <w:lang w:val="en-US" w:eastAsia="zh-CN"/>
        </w:rPr>
        <w:t>Fujino S</w:t>
      </w:r>
      <w:r w:rsidRPr="00E25DFD">
        <w:rPr>
          <w:rFonts w:ascii="Book Antiqua" w:eastAsia="宋体" w:hAnsi="Book Antiqua" w:cs="宋体"/>
          <w:sz w:val="24"/>
          <w:szCs w:val="24"/>
          <w:lang w:val="en-US" w:eastAsia="zh-CN"/>
        </w:rPr>
        <w:t xml:space="preserve">, Andoh A, Bamba S, Ogawa A, Hata K, Araki Y, Bamba T, Fujiyama Y. Increased expression of interleukin 17 in inflammatory bowel disease. </w:t>
      </w:r>
      <w:r w:rsidRPr="00E25DFD">
        <w:rPr>
          <w:rFonts w:ascii="Book Antiqua" w:eastAsia="宋体" w:hAnsi="Book Antiqua" w:cs="宋体"/>
          <w:i/>
          <w:iCs/>
          <w:sz w:val="24"/>
          <w:szCs w:val="24"/>
          <w:lang w:val="en-US" w:eastAsia="zh-CN"/>
        </w:rPr>
        <w:t>Gut</w:t>
      </w:r>
      <w:r w:rsidRPr="00E25DFD">
        <w:rPr>
          <w:rFonts w:ascii="Book Antiqua" w:eastAsia="宋体" w:hAnsi="Book Antiqua" w:cs="宋体"/>
          <w:sz w:val="24"/>
          <w:szCs w:val="24"/>
          <w:lang w:val="en-US" w:eastAsia="zh-CN"/>
        </w:rPr>
        <w:t xml:space="preserve"> 2003; </w:t>
      </w:r>
      <w:r w:rsidRPr="00E25DFD">
        <w:rPr>
          <w:rFonts w:ascii="Book Antiqua" w:eastAsia="宋体" w:hAnsi="Book Antiqua" w:cs="宋体"/>
          <w:b/>
          <w:bCs/>
          <w:sz w:val="24"/>
          <w:szCs w:val="24"/>
          <w:lang w:val="en-US" w:eastAsia="zh-CN"/>
        </w:rPr>
        <w:t>52</w:t>
      </w:r>
      <w:r w:rsidRPr="00E25DFD">
        <w:rPr>
          <w:rFonts w:ascii="Book Antiqua" w:eastAsia="宋体" w:hAnsi="Book Antiqua" w:cs="宋体"/>
          <w:sz w:val="24"/>
          <w:szCs w:val="24"/>
          <w:lang w:val="en-US" w:eastAsia="zh-CN"/>
        </w:rPr>
        <w:t>: 65-70 [PMID: 12477762]</w:t>
      </w:r>
    </w:p>
    <w:p w14:paraId="04683BAC"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lastRenderedPageBreak/>
        <w:t xml:space="preserve">28 </w:t>
      </w:r>
      <w:r w:rsidRPr="00E25DFD">
        <w:rPr>
          <w:rFonts w:ascii="Book Antiqua" w:eastAsia="宋体" w:hAnsi="Book Antiqua" w:cs="宋体"/>
          <w:b/>
          <w:bCs/>
          <w:sz w:val="24"/>
          <w:szCs w:val="24"/>
          <w:lang w:val="en-US" w:eastAsia="zh-CN"/>
        </w:rPr>
        <w:t>Yang XO</w:t>
      </w:r>
      <w:r w:rsidRPr="00E25DFD">
        <w:rPr>
          <w:rFonts w:ascii="Book Antiqua" w:eastAsia="宋体" w:hAnsi="Book Antiqua" w:cs="宋体"/>
          <w:sz w:val="24"/>
          <w:szCs w:val="24"/>
          <w:lang w:val="en-US" w:eastAsia="zh-CN"/>
        </w:rPr>
        <w:t xml:space="preserve">, Chang SH, Park H, Nurieva R, Shah B, Acero L, Wang YH, Schluns KS, Broaddus RR, Zhu Z, Dong C. Regulation of inflammatory responses by IL-17F. </w:t>
      </w:r>
      <w:r w:rsidRPr="00E25DFD">
        <w:rPr>
          <w:rFonts w:ascii="Book Antiqua" w:eastAsia="宋体" w:hAnsi="Book Antiqua" w:cs="宋体"/>
          <w:i/>
          <w:iCs/>
          <w:sz w:val="24"/>
          <w:szCs w:val="24"/>
          <w:lang w:val="en-US" w:eastAsia="zh-CN"/>
        </w:rPr>
        <w:t>J Exp Med</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205</w:t>
      </w:r>
      <w:r w:rsidRPr="00E25DFD">
        <w:rPr>
          <w:rFonts w:ascii="Book Antiqua" w:eastAsia="宋体" w:hAnsi="Book Antiqua" w:cs="宋体"/>
          <w:sz w:val="24"/>
          <w:szCs w:val="24"/>
          <w:lang w:val="en-US" w:eastAsia="zh-CN"/>
        </w:rPr>
        <w:t>: 1063-1075 [PMID: 18411338 DOI: 10.1084/jem.20071978]</w:t>
      </w:r>
    </w:p>
    <w:p w14:paraId="2DC5F241"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29 </w:t>
      </w:r>
      <w:r w:rsidRPr="00E25DFD">
        <w:rPr>
          <w:rFonts w:ascii="Book Antiqua" w:eastAsia="宋体" w:hAnsi="Book Antiqua" w:cs="宋体"/>
          <w:b/>
          <w:bCs/>
          <w:sz w:val="24"/>
          <w:szCs w:val="24"/>
          <w:lang w:val="en-US" w:eastAsia="zh-CN"/>
        </w:rPr>
        <w:t>Blaschitz C</w:t>
      </w:r>
      <w:r w:rsidRPr="00E25DFD">
        <w:rPr>
          <w:rFonts w:ascii="Book Antiqua" w:eastAsia="宋体" w:hAnsi="Book Antiqua" w:cs="宋体"/>
          <w:sz w:val="24"/>
          <w:szCs w:val="24"/>
          <w:lang w:val="en-US" w:eastAsia="zh-CN"/>
        </w:rPr>
        <w:t xml:space="preserve">, Raffatellu M. Th17 cytokines and the gut mucosal barrier. </w:t>
      </w:r>
      <w:r w:rsidRPr="00E25DFD">
        <w:rPr>
          <w:rFonts w:ascii="Book Antiqua" w:eastAsia="宋体" w:hAnsi="Book Antiqua" w:cs="宋体"/>
          <w:i/>
          <w:iCs/>
          <w:sz w:val="24"/>
          <w:szCs w:val="24"/>
          <w:lang w:val="en-US" w:eastAsia="zh-CN"/>
        </w:rPr>
        <w:t>J Clin Immunol</w:t>
      </w:r>
      <w:r w:rsidRPr="00E25DFD">
        <w:rPr>
          <w:rFonts w:ascii="Book Antiqua" w:eastAsia="宋体" w:hAnsi="Book Antiqua" w:cs="宋体"/>
          <w:sz w:val="24"/>
          <w:szCs w:val="24"/>
          <w:lang w:val="en-US" w:eastAsia="zh-CN"/>
        </w:rPr>
        <w:t xml:space="preserve"> 2010; </w:t>
      </w:r>
      <w:r w:rsidRPr="00E25DFD">
        <w:rPr>
          <w:rFonts w:ascii="Book Antiqua" w:eastAsia="宋体" w:hAnsi="Book Antiqua" w:cs="宋体"/>
          <w:b/>
          <w:bCs/>
          <w:sz w:val="24"/>
          <w:szCs w:val="24"/>
          <w:lang w:val="en-US" w:eastAsia="zh-CN"/>
        </w:rPr>
        <w:t>30</w:t>
      </w:r>
      <w:r w:rsidRPr="00E25DFD">
        <w:rPr>
          <w:rFonts w:ascii="Book Antiqua" w:eastAsia="宋体" w:hAnsi="Book Antiqua" w:cs="宋体"/>
          <w:sz w:val="24"/>
          <w:szCs w:val="24"/>
          <w:lang w:val="en-US" w:eastAsia="zh-CN"/>
        </w:rPr>
        <w:t>: 196-203 [PMID: 20127275 DOI: 10.1007/s10875-010-9368-7]</w:t>
      </w:r>
    </w:p>
    <w:p w14:paraId="1DEB6701"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30 </w:t>
      </w:r>
      <w:r w:rsidRPr="00E25DFD">
        <w:rPr>
          <w:rFonts w:ascii="Book Antiqua" w:eastAsia="宋体" w:hAnsi="Book Antiqua" w:cs="宋体"/>
          <w:b/>
          <w:bCs/>
          <w:sz w:val="24"/>
          <w:szCs w:val="24"/>
          <w:lang w:val="en-US" w:eastAsia="zh-CN"/>
        </w:rPr>
        <w:t>Ciofani M</w:t>
      </w:r>
      <w:r w:rsidRPr="00E25DFD">
        <w:rPr>
          <w:rFonts w:ascii="Book Antiqua" w:eastAsia="宋体" w:hAnsi="Book Antiqua" w:cs="宋体"/>
          <w:sz w:val="24"/>
          <w:szCs w:val="24"/>
          <w:lang w:val="en-US" w:eastAsia="zh-CN"/>
        </w:rPr>
        <w:t xml:space="preserve">, Madar A, Galan C, Sellars M, Mace K, Pauli F, Agarwal A, Huang W, Parkurst CN, Muratet M, Newberry KM, Meadows S, Greenfield A, Yang Y, Jain P, Kirigin FK, Birchmeier C, Wagner EF, Murphy KM, Myers RM, Bonneau R, Littman DR. A validated regulatory network for Th17 cell specification. </w:t>
      </w:r>
      <w:r w:rsidRPr="00E25DFD">
        <w:rPr>
          <w:rFonts w:ascii="Book Antiqua" w:eastAsia="宋体" w:hAnsi="Book Antiqua" w:cs="宋体"/>
          <w:i/>
          <w:iCs/>
          <w:sz w:val="24"/>
          <w:szCs w:val="24"/>
          <w:lang w:val="en-US" w:eastAsia="zh-CN"/>
        </w:rPr>
        <w:t>Cell</w:t>
      </w:r>
      <w:r w:rsidRPr="00E25DFD">
        <w:rPr>
          <w:rFonts w:ascii="Book Antiqua" w:eastAsia="宋体" w:hAnsi="Book Antiqua" w:cs="宋体"/>
          <w:sz w:val="24"/>
          <w:szCs w:val="24"/>
          <w:lang w:val="en-US" w:eastAsia="zh-CN"/>
        </w:rPr>
        <w:t xml:space="preserve"> 2012; </w:t>
      </w:r>
      <w:r w:rsidRPr="00E25DFD">
        <w:rPr>
          <w:rFonts w:ascii="Book Antiqua" w:eastAsia="宋体" w:hAnsi="Book Antiqua" w:cs="宋体"/>
          <w:b/>
          <w:bCs/>
          <w:sz w:val="24"/>
          <w:szCs w:val="24"/>
          <w:lang w:val="en-US" w:eastAsia="zh-CN"/>
        </w:rPr>
        <w:t>151</w:t>
      </w:r>
      <w:r w:rsidRPr="00E25DFD">
        <w:rPr>
          <w:rFonts w:ascii="Book Antiqua" w:eastAsia="宋体" w:hAnsi="Book Antiqua" w:cs="宋体"/>
          <w:sz w:val="24"/>
          <w:szCs w:val="24"/>
          <w:lang w:val="en-US" w:eastAsia="zh-CN"/>
        </w:rPr>
        <w:t>: 289-303 [PMID: 23021777 DOI: 10.1016/j.cell.2012.09.016]</w:t>
      </w:r>
    </w:p>
    <w:p w14:paraId="52CC6EB5" w14:textId="00343097" w:rsidR="007E4174" w:rsidRPr="007E4174" w:rsidRDefault="007E4174" w:rsidP="007E4174">
      <w:pPr>
        <w:spacing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val="en-US" w:eastAsia="zh-CN"/>
        </w:rPr>
        <w:t>31</w:t>
      </w:r>
      <w:r w:rsidRPr="007E4174">
        <w:rPr>
          <w:rFonts w:ascii="Book Antiqua" w:eastAsia="宋体" w:hAnsi="Book Antiqua" w:cs="宋体" w:hint="eastAsia"/>
          <w:sz w:val="24"/>
          <w:szCs w:val="24"/>
          <w:lang w:val="en-US" w:eastAsia="zh-CN"/>
        </w:rPr>
        <w:t xml:space="preserve"> </w:t>
      </w:r>
      <w:r w:rsidRPr="00542439">
        <w:rPr>
          <w:rFonts w:ascii="Book Antiqua" w:eastAsia="宋体" w:hAnsi="Book Antiqua" w:cs="宋体"/>
          <w:b/>
          <w:sz w:val="24"/>
          <w:szCs w:val="24"/>
          <w:lang w:eastAsia="zh-CN"/>
        </w:rPr>
        <w:t>Jostins L</w:t>
      </w:r>
      <w:r w:rsidRPr="007E4174">
        <w:rPr>
          <w:rFonts w:ascii="Book Antiqua" w:eastAsia="宋体" w:hAnsi="Book Antiqua" w:cs="宋体"/>
          <w:sz w:val="24"/>
          <w:szCs w:val="24"/>
          <w:lang w:eastAsia="zh-CN"/>
        </w:rPr>
        <w:t>,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Buning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w:t>
      </w:r>
      <w:r w:rsidRPr="007E4174">
        <w:rPr>
          <w:rFonts w:ascii="Book Antiqua" w:eastAsia="宋体" w:hAnsi="Book Antiqua" w:cs="宋体"/>
          <w:i/>
          <w:iCs/>
          <w:sz w:val="24"/>
          <w:szCs w:val="24"/>
          <w:lang w:eastAsia="zh-CN"/>
        </w:rPr>
        <w:t>. Nature</w:t>
      </w:r>
      <w:r w:rsidRPr="007E4174">
        <w:rPr>
          <w:rFonts w:ascii="Book Antiqua" w:eastAsia="宋体" w:hAnsi="Book Antiqua" w:cs="宋体"/>
          <w:sz w:val="24"/>
          <w:szCs w:val="24"/>
          <w:lang w:eastAsia="zh-CN"/>
        </w:rPr>
        <w:t xml:space="preserve"> 2012; </w:t>
      </w:r>
      <w:r w:rsidRPr="007E4174">
        <w:rPr>
          <w:rFonts w:ascii="Book Antiqua" w:eastAsia="宋体" w:hAnsi="Book Antiqua" w:cs="宋体"/>
          <w:b/>
          <w:bCs/>
          <w:sz w:val="24"/>
          <w:szCs w:val="24"/>
          <w:lang w:eastAsia="zh-CN"/>
        </w:rPr>
        <w:t>491</w:t>
      </w:r>
      <w:r w:rsidRPr="007E4174">
        <w:rPr>
          <w:rFonts w:ascii="Book Antiqua" w:eastAsia="宋体" w:hAnsi="Book Antiqua" w:cs="宋体"/>
          <w:sz w:val="24"/>
          <w:szCs w:val="24"/>
          <w:lang w:eastAsia="zh-CN"/>
        </w:rPr>
        <w:t>: 119-124 [PMID: 23128233 DOI:</w:t>
      </w:r>
      <w:r w:rsidR="00542439">
        <w:rPr>
          <w:rFonts w:ascii="Book Antiqua" w:eastAsia="宋体" w:hAnsi="Book Antiqua" w:cs="宋体" w:hint="eastAsia"/>
          <w:sz w:val="24"/>
          <w:szCs w:val="24"/>
          <w:lang w:eastAsia="zh-CN"/>
        </w:rPr>
        <w:t xml:space="preserve"> </w:t>
      </w:r>
      <w:r w:rsidRPr="007E4174">
        <w:rPr>
          <w:rFonts w:ascii="Book Antiqua" w:eastAsia="宋体" w:hAnsi="Book Antiqua" w:cs="宋体"/>
          <w:sz w:val="24"/>
          <w:szCs w:val="24"/>
          <w:lang w:eastAsia="zh-CN"/>
        </w:rPr>
        <w:t>10.1038/nature11582</w:t>
      </w:r>
      <w:r w:rsidR="00542439">
        <w:rPr>
          <w:rFonts w:ascii="Book Antiqua" w:eastAsia="宋体" w:hAnsi="Book Antiqua" w:cs="宋体"/>
          <w:sz w:val="24"/>
          <w:szCs w:val="24"/>
          <w:lang w:eastAsia="zh-CN"/>
        </w:rPr>
        <w:t>]</w:t>
      </w:r>
    </w:p>
    <w:p w14:paraId="6ADB5E76" w14:textId="63FD4415" w:rsidR="00E25DFD" w:rsidRPr="00E25DFD" w:rsidRDefault="00E25DFD" w:rsidP="00E25DFD">
      <w:pPr>
        <w:spacing w:after="0" w:line="360" w:lineRule="auto"/>
        <w:jc w:val="both"/>
        <w:rPr>
          <w:rFonts w:ascii="Book Antiqua" w:eastAsia="宋体" w:hAnsi="Book Antiqua" w:cs="宋体"/>
          <w:sz w:val="24"/>
          <w:szCs w:val="24"/>
          <w:lang w:val="en-US" w:eastAsia="zh-CN"/>
        </w:rPr>
      </w:pPr>
    </w:p>
    <w:p w14:paraId="7CC3D18B"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lastRenderedPageBreak/>
        <w:t xml:space="preserve">32 </w:t>
      </w:r>
      <w:r w:rsidRPr="00E25DFD">
        <w:rPr>
          <w:rFonts w:ascii="Book Antiqua" w:eastAsia="宋体" w:hAnsi="Book Antiqua" w:cs="宋体"/>
          <w:b/>
          <w:bCs/>
          <w:sz w:val="24"/>
          <w:szCs w:val="24"/>
          <w:lang w:val="en-US" w:eastAsia="zh-CN"/>
        </w:rPr>
        <w:t>Wu C</w:t>
      </w:r>
      <w:r w:rsidRPr="00E25DFD">
        <w:rPr>
          <w:rFonts w:ascii="Book Antiqua" w:eastAsia="宋体" w:hAnsi="Book Antiqua" w:cs="宋体"/>
          <w:sz w:val="24"/>
          <w:szCs w:val="24"/>
          <w:lang w:val="en-US" w:eastAsia="zh-CN"/>
        </w:rPr>
        <w:t xml:space="preserve">, Yosef N, Thalhamer T, Zhu C, Xiao S, Kishi Y, Regev A, Kuchroo VK. Induction of pathogenic TH17 cells by inducible salt-sensing kinase SGK1.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2013; </w:t>
      </w:r>
      <w:r w:rsidRPr="00E25DFD">
        <w:rPr>
          <w:rFonts w:ascii="Book Antiqua" w:eastAsia="宋体" w:hAnsi="Book Antiqua" w:cs="宋体"/>
          <w:b/>
          <w:bCs/>
          <w:sz w:val="24"/>
          <w:szCs w:val="24"/>
          <w:lang w:val="en-US" w:eastAsia="zh-CN"/>
        </w:rPr>
        <w:t>496</w:t>
      </w:r>
      <w:r w:rsidRPr="00E25DFD">
        <w:rPr>
          <w:rFonts w:ascii="Book Antiqua" w:eastAsia="宋体" w:hAnsi="Book Antiqua" w:cs="宋体"/>
          <w:sz w:val="24"/>
          <w:szCs w:val="24"/>
          <w:lang w:val="en-US" w:eastAsia="zh-CN"/>
        </w:rPr>
        <w:t>: 513-517 [PMID: 23467085 DOI: 10.1038/nature11984]</w:t>
      </w:r>
    </w:p>
    <w:p w14:paraId="7F4ACB49"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33 </w:t>
      </w:r>
      <w:r w:rsidRPr="00E25DFD">
        <w:rPr>
          <w:rFonts w:ascii="Book Antiqua" w:eastAsia="宋体" w:hAnsi="Book Antiqua" w:cs="宋体"/>
          <w:b/>
          <w:bCs/>
          <w:sz w:val="24"/>
          <w:szCs w:val="24"/>
          <w:lang w:val="en-US" w:eastAsia="zh-CN"/>
        </w:rPr>
        <w:t>Dang EV</w:t>
      </w:r>
      <w:r w:rsidRPr="00E25DFD">
        <w:rPr>
          <w:rFonts w:ascii="Book Antiqua" w:eastAsia="宋体" w:hAnsi="Book Antiqua" w:cs="宋体"/>
          <w:sz w:val="24"/>
          <w:szCs w:val="24"/>
          <w:lang w:val="en-US" w:eastAsia="zh-CN"/>
        </w:rPr>
        <w:t xml:space="preserve">, Barbi J, Yang HY, Jinasena D, Yu H, Zheng Y, Bordman Z, Fu J, Kim Y, Yen HR, Luo W, Zeller K, Shimoda L, Topalian SL, Semenza GL, Dang CV, Pardoll DM, Pan F. Control of T(H)17/T(reg) balance by hypoxia-inducible factor 1. </w:t>
      </w:r>
      <w:r w:rsidRPr="00E25DFD">
        <w:rPr>
          <w:rFonts w:ascii="Book Antiqua" w:eastAsia="宋体" w:hAnsi="Book Antiqua" w:cs="宋体"/>
          <w:i/>
          <w:iCs/>
          <w:sz w:val="24"/>
          <w:szCs w:val="24"/>
          <w:lang w:val="en-US" w:eastAsia="zh-CN"/>
        </w:rPr>
        <w:t>Cell</w:t>
      </w:r>
      <w:r w:rsidRPr="00E25DFD">
        <w:rPr>
          <w:rFonts w:ascii="Book Antiqua" w:eastAsia="宋体" w:hAnsi="Book Antiqua" w:cs="宋体"/>
          <w:sz w:val="24"/>
          <w:szCs w:val="24"/>
          <w:lang w:val="en-US" w:eastAsia="zh-CN"/>
        </w:rPr>
        <w:t xml:space="preserve"> 2011; </w:t>
      </w:r>
      <w:r w:rsidRPr="00E25DFD">
        <w:rPr>
          <w:rFonts w:ascii="Book Antiqua" w:eastAsia="宋体" w:hAnsi="Book Antiqua" w:cs="宋体"/>
          <w:b/>
          <w:bCs/>
          <w:sz w:val="24"/>
          <w:szCs w:val="24"/>
          <w:lang w:val="en-US" w:eastAsia="zh-CN"/>
        </w:rPr>
        <w:t>146</w:t>
      </w:r>
      <w:r w:rsidRPr="00E25DFD">
        <w:rPr>
          <w:rFonts w:ascii="Book Antiqua" w:eastAsia="宋体" w:hAnsi="Book Antiqua" w:cs="宋体"/>
          <w:sz w:val="24"/>
          <w:szCs w:val="24"/>
          <w:lang w:val="en-US" w:eastAsia="zh-CN"/>
        </w:rPr>
        <w:t>: 772-784 [PMID: 21871655 DOI: 10.1016/j.cell.2011.07.033]</w:t>
      </w:r>
    </w:p>
    <w:p w14:paraId="7365B138"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34 </w:t>
      </w:r>
      <w:r w:rsidRPr="00E25DFD">
        <w:rPr>
          <w:rFonts w:ascii="Book Antiqua" w:eastAsia="宋体" w:hAnsi="Book Antiqua" w:cs="宋体"/>
          <w:b/>
          <w:bCs/>
          <w:sz w:val="24"/>
          <w:szCs w:val="24"/>
          <w:lang w:val="en-US" w:eastAsia="zh-CN"/>
        </w:rPr>
        <w:t>de Beaucoudrey L</w:t>
      </w:r>
      <w:r w:rsidRPr="00E25DFD">
        <w:rPr>
          <w:rFonts w:ascii="Book Antiqua" w:eastAsia="宋体" w:hAnsi="Book Antiqua" w:cs="宋体"/>
          <w:sz w:val="24"/>
          <w:szCs w:val="24"/>
          <w:lang w:val="en-US" w:eastAsia="zh-CN"/>
        </w:rPr>
        <w:t xml:space="preserve">, Puel A, Filipe-Santos O, Cobat A, Ghandil P, Chrabieh M, Feinberg J, von Bernuth H, Samarina A, Jannière L, Fieschi C, Stéphan JL, Boileau C, Lyonnet S, Jondeau G, Cormier-Daire V, Le Merrer M, Hoarau C, Lebranchu Y, Lortholary O, Chandesris MO, Tron F, Gambineri E, Bianchi L, Rodriguez-Gallego C, Zitnik SE, Vasconcelos J, Guedes M, Vitor AB, Marodi L, Chapel H, Reid B, Roifman C, Nadal D, Reichenbach J, Caragol I, Garty BZ, Dogu F, Camcioglu Y, Gülle S, Sanal O, Fischer A, Abel L, Stockinger B, Picard C, Casanova JL. Mutations in STAT3 and IL12RB1 impair the development of human IL-17-producing T cells. </w:t>
      </w:r>
      <w:r w:rsidRPr="00E25DFD">
        <w:rPr>
          <w:rFonts w:ascii="Book Antiqua" w:eastAsia="宋体" w:hAnsi="Book Antiqua" w:cs="宋体"/>
          <w:i/>
          <w:iCs/>
          <w:sz w:val="24"/>
          <w:szCs w:val="24"/>
          <w:lang w:val="en-US" w:eastAsia="zh-CN"/>
        </w:rPr>
        <w:t>J Exp Med</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205</w:t>
      </w:r>
      <w:r w:rsidRPr="00E25DFD">
        <w:rPr>
          <w:rFonts w:ascii="Book Antiqua" w:eastAsia="宋体" w:hAnsi="Book Antiqua" w:cs="宋体"/>
          <w:sz w:val="24"/>
          <w:szCs w:val="24"/>
          <w:lang w:val="en-US" w:eastAsia="zh-CN"/>
        </w:rPr>
        <w:t>: 1543-1550 [PMID: 18591412 DOI: 10.1084/jem.20080321]</w:t>
      </w:r>
    </w:p>
    <w:p w14:paraId="1F4C9B5F"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35 </w:t>
      </w:r>
      <w:r w:rsidRPr="00E25DFD">
        <w:rPr>
          <w:rFonts w:ascii="Book Antiqua" w:eastAsia="宋体" w:hAnsi="Book Antiqua" w:cs="宋体"/>
          <w:b/>
          <w:bCs/>
          <w:sz w:val="24"/>
          <w:szCs w:val="24"/>
          <w:lang w:val="en-US" w:eastAsia="zh-CN"/>
        </w:rPr>
        <w:t>Ivanov II</w:t>
      </w:r>
      <w:r w:rsidRPr="00E25DFD">
        <w:rPr>
          <w:rFonts w:ascii="Book Antiqua" w:eastAsia="宋体" w:hAnsi="Book Antiqua" w:cs="宋体"/>
          <w:sz w:val="24"/>
          <w:szCs w:val="24"/>
          <w:lang w:val="en-US" w:eastAsia="zh-CN"/>
        </w:rPr>
        <w:t xml:space="preserve">, McKenzie BS, Zhou L, Tadokoro CE, Lepelley A, Lafaille JJ, Cua DJ, Littman DR. The orphan nuclear receptor RORgammat directs the differentiation program of proinflammatory IL-17+ T helper cells. </w:t>
      </w:r>
      <w:r w:rsidRPr="00E25DFD">
        <w:rPr>
          <w:rFonts w:ascii="Book Antiqua" w:eastAsia="宋体" w:hAnsi="Book Antiqua" w:cs="宋体"/>
          <w:i/>
          <w:iCs/>
          <w:sz w:val="24"/>
          <w:szCs w:val="24"/>
          <w:lang w:val="en-US" w:eastAsia="zh-CN"/>
        </w:rPr>
        <w:t>Cell</w:t>
      </w:r>
      <w:r w:rsidRPr="00E25DFD">
        <w:rPr>
          <w:rFonts w:ascii="Book Antiqua" w:eastAsia="宋体" w:hAnsi="Book Antiqua" w:cs="宋体"/>
          <w:sz w:val="24"/>
          <w:szCs w:val="24"/>
          <w:lang w:val="en-US" w:eastAsia="zh-CN"/>
        </w:rPr>
        <w:t xml:space="preserve"> 2006; </w:t>
      </w:r>
      <w:r w:rsidRPr="00E25DFD">
        <w:rPr>
          <w:rFonts w:ascii="Book Antiqua" w:eastAsia="宋体" w:hAnsi="Book Antiqua" w:cs="宋体"/>
          <w:b/>
          <w:bCs/>
          <w:sz w:val="24"/>
          <w:szCs w:val="24"/>
          <w:lang w:val="en-US" w:eastAsia="zh-CN"/>
        </w:rPr>
        <w:t>126</w:t>
      </w:r>
      <w:r w:rsidRPr="00E25DFD">
        <w:rPr>
          <w:rFonts w:ascii="Book Antiqua" w:eastAsia="宋体" w:hAnsi="Book Antiqua" w:cs="宋体"/>
          <w:sz w:val="24"/>
          <w:szCs w:val="24"/>
          <w:lang w:val="en-US" w:eastAsia="zh-CN"/>
        </w:rPr>
        <w:t>: 1121-1133 [PMID: 16990136 DOI: S0092-8674(06)01105-6]</w:t>
      </w:r>
    </w:p>
    <w:p w14:paraId="58F13FE3"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36 </w:t>
      </w:r>
      <w:r w:rsidRPr="00E25DFD">
        <w:rPr>
          <w:rFonts w:ascii="Book Antiqua" w:eastAsia="宋体" w:hAnsi="Book Antiqua" w:cs="宋体"/>
          <w:b/>
          <w:bCs/>
          <w:sz w:val="24"/>
          <w:szCs w:val="24"/>
          <w:lang w:val="en-US" w:eastAsia="zh-CN"/>
        </w:rPr>
        <w:t>Bettelli E</w:t>
      </w:r>
      <w:r w:rsidRPr="00E25DFD">
        <w:rPr>
          <w:rFonts w:ascii="Book Antiqua" w:eastAsia="宋体" w:hAnsi="Book Antiqua" w:cs="宋体"/>
          <w:sz w:val="24"/>
          <w:szCs w:val="24"/>
          <w:lang w:val="en-US" w:eastAsia="zh-CN"/>
        </w:rPr>
        <w:t xml:space="preserve">, Carrier Y, Gao W, Korn T, Strom TB, Oukka M, Weiner HL, Kuchroo VK. Reciprocal developmental pathways for the generation of pathogenic effector TH17 and regulatory T cells.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2006; </w:t>
      </w:r>
      <w:r w:rsidRPr="00E25DFD">
        <w:rPr>
          <w:rFonts w:ascii="Book Antiqua" w:eastAsia="宋体" w:hAnsi="Book Antiqua" w:cs="宋体"/>
          <w:b/>
          <w:bCs/>
          <w:sz w:val="24"/>
          <w:szCs w:val="24"/>
          <w:lang w:val="en-US" w:eastAsia="zh-CN"/>
        </w:rPr>
        <w:t>441</w:t>
      </w:r>
      <w:r w:rsidRPr="00E25DFD">
        <w:rPr>
          <w:rFonts w:ascii="Book Antiqua" w:eastAsia="宋体" w:hAnsi="Book Antiqua" w:cs="宋体"/>
          <w:sz w:val="24"/>
          <w:szCs w:val="24"/>
          <w:lang w:val="en-US" w:eastAsia="zh-CN"/>
        </w:rPr>
        <w:t>: 235-238 [PMID: 16648838 DOI: nature04753]</w:t>
      </w:r>
    </w:p>
    <w:p w14:paraId="3A2CC008"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37 </w:t>
      </w:r>
      <w:r w:rsidRPr="00E25DFD">
        <w:rPr>
          <w:rFonts w:ascii="Book Antiqua" w:eastAsia="宋体" w:hAnsi="Book Antiqua" w:cs="宋体"/>
          <w:b/>
          <w:bCs/>
          <w:sz w:val="24"/>
          <w:szCs w:val="24"/>
          <w:lang w:val="en-US" w:eastAsia="zh-CN"/>
        </w:rPr>
        <w:t>Mangan PR</w:t>
      </w:r>
      <w:r w:rsidRPr="00E25DFD">
        <w:rPr>
          <w:rFonts w:ascii="Book Antiqua" w:eastAsia="宋体" w:hAnsi="Book Antiqua" w:cs="宋体"/>
          <w:sz w:val="24"/>
          <w:szCs w:val="24"/>
          <w:lang w:val="en-US" w:eastAsia="zh-CN"/>
        </w:rPr>
        <w:t xml:space="preserve">, Harrington LE, O'Quinn DB, Helms WS, Bullard DC, Elson CO, Hatton RD, Wahl SM, Schoeb TR, Weaver CT. Transforming growth factor-beta induces development of the T(H)17 lineage.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2006; </w:t>
      </w:r>
      <w:r w:rsidRPr="00E25DFD">
        <w:rPr>
          <w:rFonts w:ascii="Book Antiqua" w:eastAsia="宋体" w:hAnsi="Book Antiqua" w:cs="宋体"/>
          <w:b/>
          <w:bCs/>
          <w:sz w:val="24"/>
          <w:szCs w:val="24"/>
          <w:lang w:val="en-US" w:eastAsia="zh-CN"/>
        </w:rPr>
        <w:t>441</w:t>
      </w:r>
      <w:r w:rsidRPr="00E25DFD">
        <w:rPr>
          <w:rFonts w:ascii="Book Antiqua" w:eastAsia="宋体" w:hAnsi="Book Antiqua" w:cs="宋体"/>
          <w:sz w:val="24"/>
          <w:szCs w:val="24"/>
          <w:lang w:val="en-US" w:eastAsia="zh-CN"/>
        </w:rPr>
        <w:t>: 231-234 [PMID: 16648837 DOI: nature04754]</w:t>
      </w:r>
    </w:p>
    <w:p w14:paraId="61CFC13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38 </w:t>
      </w:r>
      <w:r w:rsidRPr="00E25DFD">
        <w:rPr>
          <w:rFonts w:ascii="Book Antiqua" w:eastAsia="宋体" w:hAnsi="Book Antiqua" w:cs="宋体"/>
          <w:b/>
          <w:bCs/>
          <w:sz w:val="24"/>
          <w:szCs w:val="24"/>
          <w:lang w:val="en-US" w:eastAsia="zh-CN"/>
        </w:rPr>
        <w:t>Veldhoen M</w:t>
      </w:r>
      <w:r w:rsidRPr="00E25DFD">
        <w:rPr>
          <w:rFonts w:ascii="Book Antiqua" w:eastAsia="宋体" w:hAnsi="Book Antiqua" w:cs="宋体"/>
          <w:sz w:val="24"/>
          <w:szCs w:val="24"/>
          <w:lang w:val="en-US" w:eastAsia="zh-CN"/>
        </w:rPr>
        <w:t>, Hocking RJ, Atkins CJ, Locksley RM, Stockinger B. TGFbeta in the context of an inflammatory cytokine milieu supports de novo differentiation of IL-</w:t>
      </w:r>
      <w:r w:rsidRPr="00E25DFD">
        <w:rPr>
          <w:rFonts w:ascii="Book Antiqua" w:eastAsia="宋体" w:hAnsi="Book Antiqua" w:cs="宋体"/>
          <w:sz w:val="24"/>
          <w:szCs w:val="24"/>
          <w:lang w:val="en-US" w:eastAsia="zh-CN"/>
        </w:rPr>
        <w:lastRenderedPageBreak/>
        <w:t xml:space="preserve">17-producing T cells.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2006; </w:t>
      </w:r>
      <w:r w:rsidRPr="00E25DFD">
        <w:rPr>
          <w:rFonts w:ascii="Book Antiqua" w:eastAsia="宋体" w:hAnsi="Book Antiqua" w:cs="宋体"/>
          <w:b/>
          <w:bCs/>
          <w:sz w:val="24"/>
          <w:szCs w:val="24"/>
          <w:lang w:val="en-US" w:eastAsia="zh-CN"/>
        </w:rPr>
        <w:t>24</w:t>
      </w:r>
      <w:r w:rsidRPr="00E25DFD">
        <w:rPr>
          <w:rFonts w:ascii="Book Antiqua" w:eastAsia="宋体" w:hAnsi="Book Antiqua" w:cs="宋体"/>
          <w:sz w:val="24"/>
          <w:szCs w:val="24"/>
          <w:lang w:val="en-US" w:eastAsia="zh-CN"/>
        </w:rPr>
        <w:t>: 179-189 [PMID: 16473830 DOI: S1074-7613(06)00004-5]</w:t>
      </w:r>
    </w:p>
    <w:p w14:paraId="7A33E0F9"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39 </w:t>
      </w:r>
      <w:r w:rsidRPr="00E25DFD">
        <w:rPr>
          <w:rFonts w:ascii="Book Antiqua" w:eastAsia="宋体" w:hAnsi="Book Antiqua" w:cs="宋体"/>
          <w:b/>
          <w:bCs/>
          <w:sz w:val="24"/>
          <w:szCs w:val="24"/>
          <w:lang w:val="en-US" w:eastAsia="zh-CN"/>
        </w:rPr>
        <w:t>Sutton C</w:t>
      </w:r>
      <w:r w:rsidRPr="00E25DFD">
        <w:rPr>
          <w:rFonts w:ascii="Book Antiqua" w:eastAsia="宋体" w:hAnsi="Book Antiqua" w:cs="宋体"/>
          <w:sz w:val="24"/>
          <w:szCs w:val="24"/>
          <w:lang w:val="en-US" w:eastAsia="zh-CN"/>
        </w:rPr>
        <w:t xml:space="preserve">, Brereton C, Keogh B, Mills KH, Lavelle EC. A crucial role for interleukin (IL)-1 in the induction of IL-17-producing T cells that mediate autoimmune encephalomyelitis. </w:t>
      </w:r>
      <w:r w:rsidRPr="00E25DFD">
        <w:rPr>
          <w:rFonts w:ascii="Book Antiqua" w:eastAsia="宋体" w:hAnsi="Book Antiqua" w:cs="宋体"/>
          <w:i/>
          <w:iCs/>
          <w:sz w:val="24"/>
          <w:szCs w:val="24"/>
          <w:lang w:val="en-US" w:eastAsia="zh-CN"/>
        </w:rPr>
        <w:t>J Exp Med</w:t>
      </w:r>
      <w:r w:rsidRPr="00E25DFD">
        <w:rPr>
          <w:rFonts w:ascii="Book Antiqua" w:eastAsia="宋体" w:hAnsi="Book Antiqua" w:cs="宋体"/>
          <w:sz w:val="24"/>
          <w:szCs w:val="24"/>
          <w:lang w:val="en-US" w:eastAsia="zh-CN"/>
        </w:rPr>
        <w:t xml:space="preserve"> 2006; </w:t>
      </w:r>
      <w:r w:rsidRPr="00E25DFD">
        <w:rPr>
          <w:rFonts w:ascii="Book Antiqua" w:eastAsia="宋体" w:hAnsi="Book Antiqua" w:cs="宋体"/>
          <w:b/>
          <w:bCs/>
          <w:sz w:val="24"/>
          <w:szCs w:val="24"/>
          <w:lang w:val="en-US" w:eastAsia="zh-CN"/>
        </w:rPr>
        <w:t>203</w:t>
      </w:r>
      <w:r w:rsidRPr="00E25DFD">
        <w:rPr>
          <w:rFonts w:ascii="Book Antiqua" w:eastAsia="宋体" w:hAnsi="Book Antiqua" w:cs="宋体"/>
          <w:sz w:val="24"/>
          <w:szCs w:val="24"/>
          <w:lang w:val="en-US" w:eastAsia="zh-CN"/>
        </w:rPr>
        <w:t>: 1685-1691 [PMID: 16818675 DOI: jem.20060285]</w:t>
      </w:r>
    </w:p>
    <w:p w14:paraId="334A9EAD"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40 </w:t>
      </w:r>
      <w:r w:rsidRPr="00E25DFD">
        <w:rPr>
          <w:rFonts w:ascii="Book Antiqua" w:eastAsia="宋体" w:hAnsi="Book Antiqua" w:cs="宋体"/>
          <w:b/>
          <w:bCs/>
          <w:sz w:val="24"/>
          <w:szCs w:val="24"/>
          <w:lang w:val="en-US" w:eastAsia="zh-CN"/>
        </w:rPr>
        <w:t>Nurieva R</w:t>
      </w:r>
      <w:r w:rsidRPr="00E25DFD">
        <w:rPr>
          <w:rFonts w:ascii="Book Antiqua" w:eastAsia="宋体" w:hAnsi="Book Antiqua" w:cs="宋体"/>
          <w:sz w:val="24"/>
          <w:szCs w:val="24"/>
          <w:lang w:val="en-US" w:eastAsia="zh-CN"/>
        </w:rPr>
        <w:t xml:space="preserve">, Yang XO, Martinez G, Zhang Y, Panopoulos AD, Ma L, Schluns K, Tian Q, Watowich SS, Jetten AM, Dong C. Essential autocrine regulation by IL-21 in the generation of inflammatory T cells.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2007; </w:t>
      </w:r>
      <w:r w:rsidRPr="00E25DFD">
        <w:rPr>
          <w:rFonts w:ascii="Book Antiqua" w:eastAsia="宋体" w:hAnsi="Book Antiqua" w:cs="宋体"/>
          <w:b/>
          <w:bCs/>
          <w:sz w:val="24"/>
          <w:szCs w:val="24"/>
          <w:lang w:val="en-US" w:eastAsia="zh-CN"/>
        </w:rPr>
        <w:t>448</w:t>
      </w:r>
      <w:r w:rsidRPr="00E25DFD">
        <w:rPr>
          <w:rFonts w:ascii="Book Antiqua" w:eastAsia="宋体" w:hAnsi="Book Antiqua" w:cs="宋体"/>
          <w:sz w:val="24"/>
          <w:szCs w:val="24"/>
          <w:lang w:val="en-US" w:eastAsia="zh-CN"/>
        </w:rPr>
        <w:t>: 480-483 [PMID: 17581589 DOI: nature05969]</w:t>
      </w:r>
    </w:p>
    <w:p w14:paraId="50B6342E"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41 </w:t>
      </w:r>
      <w:r w:rsidRPr="00E25DFD">
        <w:rPr>
          <w:rFonts w:ascii="Book Antiqua" w:eastAsia="宋体" w:hAnsi="Book Antiqua" w:cs="宋体"/>
          <w:b/>
          <w:bCs/>
          <w:sz w:val="24"/>
          <w:szCs w:val="24"/>
          <w:lang w:val="en-US" w:eastAsia="zh-CN"/>
        </w:rPr>
        <w:t>Cargill M</w:t>
      </w:r>
      <w:r w:rsidRPr="00E25DFD">
        <w:rPr>
          <w:rFonts w:ascii="Book Antiqua" w:eastAsia="宋体" w:hAnsi="Book Antiqua" w:cs="宋体"/>
          <w:sz w:val="24"/>
          <w:szCs w:val="24"/>
          <w:lang w:val="en-US" w:eastAsia="zh-CN"/>
        </w:rPr>
        <w:t xml:space="preserve">, Schrodi SJ, Chang M, Garcia VE, Brandon R, Callis KP, Matsunami N, Ardlie KG, Civello D, Catanese JJ, Leong DU, Panko JM, McAllister LB, Hansen CB, Papenfuss J, Prescott SM, White TJ, Leppert MF, Krueger GG, Begovich AB. A large-scale genetic association study confirms IL12B and leads to the identification of IL23R as psoriasis-risk genes. </w:t>
      </w:r>
      <w:r w:rsidRPr="00E25DFD">
        <w:rPr>
          <w:rFonts w:ascii="Book Antiqua" w:eastAsia="宋体" w:hAnsi="Book Antiqua" w:cs="宋体"/>
          <w:i/>
          <w:iCs/>
          <w:sz w:val="24"/>
          <w:szCs w:val="24"/>
          <w:lang w:val="en-US" w:eastAsia="zh-CN"/>
        </w:rPr>
        <w:t>Am J Hum Genet</w:t>
      </w:r>
      <w:r w:rsidRPr="00E25DFD">
        <w:rPr>
          <w:rFonts w:ascii="Book Antiqua" w:eastAsia="宋体" w:hAnsi="Book Antiqua" w:cs="宋体"/>
          <w:sz w:val="24"/>
          <w:szCs w:val="24"/>
          <w:lang w:val="en-US" w:eastAsia="zh-CN"/>
        </w:rPr>
        <w:t xml:space="preserve"> 2007; </w:t>
      </w:r>
      <w:r w:rsidRPr="00E25DFD">
        <w:rPr>
          <w:rFonts w:ascii="Book Antiqua" w:eastAsia="宋体" w:hAnsi="Book Antiqua" w:cs="宋体"/>
          <w:b/>
          <w:bCs/>
          <w:sz w:val="24"/>
          <w:szCs w:val="24"/>
          <w:lang w:val="en-US" w:eastAsia="zh-CN"/>
        </w:rPr>
        <w:t>80</w:t>
      </w:r>
      <w:r w:rsidRPr="00E25DFD">
        <w:rPr>
          <w:rFonts w:ascii="Book Antiqua" w:eastAsia="宋体" w:hAnsi="Book Antiqua" w:cs="宋体"/>
          <w:sz w:val="24"/>
          <w:szCs w:val="24"/>
          <w:lang w:val="en-US" w:eastAsia="zh-CN"/>
        </w:rPr>
        <w:t>: 273-290 [PMID: 17236132 DOI: S0002-9297(07)62685-8]</w:t>
      </w:r>
    </w:p>
    <w:p w14:paraId="4CBA7682" w14:textId="354F9512" w:rsidR="00542439" w:rsidRPr="00542439" w:rsidRDefault="00542439" w:rsidP="00542439">
      <w:pPr>
        <w:spacing w:after="0" w:line="360" w:lineRule="auto"/>
        <w:jc w:val="both"/>
        <w:rPr>
          <w:rFonts w:ascii="Book Antiqua" w:eastAsia="宋体" w:hAnsi="Book Antiqua" w:cs="宋体"/>
          <w:sz w:val="24"/>
          <w:lang w:eastAsia="zh-CN"/>
        </w:rPr>
      </w:pPr>
      <w:r>
        <w:rPr>
          <w:rFonts w:ascii="Book Antiqua" w:eastAsia="宋体" w:hAnsi="Book Antiqua" w:cs="宋体" w:hint="eastAsia"/>
          <w:sz w:val="24"/>
          <w:szCs w:val="24"/>
          <w:lang w:val="en-US" w:eastAsia="zh-CN"/>
        </w:rPr>
        <w:t>42</w:t>
      </w:r>
      <w:r w:rsidRPr="00542439">
        <w:rPr>
          <w:rFonts w:ascii="Book Antiqua" w:eastAsia="宋体" w:hAnsi="Book Antiqua" w:cs="宋体" w:hint="eastAsia"/>
          <w:sz w:val="26"/>
          <w:szCs w:val="24"/>
          <w:lang w:val="en-US" w:eastAsia="zh-CN"/>
        </w:rPr>
        <w:t xml:space="preserve"> </w:t>
      </w:r>
      <w:r w:rsidRPr="00542439">
        <w:rPr>
          <w:rFonts w:ascii="Book Antiqua" w:eastAsia="宋体" w:hAnsi="Book Antiqua" w:cs="宋体"/>
          <w:b/>
          <w:sz w:val="24"/>
          <w:lang w:eastAsia="zh-CN"/>
        </w:rPr>
        <w:t>Wellcome Trust Case Control Consortium</w:t>
      </w:r>
      <w:r w:rsidRPr="00542439">
        <w:rPr>
          <w:rFonts w:ascii="Book Antiqua" w:eastAsia="宋体" w:hAnsi="Book Antiqua" w:cs="宋体"/>
          <w:sz w:val="24"/>
          <w:lang w:eastAsia="zh-CN"/>
        </w:rPr>
        <w:t xml:space="preserve">, Australo-Anglo-American Spondylitis Consortium (TASC), Burton PR, Clayton DG, Cardon LR, Craddock N, Deloukas P, Duncanson A, Kwiatkowski DP, McCarthy MI, Ouwehand WH, Samani NJ, Todd JA, Donnelly P, Barrett JC, Davison D, Easton D, Evans DM, Leung HT, Marchini JL, Morris AP, Spencer CC, Tobin MD, Attwood AP, Boorman JP, Cant B, Everson U, Hussey JM, Jolley JD, Knight AS, Koch K, Meech E, Nutland S, Prowse CV, Stevens HE, Taylor NC, Walters GR, Walker NM, Watkins NA, Winzer T, Jones RW, McArdle WL, Ring SM, Strachan DP, Pembrey M, Breen G, St Clair D, Caesar S, Gordon-Smith K, Jones L, Fraser C, Green EK, Grozeva D, Hamshere ML, Holmans PA, Jones IR, Kirov G, Moskivina V, Nikolov I, O'Donovan MC, Owen MJ, Collier DA, Elkin A, Farmer A, Williamson R, McGuffin P, Young AH, Ferrier IN, Ball SG, Balmforth AJ, Barrett JH, Bishop TD, Iles MM, Maqbool A, Yuldasheva N, Hall AS, Braund PS, Dixon RJ, Mangino M, Stevens S, Thompson JR, Bredin F, Tremelling M, Parkes M, Drummond H, Lees CW, Nimmo ER, Satsangi J, Fisher SA, Forbes A, Lewis CM, Onnie CM, Prescott NJ, Sanderson J, Matthew CG, Barbour J, Mohiuddin </w:t>
      </w:r>
      <w:r w:rsidRPr="00542439">
        <w:rPr>
          <w:rFonts w:ascii="Book Antiqua" w:eastAsia="宋体" w:hAnsi="Book Antiqua" w:cs="宋体"/>
          <w:sz w:val="24"/>
          <w:lang w:eastAsia="zh-CN"/>
        </w:rPr>
        <w:lastRenderedPageBreak/>
        <w:t>MK, Todhunter CE, Mansfield JC, Ahmad T, Cummings FR, Jewell DP, Webster J, Brown MJ, Lathrop MG, Connell J, Dominiczak A, Marcano CA, Burke B, Dobson R, Gungadoo J, Lee KL, Munroe PB, Newhouse SJ, Onipinla A, Wallace C, Xue M, Caulfield M, Farrall M, Barton A, Biologics in RA Genetics and Genomics Study Syndicate (BRAGGS) Steering Committee, Bruce IN, Donovan H, Eyre S, Gilbert PD, Hilder SL, Hinks AM, John SL, Potter C, Silman AJ, Symmons DP, Thomson W, Worthington J, Dunger DB, Widmer B, Frayling TM, Freathy RM, Lango H, Perry JR, Shields BM, Weedon MN, Hattersley AT, Hitman GA, Walker M, Elliott KS, Groves CJ, Lindgren CM, Rayner NW, Timpson NJ, Zeggini E, Newport M, Sirugo G, Lyons E, Vannberg F, Hill AV, Bradbury LA, Farrar C, Pointon JJ, Wordsworth P, Brown MA, Franklyn JA, Heward JM, Simmonds MJ, Gough SC, Seal S, Breast Cancer Susceptibility Collaboration (UK), Stratton MR, Rahman N, Ban M, Goris A, Sawcer SJ, Compston A, Conway D, Jallow M, Newport M, Sirugo G, Rockett KA, Bumpstead SJ, Chaney A, Downes K, Ghori MJ, Gwilliam R, Hunt SE, Inouye M, Keniry A, King E, McGinnis R, Potter S, Ravindrarajah R, Whittaker P, Widden C, Withers D, Cardin NJ, Davison D, Ferreira T, Pereira-Gale J, Hallgrimsdo'ttir IB, Howie BN, Su Z, Teo YY, Vukcevic D, Bentley D, Brown MA, Compston A, Farrall M, Hall AS, Hattersley AT, Hill AV, Parkes M, Pembrey M, Stratton MR, Mitchell SL, Newby PR, Brand OJ, Carr-Smith J, Pearce SH, McGinnis R, Keniry A, Deloukas P, Reveille JD, Zhou X, Sims AM, Dowling A, Taylor J, Doan T, Davis JC, Savage L, Ward MM, Learch TL, Weisman MH, Brown M. Association scan of 14,500 nonsynonymous SNPs in four diseases identifies autoimmunity variants</w:t>
      </w:r>
      <w:r w:rsidRPr="00542439">
        <w:rPr>
          <w:rFonts w:ascii="Book Antiqua" w:eastAsia="宋体" w:hAnsi="Book Antiqua" w:cs="宋体"/>
          <w:i/>
          <w:iCs/>
          <w:sz w:val="24"/>
          <w:lang w:eastAsia="zh-CN"/>
        </w:rPr>
        <w:t>. Nat Genet</w:t>
      </w:r>
      <w:r w:rsidRPr="00542439">
        <w:rPr>
          <w:rFonts w:ascii="Book Antiqua" w:eastAsia="宋体" w:hAnsi="Book Antiqua" w:cs="宋体"/>
          <w:sz w:val="24"/>
          <w:lang w:eastAsia="zh-CN"/>
        </w:rPr>
        <w:t xml:space="preserve"> 2007; </w:t>
      </w:r>
      <w:r w:rsidRPr="00542439">
        <w:rPr>
          <w:rFonts w:ascii="Book Antiqua" w:eastAsia="宋体" w:hAnsi="Book Antiqua" w:cs="宋体"/>
          <w:b/>
          <w:bCs/>
          <w:sz w:val="24"/>
          <w:lang w:eastAsia="zh-CN"/>
        </w:rPr>
        <w:t>39</w:t>
      </w:r>
      <w:r w:rsidRPr="00542439">
        <w:rPr>
          <w:rFonts w:ascii="Book Antiqua" w:eastAsia="宋体" w:hAnsi="Book Antiqua" w:cs="宋体"/>
          <w:sz w:val="24"/>
          <w:lang w:eastAsia="zh-CN"/>
        </w:rPr>
        <w:t>: 1329-1337 [PMID: 17952073]</w:t>
      </w:r>
    </w:p>
    <w:p w14:paraId="0EACF022" w14:textId="689F1C65"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43 </w:t>
      </w:r>
      <w:r w:rsidR="00542439" w:rsidRPr="00542439">
        <w:rPr>
          <w:rFonts w:ascii="Book Antiqua" w:eastAsia="宋体" w:hAnsi="Book Antiqua" w:cs="宋体"/>
          <w:b/>
          <w:sz w:val="24"/>
          <w:szCs w:val="24"/>
          <w:lang w:val="en-US" w:eastAsia="zh-CN"/>
        </w:rPr>
        <w:t>Wellcome Trust Case Control Consortium</w:t>
      </w:r>
      <w:r w:rsidRPr="00E25DFD">
        <w:rPr>
          <w:rFonts w:ascii="Book Antiqua" w:eastAsia="宋体" w:hAnsi="Book Antiqua" w:cs="宋体"/>
          <w:sz w:val="24"/>
          <w:szCs w:val="24"/>
          <w:lang w:val="en-US" w:eastAsia="zh-CN"/>
        </w:rPr>
        <w:t xml:space="preserve">. Genome-wide association study of 14,000 cases of seven common diseases and 3,000 shared controls.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2007; </w:t>
      </w:r>
      <w:r w:rsidRPr="00E25DFD">
        <w:rPr>
          <w:rFonts w:ascii="Book Antiqua" w:eastAsia="宋体" w:hAnsi="Book Antiqua" w:cs="宋体"/>
          <w:b/>
          <w:bCs/>
          <w:sz w:val="24"/>
          <w:szCs w:val="24"/>
          <w:lang w:val="en-US" w:eastAsia="zh-CN"/>
        </w:rPr>
        <w:t>447</w:t>
      </w:r>
      <w:r w:rsidRPr="00E25DFD">
        <w:rPr>
          <w:rFonts w:ascii="Book Antiqua" w:eastAsia="宋体" w:hAnsi="Book Antiqua" w:cs="宋体"/>
          <w:sz w:val="24"/>
          <w:szCs w:val="24"/>
          <w:lang w:val="en-US" w:eastAsia="zh-CN"/>
        </w:rPr>
        <w:t>: 661-678 [PMID: 17554300 DOI: nature05911]</w:t>
      </w:r>
    </w:p>
    <w:p w14:paraId="1B84EF6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44 </w:t>
      </w:r>
      <w:r w:rsidRPr="00E25DFD">
        <w:rPr>
          <w:rFonts w:ascii="Book Antiqua" w:eastAsia="宋体" w:hAnsi="Book Antiqua" w:cs="宋体"/>
          <w:b/>
          <w:bCs/>
          <w:sz w:val="24"/>
          <w:szCs w:val="24"/>
          <w:lang w:val="en-US" w:eastAsia="zh-CN"/>
        </w:rPr>
        <w:t>Duerr RH</w:t>
      </w:r>
      <w:r w:rsidRPr="00E25DFD">
        <w:rPr>
          <w:rFonts w:ascii="Book Antiqua" w:eastAsia="宋体" w:hAnsi="Book Antiqua" w:cs="宋体"/>
          <w:sz w:val="24"/>
          <w:szCs w:val="24"/>
          <w:lang w:val="en-US" w:eastAsia="zh-CN"/>
        </w:rPr>
        <w:t xml:space="preserve">, Taylor KD, Brant SR, Rioux JD, Silverberg MS, Daly MJ, Steinhart AH, Abraham C, Regueiro M, Griffiths A, Dassopoulos T, Bitton A, Yang H, Targan S, Datta LW, Kistner EO, Schumm LP, Lee AT, Gregersen PK, Barmada MM, Rotter JI, Nicolae DL, Cho JH. A genome-wide association study identifies IL23R as an </w:t>
      </w:r>
      <w:r w:rsidRPr="00E25DFD">
        <w:rPr>
          <w:rFonts w:ascii="Book Antiqua" w:eastAsia="宋体" w:hAnsi="Book Antiqua" w:cs="宋体"/>
          <w:sz w:val="24"/>
          <w:szCs w:val="24"/>
          <w:lang w:val="en-US" w:eastAsia="zh-CN"/>
        </w:rPr>
        <w:lastRenderedPageBreak/>
        <w:t xml:space="preserve">inflammatory bowel disease gene. </w:t>
      </w:r>
      <w:r w:rsidRPr="00E25DFD">
        <w:rPr>
          <w:rFonts w:ascii="Book Antiqua" w:eastAsia="宋体" w:hAnsi="Book Antiqua" w:cs="宋体"/>
          <w:i/>
          <w:iCs/>
          <w:sz w:val="24"/>
          <w:szCs w:val="24"/>
          <w:lang w:val="en-US" w:eastAsia="zh-CN"/>
        </w:rPr>
        <w:t>Science</w:t>
      </w:r>
      <w:r w:rsidRPr="00E25DFD">
        <w:rPr>
          <w:rFonts w:ascii="Book Antiqua" w:eastAsia="宋体" w:hAnsi="Book Antiqua" w:cs="宋体"/>
          <w:sz w:val="24"/>
          <w:szCs w:val="24"/>
          <w:lang w:val="en-US" w:eastAsia="zh-CN"/>
        </w:rPr>
        <w:t xml:space="preserve"> 2006; </w:t>
      </w:r>
      <w:r w:rsidRPr="00E25DFD">
        <w:rPr>
          <w:rFonts w:ascii="Book Antiqua" w:eastAsia="宋体" w:hAnsi="Book Antiqua" w:cs="宋体"/>
          <w:b/>
          <w:bCs/>
          <w:sz w:val="24"/>
          <w:szCs w:val="24"/>
          <w:lang w:val="en-US" w:eastAsia="zh-CN"/>
        </w:rPr>
        <w:t>314</w:t>
      </w:r>
      <w:r w:rsidRPr="00E25DFD">
        <w:rPr>
          <w:rFonts w:ascii="Book Antiqua" w:eastAsia="宋体" w:hAnsi="Book Antiqua" w:cs="宋体"/>
          <w:sz w:val="24"/>
          <w:szCs w:val="24"/>
          <w:lang w:val="en-US" w:eastAsia="zh-CN"/>
        </w:rPr>
        <w:t>: 1461-1463 [PMID: 17068223 DOI: 1135245]</w:t>
      </w:r>
    </w:p>
    <w:p w14:paraId="55E09B28"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45 </w:t>
      </w:r>
      <w:r w:rsidRPr="00E25DFD">
        <w:rPr>
          <w:rFonts w:ascii="Book Antiqua" w:eastAsia="宋体" w:hAnsi="Book Antiqua" w:cs="宋体"/>
          <w:b/>
          <w:bCs/>
          <w:sz w:val="24"/>
          <w:szCs w:val="24"/>
          <w:lang w:val="en-US" w:eastAsia="zh-CN"/>
        </w:rPr>
        <w:t>Li LJ</w:t>
      </w:r>
      <w:r w:rsidRPr="00E25DFD">
        <w:rPr>
          <w:rFonts w:ascii="Book Antiqua" w:eastAsia="宋体" w:hAnsi="Book Antiqua" w:cs="宋体"/>
          <w:sz w:val="24"/>
          <w:szCs w:val="24"/>
          <w:lang w:val="en-US" w:eastAsia="zh-CN"/>
        </w:rPr>
        <w:t xml:space="preserve">, Gong C, Zhao MH, Feng BS. Role of interleukin-22 in inflammatory bowel disease. </w:t>
      </w:r>
      <w:r w:rsidRPr="00E25DFD">
        <w:rPr>
          <w:rFonts w:ascii="Book Antiqua" w:eastAsia="宋体" w:hAnsi="Book Antiqua" w:cs="宋体"/>
          <w:i/>
          <w:iCs/>
          <w:sz w:val="24"/>
          <w:szCs w:val="24"/>
          <w:lang w:val="en-US" w:eastAsia="zh-CN"/>
        </w:rPr>
        <w:t>World J Gastroenterol</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20</w:t>
      </w:r>
      <w:r w:rsidRPr="00E25DFD">
        <w:rPr>
          <w:rFonts w:ascii="Book Antiqua" w:eastAsia="宋体" w:hAnsi="Book Antiqua" w:cs="宋体"/>
          <w:sz w:val="24"/>
          <w:szCs w:val="24"/>
          <w:lang w:val="en-US" w:eastAsia="zh-CN"/>
        </w:rPr>
        <w:t>: 18177-18188 [PMID: 25561785 DOI: 10.3748/wjg.v20.i48.18177]</w:t>
      </w:r>
    </w:p>
    <w:p w14:paraId="24AD207B"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46 </w:t>
      </w:r>
      <w:r w:rsidRPr="00E25DFD">
        <w:rPr>
          <w:rFonts w:ascii="Book Antiqua" w:eastAsia="宋体" w:hAnsi="Book Antiqua" w:cs="宋体"/>
          <w:b/>
          <w:bCs/>
          <w:sz w:val="24"/>
          <w:szCs w:val="24"/>
          <w:lang w:val="en-US" w:eastAsia="zh-CN"/>
        </w:rPr>
        <w:t>Hueber W</w:t>
      </w:r>
      <w:r w:rsidRPr="00E25DFD">
        <w:rPr>
          <w:rFonts w:ascii="Book Antiqua" w:eastAsia="宋体" w:hAnsi="Book Antiqua" w:cs="宋体"/>
          <w:sz w:val="24"/>
          <w:szCs w:val="24"/>
          <w:lang w:val="en-US" w:eastAsia="zh-CN"/>
        </w:rPr>
        <w:t xml:space="preserve">, Sands BE, Lewitzky S, Vandemeulebroecke M, Reinisch W, Higgins PD, Wehkamp J, Feagan BG, Yao MD, Karczewski M, Karczewski J, Pezous N, Bek S, Bruin G, Mellgard B, Berger C, Londei M, Bertolino AP, Tougas G, Travis SP. Secukinumab, a human anti-IL-17A monoclonal antibody, for moderate to severe Crohn's disease: unexpected results of a randomised, double-blind placebo-controlled trial. </w:t>
      </w:r>
      <w:r w:rsidRPr="00E25DFD">
        <w:rPr>
          <w:rFonts w:ascii="Book Antiqua" w:eastAsia="宋体" w:hAnsi="Book Antiqua" w:cs="宋体"/>
          <w:i/>
          <w:iCs/>
          <w:sz w:val="24"/>
          <w:szCs w:val="24"/>
          <w:lang w:val="en-US" w:eastAsia="zh-CN"/>
        </w:rPr>
        <w:t>Gut</w:t>
      </w:r>
      <w:r w:rsidRPr="00E25DFD">
        <w:rPr>
          <w:rFonts w:ascii="Book Antiqua" w:eastAsia="宋体" w:hAnsi="Book Antiqua" w:cs="宋体"/>
          <w:sz w:val="24"/>
          <w:szCs w:val="24"/>
          <w:lang w:val="en-US" w:eastAsia="zh-CN"/>
        </w:rPr>
        <w:t xml:space="preserve"> 2012; </w:t>
      </w:r>
      <w:r w:rsidRPr="00E25DFD">
        <w:rPr>
          <w:rFonts w:ascii="Book Antiqua" w:eastAsia="宋体" w:hAnsi="Book Antiqua" w:cs="宋体"/>
          <w:b/>
          <w:bCs/>
          <w:sz w:val="24"/>
          <w:szCs w:val="24"/>
          <w:lang w:val="en-US" w:eastAsia="zh-CN"/>
        </w:rPr>
        <w:t>61</w:t>
      </w:r>
      <w:r w:rsidRPr="00E25DFD">
        <w:rPr>
          <w:rFonts w:ascii="Book Antiqua" w:eastAsia="宋体" w:hAnsi="Book Antiqua" w:cs="宋体"/>
          <w:sz w:val="24"/>
          <w:szCs w:val="24"/>
          <w:lang w:val="en-US" w:eastAsia="zh-CN"/>
        </w:rPr>
        <w:t>: 1693-1700 [PMID: 22595313 DOI: 10.1136/gutjnl-2011-301668]</w:t>
      </w:r>
    </w:p>
    <w:p w14:paraId="20C3C515"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47 </w:t>
      </w:r>
      <w:r w:rsidRPr="00E25DFD">
        <w:rPr>
          <w:rFonts w:ascii="Book Antiqua" w:eastAsia="宋体" w:hAnsi="Book Antiqua" w:cs="宋体"/>
          <w:b/>
          <w:bCs/>
          <w:sz w:val="24"/>
          <w:szCs w:val="24"/>
          <w:lang w:val="en-US" w:eastAsia="zh-CN"/>
        </w:rPr>
        <w:t>O'Shea JJ</w:t>
      </w:r>
      <w:r w:rsidRPr="00E25DFD">
        <w:rPr>
          <w:rFonts w:ascii="Book Antiqua" w:eastAsia="宋体" w:hAnsi="Book Antiqua" w:cs="宋体"/>
          <w:sz w:val="24"/>
          <w:szCs w:val="24"/>
          <w:lang w:val="en-US" w:eastAsia="zh-CN"/>
        </w:rPr>
        <w:t xml:space="preserve">, Kanno Y, Chan AC. In search of magic bullets: the golden age of immunotherapeutics. </w:t>
      </w:r>
      <w:r w:rsidRPr="00E25DFD">
        <w:rPr>
          <w:rFonts w:ascii="Book Antiqua" w:eastAsia="宋体" w:hAnsi="Book Antiqua" w:cs="宋体"/>
          <w:i/>
          <w:iCs/>
          <w:sz w:val="24"/>
          <w:szCs w:val="24"/>
          <w:lang w:val="en-US" w:eastAsia="zh-CN"/>
        </w:rPr>
        <w:t>Cell</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157</w:t>
      </w:r>
      <w:r w:rsidRPr="00E25DFD">
        <w:rPr>
          <w:rFonts w:ascii="Book Antiqua" w:eastAsia="宋体" w:hAnsi="Book Antiqua" w:cs="宋体"/>
          <w:sz w:val="24"/>
          <w:szCs w:val="24"/>
          <w:lang w:val="en-US" w:eastAsia="zh-CN"/>
        </w:rPr>
        <w:t>: 227-240 [PMID: 24679538 DOI: 10.1016/j.cell.2014.03.010]</w:t>
      </w:r>
    </w:p>
    <w:p w14:paraId="116C8B87"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48 </w:t>
      </w:r>
      <w:r w:rsidRPr="00E25DFD">
        <w:rPr>
          <w:rFonts w:ascii="Book Antiqua" w:eastAsia="宋体" w:hAnsi="Book Antiqua" w:cs="宋体"/>
          <w:b/>
          <w:bCs/>
          <w:sz w:val="24"/>
          <w:szCs w:val="24"/>
          <w:lang w:val="en-US" w:eastAsia="zh-CN"/>
        </w:rPr>
        <w:t>Josefowicz SZ</w:t>
      </w:r>
      <w:r w:rsidRPr="00E25DFD">
        <w:rPr>
          <w:rFonts w:ascii="Book Antiqua" w:eastAsia="宋体" w:hAnsi="Book Antiqua" w:cs="宋体"/>
          <w:sz w:val="24"/>
          <w:szCs w:val="24"/>
          <w:lang w:val="en-US" w:eastAsia="zh-CN"/>
        </w:rPr>
        <w:t xml:space="preserve">, Lu LF, Rudensky AY. Regulatory T cells: mechanisms of differentiation and function. </w:t>
      </w:r>
      <w:r w:rsidRPr="00E25DFD">
        <w:rPr>
          <w:rFonts w:ascii="Book Antiqua" w:eastAsia="宋体" w:hAnsi="Book Antiqua" w:cs="宋体"/>
          <w:i/>
          <w:iCs/>
          <w:sz w:val="24"/>
          <w:szCs w:val="24"/>
          <w:lang w:val="en-US" w:eastAsia="zh-CN"/>
        </w:rPr>
        <w:t>Annu Rev Immunol</w:t>
      </w:r>
      <w:r w:rsidRPr="00E25DFD">
        <w:rPr>
          <w:rFonts w:ascii="Book Antiqua" w:eastAsia="宋体" w:hAnsi="Book Antiqua" w:cs="宋体"/>
          <w:sz w:val="24"/>
          <w:szCs w:val="24"/>
          <w:lang w:val="en-US" w:eastAsia="zh-CN"/>
        </w:rPr>
        <w:t xml:space="preserve"> 2012; </w:t>
      </w:r>
      <w:r w:rsidRPr="00E25DFD">
        <w:rPr>
          <w:rFonts w:ascii="Book Antiqua" w:eastAsia="宋体" w:hAnsi="Book Antiqua" w:cs="宋体"/>
          <w:b/>
          <w:bCs/>
          <w:sz w:val="24"/>
          <w:szCs w:val="24"/>
          <w:lang w:val="en-US" w:eastAsia="zh-CN"/>
        </w:rPr>
        <w:t>30</w:t>
      </w:r>
      <w:r w:rsidRPr="00E25DFD">
        <w:rPr>
          <w:rFonts w:ascii="Book Antiqua" w:eastAsia="宋体" w:hAnsi="Book Antiqua" w:cs="宋体"/>
          <w:sz w:val="24"/>
          <w:szCs w:val="24"/>
          <w:lang w:val="en-US" w:eastAsia="zh-CN"/>
        </w:rPr>
        <w:t>: 531-564 [PMID: 22224781 DOI: 10.1146/annurev.immunol.25.022106.141623]</w:t>
      </w:r>
    </w:p>
    <w:p w14:paraId="0C3165CE"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49 </w:t>
      </w:r>
      <w:r w:rsidRPr="00E25DFD">
        <w:rPr>
          <w:rFonts w:ascii="Book Antiqua" w:eastAsia="宋体" w:hAnsi="Book Antiqua" w:cs="宋体"/>
          <w:b/>
          <w:bCs/>
          <w:sz w:val="24"/>
          <w:szCs w:val="24"/>
          <w:lang w:val="en-US" w:eastAsia="zh-CN"/>
        </w:rPr>
        <w:t>Kang SG</w:t>
      </w:r>
      <w:r w:rsidRPr="00E25DFD">
        <w:rPr>
          <w:rFonts w:ascii="Book Antiqua" w:eastAsia="宋体" w:hAnsi="Book Antiqua" w:cs="宋体"/>
          <w:sz w:val="24"/>
          <w:szCs w:val="24"/>
          <w:lang w:val="en-US" w:eastAsia="zh-CN"/>
        </w:rPr>
        <w:t xml:space="preserve">, Lim HW, Andrisani OM, Broxmeyer HE, Kim CH. Vitamin A metabolites induce gut-homing FoxP3+ regulatory T cells. </w:t>
      </w:r>
      <w:r w:rsidRPr="00E25DFD">
        <w:rPr>
          <w:rFonts w:ascii="Book Antiqua" w:eastAsia="宋体" w:hAnsi="Book Antiqua" w:cs="宋体"/>
          <w:i/>
          <w:iCs/>
          <w:sz w:val="24"/>
          <w:szCs w:val="24"/>
          <w:lang w:val="en-US" w:eastAsia="zh-CN"/>
        </w:rPr>
        <w:t>J Immunol</w:t>
      </w:r>
      <w:r w:rsidRPr="00E25DFD">
        <w:rPr>
          <w:rFonts w:ascii="Book Antiqua" w:eastAsia="宋体" w:hAnsi="Book Antiqua" w:cs="宋体"/>
          <w:sz w:val="24"/>
          <w:szCs w:val="24"/>
          <w:lang w:val="en-US" w:eastAsia="zh-CN"/>
        </w:rPr>
        <w:t xml:space="preserve"> 2007; </w:t>
      </w:r>
      <w:r w:rsidRPr="00E25DFD">
        <w:rPr>
          <w:rFonts w:ascii="Book Antiqua" w:eastAsia="宋体" w:hAnsi="Book Antiqua" w:cs="宋体"/>
          <w:b/>
          <w:bCs/>
          <w:sz w:val="24"/>
          <w:szCs w:val="24"/>
          <w:lang w:val="en-US" w:eastAsia="zh-CN"/>
        </w:rPr>
        <w:t>179</w:t>
      </w:r>
      <w:r w:rsidRPr="00E25DFD">
        <w:rPr>
          <w:rFonts w:ascii="Book Antiqua" w:eastAsia="宋体" w:hAnsi="Book Antiqua" w:cs="宋体"/>
          <w:sz w:val="24"/>
          <w:szCs w:val="24"/>
          <w:lang w:val="en-US" w:eastAsia="zh-CN"/>
        </w:rPr>
        <w:t>: 3724-3733 [PMID: 17785809 DOI: 179/6/3724]</w:t>
      </w:r>
    </w:p>
    <w:p w14:paraId="5E1B464F"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50 </w:t>
      </w:r>
      <w:r w:rsidRPr="00E25DFD">
        <w:rPr>
          <w:rFonts w:ascii="Book Antiqua" w:eastAsia="宋体" w:hAnsi="Book Antiqua" w:cs="宋体"/>
          <w:b/>
          <w:bCs/>
          <w:sz w:val="24"/>
          <w:szCs w:val="24"/>
          <w:lang w:val="en-US" w:eastAsia="zh-CN"/>
        </w:rPr>
        <w:t>Zhou L</w:t>
      </w:r>
      <w:r w:rsidRPr="00E25DFD">
        <w:rPr>
          <w:rFonts w:ascii="Book Antiqua" w:eastAsia="宋体" w:hAnsi="Book Antiqua" w:cs="宋体"/>
          <w:sz w:val="24"/>
          <w:szCs w:val="24"/>
          <w:lang w:val="en-US" w:eastAsia="zh-CN"/>
        </w:rPr>
        <w:t xml:space="preserve">, Lopes JE, Chong MM, Ivanov II, Min R, Victora GD, Shen Y, Du J, Rubtsov YP, Rudensky AY, Ziegler SF, Littman DR. TGF-beta-induced Foxp3 inhibits T(H)17 cell differentiation by antagonizing RORgammat function.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453</w:t>
      </w:r>
      <w:r w:rsidRPr="00E25DFD">
        <w:rPr>
          <w:rFonts w:ascii="Book Antiqua" w:eastAsia="宋体" w:hAnsi="Book Antiqua" w:cs="宋体"/>
          <w:sz w:val="24"/>
          <w:szCs w:val="24"/>
          <w:lang w:val="en-US" w:eastAsia="zh-CN"/>
        </w:rPr>
        <w:t>: 236-240 [PMID: 18368049 DOI: 10.1038/nature06878]</w:t>
      </w:r>
    </w:p>
    <w:p w14:paraId="5765208F"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51 </w:t>
      </w:r>
      <w:r w:rsidRPr="00E25DFD">
        <w:rPr>
          <w:rFonts w:ascii="Book Antiqua" w:eastAsia="宋体" w:hAnsi="Book Antiqua" w:cs="宋体"/>
          <w:b/>
          <w:bCs/>
          <w:sz w:val="24"/>
          <w:szCs w:val="24"/>
          <w:lang w:val="en-US" w:eastAsia="zh-CN"/>
        </w:rPr>
        <w:t>Yang KL</w:t>
      </w:r>
      <w:r w:rsidRPr="00E25DFD">
        <w:rPr>
          <w:rFonts w:ascii="Book Antiqua" w:eastAsia="宋体" w:hAnsi="Book Antiqua" w:cs="宋体"/>
          <w:sz w:val="24"/>
          <w:szCs w:val="24"/>
          <w:lang w:val="en-US" w:eastAsia="zh-CN"/>
        </w:rPr>
        <w:t xml:space="preserve">, Chang WT, Hung KC, Li EI, Chuang CC. Inhibition of transforming growth factor-beta-induced liver fibrosis by a retinoic acid derivative via the suppression of Col 1A2 promoter activity. </w:t>
      </w:r>
      <w:r w:rsidRPr="00E25DFD">
        <w:rPr>
          <w:rFonts w:ascii="Book Antiqua" w:eastAsia="宋体" w:hAnsi="Book Antiqua" w:cs="宋体"/>
          <w:i/>
          <w:iCs/>
          <w:sz w:val="24"/>
          <w:szCs w:val="24"/>
          <w:lang w:val="en-US" w:eastAsia="zh-CN"/>
        </w:rPr>
        <w:t>Biochem Biophys Res Commun</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373</w:t>
      </w:r>
      <w:r w:rsidRPr="00E25DFD">
        <w:rPr>
          <w:rFonts w:ascii="Book Antiqua" w:eastAsia="宋体" w:hAnsi="Book Antiqua" w:cs="宋体"/>
          <w:sz w:val="24"/>
          <w:szCs w:val="24"/>
          <w:lang w:val="en-US" w:eastAsia="zh-CN"/>
        </w:rPr>
        <w:t>: 219-223 [PMID: 18558083 DOI: 10.1016/j.bbrc.2008.05.192]</w:t>
      </w:r>
    </w:p>
    <w:p w14:paraId="5D9F0250"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lastRenderedPageBreak/>
        <w:t xml:space="preserve">52 </w:t>
      </w:r>
      <w:r w:rsidRPr="00E25DFD">
        <w:rPr>
          <w:rFonts w:ascii="Book Antiqua" w:eastAsia="宋体" w:hAnsi="Book Antiqua" w:cs="宋体"/>
          <w:b/>
          <w:bCs/>
          <w:sz w:val="24"/>
          <w:szCs w:val="24"/>
          <w:lang w:val="en-US" w:eastAsia="zh-CN"/>
        </w:rPr>
        <w:t>Martinez GJ</w:t>
      </w:r>
      <w:r w:rsidRPr="00E25DFD">
        <w:rPr>
          <w:rFonts w:ascii="Book Antiqua" w:eastAsia="宋体" w:hAnsi="Book Antiqua" w:cs="宋体"/>
          <w:sz w:val="24"/>
          <w:szCs w:val="24"/>
          <w:lang w:val="en-US" w:eastAsia="zh-CN"/>
        </w:rPr>
        <w:t xml:space="preserve">, Zhang Z, Reynolds JM, Tanaka S, Chung Y, Liu T, Robertson E, Lin X, Feng XH, Dong C. Smad2 positively regulates the generation of Th17 cells. </w:t>
      </w:r>
      <w:r w:rsidRPr="00E25DFD">
        <w:rPr>
          <w:rFonts w:ascii="Book Antiqua" w:eastAsia="宋体" w:hAnsi="Book Antiqua" w:cs="宋体"/>
          <w:i/>
          <w:iCs/>
          <w:sz w:val="24"/>
          <w:szCs w:val="24"/>
          <w:lang w:val="en-US" w:eastAsia="zh-CN"/>
        </w:rPr>
        <w:t>J Biol Chem</w:t>
      </w:r>
      <w:r w:rsidRPr="00E25DFD">
        <w:rPr>
          <w:rFonts w:ascii="Book Antiqua" w:eastAsia="宋体" w:hAnsi="Book Antiqua" w:cs="宋体"/>
          <w:sz w:val="24"/>
          <w:szCs w:val="24"/>
          <w:lang w:val="en-US" w:eastAsia="zh-CN"/>
        </w:rPr>
        <w:t xml:space="preserve"> 2010; </w:t>
      </w:r>
      <w:r w:rsidRPr="00E25DFD">
        <w:rPr>
          <w:rFonts w:ascii="Book Antiqua" w:eastAsia="宋体" w:hAnsi="Book Antiqua" w:cs="宋体"/>
          <w:b/>
          <w:bCs/>
          <w:sz w:val="24"/>
          <w:szCs w:val="24"/>
          <w:lang w:val="en-US" w:eastAsia="zh-CN"/>
        </w:rPr>
        <w:t>285</w:t>
      </w:r>
      <w:r w:rsidRPr="00E25DFD">
        <w:rPr>
          <w:rFonts w:ascii="Book Antiqua" w:eastAsia="宋体" w:hAnsi="Book Antiqua" w:cs="宋体"/>
          <w:sz w:val="24"/>
          <w:szCs w:val="24"/>
          <w:lang w:val="en-US" w:eastAsia="zh-CN"/>
        </w:rPr>
        <w:t>: 29039-29043 [PMID: 20667820 DOI: 10.1074/jbc.C110.155820]</w:t>
      </w:r>
    </w:p>
    <w:p w14:paraId="38289446"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53 </w:t>
      </w:r>
      <w:r w:rsidRPr="00E25DFD">
        <w:rPr>
          <w:rFonts w:ascii="Book Antiqua" w:eastAsia="宋体" w:hAnsi="Book Antiqua" w:cs="宋体"/>
          <w:b/>
          <w:bCs/>
          <w:sz w:val="24"/>
          <w:szCs w:val="24"/>
          <w:lang w:val="en-US" w:eastAsia="zh-CN"/>
        </w:rPr>
        <w:t>Goto Y</w:t>
      </w:r>
      <w:r w:rsidRPr="00E25DFD">
        <w:rPr>
          <w:rFonts w:ascii="Book Antiqua" w:eastAsia="宋体" w:hAnsi="Book Antiqua" w:cs="宋体"/>
          <w:sz w:val="24"/>
          <w:szCs w:val="24"/>
          <w:lang w:val="en-US" w:eastAsia="zh-CN"/>
        </w:rPr>
        <w:t xml:space="preserve">, Panea C, Nakato G, Cebula A, Lee C, Diez MG, Laufer TM, Ignatowicz L, Ivanov II. Segmented filamentous bacteria antigens presented by intestinal dendritic cells drive mucosal Th17 cell differentiation.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40</w:t>
      </w:r>
      <w:r w:rsidRPr="00E25DFD">
        <w:rPr>
          <w:rFonts w:ascii="Book Antiqua" w:eastAsia="宋体" w:hAnsi="Book Antiqua" w:cs="宋体"/>
          <w:sz w:val="24"/>
          <w:szCs w:val="24"/>
          <w:lang w:val="en-US" w:eastAsia="zh-CN"/>
        </w:rPr>
        <w:t>: 594-607 [PMID: 24684957 DOI: 10.1016/j.immuni.2014.03.005]</w:t>
      </w:r>
    </w:p>
    <w:p w14:paraId="07CD19C6"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54 </w:t>
      </w:r>
      <w:r w:rsidRPr="00E25DFD">
        <w:rPr>
          <w:rFonts w:ascii="Book Antiqua" w:eastAsia="宋体" w:hAnsi="Book Antiqua" w:cs="宋体"/>
          <w:b/>
          <w:bCs/>
          <w:sz w:val="24"/>
          <w:szCs w:val="24"/>
          <w:lang w:val="en-US" w:eastAsia="zh-CN"/>
        </w:rPr>
        <w:t>Atarashi K</w:t>
      </w:r>
      <w:r w:rsidRPr="00E25DFD">
        <w:rPr>
          <w:rFonts w:ascii="Book Antiqua" w:eastAsia="宋体" w:hAnsi="Book Antiqua" w:cs="宋体"/>
          <w:sz w:val="24"/>
          <w:szCs w:val="24"/>
          <w:lang w:val="en-US" w:eastAsia="zh-CN"/>
        </w:rPr>
        <w:t xml:space="preserve">, Tanoue T, Oshima K, Suda W, Nagano Y, Nishikawa H, Fukuda S, Saito T, Narushima S, Hase K, Kim S, Fritz JV, Wilmes P, Ueha S, Matsushima K, Ohno H, Olle B, Sakaguchi S, Taniguchi T, Morita H, Hattori M, Honda K. Treg induction by a rationally selected mixture of Clostridia strains from the human microbiota.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2013; </w:t>
      </w:r>
      <w:r w:rsidRPr="00E25DFD">
        <w:rPr>
          <w:rFonts w:ascii="Book Antiqua" w:eastAsia="宋体" w:hAnsi="Book Antiqua" w:cs="宋体"/>
          <w:b/>
          <w:bCs/>
          <w:sz w:val="24"/>
          <w:szCs w:val="24"/>
          <w:lang w:val="en-US" w:eastAsia="zh-CN"/>
        </w:rPr>
        <w:t>500</w:t>
      </w:r>
      <w:r w:rsidRPr="00E25DFD">
        <w:rPr>
          <w:rFonts w:ascii="Book Antiqua" w:eastAsia="宋体" w:hAnsi="Book Antiqua" w:cs="宋体"/>
          <w:sz w:val="24"/>
          <w:szCs w:val="24"/>
          <w:lang w:val="en-US" w:eastAsia="zh-CN"/>
        </w:rPr>
        <w:t>: 232-236 [PMID: 23842501 DOI: 10.1038/nature12331]</w:t>
      </w:r>
    </w:p>
    <w:p w14:paraId="62627A53"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55 </w:t>
      </w:r>
      <w:r w:rsidRPr="00E25DFD">
        <w:rPr>
          <w:rFonts w:ascii="Book Antiqua" w:eastAsia="宋体" w:hAnsi="Book Antiqua" w:cs="宋体"/>
          <w:b/>
          <w:bCs/>
          <w:sz w:val="24"/>
          <w:szCs w:val="24"/>
          <w:lang w:val="en-US" w:eastAsia="zh-CN"/>
        </w:rPr>
        <w:t>Geuking MB</w:t>
      </w:r>
      <w:r w:rsidRPr="00E25DFD">
        <w:rPr>
          <w:rFonts w:ascii="Book Antiqua" w:eastAsia="宋体" w:hAnsi="Book Antiqua" w:cs="宋体"/>
          <w:sz w:val="24"/>
          <w:szCs w:val="24"/>
          <w:lang w:val="en-US" w:eastAsia="zh-CN"/>
        </w:rPr>
        <w:t xml:space="preserve">, Cahenzli J, Lawson MA, Ng DC, Slack E, Hapfelmeier S, McCoy KD, Macpherson AJ. Intestinal bacterial colonization induces mutualistic regulatory T cell responses.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2011; </w:t>
      </w:r>
      <w:r w:rsidRPr="00E25DFD">
        <w:rPr>
          <w:rFonts w:ascii="Book Antiqua" w:eastAsia="宋体" w:hAnsi="Book Antiqua" w:cs="宋体"/>
          <w:b/>
          <w:bCs/>
          <w:sz w:val="24"/>
          <w:szCs w:val="24"/>
          <w:lang w:val="en-US" w:eastAsia="zh-CN"/>
        </w:rPr>
        <w:t>34</w:t>
      </w:r>
      <w:r w:rsidRPr="00E25DFD">
        <w:rPr>
          <w:rFonts w:ascii="Book Antiqua" w:eastAsia="宋体" w:hAnsi="Book Antiqua" w:cs="宋体"/>
          <w:sz w:val="24"/>
          <w:szCs w:val="24"/>
          <w:lang w:val="en-US" w:eastAsia="zh-CN"/>
        </w:rPr>
        <w:t>: 794-806 [PMID: 21596591 DOI: 10.1016/j.immuni.2011.03.021]</w:t>
      </w:r>
    </w:p>
    <w:p w14:paraId="76FBA13C"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56 </w:t>
      </w:r>
      <w:r w:rsidRPr="00E25DFD">
        <w:rPr>
          <w:rFonts w:ascii="Book Antiqua" w:eastAsia="宋体" w:hAnsi="Book Antiqua" w:cs="宋体"/>
          <w:b/>
          <w:bCs/>
          <w:sz w:val="24"/>
          <w:szCs w:val="24"/>
          <w:lang w:val="en-US" w:eastAsia="zh-CN"/>
        </w:rPr>
        <w:t>Livingston M</w:t>
      </w:r>
      <w:r w:rsidRPr="00E25DFD">
        <w:rPr>
          <w:rFonts w:ascii="Book Antiqua" w:eastAsia="宋体" w:hAnsi="Book Antiqua" w:cs="宋体"/>
          <w:sz w:val="24"/>
          <w:szCs w:val="24"/>
          <w:lang w:val="en-US" w:eastAsia="zh-CN"/>
        </w:rPr>
        <w:t xml:space="preserve">, Loach D, Wilson M, Tannock GW, Baird M. Gut commensal Lactobacillus reuteri 100-23 stimulates an immunoregulatory response. </w:t>
      </w:r>
      <w:r w:rsidRPr="00E25DFD">
        <w:rPr>
          <w:rFonts w:ascii="Book Antiqua" w:eastAsia="宋体" w:hAnsi="Book Antiqua" w:cs="宋体"/>
          <w:i/>
          <w:iCs/>
          <w:sz w:val="24"/>
          <w:szCs w:val="24"/>
          <w:lang w:val="en-US" w:eastAsia="zh-CN"/>
        </w:rPr>
        <w:t>Immunol Cell Biol</w:t>
      </w:r>
      <w:r w:rsidRPr="00E25DFD">
        <w:rPr>
          <w:rFonts w:ascii="Book Antiqua" w:eastAsia="宋体" w:hAnsi="Book Antiqua" w:cs="宋体"/>
          <w:sz w:val="24"/>
          <w:szCs w:val="24"/>
          <w:lang w:val="en-US" w:eastAsia="zh-CN"/>
        </w:rPr>
        <w:t xml:space="preserve"> 2010; </w:t>
      </w:r>
      <w:r w:rsidRPr="00E25DFD">
        <w:rPr>
          <w:rFonts w:ascii="Book Antiqua" w:eastAsia="宋体" w:hAnsi="Book Antiqua" w:cs="宋体"/>
          <w:b/>
          <w:bCs/>
          <w:sz w:val="24"/>
          <w:szCs w:val="24"/>
          <w:lang w:val="en-US" w:eastAsia="zh-CN"/>
        </w:rPr>
        <w:t>88</w:t>
      </w:r>
      <w:r w:rsidRPr="00E25DFD">
        <w:rPr>
          <w:rFonts w:ascii="Book Antiqua" w:eastAsia="宋体" w:hAnsi="Book Antiqua" w:cs="宋体"/>
          <w:sz w:val="24"/>
          <w:szCs w:val="24"/>
          <w:lang w:val="en-US" w:eastAsia="zh-CN"/>
        </w:rPr>
        <w:t>: 99-102 [PMID: 19786979 DOI: 10.1038/icb.2009.71]</w:t>
      </w:r>
    </w:p>
    <w:p w14:paraId="2E6567E5"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57 </w:t>
      </w:r>
      <w:r w:rsidRPr="00E25DFD">
        <w:rPr>
          <w:rFonts w:ascii="Book Antiqua" w:eastAsia="宋体" w:hAnsi="Book Antiqua" w:cs="宋体"/>
          <w:b/>
          <w:bCs/>
          <w:sz w:val="24"/>
          <w:szCs w:val="24"/>
          <w:lang w:val="en-US" w:eastAsia="zh-CN"/>
        </w:rPr>
        <w:t>Singh N</w:t>
      </w:r>
      <w:r w:rsidRPr="00E25DFD">
        <w:rPr>
          <w:rFonts w:ascii="Book Antiqua" w:eastAsia="宋体" w:hAnsi="Book Antiqua" w:cs="宋体"/>
          <w:sz w:val="24"/>
          <w:szCs w:val="24"/>
          <w:lang w:val="en-US" w:eastAsia="zh-CN"/>
        </w:rPr>
        <w:t xml:space="preserve">, Gurav A, Sivaprakasam S, Brady E, Padia R, Shi H, Thangaraju M, Prasad PD, Manicassamy S, Munn DH, Lee JR, Offermanns S, Ganapathy V. Activation of Gpr109a, receptor for niacin and the commensal metabolite butyrate, suppresses colonic inflammation and carcinogenesis.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40</w:t>
      </w:r>
      <w:r w:rsidRPr="00E25DFD">
        <w:rPr>
          <w:rFonts w:ascii="Book Antiqua" w:eastAsia="宋体" w:hAnsi="Book Antiqua" w:cs="宋体"/>
          <w:sz w:val="24"/>
          <w:szCs w:val="24"/>
          <w:lang w:val="en-US" w:eastAsia="zh-CN"/>
        </w:rPr>
        <w:t>: 128-139 [PMID: 24412617 DOI: 10.1016/j.immuni.2013.12.007]</w:t>
      </w:r>
    </w:p>
    <w:p w14:paraId="034F81A7"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58 </w:t>
      </w:r>
      <w:r w:rsidRPr="00E25DFD">
        <w:rPr>
          <w:rFonts w:ascii="Book Antiqua" w:eastAsia="宋体" w:hAnsi="Book Antiqua" w:cs="宋体"/>
          <w:b/>
          <w:bCs/>
          <w:sz w:val="24"/>
          <w:szCs w:val="24"/>
          <w:lang w:val="en-US" w:eastAsia="zh-CN"/>
        </w:rPr>
        <w:t>Arpaia N</w:t>
      </w:r>
      <w:r w:rsidRPr="00E25DFD">
        <w:rPr>
          <w:rFonts w:ascii="Book Antiqua" w:eastAsia="宋体" w:hAnsi="Book Antiqua" w:cs="宋体"/>
          <w:sz w:val="24"/>
          <w:szCs w:val="24"/>
          <w:lang w:val="en-US" w:eastAsia="zh-CN"/>
        </w:rPr>
        <w:t xml:space="preserve">, Campbell C, Fan X, Dikiy S, van der Veeken J, deRoos P, Liu H, Cross JR, Pfeffer K, Coffer PJ, Rudensky AY. Metabolites produced by commensal bacteria promote peripheral regulatory T-cell generation.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2013; </w:t>
      </w:r>
      <w:r w:rsidRPr="00E25DFD">
        <w:rPr>
          <w:rFonts w:ascii="Book Antiqua" w:eastAsia="宋体" w:hAnsi="Book Antiqua" w:cs="宋体"/>
          <w:b/>
          <w:bCs/>
          <w:sz w:val="24"/>
          <w:szCs w:val="24"/>
          <w:lang w:val="en-US" w:eastAsia="zh-CN"/>
        </w:rPr>
        <w:t>504</w:t>
      </w:r>
      <w:r w:rsidRPr="00E25DFD">
        <w:rPr>
          <w:rFonts w:ascii="Book Antiqua" w:eastAsia="宋体" w:hAnsi="Book Antiqua" w:cs="宋体"/>
          <w:sz w:val="24"/>
          <w:szCs w:val="24"/>
          <w:lang w:val="en-US" w:eastAsia="zh-CN"/>
        </w:rPr>
        <w:t>: 451-455 [PMID: 24226773 DOI: 10.1038/nature12726]</w:t>
      </w:r>
    </w:p>
    <w:p w14:paraId="1C2DA5C2"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59 </w:t>
      </w:r>
      <w:r w:rsidRPr="00E25DFD">
        <w:rPr>
          <w:rFonts w:ascii="Book Antiqua" w:eastAsia="宋体" w:hAnsi="Book Antiqua" w:cs="宋体"/>
          <w:b/>
          <w:bCs/>
          <w:sz w:val="24"/>
          <w:szCs w:val="24"/>
          <w:lang w:val="en-US" w:eastAsia="zh-CN"/>
        </w:rPr>
        <w:t>Round JL</w:t>
      </w:r>
      <w:r w:rsidRPr="00E25DFD">
        <w:rPr>
          <w:rFonts w:ascii="Book Antiqua" w:eastAsia="宋体" w:hAnsi="Book Antiqua" w:cs="宋体"/>
          <w:sz w:val="24"/>
          <w:szCs w:val="24"/>
          <w:lang w:val="en-US" w:eastAsia="zh-CN"/>
        </w:rPr>
        <w:t xml:space="preserve">, Lee SM, Li J, Tran G, Jabri B, Chatila TA, Mazmanian SK. The Toll-like receptor 2 pathway establishes colonization by a commensal of the human microbiota. </w:t>
      </w:r>
      <w:r w:rsidRPr="00E25DFD">
        <w:rPr>
          <w:rFonts w:ascii="Book Antiqua" w:eastAsia="宋体" w:hAnsi="Book Antiqua" w:cs="宋体"/>
          <w:i/>
          <w:iCs/>
          <w:sz w:val="24"/>
          <w:szCs w:val="24"/>
          <w:lang w:val="en-US" w:eastAsia="zh-CN"/>
        </w:rPr>
        <w:t>Science</w:t>
      </w:r>
      <w:r w:rsidRPr="00E25DFD">
        <w:rPr>
          <w:rFonts w:ascii="Book Antiqua" w:eastAsia="宋体" w:hAnsi="Book Antiqua" w:cs="宋体"/>
          <w:sz w:val="24"/>
          <w:szCs w:val="24"/>
          <w:lang w:val="en-US" w:eastAsia="zh-CN"/>
        </w:rPr>
        <w:t xml:space="preserve"> 2011; </w:t>
      </w:r>
      <w:r w:rsidRPr="00E25DFD">
        <w:rPr>
          <w:rFonts w:ascii="Book Antiqua" w:eastAsia="宋体" w:hAnsi="Book Antiqua" w:cs="宋体"/>
          <w:b/>
          <w:bCs/>
          <w:sz w:val="24"/>
          <w:szCs w:val="24"/>
          <w:lang w:val="en-US" w:eastAsia="zh-CN"/>
        </w:rPr>
        <w:t>332</w:t>
      </w:r>
      <w:r w:rsidRPr="00E25DFD">
        <w:rPr>
          <w:rFonts w:ascii="Book Antiqua" w:eastAsia="宋体" w:hAnsi="Book Antiqua" w:cs="宋体"/>
          <w:sz w:val="24"/>
          <w:szCs w:val="24"/>
          <w:lang w:val="en-US" w:eastAsia="zh-CN"/>
        </w:rPr>
        <w:t>: 974-977 [PMID: 21512004 DOI: 10.1126/science.1206095]</w:t>
      </w:r>
    </w:p>
    <w:p w14:paraId="1E3CBEE6"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lastRenderedPageBreak/>
        <w:t xml:space="preserve">60 </w:t>
      </w:r>
      <w:r w:rsidRPr="00E25DFD">
        <w:rPr>
          <w:rFonts w:ascii="Book Antiqua" w:eastAsia="宋体" w:hAnsi="Book Antiqua" w:cs="宋体"/>
          <w:b/>
          <w:bCs/>
          <w:sz w:val="24"/>
          <w:szCs w:val="24"/>
          <w:lang w:val="en-US" w:eastAsia="zh-CN"/>
        </w:rPr>
        <w:t>Ueno A</w:t>
      </w:r>
      <w:r w:rsidRPr="00E25DFD">
        <w:rPr>
          <w:rFonts w:ascii="Book Antiqua" w:eastAsia="宋体" w:hAnsi="Book Antiqua" w:cs="宋体"/>
          <w:sz w:val="24"/>
          <w:szCs w:val="24"/>
          <w:lang w:val="en-US" w:eastAsia="zh-CN"/>
        </w:rPr>
        <w:t xml:space="preserve">, Jijon H, Chan R, Ford K, Hirota C, Kaplan GG, Beck PL, Iacucci M, Fort Gasia M, Barkema HW, Panaccione R, Ghosh S. Increased prevalence of circulating novel IL-17 secreting Foxp3 expressing CD4+ T cells and defective suppressive function of circulating Foxp3+ regulatory cells support plasticity between Th17 and regulatory T cells in inflammatory bowel disease patients. </w:t>
      </w:r>
      <w:r w:rsidRPr="00E25DFD">
        <w:rPr>
          <w:rFonts w:ascii="Book Antiqua" w:eastAsia="宋体" w:hAnsi="Book Antiqua" w:cs="宋体"/>
          <w:i/>
          <w:iCs/>
          <w:sz w:val="24"/>
          <w:szCs w:val="24"/>
          <w:lang w:val="en-US" w:eastAsia="zh-CN"/>
        </w:rPr>
        <w:t>Inflamm Bowel Dis</w:t>
      </w:r>
      <w:r w:rsidRPr="00E25DFD">
        <w:rPr>
          <w:rFonts w:ascii="Book Antiqua" w:eastAsia="宋体" w:hAnsi="Book Antiqua" w:cs="宋体"/>
          <w:sz w:val="24"/>
          <w:szCs w:val="24"/>
          <w:lang w:val="en-US" w:eastAsia="zh-CN"/>
        </w:rPr>
        <w:t xml:space="preserve"> 2013; </w:t>
      </w:r>
      <w:r w:rsidRPr="00E25DFD">
        <w:rPr>
          <w:rFonts w:ascii="Book Antiqua" w:eastAsia="宋体" w:hAnsi="Book Antiqua" w:cs="宋体"/>
          <w:b/>
          <w:bCs/>
          <w:sz w:val="24"/>
          <w:szCs w:val="24"/>
          <w:lang w:val="en-US" w:eastAsia="zh-CN"/>
        </w:rPr>
        <w:t>19</w:t>
      </w:r>
      <w:r w:rsidRPr="00E25DFD">
        <w:rPr>
          <w:rFonts w:ascii="Book Antiqua" w:eastAsia="宋体" w:hAnsi="Book Antiqua" w:cs="宋体"/>
          <w:sz w:val="24"/>
          <w:szCs w:val="24"/>
          <w:lang w:val="en-US" w:eastAsia="zh-CN"/>
        </w:rPr>
        <w:t>: 2522-2534 [PMID: 24097227 DOI: 10.1097/MIB.0b013e3182a85709]</w:t>
      </w:r>
    </w:p>
    <w:p w14:paraId="1B74499C"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61 </w:t>
      </w:r>
      <w:r w:rsidRPr="00E25DFD">
        <w:rPr>
          <w:rFonts w:ascii="Book Antiqua" w:eastAsia="宋体" w:hAnsi="Book Antiqua" w:cs="宋体"/>
          <w:b/>
          <w:bCs/>
          <w:sz w:val="24"/>
          <w:szCs w:val="24"/>
          <w:lang w:val="en-US" w:eastAsia="zh-CN"/>
        </w:rPr>
        <w:t>Basu R</w:t>
      </w:r>
      <w:r w:rsidRPr="00E25DFD">
        <w:rPr>
          <w:rFonts w:ascii="Book Antiqua" w:eastAsia="宋体" w:hAnsi="Book Antiqua" w:cs="宋体"/>
          <w:sz w:val="24"/>
          <w:szCs w:val="24"/>
          <w:lang w:val="en-US" w:eastAsia="zh-CN"/>
        </w:rPr>
        <w:t xml:space="preserve">, Whitley SK, Bhaumik S, Zindl CL, Schoeb TR, Benveniste EN, Pear WS, Hatton RD, Weaver CT. IL-1 signaling modulates activation of STAT transcription factors to antagonize retinoic acid signaling and control the TH17 cell-iTreg cell balance. </w:t>
      </w:r>
      <w:r w:rsidRPr="00E25DFD">
        <w:rPr>
          <w:rFonts w:ascii="Book Antiqua" w:eastAsia="宋体" w:hAnsi="Book Antiqua" w:cs="宋体"/>
          <w:i/>
          <w:iCs/>
          <w:sz w:val="24"/>
          <w:szCs w:val="24"/>
          <w:lang w:val="en-US" w:eastAsia="zh-CN"/>
        </w:rPr>
        <w:t>Nat Immunol</w:t>
      </w:r>
      <w:r w:rsidRPr="00E25DFD">
        <w:rPr>
          <w:rFonts w:ascii="Book Antiqua" w:eastAsia="宋体" w:hAnsi="Book Antiqua" w:cs="宋体"/>
          <w:sz w:val="24"/>
          <w:szCs w:val="24"/>
          <w:lang w:val="en-US" w:eastAsia="zh-CN"/>
        </w:rPr>
        <w:t xml:space="preserve"> 2015; </w:t>
      </w:r>
      <w:r w:rsidRPr="00E25DFD">
        <w:rPr>
          <w:rFonts w:ascii="Book Antiqua" w:eastAsia="宋体" w:hAnsi="Book Antiqua" w:cs="宋体"/>
          <w:b/>
          <w:bCs/>
          <w:sz w:val="24"/>
          <w:szCs w:val="24"/>
          <w:lang w:val="en-US" w:eastAsia="zh-CN"/>
        </w:rPr>
        <w:t>16</w:t>
      </w:r>
      <w:r w:rsidRPr="00E25DFD">
        <w:rPr>
          <w:rFonts w:ascii="Book Antiqua" w:eastAsia="宋体" w:hAnsi="Book Antiqua" w:cs="宋体"/>
          <w:sz w:val="24"/>
          <w:szCs w:val="24"/>
          <w:lang w:val="en-US" w:eastAsia="zh-CN"/>
        </w:rPr>
        <w:t>: 286-295 [PMID: 25642823 DOI: 10.1038/ni.3099]</w:t>
      </w:r>
    </w:p>
    <w:p w14:paraId="5738A728"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62 </w:t>
      </w:r>
      <w:r w:rsidRPr="00E25DFD">
        <w:rPr>
          <w:rFonts w:ascii="Book Antiqua" w:eastAsia="宋体" w:hAnsi="Book Antiqua" w:cs="宋体"/>
          <w:b/>
          <w:bCs/>
          <w:sz w:val="24"/>
          <w:szCs w:val="24"/>
          <w:lang w:val="en-US" w:eastAsia="zh-CN"/>
        </w:rPr>
        <w:t>Zhang L</w:t>
      </w:r>
      <w:r w:rsidRPr="00E25DFD">
        <w:rPr>
          <w:rFonts w:ascii="Book Antiqua" w:eastAsia="宋体" w:hAnsi="Book Antiqua" w:cs="宋体"/>
          <w:sz w:val="24"/>
          <w:szCs w:val="24"/>
          <w:lang w:val="en-US" w:eastAsia="zh-CN"/>
        </w:rPr>
        <w:t xml:space="preserve">, Yuan S, Cheng G, Guo B. Type I IFN promotes IL-10 production from T cells to suppress Th17 cells and Th17-associated autoimmune inflammation. </w:t>
      </w:r>
      <w:r w:rsidRPr="00E25DFD">
        <w:rPr>
          <w:rFonts w:ascii="Book Antiqua" w:eastAsia="宋体" w:hAnsi="Book Antiqua" w:cs="宋体"/>
          <w:i/>
          <w:iCs/>
          <w:sz w:val="24"/>
          <w:szCs w:val="24"/>
          <w:lang w:val="en-US" w:eastAsia="zh-CN"/>
        </w:rPr>
        <w:t>PLoS One</w:t>
      </w:r>
      <w:r w:rsidRPr="00E25DFD">
        <w:rPr>
          <w:rFonts w:ascii="Book Antiqua" w:eastAsia="宋体" w:hAnsi="Book Antiqua" w:cs="宋体"/>
          <w:sz w:val="24"/>
          <w:szCs w:val="24"/>
          <w:lang w:val="en-US" w:eastAsia="zh-CN"/>
        </w:rPr>
        <w:t xml:space="preserve"> 2011; </w:t>
      </w:r>
      <w:r w:rsidRPr="00E25DFD">
        <w:rPr>
          <w:rFonts w:ascii="Book Antiqua" w:eastAsia="宋体" w:hAnsi="Book Antiqua" w:cs="宋体"/>
          <w:b/>
          <w:bCs/>
          <w:sz w:val="24"/>
          <w:szCs w:val="24"/>
          <w:lang w:val="en-US" w:eastAsia="zh-CN"/>
        </w:rPr>
        <w:t>6</w:t>
      </w:r>
      <w:r w:rsidRPr="00E25DFD">
        <w:rPr>
          <w:rFonts w:ascii="Book Antiqua" w:eastAsia="宋体" w:hAnsi="Book Antiqua" w:cs="宋体"/>
          <w:sz w:val="24"/>
          <w:szCs w:val="24"/>
          <w:lang w:val="en-US" w:eastAsia="zh-CN"/>
        </w:rPr>
        <w:t>: e28432 [PMID: 22163016 DOI: 10.1371/journal.pone.0028432]</w:t>
      </w:r>
    </w:p>
    <w:p w14:paraId="3371A04B"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63 </w:t>
      </w:r>
      <w:r w:rsidRPr="00E25DFD">
        <w:rPr>
          <w:rFonts w:ascii="Book Antiqua" w:eastAsia="宋体" w:hAnsi="Book Antiqua" w:cs="宋体"/>
          <w:b/>
          <w:bCs/>
          <w:sz w:val="24"/>
          <w:szCs w:val="24"/>
          <w:lang w:val="en-US" w:eastAsia="zh-CN"/>
        </w:rPr>
        <w:t>Yang L</w:t>
      </w:r>
      <w:r w:rsidRPr="00E25DFD">
        <w:rPr>
          <w:rFonts w:ascii="Book Antiqua" w:eastAsia="宋体" w:hAnsi="Book Antiqua" w:cs="宋体"/>
          <w:sz w:val="24"/>
          <w:szCs w:val="24"/>
          <w:lang w:val="en-US" w:eastAsia="zh-CN"/>
        </w:rPr>
        <w:t xml:space="preserve">, Anderson DE, Baecher-Allan C, Hastings WD, Bettelli E, Oukka M, Kuchroo VK, Hafler DA. IL-21 and TGF-beta are required for differentiation of human T(H)17 cells.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454</w:t>
      </w:r>
      <w:r w:rsidRPr="00E25DFD">
        <w:rPr>
          <w:rFonts w:ascii="Book Antiqua" w:eastAsia="宋体" w:hAnsi="Book Antiqua" w:cs="宋体"/>
          <w:sz w:val="24"/>
          <w:szCs w:val="24"/>
          <w:lang w:val="en-US" w:eastAsia="zh-CN"/>
        </w:rPr>
        <w:t>: 350-352 [PMID: 18469800 DOI: 10.1038/nature07021]</w:t>
      </w:r>
    </w:p>
    <w:p w14:paraId="291F334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64 </w:t>
      </w:r>
      <w:r w:rsidRPr="00E25DFD">
        <w:rPr>
          <w:rFonts w:ascii="Book Antiqua" w:eastAsia="宋体" w:hAnsi="Book Antiqua" w:cs="宋体"/>
          <w:b/>
          <w:bCs/>
          <w:sz w:val="24"/>
          <w:szCs w:val="24"/>
          <w:lang w:val="en-US" w:eastAsia="zh-CN"/>
        </w:rPr>
        <w:t>Fantini MC</w:t>
      </w:r>
      <w:r w:rsidRPr="00E25DFD">
        <w:rPr>
          <w:rFonts w:ascii="Book Antiqua" w:eastAsia="宋体" w:hAnsi="Book Antiqua" w:cs="宋体"/>
          <w:sz w:val="24"/>
          <w:szCs w:val="24"/>
          <w:lang w:val="en-US" w:eastAsia="zh-CN"/>
        </w:rPr>
        <w:t xml:space="preserve">, Rizzo A, Fina D, Caruso R, Becker C, Neurath MF, Macdonald TT, Pallone F, Monteleone G. IL-21 regulates experimental colitis by modulating the balance between Treg and Th17 cells. </w:t>
      </w:r>
      <w:r w:rsidRPr="00E25DFD">
        <w:rPr>
          <w:rFonts w:ascii="Book Antiqua" w:eastAsia="宋体" w:hAnsi="Book Antiqua" w:cs="宋体"/>
          <w:i/>
          <w:iCs/>
          <w:sz w:val="24"/>
          <w:szCs w:val="24"/>
          <w:lang w:val="en-US" w:eastAsia="zh-CN"/>
        </w:rPr>
        <w:t>Eur J Immunol</w:t>
      </w:r>
      <w:r w:rsidRPr="00E25DFD">
        <w:rPr>
          <w:rFonts w:ascii="Book Antiqua" w:eastAsia="宋体" w:hAnsi="Book Antiqua" w:cs="宋体"/>
          <w:sz w:val="24"/>
          <w:szCs w:val="24"/>
          <w:lang w:val="en-US" w:eastAsia="zh-CN"/>
        </w:rPr>
        <w:t xml:space="preserve"> 2007; </w:t>
      </w:r>
      <w:r w:rsidRPr="00E25DFD">
        <w:rPr>
          <w:rFonts w:ascii="Book Antiqua" w:eastAsia="宋体" w:hAnsi="Book Antiqua" w:cs="宋体"/>
          <w:b/>
          <w:bCs/>
          <w:sz w:val="24"/>
          <w:szCs w:val="24"/>
          <w:lang w:val="en-US" w:eastAsia="zh-CN"/>
        </w:rPr>
        <w:t>37</w:t>
      </w:r>
      <w:r w:rsidRPr="00E25DFD">
        <w:rPr>
          <w:rFonts w:ascii="Book Antiqua" w:eastAsia="宋体" w:hAnsi="Book Antiqua" w:cs="宋体"/>
          <w:sz w:val="24"/>
          <w:szCs w:val="24"/>
          <w:lang w:val="en-US" w:eastAsia="zh-CN"/>
        </w:rPr>
        <w:t>: 3155-3163 [PMID: 17918200 DOI: 10.1002/eji.200737766]</w:t>
      </w:r>
    </w:p>
    <w:p w14:paraId="2CFE7F43"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65 </w:t>
      </w:r>
      <w:r w:rsidRPr="00E25DFD">
        <w:rPr>
          <w:rFonts w:ascii="Book Antiqua" w:eastAsia="宋体" w:hAnsi="Book Antiqua" w:cs="宋体"/>
          <w:b/>
          <w:bCs/>
          <w:sz w:val="24"/>
          <w:szCs w:val="24"/>
          <w:lang w:val="en-US" w:eastAsia="zh-CN"/>
        </w:rPr>
        <w:t>Peluso I</w:t>
      </w:r>
      <w:r w:rsidRPr="00E25DFD">
        <w:rPr>
          <w:rFonts w:ascii="Book Antiqua" w:eastAsia="宋体" w:hAnsi="Book Antiqua" w:cs="宋体"/>
          <w:sz w:val="24"/>
          <w:szCs w:val="24"/>
          <w:lang w:val="en-US" w:eastAsia="zh-CN"/>
        </w:rPr>
        <w:t xml:space="preserve">, Fantini MC, Fina D, Caruso R, Boirivant M, MacDonald TT, Pallone F, Monteleone G. IL-21 counteracts the regulatory T cell-mediated suppression of human CD4+ T lymphocytes. </w:t>
      </w:r>
      <w:r w:rsidRPr="00E25DFD">
        <w:rPr>
          <w:rFonts w:ascii="Book Antiqua" w:eastAsia="宋体" w:hAnsi="Book Antiqua" w:cs="宋体"/>
          <w:i/>
          <w:iCs/>
          <w:sz w:val="24"/>
          <w:szCs w:val="24"/>
          <w:lang w:val="en-US" w:eastAsia="zh-CN"/>
        </w:rPr>
        <w:t>J Immunol</w:t>
      </w:r>
      <w:r w:rsidRPr="00E25DFD">
        <w:rPr>
          <w:rFonts w:ascii="Book Antiqua" w:eastAsia="宋体" w:hAnsi="Book Antiqua" w:cs="宋体"/>
          <w:sz w:val="24"/>
          <w:szCs w:val="24"/>
          <w:lang w:val="en-US" w:eastAsia="zh-CN"/>
        </w:rPr>
        <w:t xml:space="preserve"> 2007; </w:t>
      </w:r>
      <w:r w:rsidRPr="00E25DFD">
        <w:rPr>
          <w:rFonts w:ascii="Book Antiqua" w:eastAsia="宋体" w:hAnsi="Book Antiqua" w:cs="宋体"/>
          <w:b/>
          <w:bCs/>
          <w:sz w:val="24"/>
          <w:szCs w:val="24"/>
          <w:lang w:val="en-US" w:eastAsia="zh-CN"/>
        </w:rPr>
        <w:t>178</w:t>
      </w:r>
      <w:r w:rsidRPr="00E25DFD">
        <w:rPr>
          <w:rFonts w:ascii="Book Antiqua" w:eastAsia="宋体" w:hAnsi="Book Antiqua" w:cs="宋体"/>
          <w:sz w:val="24"/>
          <w:szCs w:val="24"/>
          <w:lang w:val="en-US" w:eastAsia="zh-CN"/>
        </w:rPr>
        <w:t>: 732-739 [PMID: 17202333 DOI: 178/2/732]</w:t>
      </w:r>
    </w:p>
    <w:p w14:paraId="3A64F2B9"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66 </w:t>
      </w:r>
      <w:r w:rsidRPr="00E25DFD">
        <w:rPr>
          <w:rFonts w:ascii="Book Antiqua" w:eastAsia="宋体" w:hAnsi="Book Antiqua" w:cs="宋体"/>
          <w:b/>
          <w:bCs/>
          <w:sz w:val="24"/>
          <w:szCs w:val="24"/>
          <w:lang w:val="en-US" w:eastAsia="zh-CN"/>
        </w:rPr>
        <w:t>Sugimoto K</w:t>
      </w:r>
      <w:r w:rsidRPr="00E25DFD">
        <w:rPr>
          <w:rFonts w:ascii="Book Antiqua" w:eastAsia="宋体" w:hAnsi="Book Antiqua" w:cs="宋体"/>
          <w:sz w:val="24"/>
          <w:szCs w:val="24"/>
          <w:lang w:val="en-US" w:eastAsia="zh-CN"/>
        </w:rPr>
        <w:t xml:space="preserve">, Ogawa A, Mizoguchi E, Shimomura Y, Andoh A, Bhan AK, Blumberg RS, Xavier RJ, Mizoguchi A. IL-22 ameliorates intestinal inflammation in a mouse model of ulcerative colitis. </w:t>
      </w:r>
      <w:r w:rsidRPr="00E25DFD">
        <w:rPr>
          <w:rFonts w:ascii="Book Antiqua" w:eastAsia="宋体" w:hAnsi="Book Antiqua" w:cs="宋体"/>
          <w:i/>
          <w:iCs/>
          <w:sz w:val="24"/>
          <w:szCs w:val="24"/>
          <w:lang w:val="en-US" w:eastAsia="zh-CN"/>
        </w:rPr>
        <w:t>J Clin Invest</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118</w:t>
      </w:r>
      <w:r w:rsidRPr="00E25DFD">
        <w:rPr>
          <w:rFonts w:ascii="Book Antiqua" w:eastAsia="宋体" w:hAnsi="Book Antiqua" w:cs="宋体"/>
          <w:sz w:val="24"/>
          <w:szCs w:val="24"/>
          <w:lang w:val="en-US" w:eastAsia="zh-CN"/>
        </w:rPr>
        <w:t>: 534-544 [PMID: 18172556 DOI: 10.1172/JCI33194]</w:t>
      </w:r>
    </w:p>
    <w:p w14:paraId="4DC084B0"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67 </w:t>
      </w:r>
      <w:r w:rsidRPr="00E25DFD">
        <w:rPr>
          <w:rFonts w:ascii="Book Antiqua" w:eastAsia="宋体" w:hAnsi="Book Antiqua" w:cs="宋体"/>
          <w:b/>
          <w:bCs/>
          <w:sz w:val="24"/>
          <w:szCs w:val="24"/>
          <w:lang w:val="en-US" w:eastAsia="zh-CN"/>
        </w:rPr>
        <w:t>Zenewicz LA</w:t>
      </w:r>
      <w:r w:rsidRPr="00E25DFD">
        <w:rPr>
          <w:rFonts w:ascii="Book Antiqua" w:eastAsia="宋体" w:hAnsi="Book Antiqua" w:cs="宋体"/>
          <w:sz w:val="24"/>
          <w:szCs w:val="24"/>
          <w:lang w:val="en-US" w:eastAsia="zh-CN"/>
        </w:rPr>
        <w:t xml:space="preserve">, Yancopoulos GD, Valenzuela DM, Murphy AJ, Stevens S, Flavell RA. Innate and adaptive interleukin-22 protects mice from inflammatory bowel </w:t>
      </w:r>
      <w:r w:rsidRPr="00E25DFD">
        <w:rPr>
          <w:rFonts w:ascii="Book Antiqua" w:eastAsia="宋体" w:hAnsi="Book Antiqua" w:cs="宋体"/>
          <w:sz w:val="24"/>
          <w:szCs w:val="24"/>
          <w:lang w:val="en-US" w:eastAsia="zh-CN"/>
        </w:rPr>
        <w:lastRenderedPageBreak/>
        <w:t xml:space="preserve">disease.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29</w:t>
      </w:r>
      <w:r w:rsidRPr="00E25DFD">
        <w:rPr>
          <w:rFonts w:ascii="Book Antiqua" w:eastAsia="宋体" w:hAnsi="Book Antiqua" w:cs="宋体"/>
          <w:sz w:val="24"/>
          <w:szCs w:val="24"/>
          <w:lang w:val="en-US" w:eastAsia="zh-CN"/>
        </w:rPr>
        <w:t>: 947-957 [PMID: 19100701 DOI: 10.1016/j.immuni.2008.11.003]</w:t>
      </w:r>
    </w:p>
    <w:p w14:paraId="6DAF39D6"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68 </w:t>
      </w:r>
      <w:r w:rsidRPr="00E25DFD">
        <w:rPr>
          <w:rFonts w:ascii="Book Antiqua" w:eastAsia="宋体" w:hAnsi="Book Antiqua" w:cs="宋体"/>
          <w:b/>
          <w:bCs/>
          <w:sz w:val="24"/>
          <w:szCs w:val="24"/>
          <w:lang w:val="en-US" w:eastAsia="zh-CN"/>
        </w:rPr>
        <w:t>Awasthi A</w:t>
      </w:r>
      <w:r w:rsidRPr="00E25DFD">
        <w:rPr>
          <w:rFonts w:ascii="Book Antiqua" w:eastAsia="宋体" w:hAnsi="Book Antiqua" w:cs="宋体"/>
          <w:sz w:val="24"/>
          <w:szCs w:val="24"/>
          <w:lang w:val="en-US" w:eastAsia="zh-CN"/>
        </w:rPr>
        <w:t xml:space="preserve">, Riol-Blanco L, Jäger A, Korn T, Pot C, Galileos G, Bettelli E, Kuchroo VK, Oukka M. Cutting edge: IL-23 receptor gfp reporter mice reveal distinct populations of IL-17-producing cells. </w:t>
      </w:r>
      <w:r w:rsidRPr="00E25DFD">
        <w:rPr>
          <w:rFonts w:ascii="Book Antiqua" w:eastAsia="宋体" w:hAnsi="Book Antiqua" w:cs="宋体"/>
          <w:i/>
          <w:iCs/>
          <w:sz w:val="24"/>
          <w:szCs w:val="24"/>
          <w:lang w:val="en-US" w:eastAsia="zh-CN"/>
        </w:rPr>
        <w:t>J Immunol</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182</w:t>
      </w:r>
      <w:r w:rsidRPr="00E25DFD">
        <w:rPr>
          <w:rFonts w:ascii="Book Antiqua" w:eastAsia="宋体" w:hAnsi="Book Antiqua" w:cs="宋体"/>
          <w:sz w:val="24"/>
          <w:szCs w:val="24"/>
          <w:lang w:val="en-US" w:eastAsia="zh-CN"/>
        </w:rPr>
        <w:t>: 5904-5908 [PMID: 19414740 DOI: 10.4049/jimmunol.0900732]</w:t>
      </w:r>
    </w:p>
    <w:p w14:paraId="764AC82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69 </w:t>
      </w:r>
      <w:r w:rsidRPr="00E25DFD">
        <w:rPr>
          <w:rFonts w:ascii="Book Antiqua" w:eastAsia="宋体" w:hAnsi="Book Antiqua" w:cs="宋体"/>
          <w:b/>
          <w:bCs/>
          <w:sz w:val="24"/>
          <w:szCs w:val="24"/>
          <w:lang w:val="en-US" w:eastAsia="zh-CN"/>
        </w:rPr>
        <w:t>Coccia M</w:t>
      </w:r>
      <w:r w:rsidRPr="00E25DFD">
        <w:rPr>
          <w:rFonts w:ascii="Book Antiqua" w:eastAsia="宋体" w:hAnsi="Book Antiqua" w:cs="宋体"/>
          <w:sz w:val="24"/>
          <w:szCs w:val="24"/>
          <w:lang w:val="en-US" w:eastAsia="zh-CN"/>
        </w:rPr>
        <w:t xml:space="preserve">, Harrison OJ, Schiering C, Asquith MJ, Becher B, Powrie F, Maloy KJ. IL-1β mediates chronic intestinal inflammation by promoting the accumulation of IL-17A secreting innate lymphoid cells and CD4(+) Th17 cells. </w:t>
      </w:r>
      <w:r w:rsidRPr="00E25DFD">
        <w:rPr>
          <w:rFonts w:ascii="Book Antiqua" w:eastAsia="宋体" w:hAnsi="Book Antiqua" w:cs="宋体"/>
          <w:i/>
          <w:iCs/>
          <w:sz w:val="24"/>
          <w:szCs w:val="24"/>
          <w:lang w:val="en-US" w:eastAsia="zh-CN"/>
        </w:rPr>
        <w:t>J Exp Med</w:t>
      </w:r>
      <w:r w:rsidRPr="00E25DFD">
        <w:rPr>
          <w:rFonts w:ascii="Book Antiqua" w:eastAsia="宋体" w:hAnsi="Book Antiqua" w:cs="宋体"/>
          <w:sz w:val="24"/>
          <w:szCs w:val="24"/>
          <w:lang w:val="en-US" w:eastAsia="zh-CN"/>
        </w:rPr>
        <w:t xml:space="preserve"> 2012; </w:t>
      </w:r>
      <w:r w:rsidRPr="00E25DFD">
        <w:rPr>
          <w:rFonts w:ascii="Book Antiqua" w:eastAsia="宋体" w:hAnsi="Book Antiqua" w:cs="宋体"/>
          <w:b/>
          <w:bCs/>
          <w:sz w:val="24"/>
          <w:szCs w:val="24"/>
          <w:lang w:val="en-US" w:eastAsia="zh-CN"/>
        </w:rPr>
        <w:t>209</w:t>
      </w:r>
      <w:r w:rsidRPr="00E25DFD">
        <w:rPr>
          <w:rFonts w:ascii="Book Antiqua" w:eastAsia="宋体" w:hAnsi="Book Antiqua" w:cs="宋体"/>
          <w:sz w:val="24"/>
          <w:szCs w:val="24"/>
          <w:lang w:val="en-US" w:eastAsia="zh-CN"/>
        </w:rPr>
        <w:t>: 1595-1609 [PMID: 22891275 DOI: 10.1084/jem.20111453]</w:t>
      </w:r>
    </w:p>
    <w:p w14:paraId="2DED0198"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70 </w:t>
      </w:r>
      <w:r w:rsidRPr="00E25DFD">
        <w:rPr>
          <w:rFonts w:ascii="Book Antiqua" w:eastAsia="宋体" w:hAnsi="Book Antiqua" w:cs="宋体"/>
          <w:b/>
          <w:bCs/>
          <w:sz w:val="24"/>
          <w:szCs w:val="24"/>
          <w:lang w:val="en-US" w:eastAsia="zh-CN"/>
        </w:rPr>
        <w:t>Mudter J</w:t>
      </w:r>
      <w:r w:rsidRPr="00E25DFD">
        <w:rPr>
          <w:rFonts w:ascii="Book Antiqua" w:eastAsia="宋体" w:hAnsi="Book Antiqua" w:cs="宋体"/>
          <w:sz w:val="24"/>
          <w:szCs w:val="24"/>
          <w:lang w:val="en-US" w:eastAsia="zh-CN"/>
        </w:rPr>
        <w:t xml:space="preserve">, Yu J, Zufferey C, Brüstle A, Wirtz S, Weigmann B, Hoffman A, Schenk M, Galle PR, Lehr HA, Mueller C, Lohoff M, Neurath MF. IRF4 regulates IL-17A promoter activity and controls RORγt-dependent Th17 colitis in vivo. </w:t>
      </w:r>
      <w:r w:rsidRPr="00E25DFD">
        <w:rPr>
          <w:rFonts w:ascii="Book Antiqua" w:eastAsia="宋体" w:hAnsi="Book Antiqua" w:cs="宋体"/>
          <w:i/>
          <w:iCs/>
          <w:sz w:val="24"/>
          <w:szCs w:val="24"/>
          <w:lang w:val="en-US" w:eastAsia="zh-CN"/>
        </w:rPr>
        <w:t>Inflamm Bowel Dis</w:t>
      </w:r>
      <w:r w:rsidRPr="00E25DFD">
        <w:rPr>
          <w:rFonts w:ascii="Book Antiqua" w:eastAsia="宋体" w:hAnsi="Book Antiqua" w:cs="宋体"/>
          <w:sz w:val="24"/>
          <w:szCs w:val="24"/>
          <w:lang w:val="en-US" w:eastAsia="zh-CN"/>
        </w:rPr>
        <w:t xml:space="preserve"> 2011; </w:t>
      </w:r>
      <w:r w:rsidRPr="00E25DFD">
        <w:rPr>
          <w:rFonts w:ascii="Book Antiqua" w:eastAsia="宋体" w:hAnsi="Book Antiqua" w:cs="宋体"/>
          <w:b/>
          <w:bCs/>
          <w:sz w:val="24"/>
          <w:szCs w:val="24"/>
          <w:lang w:val="en-US" w:eastAsia="zh-CN"/>
        </w:rPr>
        <w:t>17</w:t>
      </w:r>
      <w:r w:rsidRPr="00E25DFD">
        <w:rPr>
          <w:rFonts w:ascii="Book Antiqua" w:eastAsia="宋体" w:hAnsi="Book Antiqua" w:cs="宋体"/>
          <w:sz w:val="24"/>
          <w:szCs w:val="24"/>
          <w:lang w:val="en-US" w:eastAsia="zh-CN"/>
        </w:rPr>
        <w:t>: 1343-1358 [PMID: 21305677 DOI: 10.1002/ibd.21476]</w:t>
      </w:r>
    </w:p>
    <w:p w14:paraId="7862E913"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71 </w:t>
      </w:r>
      <w:r w:rsidRPr="00E25DFD">
        <w:rPr>
          <w:rFonts w:ascii="Book Antiqua" w:eastAsia="宋体" w:hAnsi="Book Antiqua" w:cs="宋体"/>
          <w:b/>
          <w:bCs/>
          <w:sz w:val="24"/>
          <w:szCs w:val="24"/>
          <w:lang w:val="en-US" w:eastAsia="zh-CN"/>
        </w:rPr>
        <w:t>Huber M</w:t>
      </w:r>
      <w:r w:rsidRPr="00E25DFD">
        <w:rPr>
          <w:rFonts w:ascii="Book Antiqua" w:eastAsia="宋体" w:hAnsi="Book Antiqua" w:cs="宋体"/>
          <w:sz w:val="24"/>
          <w:szCs w:val="24"/>
          <w:lang w:val="en-US" w:eastAsia="zh-CN"/>
        </w:rPr>
        <w:t xml:space="preserve">, Lohoff M. IRF4 at the crossroads of effector T-cell fate decision. </w:t>
      </w:r>
      <w:r w:rsidRPr="00E25DFD">
        <w:rPr>
          <w:rFonts w:ascii="Book Antiqua" w:eastAsia="宋体" w:hAnsi="Book Antiqua" w:cs="宋体"/>
          <w:i/>
          <w:iCs/>
          <w:sz w:val="24"/>
          <w:szCs w:val="24"/>
          <w:lang w:val="en-US" w:eastAsia="zh-CN"/>
        </w:rPr>
        <w:t>Eur J Immunol</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44</w:t>
      </w:r>
      <w:r w:rsidRPr="00E25DFD">
        <w:rPr>
          <w:rFonts w:ascii="Book Antiqua" w:eastAsia="宋体" w:hAnsi="Book Antiqua" w:cs="宋体"/>
          <w:sz w:val="24"/>
          <w:szCs w:val="24"/>
          <w:lang w:val="en-US" w:eastAsia="zh-CN"/>
        </w:rPr>
        <w:t>: 1886-1895 [PMID: 24782159 DOI: 10.1002/eji.201344279]</w:t>
      </w:r>
    </w:p>
    <w:p w14:paraId="05947B56"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72 </w:t>
      </w:r>
      <w:r w:rsidRPr="00E25DFD">
        <w:rPr>
          <w:rFonts w:ascii="Book Antiqua" w:eastAsia="宋体" w:hAnsi="Book Antiqua" w:cs="宋体"/>
          <w:b/>
          <w:bCs/>
          <w:sz w:val="24"/>
          <w:szCs w:val="24"/>
          <w:lang w:val="en-US" w:eastAsia="zh-CN"/>
        </w:rPr>
        <w:t>Vasanthakumar A</w:t>
      </w:r>
      <w:r w:rsidRPr="00E25DFD">
        <w:rPr>
          <w:rFonts w:ascii="Book Antiqua" w:eastAsia="宋体" w:hAnsi="Book Antiqua" w:cs="宋体"/>
          <w:sz w:val="24"/>
          <w:szCs w:val="24"/>
          <w:lang w:val="en-US" w:eastAsia="zh-CN"/>
        </w:rPr>
        <w:t xml:space="preserve">, Moro K, Xin A, Liao Y, Gloury R, Kawamoto S, Fagarasan S, Mielke LA, Afshar-Sterle S, Masters SL, Nakae S, Saito H, Wentworth JM, Li P, Liao W, Leonard WJ, Smyth GK, Shi W, Nutt SL, Koyasu S, Kallies A. The transcriptional regulators IRF4, BATF and IL-33 orchestrate development and maintenance of adipose tissue-resident regulatory T cells. </w:t>
      </w:r>
      <w:r w:rsidRPr="00E25DFD">
        <w:rPr>
          <w:rFonts w:ascii="Book Antiqua" w:eastAsia="宋体" w:hAnsi="Book Antiqua" w:cs="宋体"/>
          <w:i/>
          <w:iCs/>
          <w:sz w:val="24"/>
          <w:szCs w:val="24"/>
          <w:lang w:val="en-US" w:eastAsia="zh-CN"/>
        </w:rPr>
        <w:t>Nat Immunol</w:t>
      </w:r>
      <w:r w:rsidRPr="00E25DFD">
        <w:rPr>
          <w:rFonts w:ascii="Book Antiqua" w:eastAsia="宋体" w:hAnsi="Book Antiqua" w:cs="宋体"/>
          <w:sz w:val="24"/>
          <w:szCs w:val="24"/>
          <w:lang w:val="en-US" w:eastAsia="zh-CN"/>
        </w:rPr>
        <w:t xml:space="preserve"> 2015; </w:t>
      </w:r>
      <w:r w:rsidRPr="00E25DFD">
        <w:rPr>
          <w:rFonts w:ascii="Book Antiqua" w:eastAsia="宋体" w:hAnsi="Book Antiqua" w:cs="宋体"/>
          <w:b/>
          <w:bCs/>
          <w:sz w:val="24"/>
          <w:szCs w:val="24"/>
          <w:lang w:val="en-US" w:eastAsia="zh-CN"/>
        </w:rPr>
        <w:t>16</w:t>
      </w:r>
      <w:r w:rsidRPr="00E25DFD">
        <w:rPr>
          <w:rFonts w:ascii="Book Antiqua" w:eastAsia="宋体" w:hAnsi="Book Antiqua" w:cs="宋体"/>
          <w:sz w:val="24"/>
          <w:szCs w:val="24"/>
          <w:lang w:val="en-US" w:eastAsia="zh-CN"/>
        </w:rPr>
        <w:t>: 276-285 [PMID: 25599561 DOI: 10.1038/ni.3085]</w:t>
      </w:r>
    </w:p>
    <w:p w14:paraId="2C4C4844" w14:textId="0B934FAE"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73 </w:t>
      </w:r>
      <w:r w:rsidR="00542439" w:rsidRPr="00542439">
        <w:rPr>
          <w:rFonts w:ascii="Book Antiqua" w:eastAsia="宋体" w:hAnsi="Book Antiqua" w:cs="宋体"/>
          <w:b/>
          <w:sz w:val="24"/>
          <w:szCs w:val="24"/>
          <w:lang w:val="en-US" w:eastAsia="zh-CN"/>
        </w:rPr>
        <w:t>Punkenburg E</w:t>
      </w:r>
      <w:r w:rsidR="00542439">
        <w:rPr>
          <w:rFonts w:ascii="Book Antiqua" w:eastAsia="宋体" w:hAnsi="Book Antiqua" w:cs="宋体"/>
          <w:sz w:val="24"/>
          <w:szCs w:val="24"/>
          <w:lang w:val="en-US" w:eastAsia="zh-CN"/>
        </w:rPr>
        <w:t>, Vogler T, Büttner M, Amann K, Waldner M, Atreya R, Abendroth B</w:t>
      </w:r>
      <w:r w:rsidR="00542439" w:rsidRPr="00542439">
        <w:rPr>
          <w:rFonts w:ascii="Book Antiqua" w:eastAsia="宋体" w:hAnsi="Book Antiqua" w:cs="宋体"/>
          <w:sz w:val="24"/>
          <w:szCs w:val="24"/>
          <w:lang w:val="en-US" w:eastAsia="zh-CN"/>
        </w:rPr>
        <w:t>, Mu</w:t>
      </w:r>
      <w:r w:rsidR="00542439">
        <w:rPr>
          <w:rFonts w:ascii="Book Antiqua" w:eastAsia="宋体" w:hAnsi="Book Antiqua" w:cs="宋体"/>
          <w:sz w:val="24"/>
          <w:szCs w:val="24"/>
          <w:lang w:val="en-US" w:eastAsia="zh-CN"/>
        </w:rPr>
        <w:t>dter J, Merkel S, Gallmeier E</w:t>
      </w:r>
      <w:r w:rsidR="00542439" w:rsidRPr="00542439">
        <w:rPr>
          <w:rFonts w:ascii="Book Antiqua" w:eastAsia="宋体" w:hAnsi="Book Antiqua" w:cs="宋体"/>
          <w:sz w:val="24"/>
          <w:szCs w:val="24"/>
          <w:lang w:val="en-US" w:eastAsia="zh-CN"/>
        </w:rPr>
        <w:t>, Rose</w:t>
      </w:r>
      <w:r w:rsidR="00542439">
        <w:rPr>
          <w:rFonts w:ascii="Book Antiqua" w:eastAsia="宋体" w:hAnsi="Book Antiqua" w:cs="宋体"/>
          <w:sz w:val="24"/>
          <w:szCs w:val="24"/>
          <w:lang w:val="en-US" w:eastAsia="zh-CN"/>
        </w:rPr>
        <w:t>-John S, Neurath MF, Hildner K</w:t>
      </w:r>
      <w:r w:rsidR="00542439">
        <w:rPr>
          <w:rFonts w:ascii="Book Antiqua" w:eastAsia="宋体" w:hAnsi="Book Antiqua" w:cs="宋体" w:hint="eastAsia"/>
          <w:sz w:val="24"/>
          <w:szCs w:val="24"/>
          <w:lang w:val="en-US" w:eastAsia="zh-CN"/>
        </w:rPr>
        <w:t>.</w:t>
      </w:r>
      <w:r w:rsidRPr="00E25DFD">
        <w:rPr>
          <w:rFonts w:ascii="Book Antiqua" w:eastAsia="宋体" w:hAnsi="Book Antiqua" w:cs="宋体"/>
          <w:sz w:val="24"/>
          <w:szCs w:val="24"/>
          <w:lang w:val="en-US" w:eastAsia="zh-CN"/>
        </w:rPr>
        <w:t xml:space="preserve"> Batf-dependent Th17 cells critically regulate IL-23 driven colitis-associated colon cancer. </w:t>
      </w:r>
      <w:r w:rsidRPr="00E25DFD">
        <w:rPr>
          <w:rFonts w:ascii="Book Antiqua" w:eastAsia="宋体" w:hAnsi="Book Antiqua" w:cs="宋体"/>
          <w:i/>
          <w:iCs/>
          <w:sz w:val="24"/>
          <w:szCs w:val="24"/>
          <w:lang w:val="en-US" w:eastAsia="zh-CN"/>
        </w:rPr>
        <w:t>Gut</w:t>
      </w:r>
      <w:r w:rsidRPr="00E25DFD">
        <w:rPr>
          <w:rFonts w:ascii="Book Antiqua" w:eastAsia="宋体" w:hAnsi="Book Antiqua" w:cs="宋体"/>
          <w:sz w:val="24"/>
          <w:szCs w:val="24"/>
          <w:lang w:val="en-US" w:eastAsia="zh-CN"/>
        </w:rPr>
        <w:t xml:space="preserve"> 2015</w:t>
      </w:r>
      <w:r w:rsidR="00542439">
        <w:rPr>
          <w:rFonts w:ascii="Book Antiqua" w:eastAsia="宋体" w:hAnsi="Book Antiqua" w:cs="宋体" w:hint="eastAsia"/>
          <w:sz w:val="24"/>
          <w:szCs w:val="24"/>
          <w:lang w:val="en-US" w:eastAsia="zh-CN"/>
        </w:rPr>
        <w:t xml:space="preserve"> Apr 2</w:t>
      </w:r>
      <w:r w:rsidRPr="00E25DFD">
        <w:rPr>
          <w:rFonts w:ascii="Book Antiqua" w:eastAsia="宋体" w:hAnsi="Book Antiqua" w:cs="宋体"/>
          <w:sz w:val="24"/>
          <w:szCs w:val="24"/>
          <w:lang w:val="en-US" w:eastAsia="zh-CN"/>
        </w:rPr>
        <w:t xml:space="preserve">; </w:t>
      </w:r>
      <w:r w:rsidR="00542439" w:rsidRPr="00542439">
        <w:rPr>
          <w:rFonts w:ascii="Book Antiqua" w:eastAsia="宋体" w:hAnsi="Book Antiqua" w:cs="宋体"/>
          <w:sz w:val="24"/>
          <w:szCs w:val="24"/>
          <w:lang w:val="en-US" w:eastAsia="zh-CN"/>
        </w:rPr>
        <w:t>Epub ahead of print</w:t>
      </w:r>
      <w:r w:rsidRPr="00E25DFD">
        <w:rPr>
          <w:rFonts w:ascii="Book Antiqua" w:eastAsia="宋体" w:hAnsi="Book Antiqua" w:cs="宋体"/>
          <w:sz w:val="24"/>
          <w:szCs w:val="24"/>
          <w:lang w:val="en-US" w:eastAsia="zh-CN"/>
        </w:rPr>
        <w:t xml:space="preserve"> [PMID: </w:t>
      </w:r>
      <w:bookmarkStart w:id="186" w:name="OLE_LINK2061"/>
      <w:bookmarkStart w:id="187" w:name="OLE_LINK2062"/>
      <w:r w:rsidRPr="00E25DFD">
        <w:rPr>
          <w:rFonts w:ascii="Book Antiqua" w:eastAsia="宋体" w:hAnsi="Book Antiqua" w:cs="宋体"/>
          <w:sz w:val="24"/>
          <w:szCs w:val="24"/>
          <w:lang w:val="en-US" w:eastAsia="zh-CN"/>
        </w:rPr>
        <w:t xml:space="preserve">25838550 </w:t>
      </w:r>
      <w:bookmarkEnd w:id="186"/>
      <w:bookmarkEnd w:id="187"/>
      <w:r w:rsidRPr="00E25DFD">
        <w:rPr>
          <w:rFonts w:ascii="Book Antiqua" w:eastAsia="宋体" w:hAnsi="Book Antiqua" w:cs="宋体"/>
          <w:sz w:val="24"/>
          <w:szCs w:val="24"/>
          <w:lang w:val="en-US" w:eastAsia="zh-CN"/>
        </w:rPr>
        <w:t>DOI: gutjnl-2014-308227]</w:t>
      </w:r>
    </w:p>
    <w:p w14:paraId="057D311F"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74 </w:t>
      </w:r>
      <w:r w:rsidRPr="00E25DFD">
        <w:rPr>
          <w:rFonts w:ascii="Book Antiqua" w:eastAsia="宋体" w:hAnsi="Book Antiqua" w:cs="宋体"/>
          <w:b/>
          <w:bCs/>
          <w:sz w:val="24"/>
          <w:szCs w:val="24"/>
          <w:lang w:val="en-US" w:eastAsia="zh-CN"/>
        </w:rPr>
        <w:t>Quintana FJ</w:t>
      </w:r>
      <w:r w:rsidRPr="00E25DFD">
        <w:rPr>
          <w:rFonts w:ascii="Book Antiqua" w:eastAsia="宋体" w:hAnsi="Book Antiqua" w:cs="宋体"/>
          <w:sz w:val="24"/>
          <w:szCs w:val="24"/>
          <w:lang w:val="en-US" w:eastAsia="zh-CN"/>
        </w:rPr>
        <w:t xml:space="preserve">, Jin H, Burns EJ, Nadeau M, Yeste A, Kumar D, Rangachari M, Zhu C, Xiao S, Seavitt J, Georgopoulos K, Kuchroo VK. Aiolos promotes TH17 differentiation by directly silencing Il2 expression. </w:t>
      </w:r>
      <w:r w:rsidRPr="00E25DFD">
        <w:rPr>
          <w:rFonts w:ascii="Book Antiqua" w:eastAsia="宋体" w:hAnsi="Book Antiqua" w:cs="宋体"/>
          <w:i/>
          <w:iCs/>
          <w:sz w:val="24"/>
          <w:szCs w:val="24"/>
          <w:lang w:val="en-US" w:eastAsia="zh-CN"/>
        </w:rPr>
        <w:t>Nat Immunol</w:t>
      </w:r>
      <w:r w:rsidRPr="00E25DFD">
        <w:rPr>
          <w:rFonts w:ascii="Book Antiqua" w:eastAsia="宋体" w:hAnsi="Book Antiqua" w:cs="宋体"/>
          <w:sz w:val="24"/>
          <w:szCs w:val="24"/>
          <w:lang w:val="en-US" w:eastAsia="zh-CN"/>
        </w:rPr>
        <w:t xml:space="preserve"> 2012; </w:t>
      </w:r>
      <w:r w:rsidRPr="00E25DFD">
        <w:rPr>
          <w:rFonts w:ascii="Book Antiqua" w:eastAsia="宋体" w:hAnsi="Book Antiqua" w:cs="宋体"/>
          <w:b/>
          <w:bCs/>
          <w:sz w:val="24"/>
          <w:szCs w:val="24"/>
          <w:lang w:val="en-US" w:eastAsia="zh-CN"/>
        </w:rPr>
        <w:t>13</w:t>
      </w:r>
      <w:r w:rsidRPr="00E25DFD">
        <w:rPr>
          <w:rFonts w:ascii="Book Antiqua" w:eastAsia="宋体" w:hAnsi="Book Antiqua" w:cs="宋体"/>
          <w:sz w:val="24"/>
          <w:szCs w:val="24"/>
          <w:lang w:val="en-US" w:eastAsia="zh-CN"/>
        </w:rPr>
        <w:t>: 770-777 [PMID: 22751139 DOI: 10.1038/ni.2363]</w:t>
      </w:r>
    </w:p>
    <w:p w14:paraId="2ED232A0"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lastRenderedPageBreak/>
        <w:t xml:space="preserve">75 </w:t>
      </w:r>
      <w:r w:rsidRPr="00E25DFD">
        <w:rPr>
          <w:rFonts w:ascii="Book Antiqua" w:eastAsia="宋体" w:hAnsi="Book Antiqua" w:cs="宋体"/>
          <w:b/>
          <w:bCs/>
          <w:sz w:val="24"/>
          <w:szCs w:val="24"/>
          <w:lang w:val="en-US" w:eastAsia="zh-CN"/>
        </w:rPr>
        <w:t>Raffin C</w:t>
      </w:r>
      <w:r w:rsidRPr="00E25DFD">
        <w:rPr>
          <w:rFonts w:ascii="Book Antiqua" w:eastAsia="宋体" w:hAnsi="Book Antiqua" w:cs="宋体"/>
          <w:sz w:val="24"/>
          <w:szCs w:val="24"/>
          <w:lang w:val="en-US" w:eastAsia="zh-CN"/>
        </w:rPr>
        <w:t xml:space="preserve">, Pignon P, Celse C, Debien E, Valmori D, Ayyoub M. Human memory Helios- FOXP3+ regulatory T cells (Tregs) encompass induced Tregs that express Aiolos and respond to IL-1β by downregulating their suppressor functions. </w:t>
      </w:r>
      <w:r w:rsidRPr="00E25DFD">
        <w:rPr>
          <w:rFonts w:ascii="Book Antiqua" w:eastAsia="宋体" w:hAnsi="Book Antiqua" w:cs="宋体"/>
          <w:i/>
          <w:iCs/>
          <w:sz w:val="24"/>
          <w:szCs w:val="24"/>
          <w:lang w:val="en-US" w:eastAsia="zh-CN"/>
        </w:rPr>
        <w:t>J Immunol</w:t>
      </w:r>
      <w:r w:rsidRPr="00E25DFD">
        <w:rPr>
          <w:rFonts w:ascii="Book Antiqua" w:eastAsia="宋体" w:hAnsi="Book Antiqua" w:cs="宋体"/>
          <w:sz w:val="24"/>
          <w:szCs w:val="24"/>
          <w:lang w:val="en-US" w:eastAsia="zh-CN"/>
        </w:rPr>
        <w:t xml:space="preserve"> 2013; </w:t>
      </w:r>
      <w:r w:rsidRPr="00E25DFD">
        <w:rPr>
          <w:rFonts w:ascii="Book Antiqua" w:eastAsia="宋体" w:hAnsi="Book Antiqua" w:cs="宋体"/>
          <w:b/>
          <w:bCs/>
          <w:sz w:val="24"/>
          <w:szCs w:val="24"/>
          <w:lang w:val="en-US" w:eastAsia="zh-CN"/>
        </w:rPr>
        <w:t>191</w:t>
      </w:r>
      <w:r w:rsidRPr="00E25DFD">
        <w:rPr>
          <w:rFonts w:ascii="Book Antiqua" w:eastAsia="宋体" w:hAnsi="Book Antiqua" w:cs="宋体"/>
          <w:sz w:val="24"/>
          <w:szCs w:val="24"/>
          <w:lang w:val="en-US" w:eastAsia="zh-CN"/>
        </w:rPr>
        <w:t>: 4619-4627 [PMID: 24068664 DOI: 10.4049/jimmunol.1301378]</w:t>
      </w:r>
    </w:p>
    <w:p w14:paraId="50ECFF16"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76 </w:t>
      </w:r>
      <w:r w:rsidRPr="00E25DFD">
        <w:rPr>
          <w:rFonts w:ascii="Book Antiqua" w:eastAsia="宋体" w:hAnsi="Book Antiqua" w:cs="宋体"/>
          <w:b/>
          <w:bCs/>
          <w:sz w:val="24"/>
          <w:szCs w:val="24"/>
          <w:lang w:val="en-US" w:eastAsia="zh-CN"/>
        </w:rPr>
        <w:t>Liu HP</w:t>
      </w:r>
      <w:r w:rsidRPr="00E25DFD">
        <w:rPr>
          <w:rFonts w:ascii="Book Antiqua" w:eastAsia="宋体" w:hAnsi="Book Antiqua" w:cs="宋体"/>
          <w:sz w:val="24"/>
          <w:szCs w:val="24"/>
          <w:lang w:val="en-US" w:eastAsia="zh-CN"/>
        </w:rPr>
        <w:t xml:space="preserve">, Cao AT, Feng T, Li Q, Zhang W, Yao S, Dann SM, Elson CO, Cong Y. TGF-β converts Th1 cells into Th17 cells through stimulation of Runx1 expression. </w:t>
      </w:r>
      <w:r w:rsidRPr="00E25DFD">
        <w:rPr>
          <w:rFonts w:ascii="Book Antiqua" w:eastAsia="宋体" w:hAnsi="Book Antiqua" w:cs="宋体"/>
          <w:i/>
          <w:iCs/>
          <w:sz w:val="24"/>
          <w:szCs w:val="24"/>
          <w:lang w:val="en-US" w:eastAsia="zh-CN"/>
        </w:rPr>
        <w:t>Eur J Immunol</w:t>
      </w:r>
      <w:r w:rsidRPr="00E25DFD">
        <w:rPr>
          <w:rFonts w:ascii="Book Antiqua" w:eastAsia="宋体" w:hAnsi="Book Antiqua" w:cs="宋体"/>
          <w:sz w:val="24"/>
          <w:szCs w:val="24"/>
          <w:lang w:val="en-US" w:eastAsia="zh-CN"/>
        </w:rPr>
        <w:t xml:space="preserve"> 2015; </w:t>
      </w:r>
      <w:r w:rsidRPr="00E25DFD">
        <w:rPr>
          <w:rFonts w:ascii="Book Antiqua" w:eastAsia="宋体" w:hAnsi="Book Antiqua" w:cs="宋体"/>
          <w:b/>
          <w:bCs/>
          <w:sz w:val="24"/>
          <w:szCs w:val="24"/>
          <w:lang w:val="en-US" w:eastAsia="zh-CN"/>
        </w:rPr>
        <w:t>45</w:t>
      </w:r>
      <w:r w:rsidRPr="00E25DFD">
        <w:rPr>
          <w:rFonts w:ascii="Book Antiqua" w:eastAsia="宋体" w:hAnsi="Book Antiqua" w:cs="宋体"/>
          <w:sz w:val="24"/>
          <w:szCs w:val="24"/>
          <w:lang w:val="en-US" w:eastAsia="zh-CN"/>
        </w:rPr>
        <w:t>: 1010-1018 [PMID: 25605286 DOI: 10.1002/eji.201444726]</w:t>
      </w:r>
    </w:p>
    <w:p w14:paraId="2F02DC77"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77 </w:t>
      </w:r>
      <w:r w:rsidRPr="00E25DFD">
        <w:rPr>
          <w:rFonts w:ascii="Book Antiqua" w:eastAsia="宋体" w:hAnsi="Book Antiqua" w:cs="宋体"/>
          <w:b/>
          <w:bCs/>
          <w:sz w:val="24"/>
          <w:szCs w:val="24"/>
          <w:lang w:val="en-US" w:eastAsia="zh-CN"/>
        </w:rPr>
        <w:t>Nakayamada S</w:t>
      </w:r>
      <w:r w:rsidRPr="00E25DFD">
        <w:rPr>
          <w:rFonts w:ascii="Book Antiqua" w:eastAsia="宋体" w:hAnsi="Book Antiqua" w:cs="宋体"/>
          <w:sz w:val="24"/>
          <w:szCs w:val="24"/>
          <w:lang w:val="en-US" w:eastAsia="zh-CN"/>
        </w:rPr>
        <w:t xml:space="preserve">, Takahashi H, Kanno Y, O'Shea JJ. Helper T cell diversity and plasticity. </w:t>
      </w:r>
      <w:r w:rsidRPr="00E25DFD">
        <w:rPr>
          <w:rFonts w:ascii="Book Antiqua" w:eastAsia="宋体" w:hAnsi="Book Antiqua" w:cs="宋体"/>
          <w:i/>
          <w:iCs/>
          <w:sz w:val="24"/>
          <w:szCs w:val="24"/>
          <w:lang w:val="en-US" w:eastAsia="zh-CN"/>
        </w:rPr>
        <w:t>Curr Opin Immunol</w:t>
      </w:r>
      <w:r w:rsidRPr="00E25DFD">
        <w:rPr>
          <w:rFonts w:ascii="Book Antiqua" w:eastAsia="宋体" w:hAnsi="Book Antiqua" w:cs="宋体"/>
          <w:sz w:val="24"/>
          <w:szCs w:val="24"/>
          <w:lang w:val="en-US" w:eastAsia="zh-CN"/>
        </w:rPr>
        <w:t xml:space="preserve"> 2012; </w:t>
      </w:r>
      <w:r w:rsidRPr="00E25DFD">
        <w:rPr>
          <w:rFonts w:ascii="Book Antiqua" w:eastAsia="宋体" w:hAnsi="Book Antiqua" w:cs="宋体"/>
          <w:b/>
          <w:bCs/>
          <w:sz w:val="24"/>
          <w:szCs w:val="24"/>
          <w:lang w:val="en-US" w:eastAsia="zh-CN"/>
        </w:rPr>
        <w:t>24</w:t>
      </w:r>
      <w:r w:rsidRPr="00E25DFD">
        <w:rPr>
          <w:rFonts w:ascii="Book Antiqua" w:eastAsia="宋体" w:hAnsi="Book Antiqua" w:cs="宋体"/>
          <w:sz w:val="24"/>
          <w:szCs w:val="24"/>
          <w:lang w:val="en-US" w:eastAsia="zh-CN"/>
        </w:rPr>
        <w:t>: 297-302 [PMID: 22341735 DOI: 10.1016/j.coi.2012.01.014]</w:t>
      </w:r>
    </w:p>
    <w:p w14:paraId="1BD0832B"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78 </w:t>
      </w:r>
      <w:r w:rsidRPr="00E25DFD">
        <w:rPr>
          <w:rFonts w:ascii="Book Antiqua" w:eastAsia="宋体" w:hAnsi="Book Antiqua" w:cs="宋体"/>
          <w:b/>
          <w:bCs/>
          <w:sz w:val="24"/>
          <w:szCs w:val="24"/>
          <w:lang w:val="en-US" w:eastAsia="zh-CN"/>
        </w:rPr>
        <w:t>Baumjohann D</w:t>
      </w:r>
      <w:r w:rsidRPr="00E25DFD">
        <w:rPr>
          <w:rFonts w:ascii="Book Antiqua" w:eastAsia="宋体" w:hAnsi="Book Antiqua" w:cs="宋体"/>
          <w:sz w:val="24"/>
          <w:szCs w:val="24"/>
          <w:lang w:val="en-US" w:eastAsia="zh-CN"/>
        </w:rPr>
        <w:t xml:space="preserve">, Ansel KM. MicroRNA-mediated regulation of T helper cell differentiation and plasticity. </w:t>
      </w:r>
      <w:r w:rsidRPr="00E25DFD">
        <w:rPr>
          <w:rFonts w:ascii="Book Antiqua" w:eastAsia="宋体" w:hAnsi="Book Antiqua" w:cs="宋体"/>
          <w:i/>
          <w:iCs/>
          <w:sz w:val="24"/>
          <w:szCs w:val="24"/>
          <w:lang w:val="en-US" w:eastAsia="zh-CN"/>
        </w:rPr>
        <w:t>Nat Rev Immunol</w:t>
      </w:r>
      <w:r w:rsidRPr="00E25DFD">
        <w:rPr>
          <w:rFonts w:ascii="Book Antiqua" w:eastAsia="宋体" w:hAnsi="Book Antiqua" w:cs="宋体"/>
          <w:sz w:val="24"/>
          <w:szCs w:val="24"/>
          <w:lang w:val="en-US" w:eastAsia="zh-CN"/>
        </w:rPr>
        <w:t xml:space="preserve"> 2013; </w:t>
      </w:r>
      <w:r w:rsidRPr="00E25DFD">
        <w:rPr>
          <w:rFonts w:ascii="Book Antiqua" w:eastAsia="宋体" w:hAnsi="Book Antiqua" w:cs="宋体"/>
          <w:b/>
          <w:bCs/>
          <w:sz w:val="24"/>
          <w:szCs w:val="24"/>
          <w:lang w:val="en-US" w:eastAsia="zh-CN"/>
        </w:rPr>
        <w:t>13</w:t>
      </w:r>
      <w:r w:rsidRPr="00E25DFD">
        <w:rPr>
          <w:rFonts w:ascii="Book Antiqua" w:eastAsia="宋体" w:hAnsi="Book Antiqua" w:cs="宋体"/>
          <w:sz w:val="24"/>
          <w:szCs w:val="24"/>
          <w:lang w:val="en-US" w:eastAsia="zh-CN"/>
        </w:rPr>
        <w:t>: 666-678 [PMID: 23907446 DOI: 10.1038/nri3494]</w:t>
      </w:r>
    </w:p>
    <w:p w14:paraId="2944DC78"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79 </w:t>
      </w:r>
      <w:r w:rsidRPr="00E25DFD">
        <w:rPr>
          <w:rFonts w:ascii="Book Antiqua" w:eastAsia="宋体" w:hAnsi="Book Antiqua" w:cs="宋体"/>
          <w:b/>
          <w:bCs/>
          <w:sz w:val="24"/>
          <w:szCs w:val="24"/>
          <w:lang w:val="en-US" w:eastAsia="zh-CN"/>
        </w:rPr>
        <w:t>O'Neill LA</w:t>
      </w:r>
      <w:r w:rsidRPr="00E25DFD">
        <w:rPr>
          <w:rFonts w:ascii="Book Antiqua" w:eastAsia="宋体" w:hAnsi="Book Antiqua" w:cs="宋体"/>
          <w:sz w:val="24"/>
          <w:szCs w:val="24"/>
          <w:lang w:val="en-US" w:eastAsia="zh-CN"/>
        </w:rPr>
        <w:t xml:space="preserve">, Sheedy FJ, McCoy CE. MicroRNAs: the fine-tuners of Toll-like receptor signalling. </w:t>
      </w:r>
      <w:r w:rsidRPr="00E25DFD">
        <w:rPr>
          <w:rFonts w:ascii="Book Antiqua" w:eastAsia="宋体" w:hAnsi="Book Antiqua" w:cs="宋体"/>
          <w:i/>
          <w:iCs/>
          <w:sz w:val="24"/>
          <w:szCs w:val="24"/>
          <w:lang w:val="en-US" w:eastAsia="zh-CN"/>
        </w:rPr>
        <w:t>Nat Rev Immunol</w:t>
      </w:r>
      <w:r w:rsidRPr="00E25DFD">
        <w:rPr>
          <w:rFonts w:ascii="Book Antiqua" w:eastAsia="宋体" w:hAnsi="Book Antiqua" w:cs="宋体"/>
          <w:sz w:val="24"/>
          <w:szCs w:val="24"/>
          <w:lang w:val="en-US" w:eastAsia="zh-CN"/>
        </w:rPr>
        <w:t xml:space="preserve"> 2011; </w:t>
      </w:r>
      <w:r w:rsidRPr="00E25DFD">
        <w:rPr>
          <w:rFonts w:ascii="Book Antiqua" w:eastAsia="宋体" w:hAnsi="Book Antiqua" w:cs="宋体"/>
          <w:b/>
          <w:bCs/>
          <w:sz w:val="24"/>
          <w:szCs w:val="24"/>
          <w:lang w:val="en-US" w:eastAsia="zh-CN"/>
        </w:rPr>
        <w:t>11</w:t>
      </w:r>
      <w:r w:rsidRPr="00E25DFD">
        <w:rPr>
          <w:rFonts w:ascii="Book Antiqua" w:eastAsia="宋体" w:hAnsi="Book Antiqua" w:cs="宋体"/>
          <w:sz w:val="24"/>
          <w:szCs w:val="24"/>
          <w:lang w:val="en-US" w:eastAsia="zh-CN"/>
        </w:rPr>
        <w:t>: 163-175 [PMID: 21331081 DOI: 10.1038/nri2957]</w:t>
      </w:r>
    </w:p>
    <w:p w14:paraId="51CAA4E2"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80 </w:t>
      </w:r>
      <w:r w:rsidRPr="00E25DFD">
        <w:rPr>
          <w:rFonts w:ascii="Book Antiqua" w:eastAsia="宋体" w:hAnsi="Book Antiqua" w:cs="宋体"/>
          <w:b/>
          <w:bCs/>
          <w:sz w:val="24"/>
          <w:szCs w:val="24"/>
          <w:lang w:val="en-US" w:eastAsia="zh-CN"/>
        </w:rPr>
        <w:t>Brain O</w:t>
      </w:r>
      <w:r w:rsidRPr="00E25DFD">
        <w:rPr>
          <w:rFonts w:ascii="Book Antiqua" w:eastAsia="宋体" w:hAnsi="Book Antiqua" w:cs="宋体"/>
          <w:sz w:val="24"/>
          <w:szCs w:val="24"/>
          <w:lang w:val="en-US" w:eastAsia="zh-CN"/>
        </w:rPr>
        <w:t xml:space="preserve">, Owens BM, Pichulik T, Allan P, Khatamzas E, Leslie A, Steevels T, Sharma S, Mayer A, Catuneanu AM, Morton V, Sun MY, Jewell D, Coccia M, Harrison O, Maloy K, Schönefeldt S, Bornschein S, Liston A, Simmons A. The intracellular sensor NOD2 induces microRNA-29 expression in human dendritic cells to limit IL-23 release.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2013; </w:t>
      </w:r>
      <w:r w:rsidRPr="00E25DFD">
        <w:rPr>
          <w:rFonts w:ascii="Book Antiqua" w:eastAsia="宋体" w:hAnsi="Book Antiqua" w:cs="宋体"/>
          <w:b/>
          <w:bCs/>
          <w:sz w:val="24"/>
          <w:szCs w:val="24"/>
          <w:lang w:val="en-US" w:eastAsia="zh-CN"/>
        </w:rPr>
        <w:t>39</w:t>
      </w:r>
      <w:r w:rsidRPr="00E25DFD">
        <w:rPr>
          <w:rFonts w:ascii="Book Antiqua" w:eastAsia="宋体" w:hAnsi="Book Antiqua" w:cs="宋体"/>
          <w:sz w:val="24"/>
          <w:szCs w:val="24"/>
          <w:lang w:val="en-US" w:eastAsia="zh-CN"/>
        </w:rPr>
        <w:t>: 521-536 [PMID: 24054330 DOI: 10.1016/j.immuni.2013.08.035]</w:t>
      </w:r>
    </w:p>
    <w:p w14:paraId="6624624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81 </w:t>
      </w:r>
      <w:r w:rsidRPr="00E25DFD">
        <w:rPr>
          <w:rFonts w:ascii="Book Antiqua" w:eastAsia="宋体" w:hAnsi="Book Antiqua" w:cs="宋体"/>
          <w:b/>
          <w:bCs/>
          <w:sz w:val="24"/>
          <w:szCs w:val="24"/>
          <w:lang w:val="en-US" w:eastAsia="zh-CN"/>
        </w:rPr>
        <w:t>Wang H</w:t>
      </w:r>
      <w:r w:rsidRPr="00E25DFD">
        <w:rPr>
          <w:rFonts w:ascii="Book Antiqua" w:eastAsia="宋体" w:hAnsi="Book Antiqua" w:cs="宋体"/>
          <w:sz w:val="24"/>
          <w:szCs w:val="24"/>
          <w:lang w:val="en-US" w:eastAsia="zh-CN"/>
        </w:rPr>
        <w:t xml:space="preserve">, Flach H, Onizawa M, Wei L, McManus MT, Weiss A. Negative regulation of Hif1a expression and TH17 differentiation by the hypoxia-regulated microRNA miR-210. </w:t>
      </w:r>
      <w:r w:rsidRPr="00E25DFD">
        <w:rPr>
          <w:rFonts w:ascii="Book Antiqua" w:eastAsia="宋体" w:hAnsi="Book Antiqua" w:cs="宋体"/>
          <w:i/>
          <w:iCs/>
          <w:sz w:val="24"/>
          <w:szCs w:val="24"/>
          <w:lang w:val="en-US" w:eastAsia="zh-CN"/>
        </w:rPr>
        <w:t>Nat Immunol</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15</w:t>
      </w:r>
      <w:r w:rsidRPr="00E25DFD">
        <w:rPr>
          <w:rFonts w:ascii="Book Antiqua" w:eastAsia="宋体" w:hAnsi="Book Antiqua" w:cs="宋体"/>
          <w:sz w:val="24"/>
          <w:szCs w:val="24"/>
          <w:lang w:val="en-US" w:eastAsia="zh-CN"/>
        </w:rPr>
        <w:t>: 393-401 [PMID: 24608041 DOI: 10.1038/ni.2846]</w:t>
      </w:r>
    </w:p>
    <w:p w14:paraId="1CDAC7B0"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82 </w:t>
      </w:r>
      <w:r w:rsidRPr="00E25DFD">
        <w:rPr>
          <w:rFonts w:ascii="Book Antiqua" w:eastAsia="宋体" w:hAnsi="Book Antiqua" w:cs="宋体"/>
          <w:b/>
          <w:bCs/>
          <w:sz w:val="24"/>
          <w:szCs w:val="24"/>
          <w:lang w:val="en-US" w:eastAsia="zh-CN"/>
        </w:rPr>
        <w:t>Nakahama T</w:t>
      </w:r>
      <w:r w:rsidRPr="00E25DFD">
        <w:rPr>
          <w:rFonts w:ascii="Book Antiqua" w:eastAsia="宋体" w:hAnsi="Book Antiqua" w:cs="宋体"/>
          <w:sz w:val="24"/>
          <w:szCs w:val="24"/>
          <w:lang w:val="en-US" w:eastAsia="zh-CN"/>
        </w:rPr>
        <w:t xml:space="preserve">, Hanieh H, Nguyen NT, Chinen I, Ripley B, Millrine D, Lee S, Nyati KK, Dubey PK, Chowdhury K, Kawahara Y, Kishimoto T. Aryl hydrocarbon receptor-mediated induction of the microRNA-132/212 cluster promotes interleukin-17-producing T-helper cell differentiation. </w:t>
      </w:r>
      <w:r w:rsidRPr="00E25DFD">
        <w:rPr>
          <w:rFonts w:ascii="Book Antiqua" w:eastAsia="宋体" w:hAnsi="Book Antiqua" w:cs="宋体"/>
          <w:i/>
          <w:iCs/>
          <w:sz w:val="24"/>
          <w:szCs w:val="24"/>
          <w:lang w:val="en-US" w:eastAsia="zh-CN"/>
        </w:rPr>
        <w:t>Proc Natl Acad Sci U S A</w:t>
      </w:r>
      <w:r w:rsidRPr="00E25DFD">
        <w:rPr>
          <w:rFonts w:ascii="Book Antiqua" w:eastAsia="宋体" w:hAnsi="Book Antiqua" w:cs="宋体"/>
          <w:sz w:val="24"/>
          <w:szCs w:val="24"/>
          <w:lang w:val="en-US" w:eastAsia="zh-CN"/>
        </w:rPr>
        <w:t xml:space="preserve"> 2013; </w:t>
      </w:r>
      <w:r w:rsidRPr="00E25DFD">
        <w:rPr>
          <w:rFonts w:ascii="Book Antiqua" w:eastAsia="宋体" w:hAnsi="Book Antiqua" w:cs="宋体"/>
          <w:b/>
          <w:bCs/>
          <w:sz w:val="24"/>
          <w:szCs w:val="24"/>
          <w:lang w:val="en-US" w:eastAsia="zh-CN"/>
        </w:rPr>
        <w:t>110</w:t>
      </w:r>
      <w:r w:rsidRPr="00E25DFD">
        <w:rPr>
          <w:rFonts w:ascii="Book Antiqua" w:eastAsia="宋体" w:hAnsi="Book Antiqua" w:cs="宋体"/>
          <w:sz w:val="24"/>
          <w:szCs w:val="24"/>
          <w:lang w:val="en-US" w:eastAsia="zh-CN"/>
        </w:rPr>
        <w:t>: 11964-11969 [PMID: 23818645 DOI: 10.1073/pnas.1311087110]</w:t>
      </w:r>
    </w:p>
    <w:p w14:paraId="102B5D8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lastRenderedPageBreak/>
        <w:t xml:space="preserve">83 </w:t>
      </w:r>
      <w:r w:rsidRPr="00E25DFD">
        <w:rPr>
          <w:rFonts w:ascii="Book Antiqua" w:eastAsia="宋体" w:hAnsi="Book Antiqua" w:cs="宋体"/>
          <w:b/>
          <w:bCs/>
          <w:sz w:val="24"/>
          <w:szCs w:val="24"/>
          <w:lang w:val="en-US" w:eastAsia="zh-CN"/>
        </w:rPr>
        <w:t>Kroesen BJ</w:t>
      </w:r>
      <w:r w:rsidRPr="00E25DFD">
        <w:rPr>
          <w:rFonts w:ascii="Book Antiqua" w:eastAsia="宋体" w:hAnsi="Book Antiqua" w:cs="宋体"/>
          <w:sz w:val="24"/>
          <w:szCs w:val="24"/>
          <w:lang w:val="en-US" w:eastAsia="zh-CN"/>
        </w:rPr>
        <w:t xml:space="preserve">, Teteloshvili N, Smigielska-Czepiel K, Brouwer E, Boots AM, van den Berg A, Kluiver J. Immuno-miRs: critical regulators of T-cell development, function and ageing. </w:t>
      </w:r>
      <w:r w:rsidRPr="00E25DFD">
        <w:rPr>
          <w:rFonts w:ascii="Book Antiqua" w:eastAsia="宋体" w:hAnsi="Book Antiqua" w:cs="宋体"/>
          <w:i/>
          <w:iCs/>
          <w:sz w:val="24"/>
          <w:szCs w:val="24"/>
          <w:lang w:val="en-US" w:eastAsia="zh-CN"/>
        </w:rPr>
        <w:t>Immunology</w:t>
      </w:r>
      <w:r w:rsidRPr="00E25DFD">
        <w:rPr>
          <w:rFonts w:ascii="Book Antiqua" w:eastAsia="宋体" w:hAnsi="Book Antiqua" w:cs="宋体"/>
          <w:sz w:val="24"/>
          <w:szCs w:val="24"/>
          <w:lang w:val="en-US" w:eastAsia="zh-CN"/>
        </w:rPr>
        <w:t xml:space="preserve"> 2015; </w:t>
      </w:r>
      <w:r w:rsidRPr="00E25DFD">
        <w:rPr>
          <w:rFonts w:ascii="Book Antiqua" w:eastAsia="宋体" w:hAnsi="Book Antiqua" w:cs="宋体"/>
          <w:b/>
          <w:bCs/>
          <w:sz w:val="24"/>
          <w:szCs w:val="24"/>
          <w:lang w:val="en-US" w:eastAsia="zh-CN"/>
        </w:rPr>
        <w:t>144</w:t>
      </w:r>
      <w:r w:rsidRPr="00E25DFD">
        <w:rPr>
          <w:rFonts w:ascii="Book Antiqua" w:eastAsia="宋体" w:hAnsi="Book Antiqua" w:cs="宋体"/>
          <w:sz w:val="24"/>
          <w:szCs w:val="24"/>
          <w:lang w:val="en-US" w:eastAsia="zh-CN"/>
        </w:rPr>
        <w:t>: 1-10 [PMID: 25093579 DOI: 10.1111/imm.12367]</w:t>
      </w:r>
    </w:p>
    <w:p w14:paraId="6AAF5BBB"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84 </w:t>
      </w:r>
      <w:r w:rsidRPr="00E25DFD">
        <w:rPr>
          <w:rFonts w:ascii="Book Antiqua" w:eastAsia="宋体" w:hAnsi="Book Antiqua" w:cs="宋体"/>
          <w:b/>
          <w:bCs/>
          <w:sz w:val="24"/>
          <w:szCs w:val="24"/>
          <w:lang w:val="en-US" w:eastAsia="zh-CN"/>
        </w:rPr>
        <w:t>Kouri RR</w:t>
      </w:r>
      <w:r w:rsidRPr="00E25DFD">
        <w:rPr>
          <w:rFonts w:ascii="Book Antiqua" w:eastAsia="宋体" w:hAnsi="Book Antiqua" w:cs="宋体"/>
          <w:sz w:val="24"/>
          <w:szCs w:val="24"/>
          <w:lang w:val="en-US" w:eastAsia="zh-CN"/>
        </w:rPr>
        <w:t xml:space="preserve">, Ratrie H, Atlas SA, Niwa A, Nebert DW. Aryl hydrocarbon hydroxylase induction in human lymphocyte cultures by 2,3,7,8-tetrachlorodibenzo-p-dioxin. </w:t>
      </w:r>
      <w:r w:rsidRPr="00E25DFD">
        <w:rPr>
          <w:rFonts w:ascii="Book Antiqua" w:eastAsia="宋体" w:hAnsi="Book Antiqua" w:cs="宋体"/>
          <w:i/>
          <w:iCs/>
          <w:sz w:val="24"/>
          <w:szCs w:val="24"/>
          <w:lang w:val="en-US" w:eastAsia="zh-CN"/>
        </w:rPr>
        <w:t>Life Sci</w:t>
      </w:r>
      <w:r w:rsidRPr="00E25DFD">
        <w:rPr>
          <w:rFonts w:ascii="Book Antiqua" w:eastAsia="宋体" w:hAnsi="Book Antiqua" w:cs="宋体"/>
          <w:sz w:val="24"/>
          <w:szCs w:val="24"/>
          <w:lang w:val="en-US" w:eastAsia="zh-CN"/>
        </w:rPr>
        <w:t xml:space="preserve"> 1974; </w:t>
      </w:r>
      <w:r w:rsidRPr="00E25DFD">
        <w:rPr>
          <w:rFonts w:ascii="Book Antiqua" w:eastAsia="宋体" w:hAnsi="Book Antiqua" w:cs="宋体"/>
          <w:b/>
          <w:bCs/>
          <w:sz w:val="24"/>
          <w:szCs w:val="24"/>
          <w:lang w:val="en-US" w:eastAsia="zh-CN"/>
        </w:rPr>
        <w:t>15</w:t>
      </w:r>
      <w:r w:rsidRPr="00E25DFD">
        <w:rPr>
          <w:rFonts w:ascii="Book Antiqua" w:eastAsia="宋体" w:hAnsi="Book Antiqua" w:cs="宋体"/>
          <w:sz w:val="24"/>
          <w:szCs w:val="24"/>
          <w:lang w:val="en-US" w:eastAsia="zh-CN"/>
        </w:rPr>
        <w:t>: 1585-1595 [PMID: 4549995]</w:t>
      </w:r>
    </w:p>
    <w:p w14:paraId="645EF969"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85 </w:t>
      </w:r>
      <w:r w:rsidRPr="00E25DFD">
        <w:rPr>
          <w:rFonts w:ascii="Book Antiqua" w:eastAsia="宋体" w:hAnsi="Book Antiqua" w:cs="宋体"/>
          <w:b/>
          <w:bCs/>
          <w:sz w:val="24"/>
          <w:szCs w:val="24"/>
          <w:lang w:val="en-US" w:eastAsia="zh-CN"/>
        </w:rPr>
        <w:t>Mason ME</w:t>
      </w:r>
      <w:r w:rsidRPr="00E25DFD">
        <w:rPr>
          <w:rFonts w:ascii="Book Antiqua" w:eastAsia="宋体" w:hAnsi="Book Antiqua" w:cs="宋体"/>
          <w:sz w:val="24"/>
          <w:szCs w:val="24"/>
          <w:lang w:val="en-US" w:eastAsia="zh-CN"/>
        </w:rPr>
        <w:t xml:space="preserve">, Okey AB. Aryl hydrocarbon hydroxylase activity in mouse, rat, and human mammary tumors. </w:t>
      </w:r>
      <w:r w:rsidRPr="00E25DFD">
        <w:rPr>
          <w:rFonts w:ascii="Book Antiqua" w:eastAsia="宋体" w:hAnsi="Book Antiqua" w:cs="宋体"/>
          <w:i/>
          <w:iCs/>
          <w:sz w:val="24"/>
          <w:szCs w:val="24"/>
          <w:lang w:val="en-US" w:eastAsia="zh-CN"/>
        </w:rPr>
        <w:t>Cancer Res</w:t>
      </w:r>
      <w:r w:rsidRPr="00E25DFD">
        <w:rPr>
          <w:rFonts w:ascii="Book Antiqua" w:eastAsia="宋体" w:hAnsi="Book Antiqua" w:cs="宋体"/>
          <w:sz w:val="24"/>
          <w:szCs w:val="24"/>
          <w:lang w:val="en-US" w:eastAsia="zh-CN"/>
        </w:rPr>
        <w:t xml:space="preserve"> 1981; </w:t>
      </w:r>
      <w:r w:rsidRPr="00E25DFD">
        <w:rPr>
          <w:rFonts w:ascii="Book Antiqua" w:eastAsia="宋体" w:hAnsi="Book Antiqua" w:cs="宋体"/>
          <w:b/>
          <w:bCs/>
          <w:sz w:val="24"/>
          <w:szCs w:val="24"/>
          <w:lang w:val="en-US" w:eastAsia="zh-CN"/>
        </w:rPr>
        <w:t>41</w:t>
      </w:r>
      <w:r w:rsidRPr="00E25DFD">
        <w:rPr>
          <w:rFonts w:ascii="Book Antiqua" w:eastAsia="宋体" w:hAnsi="Book Antiqua" w:cs="宋体"/>
          <w:sz w:val="24"/>
          <w:szCs w:val="24"/>
          <w:lang w:val="en-US" w:eastAsia="zh-CN"/>
        </w:rPr>
        <w:t>: 2778-2782 [PMID: 6265068]</w:t>
      </w:r>
    </w:p>
    <w:p w14:paraId="2A93213D"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86 </w:t>
      </w:r>
      <w:r w:rsidRPr="00E25DFD">
        <w:rPr>
          <w:rFonts w:ascii="Book Antiqua" w:eastAsia="宋体" w:hAnsi="Book Antiqua" w:cs="宋体"/>
          <w:b/>
          <w:bCs/>
          <w:sz w:val="24"/>
          <w:szCs w:val="24"/>
          <w:lang w:val="en-US" w:eastAsia="zh-CN"/>
        </w:rPr>
        <w:t>Okey AB</w:t>
      </w:r>
      <w:r w:rsidRPr="00E25DFD">
        <w:rPr>
          <w:rFonts w:ascii="Book Antiqua" w:eastAsia="宋体" w:hAnsi="Book Antiqua" w:cs="宋体"/>
          <w:sz w:val="24"/>
          <w:szCs w:val="24"/>
          <w:lang w:val="en-US" w:eastAsia="zh-CN"/>
        </w:rPr>
        <w:t xml:space="preserve">, Riddick DS, Harper PA. The Ah receptor: mediator of the toxicity of 2,3,7,8-tetrachlorodibenzo-p-dioxin (TCDD) and related compounds. </w:t>
      </w:r>
      <w:r w:rsidRPr="00E25DFD">
        <w:rPr>
          <w:rFonts w:ascii="Book Antiqua" w:eastAsia="宋体" w:hAnsi="Book Antiqua" w:cs="宋体"/>
          <w:i/>
          <w:iCs/>
          <w:sz w:val="24"/>
          <w:szCs w:val="24"/>
          <w:lang w:val="en-US" w:eastAsia="zh-CN"/>
        </w:rPr>
        <w:t>Toxicol Lett</w:t>
      </w:r>
      <w:r w:rsidRPr="00E25DFD">
        <w:rPr>
          <w:rFonts w:ascii="Book Antiqua" w:eastAsia="宋体" w:hAnsi="Book Antiqua" w:cs="宋体"/>
          <w:sz w:val="24"/>
          <w:szCs w:val="24"/>
          <w:lang w:val="en-US" w:eastAsia="zh-CN"/>
        </w:rPr>
        <w:t xml:space="preserve"> 1994; </w:t>
      </w:r>
      <w:r w:rsidRPr="00E25DFD">
        <w:rPr>
          <w:rFonts w:ascii="Book Antiqua" w:eastAsia="宋体" w:hAnsi="Book Antiqua" w:cs="宋体"/>
          <w:b/>
          <w:bCs/>
          <w:sz w:val="24"/>
          <w:szCs w:val="24"/>
          <w:lang w:val="en-US" w:eastAsia="zh-CN"/>
        </w:rPr>
        <w:t>70</w:t>
      </w:r>
      <w:r w:rsidRPr="00E25DFD">
        <w:rPr>
          <w:rFonts w:ascii="Book Antiqua" w:eastAsia="宋体" w:hAnsi="Book Antiqua" w:cs="宋体"/>
          <w:sz w:val="24"/>
          <w:szCs w:val="24"/>
          <w:lang w:val="en-US" w:eastAsia="zh-CN"/>
        </w:rPr>
        <w:t>: 1-22 [PMID: 8310450 DOI: 0378-4274(94)90139-2]</w:t>
      </w:r>
    </w:p>
    <w:p w14:paraId="696EF0CF"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87 </w:t>
      </w:r>
      <w:r w:rsidRPr="00E25DFD">
        <w:rPr>
          <w:rFonts w:ascii="Book Antiqua" w:eastAsia="宋体" w:hAnsi="Book Antiqua" w:cs="宋体"/>
          <w:b/>
          <w:bCs/>
          <w:sz w:val="24"/>
          <w:szCs w:val="24"/>
          <w:lang w:val="en-US" w:eastAsia="zh-CN"/>
        </w:rPr>
        <w:t>Marshall NB</w:t>
      </w:r>
      <w:r w:rsidRPr="00E25DFD">
        <w:rPr>
          <w:rFonts w:ascii="Book Antiqua" w:eastAsia="宋体" w:hAnsi="Book Antiqua" w:cs="宋体"/>
          <w:sz w:val="24"/>
          <w:szCs w:val="24"/>
          <w:lang w:val="en-US" w:eastAsia="zh-CN"/>
        </w:rPr>
        <w:t xml:space="preserve">, Kerkvliet NI. Dioxin and immune regulation: emerging role of aryl hydrocarbon receptor in the generation of regulatory T cells. </w:t>
      </w:r>
      <w:r w:rsidRPr="00E25DFD">
        <w:rPr>
          <w:rFonts w:ascii="Book Antiqua" w:eastAsia="宋体" w:hAnsi="Book Antiqua" w:cs="宋体"/>
          <w:i/>
          <w:iCs/>
          <w:sz w:val="24"/>
          <w:szCs w:val="24"/>
          <w:lang w:val="en-US" w:eastAsia="zh-CN"/>
        </w:rPr>
        <w:t>Ann N Y Acad Sci</w:t>
      </w:r>
      <w:r w:rsidRPr="00E25DFD">
        <w:rPr>
          <w:rFonts w:ascii="Book Antiqua" w:eastAsia="宋体" w:hAnsi="Book Antiqua" w:cs="宋体"/>
          <w:sz w:val="24"/>
          <w:szCs w:val="24"/>
          <w:lang w:val="en-US" w:eastAsia="zh-CN"/>
        </w:rPr>
        <w:t xml:space="preserve"> 2010; </w:t>
      </w:r>
      <w:r w:rsidRPr="00E25DFD">
        <w:rPr>
          <w:rFonts w:ascii="Book Antiqua" w:eastAsia="宋体" w:hAnsi="Book Antiqua" w:cs="宋体"/>
          <w:b/>
          <w:bCs/>
          <w:sz w:val="24"/>
          <w:szCs w:val="24"/>
          <w:lang w:val="en-US" w:eastAsia="zh-CN"/>
        </w:rPr>
        <w:t>1183</w:t>
      </w:r>
      <w:r w:rsidRPr="00E25DFD">
        <w:rPr>
          <w:rFonts w:ascii="Book Antiqua" w:eastAsia="宋体" w:hAnsi="Book Antiqua" w:cs="宋体"/>
          <w:sz w:val="24"/>
          <w:szCs w:val="24"/>
          <w:lang w:val="en-US" w:eastAsia="zh-CN"/>
        </w:rPr>
        <w:t>: 25-37 [PMID: 20146706 DOI: 10.1111/j.1749-6632.2009.05125.x]</w:t>
      </w:r>
    </w:p>
    <w:p w14:paraId="60191242"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88 </w:t>
      </w:r>
      <w:r w:rsidRPr="00E25DFD">
        <w:rPr>
          <w:rFonts w:ascii="Book Antiqua" w:eastAsia="宋体" w:hAnsi="Book Antiqua" w:cs="宋体"/>
          <w:b/>
          <w:bCs/>
          <w:sz w:val="24"/>
          <w:szCs w:val="24"/>
          <w:lang w:val="en-US" w:eastAsia="zh-CN"/>
        </w:rPr>
        <w:t>Esser C</w:t>
      </w:r>
      <w:r w:rsidRPr="00E25DFD">
        <w:rPr>
          <w:rFonts w:ascii="Book Antiqua" w:eastAsia="宋体" w:hAnsi="Book Antiqua" w:cs="宋体"/>
          <w:sz w:val="24"/>
          <w:szCs w:val="24"/>
          <w:lang w:val="en-US" w:eastAsia="zh-CN"/>
        </w:rPr>
        <w:t xml:space="preserve">, Rannug A, Stockinger B. The aryl hydrocarbon receptor in immunity. </w:t>
      </w:r>
      <w:r w:rsidRPr="00E25DFD">
        <w:rPr>
          <w:rFonts w:ascii="Book Antiqua" w:eastAsia="宋体" w:hAnsi="Book Antiqua" w:cs="宋体"/>
          <w:i/>
          <w:iCs/>
          <w:sz w:val="24"/>
          <w:szCs w:val="24"/>
          <w:lang w:val="en-US" w:eastAsia="zh-CN"/>
        </w:rPr>
        <w:t>Trends Immunol</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30</w:t>
      </w:r>
      <w:r w:rsidRPr="00E25DFD">
        <w:rPr>
          <w:rFonts w:ascii="Book Antiqua" w:eastAsia="宋体" w:hAnsi="Book Antiqua" w:cs="宋体"/>
          <w:sz w:val="24"/>
          <w:szCs w:val="24"/>
          <w:lang w:val="en-US" w:eastAsia="zh-CN"/>
        </w:rPr>
        <w:t>: 447-454 [PMID: 19699679 DOI: 10.1016/j.it.2009.06.005]</w:t>
      </w:r>
    </w:p>
    <w:p w14:paraId="3CDE5EBF"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89 </w:t>
      </w:r>
      <w:r w:rsidRPr="00E25DFD">
        <w:rPr>
          <w:rFonts w:ascii="Book Antiqua" w:eastAsia="宋体" w:hAnsi="Book Antiqua" w:cs="宋体"/>
          <w:b/>
          <w:bCs/>
          <w:sz w:val="24"/>
          <w:szCs w:val="24"/>
          <w:lang w:val="en-US" w:eastAsia="zh-CN"/>
        </w:rPr>
        <w:t>Quintana FJ</w:t>
      </w:r>
      <w:r w:rsidRPr="00E25DFD">
        <w:rPr>
          <w:rFonts w:ascii="Book Antiqua" w:eastAsia="宋体" w:hAnsi="Book Antiqua" w:cs="宋体"/>
          <w:sz w:val="24"/>
          <w:szCs w:val="24"/>
          <w:lang w:val="en-US" w:eastAsia="zh-CN"/>
        </w:rPr>
        <w:t xml:space="preserve">, Basso AS, Iglesias AH, Korn T, Farez MF, Bettelli E, Caccamo M, Oukka M, Weiner HL. Control of T(reg) and T(H)17 cell differentiation by the aryl hydrocarbon receptor.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453</w:t>
      </w:r>
      <w:r w:rsidRPr="00E25DFD">
        <w:rPr>
          <w:rFonts w:ascii="Book Antiqua" w:eastAsia="宋体" w:hAnsi="Book Antiqua" w:cs="宋体"/>
          <w:sz w:val="24"/>
          <w:szCs w:val="24"/>
          <w:lang w:val="en-US" w:eastAsia="zh-CN"/>
        </w:rPr>
        <w:t>: 65-71 [PMID: 18362915 DOI: 10.1038/nature06880]</w:t>
      </w:r>
    </w:p>
    <w:p w14:paraId="39E58706"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90 </w:t>
      </w:r>
      <w:r w:rsidRPr="00E25DFD">
        <w:rPr>
          <w:rFonts w:ascii="Book Antiqua" w:eastAsia="宋体" w:hAnsi="Book Antiqua" w:cs="宋体"/>
          <w:b/>
          <w:bCs/>
          <w:sz w:val="24"/>
          <w:szCs w:val="24"/>
          <w:lang w:val="en-US" w:eastAsia="zh-CN"/>
        </w:rPr>
        <w:t>Veldhoen M</w:t>
      </w:r>
      <w:r w:rsidRPr="00E25DFD">
        <w:rPr>
          <w:rFonts w:ascii="Book Antiqua" w:eastAsia="宋体" w:hAnsi="Book Antiqua" w:cs="宋体"/>
          <w:sz w:val="24"/>
          <w:szCs w:val="24"/>
          <w:lang w:val="en-US" w:eastAsia="zh-CN"/>
        </w:rPr>
        <w:t xml:space="preserve">, Hirota K, Westendorf AM, Buer J, Dumoutier L, Renauld JC, Stockinger B. The aryl hydrocarbon receptor links TH17-cell-mediated autoimmunity to environmental toxins.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453</w:t>
      </w:r>
      <w:r w:rsidRPr="00E25DFD">
        <w:rPr>
          <w:rFonts w:ascii="Book Antiqua" w:eastAsia="宋体" w:hAnsi="Book Antiqua" w:cs="宋体"/>
          <w:sz w:val="24"/>
          <w:szCs w:val="24"/>
          <w:lang w:val="en-US" w:eastAsia="zh-CN"/>
        </w:rPr>
        <w:t>: 106-109 [PMID: 18362914 DOI: 10.1038/nature06881]</w:t>
      </w:r>
    </w:p>
    <w:p w14:paraId="3579CF8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91 </w:t>
      </w:r>
      <w:r w:rsidRPr="00E25DFD">
        <w:rPr>
          <w:rFonts w:ascii="Book Antiqua" w:eastAsia="宋体" w:hAnsi="Book Antiqua" w:cs="宋体"/>
          <w:b/>
          <w:bCs/>
          <w:sz w:val="24"/>
          <w:szCs w:val="24"/>
          <w:lang w:val="en-US" w:eastAsia="zh-CN"/>
        </w:rPr>
        <w:t>Kimura A</w:t>
      </w:r>
      <w:r w:rsidRPr="00E25DFD">
        <w:rPr>
          <w:rFonts w:ascii="Book Antiqua" w:eastAsia="宋体" w:hAnsi="Book Antiqua" w:cs="宋体"/>
          <w:sz w:val="24"/>
          <w:szCs w:val="24"/>
          <w:lang w:val="en-US" w:eastAsia="zh-CN"/>
        </w:rPr>
        <w:t xml:space="preserve">, Naka T, Nohara K, Fujii-Kuriyama Y, Kishimoto T. Aryl hydrocarbon receptor regulates Stat1 activation and participates in the development of Th17 cells. </w:t>
      </w:r>
      <w:r w:rsidRPr="00E25DFD">
        <w:rPr>
          <w:rFonts w:ascii="Book Antiqua" w:eastAsia="宋体" w:hAnsi="Book Antiqua" w:cs="宋体"/>
          <w:i/>
          <w:iCs/>
          <w:sz w:val="24"/>
          <w:szCs w:val="24"/>
          <w:lang w:val="en-US" w:eastAsia="zh-CN"/>
        </w:rPr>
        <w:t>Proc Natl Acad Sci U S A</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105</w:t>
      </w:r>
      <w:r w:rsidRPr="00E25DFD">
        <w:rPr>
          <w:rFonts w:ascii="Book Antiqua" w:eastAsia="宋体" w:hAnsi="Book Antiqua" w:cs="宋体"/>
          <w:sz w:val="24"/>
          <w:szCs w:val="24"/>
          <w:lang w:val="en-US" w:eastAsia="zh-CN"/>
        </w:rPr>
        <w:t>: 9721-9726 [PMID: 18607004 DOI: 10.1073/pnas.0804231105]</w:t>
      </w:r>
    </w:p>
    <w:p w14:paraId="1D1AC8BB"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92 </w:t>
      </w:r>
      <w:r w:rsidRPr="00E25DFD">
        <w:rPr>
          <w:rFonts w:ascii="Book Antiqua" w:eastAsia="宋体" w:hAnsi="Book Antiqua" w:cs="宋体"/>
          <w:b/>
          <w:bCs/>
          <w:sz w:val="24"/>
          <w:szCs w:val="24"/>
          <w:lang w:val="en-US" w:eastAsia="zh-CN"/>
        </w:rPr>
        <w:t>Veldhoen M</w:t>
      </w:r>
      <w:r w:rsidRPr="00E25DFD">
        <w:rPr>
          <w:rFonts w:ascii="Book Antiqua" w:eastAsia="宋体" w:hAnsi="Book Antiqua" w:cs="宋体"/>
          <w:sz w:val="24"/>
          <w:szCs w:val="24"/>
          <w:lang w:val="en-US" w:eastAsia="zh-CN"/>
        </w:rPr>
        <w:t xml:space="preserve">, Hirota K, Christensen J, O'Garra A, Stockinger B. Natural agonists for aryl hydrocarbon receptor in culture medium are essential for optimal </w:t>
      </w:r>
      <w:r w:rsidRPr="00E25DFD">
        <w:rPr>
          <w:rFonts w:ascii="Book Antiqua" w:eastAsia="宋体" w:hAnsi="Book Antiqua" w:cs="宋体"/>
          <w:sz w:val="24"/>
          <w:szCs w:val="24"/>
          <w:lang w:val="en-US" w:eastAsia="zh-CN"/>
        </w:rPr>
        <w:lastRenderedPageBreak/>
        <w:t xml:space="preserve">differentiation of Th17 T cells. </w:t>
      </w:r>
      <w:r w:rsidRPr="00E25DFD">
        <w:rPr>
          <w:rFonts w:ascii="Book Antiqua" w:eastAsia="宋体" w:hAnsi="Book Antiqua" w:cs="宋体"/>
          <w:i/>
          <w:iCs/>
          <w:sz w:val="24"/>
          <w:szCs w:val="24"/>
          <w:lang w:val="en-US" w:eastAsia="zh-CN"/>
        </w:rPr>
        <w:t>J Exp Med</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206</w:t>
      </w:r>
      <w:r w:rsidRPr="00E25DFD">
        <w:rPr>
          <w:rFonts w:ascii="Book Antiqua" w:eastAsia="宋体" w:hAnsi="Book Antiqua" w:cs="宋体"/>
          <w:sz w:val="24"/>
          <w:szCs w:val="24"/>
          <w:lang w:val="en-US" w:eastAsia="zh-CN"/>
        </w:rPr>
        <w:t>: 43-49 [PMID: 19114668 DOI: 10.1084/jem.20081438]</w:t>
      </w:r>
    </w:p>
    <w:p w14:paraId="2793763E"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93 </w:t>
      </w:r>
      <w:r w:rsidRPr="00E25DFD">
        <w:rPr>
          <w:rFonts w:ascii="Book Antiqua" w:eastAsia="宋体" w:hAnsi="Book Antiqua" w:cs="宋体"/>
          <w:b/>
          <w:bCs/>
          <w:sz w:val="24"/>
          <w:szCs w:val="24"/>
          <w:lang w:val="en-US" w:eastAsia="zh-CN"/>
        </w:rPr>
        <w:t>Hauben E</w:t>
      </w:r>
      <w:r w:rsidRPr="00E25DFD">
        <w:rPr>
          <w:rFonts w:ascii="Book Antiqua" w:eastAsia="宋体" w:hAnsi="Book Antiqua" w:cs="宋体"/>
          <w:sz w:val="24"/>
          <w:szCs w:val="24"/>
          <w:lang w:val="en-US" w:eastAsia="zh-CN"/>
        </w:rPr>
        <w:t xml:space="preserve">, Gregori S, Draghici E, Migliavacca B, Olivieri S, Woisetschläger M, Roncarolo MG. Activation of the aryl hydrocarbon receptor promotes allograft-specific tolerance through direct and dendritic cell-mediated effects on regulatory T cells. </w:t>
      </w:r>
      <w:r w:rsidRPr="00E25DFD">
        <w:rPr>
          <w:rFonts w:ascii="Book Antiqua" w:eastAsia="宋体" w:hAnsi="Book Antiqua" w:cs="宋体"/>
          <w:i/>
          <w:iCs/>
          <w:sz w:val="24"/>
          <w:szCs w:val="24"/>
          <w:lang w:val="en-US" w:eastAsia="zh-CN"/>
        </w:rPr>
        <w:t>Blood</w:t>
      </w:r>
      <w:r w:rsidRPr="00E25DFD">
        <w:rPr>
          <w:rFonts w:ascii="Book Antiqua" w:eastAsia="宋体" w:hAnsi="Book Antiqua" w:cs="宋体"/>
          <w:sz w:val="24"/>
          <w:szCs w:val="24"/>
          <w:lang w:val="en-US" w:eastAsia="zh-CN"/>
        </w:rPr>
        <w:t xml:space="preserve"> 2008; </w:t>
      </w:r>
      <w:r w:rsidRPr="00E25DFD">
        <w:rPr>
          <w:rFonts w:ascii="Book Antiqua" w:eastAsia="宋体" w:hAnsi="Book Antiqua" w:cs="宋体"/>
          <w:b/>
          <w:bCs/>
          <w:sz w:val="24"/>
          <w:szCs w:val="24"/>
          <w:lang w:val="en-US" w:eastAsia="zh-CN"/>
        </w:rPr>
        <w:t>112</w:t>
      </w:r>
      <w:r w:rsidRPr="00E25DFD">
        <w:rPr>
          <w:rFonts w:ascii="Book Antiqua" w:eastAsia="宋体" w:hAnsi="Book Antiqua" w:cs="宋体"/>
          <w:sz w:val="24"/>
          <w:szCs w:val="24"/>
          <w:lang w:val="en-US" w:eastAsia="zh-CN"/>
        </w:rPr>
        <w:t>: 1214-1222 [PMID: 18550851 DOI: 10.1182/blood-2007-08-109843]</w:t>
      </w:r>
    </w:p>
    <w:p w14:paraId="5F2BE6DD"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94 </w:t>
      </w:r>
      <w:r w:rsidRPr="00E25DFD">
        <w:rPr>
          <w:rFonts w:ascii="Book Antiqua" w:eastAsia="宋体" w:hAnsi="Book Antiqua" w:cs="宋体"/>
          <w:b/>
          <w:bCs/>
          <w:sz w:val="24"/>
          <w:szCs w:val="24"/>
          <w:lang w:val="en-US" w:eastAsia="zh-CN"/>
        </w:rPr>
        <w:t>Mezrich JD</w:t>
      </w:r>
      <w:r w:rsidRPr="00E25DFD">
        <w:rPr>
          <w:rFonts w:ascii="Book Antiqua" w:eastAsia="宋体" w:hAnsi="Book Antiqua" w:cs="宋体"/>
          <w:sz w:val="24"/>
          <w:szCs w:val="24"/>
          <w:lang w:val="en-US" w:eastAsia="zh-CN"/>
        </w:rPr>
        <w:t xml:space="preserve">, Fechner JH, Zhang X, Johnson BP, Burlingham WJ, Bradfield CA. An interaction between kynurenine and the aryl hydrocarbon receptor can generate regulatory T cells. </w:t>
      </w:r>
      <w:r w:rsidRPr="00E25DFD">
        <w:rPr>
          <w:rFonts w:ascii="Book Antiqua" w:eastAsia="宋体" w:hAnsi="Book Antiqua" w:cs="宋体"/>
          <w:i/>
          <w:iCs/>
          <w:sz w:val="24"/>
          <w:szCs w:val="24"/>
          <w:lang w:val="en-US" w:eastAsia="zh-CN"/>
        </w:rPr>
        <w:t>J Immunol</w:t>
      </w:r>
      <w:r w:rsidRPr="00E25DFD">
        <w:rPr>
          <w:rFonts w:ascii="Book Antiqua" w:eastAsia="宋体" w:hAnsi="Book Antiqua" w:cs="宋体"/>
          <w:sz w:val="24"/>
          <w:szCs w:val="24"/>
          <w:lang w:val="en-US" w:eastAsia="zh-CN"/>
        </w:rPr>
        <w:t xml:space="preserve"> 2010; </w:t>
      </w:r>
      <w:r w:rsidRPr="00E25DFD">
        <w:rPr>
          <w:rFonts w:ascii="Book Antiqua" w:eastAsia="宋体" w:hAnsi="Book Antiqua" w:cs="宋体"/>
          <w:b/>
          <w:bCs/>
          <w:sz w:val="24"/>
          <w:szCs w:val="24"/>
          <w:lang w:val="en-US" w:eastAsia="zh-CN"/>
        </w:rPr>
        <w:t>185</w:t>
      </w:r>
      <w:r w:rsidRPr="00E25DFD">
        <w:rPr>
          <w:rFonts w:ascii="Book Antiqua" w:eastAsia="宋体" w:hAnsi="Book Antiqua" w:cs="宋体"/>
          <w:sz w:val="24"/>
          <w:szCs w:val="24"/>
          <w:lang w:val="en-US" w:eastAsia="zh-CN"/>
        </w:rPr>
        <w:t>: 3190-3198 [PMID: 20720200 DOI: 10.4049/jimmunol.0903670]</w:t>
      </w:r>
    </w:p>
    <w:p w14:paraId="32448AEC"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95 </w:t>
      </w:r>
      <w:r w:rsidRPr="00E25DFD">
        <w:rPr>
          <w:rFonts w:ascii="Book Antiqua" w:eastAsia="宋体" w:hAnsi="Book Antiqua" w:cs="宋体"/>
          <w:b/>
          <w:bCs/>
          <w:sz w:val="24"/>
          <w:szCs w:val="24"/>
          <w:lang w:val="en-US" w:eastAsia="zh-CN"/>
        </w:rPr>
        <w:t>Nguyen NT</w:t>
      </w:r>
      <w:r w:rsidRPr="00E25DFD">
        <w:rPr>
          <w:rFonts w:ascii="Book Antiqua" w:eastAsia="宋体" w:hAnsi="Book Antiqua" w:cs="宋体"/>
          <w:sz w:val="24"/>
          <w:szCs w:val="24"/>
          <w:lang w:val="en-US" w:eastAsia="zh-CN"/>
        </w:rPr>
        <w:t xml:space="preserve">, Nakahama T, Le DH, Van Son L, Chu HH, Kishimoto T. Aryl hydrocarbon receptor and kynurenine: recent advances in autoimmune disease research. </w:t>
      </w:r>
      <w:r w:rsidRPr="00E25DFD">
        <w:rPr>
          <w:rFonts w:ascii="Book Antiqua" w:eastAsia="宋体" w:hAnsi="Book Antiqua" w:cs="宋体"/>
          <w:i/>
          <w:iCs/>
          <w:sz w:val="24"/>
          <w:szCs w:val="24"/>
          <w:lang w:val="en-US" w:eastAsia="zh-CN"/>
        </w:rPr>
        <w:t>Front Immunol</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5</w:t>
      </w:r>
      <w:r w:rsidRPr="00E25DFD">
        <w:rPr>
          <w:rFonts w:ascii="Book Antiqua" w:eastAsia="宋体" w:hAnsi="Book Antiqua" w:cs="宋体"/>
          <w:sz w:val="24"/>
          <w:szCs w:val="24"/>
          <w:lang w:val="en-US" w:eastAsia="zh-CN"/>
        </w:rPr>
        <w:t>: 551 [PMID: 25400638 DOI: 10.3389/fimmu.2014.00551]</w:t>
      </w:r>
    </w:p>
    <w:p w14:paraId="0A924306"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96 </w:t>
      </w:r>
      <w:r w:rsidRPr="00E25DFD">
        <w:rPr>
          <w:rFonts w:ascii="Book Antiqua" w:eastAsia="宋体" w:hAnsi="Book Antiqua" w:cs="宋体"/>
          <w:b/>
          <w:bCs/>
          <w:sz w:val="24"/>
          <w:szCs w:val="24"/>
          <w:lang w:val="en-US" w:eastAsia="zh-CN"/>
        </w:rPr>
        <w:t>Moura-Alves P</w:t>
      </w:r>
      <w:r w:rsidRPr="00E25DFD">
        <w:rPr>
          <w:rFonts w:ascii="Book Antiqua" w:eastAsia="宋体" w:hAnsi="Book Antiqua" w:cs="宋体"/>
          <w:sz w:val="24"/>
          <w:szCs w:val="24"/>
          <w:lang w:val="en-US" w:eastAsia="zh-CN"/>
        </w:rPr>
        <w:t xml:space="preserve">, Faé K, Houthuys E, Dorhoi A, Kreuchwig A, Furkert J, Barison N, Diehl A, Munder A, Constant P, Skrahina T, Guhlich-Bornhof U, Klemm M, Koehler AB, Bandermann S, Goosmann C, Mollenkopf HJ, Hurwitz R, Brinkmann V, Fillatreau S, Daffe M, Tümmler B, Kolbe M, Oschkinat H, Krause G, Kaufmann SH. AhR sensing of bacterial pigments regulates antibacterial defence.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512</w:t>
      </w:r>
      <w:r w:rsidRPr="00E25DFD">
        <w:rPr>
          <w:rFonts w:ascii="Book Antiqua" w:eastAsia="宋体" w:hAnsi="Book Antiqua" w:cs="宋体"/>
          <w:sz w:val="24"/>
          <w:szCs w:val="24"/>
          <w:lang w:val="en-US" w:eastAsia="zh-CN"/>
        </w:rPr>
        <w:t>: 387-392 [PMID: 25119038 DOI: 10.1038/nature13684]</w:t>
      </w:r>
    </w:p>
    <w:p w14:paraId="2821F501"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97 </w:t>
      </w:r>
      <w:r w:rsidRPr="00E25DFD">
        <w:rPr>
          <w:rFonts w:ascii="Book Antiqua" w:eastAsia="宋体" w:hAnsi="Book Antiqua" w:cs="宋体"/>
          <w:b/>
          <w:bCs/>
          <w:sz w:val="24"/>
          <w:szCs w:val="24"/>
          <w:lang w:val="en-US" w:eastAsia="zh-CN"/>
        </w:rPr>
        <w:t>Lee BM</w:t>
      </w:r>
      <w:r w:rsidRPr="00E25DFD">
        <w:rPr>
          <w:rFonts w:ascii="Book Antiqua" w:eastAsia="宋体" w:hAnsi="Book Antiqua" w:cs="宋体"/>
          <w:sz w:val="24"/>
          <w:szCs w:val="24"/>
          <w:lang w:val="en-US" w:eastAsia="zh-CN"/>
        </w:rPr>
        <w:t xml:space="preserve">, Mahadevan LC. Stability of histone modifications across mammalian genomes: implications for 'epigenetic' marking. </w:t>
      </w:r>
      <w:r w:rsidRPr="00E25DFD">
        <w:rPr>
          <w:rFonts w:ascii="Book Antiqua" w:eastAsia="宋体" w:hAnsi="Book Antiqua" w:cs="宋体"/>
          <w:i/>
          <w:iCs/>
          <w:sz w:val="24"/>
          <w:szCs w:val="24"/>
          <w:lang w:val="en-US" w:eastAsia="zh-CN"/>
        </w:rPr>
        <w:t>J Cell Biochem</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108</w:t>
      </w:r>
      <w:r w:rsidRPr="00E25DFD">
        <w:rPr>
          <w:rFonts w:ascii="Book Antiqua" w:eastAsia="宋体" w:hAnsi="Book Antiqua" w:cs="宋体"/>
          <w:sz w:val="24"/>
          <w:szCs w:val="24"/>
          <w:lang w:val="en-US" w:eastAsia="zh-CN"/>
        </w:rPr>
        <w:t>: 22-34 [PMID: 19623574 DOI: 10.1002/jcb.22250]</w:t>
      </w:r>
    </w:p>
    <w:p w14:paraId="39C0E73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98 </w:t>
      </w:r>
      <w:r w:rsidRPr="00E25DFD">
        <w:rPr>
          <w:rFonts w:ascii="Book Antiqua" w:eastAsia="宋体" w:hAnsi="Book Antiqua" w:cs="宋体"/>
          <w:b/>
          <w:bCs/>
          <w:sz w:val="24"/>
          <w:szCs w:val="24"/>
          <w:lang w:val="en-US" w:eastAsia="zh-CN"/>
        </w:rPr>
        <w:t>Wei G</w:t>
      </w:r>
      <w:r w:rsidRPr="00E25DFD">
        <w:rPr>
          <w:rFonts w:ascii="Book Antiqua" w:eastAsia="宋体" w:hAnsi="Book Antiqua" w:cs="宋体"/>
          <w:sz w:val="24"/>
          <w:szCs w:val="24"/>
          <w:lang w:val="en-US" w:eastAsia="zh-CN"/>
        </w:rPr>
        <w:t xml:space="preserve">, Wei L, Zhu J, Zang C, Hu-Li J, Yao Z, Cui K, Kanno Y, Roh TY, Watford WT, Schones DE, Peng W, Sun HW, Paul WE, O'Shea JJ, Zhao K. Global mapping of H3K4me3 and H3K27me3 reveals specificity and plasticity in lineage fate determination of differentiating CD4+ T cells.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30</w:t>
      </w:r>
      <w:r w:rsidRPr="00E25DFD">
        <w:rPr>
          <w:rFonts w:ascii="Book Antiqua" w:eastAsia="宋体" w:hAnsi="Book Antiqua" w:cs="宋体"/>
          <w:sz w:val="24"/>
          <w:szCs w:val="24"/>
          <w:lang w:val="en-US" w:eastAsia="zh-CN"/>
        </w:rPr>
        <w:t>: 155-167 [PMID: 19144320 DOI: 10.1016/j.immuni.2008.12.009]</w:t>
      </w:r>
    </w:p>
    <w:p w14:paraId="38728670"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99 </w:t>
      </w:r>
      <w:r w:rsidRPr="00E25DFD">
        <w:rPr>
          <w:rFonts w:ascii="Book Antiqua" w:eastAsia="宋体" w:hAnsi="Book Antiqua" w:cs="宋体"/>
          <w:b/>
          <w:bCs/>
          <w:sz w:val="24"/>
          <w:szCs w:val="24"/>
          <w:lang w:val="en-US" w:eastAsia="zh-CN"/>
        </w:rPr>
        <w:t>Rowell E</w:t>
      </w:r>
      <w:r w:rsidRPr="00E25DFD">
        <w:rPr>
          <w:rFonts w:ascii="Book Antiqua" w:eastAsia="宋体" w:hAnsi="Book Antiqua" w:cs="宋体"/>
          <w:sz w:val="24"/>
          <w:szCs w:val="24"/>
          <w:lang w:val="en-US" w:eastAsia="zh-CN"/>
        </w:rPr>
        <w:t xml:space="preserve">, Wilson CB. Programming perpetual T helper cell plasticity.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30</w:t>
      </w:r>
      <w:r w:rsidRPr="00E25DFD">
        <w:rPr>
          <w:rFonts w:ascii="Book Antiqua" w:eastAsia="宋体" w:hAnsi="Book Antiqua" w:cs="宋体"/>
          <w:sz w:val="24"/>
          <w:szCs w:val="24"/>
          <w:lang w:val="en-US" w:eastAsia="zh-CN"/>
        </w:rPr>
        <w:t>: 7-9 [PMID: 19144312 DOI: 10.1016/j.immuni.2008.12.012]</w:t>
      </w:r>
    </w:p>
    <w:p w14:paraId="1C9C5AA5"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lastRenderedPageBreak/>
        <w:t xml:space="preserve">100 </w:t>
      </w:r>
      <w:r w:rsidRPr="00E25DFD">
        <w:rPr>
          <w:rFonts w:ascii="Book Antiqua" w:eastAsia="宋体" w:hAnsi="Book Antiqua" w:cs="宋体"/>
          <w:b/>
          <w:bCs/>
          <w:sz w:val="24"/>
          <w:szCs w:val="24"/>
          <w:lang w:val="en-US" w:eastAsia="zh-CN"/>
        </w:rPr>
        <w:t>Xiang Y</w:t>
      </w:r>
      <w:r w:rsidRPr="00E25DFD">
        <w:rPr>
          <w:rFonts w:ascii="Book Antiqua" w:eastAsia="宋体" w:hAnsi="Book Antiqua" w:cs="宋体"/>
          <w:sz w:val="24"/>
          <w:szCs w:val="24"/>
          <w:lang w:val="en-US" w:eastAsia="zh-CN"/>
        </w:rPr>
        <w:t xml:space="preserve">, Zhu Z, Han G, Lin H, Xu L, Chen CD. JMJD3 is a histone H3K27 demethylase. </w:t>
      </w:r>
      <w:r w:rsidRPr="00E25DFD">
        <w:rPr>
          <w:rFonts w:ascii="Book Antiqua" w:eastAsia="宋体" w:hAnsi="Book Antiqua" w:cs="宋体"/>
          <w:i/>
          <w:iCs/>
          <w:sz w:val="24"/>
          <w:szCs w:val="24"/>
          <w:lang w:val="en-US" w:eastAsia="zh-CN"/>
        </w:rPr>
        <w:t>Cell Res</w:t>
      </w:r>
      <w:r w:rsidRPr="00E25DFD">
        <w:rPr>
          <w:rFonts w:ascii="Book Antiqua" w:eastAsia="宋体" w:hAnsi="Book Antiqua" w:cs="宋体"/>
          <w:sz w:val="24"/>
          <w:szCs w:val="24"/>
          <w:lang w:val="en-US" w:eastAsia="zh-CN"/>
        </w:rPr>
        <w:t xml:space="preserve"> 2007; </w:t>
      </w:r>
      <w:r w:rsidRPr="00E25DFD">
        <w:rPr>
          <w:rFonts w:ascii="Book Antiqua" w:eastAsia="宋体" w:hAnsi="Book Antiqua" w:cs="宋体"/>
          <w:b/>
          <w:bCs/>
          <w:sz w:val="24"/>
          <w:szCs w:val="24"/>
          <w:lang w:val="en-US" w:eastAsia="zh-CN"/>
        </w:rPr>
        <w:t>17</w:t>
      </w:r>
      <w:r w:rsidRPr="00E25DFD">
        <w:rPr>
          <w:rFonts w:ascii="Book Antiqua" w:eastAsia="宋体" w:hAnsi="Book Antiqua" w:cs="宋体"/>
          <w:sz w:val="24"/>
          <w:szCs w:val="24"/>
          <w:lang w:val="en-US" w:eastAsia="zh-CN"/>
        </w:rPr>
        <w:t>: 850-857 [PMID: 17923864 DOI: cr200783]</w:t>
      </w:r>
    </w:p>
    <w:p w14:paraId="354E2B42"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101 </w:t>
      </w:r>
      <w:r w:rsidRPr="00E25DFD">
        <w:rPr>
          <w:rFonts w:ascii="Book Antiqua" w:eastAsia="宋体" w:hAnsi="Book Antiqua" w:cs="宋体"/>
          <w:b/>
          <w:bCs/>
          <w:sz w:val="24"/>
          <w:szCs w:val="24"/>
          <w:lang w:val="en-US" w:eastAsia="zh-CN"/>
        </w:rPr>
        <w:t>Li Q</w:t>
      </w:r>
      <w:r w:rsidRPr="00E25DFD">
        <w:rPr>
          <w:rFonts w:ascii="Book Antiqua" w:eastAsia="宋体" w:hAnsi="Book Antiqua" w:cs="宋体"/>
          <w:sz w:val="24"/>
          <w:szCs w:val="24"/>
          <w:lang w:val="en-US" w:eastAsia="zh-CN"/>
        </w:rPr>
        <w:t xml:space="preserve">, Zou J, Wang M, Ding X, Chepelev I, Zhou X, Zhao W, Wei G, Cui J, Zhao K, Wang HY, Wang RF. Critical role of histone demethylase Jmjd3 in the regulation of CD4+ T-cell differentiation. </w:t>
      </w:r>
      <w:r w:rsidRPr="00E25DFD">
        <w:rPr>
          <w:rFonts w:ascii="Book Antiqua" w:eastAsia="宋体" w:hAnsi="Book Antiqua" w:cs="宋体"/>
          <w:i/>
          <w:iCs/>
          <w:sz w:val="24"/>
          <w:szCs w:val="24"/>
          <w:lang w:val="en-US" w:eastAsia="zh-CN"/>
        </w:rPr>
        <w:t>Nat Commun</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5</w:t>
      </w:r>
      <w:r w:rsidRPr="00E25DFD">
        <w:rPr>
          <w:rFonts w:ascii="Book Antiqua" w:eastAsia="宋体" w:hAnsi="Book Antiqua" w:cs="宋体"/>
          <w:sz w:val="24"/>
          <w:szCs w:val="24"/>
          <w:lang w:val="en-US" w:eastAsia="zh-CN"/>
        </w:rPr>
        <w:t>: 5780 [PMID: 25531312 DOI: 10.1038/ncomms6780]</w:t>
      </w:r>
    </w:p>
    <w:p w14:paraId="12DE491D"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102 </w:t>
      </w:r>
      <w:r w:rsidRPr="00E25DFD">
        <w:rPr>
          <w:rFonts w:ascii="Book Antiqua" w:eastAsia="宋体" w:hAnsi="Book Antiqua" w:cs="宋体"/>
          <w:b/>
          <w:bCs/>
          <w:sz w:val="24"/>
          <w:szCs w:val="24"/>
          <w:lang w:val="en-US" w:eastAsia="zh-CN"/>
        </w:rPr>
        <w:t>Esposito M</w:t>
      </w:r>
      <w:r w:rsidRPr="00E25DFD">
        <w:rPr>
          <w:rFonts w:ascii="Book Antiqua" w:eastAsia="宋体" w:hAnsi="Book Antiqua" w:cs="宋体"/>
          <w:sz w:val="24"/>
          <w:szCs w:val="24"/>
          <w:lang w:val="en-US" w:eastAsia="zh-CN"/>
        </w:rPr>
        <w:t xml:space="preserve">, Ruffini F, Bergami A, Garzetti L, Borsellino G, Battistini L, Martino G, Furlan R. IL-17- and IFN-γ-secreting Foxp3+ T cells infiltrate the target tissue in experimental autoimmunity. </w:t>
      </w:r>
      <w:r w:rsidRPr="00E25DFD">
        <w:rPr>
          <w:rFonts w:ascii="Book Antiqua" w:eastAsia="宋体" w:hAnsi="Book Antiqua" w:cs="宋体"/>
          <w:i/>
          <w:iCs/>
          <w:sz w:val="24"/>
          <w:szCs w:val="24"/>
          <w:lang w:val="en-US" w:eastAsia="zh-CN"/>
        </w:rPr>
        <w:t>J Immunol</w:t>
      </w:r>
      <w:r w:rsidRPr="00E25DFD">
        <w:rPr>
          <w:rFonts w:ascii="Book Antiqua" w:eastAsia="宋体" w:hAnsi="Book Antiqua" w:cs="宋体"/>
          <w:sz w:val="24"/>
          <w:szCs w:val="24"/>
          <w:lang w:val="en-US" w:eastAsia="zh-CN"/>
        </w:rPr>
        <w:t xml:space="preserve"> 2010; </w:t>
      </w:r>
      <w:r w:rsidRPr="00E25DFD">
        <w:rPr>
          <w:rFonts w:ascii="Book Antiqua" w:eastAsia="宋体" w:hAnsi="Book Antiqua" w:cs="宋体"/>
          <w:b/>
          <w:bCs/>
          <w:sz w:val="24"/>
          <w:szCs w:val="24"/>
          <w:lang w:val="en-US" w:eastAsia="zh-CN"/>
        </w:rPr>
        <w:t>185</w:t>
      </w:r>
      <w:r w:rsidRPr="00E25DFD">
        <w:rPr>
          <w:rFonts w:ascii="Book Antiqua" w:eastAsia="宋体" w:hAnsi="Book Antiqua" w:cs="宋体"/>
          <w:sz w:val="24"/>
          <w:szCs w:val="24"/>
          <w:lang w:val="en-US" w:eastAsia="zh-CN"/>
        </w:rPr>
        <w:t>: 7467-7473 [PMID: 21098230 DOI: 10.4049/jimmunol.1001519]</w:t>
      </w:r>
    </w:p>
    <w:p w14:paraId="74A7919C"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103 </w:t>
      </w:r>
      <w:r w:rsidRPr="00E25DFD">
        <w:rPr>
          <w:rFonts w:ascii="Book Antiqua" w:eastAsia="宋体" w:hAnsi="Book Antiqua" w:cs="宋体"/>
          <w:b/>
          <w:bCs/>
          <w:sz w:val="24"/>
          <w:szCs w:val="24"/>
          <w:lang w:val="en-US" w:eastAsia="zh-CN"/>
        </w:rPr>
        <w:t>Zhou L</w:t>
      </w:r>
      <w:r w:rsidRPr="00E25DFD">
        <w:rPr>
          <w:rFonts w:ascii="Book Antiqua" w:eastAsia="宋体" w:hAnsi="Book Antiqua" w:cs="宋体"/>
          <w:sz w:val="24"/>
          <w:szCs w:val="24"/>
          <w:lang w:val="en-US" w:eastAsia="zh-CN"/>
        </w:rPr>
        <w:t xml:space="preserve">, Chong MM, Littman DR. Plasticity of CD4+ T cell lineage differentiation.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30</w:t>
      </w:r>
      <w:r w:rsidRPr="00E25DFD">
        <w:rPr>
          <w:rFonts w:ascii="Book Antiqua" w:eastAsia="宋体" w:hAnsi="Book Antiqua" w:cs="宋体"/>
          <w:sz w:val="24"/>
          <w:szCs w:val="24"/>
          <w:lang w:val="en-US" w:eastAsia="zh-CN"/>
        </w:rPr>
        <w:t>: 646-655 [PMID: 19464987 DOI: 10.1016/j.immuni.2009.05.001]</w:t>
      </w:r>
    </w:p>
    <w:p w14:paraId="5B89F0BA"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104 </w:t>
      </w:r>
      <w:r w:rsidRPr="00E25DFD">
        <w:rPr>
          <w:rFonts w:ascii="Book Antiqua" w:eastAsia="宋体" w:hAnsi="Book Antiqua" w:cs="宋体"/>
          <w:b/>
          <w:bCs/>
          <w:sz w:val="24"/>
          <w:szCs w:val="24"/>
          <w:lang w:val="en-US" w:eastAsia="zh-CN"/>
        </w:rPr>
        <w:t>Nistala K</w:t>
      </w:r>
      <w:r w:rsidRPr="00E25DFD">
        <w:rPr>
          <w:rFonts w:ascii="Book Antiqua" w:eastAsia="宋体" w:hAnsi="Book Antiqua" w:cs="宋体"/>
          <w:sz w:val="24"/>
          <w:szCs w:val="24"/>
          <w:lang w:val="en-US" w:eastAsia="zh-CN"/>
        </w:rPr>
        <w:t xml:space="preserve">, Adams S, Cambrook H, Ursu S, Olivito B, de Jager W, Evans JG, Cimaz R, Bajaj-Elliott M, Wedderburn LR. Th17 plasticity in human autoimmune arthritis is driven by the inflammatory environment. </w:t>
      </w:r>
      <w:r w:rsidRPr="00E25DFD">
        <w:rPr>
          <w:rFonts w:ascii="Book Antiqua" w:eastAsia="宋体" w:hAnsi="Book Antiqua" w:cs="宋体"/>
          <w:i/>
          <w:iCs/>
          <w:sz w:val="24"/>
          <w:szCs w:val="24"/>
          <w:lang w:val="en-US" w:eastAsia="zh-CN"/>
        </w:rPr>
        <w:t>Proc Natl Acad Sci U S A</w:t>
      </w:r>
      <w:r w:rsidRPr="00E25DFD">
        <w:rPr>
          <w:rFonts w:ascii="Book Antiqua" w:eastAsia="宋体" w:hAnsi="Book Antiqua" w:cs="宋体"/>
          <w:sz w:val="24"/>
          <w:szCs w:val="24"/>
          <w:lang w:val="en-US" w:eastAsia="zh-CN"/>
        </w:rPr>
        <w:t xml:space="preserve"> 2010; </w:t>
      </w:r>
      <w:r w:rsidRPr="00E25DFD">
        <w:rPr>
          <w:rFonts w:ascii="Book Antiqua" w:eastAsia="宋体" w:hAnsi="Book Antiqua" w:cs="宋体"/>
          <w:b/>
          <w:bCs/>
          <w:sz w:val="24"/>
          <w:szCs w:val="24"/>
          <w:lang w:val="en-US" w:eastAsia="zh-CN"/>
        </w:rPr>
        <w:t>107</w:t>
      </w:r>
      <w:r w:rsidRPr="00E25DFD">
        <w:rPr>
          <w:rFonts w:ascii="Book Antiqua" w:eastAsia="宋体" w:hAnsi="Book Antiqua" w:cs="宋体"/>
          <w:sz w:val="24"/>
          <w:szCs w:val="24"/>
          <w:lang w:val="en-US" w:eastAsia="zh-CN"/>
        </w:rPr>
        <w:t>: 14751-14756 [PMID: 20679229 DOI: 10.1073/pnas.1003852107]</w:t>
      </w:r>
    </w:p>
    <w:p w14:paraId="55E4EE5B"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105 </w:t>
      </w:r>
      <w:r w:rsidRPr="00E25DFD">
        <w:rPr>
          <w:rFonts w:ascii="Book Antiqua" w:eastAsia="宋体" w:hAnsi="Book Antiqua" w:cs="宋体"/>
          <w:b/>
          <w:bCs/>
          <w:sz w:val="24"/>
          <w:szCs w:val="24"/>
          <w:lang w:val="en-US" w:eastAsia="zh-CN"/>
        </w:rPr>
        <w:t>Korn T</w:t>
      </w:r>
      <w:r w:rsidRPr="00E25DFD">
        <w:rPr>
          <w:rFonts w:ascii="Book Antiqua" w:eastAsia="宋体" w:hAnsi="Book Antiqua" w:cs="宋体"/>
          <w:sz w:val="24"/>
          <w:szCs w:val="24"/>
          <w:lang w:val="en-US" w:eastAsia="zh-CN"/>
        </w:rPr>
        <w:t xml:space="preserve">, Bettelli E, Oukka M, Kuchroo VK. IL-17 and Th17 Cells. </w:t>
      </w:r>
      <w:r w:rsidRPr="00E25DFD">
        <w:rPr>
          <w:rFonts w:ascii="Book Antiqua" w:eastAsia="宋体" w:hAnsi="Book Antiqua" w:cs="宋体"/>
          <w:i/>
          <w:iCs/>
          <w:sz w:val="24"/>
          <w:szCs w:val="24"/>
          <w:lang w:val="en-US" w:eastAsia="zh-CN"/>
        </w:rPr>
        <w:t>Annu Rev Immunol</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27</w:t>
      </w:r>
      <w:r w:rsidRPr="00E25DFD">
        <w:rPr>
          <w:rFonts w:ascii="Book Antiqua" w:eastAsia="宋体" w:hAnsi="Book Antiqua" w:cs="宋体"/>
          <w:sz w:val="24"/>
          <w:szCs w:val="24"/>
          <w:lang w:val="en-US" w:eastAsia="zh-CN"/>
        </w:rPr>
        <w:t>: 485-517 [PMID: 19132915 DOI: 10.1146/annurev.immunol.021908.132710]</w:t>
      </w:r>
    </w:p>
    <w:p w14:paraId="4A98EA48"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106 </w:t>
      </w:r>
      <w:r w:rsidRPr="00E25DFD">
        <w:rPr>
          <w:rFonts w:ascii="Book Antiqua" w:eastAsia="宋体" w:hAnsi="Book Antiqua" w:cs="宋体"/>
          <w:b/>
          <w:bCs/>
          <w:sz w:val="24"/>
          <w:szCs w:val="24"/>
          <w:lang w:val="en-US" w:eastAsia="zh-CN"/>
        </w:rPr>
        <w:t>Globig AM</w:t>
      </w:r>
      <w:r w:rsidRPr="00E25DFD">
        <w:rPr>
          <w:rFonts w:ascii="Book Antiqua" w:eastAsia="宋体" w:hAnsi="Book Antiqua" w:cs="宋体"/>
          <w:sz w:val="24"/>
          <w:szCs w:val="24"/>
          <w:lang w:val="en-US" w:eastAsia="zh-CN"/>
        </w:rPr>
        <w:t xml:space="preserve">, Hennecke N, Martin B, Seidl M, Ruf G, Hasselblatt P, Thimme R, Bengsch B. Comprehensive intestinal T helper cell profiling reveals specific accumulation of IFN-γ+IL-17+coproducing CD4+ T cells in active inflammatory bowel disease. </w:t>
      </w:r>
      <w:r w:rsidRPr="00E25DFD">
        <w:rPr>
          <w:rFonts w:ascii="Book Antiqua" w:eastAsia="宋体" w:hAnsi="Book Antiqua" w:cs="宋体"/>
          <w:i/>
          <w:iCs/>
          <w:sz w:val="24"/>
          <w:szCs w:val="24"/>
          <w:lang w:val="en-US" w:eastAsia="zh-CN"/>
        </w:rPr>
        <w:t>Inflamm Bowel Dis</w:t>
      </w:r>
      <w:r w:rsidRPr="00E25DFD">
        <w:rPr>
          <w:rFonts w:ascii="Book Antiqua" w:eastAsia="宋体" w:hAnsi="Book Antiqua" w:cs="宋体"/>
          <w:sz w:val="24"/>
          <w:szCs w:val="24"/>
          <w:lang w:val="en-US" w:eastAsia="zh-CN"/>
        </w:rPr>
        <w:t xml:space="preserve"> 2014; </w:t>
      </w:r>
      <w:r w:rsidRPr="00E25DFD">
        <w:rPr>
          <w:rFonts w:ascii="Book Antiqua" w:eastAsia="宋体" w:hAnsi="Book Antiqua" w:cs="宋体"/>
          <w:b/>
          <w:bCs/>
          <w:sz w:val="24"/>
          <w:szCs w:val="24"/>
          <w:lang w:val="en-US" w:eastAsia="zh-CN"/>
        </w:rPr>
        <w:t>20</w:t>
      </w:r>
      <w:r w:rsidRPr="00E25DFD">
        <w:rPr>
          <w:rFonts w:ascii="Book Antiqua" w:eastAsia="宋体" w:hAnsi="Book Antiqua" w:cs="宋体"/>
          <w:sz w:val="24"/>
          <w:szCs w:val="24"/>
          <w:lang w:val="en-US" w:eastAsia="zh-CN"/>
        </w:rPr>
        <w:t>: 2321-2329 [PMID: 25248005 DOI: 10.1097/MIB.0000000000000210]</w:t>
      </w:r>
    </w:p>
    <w:p w14:paraId="6760A219"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107 </w:t>
      </w:r>
      <w:r w:rsidRPr="00E25DFD">
        <w:rPr>
          <w:rFonts w:ascii="Book Antiqua" w:eastAsia="宋体" w:hAnsi="Book Antiqua" w:cs="宋体"/>
          <w:b/>
          <w:bCs/>
          <w:sz w:val="24"/>
          <w:szCs w:val="24"/>
          <w:lang w:val="en-US" w:eastAsia="zh-CN"/>
        </w:rPr>
        <w:t>Singh K</w:t>
      </w:r>
      <w:r w:rsidRPr="00E25DFD">
        <w:rPr>
          <w:rFonts w:ascii="Book Antiqua" w:eastAsia="宋体" w:hAnsi="Book Antiqua" w:cs="宋体"/>
          <w:sz w:val="24"/>
          <w:szCs w:val="24"/>
          <w:lang w:val="en-US" w:eastAsia="zh-CN"/>
        </w:rPr>
        <w:t xml:space="preserve">, Gatzka M, Peters T, Borkner L, Hainzl A, Wang H, Sindrilaru A, Scharffetter-Kochanek K. Reduced CD18 levels drive regulatory T cell conversion into Th17 cells in the CD18hypo PL/J mouse model of psoriasis. </w:t>
      </w:r>
      <w:r w:rsidRPr="00E25DFD">
        <w:rPr>
          <w:rFonts w:ascii="Book Antiqua" w:eastAsia="宋体" w:hAnsi="Book Antiqua" w:cs="宋体"/>
          <w:i/>
          <w:iCs/>
          <w:sz w:val="24"/>
          <w:szCs w:val="24"/>
          <w:lang w:val="en-US" w:eastAsia="zh-CN"/>
        </w:rPr>
        <w:t>J Immunol</w:t>
      </w:r>
      <w:r w:rsidRPr="00E25DFD">
        <w:rPr>
          <w:rFonts w:ascii="Book Antiqua" w:eastAsia="宋体" w:hAnsi="Book Antiqua" w:cs="宋体"/>
          <w:sz w:val="24"/>
          <w:szCs w:val="24"/>
          <w:lang w:val="en-US" w:eastAsia="zh-CN"/>
        </w:rPr>
        <w:t xml:space="preserve"> 2013; </w:t>
      </w:r>
      <w:r w:rsidRPr="00E25DFD">
        <w:rPr>
          <w:rFonts w:ascii="Book Antiqua" w:eastAsia="宋体" w:hAnsi="Book Antiqua" w:cs="宋体"/>
          <w:b/>
          <w:bCs/>
          <w:sz w:val="24"/>
          <w:szCs w:val="24"/>
          <w:lang w:val="en-US" w:eastAsia="zh-CN"/>
        </w:rPr>
        <w:t>190</w:t>
      </w:r>
      <w:r w:rsidRPr="00E25DFD">
        <w:rPr>
          <w:rFonts w:ascii="Book Antiqua" w:eastAsia="宋体" w:hAnsi="Book Antiqua" w:cs="宋体"/>
          <w:sz w:val="24"/>
          <w:szCs w:val="24"/>
          <w:lang w:val="en-US" w:eastAsia="zh-CN"/>
        </w:rPr>
        <w:t>: 2544-2553 [PMID: 23418628 DOI: 10.4049/jimmunol.1202399]</w:t>
      </w:r>
    </w:p>
    <w:p w14:paraId="0137800A"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108 </w:t>
      </w:r>
      <w:r w:rsidRPr="00E25DFD">
        <w:rPr>
          <w:rFonts w:ascii="Book Antiqua" w:eastAsia="宋体" w:hAnsi="Book Antiqua" w:cs="宋体"/>
          <w:b/>
          <w:bCs/>
          <w:sz w:val="24"/>
          <w:szCs w:val="24"/>
          <w:lang w:val="en-US" w:eastAsia="zh-CN"/>
        </w:rPr>
        <w:t>Gagliani N</w:t>
      </w:r>
      <w:r w:rsidRPr="00E25DFD">
        <w:rPr>
          <w:rFonts w:ascii="Book Antiqua" w:eastAsia="宋体" w:hAnsi="Book Antiqua" w:cs="宋体"/>
          <w:sz w:val="24"/>
          <w:szCs w:val="24"/>
          <w:lang w:val="en-US" w:eastAsia="zh-CN"/>
        </w:rPr>
        <w:t xml:space="preserve">, Vesely MC, Iseppon A, Brockmann L, Xu H, Palm NW, de Zoete MR, Licona-Limón P, Paiva RS, Ching T, Weaver C, Zi X, Pan X, Fan R, Garmire LX, Cotton MJ, Drier Y, Bernstein B, Geginat J, Stockinger B, Esplugues E, Huber S, </w:t>
      </w:r>
      <w:r w:rsidRPr="00E25DFD">
        <w:rPr>
          <w:rFonts w:ascii="Book Antiqua" w:eastAsia="宋体" w:hAnsi="Book Antiqua" w:cs="宋体"/>
          <w:sz w:val="24"/>
          <w:szCs w:val="24"/>
          <w:lang w:val="en-US" w:eastAsia="zh-CN"/>
        </w:rPr>
        <w:lastRenderedPageBreak/>
        <w:t xml:space="preserve">Flavell RA. Th17 cells transdifferentiate into regulatory T cells during resolution of inflammation.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2015; </w:t>
      </w:r>
      <w:r w:rsidRPr="00E25DFD">
        <w:rPr>
          <w:rFonts w:ascii="Book Antiqua" w:eastAsia="宋体" w:hAnsi="Book Antiqua" w:cs="宋体"/>
          <w:b/>
          <w:bCs/>
          <w:sz w:val="24"/>
          <w:szCs w:val="24"/>
          <w:lang w:val="en-US" w:eastAsia="zh-CN"/>
        </w:rPr>
        <w:t>523</w:t>
      </w:r>
      <w:r w:rsidRPr="00E25DFD">
        <w:rPr>
          <w:rFonts w:ascii="Book Antiqua" w:eastAsia="宋体" w:hAnsi="Book Antiqua" w:cs="宋体"/>
          <w:sz w:val="24"/>
          <w:szCs w:val="24"/>
          <w:lang w:val="en-US" w:eastAsia="zh-CN"/>
        </w:rPr>
        <w:t>: 221-225 [PMID: 25924064 DOI: 10.1038/nature14452]</w:t>
      </w:r>
    </w:p>
    <w:p w14:paraId="4937A2C6"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109 </w:t>
      </w:r>
      <w:r w:rsidRPr="00E25DFD">
        <w:rPr>
          <w:rFonts w:ascii="Book Antiqua" w:eastAsia="宋体" w:hAnsi="Book Antiqua" w:cs="宋体"/>
          <w:b/>
          <w:bCs/>
          <w:sz w:val="24"/>
          <w:szCs w:val="24"/>
          <w:lang w:val="en-US" w:eastAsia="zh-CN"/>
        </w:rPr>
        <w:t>Barnes MJ</w:t>
      </w:r>
      <w:r w:rsidRPr="00E25DFD">
        <w:rPr>
          <w:rFonts w:ascii="Book Antiqua" w:eastAsia="宋体" w:hAnsi="Book Antiqua" w:cs="宋体"/>
          <w:sz w:val="24"/>
          <w:szCs w:val="24"/>
          <w:lang w:val="en-US" w:eastAsia="zh-CN"/>
        </w:rPr>
        <w:t xml:space="preserve">, Powrie F. Regulatory T cells reinforce intestinal homeostasis. </w:t>
      </w:r>
      <w:r w:rsidRPr="00E25DFD">
        <w:rPr>
          <w:rFonts w:ascii="Book Antiqua" w:eastAsia="宋体" w:hAnsi="Book Antiqua" w:cs="宋体"/>
          <w:i/>
          <w:iCs/>
          <w:sz w:val="24"/>
          <w:szCs w:val="24"/>
          <w:lang w:val="en-US" w:eastAsia="zh-CN"/>
        </w:rPr>
        <w:t>Immunity</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31</w:t>
      </w:r>
      <w:r w:rsidRPr="00E25DFD">
        <w:rPr>
          <w:rFonts w:ascii="Book Antiqua" w:eastAsia="宋体" w:hAnsi="Book Antiqua" w:cs="宋体"/>
          <w:sz w:val="24"/>
          <w:szCs w:val="24"/>
          <w:lang w:val="en-US" w:eastAsia="zh-CN"/>
        </w:rPr>
        <w:t>: 401-411 [PMID: 19766083 DOI: 10.1016/j.immuni.2009.08.011]</w:t>
      </w:r>
    </w:p>
    <w:p w14:paraId="766C6709"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110 </w:t>
      </w:r>
      <w:r w:rsidRPr="00E25DFD">
        <w:rPr>
          <w:rFonts w:ascii="Book Antiqua" w:eastAsia="宋体" w:hAnsi="Book Antiqua" w:cs="宋体"/>
          <w:b/>
          <w:bCs/>
          <w:sz w:val="24"/>
          <w:szCs w:val="24"/>
          <w:lang w:val="en-US" w:eastAsia="zh-CN"/>
        </w:rPr>
        <w:t>Morrison PJ</w:t>
      </w:r>
      <w:r w:rsidRPr="00E25DFD">
        <w:rPr>
          <w:rFonts w:ascii="Book Antiqua" w:eastAsia="宋体" w:hAnsi="Book Antiqua" w:cs="宋体"/>
          <w:sz w:val="24"/>
          <w:szCs w:val="24"/>
          <w:lang w:val="en-US" w:eastAsia="zh-CN"/>
        </w:rPr>
        <w:t xml:space="preserve">, Ballantyne SJ, Kullberg MC. Interleukin-23 and T helper 17-type responses in intestinal inflammation: from cytokines to T-cell plasticity. </w:t>
      </w:r>
      <w:r w:rsidRPr="00E25DFD">
        <w:rPr>
          <w:rFonts w:ascii="Book Antiqua" w:eastAsia="宋体" w:hAnsi="Book Antiqua" w:cs="宋体"/>
          <w:i/>
          <w:iCs/>
          <w:sz w:val="24"/>
          <w:szCs w:val="24"/>
          <w:lang w:val="en-US" w:eastAsia="zh-CN"/>
        </w:rPr>
        <w:t>Immunology</w:t>
      </w:r>
      <w:r w:rsidRPr="00E25DFD">
        <w:rPr>
          <w:rFonts w:ascii="Book Antiqua" w:eastAsia="宋体" w:hAnsi="Book Antiqua" w:cs="宋体"/>
          <w:sz w:val="24"/>
          <w:szCs w:val="24"/>
          <w:lang w:val="en-US" w:eastAsia="zh-CN"/>
        </w:rPr>
        <w:t xml:space="preserve"> 2011; </w:t>
      </w:r>
      <w:r w:rsidRPr="00E25DFD">
        <w:rPr>
          <w:rFonts w:ascii="Book Antiqua" w:eastAsia="宋体" w:hAnsi="Book Antiqua" w:cs="宋体"/>
          <w:b/>
          <w:bCs/>
          <w:sz w:val="24"/>
          <w:szCs w:val="24"/>
          <w:lang w:val="en-US" w:eastAsia="zh-CN"/>
        </w:rPr>
        <w:t>133</w:t>
      </w:r>
      <w:r w:rsidRPr="00E25DFD">
        <w:rPr>
          <w:rFonts w:ascii="Book Antiqua" w:eastAsia="宋体" w:hAnsi="Book Antiqua" w:cs="宋体"/>
          <w:sz w:val="24"/>
          <w:szCs w:val="24"/>
          <w:lang w:val="en-US" w:eastAsia="zh-CN"/>
        </w:rPr>
        <w:t>: 397-408 [PMID: 21631495 DOI: 10.1111/j.1365-2567.2011.03454.x]</w:t>
      </w:r>
    </w:p>
    <w:p w14:paraId="37B9B929"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111 </w:t>
      </w:r>
      <w:r w:rsidRPr="00E25DFD">
        <w:rPr>
          <w:rFonts w:ascii="Book Antiqua" w:eastAsia="宋体" w:hAnsi="Book Antiqua" w:cs="宋体"/>
          <w:b/>
          <w:bCs/>
          <w:sz w:val="24"/>
          <w:szCs w:val="24"/>
          <w:lang w:val="en-US" w:eastAsia="zh-CN"/>
        </w:rPr>
        <w:t>Hovhannisyan Z</w:t>
      </w:r>
      <w:r w:rsidRPr="00E25DFD">
        <w:rPr>
          <w:rFonts w:ascii="Book Antiqua" w:eastAsia="宋体" w:hAnsi="Book Antiqua" w:cs="宋体"/>
          <w:sz w:val="24"/>
          <w:szCs w:val="24"/>
          <w:lang w:val="en-US" w:eastAsia="zh-CN"/>
        </w:rPr>
        <w:t xml:space="preserve">, Treatman J, Littman DR, Mayer L. Characterization of interleukin-17-producing regulatory T cells in inflamed intestinal mucosa from patients with inflammatory bowel diseases. </w:t>
      </w:r>
      <w:r w:rsidRPr="00E25DFD">
        <w:rPr>
          <w:rFonts w:ascii="Book Antiqua" w:eastAsia="宋体" w:hAnsi="Book Antiqua" w:cs="宋体"/>
          <w:i/>
          <w:iCs/>
          <w:sz w:val="24"/>
          <w:szCs w:val="24"/>
          <w:lang w:val="en-US" w:eastAsia="zh-CN"/>
        </w:rPr>
        <w:t>Gastroenterology</w:t>
      </w:r>
      <w:r w:rsidRPr="00E25DFD">
        <w:rPr>
          <w:rFonts w:ascii="Book Antiqua" w:eastAsia="宋体" w:hAnsi="Book Antiqua" w:cs="宋体"/>
          <w:sz w:val="24"/>
          <w:szCs w:val="24"/>
          <w:lang w:val="en-US" w:eastAsia="zh-CN"/>
        </w:rPr>
        <w:t xml:space="preserve"> 2011; </w:t>
      </w:r>
      <w:r w:rsidRPr="00E25DFD">
        <w:rPr>
          <w:rFonts w:ascii="Book Antiqua" w:eastAsia="宋体" w:hAnsi="Book Antiqua" w:cs="宋体"/>
          <w:b/>
          <w:bCs/>
          <w:sz w:val="24"/>
          <w:szCs w:val="24"/>
          <w:lang w:val="en-US" w:eastAsia="zh-CN"/>
        </w:rPr>
        <w:t>140</w:t>
      </w:r>
      <w:r w:rsidRPr="00E25DFD">
        <w:rPr>
          <w:rFonts w:ascii="Book Antiqua" w:eastAsia="宋体" w:hAnsi="Book Antiqua" w:cs="宋体"/>
          <w:sz w:val="24"/>
          <w:szCs w:val="24"/>
          <w:lang w:val="en-US" w:eastAsia="zh-CN"/>
        </w:rPr>
        <w:t>: 957-965 [PMID: 21147109 DOI: 10.1053/j.gastro.2010.12.002]</w:t>
      </w:r>
    </w:p>
    <w:p w14:paraId="6B011B28" w14:textId="0E037F35"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112 </w:t>
      </w:r>
      <w:r w:rsidRPr="00E25DFD">
        <w:rPr>
          <w:rFonts w:ascii="Book Antiqua" w:eastAsia="宋体" w:hAnsi="Book Antiqua" w:cs="宋体"/>
          <w:b/>
          <w:sz w:val="24"/>
          <w:szCs w:val="24"/>
          <w:lang w:val="en-US" w:eastAsia="zh-CN"/>
        </w:rPr>
        <w:t xml:space="preserve">Li </w:t>
      </w:r>
      <w:r w:rsidR="00542439" w:rsidRPr="00542439">
        <w:rPr>
          <w:rFonts w:ascii="Book Antiqua" w:eastAsia="宋体" w:hAnsi="Book Antiqua" w:cs="宋体"/>
          <w:b/>
          <w:sz w:val="24"/>
          <w:szCs w:val="24"/>
          <w:lang w:val="en-US" w:eastAsia="zh-CN"/>
        </w:rPr>
        <w:t>J</w:t>
      </w:r>
      <w:r w:rsidRPr="00E25DFD">
        <w:rPr>
          <w:rFonts w:ascii="Book Antiqua" w:eastAsia="宋体" w:hAnsi="Book Antiqua" w:cs="宋体"/>
          <w:sz w:val="24"/>
          <w:szCs w:val="24"/>
          <w:lang w:val="en-US" w:eastAsia="zh-CN"/>
        </w:rPr>
        <w:t xml:space="preserve">, Ueno A, Fort Gasia M, Hirota C, Deane M, Chan R, Iacucci M, Kaplan G, Panaccione R, Luider J, Wang T, Tom M, Qian JM, Gui X, Ghosh S. Distinctive Th17 Lymphocyte Plasticity in Intestinal Lamina Propria of IBD Patients Compared With Healthy Controls. </w:t>
      </w:r>
      <w:bookmarkStart w:id="188" w:name="OLE_LINK2063"/>
      <w:bookmarkStart w:id="189" w:name="OLE_LINK2064"/>
      <w:r w:rsidRPr="00E25DFD">
        <w:rPr>
          <w:rFonts w:ascii="Book Antiqua" w:eastAsia="宋体" w:hAnsi="Book Antiqua" w:cs="宋体"/>
          <w:i/>
          <w:sz w:val="24"/>
          <w:szCs w:val="24"/>
          <w:lang w:val="en-US" w:eastAsia="zh-CN"/>
        </w:rPr>
        <w:t>Gastoroenterology</w:t>
      </w:r>
      <w:r w:rsidRPr="00E25DFD">
        <w:rPr>
          <w:rFonts w:ascii="Book Antiqua" w:eastAsia="宋体" w:hAnsi="Book Antiqua" w:cs="宋体"/>
          <w:sz w:val="24"/>
          <w:szCs w:val="24"/>
          <w:lang w:val="en-US" w:eastAsia="zh-CN"/>
        </w:rPr>
        <w:t xml:space="preserve"> 2015; </w:t>
      </w:r>
      <w:r w:rsidRPr="00E25DFD">
        <w:rPr>
          <w:rFonts w:ascii="Book Antiqua" w:eastAsia="宋体" w:hAnsi="Book Antiqua" w:cs="宋体"/>
          <w:b/>
          <w:sz w:val="24"/>
          <w:szCs w:val="24"/>
          <w:lang w:val="en-US" w:eastAsia="zh-CN"/>
        </w:rPr>
        <w:t>148</w:t>
      </w:r>
      <w:r w:rsidR="00542439">
        <w:rPr>
          <w:rFonts w:ascii="Book Antiqua" w:eastAsia="宋体" w:hAnsi="Book Antiqua" w:cs="宋体"/>
          <w:sz w:val="24"/>
          <w:szCs w:val="24"/>
          <w:lang w:val="en-US" w:eastAsia="zh-CN"/>
        </w:rPr>
        <w:t>: S</w:t>
      </w:r>
      <w:r w:rsidRPr="00E25DFD">
        <w:rPr>
          <w:rFonts w:ascii="Book Antiqua" w:eastAsia="宋体" w:hAnsi="Book Antiqua" w:cs="宋体"/>
          <w:sz w:val="24"/>
          <w:szCs w:val="24"/>
          <w:lang w:val="en-US" w:eastAsia="zh-CN"/>
        </w:rPr>
        <w:t>323</w:t>
      </w:r>
      <w:bookmarkEnd w:id="188"/>
      <w:bookmarkEnd w:id="189"/>
      <w:r w:rsidRPr="00E25DFD">
        <w:rPr>
          <w:rFonts w:ascii="Book Antiqua" w:eastAsia="宋体" w:hAnsi="Book Antiqua" w:cs="宋体"/>
          <w:sz w:val="24"/>
          <w:szCs w:val="24"/>
          <w:lang w:val="en-US" w:eastAsia="zh-CN"/>
        </w:rPr>
        <w:t xml:space="preserve"> [</w:t>
      </w:r>
      <w:r w:rsidR="00542439">
        <w:rPr>
          <w:rFonts w:ascii="Book Antiqua" w:eastAsia="宋体" w:hAnsi="Book Antiqua" w:cs="宋体" w:hint="eastAsia"/>
          <w:sz w:val="24"/>
          <w:szCs w:val="24"/>
          <w:lang w:val="en-US" w:eastAsia="zh-CN"/>
        </w:rPr>
        <w:t xml:space="preserve">DOI: </w:t>
      </w:r>
      <w:r w:rsidRPr="00E25DFD">
        <w:rPr>
          <w:rFonts w:ascii="Book Antiqua" w:eastAsia="宋体" w:hAnsi="Book Antiqua" w:cs="宋体"/>
          <w:sz w:val="24"/>
          <w:szCs w:val="24"/>
          <w:lang w:val="en-US" w:eastAsia="zh-CN"/>
        </w:rPr>
        <w:t>10.1016/S0016-5085(15)31070-2]</w:t>
      </w:r>
    </w:p>
    <w:p w14:paraId="247BAF6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113 </w:t>
      </w:r>
      <w:r w:rsidRPr="00E25DFD">
        <w:rPr>
          <w:rFonts w:ascii="Book Antiqua" w:eastAsia="宋体" w:hAnsi="Book Antiqua" w:cs="宋体"/>
          <w:b/>
          <w:bCs/>
          <w:sz w:val="24"/>
          <w:szCs w:val="24"/>
          <w:lang w:val="en-US" w:eastAsia="zh-CN"/>
        </w:rPr>
        <w:t>Eisenstein EM</w:t>
      </w:r>
      <w:r w:rsidRPr="00E25DFD">
        <w:rPr>
          <w:rFonts w:ascii="Book Antiqua" w:eastAsia="宋体" w:hAnsi="Book Antiqua" w:cs="宋体"/>
          <w:sz w:val="24"/>
          <w:szCs w:val="24"/>
          <w:lang w:val="en-US" w:eastAsia="zh-CN"/>
        </w:rPr>
        <w:t xml:space="preserve">, Williams CB. The T(reg)/Th17 cell balance: a new paradigm for autoimmunity. </w:t>
      </w:r>
      <w:r w:rsidRPr="00E25DFD">
        <w:rPr>
          <w:rFonts w:ascii="Book Antiqua" w:eastAsia="宋体" w:hAnsi="Book Antiqua" w:cs="宋体"/>
          <w:i/>
          <w:iCs/>
          <w:sz w:val="24"/>
          <w:szCs w:val="24"/>
          <w:lang w:val="en-US" w:eastAsia="zh-CN"/>
        </w:rPr>
        <w:t>Pediatr Res</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65</w:t>
      </w:r>
      <w:r w:rsidRPr="00E25DFD">
        <w:rPr>
          <w:rFonts w:ascii="Book Antiqua" w:eastAsia="宋体" w:hAnsi="Book Antiqua" w:cs="宋体"/>
          <w:sz w:val="24"/>
          <w:szCs w:val="24"/>
          <w:lang w:val="en-US" w:eastAsia="zh-CN"/>
        </w:rPr>
        <w:t>: 26R-31R [PMID: 19218879 DOI: 10.1203/PDR.0b013e31819e76c7]</w:t>
      </w:r>
    </w:p>
    <w:p w14:paraId="38044B59"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114 </w:t>
      </w:r>
      <w:r w:rsidRPr="00E25DFD">
        <w:rPr>
          <w:rFonts w:ascii="Book Antiqua" w:eastAsia="宋体" w:hAnsi="Book Antiqua" w:cs="宋体"/>
          <w:b/>
          <w:bCs/>
          <w:sz w:val="24"/>
          <w:szCs w:val="24"/>
          <w:lang w:val="en-US" w:eastAsia="zh-CN"/>
        </w:rPr>
        <w:t>Desreumaux P</w:t>
      </w:r>
      <w:r w:rsidRPr="00E25DFD">
        <w:rPr>
          <w:rFonts w:ascii="Book Antiqua" w:eastAsia="宋体" w:hAnsi="Book Antiqua" w:cs="宋体"/>
          <w:sz w:val="24"/>
          <w:szCs w:val="24"/>
          <w:lang w:val="en-US" w:eastAsia="zh-CN"/>
        </w:rPr>
        <w:t xml:space="preserve">, Foussat A, Allez M, Beaugerie L, Hébuterne X, Bouhnik Y, Nachury M, Brun V, Bastian H, Belmonte N, Ticchioni M, Duchange A, Morel-Mandrino P, Neveu V, Clerget-Chossat N, Forte M, Colombel JF. Safety and efficacy of antigen-specific regulatory T-cell therapy for patients with refractory Crohn's disease. </w:t>
      </w:r>
      <w:r w:rsidRPr="00E25DFD">
        <w:rPr>
          <w:rFonts w:ascii="Book Antiqua" w:eastAsia="宋体" w:hAnsi="Book Antiqua" w:cs="宋体"/>
          <w:i/>
          <w:iCs/>
          <w:sz w:val="24"/>
          <w:szCs w:val="24"/>
          <w:lang w:val="en-US" w:eastAsia="zh-CN"/>
        </w:rPr>
        <w:t>Gastroenterology</w:t>
      </w:r>
      <w:r w:rsidRPr="00E25DFD">
        <w:rPr>
          <w:rFonts w:ascii="Book Antiqua" w:eastAsia="宋体" w:hAnsi="Book Antiqua" w:cs="宋体"/>
          <w:sz w:val="24"/>
          <w:szCs w:val="24"/>
          <w:lang w:val="en-US" w:eastAsia="zh-CN"/>
        </w:rPr>
        <w:t xml:space="preserve"> 2012; </w:t>
      </w:r>
      <w:r w:rsidRPr="00E25DFD">
        <w:rPr>
          <w:rFonts w:ascii="Book Antiqua" w:eastAsia="宋体" w:hAnsi="Book Antiqua" w:cs="宋体"/>
          <w:b/>
          <w:bCs/>
          <w:sz w:val="24"/>
          <w:szCs w:val="24"/>
          <w:lang w:val="en-US" w:eastAsia="zh-CN"/>
        </w:rPr>
        <w:t>143</w:t>
      </w:r>
      <w:r w:rsidRPr="00E25DFD">
        <w:rPr>
          <w:rFonts w:ascii="Book Antiqua" w:eastAsia="宋体" w:hAnsi="Book Antiqua" w:cs="宋体"/>
          <w:sz w:val="24"/>
          <w:szCs w:val="24"/>
          <w:lang w:val="en-US" w:eastAsia="zh-CN"/>
        </w:rPr>
        <w:t>: 1207-17.e1-2 [PMID: 22885333 DOI: 10.1053/j.gastro.2012.07.116]</w:t>
      </w:r>
    </w:p>
    <w:p w14:paraId="17CB5BC4" w14:textId="77777777" w:rsidR="00E25DFD" w:rsidRP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115 </w:t>
      </w:r>
      <w:r w:rsidRPr="00E25DFD">
        <w:rPr>
          <w:rFonts w:ascii="Book Antiqua" w:eastAsia="宋体" w:hAnsi="Book Antiqua" w:cs="宋体"/>
          <w:b/>
          <w:bCs/>
          <w:sz w:val="24"/>
          <w:szCs w:val="24"/>
          <w:lang w:val="en-US" w:eastAsia="zh-CN"/>
        </w:rPr>
        <w:t>Brüstle A</w:t>
      </w:r>
      <w:r w:rsidRPr="00E25DFD">
        <w:rPr>
          <w:rFonts w:ascii="Book Antiqua" w:eastAsia="宋体" w:hAnsi="Book Antiqua" w:cs="宋体"/>
          <w:sz w:val="24"/>
          <w:szCs w:val="24"/>
          <w:lang w:val="en-US" w:eastAsia="zh-CN"/>
        </w:rPr>
        <w:t xml:space="preserve">, Heink S, Huber M, Rosenplänter C, Stadelmann C, Yu P, Arpaia E, Mak TW, Kamradt T, Lohoff M. The development of inflammatory T(H)-17 cells requires interferon-regulatory factor 4. </w:t>
      </w:r>
      <w:r w:rsidRPr="00E25DFD">
        <w:rPr>
          <w:rFonts w:ascii="Book Antiqua" w:eastAsia="宋体" w:hAnsi="Book Antiqua" w:cs="宋体"/>
          <w:i/>
          <w:iCs/>
          <w:sz w:val="24"/>
          <w:szCs w:val="24"/>
          <w:lang w:val="en-US" w:eastAsia="zh-CN"/>
        </w:rPr>
        <w:t>Nat Immunol</w:t>
      </w:r>
      <w:r w:rsidRPr="00E25DFD">
        <w:rPr>
          <w:rFonts w:ascii="Book Antiqua" w:eastAsia="宋体" w:hAnsi="Book Antiqua" w:cs="宋体"/>
          <w:sz w:val="24"/>
          <w:szCs w:val="24"/>
          <w:lang w:val="en-US" w:eastAsia="zh-CN"/>
        </w:rPr>
        <w:t xml:space="preserve"> 2007; </w:t>
      </w:r>
      <w:r w:rsidRPr="00E25DFD">
        <w:rPr>
          <w:rFonts w:ascii="Book Antiqua" w:eastAsia="宋体" w:hAnsi="Book Antiqua" w:cs="宋体"/>
          <w:b/>
          <w:bCs/>
          <w:sz w:val="24"/>
          <w:szCs w:val="24"/>
          <w:lang w:val="en-US" w:eastAsia="zh-CN"/>
        </w:rPr>
        <w:t>8</w:t>
      </w:r>
      <w:r w:rsidRPr="00E25DFD">
        <w:rPr>
          <w:rFonts w:ascii="Book Antiqua" w:eastAsia="宋体" w:hAnsi="Book Antiqua" w:cs="宋体"/>
          <w:sz w:val="24"/>
          <w:szCs w:val="24"/>
          <w:lang w:val="en-US" w:eastAsia="zh-CN"/>
        </w:rPr>
        <w:t>: 958-966 [PMID: 17676043 DOI: ni1500]</w:t>
      </w:r>
    </w:p>
    <w:p w14:paraId="6F8C3E26" w14:textId="77777777" w:rsidR="00E25DFD" w:rsidRDefault="00E25DFD" w:rsidP="00E25DFD">
      <w:pPr>
        <w:spacing w:after="0" w:line="360" w:lineRule="auto"/>
        <w:jc w:val="both"/>
        <w:rPr>
          <w:rFonts w:ascii="Book Antiqua" w:eastAsia="宋体" w:hAnsi="Book Antiqua" w:cs="宋体"/>
          <w:sz w:val="24"/>
          <w:szCs w:val="24"/>
          <w:lang w:val="en-US" w:eastAsia="zh-CN"/>
        </w:rPr>
      </w:pPr>
      <w:r w:rsidRPr="00E25DFD">
        <w:rPr>
          <w:rFonts w:ascii="Book Antiqua" w:eastAsia="宋体" w:hAnsi="Book Antiqua" w:cs="宋体"/>
          <w:sz w:val="24"/>
          <w:szCs w:val="24"/>
          <w:lang w:val="en-US" w:eastAsia="zh-CN"/>
        </w:rPr>
        <w:t xml:space="preserve">116 </w:t>
      </w:r>
      <w:r w:rsidRPr="00E25DFD">
        <w:rPr>
          <w:rFonts w:ascii="Book Antiqua" w:eastAsia="宋体" w:hAnsi="Book Antiqua" w:cs="宋体"/>
          <w:b/>
          <w:bCs/>
          <w:sz w:val="24"/>
          <w:szCs w:val="24"/>
          <w:lang w:val="en-US" w:eastAsia="zh-CN"/>
        </w:rPr>
        <w:t>Schraml BU</w:t>
      </w:r>
      <w:r w:rsidRPr="00E25DFD">
        <w:rPr>
          <w:rFonts w:ascii="Book Antiqua" w:eastAsia="宋体" w:hAnsi="Book Antiqua" w:cs="宋体"/>
          <w:sz w:val="24"/>
          <w:szCs w:val="24"/>
          <w:lang w:val="en-US" w:eastAsia="zh-CN"/>
        </w:rPr>
        <w:t xml:space="preserve">, Hildner K, Ise W, Lee WL, Smith WA, Solomon B, Sahota G, Sim J, Mukasa R, Cemerski S, Hatton RD, Stormo GD, Weaver CT, Russell JH, Murphy TL, </w:t>
      </w:r>
      <w:r w:rsidRPr="00E25DFD">
        <w:rPr>
          <w:rFonts w:ascii="Book Antiqua" w:eastAsia="宋体" w:hAnsi="Book Antiqua" w:cs="宋体"/>
          <w:sz w:val="24"/>
          <w:szCs w:val="24"/>
          <w:lang w:val="en-US" w:eastAsia="zh-CN"/>
        </w:rPr>
        <w:lastRenderedPageBreak/>
        <w:t xml:space="preserve">Murphy KM. The AP-1 transcription factor Batf controls T(H)17 differentiation. </w:t>
      </w:r>
      <w:r w:rsidRPr="00E25DFD">
        <w:rPr>
          <w:rFonts w:ascii="Book Antiqua" w:eastAsia="宋体" w:hAnsi="Book Antiqua" w:cs="宋体"/>
          <w:i/>
          <w:iCs/>
          <w:sz w:val="24"/>
          <w:szCs w:val="24"/>
          <w:lang w:val="en-US" w:eastAsia="zh-CN"/>
        </w:rPr>
        <w:t>Nature</w:t>
      </w:r>
      <w:r w:rsidRPr="00E25DFD">
        <w:rPr>
          <w:rFonts w:ascii="Book Antiqua" w:eastAsia="宋体" w:hAnsi="Book Antiqua" w:cs="宋体"/>
          <w:sz w:val="24"/>
          <w:szCs w:val="24"/>
          <w:lang w:val="en-US" w:eastAsia="zh-CN"/>
        </w:rPr>
        <w:t xml:space="preserve"> 2009; </w:t>
      </w:r>
      <w:r w:rsidRPr="00E25DFD">
        <w:rPr>
          <w:rFonts w:ascii="Book Antiqua" w:eastAsia="宋体" w:hAnsi="Book Antiqua" w:cs="宋体"/>
          <w:b/>
          <w:bCs/>
          <w:sz w:val="24"/>
          <w:szCs w:val="24"/>
          <w:lang w:val="en-US" w:eastAsia="zh-CN"/>
        </w:rPr>
        <w:t>460</w:t>
      </w:r>
      <w:r w:rsidRPr="00E25DFD">
        <w:rPr>
          <w:rFonts w:ascii="Book Antiqua" w:eastAsia="宋体" w:hAnsi="Book Antiqua" w:cs="宋体"/>
          <w:sz w:val="24"/>
          <w:szCs w:val="24"/>
          <w:lang w:val="en-US" w:eastAsia="zh-CN"/>
        </w:rPr>
        <w:t>: 405-409 [PMID: 19578362 DOI: 10.1038/nature08114]</w:t>
      </w:r>
    </w:p>
    <w:p w14:paraId="11790056" w14:textId="77777777" w:rsidR="00542439" w:rsidRPr="00164D69" w:rsidRDefault="00542439" w:rsidP="00542439">
      <w:pPr>
        <w:wordWrap w:val="0"/>
        <w:spacing w:line="360" w:lineRule="auto"/>
        <w:ind w:left="361" w:hangingChars="150" w:hanging="361"/>
        <w:jc w:val="right"/>
        <w:rPr>
          <w:rFonts w:ascii="Book Antiqua" w:hAnsi="Book Antiqua"/>
          <w:sz w:val="24"/>
        </w:rPr>
      </w:pPr>
      <w:bookmarkStart w:id="190" w:name="OLE_LINK51"/>
      <w:bookmarkStart w:id="191" w:name="OLE_LINK52"/>
      <w:bookmarkStart w:id="192" w:name="OLE_LINK75"/>
      <w:bookmarkStart w:id="193" w:name="OLE_LINK120"/>
      <w:bookmarkStart w:id="194" w:name="OLE_LINK148"/>
      <w:bookmarkStart w:id="195" w:name="OLE_LINK72"/>
      <w:bookmarkStart w:id="196" w:name="OLE_LINK112"/>
      <w:bookmarkStart w:id="197" w:name="OLE_LINK320"/>
      <w:bookmarkStart w:id="198" w:name="OLE_LINK387"/>
      <w:bookmarkStart w:id="199" w:name="OLE_LINK183"/>
      <w:bookmarkStart w:id="200" w:name="OLE_LINK254"/>
      <w:bookmarkStart w:id="201" w:name="OLE_LINK149"/>
      <w:bookmarkStart w:id="202" w:name="OLE_LINK225"/>
      <w:bookmarkStart w:id="203" w:name="OLE_LINK207"/>
      <w:bookmarkStart w:id="204" w:name="OLE_LINK226"/>
      <w:bookmarkStart w:id="205" w:name="OLE_LINK212"/>
      <w:bookmarkStart w:id="206" w:name="OLE_LINK250"/>
      <w:bookmarkStart w:id="207" w:name="OLE_LINK281"/>
      <w:bookmarkStart w:id="208" w:name="OLE_LINK240"/>
      <w:bookmarkStart w:id="209" w:name="OLE_LINK313"/>
      <w:bookmarkStart w:id="210" w:name="OLE_LINK304"/>
      <w:bookmarkStart w:id="211" w:name="OLE_LINK321"/>
      <w:bookmarkStart w:id="212" w:name="OLE_LINK385"/>
      <w:bookmarkStart w:id="213" w:name="OLE_LINK400"/>
      <w:bookmarkStart w:id="214" w:name="OLE_LINK346"/>
      <w:bookmarkStart w:id="215" w:name="OLE_LINK371"/>
      <w:bookmarkStart w:id="216" w:name="OLE_LINK334"/>
      <w:bookmarkStart w:id="217" w:name="OLE_LINK1830"/>
      <w:bookmarkStart w:id="218" w:name="OLE_LINK457"/>
      <w:bookmarkStart w:id="219" w:name="OLE_LINK288"/>
      <w:bookmarkStart w:id="220" w:name="OLE_LINK384"/>
      <w:bookmarkStart w:id="221" w:name="OLE_LINK379"/>
      <w:bookmarkStart w:id="222" w:name="OLE_LINK303"/>
      <w:bookmarkStart w:id="223" w:name="OLE_LINK450"/>
      <w:bookmarkStart w:id="224" w:name="OLE_LINK489"/>
      <w:bookmarkStart w:id="225" w:name="OLE_LINK535"/>
      <w:bookmarkStart w:id="226" w:name="OLE_LINK648"/>
      <w:bookmarkStart w:id="227" w:name="OLE_LINK686"/>
      <w:bookmarkStart w:id="228" w:name="OLE_LINK430"/>
      <w:bookmarkStart w:id="229" w:name="OLE_LINK471"/>
      <w:bookmarkStart w:id="230" w:name="OLE_LINK462"/>
      <w:bookmarkStart w:id="231" w:name="OLE_LINK519"/>
      <w:bookmarkStart w:id="232" w:name="OLE_LINK575"/>
      <w:bookmarkStart w:id="233" w:name="OLE_LINK491"/>
      <w:bookmarkStart w:id="234" w:name="OLE_LINK532"/>
      <w:bookmarkStart w:id="235" w:name="OLE_LINK572"/>
      <w:bookmarkStart w:id="236" w:name="OLE_LINK574"/>
      <w:bookmarkStart w:id="237" w:name="OLE_LINK480"/>
      <w:bookmarkStart w:id="238" w:name="OLE_LINK567"/>
      <w:bookmarkStart w:id="239" w:name="OLE_LINK2700"/>
      <w:bookmarkStart w:id="240" w:name="OLE_LINK581"/>
      <w:bookmarkStart w:id="241" w:name="OLE_LINK639"/>
      <w:bookmarkStart w:id="242" w:name="OLE_LINK688"/>
      <w:bookmarkStart w:id="243" w:name="OLE_LINK722"/>
      <w:bookmarkStart w:id="244" w:name="OLE_LINK542"/>
      <w:bookmarkStart w:id="245" w:name="OLE_LINK589"/>
      <w:bookmarkStart w:id="246" w:name="OLE_LINK582"/>
      <w:bookmarkStart w:id="247" w:name="OLE_LINK640"/>
      <w:bookmarkStart w:id="248" w:name="OLE_LINK714"/>
      <w:bookmarkStart w:id="249" w:name="OLE_LINK716"/>
      <w:bookmarkStart w:id="250" w:name="OLE_LINK770"/>
      <w:bookmarkStart w:id="251" w:name="OLE_LINK801"/>
      <w:bookmarkStart w:id="252" w:name="OLE_LINK660"/>
      <w:bookmarkStart w:id="253" w:name="OLE_LINK739"/>
      <w:bookmarkStart w:id="254" w:name="OLE_LINK781"/>
      <w:bookmarkStart w:id="255" w:name="OLE_LINK833"/>
      <w:bookmarkStart w:id="256" w:name="OLE_LINK642"/>
      <w:bookmarkStart w:id="257" w:name="OLE_LINK718"/>
      <w:bookmarkStart w:id="258" w:name="OLE_LINK700"/>
      <w:bookmarkStart w:id="259" w:name="OLE_LINK792"/>
      <w:bookmarkStart w:id="260" w:name="OLE_LINK2882"/>
      <w:bookmarkStart w:id="261" w:name="OLE_LINK836"/>
      <w:bookmarkStart w:id="262" w:name="OLE_LINK889"/>
      <w:bookmarkStart w:id="263" w:name="OLE_LINK782"/>
      <w:bookmarkStart w:id="264" w:name="OLE_LINK826"/>
      <w:bookmarkStart w:id="265" w:name="OLE_LINK865"/>
      <w:bookmarkStart w:id="266" w:name="OLE_LINK2898"/>
      <w:bookmarkStart w:id="267" w:name="OLE_LINK856"/>
      <w:bookmarkStart w:id="268" w:name="OLE_LINK908"/>
      <w:bookmarkStart w:id="269" w:name="OLE_LINK980"/>
      <w:bookmarkStart w:id="270" w:name="OLE_LINK1018"/>
      <w:bookmarkStart w:id="271" w:name="OLE_LINK1076"/>
      <w:bookmarkStart w:id="272" w:name="OLE_LINK1106"/>
      <w:bookmarkStart w:id="273" w:name="OLE_LINK891"/>
      <w:bookmarkStart w:id="274" w:name="OLE_LINK943"/>
      <w:bookmarkStart w:id="275" w:name="OLE_LINK981"/>
      <w:bookmarkStart w:id="276" w:name="OLE_LINK1030"/>
      <w:bookmarkStart w:id="277" w:name="OLE_LINK847"/>
      <w:bookmarkStart w:id="278" w:name="OLE_LINK909"/>
      <w:bookmarkStart w:id="279" w:name="OLE_LINK898"/>
      <w:bookmarkStart w:id="280" w:name="OLE_LINK906"/>
      <w:bookmarkStart w:id="281" w:name="OLE_LINK992"/>
      <w:bookmarkStart w:id="282" w:name="OLE_LINK993"/>
      <w:bookmarkStart w:id="283" w:name="OLE_LINK1052"/>
      <w:bookmarkStart w:id="284" w:name="OLE_LINK946"/>
      <w:bookmarkStart w:id="285" w:name="OLE_LINK911"/>
      <w:bookmarkStart w:id="286" w:name="OLE_LINK930"/>
      <w:bookmarkStart w:id="287" w:name="OLE_LINK1059"/>
      <w:bookmarkStart w:id="288" w:name="OLE_LINK1174"/>
      <w:bookmarkStart w:id="289" w:name="OLE_LINK1137"/>
      <w:bookmarkStart w:id="290" w:name="OLE_LINK1167"/>
      <w:bookmarkStart w:id="291" w:name="OLE_LINK1200"/>
      <w:bookmarkStart w:id="292" w:name="OLE_LINK1241"/>
      <w:bookmarkStart w:id="293" w:name="OLE_LINK1288"/>
      <w:bookmarkStart w:id="294" w:name="OLE_LINK1056"/>
      <w:bookmarkStart w:id="295" w:name="OLE_LINK1158"/>
      <w:bookmarkStart w:id="296" w:name="OLE_LINK1074"/>
      <w:bookmarkStart w:id="297" w:name="OLE_LINK1169"/>
      <w:bookmarkStart w:id="298" w:name="OLE_LINK1060"/>
      <w:bookmarkStart w:id="299" w:name="OLE_LINK1185"/>
      <w:bookmarkStart w:id="300" w:name="OLE_LINK1172"/>
      <w:bookmarkStart w:id="301" w:name="OLE_LINK1176"/>
      <w:bookmarkStart w:id="302" w:name="OLE_LINK1348"/>
      <w:bookmarkStart w:id="303" w:name="OLE_LINK1373"/>
      <w:bookmarkStart w:id="304" w:name="OLE_LINK1410"/>
      <w:bookmarkStart w:id="305" w:name="OLE_LINK1448"/>
      <w:bookmarkStart w:id="306" w:name="OLE_LINK1492"/>
      <w:bookmarkStart w:id="307" w:name="OLE_LINK1530"/>
      <w:bookmarkStart w:id="308" w:name="OLE_LINK1585"/>
      <w:bookmarkStart w:id="309" w:name="OLE_LINK1622"/>
      <w:bookmarkStart w:id="310" w:name="OLE_LINK1661"/>
      <w:bookmarkStart w:id="311" w:name="OLE_LINK1691"/>
      <w:bookmarkStart w:id="312" w:name="OLE_LINK1343"/>
      <w:bookmarkStart w:id="313" w:name="OLE_LINK1462"/>
      <w:bookmarkStart w:id="314" w:name="OLE_LINK1531"/>
      <w:bookmarkStart w:id="315" w:name="OLE_LINK1344"/>
      <w:bookmarkStart w:id="316" w:name="OLE_LINK1384"/>
      <w:bookmarkStart w:id="317" w:name="OLE_LINK1457"/>
      <w:bookmarkStart w:id="318" w:name="OLE_LINK1591"/>
      <w:bookmarkStart w:id="319" w:name="OLE_LINK1370"/>
      <w:bookmarkStart w:id="320" w:name="OLE_LINK1443"/>
      <w:bookmarkStart w:id="321" w:name="OLE_LINK1472"/>
      <w:bookmarkStart w:id="322" w:name="OLE_LINK1503"/>
      <w:bookmarkStart w:id="323" w:name="OLE_LINK1390"/>
      <w:bookmarkStart w:id="324" w:name="OLE_LINK1490"/>
      <w:bookmarkStart w:id="325" w:name="OLE_LINK1576"/>
      <w:bookmarkStart w:id="326" w:name="OLE_LINK1618"/>
      <w:bookmarkStart w:id="327" w:name="OLE_LINK1650"/>
      <w:bookmarkStart w:id="328" w:name="OLE_LINK1721"/>
      <w:bookmarkStart w:id="329" w:name="OLE_LINK1565"/>
      <w:bookmarkStart w:id="330" w:name="OLE_LINK1619"/>
      <w:bookmarkStart w:id="331" w:name="OLE_LINK1671"/>
      <w:bookmarkStart w:id="332" w:name="OLE_LINK1716"/>
      <w:bookmarkStart w:id="333" w:name="OLE_LINK1761"/>
      <w:bookmarkStart w:id="334" w:name="OLE_LINK1586"/>
      <w:bookmarkStart w:id="335" w:name="OLE_LINK1593"/>
      <w:bookmarkStart w:id="336" w:name="OLE_LINK1630"/>
      <w:bookmarkStart w:id="337" w:name="OLE_LINK1699"/>
      <w:bookmarkStart w:id="338" w:name="OLE_LINK1736"/>
      <w:bookmarkStart w:id="339" w:name="OLE_LINK1792"/>
      <w:bookmarkStart w:id="340" w:name="OLE_LINK1825"/>
      <w:bookmarkStart w:id="341" w:name="OLE_LINK1865"/>
      <w:bookmarkStart w:id="342" w:name="OLE_LINK1692"/>
      <w:bookmarkStart w:id="343" w:name="OLE_LINK1808"/>
      <w:bookmarkStart w:id="344" w:name="OLE_LINK1859"/>
      <w:bookmarkStart w:id="345" w:name="OLE_LINK1901"/>
      <w:bookmarkStart w:id="346" w:name="OLE_LINK1939"/>
      <w:bookmarkStart w:id="347" w:name="OLE_LINK1977"/>
      <w:bookmarkStart w:id="348" w:name="OLE_LINK1841"/>
      <w:bookmarkStart w:id="349" w:name="OLE_LINK1879"/>
      <w:bookmarkStart w:id="350" w:name="OLE_LINK1916"/>
      <w:bookmarkStart w:id="351" w:name="OLE_LINK1960"/>
      <w:bookmarkStart w:id="352" w:name="OLE_LINK1834"/>
      <w:bookmarkStart w:id="353" w:name="OLE_LINK2027"/>
      <w:bookmarkStart w:id="354" w:name="OLE_LINK2056"/>
      <w:bookmarkStart w:id="355" w:name="OLE_LINK1870"/>
      <w:bookmarkStart w:id="356" w:name="OLE_LINK1883"/>
      <w:bookmarkStart w:id="357" w:name="OLE_LINK1890"/>
      <w:bookmarkStart w:id="358" w:name="OLE_LINK1922"/>
      <w:bookmarkStart w:id="359" w:name="OLE_LINK1943"/>
      <w:bookmarkStart w:id="360" w:name="OLE_LINK1970"/>
      <w:bookmarkStart w:id="361" w:name="OLE_LINK1983"/>
      <w:bookmarkStart w:id="362" w:name="OLE_LINK2031"/>
      <w:bookmarkStart w:id="363" w:name="OLE_LINK2066"/>
      <w:bookmarkStart w:id="364" w:name="OLE_LINK2094"/>
      <w:bookmarkStart w:id="365" w:name="OLE_LINK2136"/>
      <w:bookmarkStart w:id="366" w:name="OLE_LINK2192"/>
      <w:bookmarkStart w:id="367" w:name="OLE_LINK1984"/>
      <w:bookmarkStart w:id="368" w:name="OLE_LINK2040"/>
      <w:bookmarkStart w:id="369" w:name="OLE_LINK2087"/>
      <w:bookmarkStart w:id="370" w:name="OLE_LINK2131"/>
      <w:bookmarkStart w:id="371" w:name="OLE_LINK2167"/>
      <w:bookmarkStart w:id="372" w:name="OLE_LINK2211"/>
      <w:bookmarkStart w:id="373" w:name="OLE_LINK2265"/>
      <w:bookmarkStart w:id="374" w:name="OLE_LINK2274"/>
      <w:bookmarkStart w:id="375" w:name="OLE_LINK2071"/>
      <w:bookmarkStart w:id="376" w:name="OLE_LINK3320"/>
      <w:bookmarkStart w:id="377" w:name="OLE_LINK3374"/>
      <w:bookmarkStart w:id="378" w:name="OLE_LINK3410"/>
      <w:bookmarkStart w:id="379" w:name="OLE_LINK1997"/>
      <w:bookmarkStart w:id="380" w:name="OLE_LINK2043"/>
      <w:r w:rsidRPr="00164D69">
        <w:rPr>
          <w:rFonts w:ascii="Book Antiqua" w:hAnsi="Book Antiqua"/>
          <w:b/>
          <w:bCs/>
          <w:sz w:val="24"/>
        </w:rPr>
        <w:t xml:space="preserve">P-Reviewer: </w:t>
      </w:r>
      <w:r w:rsidRPr="00164D69">
        <w:rPr>
          <w:rFonts w:ascii="Book Antiqua" w:hAnsi="Book Antiqua"/>
          <w:bCs/>
          <w:sz w:val="24"/>
        </w:rPr>
        <w:t>Gardlik</w:t>
      </w:r>
      <w:r w:rsidRPr="00164D69">
        <w:rPr>
          <w:rFonts w:ascii="Book Antiqua" w:eastAsia="宋体" w:hAnsi="Book Antiqua" w:hint="eastAsia"/>
          <w:bCs/>
          <w:sz w:val="24"/>
          <w:lang w:eastAsia="zh-CN"/>
        </w:rPr>
        <w:t xml:space="preserve"> </w:t>
      </w:r>
      <w:r w:rsidRPr="00164D69">
        <w:rPr>
          <w:rFonts w:ascii="Book Antiqua" w:hAnsi="Book Antiqua"/>
          <w:bCs/>
          <w:sz w:val="24"/>
        </w:rPr>
        <w:t>R</w:t>
      </w:r>
      <w:r w:rsidRPr="00164D69">
        <w:rPr>
          <w:rFonts w:ascii="Book Antiqua" w:eastAsia="宋体" w:hAnsi="Book Antiqua" w:hint="eastAsia"/>
          <w:bCs/>
          <w:sz w:val="24"/>
          <w:lang w:eastAsia="zh-CN"/>
        </w:rPr>
        <w:t>,</w:t>
      </w:r>
      <w:r w:rsidRPr="00164D69">
        <w:rPr>
          <w:rFonts w:ascii="Book Antiqua" w:hAnsi="Book Antiqua"/>
          <w:bCs/>
          <w:sz w:val="24"/>
        </w:rPr>
        <w:t xml:space="preserve"> Kuo</w:t>
      </w:r>
      <w:r w:rsidRPr="00164D69">
        <w:rPr>
          <w:rFonts w:ascii="Book Antiqua" w:eastAsia="宋体" w:hAnsi="Book Antiqua" w:hint="eastAsia"/>
          <w:bCs/>
          <w:sz w:val="24"/>
          <w:lang w:eastAsia="zh-CN"/>
        </w:rPr>
        <w:t xml:space="preserve"> SM</w:t>
      </w:r>
      <w:r w:rsidRPr="00164D69">
        <w:rPr>
          <w:rFonts w:ascii="Book Antiqua" w:eastAsia="宋体" w:hAnsi="Book Antiqua" w:hint="eastAsia"/>
          <w:b/>
          <w:bCs/>
          <w:sz w:val="24"/>
          <w:lang w:eastAsia="zh-CN"/>
        </w:rPr>
        <w:t xml:space="preserve"> </w:t>
      </w:r>
      <w:r w:rsidRPr="00164D69">
        <w:rPr>
          <w:rFonts w:ascii="Book Antiqua" w:hAnsi="Book Antiqua"/>
          <w:b/>
          <w:bCs/>
          <w:sz w:val="24"/>
        </w:rPr>
        <w:t>S-Editor:</w:t>
      </w:r>
      <w:r w:rsidRPr="00164D69">
        <w:rPr>
          <w:rFonts w:ascii="Book Antiqua" w:hAnsi="Book Antiqua"/>
          <w:sz w:val="24"/>
        </w:rPr>
        <w:t xml:space="preserve"> </w:t>
      </w:r>
      <w:r w:rsidRPr="00164D69">
        <w:rPr>
          <w:rFonts w:ascii="Book Antiqua" w:hAnsi="Book Antiqua" w:hint="eastAsia"/>
          <w:sz w:val="24"/>
        </w:rPr>
        <w:t>Yu J</w:t>
      </w:r>
      <w:r w:rsidRPr="00164D69">
        <w:rPr>
          <w:rFonts w:ascii="Book Antiqua" w:hAnsi="Book Antiqua"/>
          <w:sz w:val="24"/>
        </w:rPr>
        <w:t xml:space="preserve"> </w:t>
      </w:r>
      <w:r w:rsidRPr="00164D69">
        <w:rPr>
          <w:rFonts w:ascii="Book Antiqua" w:hAnsi="Book Antiqua"/>
          <w:b/>
          <w:bCs/>
          <w:sz w:val="24"/>
        </w:rPr>
        <w:t>L-Editor:</w:t>
      </w:r>
      <w:r w:rsidRPr="00164D69">
        <w:rPr>
          <w:rFonts w:ascii="Book Antiqua" w:hAnsi="Book Antiqua"/>
          <w:sz w:val="24"/>
        </w:rPr>
        <w:t xml:space="preserve"> </w:t>
      </w:r>
      <w:r w:rsidRPr="00164D69">
        <w:rPr>
          <w:rFonts w:ascii="Book Antiqua" w:hAnsi="Book Antiqua"/>
          <w:b/>
          <w:bCs/>
          <w:sz w:val="24"/>
        </w:rPr>
        <w:t>E-Editor:</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14:paraId="4C3437D3" w14:textId="77777777" w:rsidR="00542439" w:rsidRPr="00E25DFD" w:rsidRDefault="00542439" w:rsidP="00E25DFD">
      <w:pPr>
        <w:spacing w:after="0" w:line="360" w:lineRule="auto"/>
        <w:jc w:val="both"/>
        <w:rPr>
          <w:rFonts w:ascii="Book Antiqua" w:eastAsia="宋体" w:hAnsi="Book Antiqua" w:cs="宋体"/>
          <w:sz w:val="24"/>
          <w:szCs w:val="24"/>
          <w:lang w:eastAsia="zh-CN"/>
        </w:rPr>
      </w:pPr>
    </w:p>
    <w:p w14:paraId="2E447D9D" w14:textId="7829FAC6" w:rsidR="00211A64" w:rsidRPr="00164D69" w:rsidRDefault="00211A64" w:rsidP="00211A64">
      <w:pPr>
        <w:adjustRightInd w:val="0"/>
        <w:snapToGrid w:val="0"/>
        <w:spacing w:after="0" w:line="360" w:lineRule="auto"/>
        <w:jc w:val="both"/>
        <w:rPr>
          <w:rFonts w:ascii="Book Antiqua" w:hAnsi="Book Antiqua"/>
          <w:bCs/>
          <w:sz w:val="24"/>
          <w:szCs w:val="24"/>
          <w:shd w:val="clear" w:color="auto" w:fill="FFFFFF"/>
        </w:rPr>
      </w:pPr>
      <w:r w:rsidRPr="00164D69">
        <w:rPr>
          <w:rFonts w:ascii="Book Antiqua" w:hAnsi="Book Antiqua"/>
          <w:b/>
          <w:sz w:val="24"/>
          <w:szCs w:val="24"/>
          <w:lang w:val="en-US"/>
        </w:rPr>
        <w:br w:type="page"/>
      </w:r>
      <w:r w:rsidRPr="00164D69">
        <w:rPr>
          <w:rFonts w:ascii="Book Antiqua" w:hAnsi="Book Antiqua"/>
          <w:bCs/>
          <w:noProof/>
          <w:sz w:val="24"/>
          <w:szCs w:val="24"/>
          <w:shd w:val="clear" w:color="auto" w:fill="FFFFFF"/>
          <w:lang w:val="en-US" w:eastAsia="zh-CN"/>
        </w:rPr>
        <w:lastRenderedPageBreak/>
        <w:drawing>
          <wp:inline distT="0" distB="0" distL="0" distR="0" wp14:anchorId="7EFA295F" wp14:editId="5E121593">
            <wp:extent cx="5731510" cy="3792855"/>
            <wp:effectExtent l="0" t="0" r="2540" b="0"/>
            <wp:docPr id="3" name="Picture 1" descr="C:\Users\aueno\Desktop\WJG guideline\T cell plasticity Trial Aug4_15 - New P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eno\Desktop\WJG guideline\T cell plasticity Trial Aug4_15 - New Page-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92855"/>
                    </a:xfrm>
                    <a:prstGeom prst="rect">
                      <a:avLst/>
                    </a:prstGeom>
                    <a:noFill/>
                    <a:ln>
                      <a:noFill/>
                    </a:ln>
                  </pic:spPr>
                </pic:pic>
              </a:graphicData>
            </a:graphic>
          </wp:inline>
        </w:drawing>
      </w:r>
    </w:p>
    <w:p w14:paraId="0102B299" w14:textId="5FD43CE7" w:rsidR="00211A64" w:rsidRPr="00164D69" w:rsidRDefault="008D4422" w:rsidP="00211A64">
      <w:pPr>
        <w:adjustRightInd w:val="0"/>
        <w:snapToGrid w:val="0"/>
        <w:spacing w:after="0" w:line="360" w:lineRule="auto"/>
        <w:jc w:val="both"/>
        <w:rPr>
          <w:rFonts w:ascii="Book Antiqua" w:eastAsia="宋体" w:hAnsi="Book Antiqua"/>
          <w:bCs/>
          <w:sz w:val="24"/>
          <w:szCs w:val="24"/>
          <w:shd w:val="clear" w:color="auto" w:fill="FFFFFF"/>
          <w:lang w:eastAsia="zh-CN"/>
        </w:rPr>
      </w:pPr>
      <w:r w:rsidRPr="00164D69">
        <w:rPr>
          <w:rFonts w:ascii="Book Antiqua" w:hAnsi="Book Antiqua"/>
          <w:b/>
          <w:bCs/>
          <w:sz w:val="24"/>
          <w:szCs w:val="24"/>
          <w:shd w:val="clear" w:color="auto" w:fill="FFFFFF"/>
        </w:rPr>
        <w:t>Figure 1 The concept of Th17 plasticity.</w:t>
      </w:r>
      <w:r w:rsidRPr="00164D69">
        <w:rPr>
          <w:rFonts w:ascii="Book Antiqua" w:hAnsi="Book Antiqua"/>
          <w:bCs/>
          <w:sz w:val="24"/>
          <w:szCs w:val="24"/>
          <w:shd w:val="clear" w:color="auto" w:fill="FFFFFF"/>
        </w:rPr>
        <w:t xml:space="preserve"> The Foxp3 expressing Treg subset either develops naturally (nTreg) or is peripherally induced from naïve T cells (iTreg). Th17 generating factors including cytokines, transcription factors, and other molecular cues can induce these cells to differentiate into transitional cells with co-expression of Foxp3 and RORc. Th17 cells may be converted into Th17/1-transitional cells with co-expression of RORc and TBX21.</w:t>
      </w:r>
    </w:p>
    <w:p w14:paraId="5F8A57B8" w14:textId="77777777" w:rsidR="00211A64" w:rsidRPr="00164D69" w:rsidRDefault="00211A64" w:rsidP="00211A64">
      <w:pPr>
        <w:adjustRightInd w:val="0"/>
        <w:snapToGrid w:val="0"/>
        <w:spacing w:after="0" w:line="360" w:lineRule="auto"/>
        <w:jc w:val="both"/>
        <w:rPr>
          <w:rFonts w:ascii="Book Antiqua" w:eastAsia="宋体" w:hAnsi="Book Antiqua"/>
          <w:bCs/>
          <w:sz w:val="24"/>
          <w:szCs w:val="24"/>
          <w:shd w:val="clear" w:color="auto" w:fill="FFFFFF"/>
          <w:lang w:eastAsia="zh-CN"/>
        </w:rPr>
      </w:pPr>
    </w:p>
    <w:p w14:paraId="59541A44" w14:textId="77777777" w:rsidR="00211A64" w:rsidRPr="00164D69" w:rsidRDefault="00211A64" w:rsidP="00211A64">
      <w:pPr>
        <w:adjustRightInd w:val="0"/>
        <w:snapToGrid w:val="0"/>
        <w:spacing w:after="0" w:line="360" w:lineRule="auto"/>
        <w:jc w:val="both"/>
        <w:rPr>
          <w:rFonts w:ascii="Book Antiqua" w:eastAsia="宋体" w:hAnsi="Book Antiqua"/>
          <w:bCs/>
          <w:sz w:val="24"/>
          <w:szCs w:val="24"/>
          <w:shd w:val="clear" w:color="auto" w:fill="FFFFFF"/>
          <w:lang w:eastAsia="zh-CN"/>
        </w:rPr>
      </w:pPr>
    </w:p>
    <w:p w14:paraId="0A8081A4" w14:textId="77777777" w:rsidR="00211A64" w:rsidRPr="00164D69" w:rsidRDefault="00211A64" w:rsidP="00211A64">
      <w:pPr>
        <w:adjustRightInd w:val="0"/>
        <w:snapToGrid w:val="0"/>
        <w:spacing w:after="0" w:line="360" w:lineRule="auto"/>
        <w:jc w:val="both"/>
        <w:rPr>
          <w:rFonts w:ascii="Book Antiqua" w:hAnsi="Book Antiqua"/>
          <w:bCs/>
          <w:sz w:val="24"/>
          <w:szCs w:val="24"/>
          <w:shd w:val="clear" w:color="auto" w:fill="FFFFFF"/>
        </w:rPr>
      </w:pPr>
      <w:r w:rsidRPr="00164D69">
        <w:rPr>
          <w:rFonts w:ascii="Book Antiqua" w:hAnsi="Book Antiqua"/>
          <w:bCs/>
          <w:noProof/>
          <w:sz w:val="24"/>
          <w:szCs w:val="24"/>
          <w:shd w:val="clear" w:color="auto" w:fill="FFFFFF"/>
          <w:lang w:val="en-US" w:eastAsia="zh-CN"/>
        </w:rPr>
        <w:lastRenderedPageBreak/>
        <w:drawing>
          <wp:inline distT="0" distB="0" distL="0" distR="0" wp14:anchorId="76D2902D" wp14:editId="06F1FE25">
            <wp:extent cx="5731510" cy="4298633"/>
            <wp:effectExtent l="0" t="0" r="2540" b="6985"/>
            <wp:docPr id="4" name="Picture 2" descr="C:\Users\aueno\Desktop\WJG guidelin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eno\Desktop\WJG guideline\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403EEE64" w14:textId="7A2D3E29" w:rsidR="00211A64" w:rsidRPr="00164D69" w:rsidRDefault="008D4422" w:rsidP="008D4422">
      <w:pPr>
        <w:spacing w:after="160" w:line="360" w:lineRule="auto"/>
        <w:jc w:val="both"/>
        <w:rPr>
          <w:rFonts w:ascii="Book Antiqua" w:hAnsi="Book Antiqua"/>
          <w:sz w:val="24"/>
          <w:szCs w:val="24"/>
          <w:lang w:val="en-US"/>
        </w:rPr>
      </w:pPr>
      <w:r w:rsidRPr="00164D69">
        <w:rPr>
          <w:rFonts w:ascii="Book Antiqua" w:hAnsi="Book Antiqua"/>
          <w:b/>
          <w:sz w:val="24"/>
          <w:szCs w:val="24"/>
          <w:lang w:val="en-US"/>
        </w:rPr>
        <w:t xml:space="preserve">Figure 2 The factors influencing the plasticity between Treg and Th17 subsets. </w:t>
      </w:r>
      <w:r w:rsidRPr="00164D69">
        <w:rPr>
          <w:rFonts w:ascii="Book Antiqua" w:hAnsi="Book Antiqua"/>
          <w:sz w:val="24"/>
          <w:szCs w:val="24"/>
          <w:lang w:val="en-US"/>
        </w:rPr>
        <w:t>Cytokines and growth factors (shown in blue letters) may trigger transdifferentiation of the pre-committed Foxp3 expressing Treg population to RORc expressing cells.</w:t>
      </w:r>
      <w:r w:rsidR="00164D69" w:rsidRPr="00164D69">
        <w:rPr>
          <w:rFonts w:ascii="Book Antiqua" w:hAnsi="Book Antiqua"/>
          <w:sz w:val="24"/>
          <w:szCs w:val="24"/>
          <w:lang w:val="en-US"/>
        </w:rPr>
        <w:t xml:space="preserve"> </w:t>
      </w:r>
      <w:r w:rsidRPr="00164D69">
        <w:rPr>
          <w:rFonts w:ascii="Book Antiqua" w:hAnsi="Book Antiqua"/>
          <w:sz w:val="24"/>
          <w:szCs w:val="24"/>
          <w:lang w:val="en-US"/>
        </w:rPr>
        <w:t>Micro RNAs (miR, shown in red letters) play a pivotal role in differentially regulating Treg/Th17 plasticity. Transcription factors (aqua ovals) direct the plasticity by positively or negatively controlling Foxp3 and/or RORc expression. The aryl hydrocarbon receptor (AhR, green circle) can promote distinct differentiation pathways in response to two pathway-specific ligands (TCDD and FICZ, Green circles) resulting in either augmentation of Foxp3 or RORc, respectively.</w:t>
      </w:r>
    </w:p>
    <w:p w14:paraId="44967C87" w14:textId="77777777" w:rsidR="00211A64" w:rsidRPr="00164D69" w:rsidRDefault="00211A64">
      <w:pPr>
        <w:spacing w:after="160" w:line="259" w:lineRule="auto"/>
        <w:rPr>
          <w:rFonts w:ascii="Book Antiqua" w:hAnsi="Book Antiqua"/>
          <w:b/>
          <w:sz w:val="24"/>
          <w:szCs w:val="24"/>
          <w:lang w:val="en-US"/>
        </w:rPr>
      </w:pPr>
      <w:r w:rsidRPr="00164D69">
        <w:rPr>
          <w:rFonts w:ascii="Book Antiqua" w:hAnsi="Book Antiqua"/>
          <w:b/>
          <w:sz w:val="24"/>
          <w:szCs w:val="24"/>
          <w:lang w:val="en-US"/>
        </w:rPr>
        <w:br w:type="page"/>
      </w:r>
    </w:p>
    <w:p w14:paraId="07B03E24" w14:textId="0CAF8538" w:rsidR="00A43052" w:rsidRPr="00164D69" w:rsidRDefault="00E53E02" w:rsidP="002F6FCA">
      <w:pPr>
        <w:adjustRightInd w:val="0"/>
        <w:snapToGrid w:val="0"/>
        <w:spacing w:after="0" w:line="360" w:lineRule="auto"/>
        <w:jc w:val="both"/>
        <w:rPr>
          <w:rFonts w:ascii="Book Antiqua" w:hAnsi="Book Antiqua"/>
          <w:b/>
          <w:sz w:val="24"/>
          <w:szCs w:val="24"/>
          <w:lang w:val="en-US"/>
        </w:rPr>
      </w:pPr>
      <w:r w:rsidRPr="00164D69">
        <w:rPr>
          <w:rFonts w:ascii="Book Antiqua" w:hAnsi="Book Antiqua"/>
          <w:b/>
          <w:sz w:val="24"/>
          <w:szCs w:val="24"/>
          <w:lang w:val="en-US"/>
        </w:rPr>
        <w:lastRenderedPageBreak/>
        <w:t>Table 1</w:t>
      </w:r>
      <w:r w:rsidR="00A43052" w:rsidRPr="00164D69">
        <w:rPr>
          <w:rFonts w:ascii="Book Antiqua" w:hAnsi="Book Antiqua"/>
          <w:b/>
          <w:sz w:val="24"/>
          <w:szCs w:val="24"/>
          <w:lang w:val="en-US"/>
        </w:rPr>
        <w:t xml:space="preserve"> Cytokines related to Th17 development and plasticity in human</w:t>
      </w:r>
    </w:p>
    <w:tbl>
      <w:tblPr>
        <w:tblStyle w:val="af4"/>
        <w:tblpPr w:leftFromText="180" w:rightFromText="180" w:horzAnchor="margin" w:tblpX="60" w:tblpY="707"/>
        <w:tblW w:w="9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898"/>
        <w:gridCol w:w="1572"/>
      </w:tblGrid>
      <w:tr w:rsidR="00164D69" w:rsidRPr="00164D69" w14:paraId="2ECCF283" w14:textId="77777777" w:rsidTr="00E53E02">
        <w:tc>
          <w:tcPr>
            <w:tcW w:w="1686" w:type="dxa"/>
            <w:tcBorders>
              <w:top w:val="single" w:sz="4" w:space="0" w:color="auto"/>
              <w:bottom w:val="single" w:sz="4" w:space="0" w:color="auto"/>
            </w:tcBorders>
          </w:tcPr>
          <w:p w14:paraId="0F4C920B" w14:textId="77777777" w:rsidR="00A43052" w:rsidRPr="00164D69" w:rsidRDefault="00A43052" w:rsidP="00E53E02">
            <w:pPr>
              <w:adjustRightInd w:val="0"/>
              <w:snapToGrid w:val="0"/>
              <w:spacing w:after="0" w:line="360" w:lineRule="auto"/>
              <w:ind w:left="0"/>
              <w:rPr>
                <w:rFonts w:ascii="Book Antiqua" w:hAnsi="Book Antiqua" w:cstheme="minorHAnsi"/>
                <w:b/>
                <w:sz w:val="24"/>
                <w:szCs w:val="24"/>
              </w:rPr>
            </w:pPr>
            <w:r w:rsidRPr="00164D69">
              <w:rPr>
                <w:rFonts w:ascii="Book Antiqua" w:hAnsi="Book Antiqua" w:cstheme="minorHAnsi"/>
                <w:b/>
                <w:sz w:val="24"/>
                <w:szCs w:val="24"/>
              </w:rPr>
              <w:t>Cytokine</w:t>
            </w:r>
          </w:p>
        </w:tc>
        <w:tc>
          <w:tcPr>
            <w:tcW w:w="5898" w:type="dxa"/>
            <w:tcBorders>
              <w:top w:val="single" w:sz="4" w:space="0" w:color="auto"/>
              <w:bottom w:val="single" w:sz="4" w:space="0" w:color="auto"/>
            </w:tcBorders>
          </w:tcPr>
          <w:p w14:paraId="078B74DC" w14:textId="77777777" w:rsidR="00A43052" w:rsidRPr="00164D69" w:rsidRDefault="00A43052" w:rsidP="00E53E02">
            <w:pPr>
              <w:adjustRightInd w:val="0"/>
              <w:snapToGrid w:val="0"/>
              <w:spacing w:after="0" w:line="360" w:lineRule="auto"/>
              <w:ind w:left="0"/>
              <w:jc w:val="center"/>
              <w:rPr>
                <w:rFonts w:ascii="Book Antiqua" w:hAnsi="Book Antiqua" w:cstheme="minorHAnsi"/>
                <w:b/>
                <w:sz w:val="24"/>
                <w:szCs w:val="24"/>
              </w:rPr>
            </w:pPr>
            <w:r w:rsidRPr="00164D69">
              <w:rPr>
                <w:rFonts w:ascii="Book Antiqua" w:hAnsi="Book Antiqua" w:cstheme="minorHAnsi"/>
                <w:b/>
                <w:sz w:val="24"/>
                <w:szCs w:val="24"/>
              </w:rPr>
              <w:t>Effect</w:t>
            </w:r>
          </w:p>
        </w:tc>
        <w:tc>
          <w:tcPr>
            <w:tcW w:w="1572" w:type="dxa"/>
            <w:tcBorders>
              <w:top w:val="single" w:sz="4" w:space="0" w:color="auto"/>
              <w:bottom w:val="single" w:sz="4" w:space="0" w:color="auto"/>
            </w:tcBorders>
          </w:tcPr>
          <w:p w14:paraId="0C0ECCA1" w14:textId="77777777" w:rsidR="00A43052" w:rsidRPr="00164D69" w:rsidRDefault="00A43052" w:rsidP="00E53E02">
            <w:pPr>
              <w:adjustRightInd w:val="0"/>
              <w:snapToGrid w:val="0"/>
              <w:spacing w:after="0" w:line="360" w:lineRule="auto"/>
              <w:ind w:left="0"/>
              <w:jc w:val="center"/>
              <w:rPr>
                <w:rFonts w:ascii="Book Antiqua" w:hAnsi="Book Antiqua" w:cstheme="minorHAnsi"/>
                <w:b/>
                <w:sz w:val="24"/>
                <w:szCs w:val="24"/>
              </w:rPr>
            </w:pPr>
            <w:r w:rsidRPr="00164D69">
              <w:rPr>
                <w:rFonts w:ascii="Book Antiqua" w:hAnsi="Book Antiqua" w:cstheme="minorHAnsi"/>
                <w:b/>
                <w:sz w:val="24"/>
                <w:szCs w:val="24"/>
              </w:rPr>
              <w:t>References</w:t>
            </w:r>
          </w:p>
        </w:tc>
      </w:tr>
      <w:tr w:rsidR="00164D69" w:rsidRPr="00164D69" w14:paraId="1FC6637E" w14:textId="77777777" w:rsidTr="00E53E02">
        <w:tc>
          <w:tcPr>
            <w:tcW w:w="1686" w:type="dxa"/>
            <w:tcBorders>
              <w:top w:val="single" w:sz="4" w:space="0" w:color="auto"/>
            </w:tcBorders>
          </w:tcPr>
          <w:p w14:paraId="07806402" w14:textId="77777777" w:rsidR="00A43052" w:rsidRPr="00164D69" w:rsidRDefault="00A43052" w:rsidP="00E53E02">
            <w:pPr>
              <w:adjustRightInd w:val="0"/>
              <w:snapToGrid w:val="0"/>
              <w:spacing w:after="0" w:line="360" w:lineRule="auto"/>
              <w:ind w:left="0"/>
              <w:rPr>
                <w:rFonts w:ascii="Book Antiqua" w:hAnsi="Book Antiqua" w:cstheme="minorHAnsi"/>
                <w:sz w:val="24"/>
                <w:szCs w:val="24"/>
              </w:rPr>
            </w:pPr>
            <w:r w:rsidRPr="00164D69">
              <w:rPr>
                <w:rFonts w:ascii="Book Antiqua" w:hAnsi="Book Antiqua" w:cstheme="minorHAnsi"/>
                <w:sz w:val="24"/>
                <w:szCs w:val="24"/>
              </w:rPr>
              <w:t>IL-1β</w:t>
            </w:r>
          </w:p>
        </w:tc>
        <w:tc>
          <w:tcPr>
            <w:tcW w:w="5898" w:type="dxa"/>
            <w:tcBorders>
              <w:top w:val="single" w:sz="4" w:space="0" w:color="auto"/>
            </w:tcBorders>
          </w:tcPr>
          <w:p w14:paraId="63896117" w14:textId="35AC9F8D" w:rsidR="00673662" w:rsidRPr="00164D69" w:rsidRDefault="00A43052" w:rsidP="00E53E02">
            <w:pPr>
              <w:adjustRightInd w:val="0"/>
              <w:snapToGrid w:val="0"/>
              <w:spacing w:after="0" w:line="360" w:lineRule="auto"/>
              <w:ind w:left="0"/>
              <w:jc w:val="center"/>
              <w:rPr>
                <w:rFonts w:ascii="Book Antiqua" w:hAnsi="Book Antiqua" w:cstheme="minorHAnsi"/>
                <w:sz w:val="24"/>
                <w:szCs w:val="24"/>
              </w:rPr>
            </w:pPr>
            <w:r w:rsidRPr="00164D69">
              <w:rPr>
                <w:rFonts w:ascii="Book Antiqua" w:hAnsi="Book Antiqua" w:cstheme="minorHAnsi"/>
                <w:sz w:val="24"/>
                <w:szCs w:val="24"/>
              </w:rPr>
              <w:t>Accelerate IL-17A secretion from IL-17 secreting Innate</w:t>
            </w:r>
          </w:p>
          <w:p w14:paraId="285E8A52" w14:textId="77777777" w:rsidR="00A43052" w:rsidRPr="00164D69" w:rsidRDefault="00A43052" w:rsidP="00E53E02">
            <w:pPr>
              <w:adjustRightInd w:val="0"/>
              <w:snapToGrid w:val="0"/>
              <w:spacing w:after="0" w:line="360" w:lineRule="auto"/>
              <w:ind w:left="0"/>
              <w:jc w:val="center"/>
              <w:rPr>
                <w:rFonts w:ascii="Book Antiqua" w:hAnsi="Book Antiqua" w:cstheme="minorHAnsi"/>
                <w:sz w:val="24"/>
                <w:szCs w:val="24"/>
              </w:rPr>
            </w:pPr>
            <w:r w:rsidRPr="00164D69">
              <w:rPr>
                <w:rFonts w:ascii="Book Antiqua" w:hAnsi="Book Antiqua" w:cstheme="minorHAnsi"/>
                <w:sz w:val="24"/>
                <w:szCs w:val="24"/>
              </w:rPr>
              <w:t>Lymphoid Cells and Th17</w:t>
            </w:r>
          </w:p>
        </w:tc>
        <w:tc>
          <w:tcPr>
            <w:tcW w:w="1572" w:type="dxa"/>
            <w:tcBorders>
              <w:top w:val="single" w:sz="4" w:space="0" w:color="auto"/>
            </w:tcBorders>
          </w:tcPr>
          <w:p w14:paraId="4DED32E5" w14:textId="32C042F8" w:rsidR="00A43052" w:rsidRPr="00065EBC" w:rsidRDefault="00065EBC" w:rsidP="00E53E02">
            <w:pPr>
              <w:adjustRightInd w:val="0"/>
              <w:snapToGrid w:val="0"/>
              <w:spacing w:after="0" w:line="360" w:lineRule="auto"/>
              <w:ind w:left="0"/>
              <w:jc w:val="center"/>
              <w:rPr>
                <w:rFonts w:ascii="Book Antiqua" w:eastAsia="宋体" w:hAnsi="Book Antiqua" w:cstheme="minorHAnsi"/>
                <w:sz w:val="24"/>
                <w:szCs w:val="24"/>
                <w:lang w:eastAsia="zh-CN"/>
              </w:rPr>
            </w:pPr>
            <w:r>
              <w:rPr>
                <w:rFonts w:ascii="Book Antiqua" w:eastAsia="宋体" w:hAnsi="Book Antiqua" w:cstheme="minorHAnsi" w:hint="eastAsia"/>
                <w:sz w:val="24"/>
                <w:szCs w:val="24"/>
                <w:lang w:eastAsia="zh-CN"/>
              </w:rPr>
              <w:t>[</w:t>
            </w:r>
            <w:r w:rsidR="00A43052" w:rsidRPr="00164D69">
              <w:rPr>
                <w:rFonts w:ascii="Book Antiqua" w:hAnsi="Book Antiqua" w:cstheme="minorHAnsi"/>
                <w:sz w:val="24"/>
                <w:szCs w:val="24"/>
              </w:rPr>
              <w:fldChar w:fldCharType="begin"/>
            </w:r>
            <w:r w:rsidR="00A43052" w:rsidRPr="00164D69">
              <w:rPr>
                <w:rFonts w:ascii="Book Antiqua" w:hAnsi="Book Antiqua" w:cstheme="minorHAnsi"/>
                <w:sz w:val="24"/>
                <w:szCs w:val="24"/>
              </w:rPr>
              <w:instrText>ADDIN RW.CITE{{121 Coccia,M. 2012}}</w:instrText>
            </w:r>
            <w:r w:rsidR="00A43052" w:rsidRPr="00164D69">
              <w:rPr>
                <w:rFonts w:ascii="Book Antiqua" w:hAnsi="Book Antiqua" w:cstheme="minorHAnsi"/>
                <w:sz w:val="24"/>
                <w:szCs w:val="24"/>
              </w:rPr>
              <w:fldChar w:fldCharType="separate"/>
            </w:r>
            <w:r w:rsidR="00A43052" w:rsidRPr="00164D69">
              <w:rPr>
                <w:rFonts w:ascii="Book Antiqua" w:hAnsi="Book Antiqua" w:cs="Calibri"/>
                <w:sz w:val="24"/>
                <w:szCs w:val="24"/>
              </w:rPr>
              <w:t>69</w:t>
            </w:r>
            <w:r w:rsidR="00A43052" w:rsidRPr="00164D69">
              <w:rPr>
                <w:rFonts w:ascii="Book Antiqua" w:hAnsi="Book Antiqua" w:cstheme="minorHAnsi"/>
                <w:sz w:val="24"/>
                <w:szCs w:val="24"/>
              </w:rPr>
              <w:fldChar w:fldCharType="end"/>
            </w:r>
            <w:r>
              <w:rPr>
                <w:rFonts w:ascii="Book Antiqua" w:eastAsia="宋体" w:hAnsi="Book Antiqua" w:cstheme="minorHAnsi" w:hint="eastAsia"/>
                <w:sz w:val="24"/>
                <w:szCs w:val="24"/>
                <w:lang w:eastAsia="zh-CN"/>
              </w:rPr>
              <w:t>]</w:t>
            </w:r>
          </w:p>
        </w:tc>
      </w:tr>
      <w:tr w:rsidR="00164D69" w:rsidRPr="00164D69" w14:paraId="41B85085" w14:textId="77777777" w:rsidTr="00E53E02">
        <w:tc>
          <w:tcPr>
            <w:tcW w:w="1686" w:type="dxa"/>
          </w:tcPr>
          <w:p w14:paraId="18E3AC9F" w14:textId="77777777" w:rsidR="00A43052" w:rsidRPr="00164D69" w:rsidRDefault="00A43052" w:rsidP="00E53E02">
            <w:pPr>
              <w:adjustRightInd w:val="0"/>
              <w:snapToGrid w:val="0"/>
              <w:spacing w:after="0" w:line="360" w:lineRule="auto"/>
              <w:ind w:left="0"/>
              <w:rPr>
                <w:rFonts w:ascii="Book Antiqua" w:hAnsi="Book Antiqua" w:cstheme="minorHAnsi"/>
                <w:sz w:val="24"/>
                <w:szCs w:val="24"/>
              </w:rPr>
            </w:pPr>
            <w:r w:rsidRPr="00164D69">
              <w:rPr>
                <w:rFonts w:ascii="Book Antiqua" w:hAnsi="Book Antiqua" w:cstheme="minorHAnsi"/>
                <w:sz w:val="24"/>
                <w:szCs w:val="24"/>
              </w:rPr>
              <w:t>IL-6</w:t>
            </w:r>
          </w:p>
        </w:tc>
        <w:tc>
          <w:tcPr>
            <w:tcW w:w="5898" w:type="dxa"/>
          </w:tcPr>
          <w:p w14:paraId="71620D0D" w14:textId="3A71B479" w:rsidR="00A43052" w:rsidRPr="00164D69" w:rsidRDefault="00A43052" w:rsidP="00E53E02">
            <w:pPr>
              <w:adjustRightInd w:val="0"/>
              <w:snapToGrid w:val="0"/>
              <w:spacing w:after="0" w:line="360" w:lineRule="auto"/>
              <w:ind w:left="0"/>
              <w:jc w:val="center"/>
              <w:rPr>
                <w:rFonts w:ascii="Book Antiqua" w:hAnsi="Book Antiqua" w:cstheme="minorHAnsi"/>
                <w:sz w:val="24"/>
                <w:szCs w:val="24"/>
              </w:rPr>
            </w:pPr>
            <w:r w:rsidRPr="00164D69">
              <w:rPr>
                <w:rFonts w:ascii="Book Antiqua" w:hAnsi="Book Antiqua" w:cstheme="minorHAnsi"/>
                <w:sz w:val="24"/>
                <w:szCs w:val="24"/>
              </w:rPr>
              <w:t>Induce autocrine IL-21 and generation of Th17</w:t>
            </w:r>
          </w:p>
        </w:tc>
        <w:tc>
          <w:tcPr>
            <w:tcW w:w="1572" w:type="dxa"/>
          </w:tcPr>
          <w:p w14:paraId="599B9BE4" w14:textId="1EFE7D29" w:rsidR="00A43052" w:rsidRPr="00065EBC" w:rsidRDefault="00065EBC" w:rsidP="00E53E02">
            <w:pPr>
              <w:adjustRightInd w:val="0"/>
              <w:snapToGrid w:val="0"/>
              <w:spacing w:after="0" w:line="360" w:lineRule="auto"/>
              <w:ind w:left="0"/>
              <w:jc w:val="center"/>
              <w:rPr>
                <w:rFonts w:ascii="Book Antiqua" w:eastAsia="宋体" w:hAnsi="Book Antiqua" w:cstheme="minorHAnsi"/>
                <w:sz w:val="24"/>
                <w:szCs w:val="24"/>
                <w:lang w:eastAsia="zh-CN"/>
              </w:rPr>
            </w:pPr>
            <w:r>
              <w:rPr>
                <w:rFonts w:ascii="Book Antiqua" w:eastAsia="宋体" w:hAnsi="Book Antiqua" w:cstheme="minorHAnsi" w:hint="eastAsia"/>
                <w:sz w:val="24"/>
                <w:szCs w:val="24"/>
                <w:lang w:eastAsia="zh-CN"/>
              </w:rPr>
              <w:t>[</w:t>
            </w:r>
            <w:r w:rsidR="00A43052" w:rsidRPr="00164D69">
              <w:rPr>
                <w:rFonts w:ascii="Book Antiqua" w:hAnsi="Book Antiqua" w:cstheme="minorHAnsi"/>
                <w:sz w:val="24"/>
                <w:szCs w:val="24"/>
              </w:rPr>
              <w:fldChar w:fldCharType="begin"/>
            </w:r>
            <w:r w:rsidR="00A43052" w:rsidRPr="00164D69">
              <w:rPr>
                <w:rFonts w:ascii="Book Antiqua" w:hAnsi="Book Antiqua" w:cstheme="minorHAnsi"/>
                <w:sz w:val="24"/>
                <w:szCs w:val="24"/>
              </w:rPr>
              <w:instrText>ADDIN RW.CITE{{37 Khader,S.A. 2007}}</w:instrText>
            </w:r>
            <w:r w:rsidR="00A43052" w:rsidRPr="00164D69">
              <w:rPr>
                <w:rFonts w:ascii="Book Antiqua" w:hAnsi="Book Antiqua" w:cstheme="minorHAnsi"/>
                <w:sz w:val="24"/>
                <w:szCs w:val="24"/>
              </w:rPr>
              <w:fldChar w:fldCharType="separate"/>
            </w:r>
            <w:r w:rsidR="00A43052" w:rsidRPr="00164D69">
              <w:rPr>
                <w:rFonts w:ascii="Book Antiqua" w:hAnsi="Book Antiqua" w:cs="Calibri"/>
                <w:sz w:val="24"/>
                <w:szCs w:val="24"/>
              </w:rPr>
              <w:t>20</w:t>
            </w:r>
            <w:r w:rsidR="00A43052" w:rsidRPr="00164D69">
              <w:rPr>
                <w:rFonts w:ascii="Book Antiqua" w:hAnsi="Book Antiqua" w:cstheme="minorHAnsi"/>
                <w:sz w:val="24"/>
                <w:szCs w:val="24"/>
              </w:rPr>
              <w:fldChar w:fldCharType="end"/>
            </w:r>
            <w:r>
              <w:rPr>
                <w:rFonts w:ascii="Book Antiqua" w:eastAsia="宋体" w:hAnsi="Book Antiqua" w:cstheme="minorHAnsi" w:hint="eastAsia"/>
                <w:sz w:val="24"/>
                <w:szCs w:val="24"/>
                <w:lang w:eastAsia="zh-CN"/>
              </w:rPr>
              <w:t>]</w:t>
            </w:r>
          </w:p>
        </w:tc>
      </w:tr>
      <w:tr w:rsidR="00164D69" w:rsidRPr="00164D69" w14:paraId="2DF714CF" w14:textId="77777777" w:rsidTr="00E53E02">
        <w:tc>
          <w:tcPr>
            <w:tcW w:w="1686" w:type="dxa"/>
          </w:tcPr>
          <w:p w14:paraId="56F5DE39" w14:textId="77777777" w:rsidR="00A43052" w:rsidRPr="00164D69" w:rsidRDefault="00A43052" w:rsidP="00E53E02">
            <w:pPr>
              <w:adjustRightInd w:val="0"/>
              <w:snapToGrid w:val="0"/>
              <w:spacing w:after="0" w:line="360" w:lineRule="auto"/>
              <w:ind w:left="0"/>
              <w:rPr>
                <w:rFonts w:ascii="Book Antiqua" w:hAnsi="Book Antiqua" w:cstheme="minorHAnsi"/>
                <w:sz w:val="24"/>
                <w:szCs w:val="24"/>
              </w:rPr>
            </w:pPr>
            <w:r w:rsidRPr="00164D69">
              <w:rPr>
                <w:rFonts w:ascii="Book Antiqua" w:hAnsi="Book Antiqua" w:cstheme="minorHAnsi"/>
                <w:sz w:val="24"/>
                <w:szCs w:val="24"/>
              </w:rPr>
              <w:t>IL-10</w:t>
            </w:r>
          </w:p>
        </w:tc>
        <w:tc>
          <w:tcPr>
            <w:tcW w:w="5898" w:type="dxa"/>
          </w:tcPr>
          <w:p w14:paraId="315B1DBB" w14:textId="37254E0A" w:rsidR="00A43052" w:rsidRPr="00164D69" w:rsidRDefault="00A43052" w:rsidP="00E53E02">
            <w:pPr>
              <w:adjustRightInd w:val="0"/>
              <w:snapToGrid w:val="0"/>
              <w:spacing w:after="0" w:line="360" w:lineRule="auto"/>
              <w:ind w:left="0"/>
              <w:jc w:val="center"/>
              <w:rPr>
                <w:rFonts w:ascii="Book Antiqua" w:hAnsi="Book Antiqua" w:cstheme="minorHAnsi"/>
                <w:sz w:val="24"/>
                <w:szCs w:val="24"/>
              </w:rPr>
            </w:pPr>
            <w:r w:rsidRPr="00164D69">
              <w:rPr>
                <w:rFonts w:ascii="Book Antiqua" w:hAnsi="Book Antiqua" w:cstheme="minorHAnsi"/>
                <w:sz w:val="24"/>
                <w:szCs w:val="24"/>
              </w:rPr>
              <w:t>Suppress IL-17A and Th17 generation</w:t>
            </w:r>
          </w:p>
        </w:tc>
        <w:tc>
          <w:tcPr>
            <w:tcW w:w="1572" w:type="dxa"/>
          </w:tcPr>
          <w:p w14:paraId="0F904D6D" w14:textId="241446A8" w:rsidR="00A43052" w:rsidRPr="00065EBC" w:rsidRDefault="00065EBC" w:rsidP="00E53E02">
            <w:pPr>
              <w:adjustRightInd w:val="0"/>
              <w:snapToGrid w:val="0"/>
              <w:spacing w:after="0" w:line="360" w:lineRule="auto"/>
              <w:ind w:left="0"/>
              <w:jc w:val="center"/>
              <w:rPr>
                <w:rFonts w:ascii="Book Antiqua" w:eastAsia="宋体" w:hAnsi="Book Antiqua" w:cstheme="minorHAnsi"/>
                <w:sz w:val="24"/>
                <w:szCs w:val="24"/>
                <w:lang w:eastAsia="zh-CN"/>
              </w:rPr>
            </w:pPr>
            <w:r>
              <w:rPr>
                <w:rFonts w:ascii="Book Antiqua" w:eastAsia="宋体" w:hAnsi="Book Antiqua" w:cstheme="minorHAnsi" w:hint="eastAsia"/>
                <w:sz w:val="24"/>
                <w:szCs w:val="24"/>
                <w:lang w:eastAsia="zh-CN"/>
              </w:rPr>
              <w:t>[</w:t>
            </w:r>
            <w:r w:rsidR="00A43052" w:rsidRPr="00164D69">
              <w:rPr>
                <w:rFonts w:ascii="Book Antiqua" w:hAnsi="Book Antiqua" w:cstheme="minorHAnsi"/>
                <w:sz w:val="24"/>
                <w:szCs w:val="24"/>
              </w:rPr>
              <w:fldChar w:fldCharType="begin"/>
            </w:r>
            <w:r w:rsidR="00A43052" w:rsidRPr="00164D69">
              <w:rPr>
                <w:rFonts w:ascii="Book Antiqua" w:hAnsi="Book Antiqua" w:cstheme="minorHAnsi"/>
                <w:sz w:val="24"/>
                <w:szCs w:val="24"/>
              </w:rPr>
              <w:instrText>ADDIN RW.CITE{{114 Zhang,L. 2011}}</w:instrText>
            </w:r>
            <w:r w:rsidR="00A43052" w:rsidRPr="00164D69">
              <w:rPr>
                <w:rFonts w:ascii="Book Antiqua" w:hAnsi="Book Antiqua" w:cstheme="minorHAnsi"/>
                <w:sz w:val="24"/>
                <w:szCs w:val="24"/>
              </w:rPr>
              <w:fldChar w:fldCharType="separate"/>
            </w:r>
            <w:r w:rsidR="00A43052" w:rsidRPr="00164D69">
              <w:rPr>
                <w:rFonts w:ascii="Book Antiqua" w:hAnsi="Book Antiqua" w:cs="Calibri"/>
                <w:sz w:val="24"/>
                <w:szCs w:val="24"/>
              </w:rPr>
              <w:t>62</w:t>
            </w:r>
            <w:r w:rsidR="00A43052" w:rsidRPr="00164D69">
              <w:rPr>
                <w:rFonts w:ascii="Book Antiqua" w:hAnsi="Book Antiqua" w:cstheme="minorHAnsi"/>
                <w:sz w:val="24"/>
                <w:szCs w:val="24"/>
              </w:rPr>
              <w:fldChar w:fldCharType="end"/>
            </w:r>
            <w:r>
              <w:rPr>
                <w:rFonts w:ascii="Book Antiqua" w:eastAsia="宋体" w:hAnsi="Book Antiqua" w:cstheme="minorHAnsi" w:hint="eastAsia"/>
                <w:sz w:val="24"/>
                <w:szCs w:val="24"/>
                <w:lang w:eastAsia="zh-CN"/>
              </w:rPr>
              <w:t>]</w:t>
            </w:r>
          </w:p>
        </w:tc>
      </w:tr>
      <w:tr w:rsidR="00164D69" w:rsidRPr="00164D69" w14:paraId="15C7D755" w14:textId="77777777" w:rsidTr="00E53E02">
        <w:tc>
          <w:tcPr>
            <w:tcW w:w="1686" w:type="dxa"/>
          </w:tcPr>
          <w:p w14:paraId="7AE6043D" w14:textId="77777777" w:rsidR="00A43052" w:rsidRPr="00164D69" w:rsidRDefault="00A43052" w:rsidP="00E53E02">
            <w:pPr>
              <w:adjustRightInd w:val="0"/>
              <w:snapToGrid w:val="0"/>
              <w:spacing w:after="0" w:line="360" w:lineRule="auto"/>
              <w:ind w:left="0"/>
              <w:rPr>
                <w:rFonts w:ascii="Book Antiqua" w:hAnsi="Book Antiqua" w:cstheme="minorHAnsi"/>
                <w:sz w:val="24"/>
                <w:szCs w:val="24"/>
              </w:rPr>
            </w:pPr>
            <w:r w:rsidRPr="00164D69">
              <w:rPr>
                <w:rFonts w:ascii="Book Antiqua" w:hAnsi="Book Antiqua" w:cstheme="minorHAnsi"/>
                <w:sz w:val="24"/>
                <w:szCs w:val="24"/>
              </w:rPr>
              <w:t>IL-12</w:t>
            </w:r>
          </w:p>
        </w:tc>
        <w:tc>
          <w:tcPr>
            <w:tcW w:w="5898" w:type="dxa"/>
          </w:tcPr>
          <w:p w14:paraId="653D9D75" w14:textId="2D2FA56F" w:rsidR="00A43052" w:rsidRPr="00164D69" w:rsidRDefault="00A43052" w:rsidP="00E53E02">
            <w:pPr>
              <w:adjustRightInd w:val="0"/>
              <w:snapToGrid w:val="0"/>
              <w:spacing w:after="0" w:line="360" w:lineRule="auto"/>
              <w:ind w:left="0"/>
              <w:jc w:val="center"/>
              <w:rPr>
                <w:rFonts w:ascii="Book Antiqua" w:hAnsi="Book Antiqua" w:cstheme="minorHAnsi"/>
                <w:sz w:val="24"/>
                <w:szCs w:val="24"/>
              </w:rPr>
            </w:pPr>
            <w:r w:rsidRPr="00164D69">
              <w:rPr>
                <w:rFonts w:ascii="Book Antiqua" w:hAnsi="Book Antiqua" w:cstheme="minorHAnsi"/>
                <w:sz w:val="24"/>
                <w:szCs w:val="24"/>
              </w:rPr>
              <w:t>Induce IFN-γ secretion from Th17 cells (Th1/Th17 plasticity)</w:t>
            </w:r>
          </w:p>
        </w:tc>
        <w:tc>
          <w:tcPr>
            <w:tcW w:w="1572" w:type="dxa"/>
          </w:tcPr>
          <w:p w14:paraId="07CE70BE" w14:textId="38E75211" w:rsidR="00A43052" w:rsidRPr="00065EBC" w:rsidRDefault="00065EBC" w:rsidP="00E53E02">
            <w:pPr>
              <w:adjustRightInd w:val="0"/>
              <w:snapToGrid w:val="0"/>
              <w:spacing w:after="0" w:line="360" w:lineRule="auto"/>
              <w:ind w:left="0"/>
              <w:jc w:val="center"/>
              <w:rPr>
                <w:rFonts w:ascii="Book Antiqua" w:eastAsia="宋体" w:hAnsi="Book Antiqua" w:cstheme="minorHAnsi"/>
                <w:sz w:val="24"/>
                <w:szCs w:val="24"/>
                <w:lang w:eastAsia="zh-CN"/>
              </w:rPr>
            </w:pPr>
            <w:r>
              <w:rPr>
                <w:rFonts w:ascii="Book Antiqua" w:eastAsia="宋体" w:hAnsi="Book Antiqua" w:cstheme="minorHAnsi" w:hint="eastAsia"/>
                <w:sz w:val="24"/>
                <w:szCs w:val="24"/>
                <w:lang w:eastAsia="zh-CN"/>
              </w:rPr>
              <w:t>[</w:t>
            </w:r>
            <w:r w:rsidR="00A43052" w:rsidRPr="00164D69">
              <w:rPr>
                <w:rFonts w:ascii="Book Antiqua" w:hAnsi="Book Antiqua" w:cstheme="minorHAnsi"/>
                <w:sz w:val="24"/>
                <w:szCs w:val="24"/>
              </w:rPr>
              <w:fldChar w:fldCharType="begin"/>
            </w:r>
            <w:r w:rsidR="00A43052" w:rsidRPr="00164D69">
              <w:rPr>
                <w:rFonts w:ascii="Book Antiqua" w:hAnsi="Book Antiqua" w:cstheme="minorHAnsi"/>
                <w:sz w:val="24"/>
                <w:szCs w:val="24"/>
              </w:rPr>
              <w:instrText>ADDIN RW.CITE{{37 Khader,S.A. 2007}}</w:instrText>
            </w:r>
            <w:r w:rsidR="00A43052" w:rsidRPr="00164D69">
              <w:rPr>
                <w:rFonts w:ascii="Book Antiqua" w:hAnsi="Book Antiqua" w:cstheme="minorHAnsi"/>
                <w:sz w:val="24"/>
                <w:szCs w:val="24"/>
              </w:rPr>
              <w:fldChar w:fldCharType="separate"/>
            </w:r>
            <w:r w:rsidR="00A43052" w:rsidRPr="00164D69">
              <w:rPr>
                <w:rFonts w:ascii="Book Antiqua" w:hAnsi="Book Antiqua" w:cs="Calibri"/>
                <w:sz w:val="24"/>
                <w:szCs w:val="24"/>
              </w:rPr>
              <w:t>20</w:t>
            </w:r>
            <w:r w:rsidR="00A43052" w:rsidRPr="00164D69">
              <w:rPr>
                <w:rFonts w:ascii="Book Antiqua" w:hAnsi="Book Antiqua" w:cstheme="minorHAnsi"/>
                <w:sz w:val="24"/>
                <w:szCs w:val="24"/>
              </w:rPr>
              <w:fldChar w:fldCharType="end"/>
            </w:r>
            <w:r>
              <w:rPr>
                <w:rFonts w:ascii="Book Antiqua" w:eastAsia="宋体" w:hAnsi="Book Antiqua" w:cstheme="minorHAnsi" w:hint="eastAsia"/>
                <w:sz w:val="24"/>
                <w:szCs w:val="24"/>
                <w:lang w:eastAsia="zh-CN"/>
              </w:rPr>
              <w:t>]</w:t>
            </w:r>
          </w:p>
        </w:tc>
      </w:tr>
      <w:tr w:rsidR="00164D69" w:rsidRPr="00164D69" w14:paraId="58DCC6BC" w14:textId="77777777" w:rsidTr="00E53E02">
        <w:tc>
          <w:tcPr>
            <w:tcW w:w="1686" w:type="dxa"/>
          </w:tcPr>
          <w:p w14:paraId="2E9C9519" w14:textId="77777777" w:rsidR="00A43052" w:rsidRPr="00164D69" w:rsidRDefault="00A43052" w:rsidP="00E53E02">
            <w:pPr>
              <w:adjustRightInd w:val="0"/>
              <w:snapToGrid w:val="0"/>
              <w:spacing w:after="0" w:line="360" w:lineRule="auto"/>
              <w:ind w:left="0"/>
              <w:rPr>
                <w:rFonts w:ascii="Book Antiqua" w:hAnsi="Book Antiqua" w:cstheme="minorHAnsi"/>
                <w:sz w:val="24"/>
                <w:szCs w:val="24"/>
              </w:rPr>
            </w:pPr>
            <w:r w:rsidRPr="00164D69">
              <w:rPr>
                <w:rFonts w:ascii="Book Antiqua" w:hAnsi="Book Antiqua" w:cstheme="minorHAnsi"/>
                <w:sz w:val="24"/>
                <w:szCs w:val="24"/>
              </w:rPr>
              <w:t>IL-21</w:t>
            </w:r>
          </w:p>
        </w:tc>
        <w:tc>
          <w:tcPr>
            <w:tcW w:w="5898" w:type="dxa"/>
          </w:tcPr>
          <w:p w14:paraId="4810A2EB" w14:textId="17EA57F6" w:rsidR="00A43052" w:rsidRPr="00164D69" w:rsidRDefault="00A43052" w:rsidP="00E53E02">
            <w:pPr>
              <w:adjustRightInd w:val="0"/>
              <w:snapToGrid w:val="0"/>
              <w:spacing w:after="0" w:line="360" w:lineRule="auto"/>
              <w:ind w:left="0"/>
              <w:jc w:val="center"/>
              <w:rPr>
                <w:rFonts w:ascii="Book Antiqua" w:hAnsi="Book Antiqua" w:cstheme="minorHAnsi"/>
                <w:sz w:val="24"/>
                <w:szCs w:val="24"/>
              </w:rPr>
            </w:pPr>
            <w:r w:rsidRPr="00164D69">
              <w:rPr>
                <w:rFonts w:ascii="Book Antiqua" w:hAnsi="Book Antiqua" w:cstheme="minorHAnsi"/>
                <w:sz w:val="24"/>
                <w:szCs w:val="24"/>
                <w:shd w:val="clear" w:color="auto" w:fill="FFFFFF"/>
              </w:rPr>
              <w:t>Potentiates pathogenic effects of Th17 cells in the gut</w:t>
            </w:r>
          </w:p>
        </w:tc>
        <w:tc>
          <w:tcPr>
            <w:tcW w:w="1572" w:type="dxa"/>
          </w:tcPr>
          <w:p w14:paraId="4146EC1C" w14:textId="1D442CC2" w:rsidR="00A43052" w:rsidRPr="00065EBC" w:rsidRDefault="00065EBC" w:rsidP="00E53E02">
            <w:pPr>
              <w:adjustRightInd w:val="0"/>
              <w:snapToGrid w:val="0"/>
              <w:spacing w:after="0" w:line="360" w:lineRule="auto"/>
              <w:ind w:left="0"/>
              <w:jc w:val="center"/>
              <w:rPr>
                <w:rFonts w:ascii="Book Antiqua" w:eastAsia="宋体" w:hAnsi="Book Antiqua" w:cstheme="minorHAnsi"/>
                <w:sz w:val="24"/>
                <w:szCs w:val="24"/>
                <w:lang w:eastAsia="zh-CN"/>
              </w:rPr>
            </w:pPr>
            <w:r>
              <w:rPr>
                <w:rFonts w:ascii="Book Antiqua" w:eastAsia="宋体" w:hAnsi="Book Antiqua" w:cstheme="minorHAnsi" w:hint="eastAsia"/>
                <w:sz w:val="24"/>
                <w:szCs w:val="24"/>
                <w:lang w:eastAsia="zh-CN"/>
              </w:rPr>
              <w:t>[</w:t>
            </w:r>
            <w:r w:rsidR="00A43052" w:rsidRPr="00164D69">
              <w:rPr>
                <w:rFonts w:ascii="Book Antiqua" w:hAnsi="Book Antiqua" w:cstheme="minorHAnsi"/>
                <w:sz w:val="24"/>
                <w:szCs w:val="24"/>
              </w:rPr>
              <w:fldChar w:fldCharType="begin"/>
            </w:r>
            <w:r w:rsidR="00A43052" w:rsidRPr="00164D69">
              <w:rPr>
                <w:rFonts w:ascii="Book Antiqua" w:hAnsi="Book Antiqua" w:cstheme="minorHAnsi"/>
                <w:sz w:val="24"/>
                <w:szCs w:val="24"/>
              </w:rPr>
              <w:instrText>ADDIN RW.CITE{{116 Fantini,M.C. 2007; 117 Peluso,I. 2007}}</w:instrText>
            </w:r>
            <w:r w:rsidR="00A43052" w:rsidRPr="00164D69">
              <w:rPr>
                <w:rFonts w:ascii="Book Antiqua" w:hAnsi="Book Antiqua" w:cstheme="minorHAnsi"/>
                <w:sz w:val="24"/>
                <w:szCs w:val="24"/>
              </w:rPr>
              <w:fldChar w:fldCharType="separate"/>
            </w:r>
            <w:r w:rsidR="00A43052" w:rsidRPr="00164D69">
              <w:rPr>
                <w:rFonts w:ascii="Book Antiqua" w:hAnsi="Book Antiqua" w:cs="Calibri"/>
                <w:sz w:val="24"/>
                <w:szCs w:val="24"/>
              </w:rPr>
              <w:t>64, 65</w:t>
            </w:r>
            <w:r w:rsidR="00A43052" w:rsidRPr="00164D69">
              <w:rPr>
                <w:rFonts w:ascii="Book Antiqua" w:hAnsi="Book Antiqua" w:cstheme="minorHAnsi"/>
                <w:sz w:val="24"/>
                <w:szCs w:val="24"/>
              </w:rPr>
              <w:fldChar w:fldCharType="end"/>
            </w:r>
            <w:r>
              <w:rPr>
                <w:rFonts w:ascii="Book Antiqua" w:eastAsia="宋体" w:hAnsi="Book Antiqua" w:cstheme="minorHAnsi" w:hint="eastAsia"/>
                <w:sz w:val="24"/>
                <w:szCs w:val="24"/>
                <w:lang w:eastAsia="zh-CN"/>
              </w:rPr>
              <w:t>]</w:t>
            </w:r>
          </w:p>
        </w:tc>
      </w:tr>
      <w:tr w:rsidR="00164D69" w:rsidRPr="00164D69" w14:paraId="5A3E80DF" w14:textId="77777777" w:rsidTr="00E53E02">
        <w:tc>
          <w:tcPr>
            <w:tcW w:w="1686" w:type="dxa"/>
          </w:tcPr>
          <w:p w14:paraId="28C10EF6" w14:textId="77777777" w:rsidR="00A43052" w:rsidRPr="00164D69" w:rsidRDefault="00A43052" w:rsidP="00E53E02">
            <w:pPr>
              <w:adjustRightInd w:val="0"/>
              <w:snapToGrid w:val="0"/>
              <w:spacing w:after="0" w:line="360" w:lineRule="auto"/>
              <w:ind w:left="0"/>
              <w:rPr>
                <w:rFonts w:ascii="Book Antiqua" w:hAnsi="Book Antiqua" w:cstheme="minorHAnsi"/>
                <w:sz w:val="24"/>
                <w:szCs w:val="24"/>
              </w:rPr>
            </w:pPr>
            <w:r w:rsidRPr="00164D69">
              <w:rPr>
                <w:rFonts w:ascii="Book Antiqua" w:hAnsi="Book Antiqua" w:cstheme="minorHAnsi"/>
                <w:sz w:val="24"/>
                <w:szCs w:val="24"/>
              </w:rPr>
              <w:t>IL-22</w:t>
            </w:r>
          </w:p>
        </w:tc>
        <w:tc>
          <w:tcPr>
            <w:tcW w:w="5898" w:type="dxa"/>
          </w:tcPr>
          <w:p w14:paraId="1167C617" w14:textId="346C2180" w:rsidR="00A43052" w:rsidRPr="00164D69" w:rsidRDefault="00A43052" w:rsidP="00E53E02">
            <w:pPr>
              <w:adjustRightInd w:val="0"/>
              <w:snapToGrid w:val="0"/>
              <w:spacing w:after="0" w:line="360" w:lineRule="auto"/>
              <w:ind w:left="0"/>
              <w:jc w:val="center"/>
              <w:rPr>
                <w:rFonts w:ascii="Book Antiqua" w:hAnsi="Book Antiqua" w:cstheme="minorHAnsi"/>
                <w:sz w:val="24"/>
                <w:szCs w:val="24"/>
              </w:rPr>
            </w:pPr>
            <w:r w:rsidRPr="00164D69">
              <w:rPr>
                <w:rFonts w:ascii="Book Antiqua" w:hAnsi="Book Antiqua" w:cstheme="minorHAnsi"/>
                <w:sz w:val="24"/>
                <w:szCs w:val="24"/>
                <w:shd w:val="clear" w:color="auto" w:fill="FFFFFF"/>
              </w:rPr>
              <w:t xml:space="preserve">Attenuate the development of intestinal pathology </w:t>
            </w:r>
            <w:r w:rsidR="00164D69" w:rsidRPr="00164D69">
              <w:rPr>
                <w:rFonts w:ascii="Book Antiqua" w:hAnsi="Book Antiqua" w:cstheme="minorHAnsi"/>
                <w:i/>
                <w:sz w:val="24"/>
                <w:szCs w:val="24"/>
                <w:shd w:val="clear" w:color="auto" w:fill="FFFFFF"/>
              </w:rPr>
              <w:t xml:space="preserve">via </w:t>
            </w:r>
            <w:r w:rsidRPr="00164D69">
              <w:rPr>
                <w:rFonts w:ascii="Book Antiqua" w:hAnsi="Book Antiqua" w:cstheme="minorHAnsi"/>
                <w:sz w:val="24"/>
                <w:szCs w:val="24"/>
                <w:shd w:val="clear" w:color="auto" w:fill="FFFFFF"/>
              </w:rPr>
              <w:t xml:space="preserve"> Stat3-mediated effects on epithelial cells</w:t>
            </w:r>
          </w:p>
        </w:tc>
        <w:tc>
          <w:tcPr>
            <w:tcW w:w="1572" w:type="dxa"/>
          </w:tcPr>
          <w:p w14:paraId="55272836" w14:textId="5B75D0C9" w:rsidR="00A43052" w:rsidRPr="00065EBC" w:rsidRDefault="00065EBC" w:rsidP="00E53E02">
            <w:pPr>
              <w:adjustRightInd w:val="0"/>
              <w:snapToGrid w:val="0"/>
              <w:spacing w:after="0" w:line="360" w:lineRule="auto"/>
              <w:ind w:left="0"/>
              <w:jc w:val="center"/>
              <w:rPr>
                <w:rFonts w:ascii="Book Antiqua" w:eastAsia="宋体" w:hAnsi="Book Antiqua" w:cstheme="minorHAnsi"/>
                <w:sz w:val="24"/>
                <w:szCs w:val="24"/>
                <w:lang w:eastAsia="zh-CN"/>
              </w:rPr>
            </w:pPr>
            <w:r>
              <w:rPr>
                <w:rFonts w:ascii="Book Antiqua" w:eastAsia="宋体" w:hAnsi="Book Antiqua" w:cstheme="minorHAnsi" w:hint="eastAsia"/>
                <w:sz w:val="24"/>
                <w:szCs w:val="24"/>
                <w:lang w:eastAsia="zh-CN"/>
              </w:rPr>
              <w:t>[</w:t>
            </w:r>
            <w:r w:rsidR="00A43052" w:rsidRPr="00164D69">
              <w:rPr>
                <w:rFonts w:ascii="Book Antiqua" w:hAnsi="Book Antiqua" w:cstheme="minorHAnsi"/>
                <w:sz w:val="24"/>
                <w:szCs w:val="24"/>
              </w:rPr>
              <w:fldChar w:fldCharType="begin"/>
            </w:r>
            <w:r w:rsidR="00A43052" w:rsidRPr="00164D69">
              <w:rPr>
                <w:rFonts w:ascii="Book Antiqua" w:hAnsi="Book Antiqua" w:cstheme="minorHAnsi"/>
                <w:sz w:val="24"/>
                <w:szCs w:val="24"/>
              </w:rPr>
              <w:instrText>ADDIN RW.CITE{{118 Sugimoto,K. 2008; 119 Zenewicz,L.A. 2008}}</w:instrText>
            </w:r>
            <w:r w:rsidR="00A43052" w:rsidRPr="00164D69">
              <w:rPr>
                <w:rFonts w:ascii="Book Antiqua" w:hAnsi="Book Antiqua" w:cstheme="minorHAnsi"/>
                <w:sz w:val="24"/>
                <w:szCs w:val="24"/>
              </w:rPr>
              <w:fldChar w:fldCharType="separate"/>
            </w:r>
            <w:r w:rsidR="00A43052" w:rsidRPr="00164D69">
              <w:rPr>
                <w:rFonts w:ascii="Book Antiqua" w:hAnsi="Book Antiqua" w:cs="Calibri"/>
                <w:sz w:val="24"/>
                <w:szCs w:val="24"/>
              </w:rPr>
              <w:t>66, 67</w:t>
            </w:r>
            <w:r w:rsidR="00A43052" w:rsidRPr="00164D69">
              <w:rPr>
                <w:rFonts w:ascii="Book Antiqua" w:hAnsi="Book Antiqua" w:cstheme="minorHAnsi"/>
                <w:sz w:val="24"/>
                <w:szCs w:val="24"/>
              </w:rPr>
              <w:fldChar w:fldCharType="end"/>
            </w:r>
            <w:r>
              <w:rPr>
                <w:rFonts w:ascii="Book Antiqua" w:eastAsia="宋体" w:hAnsi="Book Antiqua" w:cstheme="minorHAnsi" w:hint="eastAsia"/>
                <w:sz w:val="24"/>
                <w:szCs w:val="24"/>
                <w:lang w:eastAsia="zh-CN"/>
              </w:rPr>
              <w:t>]</w:t>
            </w:r>
          </w:p>
        </w:tc>
      </w:tr>
      <w:tr w:rsidR="00164D69" w:rsidRPr="00164D69" w14:paraId="6186D3BF" w14:textId="77777777" w:rsidTr="00E53E02">
        <w:tc>
          <w:tcPr>
            <w:tcW w:w="1686" w:type="dxa"/>
          </w:tcPr>
          <w:p w14:paraId="2AE2E260" w14:textId="77777777" w:rsidR="00A43052" w:rsidRPr="00164D69" w:rsidRDefault="00A43052" w:rsidP="00E53E02">
            <w:pPr>
              <w:adjustRightInd w:val="0"/>
              <w:snapToGrid w:val="0"/>
              <w:spacing w:after="0" w:line="360" w:lineRule="auto"/>
              <w:ind w:left="0"/>
              <w:rPr>
                <w:rFonts w:ascii="Book Antiqua" w:hAnsi="Book Antiqua" w:cstheme="minorHAnsi"/>
                <w:sz w:val="24"/>
                <w:szCs w:val="24"/>
              </w:rPr>
            </w:pPr>
            <w:r w:rsidRPr="00164D69">
              <w:rPr>
                <w:rFonts w:ascii="Book Antiqua" w:hAnsi="Book Antiqua" w:cstheme="minorHAnsi"/>
                <w:sz w:val="24"/>
                <w:szCs w:val="24"/>
              </w:rPr>
              <w:t>IL-23</w:t>
            </w:r>
          </w:p>
        </w:tc>
        <w:tc>
          <w:tcPr>
            <w:tcW w:w="5898" w:type="dxa"/>
          </w:tcPr>
          <w:p w14:paraId="5D133DE9" w14:textId="0BFB35CC" w:rsidR="00A43052" w:rsidRPr="00164D69" w:rsidRDefault="00A43052" w:rsidP="00E53E02">
            <w:pPr>
              <w:adjustRightInd w:val="0"/>
              <w:snapToGrid w:val="0"/>
              <w:spacing w:after="0" w:line="360" w:lineRule="auto"/>
              <w:ind w:left="0"/>
              <w:jc w:val="center"/>
              <w:rPr>
                <w:rFonts w:ascii="Book Antiqua" w:hAnsi="Book Antiqua" w:cstheme="minorHAnsi"/>
                <w:sz w:val="24"/>
                <w:szCs w:val="24"/>
              </w:rPr>
            </w:pPr>
            <w:r w:rsidRPr="00164D69">
              <w:rPr>
                <w:rFonts w:ascii="Book Antiqua" w:hAnsi="Book Antiqua" w:cstheme="minorHAnsi"/>
                <w:sz w:val="24"/>
                <w:szCs w:val="24"/>
              </w:rPr>
              <w:t>Induce IL-22 and IL-17A secretions and maintain Th17 expansion</w:t>
            </w:r>
          </w:p>
        </w:tc>
        <w:tc>
          <w:tcPr>
            <w:tcW w:w="1572" w:type="dxa"/>
          </w:tcPr>
          <w:p w14:paraId="463B06F6" w14:textId="51D7A5B5" w:rsidR="00A43052" w:rsidRPr="00065EBC" w:rsidRDefault="00065EBC" w:rsidP="00E53E02">
            <w:pPr>
              <w:adjustRightInd w:val="0"/>
              <w:snapToGrid w:val="0"/>
              <w:spacing w:after="0" w:line="360" w:lineRule="auto"/>
              <w:ind w:left="0"/>
              <w:jc w:val="center"/>
              <w:rPr>
                <w:rFonts w:ascii="Book Antiqua" w:eastAsia="宋体" w:hAnsi="Book Antiqua" w:cstheme="minorHAnsi"/>
                <w:sz w:val="24"/>
                <w:szCs w:val="24"/>
                <w:lang w:eastAsia="zh-CN"/>
              </w:rPr>
            </w:pPr>
            <w:r>
              <w:rPr>
                <w:rFonts w:ascii="Book Antiqua" w:eastAsia="宋体" w:hAnsi="Book Antiqua" w:cstheme="minorHAnsi" w:hint="eastAsia"/>
                <w:sz w:val="24"/>
                <w:szCs w:val="24"/>
                <w:lang w:eastAsia="zh-CN"/>
              </w:rPr>
              <w:t>[</w:t>
            </w:r>
            <w:r w:rsidR="00A43052" w:rsidRPr="00164D69">
              <w:rPr>
                <w:rFonts w:ascii="Book Antiqua" w:hAnsi="Book Antiqua" w:cstheme="minorHAnsi"/>
                <w:sz w:val="24"/>
                <w:szCs w:val="24"/>
              </w:rPr>
              <w:fldChar w:fldCharType="begin"/>
            </w:r>
            <w:r w:rsidR="00A43052" w:rsidRPr="00164D69">
              <w:rPr>
                <w:rFonts w:ascii="Book Antiqua" w:hAnsi="Book Antiqua" w:cstheme="minorHAnsi"/>
                <w:sz w:val="24"/>
                <w:szCs w:val="24"/>
              </w:rPr>
              <w:instrText>ADDIN RW.CITE{{120 Awasthi,A. 2009}}</w:instrText>
            </w:r>
            <w:r w:rsidR="00A43052" w:rsidRPr="00164D69">
              <w:rPr>
                <w:rFonts w:ascii="Book Antiqua" w:hAnsi="Book Antiqua" w:cstheme="minorHAnsi"/>
                <w:sz w:val="24"/>
                <w:szCs w:val="24"/>
              </w:rPr>
              <w:fldChar w:fldCharType="separate"/>
            </w:r>
            <w:r w:rsidR="00A43052" w:rsidRPr="00164D69">
              <w:rPr>
                <w:rFonts w:ascii="Book Antiqua" w:hAnsi="Book Antiqua" w:cs="Calibri"/>
                <w:sz w:val="24"/>
                <w:szCs w:val="24"/>
              </w:rPr>
              <w:t>68</w:t>
            </w:r>
            <w:r w:rsidR="00A43052" w:rsidRPr="00164D69">
              <w:rPr>
                <w:rFonts w:ascii="Book Antiqua" w:hAnsi="Book Antiqua" w:cstheme="minorHAnsi"/>
                <w:sz w:val="24"/>
                <w:szCs w:val="24"/>
              </w:rPr>
              <w:fldChar w:fldCharType="end"/>
            </w:r>
            <w:r>
              <w:rPr>
                <w:rFonts w:ascii="Book Antiqua" w:eastAsia="宋体" w:hAnsi="Book Antiqua" w:cstheme="minorHAnsi" w:hint="eastAsia"/>
                <w:sz w:val="24"/>
                <w:szCs w:val="24"/>
                <w:lang w:eastAsia="zh-CN"/>
              </w:rPr>
              <w:t>]</w:t>
            </w:r>
          </w:p>
        </w:tc>
      </w:tr>
      <w:tr w:rsidR="00164D69" w:rsidRPr="00164D69" w14:paraId="3669BCFE" w14:textId="77777777" w:rsidTr="00E53E02">
        <w:tc>
          <w:tcPr>
            <w:tcW w:w="1686" w:type="dxa"/>
            <w:tcBorders>
              <w:bottom w:val="single" w:sz="4" w:space="0" w:color="auto"/>
            </w:tcBorders>
          </w:tcPr>
          <w:p w14:paraId="0C763210" w14:textId="77777777" w:rsidR="00A43052" w:rsidRPr="00164D69" w:rsidRDefault="00A43052" w:rsidP="00E53E02">
            <w:pPr>
              <w:adjustRightInd w:val="0"/>
              <w:snapToGrid w:val="0"/>
              <w:spacing w:after="0" w:line="360" w:lineRule="auto"/>
              <w:ind w:left="0"/>
              <w:rPr>
                <w:rFonts w:ascii="Book Antiqua" w:hAnsi="Book Antiqua" w:cstheme="minorHAnsi"/>
                <w:sz w:val="24"/>
                <w:szCs w:val="24"/>
              </w:rPr>
            </w:pPr>
            <w:r w:rsidRPr="00164D69">
              <w:rPr>
                <w:rFonts w:ascii="Book Antiqua" w:hAnsi="Book Antiqua" w:cstheme="minorHAnsi"/>
                <w:sz w:val="24"/>
                <w:szCs w:val="24"/>
              </w:rPr>
              <w:t>TGF-β1</w:t>
            </w:r>
          </w:p>
        </w:tc>
        <w:tc>
          <w:tcPr>
            <w:tcW w:w="5898" w:type="dxa"/>
            <w:tcBorders>
              <w:bottom w:val="single" w:sz="4" w:space="0" w:color="auto"/>
            </w:tcBorders>
          </w:tcPr>
          <w:p w14:paraId="2D6B43F7" w14:textId="3F4B840A" w:rsidR="00A43052" w:rsidRPr="00164D69" w:rsidRDefault="00A43052" w:rsidP="00E53E02">
            <w:pPr>
              <w:adjustRightInd w:val="0"/>
              <w:snapToGrid w:val="0"/>
              <w:spacing w:after="0" w:line="360" w:lineRule="auto"/>
              <w:ind w:left="0"/>
              <w:jc w:val="center"/>
              <w:rPr>
                <w:rFonts w:ascii="Book Antiqua" w:hAnsi="Book Antiqua" w:cstheme="minorHAnsi"/>
                <w:sz w:val="24"/>
                <w:szCs w:val="24"/>
              </w:rPr>
            </w:pPr>
            <w:r w:rsidRPr="00164D69">
              <w:rPr>
                <w:rFonts w:ascii="Book Antiqua" w:hAnsi="Book Antiqua" w:cstheme="minorHAnsi"/>
                <w:sz w:val="24"/>
                <w:szCs w:val="24"/>
              </w:rPr>
              <w:t>Initiate generation</w:t>
            </w:r>
            <w:r w:rsidR="00673662" w:rsidRPr="00164D69">
              <w:rPr>
                <w:rFonts w:ascii="Book Antiqua" w:hAnsi="Book Antiqua" w:cstheme="minorHAnsi"/>
                <w:sz w:val="24"/>
                <w:szCs w:val="24"/>
              </w:rPr>
              <w:t xml:space="preserve"> </w:t>
            </w:r>
            <w:r w:rsidRPr="00164D69">
              <w:rPr>
                <w:rFonts w:ascii="Book Antiqua" w:hAnsi="Book Antiqua" w:cstheme="minorHAnsi"/>
                <w:sz w:val="24"/>
                <w:szCs w:val="24"/>
              </w:rPr>
              <w:t>of Treg and Th17 populations dependent on the concentration</w:t>
            </w:r>
          </w:p>
        </w:tc>
        <w:tc>
          <w:tcPr>
            <w:tcW w:w="1572" w:type="dxa"/>
            <w:tcBorders>
              <w:bottom w:val="single" w:sz="4" w:space="0" w:color="auto"/>
            </w:tcBorders>
          </w:tcPr>
          <w:p w14:paraId="071B1E65" w14:textId="58FCDFCD" w:rsidR="00A43052" w:rsidRPr="00065EBC" w:rsidRDefault="00065EBC" w:rsidP="00E53E02">
            <w:pPr>
              <w:adjustRightInd w:val="0"/>
              <w:snapToGrid w:val="0"/>
              <w:spacing w:after="0" w:line="360" w:lineRule="auto"/>
              <w:ind w:left="0"/>
              <w:jc w:val="center"/>
              <w:rPr>
                <w:rFonts w:ascii="Book Antiqua" w:eastAsia="宋体" w:hAnsi="Book Antiqua" w:cstheme="minorHAnsi"/>
                <w:sz w:val="24"/>
                <w:szCs w:val="24"/>
                <w:lang w:eastAsia="zh-CN"/>
              </w:rPr>
            </w:pPr>
            <w:r>
              <w:rPr>
                <w:rFonts w:ascii="Book Antiqua" w:eastAsia="宋体" w:hAnsi="Book Antiqua" w:cstheme="minorHAnsi" w:hint="eastAsia"/>
                <w:sz w:val="24"/>
                <w:szCs w:val="24"/>
                <w:lang w:eastAsia="zh-CN"/>
              </w:rPr>
              <w:t>[</w:t>
            </w:r>
            <w:r w:rsidR="00A43052" w:rsidRPr="00164D69">
              <w:rPr>
                <w:rFonts w:ascii="Book Antiqua" w:hAnsi="Book Antiqua" w:cstheme="minorHAnsi"/>
                <w:sz w:val="24"/>
                <w:szCs w:val="24"/>
              </w:rPr>
              <w:fldChar w:fldCharType="begin"/>
            </w:r>
            <w:r w:rsidR="00A43052" w:rsidRPr="00164D69">
              <w:rPr>
                <w:rFonts w:ascii="Book Antiqua" w:hAnsi="Book Antiqua" w:cstheme="minorHAnsi"/>
                <w:sz w:val="24"/>
                <w:szCs w:val="24"/>
              </w:rPr>
              <w:instrText>ADDIN RW.CITE{{115 Yang,L. 2008}}</w:instrText>
            </w:r>
            <w:r w:rsidR="00A43052" w:rsidRPr="00164D69">
              <w:rPr>
                <w:rFonts w:ascii="Book Antiqua" w:hAnsi="Book Antiqua" w:cstheme="minorHAnsi"/>
                <w:sz w:val="24"/>
                <w:szCs w:val="24"/>
              </w:rPr>
              <w:fldChar w:fldCharType="separate"/>
            </w:r>
            <w:r w:rsidR="00A43052" w:rsidRPr="00164D69">
              <w:rPr>
                <w:rFonts w:ascii="Book Antiqua" w:hAnsi="Book Antiqua" w:cs="Calibri"/>
                <w:sz w:val="24"/>
                <w:szCs w:val="24"/>
              </w:rPr>
              <w:t>63</w:t>
            </w:r>
            <w:r w:rsidR="00A43052" w:rsidRPr="00164D69">
              <w:rPr>
                <w:rFonts w:ascii="Book Antiqua" w:hAnsi="Book Antiqua" w:cstheme="minorHAnsi"/>
                <w:sz w:val="24"/>
                <w:szCs w:val="24"/>
              </w:rPr>
              <w:fldChar w:fldCharType="end"/>
            </w:r>
            <w:r>
              <w:rPr>
                <w:rFonts w:ascii="Book Antiqua" w:eastAsia="宋体" w:hAnsi="Book Antiqua" w:cstheme="minorHAnsi" w:hint="eastAsia"/>
                <w:sz w:val="24"/>
                <w:szCs w:val="24"/>
                <w:lang w:eastAsia="zh-CN"/>
              </w:rPr>
              <w:t>]</w:t>
            </w:r>
          </w:p>
        </w:tc>
      </w:tr>
    </w:tbl>
    <w:p w14:paraId="11842DE0" w14:textId="77777777" w:rsidR="00A43052" w:rsidRPr="00164D69" w:rsidRDefault="00A43052" w:rsidP="002F6FCA">
      <w:pPr>
        <w:adjustRightInd w:val="0"/>
        <w:snapToGrid w:val="0"/>
        <w:spacing w:after="0" w:line="360" w:lineRule="auto"/>
        <w:jc w:val="both"/>
        <w:rPr>
          <w:rFonts w:ascii="Book Antiqua" w:eastAsia="宋体" w:hAnsi="Book Antiqua"/>
          <w:sz w:val="24"/>
          <w:szCs w:val="24"/>
          <w:lang w:val="en-US" w:eastAsia="zh-CN"/>
        </w:rPr>
      </w:pPr>
    </w:p>
    <w:p w14:paraId="16E09670" w14:textId="77777777" w:rsidR="00A43052" w:rsidRPr="00164D69" w:rsidRDefault="00A43052" w:rsidP="002F6FCA">
      <w:pPr>
        <w:adjustRightInd w:val="0"/>
        <w:snapToGrid w:val="0"/>
        <w:spacing w:after="0" w:line="360" w:lineRule="auto"/>
        <w:jc w:val="both"/>
        <w:rPr>
          <w:rFonts w:ascii="Book Antiqua" w:hAnsi="Book Antiqua"/>
          <w:sz w:val="24"/>
          <w:szCs w:val="24"/>
          <w:lang w:val="en-US"/>
        </w:rPr>
      </w:pPr>
    </w:p>
    <w:p w14:paraId="40F7F2AC" w14:textId="77777777" w:rsidR="00A43052" w:rsidRPr="00164D69" w:rsidRDefault="00A43052" w:rsidP="002F6FCA">
      <w:pPr>
        <w:adjustRightInd w:val="0"/>
        <w:snapToGrid w:val="0"/>
        <w:spacing w:after="0" w:line="360" w:lineRule="auto"/>
        <w:jc w:val="both"/>
        <w:rPr>
          <w:rFonts w:ascii="Book Antiqua" w:hAnsi="Book Antiqua"/>
          <w:sz w:val="24"/>
          <w:szCs w:val="24"/>
          <w:lang w:val="en-US"/>
        </w:rPr>
      </w:pPr>
    </w:p>
    <w:p w14:paraId="03257BDE" w14:textId="77777777" w:rsidR="00A43052" w:rsidRPr="00164D69" w:rsidRDefault="00A43052" w:rsidP="002F6FCA">
      <w:pPr>
        <w:adjustRightInd w:val="0"/>
        <w:snapToGrid w:val="0"/>
        <w:spacing w:after="0" w:line="360" w:lineRule="auto"/>
        <w:jc w:val="both"/>
        <w:rPr>
          <w:rFonts w:ascii="Book Antiqua" w:hAnsi="Book Antiqua"/>
          <w:sz w:val="24"/>
          <w:szCs w:val="24"/>
          <w:lang w:val="en-US"/>
        </w:rPr>
      </w:pPr>
    </w:p>
    <w:p w14:paraId="4D517B10" w14:textId="77777777" w:rsidR="00A512B7" w:rsidRPr="00164D69" w:rsidRDefault="00A512B7">
      <w:pPr>
        <w:spacing w:after="160" w:line="259" w:lineRule="auto"/>
        <w:rPr>
          <w:rFonts w:ascii="Book Antiqua" w:hAnsi="Book Antiqua"/>
          <w:b/>
          <w:sz w:val="24"/>
          <w:szCs w:val="24"/>
          <w:lang w:val="en-US"/>
        </w:rPr>
      </w:pPr>
      <w:r w:rsidRPr="00164D69">
        <w:rPr>
          <w:rFonts w:ascii="Book Antiqua" w:hAnsi="Book Antiqua"/>
          <w:b/>
          <w:sz w:val="24"/>
          <w:szCs w:val="24"/>
          <w:lang w:val="en-US"/>
        </w:rPr>
        <w:br w:type="page"/>
      </w:r>
    </w:p>
    <w:p w14:paraId="500D9CC9" w14:textId="29521738" w:rsidR="00A43052" w:rsidRPr="00164D69" w:rsidRDefault="00A512B7" w:rsidP="002F6FCA">
      <w:pPr>
        <w:adjustRightInd w:val="0"/>
        <w:snapToGrid w:val="0"/>
        <w:spacing w:after="0" w:line="360" w:lineRule="auto"/>
        <w:jc w:val="both"/>
        <w:rPr>
          <w:rFonts w:ascii="Book Antiqua" w:hAnsi="Book Antiqua"/>
          <w:b/>
          <w:sz w:val="24"/>
          <w:szCs w:val="24"/>
          <w:lang w:val="en-US"/>
        </w:rPr>
      </w:pPr>
      <w:r w:rsidRPr="00164D69">
        <w:rPr>
          <w:rFonts w:ascii="Book Antiqua" w:hAnsi="Book Antiqua"/>
          <w:b/>
          <w:sz w:val="24"/>
          <w:szCs w:val="24"/>
          <w:lang w:val="en-US"/>
        </w:rPr>
        <w:lastRenderedPageBreak/>
        <w:t>Table 2</w:t>
      </w:r>
      <w:r w:rsidR="00A43052" w:rsidRPr="00164D69">
        <w:rPr>
          <w:rFonts w:ascii="Book Antiqua" w:hAnsi="Book Antiqua"/>
          <w:b/>
          <w:sz w:val="24"/>
          <w:szCs w:val="24"/>
          <w:lang w:val="en-US"/>
        </w:rPr>
        <w:t xml:space="preserve"> Transcription factors related to Th17 development and plasticity</w:t>
      </w:r>
    </w:p>
    <w:p w14:paraId="35449A26" w14:textId="77777777" w:rsidR="00A43052" w:rsidRPr="00164D69" w:rsidRDefault="00A43052" w:rsidP="002F6FCA">
      <w:pPr>
        <w:adjustRightInd w:val="0"/>
        <w:snapToGrid w:val="0"/>
        <w:spacing w:after="0" w:line="360" w:lineRule="auto"/>
        <w:jc w:val="both"/>
        <w:rPr>
          <w:rFonts w:ascii="Book Antiqua" w:hAnsi="Book Antiqua"/>
          <w:sz w:val="24"/>
          <w:szCs w:val="24"/>
          <w:lang w:val="en-US"/>
        </w:rPr>
      </w:pPr>
    </w:p>
    <w:tbl>
      <w:tblPr>
        <w:tblStyle w:val="af4"/>
        <w:tblW w:w="883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5310"/>
        <w:gridCol w:w="1440"/>
      </w:tblGrid>
      <w:tr w:rsidR="00164D69" w:rsidRPr="00164D69" w14:paraId="25DF4ACB" w14:textId="77777777" w:rsidTr="00A512B7">
        <w:tc>
          <w:tcPr>
            <w:tcW w:w="2088" w:type="dxa"/>
            <w:tcBorders>
              <w:top w:val="single" w:sz="4" w:space="0" w:color="auto"/>
              <w:bottom w:val="single" w:sz="4" w:space="0" w:color="auto"/>
            </w:tcBorders>
          </w:tcPr>
          <w:p w14:paraId="23DA6718" w14:textId="77777777" w:rsidR="00A43052" w:rsidRPr="00164D69" w:rsidRDefault="00A43052" w:rsidP="00A512B7">
            <w:pPr>
              <w:adjustRightInd w:val="0"/>
              <w:snapToGrid w:val="0"/>
              <w:spacing w:after="0" w:line="360" w:lineRule="auto"/>
              <w:ind w:left="0"/>
              <w:rPr>
                <w:rFonts w:ascii="Book Antiqua" w:hAnsi="Book Antiqua"/>
                <w:b/>
                <w:sz w:val="24"/>
                <w:szCs w:val="24"/>
              </w:rPr>
            </w:pPr>
            <w:r w:rsidRPr="00164D69">
              <w:rPr>
                <w:rFonts w:ascii="Book Antiqua" w:hAnsi="Book Antiqua"/>
                <w:b/>
                <w:sz w:val="24"/>
                <w:szCs w:val="24"/>
              </w:rPr>
              <w:t>Transcription Factor</w:t>
            </w:r>
          </w:p>
        </w:tc>
        <w:tc>
          <w:tcPr>
            <w:tcW w:w="5310" w:type="dxa"/>
            <w:tcBorders>
              <w:top w:val="single" w:sz="4" w:space="0" w:color="auto"/>
              <w:bottom w:val="single" w:sz="4" w:space="0" w:color="auto"/>
            </w:tcBorders>
          </w:tcPr>
          <w:p w14:paraId="0CB1BB8B" w14:textId="77777777" w:rsidR="00A43052" w:rsidRPr="00164D69" w:rsidRDefault="00A43052" w:rsidP="00A512B7">
            <w:pPr>
              <w:adjustRightInd w:val="0"/>
              <w:snapToGrid w:val="0"/>
              <w:spacing w:after="0" w:line="360" w:lineRule="auto"/>
              <w:ind w:left="0"/>
              <w:jc w:val="center"/>
              <w:rPr>
                <w:rFonts w:ascii="Book Antiqua" w:hAnsi="Book Antiqua"/>
                <w:b/>
                <w:sz w:val="24"/>
                <w:szCs w:val="24"/>
              </w:rPr>
            </w:pPr>
            <w:r w:rsidRPr="00164D69">
              <w:rPr>
                <w:rFonts w:ascii="Book Antiqua" w:hAnsi="Book Antiqua"/>
                <w:b/>
                <w:sz w:val="24"/>
                <w:szCs w:val="24"/>
              </w:rPr>
              <w:t>Effect</w:t>
            </w:r>
          </w:p>
        </w:tc>
        <w:tc>
          <w:tcPr>
            <w:tcW w:w="1440" w:type="dxa"/>
            <w:tcBorders>
              <w:top w:val="single" w:sz="4" w:space="0" w:color="auto"/>
              <w:bottom w:val="single" w:sz="4" w:space="0" w:color="auto"/>
            </w:tcBorders>
          </w:tcPr>
          <w:p w14:paraId="19748356" w14:textId="77777777" w:rsidR="00A43052" w:rsidRPr="00164D69" w:rsidRDefault="00A43052" w:rsidP="00A512B7">
            <w:pPr>
              <w:adjustRightInd w:val="0"/>
              <w:snapToGrid w:val="0"/>
              <w:spacing w:after="0" w:line="360" w:lineRule="auto"/>
              <w:ind w:left="0"/>
              <w:jc w:val="center"/>
              <w:rPr>
                <w:rFonts w:ascii="Book Antiqua" w:hAnsi="Book Antiqua"/>
                <w:b/>
                <w:sz w:val="24"/>
                <w:szCs w:val="24"/>
              </w:rPr>
            </w:pPr>
            <w:r w:rsidRPr="00164D69">
              <w:rPr>
                <w:rFonts w:ascii="Book Antiqua" w:hAnsi="Book Antiqua"/>
                <w:b/>
                <w:sz w:val="24"/>
                <w:szCs w:val="24"/>
              </w:rPr>
              <w:t>References</w:t>
            </w:r>
          </w:p>
        </w:tc>
      </w:tr>
      <w:tr w:rsidR="00164D69" w:rsidRPr="00164D69" w14:paraId="35B42C17" w14:textId="77777777" w:rsidTr="00A512B7">
        <w:tc>
          <w:tcPr>
            <w:tcW w:w="2088" w:type="dxa"/>
            <w:tcBorders>
              <w:top w:val="single" w:sz="4" w:space="0" w:color="auto"/>
            </w:tcBorders>
          </w:tcPr>
          <w:p w14:paraId="02450B57"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Fosl2</w:t>
            </w:r>
          </w:p>
        </w:tc>
        <w:tc>
          <w:tcPr>
            <w:tcW w:w="5310" w:type="dxa"/>
            <w:tcBorders>
              <w:top w:val="single" w:sz="4" w:space="0" w:color="auto"/>
            </w:tcBorders>
          </w:tcPr>
          <w:p w14:paraId="2DD0C7EC"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A key determinant of cellular plasticity</w:t>
            </w:r>
          </w:p>
        </w:tc>
        <w:tc>
          <w:tcPr>
            <w:tcW w:w="1440" w:type="dxa"/>
            <w:tcBorders>
              <w:top w:val="single" w:sz="4" w:space="0" w:color="auto"/>
            </w:tcBorders>
          </w:tcPr>
          <w:p w14:paraId="3D926EDF" w14:textId="080AA79B"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RW.CITE{{44 Ciofani,M. 2012}}</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30</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1AA054FC" w14:textId="77777777" w:rsidTr="00A512B7">
        <w:tc>
          <w:tcPr>
            <w:tcW w:w="2088" w:type="dxa"/>
            <w:vMerge w:val="restart"/>
          </w:tcPr>
          <w:p w14:paraId="5C0C4858"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IRF4</w:t>
            </w:r>
          </w:p>
        </w:tc>
        <w:tc>
          <w:tcPr>
            <w:tcW w:w="5310" w:type="dxa"/>
          </w:tcPr>
          <w:p w14:paraId="5E403793" w14:textId="51EADAE4"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 xml:space="preserve">Th17 differentiation </w:t>
            </w:r>
            <w:r w:rsidR="00164D69" w:rsidRPr="00164D69">
              <w:rPr>
                <w:rFonts w:ascii="Book Antiqua" w:hAnsi="Book Antiqua"/>
                <w:i/>
                <w:sz w:val="24"/>
                <w:szCs w:val="24"/>
              </w:rPr>
              <w:t xml:space="preserve">via </w:t>
            </w:r>
            <w:r w:rsidRPr="00164D69">
              <w:rPr>
                <w:rFonts w:ascii="Book Antiqua" w:hAnsi="Book Antiqua"/>
                <w:sz w:val="24"/>
                <w:szCs w:val="24"/>
              </w:rPr>
              <w:t xml:space="preserve"> ROR</w:t>
            </w:r>
            <w:r w:rsidRPr="00164D69">
              <w:rPr>
                <w:rFonts w:ascii="Book Antiqua" w:hAnsi="Book Antiqua" w:cs="Times New Roman"/>
                <w:sz w:val="24"/>
                <w:szCs w:val="24"/>
              </w:rPr>
              <w:t>γ</w:t>
            </w:r>
            <w:r w:rsidRPr="00164D69">
              <w:rPr>
                <w:rFonts w:ascii="Book Antiqua" w:hAnsi="Book Antiqua"/>
                <w:sz w:val="24"/>
                <w:szCs w:val="24"/>
              </w:rPr>
              <w:t>t dependent and independent pathways</w:t>
            </w:r>
          </w:p>
        </w:tc>
        <w:tc>
          <w:tcPr>
            <w:tcW w:w="1440" w:type="dxa"/>
          </w:tcPr>
          <w:p w14:paraId="60A0F9E9" w14:textId="1BCC9424"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RW.CITE{{125 Brustle,A. 2007}}</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115</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6258E16D" w14:textId="77777777" w:rsidTr="00A512B7">
        <w:tc>
          <w:tcPr>
            <w:tcW w:w="2088" w:type="dxa"/>
            <w:vMerge/>
          </w:tcPr>
          <w:p w14:paraId="13E90C42" w14:textId="77777777" w:rsidR="00A43052" w:rsidRPr="00164D69" w:rsidRDefault="00A43052" w:rsidP="00A512B7">
            <w:pPr>
              <w:adjustRightInd w:val="0"/>
              <w:snapToGrid w:val="0"/>
              <w:spacing w:after="0" w:line="360" w:lineRule="auto"/>
              <w:ind w:left="0"/>
              <w:rPr>
                <w:rFonts w:ascii="Book Antiqua" w:hAnsi="Book Antiqua"/>
                <w:sz w:val="24"/>
                <w:szCs w:val="24"/>
              </w:rPr>
            </w:pPr>
          </w:p>
        </w:tc>
        <w:tc>
          <w:tcPr>
            <w:tcW w:w="5310" w:type="dxa"/>
          </w:tcPr>
          <w:p w14:paraId="6E88091B"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cs="Arial"/>
                <w:sz w:val="24"/>
                <w:szCs w:val="24"/>
                <w:shd w:val="clear" w:color="auto" w:fill="FFFFFF"/>
              </w:rPr>
              <w:t>Augmented in patients with IBD and correlated with enhanced production of </w:t>
            </w:r>
            <w:r w:rsidRPr="00164D69">
              <w:rPr>
                <w:rFonts w:ascii="Book Antiqua" w:hAnsi="Book Antiqua" w:cs="Arial"/>
                <w:i/>
                <w:iCs/>
                <w:sz w:val="24"/>
                <w:szCs w:val="24"/>
                <w:bdr w:val="none" w:sz="0" w:space="0" w:color="auto" w:frame="1"/>
                <w:shd w:val="clear" w:color="auto" w:fill="FFFFFF"/>
              </w:rPr>
              <w:t>IL17</w:t>
            </w:r>
            <w:r w:rsidRPr="00164D69">
              <w:rPr>
                <w:rFonts w:ascii="Book Antiqua" w:hAnsi="Book Antiqua" w:cs="Arial"/>
                <w:sz w:val="24"/>
                <w:szCs w:val="24"/>
                <w:shd w:val="clear" w:color="auto" w:fill="FFFFFF"/>
              </w:rPr>
              <w:t> and </w:t>
            </w:r>
            <w:r w:rsidRPr="00164D69">
              <w:rPr>
                <w:rFonts w:ascii="Book Antiqua" w:hAnsi="Book Antiqua" w:cs="Arial"/>
                <w:i/>
                <w:iCs/>
                <w:sz w:val="24"/>
                <w:szCs w:val="24"/>
                <w:bdr w:val="none" w:sz="0" w:space="0" w:color="auto" w:frame="1"/>
                <w:shd w:val="clear" w:color="auto" w:fill="FFFFFF"/>
              </w:rPr>
              <w:t>IL22</w:t>
            </w:r>
            <w:r w:rsidRPr="00164D69">
              <w:rPr>
                <w:rFonts w:ascii="Book Antiqua" w:hAnsi="Book Antiqua" w:cs="Arial"/>
                <w:sz w:val="24"/>
                <w:szCs w:val="24"/>
                <w:shd w:val="clear" w:color="auto" w:fill="FFFFFF"/>
              </w:rPr>
              <w:t> mRNA</w:t>
            </w:r>
          </w:p>
        </w:tc>
        <w:tc>
          <w:tcPr>
            <w:tcW w:w="1440" w:type="dxa"/>
          </w:tcPr>
          <w:p w14:paraId="73D2356F" w14:textId="125BF0B6"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RW.CITE{{80 Mudter,J. 2011}}</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70</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548622C9" w14:textId="77777777" w:rsidTr="00A512B7">
        <w:tc>
          <w:tcPr>
            <w:tcW w:w="2088" w:type="dxa"/>
            <w:vMerge w:val="restart"/>
          </w:tcPr>
          <w:p w14:paraId="06CD076A" w14:textId="7CDB1C58" w:rsidR="00A43052" w:rsidRPr="00164D69" w:rsidRDefault="003B4316"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BATF</w:t>
            </w:r>
          </w:p>
        </w:tc>
        <w:tc>
          <w:tcPr>
            <w:tcW w:w="5310" w:type="dxa"/>
          </w:tcPr>
          <w:p w14:paraId="02A227CE" w14:textId="50E4E763"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 xml:space="preserve">Required for differentiation of Th17 </w:t>
            </w:r>
            <w:r w:rsidR="00164D69" w:rsidRPr="00164D69">
              <w:rPr>
                <w:rFonts w:ascii="Book Antiqua" w:hAnsi="Book Antiqua"/>
                <w:i/>
                <w:sz w:val="24"/>
                <w:szCs w:val="24"/>
              </w:rPr>
              <w:t xml:space="preserve">via </w:t>
            </w:r>
            <w:r w:rsidRPr="00164D69">
              <w:rPr>
                <w:rFonts w:ascii="Book Antiqua" w:hAnsi="Book Antiqua"/>
                <w:sz w:val="24"/>
                <w:szCs w:val="24"/>
              </w:rPr>
              <w:t xml:space="preserve"> induction of ROR</w:t>
            </w:r>
            <w:r w:rsidRPr="00164D69">
              <w:rPr>
                <w:rFonts w:ascii="Book Antiqua" w:hAnsi="Book Antiqua" w:cs="Times New Roman"/>
                <w:sz w:val="24"/>
                <w:szCs w:val="24"/>
              </w:rPr>
              <w:t>γ</w:t>
            </w:r>
            <w:r w:rsidRPr="00164D69">
              <w:rPr>
                <w:rFonts w:ascii="Book Antiqua" w:hAnsi="Book Antiqua"/>
                <w:sz w:val="24"/>
                <w:szCs w:val="24"/>
              </w:rPr>
              <w:t xml:space="preserve">t, and bound to </w:t>
            </w:r>
            <w:r w:rsidRPr="00164D69">
              <w:rPr>
                <w:rFonts w:ascii="Book Antiqua" w:hAnsi="Book Antiqua"/>
                <w:i/>
                <w:sz w:val="24"/>
                <w:szCs w:val="24"/>
              </w:rPr>
              <w:t>Il17, Il21</w:t>
            </w:r>
            <w:r w:rsidR="00673662" w:rsidRPr="00164D69">
              <w:rPr>
                <w:rFonts w:ascii="Book Antiqua" w:hAnsi="Book Antiqua"/>
                <w:i/>
                <w:sz w:val="24"/>
                <w:szCs w:val="24"/>
              </w:rPr>
              <w:t xml:space="preserve"> and</w:t>
            </w:r>
            <w:r w:rsidRPr="00164D69">
              <w:rPr>
                <w:rFonts w:ascii="Book Antiqua" w:hAnsi="Book Antiqua"/>
                <w:i/>
                <w:sz w:val="24"/>
                <w:szCs w:val="24"/>
              </w:rPr>
              <w:t xml:space="preserve"> Il22</w:t>
            </w:r>
            <w:r w:rsidRPr="00164D69">
              <w:rPr>
                <w:rFonts w:ascii="Book Antiqua" w:hAnsi="Book Antiqua"/>
                <w:sz w:val="24"/>
                <w:szCs w:val="24"/>
              </w:rPr>
              <w:t xml:space="preserve"> promoters</w:t>
            </w:r>
          </w:p>
        </w:tc>
        <w:tc>
          <w:tcPr>
            <w:tcW w:w="1440" w:type="dxa"/>
          </w:tcPr>
          <w:p w14:paraId="21DDC974" w14:textId="6C2E4277"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RW.CITE{{126 Schraml,B.U. 2009}}</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116</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50457D29" w14:textId="77777777" w:rsidTr="00A512B7">
        <w:tc>
          <w:tcPr>
            <w:tcW w:w="2088" w:type="dxa"/>
            <w:vMerge/>
          </w:tcPr>
          <w:p w14:paraId="38F159FA" w14:textId="77777777" w:rsidR="00A43052" w:rsidRPr="00164D69" w:rsidRDefault="00A43052" w:rsidP="00A512B7">
            <w:pPr>
              <w:adjustRightInd w:val="0"/>
              <w:snapToGrid w:val="0"/>
              <w:spacing w:after="0" w:line="360" w:lineRule="auto"/>
              <w:ind w:left="0"/>
              <w:rPr>
                <w:rFonts w:ascii="Book Antiqua" w:hAnsi="Book Antiqua"/>
                <w:sz w:val="24"/>
                <w:szCs w:val="24"/>
              </w:rPr>
            </w:pPr>
          </w:p>
        </w:tc>
        <w:tc>
          <w:tcPr>
            <w:tcW w:w="5310" w:type="dxa"/>
          </w:tcPr>
          <w:p w14:paraId="1E15A74F" w14:textId="537C3DBB"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B</w:t>
            </w:r>
            <w:r w:rsidR="00227585" w:rsidRPr="00164D69">
              <w:rPr>
                <w:rFonts w:ascii="Book Antiqua" w:hAnsi="Book Antiqua"/>
                <w:sz w:val="24"/>
                <w:szCs w:val="24"/>
              </w:rPr>
              <w:t>ATF</w:t>
            </w:r>
            <w:r w:rsidRPr="00164D69">
              <w:rPr>
                <w:rFonts w:ascii="Book Antiqua" w:hAnsi="Book Antiqua"/>
                <w:sz w:val="24"/>
                <w:szCs w:val="24"/>
                <w:vertAlign w:val="superscript"/>
              </w:rPr>
              <w:t>+</w:t>
            </w:r>
            <w:r w:rsidRPr="00164D69">
              <w:rPr>
                <w:rFonts w:ascii="Book Antiqua" w:hAnsi="Book Antiqua"/>
                <w:sz w:val="24"/>
                <w:szCs w:val="24"/>
              </w:rPr>
              <w:t xml:space="preserve"> ROR</w:t>
            </w:r>
            <w:r w:rsidR="003B4316" w:rsidRPr="00164D69">
              <w:rPr>
                <w:rFonts w:ascii="Book Antiqua" w:hAnsi="Book Antiqua"/>
                <w:sz w:val="24"/>
                <w:szCs w:val="24"/>
              </w:rPr>
              <w:t>c</w:t>
            </w:r>
            <w:r w:rsidRPr="00164D69">
              <w:rPr>
                <w:rFonts w:ascii="Book Antiqua" w:hAnsi="Book Antiqua"/>
                <w:sz w:val="24"/>
                <w:szCs w:val="24"/>
                <w:vertAlign w:val="superscript"/>
              </w:rPr>
              <w:t>-</w:t>
            </w:r>
            <w:r w:rsidRPr="00164D69">
              <w:rPr>
                <w:rFonts w:ascii="Book Antiqua" w:hAnsi="Book Antiqua"/>
                <w:sz w:val="24"/>
                <w:szCs w:val="24"/>
              </w:rPr>
              <w:t xml:space="preserve"> Th17 cells are found in gut tissues from UC but not CD patients.</w:t>
            </w:r>
          </w:p>
        </w:tc>
        <w:tc>
          <w:tcPr>
            <w:tcW w:w="1440" w:type="dxa"/>
          </w:tcPr>
          <w:p w14:paraId="3FC05339" w14:textId="45B8D2F4"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RW.CITE{{113 Punkenburg,E. 2015}}</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73</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031F0927" w14:textId="77777777" w:rsidTr="00A512B7">
        <w:tc>
          <w:tcPr>
            <w:tcW w:w="2088" w:type="dxa"/>
            <w:vMerge w:val="restart"/>
          </w:tcPr>
          <w:p w14:paraId="14DF645D"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HIF-1</w:t>
            </w:r>
          </w:p>
        </w:tc>
        <w:tc>
          <w:tcPr>
            <w:tcW w:w="5310" w:type="dxa"/>
          </w:tcPr>
          <w:p w14:paraId="591A0ECA" w14:textId="60590001"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cs="Times New Roman"/>
                <w:sz w:val="24"/>
                <w:szCs w:val="24"/>
              </w:rPr>
              <w:t>A key transregulator of Th17 polarization and suppressor of Foxp3 in Treg</w:t>
            </w:r>
          </w:p>
        </w:tc>
        <w:tc>
          <w:tcPr>
            <w:tcW w:w="1440" w:type="dxa"/>
          </w:tcPr>
          <w:p w14:paraId="57B62E67" w14:textId="5E81C0EB"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RW.CITE{{88 Wang,H. 2014; 47 Dang,E.V. 2011}}</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33, 81</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4CF7C696" w14:textId="77777777" w:rsidTr="00A512B7">
        <w:tc>
          <w:tcPr>
            <w:tcW w:w="2088" w:type="dxa"/>
            <w:vMerge/>
          </w:tcPr>
          <w:p w14:paraId="58AEC794" w14:textId="77777777" w:rsidR="00A43052" w:rsidRPr="00164D69" w:rsidRDefault="00A43052" w:rsidP="00A512B7">
            <w:pPr>
              <w:adjustRightInd w:val="0"/>
              <w:snapToGrid w:val="0"/>
              <w:spacing w:after="0" w:line="360" w:lineRule="auto"/>
              <w:ind w:left="0"/>
              <w:rPr>
                <w:rFonts w:ascii="Book Antiqua" w:hAnsi="Book Antiqua"/>
                <w:sz w:val="24"/>
                <w:szCs w:val="24"/>
              </w:rPr>
            </w:pPr>
          </w:p>
        </w:tc>
        <w:tc>
          <w:tcPr>
            <w:tcW w:w="5310" w:type="dxa"/>
          </w:tcPr>
          <w:p w14:paraId="442B4B44" w14:textId="77777777" w:rsidR="00A43052" w:rsidRPr="00164D69" w:rsidRDefault="00A43052" w:rsidP="00A512B7">
            <w:pPr>
              <w:adjustRightInd w:val="0"/>
              <w:snapToGrid w:val="0"/>
              <w:spacing w:after="0" w:line="360" w:lineRule="auto"/>
              <w:ind w:left="0"/>
              <w:jc w:val="center"/>
              <w:rPr>
                <w:rFonts w:ascii="Book Antiqua" w:hAnsi="Book Antiqua" w:cs="Times New Roman"/>
                <w:sz w:val="24"/>
                <w:szCs w:val="24"/>
              </w:rPr>
            </w:pPr>
            <w:r w:rsidRPr="00164D69">
              <w:rPr>
                <w:rFonts w:ascii="Book Antiqua" w:hAnsi="Book Antiqua" w:cs="Times New Roman"/>
                <w:sz w:val="24"/>
                <w:szCs w:val="24"/>
              </w:rPr>
              <w:t>Reciprocal regulation between HIF-1 and miR210</w:t>
            </w:r>
          </w:p>
        </w:tc>
        <w:tc>
          <w:tcPr>
            <w:tcW w:w="1440" w:type="dxa"/>
          </w:tcPr>
          <w:p w14:paraId="4BF339A8" w14:textId="32D2CEE3"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RW.CITE{{88 Wang,H. 2014}}</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81</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2A63B686" w14:textId="77777777" w:rsidTr="00A512B7">
        <w:tc>
          <w:tcPr>
            <w:tcW w:w="2088" w:type="dxa"/>
          </w:tcPr>
          <w:p w14:paraId="588A3930"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Jmjd3</w:t>
            </w:r>
          </w:p>
        </w:tc>
        <w:tc>
          <w:tcPr>
            <w:tcW w:w="5310" w:type="dxa"/>
          </w:tcPr>
          <w:p w14:paraId="49C0D854" w14:textId="516214BB"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H3K27 demethylase, important for Th1/Th17 plasticity</w:t>
            </w:r>
          </w:p>
        </w:tc>
        <w:tc>
          <w:tcPr>
            <w:tcW w:w="1440" w:type="dxa"/>
          </w:tcPr>
          <w:p w14:paraId="0637EBF4" w14:textId="5C57BA4C"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RW.CITE{{108 Li,Q. 2014}}</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101</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49C770C2" w14:textId="77777777" w:rsidTr="00A512B7">
        <w:tc>
          <w:tcPr>
            <w:tcW w:w="2088" w:type="dxa"/>
          </w:tcPr>
          <w:p w14:paraId="4E5E0613" w14:textId="0D315286" w:rsidR="003B4316"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RORc</w:t>
            </w:r>
            <w:r w:rsidR="003B4316" w:rsidRPr="00164D69">
              <w:rPr>
                <w:rFonts w:ascii="Book Antiqua" w:hAnsi="Book Antiqua"/>
                <w:sz w:val="24"/>
                <w:szCs w:val="24"/>
              </w:rPr>
              <w:t xml:space="preserve"> (human)</w:t>
            </w:r>
            <w:r w:rsidR="003B4316" w:rsidRPr="00164D69">
              <w:rPr>
                <w:rFonts w:ascii="Book Antiqua" w:hAnsi="Book Antiqua"/>
                <w:sz w:val="24"/>
                <w:szCs w:val="24"/>
              </w:rPr>
              <w:br/>
            </w:r>
            <w:r w:rsidR="003B4316" w:rsidRPr="00164D69">
              <w:rPr>
                <w:rFonts w:ascii="Book Antiqua" w:hAnsi="Book Antiqua" w:cs="Times New Roman"/>
                <w:sz w:val="24"/>
                <w:szCs w:val="24"/>
              </w:rPr>
              <w:t>RORγt (mouse)</w:t>
            </w:r>
          </w:p>
        </w:tc>
        <w:tc>
          <w:tcPr>
            <w:tcW w:w="5310" w:type="dxa"/>
          </w:tcPr>
          <w:p w14:paraId="081BE71D"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Essential for Th17 differentiation induced by TGF-β1 and IL-6 or IL-21</w:t>
            </w:r>
          </w:p>
        </w:tc>
        <w:tc>
          <w:tcPr>
            <w:tcW w:w="1440" w:type="dxa"/>
          </w:tcPr>
          <w:p w14:paraId="317DFFB4" w14:textId="2C92DBAA"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RW.CITE{{24 Ivanov,I.I. 2006}}</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35</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25C03EEF" w14:textId="77777777" w:rsidTr="00A512B7">
        <w:tc>
          <w:tcPr>
            <w:tcW w:w="2088" w:type="dxa"/>
            <w:vMerge w:val="restart"/>
          </w:tcPr>
          <w:p w14:paraId="033DB08D"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IKZF3 (Aiolos)</w:t>
            </w:r>
          </w:p>
        </w:tc>
        <w:tc>
          <w:tcPr>
            <w:tcW w:w="5310" w:type="dxa"/>
          </w:tcPr>
          <w:p w14:paraId="70AABE2D" w14:textId="6B81421E"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 xml:space="preserve">Promotes Th17 differentiation </w:t>
            </w:r>
            <w:r w:rsidR="00164D69" w:rsidRPr="00164D69">
              <w:rPr>
                <w:rFonts w:ascii="Book Antiqua" w:hAnsi="Book Antiqua"/>
                <w:i/>
                <w:sz w:val="24"/>
                <w:szCs w:val="24"/>
              </w:rPr>
              <w:t xml:space="preserve">via </w:t>
            </w:r>
            <w:r w:rsidRPr="00164D69">
              <w:rPr>
                <w:rFonts w:ascii="Book Antiqua" w:hAnsi="Book Antiqua"/>
                <w:sz w:val="24"/>
                <w:szCs w:val="24"/>
              </w:rPr>
              <w:t xml:space="preserve"> silencing</w:t>
            </w:r>
            <w:r w:rsidR="00673662" w:rsidRPr="00164D69">
              <w:rPr>
                <w:rFonts w:ascii="Book Antiqua" w:hAnsi="Book Antiqua"/>
                <w:sz w:val="24"/>
                <w:szCs w:val="24"/>
              </w:rPr>
              <w:t xml:space="preserve"> of the</w:t>
            </w:r>
            <w:r w:rsidRPr="00164D69">
              <w:rPr>
                <w:rFonts w:ascii="Book Antiqua" w:hAnsi="Book Antiqua"/>
                <w:sz w:val="24"/>
                <w:szCs w:val="24"/>
              </w:rPr>
              <w:t xml:space="preserve"> </w:t>
            </w:r>
            <w:r w:rsidRPr="00164D69">
              <w:rPr>
                <w:rFonts w:ascii="Book Antiqua" w:hAnsi="Book Antiqua"/>
                <w:i/>
                <w:sz w:val="24"/>
                <w:szCs w:val="24"/>
              </w:rPr>
              <w:t>Il2</w:t>
            </w:r>
            <w:r w:rsidRPr="00164D69">
              <w:rPr>
                <w:rFonts w:ascii="Book Antiqua" w:hAnsi="Book Antiqua"/>
                <w:sz w:val="24"/>
                <w:szCs w:val="24"/>
              </w:rPr>
              <w:t xml:space="preserve"> locus</w:t>
            </w:r>
          </w:p>
        </w:tc>
        <w:tc>
          <w:tcPr>
            <w:tcW w:w="1440" w:type="dxa"/>
          </w:tcPr>
          <w:p w14:paraId="614EC3F3" w14:textId="1901CB5F"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RW.CITE{{84 Quintana,F.J. 2012}}</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74</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6025A691" w14:textId="77777777" w:rsidTr="00A512B7">
        <w:tc>
          <w:tcPr>
            <w:tcW w:w="2088" w:type="dxa"/>
            <w:vMerge/>
            <w:tcBorders>
              <w:bottom w:val="single" w:sz="4" w:space="0" w:color="auto"/>
            </w:tcBorders>
          </w:tcPr>
          <w:p w14:paraId="5B3B21C0" w14:textId="77777777" w:rsidR="00A43052" w:rsidRPr="00164D69" w:rsidRDefault="00A43052" w:rsidP="002F6FCA">
            <w:pPr>
              <w:adjustRightInd w:val="0"/>
              <w:snapToGrid w:val="0"/>
              <w:spacing w:after="0" w:line="360" w:lineRule="auto"/>
              <w:ind w:left="0"/>
              <w:jc w:val="both"/>
              <w:rPr>
                <w:rFonts w:ascii="Book Antiqua" w:hAnsi="Book Antiqua"/>
                <w:sz w:val="24"/>
                <w:szCs w:val="24"/>
              </w:rPr>
            </w:pPr>
          </w:p>
        </w:tc>
        <w:tc>
          <w:tcPr>
            <w:tcW w:w="5310" w:type="dxa"/>
            <w:tcBorders>
              <w:bottom w:val="single" w:sz="4" w:space="0" w:color="auto"/>
            </w:tcBorders>
          </w:tcPr>
          <w:p w14:paraId="068AB52B" w14:textId="77777777" w:rsidR="00A43052" w:rsidRPr="00164D69" w:rsidRDefault="00A43052" w:rsidP="00A512B7">
            <w:pPr>
              <w:shd w:val="clear" w:color="auto" w:fill="FFFFFF"/>
              <w:adjustRightInd w:val="0"/>
              <w:snapToGrid w:val="0"/>
              <w:spacing w:after="0" w:line="360" w:lineRule="auto"/>
              <w:ind w:left="0"/>
              <w:jc w:val="center"/>
              <w:textAlignment w:val="baseline"/>
              <w:outlineLvl w:val="0"/>
              <w:rPr>
                <w:rFonts w:ascii="Book Antiqua" w:eastAsia="Times New Roman" w:hAnsi="Book Antiqua" w:cs="Arial"/>
                <w:bCs/>
                <w:kern w:val="36"/>
                <w:sz w:val="24"/>
                <w:szCs w:val="24"/>
              </w:rPr>
            </w:pPr>
            <w:r w:rsidRPr="00164D69">
              <w:rPr>
                <w:rFonts w:ascii="Book Antiqua" w:eastAsia="Times New Roman" w:hAnsi="Book Antiqua" w:cs="Arial"/>
                <w:bCs/>
                <w:kern w:val="36"/>
                <w:sz w:val="24"/>
                <w:szCs w:val="24"/>
              </w:rPr>
              <w:t>Aiolos</w:t>
            </w:r>
            <w:r w:rsidRPr="00164D69">
              <w:rPr>
                <w:rFonts w:ascii="Book Antiqua" w:eastAsia="Times New Roman" w:hAnsi="Book Antiqua" w:cs="Arial"/>
                <w:bCs/>
                <w:kern w:val="36"/>
                <w:sz w:val="24"/>
                <w:szCs w:val="24"/>
                <w:vertAlign w:val="superscript"/>
              </w:rPr>
              <w:t>+</w:t>
            </w:r>
            <w:r w:rsidRPr="00164D69">
              <w:rPr>
                <w:rFonts w:ascii="Book Antiqua" w:eastAsia="Times New Roman" w:hAnsi="Book Antiqua" w:cs="Arial"/>
                <w:bCs/>
                <w:kern w:val="36"/>
                <w:sz w:val="24"/>
                <w:szCs w:val="24"/>
              </w:rPr>
              <w:t xml:space="preserve"> iTreg respond to IL-1β and downregulate their suppressor functions</w:t>
            </w:r>
          </w:p>
        </w:tc>
        <w:tc>
          <w:tcPr>
            <w:tcW w:w="1440" w:type="dxa"/>
            <w:tcBorders>
              <w:bottom w:val="single" w:sz="4" w:space="0" w:color="auto"/>
            </w:tcBorders>
          </w:tcPr>
          <w:p w14:paraId="1254F41D" w14:textId="74E3C158"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RW.CITE{{85 Raffin,C. 2013}}</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75</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bl>
    <w:p w14:paraId="1F74050F" w14:textId="77777777" w:rsidR="00A43052" w:rsidRPr="00164D69" w:rsidRDefault="00A43052" w:rsidP="002F6FCA">
      <w:pPr>
        <w:adjustRightInd w:val="0"/>
        <w:snapToGrid w:val="0"/>
        <w:spacing w:after="0" w:line="360" w:lineRule="auto"/>
        <w:jc w:val="both"/>
        <w:rPr>
          <w:rFonts w:ascii="Book Antiqua" w:hAnsi="Book Antiqua"/>
          <w:sz w:val="24"/>
          <w:szCs w:val="24"/>
          <w:lang w:val="en-US"/>
        </w:rPr>
      </w:pPr>
    </w:p>
    <w:p w14:paraId="40F2D802" w14:textId="77777777" w:rsidR="00A43052" w:rsidRPr="00164D69" w:rsidRDefault="00A43052" w:rsidP="002F6FCA">
      <w:pPr>
        <w:adjustRightInd w:val="0"/>
        <w:snapToGrid w:val="0"/>
        <w:spacing w:after="0" w:line="360" w:lineRule="auto"/>
        <w:jc w:val="both"/>
        <w:rPr>
          <w:rFonts w:ascii="Book Antiqua" w:hAnsi="Book Antiqua"/>
          <w:sz w:val="24"/>
          <w:szCs w:val="24"/>
          <w:lang w:val="en-US"/>
        </w:rPr>
      </w:pPr>
      <w:r w:rsidRPr="00164D69">
        <w:rPr>
          <w:rFonts w:ascii="Book Antiqua" w:hAnsi="Book Antiqua"/>
          <w:sz w:val="24"/>
          <w:szCs w:val="24"/>
          <w:lang w:val="en-US"/>
        </w:rPr>
        <w:br w:type="page"/>
      </w:r>
    </w:p>
    <w:p w14:paraId="3F558A1C" w14:textId="48166FBE" w:rsidR="00A43052" w:rsidRPr="00164D69" w:rsidRDefault="00A512B7" w:rsidP="002F6FCA">
      <w:pPr>
        <w:adjustRightInd w:val="0"/>
        <w:snapToGrid w:val="0"/>
        <w:spacing w:after="0" w:line="360" w:lineRule="auto"/>
        <w:jc w:val="both"/>
        <w:rPr>
          <w:rFonts w:ascii="Book Antiqua" w:hAnsi="Book Antiqua"/>
          <w:b/>
          <w:sz w:val="24"/>
          <w:szCs w:val="24"/>
          <w:lang w:val="en-US"/>
        </w:rPr>
      </w:pPr>
      <w:r w:rsidRPr="00164D69">
        <w:rPr>
          <w:rFonts w:ascii="Book Antiqua" w:hAnsi="Book Antiqua"/>
          <w:b/>
          <w:sz w:val="24"/>
          <w:szCs w:val="24"/>
          <w:lang w:val="en-US"/>
        </w:rPr>
        <w:lastRenderedPageBreak/>
        <w:t>Table 3</w:t>
      </w:r>
      <w:r w:rsidR="00A43052" w:rsidRPr="00164D69">
        <w:rPr>
          <w:rFonts w:ascii="Book Antiqua" w:hAnsi="Book Antiqua"/>
          <w:b/>
          <w:sz w:val="24"/>
          <w:szCs w:val="24"/>
          <w:lang w:val="en-US"/>
        </w:rPr>
        <w:t xml:space="preserve"> Micro RNAs influencing Th17 development and plasticity</w:t>
      </w:r>
    </w:p>
    <w:p w14:paraId="4FA035A7" w14:textId="77777777" w:rsidR="00A43052" w:rsidRPr="00164D69" w:rsidRDefault="00A43052" w:rsidP="002F6FCA">
      <w:pPr>
        <w:adjustRightInd w:val="0"/>
        <w:snapToGrid w:val="0"/>
        <w:spacing w:after="0" w:line="360" w:lineRule="auto"/>
        <w:jc w:val="both"/>
        <w:rPr>
          <w:rFonts w:ascii="Book Antiqua" w:hAnsi="Book Antiqua"/>
          <w:sz w:val="24"/>
          <w:szCs w:val="24"/>
          <w:lang w:val="en-US"/>
        </w:rPr>
      </w:pPr>
    </w:p>
    <w:tbl>
      <w:tblPr>
        <w:tblStyle w:val="af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070"/>
        <w:gridCol w:w="1572"/>
        <w:gridCol w:w="3406"/>
        <w:gridCol w:w="1310"/>
      </w:tblGrid>
      <w:tr w:rsidR="00164D69" w:rsidRPr="00164D69" w14:paraId="4A3A5A13" w14:textId="77777777" w:rsidTr="00A512B7">
        <w:tc>
          <w:tcPr>
            <w:tcW w:w="1316" w:type="dxa"/>
            <w:tcBorders>
              <w:top w:val="single" w:sz="4" w:space="0" w:color="auto"/>
              <w:bottom w:val="single" w:sz="4" w:space="0" w:color="auto"/>
            </w:tcBorders>
          </w:tcPr>
          <w:p w14:paraId="50372D92" w14:textId="77777777" w:rsidR="00A43052" w:rsidRPr="00164D69" w:rsidRDefault="00A43052" w:rsidP="00A512B7">
            <w:pPr>
              <w:adjustRightInd w:val="0"/>
              <w:snapToGrid w:val="0"/>
              <w:spacing w:after="0" w:line="360" w:lineRule="auto"/>
              <w:ind w:left="0"/>
              <w:rPr>
                <w:rFonts w:ascii="Book Antiqua" w:hAnsi="Book Antiqua"/>
                <w:b/>
                <w:sz w:val="24"/>
                <w:szCs w:val="24"/>
              </w:rPr>
            </w:pPr>
            <w:r w:rsidRPr="00164D69">
              <w:rPr>
                <w:rFonts w:ascii="Book Antiqua" w:hAnsi="Book Antiqua"/>
                <w:b/>
                <w:sz w:val="24"/>
                <w:szCs w:val="24"/>
              </w:rPr>
              <w:t>Micro RNA</w:t>
            </w:r>
          </w:p>
        </w:tc>
        <w:tc>
          <w:tcPr>
            <w:tcW w:w="900" w:type="dxa"/>
            <w:tcBorders>
              <w:top w:val="single" w:sz="4" w:space="0" w:color="auto"/>
              <w:bottom w:val="single" w:sz="4" w:space="0" w:color="auto"/>
            </w:tcBorders>
          </w:tcPr>
          <w:p w14:paraId="6FDC1513" w14:textId="77777777" w:rsidR="00A43052" w:rsidRPr="00164D69" w:rsidRDefault="00A43052" w:rsidP="00A512B7">
            <w:pPr>
              <w:adjustRightInd w:val="0"/>
              <w:snapToGrid w:val="0"/>
              <w:spacing w:after="0" w:line="360" w:lineRule="auto"/>
              <w:ind w:left="0"/>
              <w:jc w:val="center"/>
              <w:rPr>
                <w:rFonts w:ascii="Book Antiqua" w:hAnsi="Book Antiqua"/>
                <w:b/>
                <w:sz w:val="24"/>
                <w:szCs w:val="24"/>
              </w:rPr>
            </w:pPr>
            <w:r w:rsidRPr="00164D69">
              <w:rPr>
                <w:rFonts w:ascii="Book Antiqua" w:hAnsi="Book Antiqua"/>
                <w:b/>
                <w:sz w:val="24"/>
                <w:szCs w:val="24"/>
              </w:rPr>
              <w:t>Inducer</w:t>
            </w:r>
          </w:p>
        </w:tc>
        <w:tc>
          <w:tcPr>
            <w:tcW w:w="1672" w:type="dxa"/>
            <w:tcBorders>
              <w:top w:val="single" w:sz="4" w:space="0" w:color="auto"/>
              <w:bottom w:val="single" w:sz="4" w:space="0" w:color="auto"/>
            </w:tcBorders>
          </w:tcPr>
          <w:p w14:paraId="69216E57" w14:textId="77777777" w:rsidR="00A43052" w:rsidRPr="00164D69" w:rsidRDefault="00A43052" w:rsidP="00A512B7">
            <w:pPr>
              <w:adjustRightInd w:val="0"/>
              <w:snapToGrid w:val="0"/>
              <w:spacing w:after="0" w:line="360" w:lineRule="auto"/>
              <w:ind w:left="0"/>
              <w:jc w:val="center"/>
              <w:rPr>
                <w:rFonts w:ascii="Book Antiqua" w:hAnsi="Book Antiqua"/>
                <w:b/>
                <w:sz w:val="24"/>
                <w:szCs w:val="24"/>
              </w:rPr>
            </w:pPr>
            <w:r w:rsidRPr="00164D69">
              <w:rPr>
                <w:rFonts w:ascii="Book Antiqua" w:hAnsi="Book Antiqua"/>
                <w:b/>
                <w:sz w:val="24"/>
                <w:szCs w:val="24"/>
              </w:rPr>
              <w:t>Target</w:t>
            </w:r>
          </w:p>
        </w:tc>
        <w:tc>
          <w:tcPr>
            <w:tcW w:w="3741" w:type="dxa"/>
            <w:tcBorders>
              <w:top w:val="single" w:sz="4" w:space="0" w:color="auto"/>
              <w:bottom w:val="single" w:sz="4" w:space="0" w:color="auto"/>
            </w:tcBorders>
          </w:tcPr>
          <w:p w14:paraId="4292E3EF" w14:textId="77777777" w:rsidR="00A43052" w:rsidRPr="00164D69" w:rsidRDefault="00A43052" w:rsidP="00A512B7">
            <w:pPr>
              <w:adjustRightInd w:val="0"/>
              <w:snapToGrid w:val="0"/>
              <w:spacing w:after="0" w:line="360" w:lineRule="auto"/>
              <w:ind w:left="0"/>
              <w:jc w:val="center"/>
              <w:rPr>
                <w:rFonts w:ascii="Book Antiqua" w:hAnsi="Book Antiqua"/>
                <w:b/>
                <w:sz w:val="24"/>
                <w:szCs w:val="24"/>
              </w:rPr>
            </w:pPr>
            <w:r w:rsidRPr="00164D69">
              <w:rPr>
                <w:rFonts w:ascii="Book Antiqua" w:hAnsi="Book Antiqua"/>
                <w:b/>
                <w:sz w:val="24"/>
                <w:szCs w:val="24"/>
              </w:rPr>
              <w:t>Effect</w:t>
            </w:r>
          </w:p>
        </w:tc>
        <w:tc>
          <w:tcPr>
            <w:tcW w:w="1253" w:type="dxa"/>
            <w:tcBorders>
              <w:top w:val="single" w:sz="4" w:space="0" w:color="auto"/>
              <w:bottom w:val="single" w:sz="4" w:space="0" w:color="auto"/>
            </w:tcBorders>
          </w:tcPr>
          <w:p w14:paraId="183F29FC" w14:textId="77777777" w:rsidR="00A43052" w:rsidRPr="00164D69" w:rsidRDefault="00A43052" w:rsidP="00A512B7">
            <w:pPr>
              <w:adjustRightInd w:val="0"/>
              <w:snapToGrid w:val="0"/>
              <w:spacing w:after="0" w:line="360" w:lineRule="auto"/>
              <w:ind w:left="0"/>
              <w:jc w:val="center"/>
              <w:rPr>
                <w:rFonts w:ascii="Book Antiqua" w:hAnsi="Book Antiqua"/>
                <w:b/>
                <w:sz w:val="24"/>
                <w:szCs w:val="24"/>
              </w:rPr>
            </w:pPr>
            <w:r w:rsidRPr="00164D69">
              <w:rPr>
                <w:rFonts w:ascii="Book Antiqua" w:hAnsi="Book Antiqua"/>
                <w:b/>
                <w:sz w:val="24"/>
                <w:szCs w:val="24"/>
              </w:rPr>
              <w:t>Reference</w:t>
            </w:r>
          </w:p>
        </w:tc>
      </w:tr>
      <w:tr w:rsidR="00164D69" w:rsidRPr="00164D69" w14:paraId="6D4D60D0" w14:textId="77777777" w:rsidTr="00A512B7">
        <w:tc>
          <w:tcPr>
            <w:tcW w:w="1316" w:type="dxa"/>
            <w:tcBorders>
              <w:top w:val="single" w:sz="4" w:space="0" w:color="auto"/>
            </w:tcBorders>
          </w:tcPr>
          <w:p w14:paraId="3B9E6737"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miR10</w:t>
            </w:r>
          </w:p>
        </w:tc>
        <w:tc>
          <w:tcPr>
            <w:tcW w:w="900" w:type="dxa"/>
            <w:tcBorders>
              <w:top w:val="single" w:sz="4" w:space="0" w:color="auto"/>
            </w:tcBorders>
          </w:tcPr>
          <w:p w14:paraId="46EA7A6D"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TGF-β</w:t>
            </w:r>
          </w:p>
        </w:tc>
        <w:tc>
          <w:tcPr>
            <w:tcW w:w="1672" w:type="dxa"/>
            <w:tcBorders>
              <w:top w:val="single" w:sz="4" w:space="0" w:color="auto"/>
            </w:tcBorders>
          </w:tcPr>
          <w:p w14:paraId="2C679272"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Bcl-6</w:t>
            </w:r>
          </w:p>
        </w:tc>
        <w:tc>
          <w:tcPr>
            <w:tcW w:w="3741" w:type="dxa"/>
            <w:tcBorders>
              <w:top w:val="single" w:sz="4" w:space="0" w:color="auto"/>
            </w:tcBorders>
          </w:tcPr>
          <w:p w14:paraId="1C69FA01"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Limit Th17, convert Th cells into Treg</w:t>
            </w:r>
          </w:p>
        </w:tc>
        <w:tc>
          <w:tcPr>
            <w:tcW w:w="1253" w:type="dxa"/>
            <w:tcBorders>
              <w:top w:val="single" w:sz="4" w:space="0" w:color="auto"/>
            </w:tcBorders>
          </w:tcPr>
          <w:p w14:paraId="28A8C2FE" w14:textId="58189DED"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RW.CITE{{87 Baumjohann,D. 2013; 136 Kroesen,B.J. 2015}}</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78, 83</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3E7B0706" w14:textId="77777777" w:rsidTr="00A512B7">
        <w:tc>
          <w:tcPr>
            <w:tcW w:w="1316" w:type="dxa"/>
          </w:tcPr>
          <w:p w14:paraId="4C8803E6"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miR17~92 cluster</w:t>
            </w:r>
          </w:p>
        </w:tc>
        <w:tc>
          <w:tcPr>
            <w:tcW w:w="900" w:type="dxa"/>
          </w:tcPr>
          <w:p w14:paraId="190A5D9B"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p>
        </w:tc>
        <w:tc>
          <w:tcPr>
            <w:tcW w:w="1672" w:type="dxa"/>
          </w:tcPr>
          <w:p w14:paraId="3DB5CEFD"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Creb1, TGF-βRII, KZF4 (miR17), PTEN (miR19)</w:t>
            </w:r>
          </w:p>
        </w:tc>
        <w:tc>
          <w:tcPr>
            <w:tcW w:w="3741" w:type="dxa"/>
          </w:tcPr>
          <w:p w14:paraId="02D284EC"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 xml:space="preserve">Accumulation of antigen-specific iTreg development, IL-10 production, </w:t>
            </w:r>
            <w:r w:rsidR="00673662" w:rsidRPr="00164D69">
              <w:rPr>
                <w:rFonts w:ascii="Book Antiqua" w:hAnsi="Book Antiqua"/>
                <w:sz w:val="24"/>
                <w:szCs w:val="24"/>
              </w:rPr>
              <w:t xml:space="preserve">and </w:t>
            </w:r>
            <w:r w:rsidRPr="00164D69">
              <w:rPr>
                <w:rFonts w:ascii="Book Antiqua" w:hAnsi="Book Antiqua"/>
                <w:sz w:val="24"/>
                <w:szCs w:val="24"/>
              </w:rPr>
              <w:t>possibly Treg cell</w:t>
            </w:r>
            <w:r w:rsidR="00673662" w:rsidRPr="00164D69">
              <w:rPr>
                <w:rFonts w:ascii="Book Antiqua" w:hAnsi="Book Antiqua"/>
                <w:sz w:val="24"/>
                <w:szCs w:val="24"/>
              </w:rPr>
              <w:t xml:space="preserve"> </w:t>
            </w:r>
            <w:r w:rsidRPr="00164D69">
              <w:rPr>
                <w:rFonts w:ascii="Book Antiqua" w:hAnsi="Book Antiqua"/>
                <w:sz w:val="24"/>
                <w:szCs w:val="24"/>
              </w:rPr>
              <w:t>migration</w:t>
            </w:r>
          </w:p>
        </w:tc>
        <w:tc>
          <w:tcPr>
            <w:tcW w:w="1253" w:type="dxa"/>
          </w:tcPr>
          <w:p w14:paraId="6142105F" w14:textId="30F23CF0"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RW.CITE{{87 Baumjohann,D. 2013; 136 Kroesen,B.J. 2015}}</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78, 83</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77B83DA8" w14:textId="77777777" w:rsidTr="00A512B7">
        <w:tc>
          <w:tcPr>
            <w:tcW w:w="1316" w:type="dxa"/>
          </w:tcPr>
          <w:p w14:paraId="10C93AFD"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miR29</w:t>
            </w:r>
          </w:p>
        </w:tc>
        <w:tc>
          <w:tcPr>
            <w:tcW w:w="900" w:type="dxa"/>
          </w:tcPr>
          <w:p w14:paraId="12E8AC2B"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NOD2</w:t>
            </w:r>
          </w:p>
        </w:tc>
        <w:tc>
          <w:tcPr>
            <w:tcW w:w="1672" w:type="dxa"/>
          </w:tcPr>
          <w:p w14:paraId="0321A034"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IL-12p40, IL-23p19</w:t>
            </w:r>
          </w:p>
        </w:tc>
        <w:tc>
          <w:tcPr>
            <w:tcW w:w="3741" w:type="dxa"/>
          </w:tcPr>
          <w:p w14:paraId="3C0B8F4E"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 xml:space="preserve">Inhibit IL-23R </w:t>
            </w:r>
            <w:r w:rsidR="00673662" w:rsidRPr="00164D69">
              <w:rPr>
                <w:rFonts w:ascii="Book Antiqua" w:hAnsi="Book Antiqua"/>
                <w:sz w:val="24"/>
                <w:szCs w:val="24"/>
              </w:rPr>
              <w:t>signalling</w:t>
            </w:r>
          </w:p>
        </w:tc>
        <w:tc>
          <w:tcPr>
            <w:tcW w:w="1253" w:type="dxa"/>
          </w:tcPr>
          <w:p w14:paraId="228587D2" w14:textId="4DE04CE1"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RW.CITE{{89 Brain,O. 2013}}</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80</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7926AE89" w14:textId="77777777" w:rsidTr="00A512B7">
        <w:tc>
          <w:tcPr>
            <w:tcW w:w="1316" w:type="dxa"/>
          </w:tcPr>
          <w:p w14:paraId="722242F9"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miR126</w:t>
            </w:r>
          </w:p>
        </w:tc>
        <w:tc>
          <w:tcPr>
            <w:tcW w:w="900" w:type="dxa"/>
          </w:tcPr>
          <w:p w14:paraId="27704EDB"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p>
        </w:tc>
        <w:tc>
          <w:tcPr>
            <w:tcW w:w="1672" w:type="dxa"/>
          </w:tcPr>
          <w:p w14:paraId="1A8DFFE7"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PIK3R2</w:t>
            </w:r>
          </w:p>
        </w:tc>
        <w:tc>
          <w:tcPr>
            <w:tcW w:w="3741" w:type="dxa"/>
          </w:tcPr>
          <w:p w14:paraId="549EFA50"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Treg-mediate</w:t>
            </w:r>
            <w:r w:rsidR="000C1380" w:rsidRPr="00164D69">
              <w:rPr>
                <w:rFonts w:ascii="Book Antiqua" w:hAnsi="Book Antiqua"/>
                <w:sz w:val="24"/>
                <w:szCs w:val="24"/>
              </w:rPr>
              <w:t>d</w:t>
            </w:r>
            <w:r w:rsidRPr="00164D69">
              <w:rPr>
                <w:rFonts w:ascii="Book Antiqua" w:hAnsi="Book Antiqua"/>
                <w:sz w:val="24"/>
                <w:szCs w:val="24"/>
              </w:rPr>
              <w:t xml:space="preserve"> Immunosuppression</w:t>
            </w:r>
          </w:p>
        </w:tc>
        <w:tc>
          <w:tcPr>
            <w:tcW w:w="1253" w:type="dxa"/>
          </w:tcPr>
          <w:p w14:paraId="71F5AE25" w14:textId="29E83FB2"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RW.CITE{{136 Kroesen,B.J. 2015}}</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83</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5E2D4545" w14:textId="77777777" w:rsidTr="00A512B7">
        <w:tc>
          <w:tcPr>
            <w:tcW w:w="1316" w:type="dxa"/>
          </w:tcPr>
          <w:p w14:paraId="5C02A997"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miR132/212 cluster</w:t>
            </w:r>
          </w:p>
        </w:tc>
        <w:tc>
          <w:tcPr>
            <w:tcW w:w="900" w:type="dxa"/>
          </w:tcPr>
          <w:p w14:paraId="6D30EE61"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TCDD, FICZ</w:t>
            </w:r>
          </w:p>
        </w:tc>
        <w:tc>
          <w:tcPr>
            <w:tcW w:w="1672" w:type="dxa"/>
          </w:tcPr>
          <w:p w14:paraId="0935E7FE"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Bcl-6</w:t>
            </w:r>
          </w:p>
        </w:tc>
        <w:tc>
          <w:tcPr>
            <w:tcW w:w="3741" w:type="dxa"/>
          </w:tcPr>
          <w:p w14:paraId="7411AC59" w14:textId="1B94022E"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 xml:space="preserve">Enhance Th17 development </w:t>
            </w:r>
            <w:r w:rsidR="00164D69" w:rsidRPr="00164D69">
              <w:rPr>
                <w:rFonts w:ascii="Book Antiqua" w:hAnsi="Book Antiqua"/>
                <w:i/>
                <w:sz w:val="24"/>
                <w:szCs w:val="24"/>
              </w:rPr>
              <w:t xml:space="preserve">via </w:t>
            </w:r>
            <w:r w:rsidRPr="00164D69">
              <w:rPr>
                <w:rFonts w:ascii="Book Antiqua" w:hAnsi="Book Antiqua"/>
                <w:sz w:val="24"/>
                <w:szCs w:val="24"/>
              </w:rPr>
              <w:t xml:space="preserve"> AhR pathway</w:t>
            </w:r>
          </w:p>
        </w:tc>
        <w:tc>
          <w:tcPr>
            <w:tcW w:w="1253" w:type="dxa"/>
          </w:tcPr>
          <w:p w14:paraId="650DD18F" w14:textId="7E6CAAFA"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RW.CITE{{140 Nakahama,T. 2013; 136 Kroesen,B.J. 2015}}</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82, 83</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43E871F4" w14:textId="77777777" w:rsidTr="00A512B7">
        <w:tc>
          <w:tcPr>
            <w:tcW w:w="1316" w:type="dxa"/>
          </w:tcPr>
          <w:p w14:paraId="09C75E9B"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miR146a</w:t>
            </w:r>
          </w:p>
        </w:tc>
        <w:tc>
          <w:tcPr>
            <w:tcW w:w="900" w:type="dxa"/>
          </w:tcPr>
          <w:p w14:paraId="4085216C"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TLR2-5</w:t>
            </w:r>
          </w:p>
        </w:tc>
        <w:tc>
          <w:tcPr>
            <w:tcW w:w="1672" w:type="dxa"/>
          </w:tcPr>
          <w:p w14:paraId="4E600027"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STAT1</w:t>
            </w:r>
          </w:p>
        </w:tc>
        <w:tc>
          <w:tcPr>
            <w:tcW w:w="3741" w:type="dxa"/>
          </w:tcPr>
          <w:p w14:paraId="53F2C2CA"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Block Th1 development</w:t>
            </w:r>
          </w:p>
        </w:tc>
        <w:tc>
          <w:tcPr>
            <w:tcW w:w="1253" w:type="dxa"/>
          </w:tcPr>
          <w:p w14:paraId="2327AB6E" w14:textId="0153944B"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RW.CITE{{87 Baumjohann,D. 2013; 124 O'Neill,L.A. 2011}}</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78, 79</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71D97A65" w14:textId="77777777" w:rsidTr="00A512B7">
        <w:tc>
          <w:tcPr>
            <w:tcW w:w="1316" w:type="dxa"/>
          </w:tcPr>
          <w:p w14:paraId="4768730F"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miR155</w:t>
            </w:r>
          </w:p>
        </w:tc>
        <w:tc>
          <w:tcPr>
            <w:tcW w:w="900" w:type="dxa"/>
          </w:tcPr>
          <w:p w14:paraId="0D12E2FD"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TLR2-4, TLR9</w:t>
            </w:r>
          </w:p>
        </w:tc>
        <w:tc>
          <w:tcPr>
            <w:tcW w:w="1672" w:type="dxa"/>
          </w:tcPr>
          <w:p w14:paraId="289AC3E7"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SOCS1</w:t>
            </w:r>
          </w:p>
        </w:tc>
        <w:tc>
          <w:tcPr>
            <w:tcW w:w="3741" w:type="dxa"/>
          </w:tcPr>
          <w:p w14:paraId="545A2D0A"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Unleash STAT1, 4, and 5 signals, and promote Th1, Th2, and Treg</w:t>
            </w:r>
          </w:p>
        </w:tc>
        <w:tc>
          <w:tcPr>
            <w:tcW w:w="1253" w:type="dxa"/>
          </w:tcPr>
          <w:p w14:paraId="227EB459" w14:textId="3647F375"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RW.CITE{{87 Baumjohann,D. 2013; 124 O'Neill,L.A. 2011}}</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78, 79</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46B1BA26" w14:textId="77777777" w:rsidTr="00A512B7">
        <w:tc>
          <w:tcPr>
            <w:tcW w:w="1316" w:type="dxa"/>
          </w:tcPr>
          <w:p w14:paraId="3F395A25"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miR210</w:t>
            </w:r>
          </w:p>
        </w:tc>
        <w:tc>
          <w:tcPr>
            <w:tcW w:w="900" w:type="dxa"/>
          </w:tcPr>
          <w:p w14:paraId="1644152F"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p>
        </w:tc>
        <w:tc>
          <w:tcPr>
            <w:tcW w:w="1672" w:type="dxa"/>
          </w:tcPr>
          <w:p w14:paraId="4CED7A73"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HIF-1 (counter regulator)</w:t>
            </w:r>
          </w:p>
        </w:tc>
        <w:tc>
          <w:tcPr>
            <w:tcW w:w="3741" w:type="dxa"/>
          </w:tcPr>
          <w:p w14:paraId="4D7F6777"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Control Foxp3 expression</w:t>
            </w:r>
          </w:p>
        </w:tc>
        <w:tc>
          <w:tcPr>
            <w:tcW w:w="1253" w:type="dxa"/>
          </w:tcPr>
          <w:p w14:paraId="2BB12A55" w14:textId="325D09A6"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RW.CITE{{88 Wang,H. 2014; 136 Kroesen,B.J. 2015}}</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81, 83</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21CC7333" w14:textId="77777777" w:rsidTr="00A512B7">
        <w:tc>
          <w:tcPr>
            <w:tcW w:w="1316" w:type="dxa"/>
          </w:tcPr>
          <w:p w14:paraId="2B3F1148"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miR301</w:t>
            </w:r>
          </w:p>
        </w:tc>
        <w:tc>
          <w:tcPr>
            <w:tcW w:w="900" w:type="dxa"/>
          </w:tcPr>
          <w:p w14:paraId="2D86C9F4"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p>
        </w:tc>
        <w:tc>
          <w:tcPr>
            <w:tcW w:w="1672" w:type="dxa"/>
          </w:tcPr>
          <w:p w14:paraId="26FE6478"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PIAS3</w:t>
            </w:r>
          </w:p>
        </w:tc>
        <w:tc>
          <w:tcPr>
            <w:tcW w:w="3741" w:type="dxa"/>
          </w:tcPr>
          <w:p w14:paraId="0861065F"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Unleash STAT3 signal, and generate Th17</w:t>
            </w:r>
          </w:p>
        </w:tc>
        <w:tc>
          <w:tcPr>
            <w:tcW w:w="1253" w:type="dxa"/>
          </w:tcPr>
          <w:p w14:paraId="0D3E1586" w14:textId="363F383B"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RW.CITE{{87 Baumjohann,D. 2013}}</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78</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r w:rsidR="00164D69" w:rsidRPr="00164D69" w14:paraId="7CE141B7" w14:textId="77777777" w:rsidTr="00A512B7">
        <w:tc>
          <w:tcPr>
            <w:tcW w:w="1316" w:type="dxa"/>
            <w:tcBorders>
              <w:bottom w:val="single" w:sz="4" w:space="0" w:color="auto"/>
            </w:tcBorders>
          </w:tcPr>
          <w:p w14:paraId="3B6C23E0" w14:textId="77777777" w:rsidR="00A43052" w:rsidRPr="00164D69" w:rsidRDefault="00A43052" w:rsidP="00A512B7">
            <w:pPr>
              <w:adjustRightInd w:val="0"/>
              <w:snapToGrid w:val="0"/>
              <w:spacing w:after="0" w:line="360" w:lineRule="auto"/>
              <w:ind w:left="0"/>
              <w:rPr>
                <w:rFonts w:ascii="Book Antiqua" w:hAnsi="Book Antiqua"/>
                <w:sz w:val="24"/>
                <w:szCs w:val="24"/>
              </w:rPr>
            </w:pPr>
            <w:r w:rsidRPr="00164D69">
              <w:rPr>
                <w:rFonts w:ascii="Book Antiqua" w:hAnsi="Book Antiqua"/>
                <w:sz w:val="24"/>
                <w:szCs w:val="24"/>
              </w:rPr>
              <w:t>miR326</w:t>
            </w:r>
          </w:p>
        </w:tc>
        <w:tc>
          <w:tcPr>
            <w:tcW w:w="900" w:type="dxa"/>
            <w:tcBorders>
              <w:bottom w:val="single" w:sz="4" w:space="0" w:color="auto"/>
            </w:tcBorders>
          </w:tcPr>
          <w:p w14:paraId="3EA912A1"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p>
        </w:tc>
        <w:tc>
          <w:tcPr>
            <w:tcW w:w="1672" w:type="dxa"/>
            <w:tcBorders>
              <w:bottom w:val="single" w:sz="4" w:space="0" w:color="auto"/>
            </w:tcBorders>
          </w:tcPr>
          <w:p w14:paraId="773C848D"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EST-1</w:t>
            </w:r>
          </w:p>
        </w:tc>
        <w:tc>
          <w:tcPr>
            <w:tcW w:w="3741" w:type="dxa"/>
            <w:tcBorders>
              <w:bottom w:val="single" w:sz="4" w:space="0" w:color="auto"/>
            </w:tcBorders>
          </w:tcPr>
          <w:p w14:paraId="67B5FBCC" w14:textId="77777777" w:rsidR="00A43052" w:rsidRPr="00164D69" w:rsidRDefault="00A43052" w:rsidP="00A512B7">
            <w:pPr>
              <w:adjustRightInd w:val="0"/>
              <w:snapToGrid w:val="0"/>
              <w:spacing w:after="0" w:line="360" w:lineRule="auto"/>
              <w:ind w:left="0"/>
              <w:jc w:val="center"/>
              <w:rPr>
                <w:rFonts w:ascii="Book Antiqua" w:hAnsi="Book Antiqua"/>
                <w:sz w:val="24"/>
                <w:szCs w:val="24"/>
              </w:rPr>
            </w:pPr>
            <w:r w:rsidRPr="00164D69">
              <w:rPr>
                <w:rFonts w:ascii="Book Antiqua" w:hAnsi="Book Antiqua"/>
                <w:sz w:val="24"/>
                <w:szCs w:val="24"/>
              </w:rPr>
              <w:t>Critical for Th17 development</w:t>
            </w:r>
          </w:p>
        </w:tc>
        <w:tc>
          <w:tcPr>
            <w:tcW w:w="1253" w:type="dxa"/>
            <w:tcBorders>
              <w:bottom w:val="single" w:sz="4" w:space="0" w:color="auto"/>
            </w:tcBorders>
          </w:tcPr>
          <w:p w14:paraId="4B89B493" w14:textId="0D41F420" w:rsidR="00A43052" w:rsidRPr="00065EBC" w:rsidRDefault="00065EBC" w:rsidP="00A512B7">
            <w:pPr>
              <w:adjustRightInd w:val="0"/>
              <w:snapToGrid w:val="0"/>
              <w:spacing w:after="0" w:line="360" w:lineRule="auto"/>
              <w:ind w:left="0"/>
              <w:jc w:val="center"/>
              <w:rPr>
                <w:rFonts w:ascii="Book Antiqua" w:eastAsia="宋体" w:hAnsi="Book Antiqua"/>
                <w:sz w:val="24"/>
                <w:szCs w:val="24"/>
                <w:lang w:eastAsia="zh-CN"/>
              </w:rPr>
            </w:pPr>
            <w:r>
              <w:rPr>
                <w:rFonts w:ascii="Book Antiqua" w:eastAsia="宋体" w:hAnsi="Book Antiqua" w:hint="eastAsia"/>
                <w:sz w:val="24"/>
                <w:szCs w:val="24"/>
                <w:lang w:eastAsia="zh-CN"/>
              </w:rPr>
              <w:t>[</w:t>
            </w:r>
            <w:r w:rsidR="00A43052" w:rsidRPr="00164D69">
              <w:rPr>
                <w:rFonts w:ascii="Book Antiqua" w:hAnsi="Book Antiqua"/>
                <w:sz w:val="24"/>
                <w:szCs w:val="24"/>
              </w:rPr>
              <w:fldChar w:fldCharType="begin"/>
            </w:r>
            <w:r w:rsidR="00A43052" w:rsidRPr="00164D69">
              <w:rPr>
                <w:rFonts w:ascii="Book Antiqua" w:hAnsi="Book Antiqua"/>
                <w:sz w:val="24"/>
                <w:szCs w:val="24"/>
              </w:rPr>
              <w:instrText>ADDIN RW.CITE{{87 Baumjohann,D. 2013}}</w:instrText>
            </w:r>
            <w:r w:rsidR="00A43052" w:rsidRPr="00164D69">
              <w:rPr>
                <w:rFonts w:ascii="Book Antiqua" w:hAnsi="Book Antiqua"/>
                <w:sz w:val="24"/>
                <w:szCs w:val="24"/>
              </w:rPr>
              <w:fldChar w:fldCharType="separate"/>
            </w:r>
            <w:r w:rsidR="00A43052" w:rsidRPr="00164D69">
              <w:rPr>
                <w:rFonts w:ascii="Book Antiqua" w:hAnsi="Book Antiqua" w:cs="Calibri"/>
                <w:sz w:val="24"/>
                <w:szCs w:val="24"/>
              </w:rPr>
              <w:t>78</w:t>
            </w:r>
            <w:r w:rsidR="00A43052" w:rsidRPr="00164D69">
              <w:rPr>
                <w:rFonts w:ascii="Book Antiqua" w:hAnsi="Book Antiqua"/>
                <w:sz w:val="24"/>
                <w:szCs w:val="24"/>
              </w:rPr>
              <w:fldChar w:fldCharType="end"/>
            </w:r>
            <w:r>
              <w:rPr>
                <w:rFonts w:ascii="Book Antiqua" w:eastAsia="宋体" w:hAnsi="Book Antiqua" w:hint="eastAsia"/>
                <w:sz w:val="24"/>
                <w:szCs w:val="24"/>
                <w:lang w:eastAsia="zh-CN"/>
              </w:rPr>
              <w:t>]</w:t>
            </w:r>
          </w:p>
        </w:tc>
      </w:tr>
    </w:tbl>
    <w:p w14:paraId="68A31345" w14:textId="77777777" w:rsidR="00A43052" w:rsidRPr="00164D69" w:rsidRDefault="00A43052" w:rsidP="002F6FCA">
      <w:pPr>
        <w:adjustRightInd w:val="0"/>
        <w:snapToGrid w:val="0"/>
        <w:spacing w:after="0" w:line="360" w:lineRule="auto"/>
        <w:jc w:val="both"/>
        <w:rPr>
          <w:rFonts w:ascii="Book Antiqua" w:hAnsi="Book Antiqua"/>
          <w:sz w:val="24"/>
          <w:szCs w:val="24"/>
          <w:lang w:val="en-US"/>
        </w:rPr>
      </w:pPr>
    </w:p>
    <w:p w14:paraId="53273FC4" w14:textId="77777777" w:rsidR="00A43052" w:rsidRPr="00164D69" w:rsidRDefault="00A43052" w:rsidP="002F6FCA">
      <w:pPr>
        <w:pStyle w:val="a8"/>
        <w:adjustRightInd w:val="0"/>
        <w:snapToGrid w:val="0"/>
        <w:spacing w:before="0" w:beforeAutospacing="0" w:after="0" w:afterAutospacing="0" w:line="360" w:lineRule="auto"/>
        <w:jc w:val="both"/>
        <w:rPr>
          <w:rFonts w:ascii="Book Antiqua" w:hAnsi="Book Antiqua"/>
          <w:bCs/>
          <w:shd w:val="clear" w:color="auto" w:fill="FFFFFF"/>
        </w:rPr>
      </w:pPr>
    </w:p>
    <w:p w14:paraId="7A61EADE" w14:textId="6BF8FA92" w:rsidR="00206E99" w:rsidRPr="00164D69" w:rsidRDefault="00A43052" w:rsidP="00211A64">
      <w:pPr>
        <w:adjustRightInd w:val="0"/>
        <w:snapToGrid w:val="0"/>
        <w:spacing w:after="0" w:line="360" w:lineRule="auto"/>
        <w:jc w:val="both"/>
        <w:rPr>
          <w:rFonts w:ascii="Book Antiqua" w:hAnsi="Book Antiqua"/>
          <w:bCs/>
          <w:sz w:val="24"/>
          <w:szCs w:val="24"/>
          <w:shd w:val="clear" w:color="auto" w:fill="FFFFFF"/>
        </w:rPr>
      </w:pPr>
      <w:r w:rsidRPr="00164D69">
        <w:rPr>
          <w:rFonts w:ascii="Book Antiqua" w:hAnsi="Book Antiqua"/>
          <w:bCs/>
          <w:sz w:val="24"/>
          <w:szCs w:val="24"/>
          <w:shd w:val="clear" w:color="auto" w:fill="FFFFFF"/>
        </w:rPr>
        <w:br w:type="page"/>
      </w:r>
    </w:p>
    <w:p w14:paraId="3E0EEF0A" w14:textId="77777777" w:rsidR="00A43052" w:rsidRPr="00164D69" w:rsidRDefault="00A43052" w:rsidP="002F6FCA">
      <w:pPr>
        <w:adjustRightInd w:val="0"/>
        <w:snapToGrid w:val="0"/>
        <w:spacing w:after="0" w:line="360" w:lineRule="auto"/>
        <w:jc w:val="both"/>
        <w:rPr>
          <w:rFonts w:ascii="Book Antiqua" w:hAnsi="Book Antiqua" w:cs="Times New Roman"/>
          <w:bCs/>
          <w:sz w:val="24"/>
          <w:szCs w:val="24"/>
          <w:shd w:val="clear" w:color="auto" w:fill="FFFFFF"/>
          <w:lang w:eastAsia="en-GB"/>
        </w:rPr>
      </w:pPr>
    </w:p>
    <w:p w14:paraId="0FF4DB5B" w14:textId="32A759D3" w:rsidR="00A43052" w:rsidRPr="00164D69" w:rsidRDefault="00A43052" w:rsidP="00542439">
      <w:pPr>
        <w:pStyle w:val="a8"/>
        <w:adjustRightInd w:val="0"/>
        <w:snapToGrid w:val="0"/>
        <w:spacing w:before="0" w:beforeAutospacing="0" w:after="0" w:afterAutospacing="0" w:line="360" w:lineRule="auto"/>
        <w:jc w:val="both"/>
        <w:rPr>
          <w:rFonts w:ascii="Book Antiqua" w:hAnsi="Book Antiqua"/>
        </w:rPr>
      </w:pPr>
      <w:r w:rsidRPr="00164D69">
        <w:rPr>
          <w:rFonts w:ascii="Book Antiqua" w:hAnsi="Book Antiqua"/>
          <w:bCs/>
          <w:shd w:val="clear" w:color="auto" w:fill="FFFFFF"/>
        </w:rPr>
        <w:fldChar w:fldCharType="begin"/>
      </w:r>
      <w:r w:rsidRPr="00164D69">
        <w:rPr>
          <w:rFonts w:ascii="Book Antiqua" w:hAnsi="Book Antiqua"/>
          <w:bCs/>
          <w:shd w:val="clear" w:color="auto" w:fill="FFFFFF"/>
        </w:rPr>
        <w:instrText>ADDIN RW.BIB</w:instrText>
      </w:r>
      <w:r w:rsidRPr="00164D69">
        <w:rPr>
          <w:rFonts w:ascii="Book Antiqua" w:hAnsi="Book Antiqua"/>
          <w:bCs/>
          <w:shd w:val="clear" w:color="auto" w:fill="FFFFFF"/>
        </w:rPr>
        <w:fldChar w:fldCharType="separate"/>
      </w:r>
    </w:p>
    <w:p w14:paraId="3F8FF80B" w14:textId="77777777" w:rsidR="00A43052" w:rsidRPr="00164D69" w:rsidRDefault="00A43052" w:rsidP="002F6FCA">
      <w:pPr>
        <w:adjustRightInd w:val="0"/>
        <w:snapToGrid w:val="0"/>
        <w:spacing w:after="0" w:line="360" w:lineRule="auto"/>
        <w:jc w:val="both"/>
        <w:rPr>
          <w:rFonts w:ascii="Book Antiqua" w:hAnsi="Book Antiqua" w:cs="Times New Roman"/>
          <w:sz w:val="24"/>
          <w:szCs w:val="24"/>
        </w:rPr>
      </w:pPr>
      <w:r w:rsidRPr="00164D69">
        <w:rPr>
          <w:rFonts w:ascii="Book Antiqua" w:eastAsia="Times New Roman" w:hAnsi="Book Antiqua" w:cs="Times New Roman"/>
          <w:sz w:val="24"/>
          <w:szCs w:val="24"/>
        </w:rPr>
        <w:t> </w:t>
      </w:r>
      <w:r w:rsidRPr="00164D69">
        <w:rPr>
          <w:rFonts w:ascii="Book Antiqua" w:hAnsi="Book Antiqua" w:cs="Times New Roman"/>
          <w:bCs/>
          <w:sz w:val="24"/>
          <w:szCs w:val="24"/>
          <w:shd w:val="clear" w:color="auto" w:fill="FFFFFF"/>
        </w:rPr>
        <w:fldChar w:fldCharType="end"/>
      </w:r>
    </w:p>
    <w:p w14:paraId="112B8A80" w14:textId="77777777" w:rsidR="00471E67" w:rsidRPr="00164D69" w:rsidRDefault="00471E67" w:rsidP="002F6FCA">
      <w:pPr>
        <w:adjustRightInd w:val="0"/>
        <w:snapToGrid w:val="0"/>
        <w:spacing w:after="0" w:line="360" w:lineRule="auto"/>
        <w:jc w:val="both"/>
        <w:rPr>
          <w:rFonts w:ascii="Book Antiqua" w:hAnsi="Book Antiqua"/>
          <w:sz w:val="24"/>
          <w:szCs w:val="24"/>
        </w:rPr>
      </w:pPr>
    </w:p>
    <w:sectPr w:rsidR="00471E67" w:rsidRPr="00164D69" w:rsidSect="00886D9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68688" w14:textId="77777777" w:rsidR="00EE23DD" w:rsidRDefault="00EE23DD">
      <w:pPr>
        <w:spacing w:after="0" w:line="240" w:lineRule="auto"/>
      </w:pPr>
      <w:r>
        <w:separator/>
      </w:r>
    </w:p>
  </w:endnote>
  <w:endnote w:type="continuationSeparator" w:id="0">
    <w:p w14:paraId="1447A118" w14:textId="77777777" w:rsidR="00EE23DD" w:rsidRDefault="00EE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3971"/>
      <w:docPartObj>
        <w:docPartGallery w:val="Page Numbers (Bottom of Page)"/>
        <w:docPartUnique/>
      </w:docPartObj>
    </w:sdtPr>
    <w:sdtEndPr/>
    <w:sdtContent>
      <w:p w14:paraId="4A2BDA50" w14:textId="77777777" w:rsidR="00696287" w:rsidRDefault="00696287">
        <w:pPr>
          <w:pStyle w:val="a6"/>
          <w:jc w:val="center"/>
        </w:pPr>
        <w:r>
          <w:fldChar w:fldCharType="begin"/>
        </w:r>
        <w:r>
          <w:instrText xml:space="preserve"> PAGE   \* MERGEFORMAT </w:instrText>
        </w:r>
        <w:r>
          <w:fldChar w:fldCharType="separate"/>
        </w:r>
        <w:r w:rsidR="007C310A">
          <w:rPr>
            <w:noProof/>
          </w:rPr>
          <w:t>1</w:t>
        </w:r>
        <w:r>
          <w:rPr>
            <w:noProof/>
          </w:rPr>
          <w:fldChar w:fldCharType="end"/>
        </w:r>
      </w:p>
    </w:sdtContent>
  </w:sdt>
  <w:p w14:paraId="0F631259" w14:textId="77777777" w:rsidR="00696287" w:rsidRDefault="006962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C98E1" w14:textId="77777777" w:rsidR="00EE23DD" w:rsidRDefault="00EE23DD">
      <w:pPr>
        <w:spacing w:after="0" w:line="240" w:lineRule="auto"/>
      </w:pPr>
      <w:r>
        <w:separator/>
      </w:r>
    </w:p>
  </w:footnote>
  <w:footnote w:type="continuationSeparator" w:id="0">
    <w:p w14:paraId="48EA9AA0" w14:textId="77777777" w:rsidR="00EE23DD" w:rsidRDefault="00EE2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4DA"/>
    <w:multiLevelType w:val="hybridMultilevel"/>
    <w:tmpl w:val="4D74EF5C"/>
    <w:lvl w:ilvl="0" w:tplc="5770E6A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931CA"/>
    <w:multiLevelType w:val="hybridMultilevel"/>
    <w:tmpl w:val="A510CA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8312C"/>
    <w:multiLevelType w:val="hybridMultilevel"/>
    <w:tmpl w:val="4964DB68"/>
    <w:lvl w:ilvl="0" w:tplc="04090019">
      <w:start w:val="1"/>
      <w:numFmt w:val="lowerLetter"/>
      <w:lvlText w:val="%1."/>
      <w:lvlJc w:val="left"/>
      <w:pPr>
        <w:ind w:left="216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0C38C0"/>
    <w:multiLevelType w:val="hybridMultilevel"/>
    <w:tmpl w:val="EE90B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0589C"/>
    <w:multiLevelType w:val="hybridMultilevel"/>
    <w:tmpl w:val="28A81C3C"/>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1D3F38D3"/>
    <w:multiLevelType w:val="hybridMultilevel"/>
    <w:tmpl w:val="8E9EA812"/>
    <w:lvl w:ilvl="0" w:tplc="BEE86B28">
      <w:start w:val="3"/>
      <w:numFmt w:val="lowerLetter"/>
      <w:lvlText w:val="%1."/>
      <w:lvlJc w:val="left"/>
      <w:pPr>
        <w:ind w:left="216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F2E69CC"/>
    <w:multiLevelType w:val="hybridMultilevel"/>
    <w:tmpl w:val="EE9678C0"/>
    <w:lvl w:ilvl="0" w:tplc="BADC27D4">
      <w:start w:val="2"/>
      <w:numFmt w:val="lowerLetter"/>
      <w:lvlText w:val="%1."/>
      <w:lvlJc w:val="left"/>
      <w:pPr>
        <w:ind w:left="216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6F3EBB"/>
    <w:multiLevelType w:val="hybridMultilevel"/>
    <w:tmpl w:val="8540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71C56"/>
    <w:multiLevelType w:val="hybridMultilevel"/>
    <w:tmpl w:val="6878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50E78"/>
    <w:multiLevelType w:val="hybridMultilevel"/>
    <w:tmpl w:val="857C4DE4"/>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nsid w:val="47C87AD5"/>
    <w:multiLevelType w:val="hybridMultilevel"/>
    <w:tmpl w:val="4E382E98"/>
    <w:lvl w:ilvl="0" w:tplc="86CCD1DA">
      <w:start w:val="1"/>
      <w:numFmt w:val="decimal"/>
      <w:lvlText w:val="%1."/>
      <w:lvlJc w:val="left"/>
      <w:pPr>
        <w:ind w:left="1080" w:hanging="360"/>
      </w:pPr>
      <w:rPr>
        <w:rFonts w:hint="default"/>
      </w:rPr>
    </w:lvl>
    <w:lvl w:ilvl="1" w:tplc="10C25068">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BC6E00"/>
    <w:multiLevelType w:val="hybridMultilevel"/>
    <w:tmpl w:val="CF7C72BE"/>
    <w:lvl w:ilvl="0" w:tplc="1009000F">
      <w:start w:val="1"/>
      <w:numFmt w:val="decimal"/>
      <w:lvlText w:val="%1."/>
      <w:lvlJc w:val="left"/>
      <w:pPr>
        <w:ind w:left="1440" w:hanging="360"/>
      </w:pPr>
    </w:lvl>
    <w:lvl w:ilvl="1" w:tplc="E234A2B6">
      <w:start w:val="1"/>
      <w:numFmt w:val="low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5A0961C8"/>
    <w:multiLevelType w:val="hybridMultilevel"/>
    <w:tmpl w:val="ED161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658EB"/>
    <w:multiLevelType w:val="hybridMultilevel"/>
    <w:tmpl w:val="576A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50941"/>
    <w:multiLevelType w:val="hybridMultilevel"/>
    <w:tmpl w:val="31F61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9420A"/>
    <w:multiLevelType w:val="hybridMultilevel"/>
    <w:tmpl w:val="57A24158"/>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nsid w:val="70B05D44"/>
    <w:multiLevelType w:val="hybridMultilevel"/>
    <w:tmpl w:val="7828276C"/>
    <w:lvl w:ilvl="0" w:tplc="F32434AA">
      <w:start w:val="4"/>
      <w:numFmt w:val="lowerLetter"/>
      <w:lvlText w:val="%1."/>
      <w:lvlJc w:val="left"/>
      <w:pPr>
        <w:ind w:left="144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3"/>
  </w:num>
  <w:num w:numId="5">
    <w:abstractNumId w:val="14"/>
  </w:num>
  <w:num w:numId="6">
    <w:abstractNumId w:val="15"/>
  </w:num>
  <w:num w:numId="7">
    <w:abstractNumId w:val="10"/>
  </w:num>
  <w:num w:numId="8">
    <w:abstractNumId w:val="9"/>
  </w:num>
  <w:num w:numId="9">
    <w:abstractNumId w:val="4"/>
  </w:num>
  <w:num w:numId="10">
    <w:abstractNumId w:val="1"/>
  </w:num>
  <w:num w:numId="11">
    <w:abstractNumId w:val="6"/>
  </w:num>
  <w:num w:numId="12">
    <w:abstractNumId w:val="5"/>
  </w:num>
  <w:num w:numId="13">
    <w:abstractNumId w:val="11"/>
  </w:num>
  <w:num w:numId="14">
    <w:abstractNumId w:val="2"/>
  </w:num>
  <w:num w:numId="15">
    <w:abstractNumId w:val="16"/>
  </w:num>
  <w:num w:numId="16">
    <w:abstractNumId w:val="12"/>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52"/>
    <w:rsid w:val="00000D24"/>
    <w:rsid w:val="00012BE6"/>
    <w:rsid w:val="0002336B"/>
    <w:rsid w:val="00065EBC"/>
    <w:rsid w:val="000C0BCB"/>
    <w:rsid w:val="000C1380"/>
    <w:rsid w:val="000C27E2"/>
    <w:rsid w:val="00135975"/>
    <w:rsid w:val="00164D69"/>
    <w:rsid w:val="00184585"/>
    <w:rsid w:val="001963E1"/>
    <w:rsid w:val="001A1AA3"/>
    <w:rsid w:val="001D3171"/>
    <w:rsid w:val="001D3D7B"/>
    <w:rsid w:val="001E6BCF"/>
    <w:rsid w:val="001F0AB1"/>
    <w:rsid w:val="00205A74"/>
    <w:rsid w:val="00206E99"/>
    <w:rsid w:val="00211A64"/>
    <w:rsid w:val="0021779E"/>
    <w:rsid w:val="00217D72"/>
    <w:rsid w:val="00227585"/>
    <w:rsid w:val="002337B8"/>
    <w:rsid w:val="00266643"/>
    <w:rsid w:val="0026744A"/>
    <w:rsid w:val="0027569E"/>
    <w:rsid w:val="002822E2"/>
    <w:rsid w:val="00291486"/>
    <w:rsid w:val="002D0FA3"/>
    <w:rsid w:val="002D45E8"/>
    <w:rsid w:val="002F6D72"/>
    <w:rsid w:val="002F6FCA"/>
    <w:rsid w:val="00312D91"/>
    <w:rsid w:val="00314AA7"/>
    <w:rsid w:val="003B4316"/>
    <w:rsid w:val="003C6501"/>
    <w:rsid w:val="003C7360"/>
    <w:rsid w:val="003D1406"/>
    <w:rsid w:val="003E6B7A"/>
    <w:rsid w:val="00415BE0"/>
    <w:rsid w:val="00436D05"/>
    <w:rsid w:val="00471E67"/>
    <w:rsid w:val="004A3177"/>
    <w:rsid w:val="004C1EB3"/>
    <w:rsid w:val="004C2D4C"/>
    <w:rsid w:val="004E2CCB"/>
    <w:rsid w:val="0052636A"/>
    <w:rsid w:val="00542439"/>
    <w:rsid w:val="00553BD1"/>
    <w:rsid w:val="005564C2"/>
    <w:rsid w:val="00561908"/>
    <w:rsid w:val="005631E6"/>
    <w:rsid w:val="00576774"/>
    <w:rsid w:val="005A301B"/>
    <w:rsid w:val="005B053F"/>
    <w:rsid w:val="005B250C"/>
    <w:rsid w:val="005C0220"/>
    <w:rsid w:val="00673662"/>
    <w:rsid w:val="00696287"/>
    <w:rsid w:val="006A2643"/>
    <w:rsid w:val="006E04F5"/>
    <w:rsid w:val="00715579"/>
    <w:rsid w:val="00720FEA"/>
    <w:rsid w:val="0072356E"/>
    <w:rsid w:val="00775F18"/>
    <w:rsid w:val="00787BE0"/>
    <w:rsid w:val="007C310A"/>
    <w:rsid w:val="007D38C8"/>
    <w:rsid w:val="007E0C34"/>
    <w:rsid w:val="007E4174"/>
    <w:rsid w:val="007F6C85"/>
    <w:rsid w:val="00830F3B"/>
    <w:rsid w:val="00857F5E"/>
    <w:rsid w:val="00886D9C"/>
    <w:rsid w:val="008D4422"/>
    <w:rsid w:val="008E6DAA"/>
    <w:rsid w:val="008F1C59"/>
    <w:rsid w:val="0091612E"/>
    <w:rsid w:val="00965A8A"/>
    <w:rsid w:val="009678DA"/>
    <w:rsid w:val="00997D97"/>
    <w:rsid w:val="009C6BDD"/>
    <w:rsid w:val="00A12863"/>
    <w:rsid w:val="00A43052"/>
    <w:rsid w:val="00A46860"/>
    <w:rsid w:val="00A512B7"/>
    <w:rsid w:val="00A51420"/>
    <w:rsid w:val="00A845DF"/>
    <w:rsid w:val="00A84DF4"/>
    <w:rsid w:val="00A9720F"/>
    <w:rsid w:val="00AB2EF2"/>
    <w:rsid w:val="00B05CBE"/>
    <w:rsid w:val="00B467CA"/>
    <w:rsid w:val="00B6204A"/>
    <w:rsid w:val="00B7614A"/>
    <w:rsid w:val="00B94706"/>
    <w:rsid w:val="00BA129E"/>
    <w:rsid w:val="00BB6288"/>
    <w:rsid w:val="00BE2E0D"/>
    <w:rsid w:val="00C4788F"/>
    <w:rsid w:val="00C53060"/>
    <w:rsid w:val="00C85A4E"/>
    <w:rsid w:val="00CD616A"/>
    <w:rsid w:val="00CE26B9"/>
    <w:rsid w:val="00D02133"/>
    <w:rsid w:val="00D025ED"/>
    <w:rsid w:val="00D33C19"/>
    <w:rsid w:val="00D425A2"/>
    <w:rsid w:val="00D46E38"/>
    <w:rsid w:val="00D538E9"/>
    <w:rsid w:val="00D6110A"/>
    <w:rsid w:val="00D64BD4"/>
    <w:rsid w:val="00D73D3B"/>
    <w:rsid w:val="00DD44DD"/>
    <w:rsid w:val="00DD58CA"/>
    <w:rsid w:val="00DF5416"/>
    <w:rsid w:val="00E16AB7"/>
    <w:rsid w:val="00E25DFD"/>
    <w:rsid w:val="00E53E02"/>
    <w:rsid w:val="00E65CB2"/>
    <w:rsid w:val="00E75E8A"/>
    <w:rsid w:val="00EE23DD"/>
    <w:rsid w:val="00F60CED"/>
    <w:rsid w:val="00F64FEB"/>
    <w:rsid w:val="00F67BE1"/>
    <w:rsid w:val="00F738E7"/>
    <w:rsid w:val="00F9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D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52"/>
    <w:pPr>
      <w:spacing w:after="200" w:line="276" w:lineRule="auto"/>
    </w:pPr>
    <w:rPr>
      <w:rFonts w:eastAsiaTheme="minorEastAsia"/>
      <w:lang w:val="en-CA" w:eastAsia="en-CA"/>
    </w:rPr>
  </w:style>
  <w:style w:type="paragraph" w:styleId="2">
    <w:name w:val="heading 2"/>
    <w:basedOn w:val="a"/>
    <w:next w:val="a"/>
    <w:link w:val="2Char"/>
    <w:uiPriority w:val="9"/>
    <w:semiHidden/>
    <w:unhideWhenUsed/>
    <w:qFormat/>
    <w:rsid w:val="00A4305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A43052"/>
    <w:rPr>
      <w:rFonts w:asciiTheme="majorHAnsi" w:eastAsiaTheme="majorEastAsia" w:hAnsiTheme="majorHAnsi" w:cstheme="majorBidi"/>
      <w:b/>
      <w:bCs/>
      <w:color w:val="5B9BD5" w:themeColor="accent1"/>
      <w:sz w:val="26"/>
      <w:szCs w:val="26"/>
      <w:lang w:val="en-CA" w:eastAsia="en-CA"/>
    </w:rPr>
  </w:style>
  <w:style w:type="paragraph" w:styleId="a3">
    <w:name w:val="Title"/>
    <w:basedOn w:val="a"/>
    <w:next w:val="a"/>
    <w:link w:val="Char"/>
    <w:uiPriority w:val="10"/>
    <w:qFormat/>
    <w:rsid w:val="00A430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3"/>
    <w:uiPriority w:val="10"/>
    <w:rsid w:val="00A43052"/>
    <w:rPr>
      <w:rFonts w:asciiTheme="majorHAnsi" w:eastAsiaTheme="majorEastAsia" w:hAnsiTheme="majorHAnsi" w:cstheme="majorBidi"/>
      <w:color w:val="323E4F" w:themeColor="text2" w:themeShade="BF"/>
      <w:spacing w:val="5"/>
      <w:kern w:val="28"/>
      <w:sz w:val="52"/>
      <w:szCs w:val="52"/>
      <w:lang w:val="en-CA" w:eastAsia="en-CA"/>
    </w:rPr>
  </w:style>
  <w:style w:type="paragraph" w:styleId="a4">
    <w:name w:val="List Paragraph"/>
    <w:basedOn w:val="a"/>
    <w:uiPriority w:val="34"/>
    <w:qFormat/>
    <w:rsid w:val="00A43052"/>
    <w:pPr>
      <w:ind w:left="720"/>
      <w:contextualSpacing/>
    </w:pPr>
  </w:style>
  <w:style w:type="paragraph" w:styleId="a5">
    <w:name w:val="header"/>
    <w:basedOn w:val="a"/>
    <w:link w:val="Char0"/>
    <w:uiPriority w:val="99"/>
    <w:unhideWhenUsed/>
    <w:rsid w:val="00A43052"/>
    <w:pPr>
      <w:tabs>
        <w:tab w:val="center" w:pos="4513"/>
        <w:tab w:val="right" w:pos="9026"/>
      </w:tabs>
      <w:spacing w:after="0" w:line="240" w:lineRule="auto"/>
    </w:pPr>
  </w:style>
  <w:style w:type="character" w:customStyle="1" w:styleId="Char0">
    <w:name w:val="页眉 Char"/>
    <w:basedOn w:val="a0"/>
    <w:link w:val="a5"/>
    <w:uiPriority w:val="99"/>
    <w:rsid w:val="00A43052"/>
    <w:rPr>
      <w:rFonts w:eastAsiaTheme="minorEastAsia"/>
      <w:lang w:val="en-CA" w:eastAsia="en-CA"/>
    </w:rPr>
  </w:style>
  <w:style w:type="paragraph" w:styleId="a6">
    <w:name w:val="footer"/>
    <w:basedOn w:val="a"/>
    <w:link w:val="Char1"/>
    <w:uiPriority w:val="99"/>
    <w:unhideWhenUsed/>
    <w:rsid w:val="00A43052"/>
    <w:pPr>
      <w:tabs>
        <w:tab w:val="center" w:pos="4513"/>
        <w:tab w:val="right" w:pos="9026"/>
      </w:tabs>
      <w:spacing w:after="0" w:line="240" w:lineRule="auto"/>
    </w:pPr>
  </w:style>
  <w:style w:type="character" w:customStyle="1" w:styleId="Char1">
    <w:name w:val="页脚 Char"/>
    <w:basedOn w:val="a0"/>
    <w:link w:val="a6"/>
    <w:uiPriority w:val="99"/>
    <w:rsid w:val="00A43052"/>
    <w:rPr>
      <w:rFonts w:eastAsiaTheme="minorEastAsia"/>
      <w:lang w:val="en-CA" w:eastAsia="en-CA"/>
    </w:rPr>
  </w:style>
  <w:style w:type="paragraph" w:styleId="a7">
    <w:name w:val="Balloon Text"/>
    <w:basedOn w:val="a"/>
    <w:link w:val="Char2"/>
    <w:uiPriority w:val="99"/>
    <w:semiHidden/>
    <w:unhideWhenUsed/>
    <w:rsid w:val="00A43052"/>
    <w:pPr>
      <w:spacing w:after="0" w:line="240" w:lineRule="auto"/>
    </w:pPr>
    <w:rPr>
      <w:rFonts w:ascii="Tahoma" w:hAnsi="Tahoma" w:cs="Tahoma"/>
      <w:sz w:val="16"/>
      <w:szCs w:val="16"/>
    </w:rPr>
  </w:style>
  <w:style w:type="character" w:customStyle="1" w:styleId="Char2">
    <w:name w:val="批注框文本 Char"/>
    <w:basedOn w:val="a0"/>
    <w:link w:val="a7"/>
    <w:uiPriority w:val="99"/>
    <w:semiHidden/>
    <w:rsid w:val="00A43052"/>
    <w:rPr>
      <w:rFonts w:ascii="Tahoma" w:eastAsiaTheme="minorEastAsia" w:hAnsi="Tahoma" w:cs="Tahoma"/>
      <w:sz w:val="16"/>
      <w:szCs w:val="16"/>
      <w:lang w:val="en-CA" w:eastAsia="en-CA"/>
    </w:rPr>
  </w:style>
  <w:style w:type="paragraph" w:styleId="a8">
    <w:name w:val="Normal (Web)"/>
    <w:basedOn w:val="a"/>
    <w:uiPriority w:val="99"/>
    <w:unhideWhenUsed/>
    <w:rsid w:val="00A43052"/>
    <w:pPr>
      <w:spacing w:before="100" w:beforeAutospacing="1" w:after="100" w:afterAutospacing="1" w:line="240" w:lineRule="auto"/>
    </w:pPr>
    <w:rPr>
      <w:rFonts w:ascii="Times New Roman" w:hAnsi="Times New Roman" w:cs="Times New Roman"/>
      <w:sz w:val="24"/>
      <w:szCs w:val="24"/>
      <w:lang w:eastAsia="en-GB"/>
    </w:rPr>
  </w:style>
  <w:style w:type="paragraph" w:styleId="a9">
    <w:name w:val="footnote text"/>
    <w:basedOn w:val="a"/>
    <w:link w:val="Char3"/>
    <w:uiPriority w:val="99"/>
    <w:semiHidden/>
    <w:unhideWhenUsed/>
    <w:rsid w:val="00A43052"/>
    <w:pPr>
      <w:spacing w:after="0" w:line="240" w:lineRule="auto"/>
    </w:pPr>
    <w:rPr>
      <w:sz w:val="20"/>
      <w:szCs w:val="20"/>
    </w:rPr>
  </w:style>
  <w:style w:type="character" w:customStyle="1" w:styleId="Char3">
    <w:name w:val="脚注文本 Char"/>
    <w:basedOn w:val="a0"/>
    <w:link w:val="a9"/>
    <w:uiPriority w:val="99"/>
    <w:semiHidden/>
    <w:rsid w:val="00A43052"/>
    <w:rPr>
      <w:rFonts w:eastAsiaTheme="minorEastAsia"/>
      <w:sz w:val="20"/>
      <w:szCs w:val="20"/>
      <w:lang w:val="en-CA" w:eastAsia="en-CA"/>
    </w:rPr>
  </w:style>
  <w:style w:type="character" w:styleId="aa">
    <w:name w:val="footnote reference"/>
    <w:basedOn w:val="a0"/>
    <w:uiPriority w:val="99"/>
    <w:semiHidden/>
    <w:unhideWhenUsed/>
    <w:rsid w:val="00A43052"/>
    <w:rPr>
      <w:vertAlign w:val="superscript"/>
    </w:rPr>
  </w:style>
  <w:style w:type="character" w:styleId="ab">
    <w:name w:val="Hyperlink"/>
    <w:basedOn w:val="a0"/>
    <w:uiPriority w:val="99"/>
    <w:unhideWhenUsed/>
    <w:rsid w:val="00A43052"/>
    <w:rPr>
      <w:color w:val="0000FF"/>
      <w:u w:val="single"/>
    </w:rPr>
  </w:style>
  <w:style w:type="character" w:customStyle="1" w:styleId="apple-converted-space">
    <w:name w:val="apple-converted-space"/>
    <w:basedOn w:val="a0"/>
    <w:rsid w:val="00A43052"/>
  </w:style>
  <w:style w:type="character" w:styleId="ac">
    <w:name w:val="Emphasis"/>
    <w:basedOn w:val="a0"/>
    <w:uiPriority w:val="20"/>
    <w:qFormat/>
    <w:rsid w:val="00A43052"/>
    <w:rPr>
      <w:i/>
      <w:iCs/>
    </w:rPr>
  </w:style>
  <w:style w:type="character" w:styleId="ad">
    <w:name w:val="Strong"/>
    <w:basedOn w:val="a0"/>
    <w:uiPriority w:val="22"/>
    <w:qFormat/>
    <w:rsid w:val="00A43052"/>
    <w:rPr>
      <w:b/>
      <w:bCs/>
    </w:rPr>
  </w:style>
  <w:style w:type="character" w:customStyle="1" w:styleId="mb">
    <w:name w:val="mb"/>
    <w:basedOn w:val="a0"/>
    <w:rsid w:val="00A43052"/>
  </w:style>
  <w:style w:type="character" w:styleId="ae">
    <w:name w:val="Placeholder Text"/>
    <w:basedOn w:val="a0"/>
    <w:uiPriority w:val="99"/>
    <w:semiHidden/>
    <w:rsid w:val="00A43052"/>
    <w:rPr>
      <w:color w:val="808080"/>
    </w:rPr>
  </w:style>
  <w:style w:type="character" w:styleId="af">
    <w:name w:val="annotation reference"/>
    <w:basedOn w:val="a0"/>
    <w:uiPriority w:val="99"/>
    <w:semiHidden/>
    <w:unhideWhenUsed/>
    <w:rsid w:val="00A43052"/>
    <w:rPr>
      <w:sz w:val="16"/>
      <w:szCs w:val="16"/>
    </w:rPr>
  </w:style>
  <w:style w:type="paragraph" w:styleId="af0">
    <w:name w:val="annotation text"/>
    <w:basedOn w:val="a"/>
    <w:link w:val="Char4"/>
    <w:uiPriority w:val="99"/>
    <w:semiHidden/>
    <w:unhideWhenUsed/>
    <w:rsid w:val="00A43052"/>
    <w:pPr>
      <w:spacing w:line="240" w:lineRule="auto"/>
    </w:pPr>
    <w:rPr>
      <w:sz w:val="20"/>
      <w:szCs w:val="20"/>
    </w:rPr>
  </w:style>
  <w:style w:type="character" w:customStyle="1" w:styleId="Char4">
    <w:name w:val="批注文字 Char"/>
    <w:basedOn w:val="a0"/>
    <w:link w:val="af0"/>
    <w:uiPriority w:val="99"/>
    <w:semiHidden/>
    <w:rsid w:val="00A43052"/>
    <w:rPr>
      <w:rFonts w:eastAsiaTheme="minorEastAsia"/>
      <w:sz w:val="20"/>
      <w:szCs w:val="20"/>
      <w:lang w:val="en-CA" w:eastAsia="en-CA"/>
    </w:rPr>
  </w:style>
  <w:style w:type="paragraph" w:styleId="af1">
    <w:name w:val="annotation subject"/>
    <w:basedOn w:val="af0"/>
    <w:next w:val="af0"/>
    <w:link w:val="Char5"/>
    <w:uiPriority w:val="99"/>
    <w:semiHidden/>
    <w:unhideWhenUsed/>
    <w:rsid w:val="00A43052"/>
    <w:rPr>
      <w:b/>
      <w:bCs/>
    </w:rPr>
  </w:style>
  <w:style w:type="character" w:customStyle="1" w:styleId="Char5">
    <w:name w:val="批注主题 Char"/>
    <w:basedOn w:val="Char4"/>
    <w:link w:val="af1"/>
    <w:uiPriority w:val="99"/>
    <w:semiHidden/>
    <w:rsid w:val="00A43052"/>
    <w:rPr>
      <w:rFonts w:eastAsiaTheme="minorEastAsia"/>
      <w:b/>
      <w:bCs/>
      <w:sz w:val="20"/>
      <w:szCs w:val="20"/>
      <w:lang w:val="en-CA" w:eastAsia="en-CA"/>
    </w:rPr>
  </w:style>
  <w:style w:type="paragraph" w:styleId="af2">
    <w:name w:val="No Spacing"/>
    <w:link w:val="Char6"/>
    <w:uiPriority w:val="1"/>
    <w:qFormat/>
    <w:rsid w:val="00A43052"/>
    <w:pPr>
      <w:spacing w:after="0" w:line="240" w:lineRule="auto"/>
    </w:pPr>
    <w:rPr>
      <w:rFonts w:eastAsiaTheme="minorEastAsia"/>
      <w:lang w:eastAsia="ja-JP"/>
    </w:rPr>
  </w:style>
  <w:style w:type="character" w:customStyle="1" w:styleId="Char6">
    <w:name w:val="无间隔 Char"/>
    <w:basedOn w:val="a0"/>
    <w:link w:val="af2"/>
    <w:uiPriority w:val="1"/>
    <w:rsid w:val="00A43052"/>
    <w:rPr>
      <w:rFonts w:eastAsiaTheme="minorEastAsia"/>
      <w:lang w:eastAsia="ja-JP"/>
    </w:rPr>
  </w:style>
  <w:style w:type="character" w:customStyle="1" w:styleId="highlight">
    <w:name w:val="highlight"/>
    <w:basedOn w:val="a0"/>
    <w:rsid w:val="00A43052"/>
  </w:style>
  <w:style w:type="paragraph" w:styleId="af3">
    <w:name w:val="Revision"/>
    <w:hidden/>
    <w:uiPriority w:val="99"/>
    <w:semiHidden/>
    <w:rsid w:val="00A43052"/>
    <w:pPr>
      <w:spacing w:after="0" w:line="240" w:lineRule="auto"/>
    </w:pPr>
    <w:rPr>
      <w:rFonts w:eastAsiaTheme="minorEastAsia"/>
      <w:lang w:val="en-CA" w:eastAsia="en-CA"/>
    </w:rPr>
  </w:style>
  <w:style w:type="table" w:styleId="af4">
    <w:name w:val="Table Grid"/>
    <w:basedOn w:val="a1"/>
    <w:uiPriority w:val="59"/>
    <w:rsid w:val="00A43052"/>
    <w:pPr>
      <w:spacing w:after="0" w:line="240" w:lineRule="auto"/>
      <w:ind w:left="360"/>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批注文字 Char1"/>
    <w:uiPriority w:val="99"/>
    <w:semiHidden/>
    <w:locked/>
    <w:rsid w:val="00A43052"/>
    <w:rPr>
      <w:rFonts w:ascii="Times New Roman" w:eastAsia="宋体" w:hAnsi="Times New Roman" w:cs="Times New Roman"/>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52"/>
    <w:pPr>
      <w:spacing w:after="200" w:line="276" w:lineRule="auto"/>
    </w:pPr>
    <w:rPr>
      <w:rFonts w:eastAsiaTheme="minorEastAsia"/>
      <w:lang w:val="en-CA" w:eastAsia="en-CA"/>
    </w:rPr>
  </w:style>
  <w:style w:type="paragraph" w:styleId="2">
    <w:name w:val="heading 2"/>
    <w:basedOn w:val="a"/>
    <w:next w:val="a"/>
    <w:link w:val="2Char"/>
    <w:uiPriority w:val="9"/>
    <w:semiHidden/>
    <w:unhideWhenUsed/>
    <w:qFormat/>
    <w:rsid w:val="00A4305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A43052"/>
    <w:rPr>
      <w:rFonts w:asciiTheme="majorHAnsi" w:eastAsiaTheme="majorEastAsia" w:hAnsiTheme="majorHAnsi" w:cstheme="majorBidi"/>
      <w:b/>
      <w:bCs/>
      <w:color w:val="5B9BD5" w:themeColor="accent1"/>
      <w:sz w:val="26"/>
      <w:szCs w:val="26"/>
      <w:lang w:val="en-CA" w:eastAsia="en-CA"/>
    </w:rPr>
  </w:style>
  <w:style w:type="paragraph" w:styleId="a3">
    <w:name w:val="Title"/>
    <w:basedOn w:val="a"/>
    <w:next w:val="a"/>
    <w:link w:val="Char"/>
    <w:uiPriority w:val="10"/>
    <w:qFormat/>
    <w:rsid w:val="00A430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标题 Char"/>
    <w:basedOn w:val="a0"/>
    <w:link w:val="a3"/>
    <w:uiPriority w:val="10"/>
    <w:rsid w:val="00A43052"/>
    <w:rPr>
      <w:rFonts w:asciiTheme="majorHAnsi" w:eastAsiaTheme="majorEastAsia" w:hAnsiTheme="majorHAnsi" w:cstheme="majorBidi"/>
      <w:color w:val="323E4F" w:themeColor="text2" w:themeShade="BF"/>
      <w:spacing w:val="5"/>
      <w:kern w:val="28"/>
      <w:sz w:val="52"/>
      <w:szCs w:val="52"/>
      <w:lang w:val="en-CA" w:eastAsia="en-CA"/>
    </w:rPr>
  </w:style>
  <w:style w:type="paragraph" w:styleId="a4">
    <w:name w:val="List Paragraph"/>
    <w:basedOn w:val="a"/>
    <w:uiPriority w:val="34"/>
    <w:qFormat/>
    <w:rsid w:val="00A43052"/>
    <w:pPr>
      <w:ind w:left="720"/>
      <w:contextualSpacing/>
    </w:pPr>
  </w:style>
  <w:style w:type="paragraph" w:styleId="a5">
    <w:name w:val="header"/>
    <w:basedOn w:val="a"/>
    <w:link w:val="Char0"/>
    <w:uiPriority w:val="99"/>
    <w:unhideWhenUsed/>
    <w:rsid w:val="00A43052"/>
    <w:pPr>
      <w:tabs>
        <w:tab w:val="center" w:pos="4513"/>
        <w:tab w:val="right" w:pos="9026"/>
      </w:tabs>
      <w:spacing w:after="0" w:line="240" w:lineRule="auto"/>
    </w:pPr>
  </w:style>
  <w:style w:type="character" w:customStyle="1" w:styleId="Char0">
    <w:name w:val="页眉 Char"/>
    <w:basedOn w:val="a0"/>
    <w:link w:val="a5"/>
    <w:uiPriority w:val="99"/>
    <w:rsid w:val="00A43052"/>
    <w:rPr>
      <w:rFonts w:eastAsiaTheme="minorEastAsia"/>
      <w:lang w:val="en-CA" w:eastAsia="en-CA"/>
    </w:rPr>
  </w:style>
  <w:style w:type="paragraph" w:styleId="a6">
    <w:name w:val="footer"/>
    <w:basedOn w:val="a"/>
    <w:link w:val="Char1"/>
    <w:uiPriority w:val="99"/>
    <w:unhideWhenUsed/>
    <w:rsid w:val="00A43052"/>
    <w:pPr>
      <w:tabs>
        <w:tab w:val="center" w:pos="4513"/>
        <w:tab w:val="right" w:pos="9026"/>
      </w:tabs>
      <w:spacing w:after="0" w:line="240" w:lineRule="auto"/>
    </w:pPr>
  </w:style>
  <w:style w:type="character" w:customStyle="1" w:styleId="Char1">
    <w:name w:val="页脚 Char"/>
    <w:basedOn w:val="a0"/>
    <w:link w:val="a6"/>
    <w:uiPriority w:val="99"/>
    <w:rsid w:val="00A43052"/>
    <w:rPr>
      <w:rFonts w:eastAsiaTheme="minorEastAsia"/>
      <w:lang w:val="en-CA" w:eastAsia="en-CA"/>
    </w:rPr>
  </w:style>
  <w:style w:type="paragraph" w:styleId="a7">
    <w:name w:val="Balloon Text"/>
    <w:basedOn w:val="a"/>
    <w:link w:val="Char2"/>
    <w:uiPriority w:val="99"/>
    <w:semiHidden/>
    <w:unhideWhenUsed/>
    <w:rsid w:val="00A43052"/>
    <w:pPr>
      <w:spacing w:after="0" w:line="240" w:lineRule="auto"/>
    </w:pPr>
    <w:rPr>
      <w:rFonts w:ascii="Tahoma" w:hAnsi="Tahoma" w:cs="Tahoma"/>
      <w:sz w:val="16"/>
      <w:szCs w:val="16"/>
    </w:rPr>
  </w:style>
  <w:style w:type="character" w:customStyle="1" w:styleId="Char2">
    <w:name w:val="批注框文本 Char"/>
    <w:basedOn w:val="a0"/>
    <w:link w:val="a7"/>
    <w:uiPriority w:val="99"/>
    <w:semiHidden/>
    <w:rsid w:val="00A43052"/>
    <w:rPr>
      <w:rFonts w:ascii="Tahoma" w:eastAsiaTheme="minorEastAsia" w:hAnsi="Tahoma" w:cs="Tahoma"/>
      <w:sz w:val="16"/>
      <w:szCs w:val="16"/>
      <w:lang w:val="en-CA" w:eastAsia="en-CA"/>
    </w:rPr>
  </w:style>
  <w:style w:type="paragraph" w:styleId="a8">
    <w:name w:val="Normal (Web)"/>
    <w:basedOn w:val="a"/>
    <w:uiPriority w:val="99"/>
    <w:unhideWhenUsed/>
    <w:rsid w:val="00A43052"/>
    <w:pPr>
      <w:spacing w:before="100" w:beforeAutospacing="1" w:after="100" w:afterAutospacing="1" w:line="240" w:lineRule="auto"/>
    </w:pPr>
    <w:rPr>
      <w:rFonts w:ascii="Times New Roman" w:hAnsi="Times New Roman" w:cs="Times New Roman"/>
      <w:sz w:val="24"/>
      <w:szCs w:val="24"/>
      <w:lang w:eastAsia="en-GB"/>
    </w:rPr>
  </w:style>
  <w:style w:type="paragraph" w:styleId="a9">
    <w:name w:val="footnote text"/>
    <w:basedOn w:val="a"/>
    <w:link w:val="Char3"/>
    <w:uiPriority w:val="99"/>
    <w:semiHidden/>
    <w:unhideWhenUsed/>
    <w:rsid w:val="00A43052"/>
    <w:pPr>
      <w:spacing w:after="0" w:line="240" w:lineRule="auto"/>
    </w:pPr>
    <w:rPr>
      <w:sz w:val="20"/>
      <w:szCs w:val="20"/>
    </w:rPr>
  </w:style>
  <w:style w:type="character" w:customStyle="1" w:styleId="Char3">
    <w:name w:val="脚注文本 Char"/>
    <w:basedOn w:val="a0"/>
    <w:link w:val="a9"/>
    <w:uiPriority w:val="99"/>
    <w:semiHidden/>
    <w:rsid w:val="00A43052"/>
    <w:rPr>
      <w:rFonts w:eastAsiaTheme="minorEastAsia"/>
      <w:sz w:val="20"/>
      <w:szCs w:val="20"/>
      <w:lang w:val="en-CA" w:eastAsia="en-CA"/>
    </w:rPr>
  </w:style>
  <w:style w:type="character" w:styleId="aa">
    <w:name w:val="footnote reference"/>
    <w:basedOn w:val="a0"/>
    <w:uiPriority w:val="99"/>
    <w:semiHidden/>
    <w:unhideWhenUsed/>
    <w:rsid w:val="00A43052"/>
    <w:rPr>
      <w:vertAlign w:val="superscript"/>
    </w:rPr>
  </w:style>
  <w:style w:type="character" w:styleId="ab">
    <w:name w:val="Hyperlink"/>
    <w:basedOn w:val="a0"/>
    <w:uiPriority w:val="99"/>
    <w:unhideWhenUsed/>
    <w:rsid w:val="00A43052"/>
    <w:rPr>
      <w:color w:val="0000FF"/>
      <w:u w:val="single"/>
    </w:rPr>
  </w:style>
  <w:style w:type="character" w:customStyle="1" w:styleId="apple-converted-space">
    <w:name w:val="apple-converted-space"/>
    <w:basedOn w:val="a0"/>
    <w:rsid w:val="00A43052"/>
  </w:style>
  <w:style w:type="character" w:styleId="ac">
    <w:name w:val="Emphasis"/>
    <w:basedOn w:val="a0"/>
    <w:uiPriority w:val="20"/>
    <w:qFormat/>
    <w:rsid w:val="00A43052"/>
    <w:rPr>
      <w:i/>
      <w:iCs/>
    </w:rPr>
  </w:style>
  <w:style w:type="character" w:styleId="ad">
    <w:name w:val="Strong"/>
    <w:basedOn w:val="a0"/>
    <w:uiPriority w:val="22"/>
    <w:qFormat/>
    <w:rsid w:val="00A43052"/>
    <w:rPr>
      <w:b/>
      <w:bCs/>
    </w:rPr>
  </w:style>
  <w:style w:type="character" w:customStyle="1" w:styleId="mb">
    <w:name w:val="mb"/>
    <w:basedOn w:val="a0"/>
    <w:rsid w:val="00A43052"/>
  </w:style>
  <w:style w:type="character" w:styleId="ae">
    <w:name w:val="Placeholder Text"/>
    <w:basedOn w:val="a0"/>
    <w:uiPriority w:val="99"/>
    <w:semiHidden/>
    <w:rsid w:val="00A43052"/>
    <w:rPr>
      <w:color w:val="808080"/>
    </w:rPr>
  </w:style>
  <w:style w:type="character" w:styleId="af">
    <w:name w:val="annotation reference"/>
    <w:basedOn w:val="a0"/>
    <w:uiPriority w:val="99"/>
    <w:semiHidden/>
    <w:unhideWhenUsed/>
    <w:rsid w:val="00A43052"/>
    <w:rPr>
      <w:sz w:val="16"/>
      <w:szCs w:val="16"/>
    </w:rPr>
  </w:style>
  <w:style w:type="paragraph" w:styleId="af0">
    <w:name w:val="annotation text"/>
    <w:basedOn w:val="a"/>
    <w:link w:val="Char4"/>
    <w:uiPriority w:val="99"/>
    <w:semiHidden/>
    <w:unhideWhenUsed/>
    <w:rsid w:val="00A43052"/>
    <w:pPr>
      <w:spacing w:line="240" w:lineRule="auto"/>
    </w:pPr>
    <w:rPr>
      <w:sz w:val="20"/>
      <w:szCs w:val="20"/>
    </w:rPr>
  </w:style>
  <w:style w:type="character" w:customStyle="1" w:styleId="Char4">
    <w:name w:val="批注文字 Char"/>
    <w:basedOn w:val="a0"/>
    <w:link w:val="af0"/>
    <w:uiPriority w:val="99"/>
    <w:semiHidden/>
    <w:rsid w:val="00A43052"/>
    <w:rPr>
      <w:rFonts w:eastAsiaTheme="minorEastAsia"/>
      <w:sz w:val="20"/>
      <w:szCs w:val="20"/>
      <w:lang w:val="en-CA" w:eastAsia="en-CA"/>
    </w:rPr>
  </w:style>
  <w:style w:type="paragraph" w:styleId="af1">
    <w:name w:val="annotation subject"/>
    <w:basedOn w:val="af0"/>
    <w:next w:val="af0"/>
    <w:link w:val="Char5"/>
    <w:uiPriority w:val="99"/>
    <w:semiHidden/>
    <w:unhideWhenUsed/>
    <w:rsid w:val="00A43052"/>
    <w:rPr>
      <w:b/>
      <w:bCs/>
    </w:rPr>
  </w:style>
  <w:style w:type="character" w:customStyle="1" w:styleId="Char5">
    <w:name w:val="批注主题 Char"/>
    <w:basedOn w:val="Char4"/>
    <w:link w:val="af1"/>
    <w:uiPriority w:val="99"/>
    <w:semiHidden/>
    <w:rsid w:val="00A43052"/>
    <w:rPr>
      <w:rFonts w:eastAsiaTheme="minorEastAsia"/>
      <w:b/>
      <w:bCs/>
      <w:sz w:val="20"/>
      <w:szCs w:val="20"/>
      <w:lang w:val="en-CA" w:eastAsia="en-CA"/>
    </w:rPr>
  </w:style>
  <w:style w:type="paragraph" w:styleId="af2">
    <w:name w:val="No Spacing"/>
    <w:link w:val="Char6"/>
    <w:uiPriority w:val="1"/>
    <w:qFormat/>
    <w:rsid w:val="00A43052"/>
    <w:pPr>
      <w:spacing w:after="0" w:line="240" w:lineRule="auto"/>
    </w:pPr>
    <w:rPr>
      <w:rFonts w:eastAsiaTheme="minorEastAsia"/>
      <w:lang w:eastAsia="ja-JP"/>
    </w:rPr>
  </w:style>
  <w:style w:type="character" w:customStyle="1" w:styleId="Char6">
    <w:name w:val="无间隔 Char"/>
    <w:basedOn w:val="a0"/>
    <w:link w:val="af2"/>
    <w:uiPriority w:val="1"/>
    <w:rsid w:val="00A43052"/>
    <w:rPr>
      <w:rFonts w:eastAsiaTheme="minorEastAsia"/>
      <w:lang w:eastAsia="ja-JP"/>
    </w:rPr>
  </w:style>
  <w:style w:type="character" w:customStyle="1" w:styleId="highlight">
    <w:name w:val="highlight"/>
    <w:basedOn w:val="a0"/>
    <w:rsid w:val="00A43052"/>
  </w:style>
  <w:style w:type="paragraph" w:styleId="af3">
    <w:name w:val="Revision"/>
    <w:hidden/>
    <w:uiPriority w:val="99"/>
    <w:semiHidden/>
    <w:rsid w:val="00A43052"/>
    <w:pPr>
      <w:spacing w:after="0" w:line="240" w:lineRule="auto"/>
    </w:pPr>
    <w:rPr>
      <w:rFonts w:eastAsiaTheme="minorEastAsia"/>
      <w:lang w:val="en-CA" w:eastAsia="en-CA"/>
    </w:rPr>
  </w:style>
  <w:style w:type="table" w:styleId="af4">
    <w:name w:val="Table Grid"/>
    <w:basedOn w:val="a1"/>
    <w:uiPriority w:val="59"/>
    <w:rsid w:val="00A43052"/>
    <w:pPr>
      <w:spacing w:after="0" w:line="240" w:lineRule="auto"/>
      <w:ind w:left="360"/>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批注文字 Char1"/>
    <w:uiPriority w:val="99"/>
    <w:semiHidden/>
    <w:locked/>
    <w:rsid w:val="00A43052"/>
    <w:rPr>
      <w:rFonts w:ascii="Times New Roman" w:eastAsia="宋体" w:hAnsi="Times New Roman" w:cs="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6660">
      <w:bodyDiv w:val="1"/>
      <w:marLeft w:val="0"/>
      <w:marRight w:val="0"/>
      <w:marTop w:val="0"/>
      <w:marBottom w:val="0"/>
      <w:divBdr>
        <w:top w:val="none" w:sz="0" w:space="0" w:color="auto"/>
        <w:left w:val="none" w:sz="0" w:space="0" w:color="auto"/>
        <w:bottom w:val="none" w:sz="0" w:space="0" w:color="auto"/>
        <w:right w:val="none" w:sz="0" w:space="0" w:color="auto"/>
      </w:divBdr>
    </w:div>
    <w:div w:id="1098333615">
      <w:bodyDiv w:val="1"/>
      <w:marLeft w:val="0"/>
      <w:marRight w:val="0"/>
      <w:marTop w:val="0"/>
      <w:marBottom w:val="0"/>
      <w:divBdr>
        <w:top w:val="none" w:sz="0" w:space="0" w:color="auto"/>
        <w:left w:val="none" w:sz="0" w:space="0" w:color="auto"/>
        <w:bottom w:val="none" w:sz="0" w:space="0" w:color="auto"/>
        <w:right w:val="none" w:sz="0" w:space="0" w:color="auto"/>
      </w:divBdr>
    </w:div>
    <w:div w:id="2019188959">
      <w:bodyDiv w:val="1"/>
      <w:marLeft w:val="0"/>
      <w:marRight w:val="0"/>
      <w:marTop w:val="0"/>
      <w:marBottom w:val="0"/>
      <w:divBdr>
        <w:top w:val="none" w:sz="0" w:space="0" w:color="auto"/>
        <w:left w:val="none" w:sz="0" w:space="0" w:color="auto"/>
        <w:bottom w:val="none" w:sz="0" w:space="0" w:color="auto"/>
        <w:right w:val="none" w:sz="0" w:space="0" w:color="auto"/>
      </w:divBdr>
      <w:divsChild>
        <w:div w:id="1570070796">
          <w:marLeft w:val="0"/>
          <w:marRight w:val="0"/>
          <w:marTop w:val="0"/>
          <w:marBottom w:val="0"/>
          <w:divBdr>
            <w:top w:val="none" w:sz="0" w:space="0" w:color="auto"/>
            <w:left w:val="none" w:sz="0" w:space="0" w:color="auto"/>
            <w:bottom w:val="none" w:sz="0" w:space="0" w:color="auto"/>
            <w:right w:val="none" w:sz="0" w:space="0" w:color="auto"/>
          </w:divBdr>
          <w:divsChild>
            <w:div w:id="1525749393">
              <w:marLeft w:val="0"/>
              <w:marRight w:val="0"/>
              <w:marTop w:val="0"/>
              <w:marBottom w:val="0"/>
              <w:divBdr>
                <w:top w:val="none" w:sz="0" w:space="0" w:color="auto"/>
                <w:left w:val="none" w:sz="0" w:space="0" w:color="auto"/>
                <w:bottom w:val="none" w:sz="0" w:space="0" w:color="auto"/>
                <w:right w:val="none" w:sz="0" w:space="0" w:color="auto"/>
              </w:divBdr>
            </w:div>
            <w:div w:id="1502962124">
              <w:marLeft w:val="0"/>
              <w:marRight w:val="0"/>
              <w:marTop w:val="0"/>
              <w:marBottom w:val="0"/>
              <w:divBdr>
                <w:top w:val="none" w:sz="0" w:space="0" w:color="auto"/>
                <w:left w:val="none" w:sz="0" w:space="0" w:color="auto"/>
                <w:bottom w:val="none" w:sz="0" w:space="0" w:color="auto"/>
                <w:right w:val="none" w:sz="0" w:space="0" w:color="auto"/>
              </w:divBdr>
            </w:div>
            <w:div w:id="1870098057">
              <w:marLeft w:val="0"/>
              <w:marRight w:val="0"/>
              <w:marTop w:val="0"/>
              <w:marBottom w:val="0"/>
              <w:divBdr>
                <w:top w:val="none" w:sz="0" w:space="0" w:color="auto"/>
                <w:left w:val="none" w:sz="0" w:space="0" w:color="auto"/>
                <w:bottom w:val="none" w:sz="0" w:space="0" w:color="auto"/>
                <w:right w:val="none" w:sz="0" w:space="0" w:color="auto"/>
              </w:divBdr>
            </w:div>
            <w:div w:id="828399742">
              <w:marLeft w:val="0"/>
              <w:marRight w:val="0"/>
              <w:marTop w:val="0"/>
              <w:marBottom w:val="0"/>
              <w:divBdr>
                <w:top w:val="none" w:sz="0" w:space="0" w:color="auto"/>
                <w:left w:val="none" w:sz="0" w:space="0" w:color="auto"/>
                <w:bottom w:val="none" w:sz="0" w:space="0" w:color="auto"/>
                <w:right w:val="none" w:sz="0" w:space="0" w:color="auto"/>
              </w:divBdr>
            </w:div>
            <w:div w:id="1902402730">
              <w:marLeft w:val="0"/>
              <w:marRight w:val="0"/>
              <w:marTop w:val="0"/>
              <w:marBottom w:val="0"/>
              <w:divBdr>
                <w:top w:val="none" w:sz="0" w:space="0" w:color="auto"/>
                <w:left w:val="none" w:sz="0" w:space="0" w:color="auto"/>
                <w:bottom w:val="none" w:sz="0" w:space="0" w:color="auto"/>
                <w:right w:val="none" w:sz="0" w:space="0" w:color="auto"/>
              </w:divBdr>
            </w:div>
            <w:div w:id="232474752">
              <w:marLeft w:val="0"/>
              <w:marRight w:val="0"/>
              <w:marTop w:val="0"/>
              <w:marBottom w:val="0"/>
              <w:divBdr>
                <w:top w:val="none" w:sz="0" w:space="0" w:color="auto"/>
                <w:left w:val="none" w:sz="0" w:space="0" w:color="auto"/>
                <w:bottom w:val="none" w:sz="0" w:space="0" w:color="auto"/>
                <w:right w:val="none" w:sz="0" w:space="0" w:color="auto"/>
              </w:divBdr>
            </w:div>
            <w:div w:id="59250397">
              <w:marLeft w:val="0"/>
              <w:marRight w:val="0"/>
              <w:marTop w:val="0"/>
              <w:marBottom w:val="0"/>
              <w:divBdr>
                <w:top w:val="none" w:sz="0" w:space="0" w:color="auto"/>
                <w:left w:val="none" w:sz="0" w:space="0" w:color="auto"/>
                <w:bottom w:val="none" w:sz="0" w:space="0" w:color="auto"/>
                <w:right w:val="none" w:sz="0" w:space="0" w:color="auto"/>
              </w:divBdr>
            </w:div>
            <w:div w:id="737361535">
              <w:marLeft w:val="0"/>
              <w:marRight w:val="0"/>
              <w:marTop w:val="0"/>
              <w:marBottom w:val="0"/>
              <w:divBdr>
                <w:top w:val="none" w:sz="0" w:space="0" w:color="auto"/>
                <w:left w:val="none" w:sz="0" w:space="0" w:color="auto"/>
                <w:bottom w:val="none" w:sz="0" w:space="0" w:color="auto"/>
                <w:right w:val="none" w:sz="0" w:space="0" w:color="auto"/>
              </w:divBdr>
            </w:div>
            <w:div w:id="988243883">
              <w:marLeft w:val="0"/>
              <w:marRight w:val="0"/>
              <w:marTop w:val="0"/>
              <w:marBottom w:val="0"/>
              <w:divBdr>
                <w:top w:val="none" w:sz="0" w:space="0" w:color="auto"/>
                <w:left w:val="none" w:sz="0" w:space="0" w:color="auto"/>
                <w:bottom w:val="none" w:sz="0" w:space="0" w:color="auto"/>
                <w:right w:val="none" w:sz="0" w:space="0" w:color="auto"/>
              </w:divBdr>
            </w:div>
            <w:div w:id="918949710">
              <w:marLeft w:val="0"/>
              <w:marRight w:val="0"/>
              <w:marTop w:val="0"/>
              <w:marBottom w:val="0"/>
              <w:divBdr>
                <w:top w:val="none" w:sz="0" w:space="0" w:color="auto"/>
                <w:left w:val="none" w:sz="0" w:space="0" w:color="auto"/>
                <w:bottom w:val="none" w:sz="0" w:space="0" w:color="auto"/>
                <w:right w:val="none" w:sz="0" w:space="0" w:color="auto"/>
              </w:divBdr>
            </w:div>
            <w:div w:id="711080903">
              <w:marLeft w:val="0"/>
              <w:marRight w:val="0"/>
              <w:marTop w:val="0"/>
              <w:marBottom w:val="0"/>
              <w:divBdr>
                <w:top w:val="none" w:sz="0" w:space="0" w:color="auto"/>
                <w:left w:val="none" w:sz="0" w:space="0" w:color="auto"/>
                <w:bottom w:val="none" w:sz="0" w:space="0" w:color="auto"/>
                <w:right w:val="none" w:sz="0" w:space="0" w:color="auto"/>
              </w:divBdr>
            </w:div>
            <w:div w:id="1751732372">
              <w:marLeft w:val="0"/>
              <w:marRight w:val="0"/>
              <w:marTop w:val="0"/>
              <w:marBottom w:val="0"/>
              <w:divBdr>
                <w:top w:val="none" w:sz="0" w:space="0" w:color="auto"/>
                <w:left w:val="none" w:sz="0" w:space="0" w:color="auto"/>
                <w:bottom w:val="none" w:sz="0" w:space="0" w:color="auto"/>
                <w:right w:val="none" w:sz="0" w:space="0" w:color="auto"/>
              </w:divBdr>
            </w:div>
            <w:div w:id="1838568881">
              <w:marLeft w:val="0"/>
              <w:marRight w:val="0"/>
              <w:marTop w:val="0"/>
              <w:marBottom w:val="0"/>
              <w:divBdr>
                <w:top w:val="none" w:sz="0" w:space="0" w:color="auto"/>
                <w:left w:val="none" w:sz="0" w:space="0" w:color="auto"/>
                <w:bottom w:val="none" w:sz="0" w:space="0" w:color="auto"/>
                <w:right w:val="none" w:sz="0" w:space="0" w:color="auto"/>
              </w:divBdr>
            </w:div>
            <w:div w:id="190339502">
              <w:marLeft w:val="0"/>
              <w:marRight w:val="0"/>
              <w:marTop w:val="0"/>
              <w:marBottom w:val="0"/>
              <w:divBdr>
                <w:top w:val="none" w:sz="0" w:space="0" w:color="auto"/>
                <w:left w:val="none" w:sz="0" w:space="0" w:color="auto"/>
                <w:bottom w:val="none" w:sz="0" w:space="0" w:color="auto"/>
                <w:right w:val="none" w:sz="0" w:space="0" w:color="auto"/>
              </w:divBdr>
            </w:div>
            <w:div w:id="1393950">
              <w:marLeft w:val="0"/>
              <w:marRight w:val="0"/>
              <w:marTop w:val="0"/>
              <w:marBottom w:val="0"/>
              <w:divBdr>
                <w:top w:val="none" w:sz="0" w:space="0" w:color="auto"/>
                <w:left w:val="none" w:sz="0" w:space="0" w:color="auto"/>
                <w:bottom w:val="none" w:sz="0" w:space="0" w:color="auto"/>
                <w:right w:val="none" w:sz="0" w:space="0" w:color="auto"/>
              </w:divBdr>
            </w:div>
            <w:div w:id="960841783">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2594901">
              <w:marLeft w:val="0"/>
              <w:marRight w:val="0"/>
              <w:marTop w:val="0"/>
              <w:marBottom w:val="0"/>
              <w:divBdr>
                <w:top w:val="none" w:sz="0" w:space="0" w:color="auto"/>
                <w:left w:val="none" w:sz="0" w:space="0" w:color="auto"/>
                <w:bottom w:val="none" w:sz="0" w:space="0" w:color="auto"/>
                <w:right w:val="none" w:sz="0" w:space="0" w:color="auto"/>
              </w:divBdr>
            </w:div>
            <w:div w:id="712316135">
              <w:marLeft w:val="0"/>
              <w:marRight w:val="0"/>
              <w:marTop w:val="0"/>
              <w:marBottom w:val="0"/>
              <w:divBdr>
                <w:top w:val="none" w:sz="0" w:space="0" w:color="auto"/>
                <w:left w:val="none" w:sz="0" w:space="0" w:color="auto"/>
                <w:bottom w:val="none" w:sz="0" w:space="0" w:color="auto"/>
                <w:right w:val="none" w:sz="0" w:space="0" w:color="auto"/>
              </w:divBdr>
            </w:div>
            <w:div w:id="1882356238">
              <w:marLeft w:val="0"/>
              <w:marRight w:val="0"/>
              <w:marTop w:val="0"/>
              <w:marBottom w:val="0"/>
              <w:divBdr>
                <w:top w:val="none" w:sz="0" w:space="0" w:color="auto"/>
                <w:left w:val="none" w:sz="0" w:space="0" w:color="auto"/>
                <w:bottom w:val="none" w:sz="0" w:space="0" w:color="auto"/>
                <w:right w:val="none" w:sz="0" w:space="0" w:color="auto"/>
              </w:divBdr>
            </w:div>
            <w:div w:id="373384640">
              <w:marLeft w:val="0"/>
              <w:marRight w:val="0"/>
              <w:marTop w:val="0"/>
              <w:marBottom w:val="0"/>
              <w:divBdr>
                <w:top w:val="none" w:sz="0" w:space="0" w:color="auto"/>
                <w:left w:val="none" w:sz="0" w:space="0" w:color="auto"/>
                <w:bottom w:val="none" w:sz="0" w:space="0" w:color="auto"/>
                <w:right w:val="none" w:sz="0" w:space="0" w:color="auto"/>
              </w:divBdr>
            </w:div>
            <w:div w:id="445198016">
              <w:marLeft w:val="0"/>
              <w:marRight w:val="0"/>
              <w:marTop w:val="0"/>
              <w:marBottom w:val="0"/>
              <w:divBdr>
                <w:top w:val="none" w:sz="0" w:space="0" w:color="auto"/>
                <w:left w:val="none" w:sz="0" w:space="0" w:color="auto"/>
                <w:bottom w:val="none" w:sz="0" w:space="0" w:color="auto"/>
                <w:right w:val="none" w:sz="0" w:space="0" w:color="auto"/>
              </w:divBdr>
            </w:div>
            <w:div w:id="379787274">
              <w:marLeft w:val="0"/>
              <w:marRight w:val="0"/>
              <w:marTop w:val="0"/>
              <w:marBottom w:val="0"/>
              <w:divBdr>
                <w:top w:val="none" w:sz="0" w:space="0" w:color="auto"/>
                <w:left w:val="none" w:sz="0" w:space="0" w:color="auto"/>
                <w:bottom w:val="none" w:sz="0" w:space="0" w:color="auto"/>
                <w:right w:val="none" w:sz="0" w:space="0" w:color="auto"/>
              </w:divBdr>
            </w:div>
            <w:div w:id="1342124777">
              <w:marLeft w:val="0"/>
              <w:marRight w:val="0"/>
              <w:marTop w:val="0"/>
              <w:marBottom w:val="0"/>
              <w:divBdr>
                <w:top w:val="none" w:sz="0" w:space="0" w:color="auto"/>
                <w:left w:val="none" w:sz="0" w:space="0" w:color="auto"/>
                <w:bottom w:val="none" w:sz="0" w:space="0" w:color="auto"/>
                <w:right w:val="none" w:sz="0" w:space="0" w:color="auto"/>
              </w:divBdr>
            </w:div>
            <w:div w:id="1053115059">
              <w:marLeft w:val="0"/>
              <w:marRight w:val="0"/>
              <w:marTop w:val="0"/>
              <w:marBottom w:val="0"/>
              <w:divBdr>
                <w:top w:val="none" w:sz="0" w:space="0" w:color="auto"/>
                <w:left w:val="none" w:sz="0" w:space="0" w:color="auto"/>
                <w:bottom w:val="none" w:sz="0" w:space="0" w:color="auto"/>
                <w:right w:val="none" w:sz="0" w:space="0" w:color="auto"/>
              </w:divBdr>
            </w:div>
            <w:div w:id="1655060712">
              <w:marLeft w:val="0"/>
              <w:marRight w:val="0"/>
              <w:marTop w:val="0"/>
              <w:marBottom w:val="0"/>
              <w:divBdr>
                <w:top w:val="none" w:sz="0" w:space="0" w:color="auto"/>
                <w:left w:val="none" w:sz="0" w:space="0" w:color="auto"/>
                <w:bottom w:val="none" w:sz="0" w:space="0" w:color="auto"/>
                <w:right w:val="none" w:sz="0" w:space="0" w:color="auto"/>
              </w:divBdr>
            </w:div>
            <w:div w:id="942347834">
              <w:marLeft w:val="0"/>
              <w:marRight w:val="0"/>
              <w:marTop w:val="0"/>
              <w:marBottom w:val="0"/>
              <w:divBdr>
                <w:top w:val="none" w:sz="0" w:space="0" w:color="auto"/>
                <w:left w:val="none" w:sz="0" w:space="0" w:color="auto"/>
                <w:bottom w:val="none" w:sz="0" w:space="0" w:color="auto"/>
                <w:right w:val="none" w:sz="0" w:space="0" w:color="auto"/>
              </w:divBdr>
            </w:div>
            <w:div w:id="1015305549">
              <w:marLeft w:val="0"/>
              <w:marRight w:val="0"/>
              <w:marTop w:val="0"/>
              <w:marBottom w:val="0"/>
              <w:divBdr>
                <w:top w:val="none" w:sz="0" w:space="0" w:color="auto"/>
                <w:left w:val="none" w:sz="0" w:space="0" w:color="auto"/>
                <w:bottom w:val="none" w:sz="0" w:space="0" w:color="auto"/>
                <w:right w:val="none" w:sz="0" w:space="0" w:color="auto"/>
              </w:divBdr>
            </w:div>
            <w:div w:id="40908127">
              <w:marLeft w:val="0"/>
              <w:marRight w:val="0"/>
              <w:marTop w:val="0"/>
              <w:marBottom w:val="0"/>
              <w:divBdr>
                <w:top w:val="none" w:sz="0" w:space="0" w:color="auto"/>
                <w:left w:val="none" w:sz="0" w:space="0" w:color="auto"/>
                <w:bottom w:val="none" w:sz="0" w:space="0" w:color="auto"/>
                <w:right w:val="none" w:sz="0" w:space="0" w:color="auto"/>
              </w:divBdr>
            </w:div>
            <w:div w:id="501118521">
              <w:marLeft w:val="0"/>
              <w:marRight w:val="0"/>
              <w:marTop w:val="0"/>
              <w:marBottom w:val="0"/>
              <w:divBdr>
                <w:top w:val="none" w:sz="0" w:space="0" w:color="auto"/>
                <w:left w:val="none" w:sz="0" w:space="0" w:color="auto"/>
                <w:bottom w:val="none" w:sz="0" w:space="0" w:color="auto"/>
                <w:right w:val="none" w:sz="0" w:space="0" w:color="auto"/>
              </w:divBdr>
            </w:div>
            <w:div w:id="106586514">
              <w:marLeft w:val="0"/>
              <w:marRight w:val="0"/>
              <w:marTop w:val="0"/>
              <w:marBottom w:val="0"/>
              <w:divBdr>
                <w:top w:val="none" w:sz="0" w:space="0" w:color="auto"/>
                <w:left w:val="none" w:sz="0" w:space="0" w:color="auto"/>
                <w:bottom w:val="none" w:sz="0" w:space="0" w:color="auto"/>
                <w:right w:val="none" w:sz="0" w:space="0" w:color="auto"/>
              </w:divBdr>
            </w:div>
            <w:div w:id="990249944">
              <w:marLeft w:val="0"/>
              <w:marRight w:val="0"/>
              <w:marTop w:val="0"/>
              <w:marBottom w:val="0"/>
              <w:divBdr>
                <w:top w:val="none" w:sz="0" w:space="0" w:color="auto"/>
                <w:left w:val="none" w:sz="0" w:space="0" w:color="auto"/>
                <w:bottom w:val="none" w:sz="0" w:space="0" w:color="auto"/>
                <w:right w:val="none" w:sz="0" w:space="0" w:color="auto"/>
              </w:divBdr>
            </w:div>
            <w:div w:id="1934051144">
              <w:marLeft w:val="0"/>
              <w:marRight w:val="0"/>
              <w:marTop w:val="0"/>
              <w:marBottom w:val="0"/>
              <w:divBdr>
                <w:top w:val="none" w:sz="0" w:space="0" w:color="auto"/>
                <w:left w:val="none" w:sz="0" w:space="0" w:color="auto"/>
                <w:bottom w:val="none" w:sz="0" w:space="0" w:color="auto"/>
                <w:right w:val="none" w:sz="0" w:space="0" w:color="auto"/>
              </w:divBdr>
            </w:div>
            <w:div w:id="869689003">
              <w:marLeft w:val="0"/>
              <w:marRight w:val="0"/>
              <w:marTop w:val="0"/>
              <w:marBottom w:val="0"/>
              <w:divBdr>
                <w:top w:val="none" w:sz="0" w:space="0" w:color="auto"/>
                <w:left w:val="none" w:sz="0" w:space="0" w:color="auto"/>
                <w:bottom w:val="none" w:sz="0" w:space="0" w:color="auto"/>
                <w:right w:val="none" w:sz="0" w:space="0" w:color="auto"/>
              </w:divBdr>
            </w:div>
            <w:div w:id="1307586089">
              <w:marLeft w:val="0"/>
              <w:marRight w:val="0"/>
              <w:marTop w:val="0"/>
              <w:marBottom w:val="0"/>
              <w:divBdr>
                <w:top w:val="none" w:sz="0" w:space="0" w:color="auto"/>
                <w:left w:val="none" w:sz="0" w:space="0" w:color="auto"/>
                <w:bottom w:val="none" w:sz="0" w:space="0" w:color="auto"/>
                <w:right w:val="none" w:sz="0" w:space="0" w:color="auto"/>
              </w:divBdr>
            </w:div>
            <w:div w:id="42022004">
              <w:marLeft w:val="0"/>
              <w:marRight w:val="0"/>
              <w:marTop w:val="0"/>
              <w:marBottom w:val="0"/>
              <w:divBdr>
                <w:top w:val="none" w:sz="0" w:space="0" w:color="auto"/>
                <w:left w:val="none" w:sz="0" w:space="0" w:color="auto"/>
                <w:bottom w:val="none" w:sz="0" w:space="0" w:color="auto"/>
                <w:right w:val="none" w:sz="0" w:space="0" w:color="auto"/>
              </w:divBdr>
            </w:div>
            <w:div w:id="1510682477">
              <w:marLeft w:val="0"/>
              <w:marRight w:val="0"/>
              <w:marTop w:val="0"/>
              <w:marBottom w:val="0"/>
              <w:divBdr>
                <w:top w:val="none" w:sz="0" w:space="0" w:color="auto"/>
                <w:left w:val="none" w:sz="0" w:space="0" w:color="auto"/>
                <w:bottom w:val="none" w:sz="0" w:space="0" w:color="auto"/>
                <w:right w:val="none" w:sz="0" w:space="0" w:color="auto"/>
              </w:divBdr>
            </w:div>
            <w:div w:id="98335031">
              <w:marLeft w:val="0"/>
              <w:marRight w:val="0"/>
              <w:marTop w:val="0"/>
              <w:marBottom w:val="0"/>
              <w:divBdr>
                <w:top w:val="none" w:sz="0" w:space="0" w:color="auto"/>
                <w:left w:val="none" w:sz="0" w:space="0" w:color="auto"/>
                <w:bottom w:val="none" w:sz="0" w:space="0" w:color="auto"/>
                <w:right w:val="none" w:sz="0" w:space="0" w:color="auto"/>
              </w:divBdr>
            </w:div>
            <w:div w:id="1385563087">
              <w:marLeft w:val="0"/>
              <w:marRight w:val="0"/>
              <w:marTop w:val="0"/>
              <w:marBottom w:val="0"/>
              <w:divBdr>
                <w:top w:val="none" w:sz="0" w:space="0" w:color="auto"/>
                <w:left w:val="none" w:sz="0" w:space="0" w:color="auto"/>
                <w:bottom w:val="none" w:sz="0" w:space="0" w:color="auto"/>
                <w:right w:val="none" w:sz="0" w:space="0" w:color="auto"/>
              </w:divBdr>
            </w:div>
            <w:div w:id="666783536">
              <w:marLeft w:val="0"/>
              <w:marRight w:val="0"/>
              <w:marTop w:val="0"/>
              <w:marBottom w:val="0"/>
              <w:divBdr>
                <w:top w:val="none" w:sz="0" w:space="0" w:color="auto"/>
                <w:left w:val="none" w:sz="0" w:space="0" w:color="auto"/>
                <w:bottom w:val="none" w:sz="0" w:space="0" w:color="auto"/>
                <w:right w:val="none" w:sz="0" w:space="0" w:color="auto"/>
              </w:divBdr>
            </w:div>
            <w:div w:id="2115830824">
              <w:marLeft w:val="0"/>
              <w:marRight w:val="0"/>
              <w:marTop w:val="0"/>
              <w:marBottom w:val="0"/>
              <w:divBdr>
                <w:top w:val="none" w:sz="0" w:space="0" w:color="auto"/>
                <w:left w:val="none" w:sz="0" w:space="0" w:color="auto"/>
                <w:bottom w:val="none" w:sz="0" w:space="0" w:color="auto"/>
                <w:right w:val="none" w:sz="0" w:space="0" w:color="auto"/>
              </w:divBdr>
            </w:div>
            <w:div w:id="2010593279">
              <w:marLeft w:val="0"/>
              <w:marRight w:val="0"/>
              <w:marTop w:val="0"/>
              <w:marBottom w:val="0"/>
              <w:divBdr>
                <w:top w:val="none" w:sz="0" w:space="0" w:color="auto"/>
                <w:left w:val="none" w:sz="0" w:space="0" w:color="auto"/>
                <w:bottom w:val="none" w:sz="0" w:space="0" w:color="auto"/>
                <w:right w:val="none" w:sz="0" w:space="0" w:color="auto"/>
              </w:divBdr>
            </w:div>
            <w:div w:id="1203202205">
              <w:marLeft w:val="0"/>
              <w:marRight w:val="0"/>
              <w:marTop w:val="0"/>
              <w:marBottom w:val="0"/>
              <w:divBdr>
                <w:top w:val="none" w:sz="0" w:space="0" w:color="auto"/>
                <w:left w:val="none" w:sz="0" w:space="0" w:color="auto"/>
                <w:bottom w:val="none" w:sz="0" w:space="0" w:color="auto"/>
                <w:right w:val="none" w:sz="0" w:space="0" w:color="auto"/>
              </w:divBdr>
            </w:div>
            <w:div w:id="154496886">
              <w:marLeft w:val="0"/>
              <w:marRight w:val="0"/>
              <w:marTop w:val="0"/>
              <w:marBottom w:val="0"/>
              <w:divBdr>
                <w:top w:val="none" w:sz="0" w:space="0" w:color="auto"/>
                <w:left w:val="none" w:sz="0" w:space="0" w:color="auto"/>
                <w:bottom w:val="none" w:sz="0" w:space="0" w:color="auto"/>
                <w:right w:val="none" w:sz="0" w:space="0" w:color="auto"/>
              </w:divBdr>
            </w:div>
            <w:div w:id="486089492">
              <w:marLeft w:val="0"/>
              <w:marRight w:val="0"/>
              <w:marTop w:val="0"/>
              <w:marBottom w:val="0"/>
              <w:divBdr>
                <w:top w:val="none" w:sz="0" w:space="0" w:color="auto"/>
                <w:left w:val="none" w:sz="0" w:space="0" w:color="auto"/>
                <w:bottom w:val="none" w:sz="0" w:space="0" w:color="auto"/>
                <w:right w:val="none" w:sz="0" w:space="0" w:color="auto"/>
              </w:divBdr>
            </w:div>
            <w:div w:id="996540715">
              <w:marLeft w:val="0"/>
              <w:marRight w:val="0"/>
              <w:marTop w:val="0"/>
              <w:marBottom w:val="0"/>
              <w:divBdr>
                <w:top w:val="none" w:sz="0" w:space="0" w:color="auto"/>
                <w:left w:val="none" w:sz="0" w:space="0" w:color="auto"/>
                <w:bottom w:val="none" w:sz="0" w:space="0" w:color="auto"/>
                <w:right w:val="none" w:sz="0" w:space="0" w:color="auto"/>
              </w:divBdr>
            </w:div>
            <w:div w:id="1596011156">
              <w:marLeft w:val="0"/>
              <w:marRight w:val="0"/>
              <w:marTop w:val="0"/>
              <w:marBottom w:val="0"/>
              <w:divBdr>
                <w:top w:val="none" w:sz="0" w:space="0" w:color="auto"/>
                <w:left w:val="none" w:sz="0" w:space="0" w:color="auto"/>
                <w:bottom w:val="none" w:sz="0" w:space="0" w:color="auto"/>
                <w:right w:val="none" w:sz="0" w:space="0" w:color="auto"/>
              </w:divBdr>
            </w:div>
            <w:div w:id="1858882788">
              <w:marLeft w:val="0"/>
              <w:marRight w:val="0"/>
              <w:marTop w:val="0"/>
              <w:marBottom w:val="0"/>
              <w:divBdr>
                <w:top w:val="none" w:sz="0" w:space="0" w:color="auto"/>
                <w:left w:val="none" w:sz="0" w:space="0" w:color="auto"/>
                <w:bottom w:val="none" w:sz="0" w:space="0" w:color="auto"/>
                <w:right w:val="none" w:sz="0" w:space="0" w:color="auto"/>
              </w:divBdr>
            </w:div>
            <w:div w:id="1503466968">
              <w:marLeft w:val="0"/>
              <w:marRight w:val="0"/>
              <w:marTop w:val="0"/>
              <w:marBottom w:val="0"/>
              <w:divBdr>
                <w:top w:val="none" w:sz="0" w:space="0" w:color="auto"/>
                <w:left w:val="none" w:sz="0" w:space="0" w:color="auto"/>
                <w:bottom w:val="none" w:sz="0" w:space="0" w:color="auto"/>
                <w:right w:val="none" w:sz="0" w:space="0" w:color="auto"/>
              </w:divBdr>
            </w:div>
            <w:div w:id="2067953455">
              <w:marLeft w:val="0"/>
              <w:marRight w:val="0"/>
              <w:marTop w:val="0"/>
              <w:marBottom w:val="0"/>
              <w:divBdr>
                <w:top w:val="none" w:sz="0" w:space="0" w:color="auto"/>
                <w:left w:val="none" w:sz="0" w:space="0" w:color="auto"/>
                <w:bottom w:val="none" w:sz="0" w:space="0" w:color="auto"/>
                <w:right w:val="none" w:sz="0" w:space="0" w:color="auto"/>
              </w:divBdr>
            </w:div>
            <w:div w:id="1604996122">
              <w:marLeft w:val="0"/>
              <w:marRight w:val="0"/>
              <w:marTop w:val="0"/>
              <w:marBottom w:val="0"/>
              <w:divBdr>
                <w:top w:val="none" w:sz="0" w:space="0" w:color="auto"/>
                <w:left w:val="none" w:sz="0" w:space="0" w:color="auto"/>
                <w:bottom w:val="none" w:sz="0" w:space="0" w:color="auto"/>
                <w:right w:val="none" w:sz="0" w:space="0" w:color="auto"/>
              </w:divBdr>
            </w:div>
            <w:div w:id="499153259">
              <w:marLeft w:val="0"/>
              <w:marRight w:val="0"/>
              <w:marTop w:val="0"/>
              <w:marBottom w:val="0"/>
              <w:divBdr>
                <w:top w:val="none" w:sz="0" w:space="0" w:color="auto"/>
                <w:left w:val="none" w:sz="0" w:space="0" w:color="auto"/>
                <w:bottom w:val="none" w:sz="0" w:space="0" w:color="auto"/>
                <w:right w:val="none" w:sz="0" w:space="0" w:color="auto"/>
              </w:divBdr>
            </w:div>
            <w:div w:id="573012488">
              <w:marLeft w:val="0"/>
              <w:marRight w:val="0"/>
              <w:marTop w:val="0"/>
              <w:marBottom w:val="0"/>
              <w:divBdr>
                <w:top w:val="none" w:sz="0" w:space="0" w:color="auto"/>
                <w:left w:val="none" w:sz="0" w:space="0" w:color="auto"/>
                <w:bottom w:val="none" w:sz="0" w:space="0" w:color="auto"/>
                <w:right w:val="none" w:sz="0" w:space="0" w:color="auto"/>
              </w:divBdr>
            </w:div>
            <w:div w:id="661470848">
              <w:marLeft w:val="0"/>
              <w:marRight w:val="0"/>
              <w:marTop w:val="0"/>
              <w:marBottom w:val="0"/>
              <w:divBdr>
                <w:top w:val="none" w:sz="0" w:space="0" w:color="auto"/>
                <w:left w:val="none" w:sz="0" w:space="0" w:color="auto"/>
                <w:bottom w:val="none" w:sz="0" w:space="0" w:color="auto"/>
                <w:right w:val="none" w:sz="0" w:space="0" w:color="auto"/>
              </w:divBdr>
            </w:div>
            <w:div w:id="1216769715">
              <w:marLeft w:val="0"/>
              <w:marRight w:val="0"/>
              <w:marTop w:val="0"/>
              <w:marBottom w:val="0"/>
              <w:divBdr>
                <w:top w:val="none" w:sz="0" w:space="0" w:color="auto"/>
                <w:left w:val="none" w:sz="0" w:space="0" w:color="auto"/>
                <w:bottom w:val="none" w:sz="0" w:space="0" w:color="auto"/>
                <w:right w:val="none" w:sz="0" w:space="0" w:color="auto"/>
              </w:divBdr>
            </w:div>
            <w:div w:id="1852791664">
              <w:marLeft w:val="0"/>
              <w:marRight w:val="0"/>
              <w:marTop w:val="0"/>
              <w:marBottom w:val="0"/>
              <w:divBdr>
                <w:top w:val="none" w:sz="0" w:space="0" w:color="auto"/>
                <w:left w:val="none" w:sz="0" w:space="0" w:color="auto"/>
                <w:bottom w:val="none" w:sz="0" w:space="0" w:color="auto"/>
                <w:right w:val="none" w:sz="0" w:space="0" w:color="auto"/>
              </w:divBdr>
            </w:div>
            <w:div w:id="145511871">
              <w:marLeft w:val="0"/>
              <w:marRight w:val="0"/>
              <w:marTop w:val="0"/>
              <w:marBottom w:val="0"/>
              <w:divBdr>
                <w:top w:val="none" w:sz="0" w:space="0" w:color="auto"/>
                <w:left w:val="none" w:sz="0" w:space="0" w:color="auto"/>
                <w:bottom w:val="none" w:sz="0" w:space="0" w:color="auto"/>
                <w:right w:val="none" w:sz="0" w:space="0" w:color="auto"/>
              </w:divBdr>
            </w:div>
            <w:div w:id="846286988">
              <w:marLeft w:val="0"/>
              <w:marRight w:val="0"/>
              <w:marTop w:val="0"/>
              <w:marBottom w:val="0"/>
              <w:divBdr>
                <w:top w:val="none" w:sz="0" w:space="0" w:color="auto"/>
                <w:left w:val="none" w:sz="0" w:space="0" w:color="auto"/>
                <w:bottom w:val="none" w:sz="0" w:space="0" w:color="auto"/>
                <w:right w:val="none" w:sz="0" w:space="0" w:color="auto"/>
              </w:divBdr>
            </w:div>
            <w:div w:id="440805808">
              <w:marLeft w:val="0"/>
              <w:marRight w:val="0"/>
              <w:marTop w:val="0"/>
              <w:marBottom w:val="0"/>
              <w:divBdr>
                <w:top w:val="none" w:sz="0" w:space="0" w:color="auto"/>
                <w:left w:val="none" w:sz="0" w:space="0" w:color="auto"/>
                <w:bottom w:val="none" w:sz="0" w:space="0" w:color="auto"/>
                <w:right w:val="none" w:sz="0" w:space="0" w:color="auto"/>
              </w:divBdr>
            </w:div>
            <w:div w:id="1255742774">
              <w:marLeft w:val="0"/>
              <w:marRight w:val="0"/>
              <w:marTop w:val="0"/>
              <w:marBottom w:val="0"/>
              <w:divBdr>
                <w:top w:val="none" w:sz="0" w:space="0" w:color="auto"/>
                <w:left w:val="none" w:sz="0" w:space="0" w:color="auto"/>
                <w:bottom w:val="none" w:sz="0" w:space="0" w:color="auto"/>
                <w:right w:val="none" w:sz="0" w:space="0" w:color="auto"/>
              </w:divBdr>
            </w:div>
            <w:div w:id="820851194">
              <w:marLeft w:val="0"/>
              <w:marRight w:val="0"/>
              <w:marTop w:val="0"/>
              <w:marBottom w:val="0"/>
              <w:divBdr>
                <w:top w:val="none" w:sz="0" w:space="0" w:color="auto"/>
                <w:left w:val="none" w:sz="0" w:space="0" w:color="auto"/>
                <w:bottom w:val="none" w:sz="0" w:space="0" w:color="auto"/>
                <w:right w:val="none" w:sz="0" w:space="0" w:color="auto"/>
              </w:divBdr>
            </w:div>
            <w:div w:id="1291130645">
              <w:marLeft w:val="0"/>
              <w:marRight w:val="0"/>
              <w:marTop w:val="0"/>
              <w:marBottom w:val="0"/>
              <w:divBdr>
                <w:top w:val="none" w:sz="0" w:space="0" w:color="auto"/>
                <w:left w:val="none" w:sz="0" w:space="0" w:color="auto"/>
                <w:bottom w:val="none" w:sz="0" w:space="0" w:color="auto"/>
                <w:right w:val="none" w:sz="0" w:space="0" w:color="auto"/>
              </w:divBdr>
            </w:div>
            <w:div w:id="420300867">
              <w:marLeft w:val="0"/>
              <w:marRight w:val="0"/>
              <w:marTop w:val="0"/>
              <w:marBottom w:val="0"/>
              <w:divBdr>
                <w:top w:val="none" w:sz="0" w:space="0" w:color="auto"/>
                <w:left w:val="none" w:sz="0" w:space="0" w:color="auto"/>
                <w:bottom w:val="none" w:sz="0" w:space="0" w:color="auto"/>
                <w:right w:val="none" w:sz="0" w:space="0" w:color="auto"/>
              </w:divBdr>
            </w:div>
            <w:div w:id="1311908358">
              <w:marLeft w:val="0"/>
              <w:marRight w:val="0"/>
              <w:marTop w:val="0"/>
              <w:marBottom w:val="0"/>
              <w:divBdr>
                <w:top w:val="none" w:sz="0" w:space="0" w:color="auto"/>
                <w:left w:val="none" w:sz="0" w:space="0" w:color="auto"/>
                <w:bottom w:val="none" w:sz="0" w:space="0" w:color="auto"/>
                <w:right w:val="none" w:sz="0" w:space="0" w:color="auto"/>
              </w:divBdr>
            </w:div>
            <w:div w:id="1544636940">
              <w:marLeft w:val="0"/>
              <w:marRight w:val="0"/>
              <w:marTop w:val="0"/>
              <w:marBottom w:val="0"/>
              <w:divBdr>
                <w:top w:val="none" w:sz="0" w:space="0" w:color="auto"/>
                <w:left w:val="none" w:sz="0" w:space="0" w:color="auto"/>
                <w:bottom w:val="none" w:sz="0" w:space="0" w:color="auto"/>
                <w:right w:val="none" w:sz="0" w:space="0" w:color="auto"/>
              </w:divBdr>
            </w:div>
            <w:div w:id="1092240282">
              <w:marLeft w:val="0"/>
              <w:marRight w:val="0"/>
              <w:marTop w:val="0"/>
              <w:marBottom w:val="0"/>
              <w:divBdr>
                <w:top w:val="none" w:sz="0" w:space="0" w:color="auto"/>
                <w:left w:val="none" w:sz="0" w:space="0" w:color="auto"/>
                <w:bottom w:val="none" w:sz="0" w:space="0" w:color="auto"/>
                <w:right w:val="none" w:sz="0" w:space="0" w:color="auto"/>
              </w:divBdr>
            </w:div>
            <w:div w:id="2145418405">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
            <w:div w:id="1220631142">
              <w:marLeft w:val="0"/>
              <w:marRight w:val="0"/>
              <w:marTop w:val="0"/>
              <w:marBottom w:val="0"/>
              <w:divBdr>
                <w:top w:val="none" w:sz="0" w:space="0" w:color="auto"/>
                <w:left w:val="none" w:sz="0" w:space="0" w:color="auto"/>
                <w:bottom w:val="none" w:sz="0" w:space="0" w:color="auto"/>
                <w:right w:val="none" w:sz="0" w:space="0" w:color="auto"/>
              </w:divBdr>
            </w:div>
            <w:div w:id="343552197">
              <w:marLeft w:val="0"/>
              <w:marRight w:val="0"/>
              <w:marTop w:val="0"/>
              <w:marBottom w:val="0"/>
              <w:divBdr>
                <w:top w:val="none" w:sz="0" w:space="0" w:color="auto"/>
                <w:left w:val="none" w:sz="0" w:space="0" w:color="auto"/>
                <w:bottom w:val="none" w:sz="0" w:space="0" w:color="auto"/>
                <w:right w:val="none" w:sz="0" w:space="0" w:color="auto"/>
              </w:divBdr>
            </w:div>
            <w:div w:id="233782380">
              <w:marLeft w:val="0"/>
              <w:marRight w:val="0"/>
              <w:marTop w:val="0"/>
              <w:marBottom w:val="0"/>
              <w:divBdr>
                <w:top w:val="none" w:sz="0" w:space="0" w:color="auto"/>
                <w:left w:val="none" w:sz="0" w:space="0" w:color="auto"/>
                <w:bottom w:val="none" w:sz="0" w:space="0" w:color="auto"/>
                <w:right w:val="none" w:sz="0" w:space="0" w:color="auto"/>
              </w:divBdr>
            </w:div>
            <w:div w:id="413937616">
              <w:marLeft w:val="0"/>
              <w:marRight w:val="0"/>
              <w:marTop w:val="0"/>
              <w:marBottom w:val="0"/>
              <w:divBdr>
                <w:top w:val="none" w:sz="0" w:space="0" w:color="auto"/>
                <w:left w:val="none" w:sz="0" w:space="0" w:color="auto"/>
                <w:bottom w:val="none" w:sz="0" w:space="0" w:color="auto"/>
                <w:right w:val="none" w:sz="0" w:space="0" w:color="auto"/>
              </w:divBdr>
            </w:div>
            <w:div w:id="1199319350">
              <w:marLeft w:val="0"/>
              <w:marRight w:val="0"/>
              <w:marTop w:val="0"/>
              <w:marBottom w:val="0"/>
              <w:divBdr>
                <w:top w:val="none" w:sz="0" w:space="0" w:color="auto"/>
                <w:left w:val="none" w:sz="0" w:space="0" w:color="auto"/>
                <w:bottom w:val="none" w:sz="0" w:space="0" w:color="auto"/>
                <w:right w:val="none" w:sz="0" w:space="0" w:color="auto"/>
              </w:divBdr>
            </w:div>
            <w:div w:id="482281568">
              <w:marLeft w:val="0"/>
              <w:marRight w:val="0"/>
              <w:marTop w:val="0"/>
              <w:marBottom w:val="0"/>
              <w:divBdr>
                <w:top w:val="none" w:sz="0" w:space="0" w:color="auto"/>
                <w:left w:val="none" w:sz="0" w:space="0" w:color="auto"/>
                <w:bottom w:val="none" w:sz="0" w:space="0" w:color="auto"/>
                <w:right w:val="none" w:sz="0" w:space="0" w:color="auto"/>
              </w:divBdr>
            </w:div>
            <w:div w:id="1254435187">
              <w:marLeft w:val="0"/>
              <w:marRight w:val="0"/>
              <w:marTop w:val="0"/>
              <w:marBottom w:val="0"/>
              <w:divBdr>
                <w:top w:val="none" w:sz="0" w:space="0" w:color="auto"/>
                <w:left w:val="none" w:sz="0" w:space="0" w:color="auto"/>
                <w:bottom w:val="none" w:sz="0" w:space="0" w:color="auto"/>
                <w:right w:val="none" w:sz="0" w:space="0" w:color="auto"/>
              </w:divBdr>
            </w:div>
            <w:div w:id="833305348">
              <w:marLeft w:val="0"/>
              <w:marRight w:val="0"/>
              <w:marTop w:val="0"/>
              <w:marBottom w:val="0"/>
              <w:divBdr>
                <w:top w:val="none" w:sz="0" w:space="0" w:color="auto"/>
                <w:left w:val="none" w:sz="0" w:space="0" w:color="auto"/>
                <w:bottom w:val="none" w:sz="0" w:space="0" w:color="auto"/>
                <w:right w:val="none" w:sz="0" w:space="0" w:color="auto"/>
              </w:divBdr>
            </w:div>
            <w:div w:id="685211473">
              <w:marLeft w:val="0"/>
              <w:marRight w:val="0"/>
              <w:marTop w:val="0"/>
              <w:marBottom w:val="0"/>
              <w:divBdr>
                <w:top w:val="none" w:sz="0" w:space="0" w:color="auto"/>
                <w:left w:val="none" w:sz="0" w:space="0" w:color="auto"/>
                <w:bottom w:val="none" w:sz="0" w:space="0" w:color="auto"/>
                <w:right w:val="none" w:sz="0" w:space="0" w:color="auto"/>
              </w:divBdr>
            </w:div>
            <w:div w:id="1974091197">
              <w:marLeft w:val="0"/>
              <w:marRight w:val="0"/>
              <w:marTop w:val="0"/>
              <w:marBottom w:val="0"/>
              <w:divBdr>
                <w:top w:val="none" w:sz="0" w:space="0" w:color="auto"/>
                <w:left w:val="none" w:sz="0" w:space="0" w:color="auto"/>
                <w:bottom w:val="none" w:sz="0" w:space="0" w:color="auto"/>
                <w:right w:val="none" w:sz="0" w:space="0" w:color="auto"/>
              </w:divBdr>
            </w:div>
            <w:div w:id="299262409">
              <w:marLeft w:val="0"/>
              <w:marRight w:val="0"/>
              <w:marTop w:val="0"/>
              <w:marBottom w:val="0"/>
              <w:divBdr>
                <w:top w:val="none" w:sz="0" w:space="0" w:color="auto"/>
                <w:left w:val="none" w:sz="0" w:space="0" w:color="auto"/>
                <w:bottom w:val="none" w:sz="0" w:space="0" w:color="auto"/>
                <w:right w:val="none" w:sz="0" w:space="0" w:color="auto"/>
              </w:divBdr>
            </w:div>
            <w:div w:id="40325523">
              <w:marLeft w:val="0"/>
              <w:marRight w:val="0"/>
              <w:marTop w:val="0"/>
              <w:marBottom w:val="0"/>
              <w:divBdr>
                <w:top w:val="none" w:sz="0" w:space="0" w:color="auto"/>
                <w:left w:val="none" w:sz="0" w:space="0" w:color="auto"/>
                <w:bottom w:val="none" w:sz="0" w:space="0" w:color="auto"/>
                <w:right w:val="none" w:sz="0" w:space="0" w:color="auto"/>
              </w:divBdr>
            </w:div>
            <w:div w:id="40985869">
              <w:marLeft w:val="0"/>
              <w:marRight w:val="0"/>
              <w:marTop w:val="0"/>
              <w:marBottom w:val="0"/>
              <w:divBdr>
                <w:top w:val="none" w:sz="0" w:space="0" w:color="auto"/>
                <w:left w:val="none" w:sz="0" w:space="0" w:color="auto"/>
                <w:bottom w:val="none" w:sz="0" w:space="0" w:color="auto"/>
                <w:right w:val="none" w:sz="0" w:space="0" w:color="auto"/>
              </w:divBdr>
            </w:div>
            <w:div w:id="1060052772">
              <w:marLeft w:val="0"/>
              <w:marRight w:val="0"/>
              <w:marTop w:val="0"/>
              <w:marBottom w:val="0"/>
              <w:divBdr>
                <w:top w:val="none" w:sz="0" w:space="0" w:color="auto"/>
                <w:left w:val="none" w:sz="0" w:space="0" w:color="auto"/>
                <w:bottom w:val="none" w:sz="0" w:space="0" w:color="auto"/>
                <w:right w:val="none" w:sz="0" w:space="0" w:color="auto"/>
              </w:divBdr>
            </w:div>
            <w:div w:id="1034622218">
              <w:marLeft w:val="0"/>
              <w:marRight w:val="0"/>
              <w:marTop w:val="0"/>
              <w:marBottom w:val="0"/>
              <w:divBdr>
                <w:top w:val="none" w:sz="0" w:space="0" w:color="auto"/>
                <w:left w:val="none" w:sz="0" w:space="0" w:color="auto"/>
                <w:bottom w:val="none" w:sz="0" w:space="0" w:color="auto"/>
                <w:right w:val="none" w:sz="0" w:space="0" w:color="auto"/>
              </w:divBdr>
            </w:div>
            <w:div w:id="747579927">
              <w:marLeft w:val="0"/>
              <w:marRight w:val="0"/>
              <w:marTop w:val="0"/>
              <w:marBottom w:val="0"/>
              <w:divBdr>
                <w:top w:val="none" w:sz="0" w:space="0" w:color="auto"/>
                <w:left w:val="none" w:sz="0" w:space="0" w:color="auto"/>
                <w:bottom w:val="none" w:sz="0" w:space="0" w:color="auto"/>
                <w:right w:val="none" w:sz="0" w:space="0" w:color="auto"/>
              </w:divBdr>
            </w:div>
            <w:div w:id="1330907059">
              <w:marLeft w:val="0"/>
              <w:marRight w:val="0"/>
              <w:marTop w:val="0"/>
              <w:marBottom w:val="0"/>
              <w:divBdr>
                <w:top w:val="none" w:sz="0" w:space="0" w:color="auto"/>
                <w:left w:val="none" w:sz="0" w:space="0" w:color="auto"/>
                <w:bottom w:val="none" w:sz="0" w:space="0" w:color="auto"/>
                <w:right w:val="none" w:sz="0" w:space="0" w:color="auto"/>
              </w:divBdr>
            </w:div>
            <w:div w:id="1582181989">
              <w:marLeft w:val="0"/>
              <w:marRight w:val="0"/>
              <w:marTop w:val="0"/>
              <w:marBottom w:val="0"/>
              <w:divBdr>
                <w:top w:val="none" w:sz="0" w:space="0" w:color="auto"/>
                <w:left w:val="none" w:sz="0" w:space="0" w:color="auto"/>
                <w:bottom w:val="none" w:sz="0" w:space="0" w:color="auto"/>
                <w:right w:val="none" w:sz="0" w:space="0" w:color="auto"/>
              </w:divBdr>
            </w:div>
            <w:div w:id="13117709">
              <w:marLeft w:val="0"/>
              <w:marRight w:val="0"/>
              <w:marTop w:val="0"/>
              <w:marBottom w:val="0"/>
              <w:divBdr>
                <w:top w:val="none" w:sz="0" w:space="0" w:color="auto"/>
                <w:left w:val="none" w:sz="0" w:space="0" w:color="auto"/>
                <w:bottom w:val="none" w:sz="0" w:space="0" w:color="auto"/>
                <w:right w:val="none" w:sz="0" w:space="0" w:color="auto"/>
              </w:divBdr>
            </w:div>
            <w:div w:id="1623226576">
              <w:marLeft w:val="0"/>
              <w:marRight w:val="0"/>
              <w:marTop w:val="0"/>
              <w:marBottom w:val="0"/>
              <w:divBdr>
                <w:top w:val="none" w:sz="0" w:space="0" w:color="auto"/>
                <w:left w:val="none" w:sz="0" w:space="0" w:color="auto"/>
                <w:bottom w:val="none" w:sz="0" w:space="0" w:color="auto"/>
                <w:right w:val="none" w:sz="0" w:space="0" w:color="auto"/>
              </w:divBdr>
            </w:div>
            <w:div w:id="6258007">
              <w:marLeft w:val="0"/>
              <w:marRight w:val="0"/>
              <w:marTop w:val="0"/>
              <w:marBottom w:val="0"/>
              <w:divBdr>
                <w:top w:val="none" w:sz="0" w:space="0" w:color="auto"/>
                <w:left w:val="none" w:sz="0" w:space="0" w:color="auto"/>
                <w:bottom w:val="none" w:sz="0" w:space="0" w:color="auto"/>
                <w:right w:val="none" w:sz="0" w:space="0" w:color="auto"/>
              </w:divBdr>
            </w:div>
            <w:div w:id="301161301">
              <w:marLeft w:val="0"/>
              <w:marRight w:val="0"/>
              <w:marTop w:val="0"/>
              <w:marBottom w:val="0"/>
              <w:divBdr>
                <w:top w:val="none" w:sz="0" w:space="0" w:color="auto"/>
                <w:left w:val="none" w:sz="0" w:space="0" w:color="auto"/>
                <w:bottom w:val="none" w:sz="0" w:space="0" w:color="auto"/>
                <w:right w:val="none" w:sz="0" w:space="0" w:color="auto"/>
              </w:divBdr>
            </w:div>
            <w:div w:id="1939411848">
              <w:marLeft w:val="0"/>
              <w:marRight w:val="0"/>
              <w:marTop w:val="0"/>
              <w:marBottom w:val="0"/>
              <w:divBdr>
                <w:top w:val="none" w:sz="0" w:space="0" w:color="auto"/>
                <w:left w:val="none" w:sz="0" w:space="0" w:color="auto"/>
                <w:bottom w:val="none" w:sz="0" w:space="0" w:color="auto"/>
                <w:right w:val="none" w:sz="0" w:space="0" w:color="auto"/>
              </w:divBdr>
            </w:div>
            <w:div w:id="1205406636">
              <w:marLeft w:val="0"/>
              <w:marRight w:val="0"/>
              <w:marTop w:val="0"/>
              <w:marBottom w:val="0"/>
              <w:divBdr>
                <w:top w:val="none" w:sz="0" w:space="0" w:color="auto"/>
                <w:left w:val="none" w:sz="0" w:space="0" w:color="auto"/>
                <w:bottom w:val="none" w:sz="0" w:space="0" w:color="auto"/>
                <w:right w:val="none" w:sz="0" w:space="0" w:color="auto"/>
              </w:divBdr>
            </w:div>
            <w:div w:id="1119227390">
              <w:marLeft w:val="0"/>
              <w:marRight w:val="0"/>
              <w:marTop w:val="0"/>
              <w:marBottom w:val="0"/>
              <w:divBdr>
                <w:top w:val="none" w:sz="0" w:space="0" w:color="auto"/>
                <w:left w:val="none" w:sz="0" w:space="0" w:color="auto"/>
                <w:bottom w:val="none" w:sz="0" w:space="0" w:color="auto"/>
                <w:right w:val="none" w:sz="0" w:space="0" w:color="auto"/>
              </w:divBdr>
            </w:div>
            <w:div w:id="1554731920">
              <w:marLeft w:val="0"/>
              <w:marRight w:val="0"/>
              <w:marTop w:val="0"/>
              <w:marBottom w:val="0"/>
              <w:divBdr>
                <w:top w:val="none" w:sz="0" w:space="0" w:color="auto"/>
                <w:left w:val="none" w:sz="0" w:space="0" w:color="auto"/>
                <w:bottom w:val="none" w:sz="0" w:space="0" w:color="auto"/>
                <w:right w:val="none" w:sz="0" w:space="0" w:color="auto"/>
              </w:divBdr>
            </w:div>
            <w:div w:id="1330795771">
              <w:marLeft w:val="0"/>
              <w:marRight w:val="0"/>
              <w:marTop w:val="0"/>
              <w:marBottom w:val="0"/>
              <w:divBdr>
                <w:top w:val="none" w:sz="0" w:space="0" w:color="auto"/>
                <w:left w:val="none" w:sz="0" w:space="0" w:color="auto"/>
                <w:bottom w:val="none" w:sz="0" w:space="0" w:color="auto"/>
                <w:right w:val="none" w:sz="0" w:space="0" w:color="auto"/>
              </w:divBdr>
            </w:div>
            <w:div w:id="902182892">
              <w:marLeft w:val="0"/>
              <w:marRight w:val="0"/>
              <w:marTop w:val="0"/>
              <w:marBottom w:val="0"/>
              <w:divBdr>
                <w:top w:val="none" w:sz="0" w:space="0" w:color="auto"/>
                <w:left w:val="none" w:sz="0" w:space="0" w:color="auto"/>
                <w:bottom w:val="none" w:sz="0" w:space="0" w:color="auto"/>
                <w:right w:val="none" w:sz="0" w:space="0" w:color="auto"/>
              </w:divBdr>
            </w:div>
            <w:div w:id="1943881487">
              <w:marLeft w:val="0"/>
              <w:marRight w:val="0"/>
              <w:marTop w:val="0"/>
              <w:marBottom w:val="0"/>
              <w:divBdr>
                <w:top w:val="none" w:sz="0" w:space="0" w:color="auto"/>
                <w:left w:val="none" w:sz="0" w:space="0" w:color="auto"/>
                <w:bottom w:val="none" w:sz="0" w:space="0" w:color="auto"/>
                <w:right w:val="none" w:sz="0" w:space="0" w:color="auto"/>
              </w:divBdr>
            </w:div>
            <w:div w:id="893660835">
              <w:marLeft w:val="0"/>
              <w:marRight w:val="0"/>
              <w:marTop w:val="0"/>
              <w:marBottom w:val="0"/>
              <w:divBdr>
                <w:top w:val="none" w:sz="0" w:space="0" w:color="auto"/>
                <w:left w:val="none" w:sz="0" w:space="0" w:color="auto"/>
                <w:bottom w:val="none" w:sz="0" w:space="0" w:color="auto"/>
                <w:right w:val="none" w:sz="0" w:space="0" w:color="auto"/>
              </w:divBdr>
            </w:div>
            <w:div w:id="1187058872">
              <w:marLeft w:val="0"/>
              <w:marRight w:val="0"/>
              <w:marTop w:val="0"/>
              <w:marBottom w:val="0"/>
              <w:divBdr>
                <w:top w:val="none" w:sz="0" w:space="0" w:color="auto"/>
                <w:left w:val="none" w:sz="0" w:space="0" w:color="auto"/>
                <w:bottom w:val="none" w:sz="0" w:space="0" w:color="auto"/>
                <w:right w:val="none" w:sz="0" w:space="0" w:color="auto"/>
              </w:divBdr>
            </w:div>
            <w:div w:id="1656837155">
              <w:marLeft w:val="0"/>
              <w:marRight w:val="0"/>
              <w:marTop w:val="0"/>
              <w:marBottom w:val="0"/>
              <w:divBdr>
                <w:top w:val="none" w:sz="0" w:space="0" w:color="auto"/>
                <w:left w:val="none" w:sz="0" w:space="0" w:color="auto"/>
                <w:bottom w:val="none" w:sz="0" w:space="0" w:color="auto"/>
                <w:right w:val="none" w:sz="0" w:space="0" w:color="auto"/>
              </w:divBdr>
            </w:div>
            <w:div w:id="1590698850">
              <w:marLeft w:val="0"/>
              <w:marRight w:val="0"/>
              <w:marTop w:val="0"/>
              <w:marBottom w:val="0"/>
              <w:divBdr>
                <w:top w:val="none" w:sz="0" w:space="0" w:color="auto"/>
                <w:left w:val="none" w:sz="0" w:space="0" w:color="auto"/>
                <w:bottom w:val="none" w:sz="0" w:space="0" w:color="auto"/>
                <w:right w:val="none" w:sz="0" w:space="0" w:color="auto"/>
              </w:divBdr>
            </w:div>
            <w:div w:id="80490783">
              <w:marLeft w:val="0"/>
              <w:marRight w:val="0"/>
              <w:marTop w:val="0"/>
              <w:marBottom w:val="0"/>
              <w:divBdr>
                <w:top w:val="none" w:sz="0" w:space="0" w:color="auto"/>
                <w:left w:val="none" w:sz="0" w:space="0" w:color="auto"/>
                <w:bottom w:val="none" w:sz="0" w:space="0" w:color="auto"/>
                <w:right w:val="none" w:sz="0" w:space="0" w:color="auto"/>
              </w:divBdr>
            </w:div>
            <w:div w:id="42218076">
              <w:marLeft w:val="0"/>
              <w:marRight w:val="0"/>
              <w:marTop w:val="0"/>
              <w:marBottom w:val="0"/>
              <w:divBdr>
                <w:top w:val="none" w:sz="0" w:space="0" w:color="auto"/>
                <w:left w:val="none" w:sz="0" w:space="0" w:color="auto"/>
                <w:bottom w:val="none" w:sz="0" w:space="0" w:color="auto"/>
                <w:right w:val="none" w:sz="0" w:space="0" w:color="auto"/>
              </w:divBdr>
            </w:div>
            <w:div w:id="437872364">
              <w:marLeft w:val="0"/>
              <w:marRight w:val="0"/>
              <w:marTop w:val="0"/>
              <w:marBottom w:val="0"/>
              <w:divBdr>
                <w:top w:val="none" w:sz="0" w:space="0" w:color="auto"/>
                <w:left w:val="none" w:sz="0" w:space="0" w:color="auto"/>
                <w:bottom w:val="none" w:sz="0" w:space="0" w:color="auto"/>
                <w:right w:val="none" w:sz="0" w:space="0" w:color="auto"/>
              </w:divBdr>
            </w:div>
            <w:div w:id="554894903">
              <w:marLeft w:val="0"/>
              <w:marRight w:val="0"/>
              <w:marTop w:val="0"/>
              <w:marBottom w:val="0"/>
              <w:divBdr>
                <w:top w:val="none" w:sz="0" w:space="0" w:color="auto"/>
                <w:left w:val="none" w:sz="0" w:space="0" w:color="auto"/>
                <w:bottom w:val="none" w:sz="0" w:space="0" w:color="auto"/>
                <w:right w:val="none" w:sz="0" w:space="0" w:color="auto"/>
              </w:divBdr>
            </w:div>
            <w:div w:id="1836064793">
              <w:marLeft w:val="0"/>
              <w:marRight w:val="0"/>
              <w:marTop w:val="0"/>
              <w:marBottom w:val="0"/>
              <w:divBdr>
                <w:top w:val="none" w:sz="0" w:space="0" w:color="auto"/>
                <w:left w:val="none" w:sz="0" w:space="0" w:color="auto"/>
                <w:bottom w:val="none" w:sz="0" w:space="0" w:color="auto"/>
                <w:right w:val="none" w:sz="0" w:space="0" w:color="auto"/>
              </w:divBdr>
            </w:div>
            <w:div w:id="2125147951">
              <w:marLeft w:val="0"/>
              <w:marRight w:val="0"/>
              <w:marTop w:val="0"/>
              <w:marBottom w:val="0"/>
              <w:divBdr>
                <w:top w:val="none" w:sz="0" w:space="0" w:color="auto"/>
                <w:left w:val="none" w:sz="0" w:space="0" w:color="auto"/>
                <w:bottom w:val="none" w:sz="0" w:space="0" w:color="auto"/>
                <w:right w:val="none" w:sz="0" w:space="0" w:color="auto"/>
              </w:divBdr>
            </w:div>
            <w:div w:id="740955398">
              <w:marLeft w:val="0"/>
              <w:marRight w:val="0"/>
              <w:marTop w:val="0"/>
              <w:marBottom w:val="0"/>
              <w:divBdr>
                <w:top w:val="none" w:sz="0" w:space="0" w:color="auto"/>
                <w:left w:val="none" w:sz="0" w:space="0" w:color="auto"/>
                <w:bottom w:val="none" w:sz="0" w:space="0" w:color="auto"/>
                <w:right w:val="none" w:sz="0" w:space="0" w:color="auto"/>
              </w:divBdr>
            </w:div>
            <w:div w:id="531573506">
              <w:marLeft w:val="0"/>
              <w:marRight w:val="0"/>
              <w:marTop w:val="0"/>
              <w:marBottom w:val="0"/>
              <w:divBdr>
                <w:top w:val="none" w:sz="0" w:space="0" w:color="auto"/>
                <w:left w:val="none" w:sz="0" w:space="0" w:color="auto"/>
                <w:bottom w:val="none" w:sz="0" w:space="0" w:color="auto"/>
                <w:right w:val="none" w:sz="0" w:space="0" w:color="auto"/>
              </w:divBdr>
            </w:div>
            <w:div w:id="1997176380">
              <w:marLeft w:val="0"/>
              <w:marRight w:val="0"/>
              <w:marTop w:val="0"/>
              <w:marBottom w:val="0"/>
              <w:divBdr>
                <w:top w:val="none" w:sz="0" w:space="0" w:color="auto"/>
                <w:left w:val="none" w:sz="0" w:space="0" w:color="auto"/>
                <w:bottom w:val="none" w:sz="0" w:space="0" w:color="auto"/>
                <w:right w:val="none" w:sz="0" w:space="0" w:color="auto"/>
              </w:divBdr>
            </w:div>
            <w:div w:id="1638602495">
              <w:marLeft w:val="0"/>
              <w:marRight w:val="0"/>
              <w:marTop w:val="0"/>
              <w:marBottom w:val="0"/>
              <w:divBdr>
                <w:top w:val="none" w:sz="0" w:space="0" w:color="auto"/>
                <w:left w:val="none" w:sz="0" w:space="0" w:color="auto"/>
                <w:bottom w:val="none" w:sz="0" w:space="0" w:color="auto"/>
                <w:right w:val="none" w:sz="0" w:space="0" w:color="auto"/>
              </w:divBdr>
            </w:div>
            <w:div w:id="1374039305">
              <w:marLeft w:val="0"/>
              <w:marRight w:val="0"/>
              <w:marTop w:val="0"/>
              <w:marBottom w:val="0"/>
              <w:divBdr>
                <w:top w:val="none" w:sz="0" w:space="0" w:color="auto"/>
                <w:left w:val="none" w:sz="0" w:space="0" w:color="auto"/>
                <w:bottom w:val="none" w:sz="0" w:space="0" w:color="auto"/>
                <w:right w:val="none" w:sz="0" w:space="0" w:color="auto"/>
              </w:divBdr>
            </w:div>
            <w:div w:id="1155993628">
              <w:marLeft w:val="0"/>
              <w:marRight w:val="0"/>
              <w:marTop w:val="0"/>
              <w:marBottom w:val="0"/>
              <w:divBdr>
                <w:top w:val="none" w:sz="0" w:space="0" w:color="auto"/>
                <w:left w:val="none" w:sz="0" w:space="0" w:color="auto"/>
                <w:bottom w:val="none" w:sz="0" w:space="0" w:color="auto"/>
                <w:right w:val="none" w:sz="0" w:space="0" w:color="auto"/>
              </w:divBdr>
            </w:div>
            <w:div w:id="121387233">
              <w:marLeft w:val="0"/>
              <w:marRight w:val="0"/>
              <w:marTop w:val="0"/>
              <w:marBottom w:val="0"/>
              <w:divBdr>
                <w:top w:val="none" w:sz="0" w:space="0" w:color="auto"/>
                <w:left w:val="none" w:sz="0" w:space="0" w:color="auto"/>
                <w:bottom w:val="none" w:sz="0" w:space="0" w:color="auto"/>
                <w:right w:val="none" w:sz="0" w:space="0" w:color="auto"/>
              </w:divBdr>
            </w:div>
            <w:div w:id="665938142">
              <w:marLeft w:val="0"/>
              <w:marRight w:val="0"/>
              <w:marTop w:val="0"/>
              <w:marBottom w:val="0"/>
              <w:divBdr>
                <w:top w:val="none" w:sz="0" w:space="0" w:color="auto"/>
                <w:left w:val="none" w:sz="0" w:space="0" w:color="auto"/>
                <w:bottom w:val="none" w:sz="0" w:space="0" w:color="auto"/>
                <w:right w:val="none" w:sz="0" w:space="0" w:color="auto"/>
              </w:divBdr>
            </w:div>
            <w:div w:id="9357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eno@ucalgary.ca"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034E198-BAB9-4C3B-8C67-5A1EE925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11779</Words>
  <Characters>67145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 Ueno</dc:creator>
  <cp:lastModifiedBy>WangJL</cp:lastModifiedBy>
  <cp:revision>3</cp:revision>
  <dcterms:created xsi:type="dcterms:W3CDTF">2015-10-23T14:19:00Z</dcterms:created>
  <dcterms:modified xsi:type="dcterms:W3CDTF">2015-10-26T10:02:00Z</dcterms:modified>
</cp:coreProperties>
</file>