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61" w:rsidRPr="00AB6C30" w:rsidRDefault="00166161" w:rsidP="00493B84">
      <w:pPr>
        <w:spacing w:after="0" w:line="360" w:lineRule="auto"/>
        <w:jc w:val="both"/>
        <w:rPr>
          <w:rFonts w:ascii="Book Antiqua" w:hAnsi="Book Antiqua"/>
          <w:b/>
          <w:sz w:val="24"/>
          <w:szCs w:val="24"/>
        </w:rPr>
      </w:pPr>
      <w:r w:rsidRPr="00AB6C30">
        <w:rPr>
          <w:rFonts w:ascii="Book Antiqua" w:hAnsi="Book Antiqua"/>
          <w:b/>
          <w:bCs/>
          <w:sz w:val="24"/>
          <w:szCs w:val="24"/>
        </w:rPr>
        <w:t>Name of Journal:</w:t>
      </w:r>
      <w:r w:rsidRPr="00AB6C30">
        <w:rPr>
          <w:rFonts w:ascii="Book Antiqua" w:hAnsi="Book Antiqua"/>
          <w:b/>
          <w:sz w:val="24"/>
          <w:szCs w:val="24"/>
        </w:rPr>
        <w:t xml:space="preserve"> </w:t>
      </w:r>
      <w:r w:rsidRPr="00C152C6">
        <w:rPr>
          <w:rFonts w:ascii="Book Antiqua" w:hAnsi="Book Antiqua"/>
          <w:b/>
          <w:i/>
          <w:sz w:val="24"/>
          <w:szCs w:val="24"/>
        </w:rPr>
        <w:t>World Journal of Transplantation</w:t>
      </w:r>
    </w:p>
    <w:p w:rsidR="00166161" w:rsidRPr="00AB6C30" w:rsidRDefault="00166161" w:rsidP="00493B84">
      <w:pPr>
        <w:spacing w:after="0" w:line="360" w:lineRule="auto"/>
        <w:jc w:val="both"/>
        <w:rPr>
          <w:rFonts w:ascii="Book Antiqua" w:hAnsi="Book Antiqua"/>
          <w:b/>
          <w:sz w:val="24"/>
          <w:szCs w:val="24"/>
        </w:rPr>
      </w:pPr>
      <w:r w:rsidRPr="00AB6C30">
        <w:rPr>
          <w:rFonts w:ascii="Book Antiqua" w:hAnsi="Book Antiqua"/>
          <w:b/>
          <w:bCs/>
          <w:sz w:val="24"/>
          <w:szCs w:val="24"/>
        </w:rPr>
        <w:t>ESPS Manuscript NO</w:t>
      </w:r>
      <w:r w:rsidRPr="00AB6C30">
        <w:rPr>
          <w:rFonts w:ascii="Book Antiqua" w:hAnsi="Book Antiqua"/>
          <w:b/>
          <w:sz w:val="24"/>
          <w:szCs w:val="24"/>
        </w:rPr>
        <w:t>: 20896</w:t>
      </w:r>
    </w:p>
    <w:p w:rsidR="00166161" w:rsidRPr="00AB6C30" w:rsidRDefault="00166161" w:rsidP="00493B84">
      <w:pPr>
        <w:spacing w:after="0" w:line="360" w:lineRule="auto"/>
        <w:jc w:val="both"/>
        <w:rPr>
          <w:rFonts w:ascii="Book Antiqua" w:hAnsi="Book Antiqua"/>
          <w:b/>
          <w:sz w:val="24"/>
          <w:szCs w:val="24"/>
        </w:rPr>
      </w:pPr>
      <w:r w:rsidRPr="00AB6C30">
        <w:rPr>
          <w:rFonts w:ascii="Book Antiqua" w:hAnsi="Book Antiqua"/>
          <w:b/>
          <w:bCs/>
          <w:sz w:val="24"/>
          <w:szCs w:val="24"/>
        </w:rPr>
        <w:t>Manuscript Type</w:t>
      </w:r>
      <w:r w:rsidRPr="00AB6C30">
        <w:rPr>
          <w:rFonts w:ascii="Book Antiqua" w:hAnsi="Book Antiqua"/>
          <w:b/>
          <w:sz w:val="24"/>
          <w:szCs w:val="24"/>
        </w:rPr>
        <w:t xml:space="preserve">: Review </w:t>
      </w:r>
    </w:p>
    <w:p w:rsidR="00166161" w:rsidRPr="00AB6C30" w:rsidRDefault="00166161" w:rsidP="00493B84">
      <w:pPr>
        <w:spacing w:after="0" w:line="360" w:lineRule="auto"/>
        <w:jc w:val="both"/>
        <w:rPr>
          <w:rFonts w:ascii="Book Antiqua" w:hAnsi="Book Antiqua"/>
          <w:sz w:val="24"/>
          <w:szCs w:val="24"/>
        </w:rPr>
      </w:pPr>
    </w:p>
    <w:p w:rsidR="00166161" w:rsidRPr="00AB6C30" w:rsidRDefault="00166161" w:rsidP="00493B84">
      <w:pPr>
        <w:spacing w:after="0" w:line="360" w:lineRule="auto"/>
        <w:jc w:val="both"/>
        <w:rPr>
          <w:rFonts w:ascii="Book Antiqua" w:hAnsi="Book Antiqua"/>
          <w:b/>
          <w:bCs/>
          <w:sz w:val="24"/>
          <w:szCs w:val="24"/>
        </w:rPr>
      </w:pPr>
      <w:r w:rsidRPr="00AB6C30">
        <w:rPr>
          <w:rFonts w:ascii="Book Antiqua" w:hAnsi="Book Antiqua"/>
          <w:b/>
          <w:bCs/>
          <w:sz w:val="24"/>
          <w:szCs w:val="24"/>
        </w:rPr>
        <w:t>Mineral and</w:t>
      </w:r>
      <w:r w:rsidR="006165FF" w:rsidRPr="00AB6C30">
        <w:rPr>
          <w:rFonts w:ascii="Book Antiqua" w:hAnsi="Book Antiqua"/>
          <w:b/>
          <w:bCs/>
          <w:sz w:val="24"/>
          <w:szCs w:val="24"/>
        </w:rPr>
        <w:t xml:space="preserve"> bone disorder after kidney transpl</w:t>
      </w:r>
      <w:r w:rsidRPr="00AB6C30">
        <w:rPr>
          <w:rFonts w:ascii="Book Antiqua" w:hAnsi="Book Antiqua"/>
          <w:b/>
          <w:bCs/>
          <w:sz w:val="24"/>
          <w:szCs w:val="24"/>
        </w:rPr>
        <w:t>antation</w:t>
      </w:r>
    </w:p>
    <w:p w:rsidR="00166161" w:rsidRPr="00AB6C30" w:rsidRDefault="00166161" w:rsidP="00493B84">
      <w:pPr>
        <w:spacing w:after="0" w:line="360" w:lineRule="auto"/>
        <w:jc w:val="both"/>
        <w:rPr>
          <w:rFonts w:ascii="Book Antiqua" w:hAnsi="Book Antiqua"/>
          <w:sz w:val="24"/>
          <w:szCs w:val="24"/>
          <w:lang w:eastAsia="zh-CN"/>
        </w:rPr>
      </w:pPr>
    </w:p>
    <w:p w:rsidR="00B1057D" w:rsidRPr="00AB6C30" w:rsidRDefault="00B1057D" w:rsidP="00493B84">
      <w:pPr>
        <w:spacing w:after="0" w:line="360" w:lineRule="auto"/>
        <w:jc w:val="both"/>
        <w:rPr>
          <w:rFonts w:ascii="Book Antiqua" w:hAnsi="Book Antiqua"/>
          <w:bCs/>
          <w:sz w:val="24"/>
          <w:szCs w:val="24"/>
        </w:rPr>
      </w:pPr>
      <w:proofErr w:type="spellStart"/>
      <w:r w:rsidRPr="00AB6C30">
        <w:rPr>
          <w:rFonts w:ascii="Book Antiqua" w:hAnsi="Book Antiqua"/>
          <w:sz w:val="24"/>
          <w:szCs w:val="24"/>
        </w:rPr>
        <w:t>Taweesedt</w:t>
      </w:r>
      <w:proofErr w:type="spellEnd"/>
      <w:r w:rsidRPr="00AB6C30">
        <w:rPr>
          <w:rFonts w:ascii="Book Antiqua" w:hAnsi="Book Antiqua"/>
          <w:sz w:val="24"/>
          <w:szCs w:val="24"/>
          <w:lang w:eastAsia="zh-CN"/>
        </w:rPr>
        <w:t xml:space="preserve"> PT </w:t>
      </w:r>
      <w:r w:rsidRPr="00AB6C30">
        <w:rPr>
          <w:rFonts w:ascii="Book Antiqua" w:hAnsi="Book Antiqua"/>
          <w:i/>
          <w:sz w:val="24"/>
          <w:szCs w:val="24"/>
          <w:lang w:eastAsia="zh-CN"/>
        </w:rPr>
        <w:t xml:space="preserve">et al. </w:t>
      </w:r>
      <w:r w:rsidRPr="00AB6C30">
        <w:rPr>
          <w:rFonts w:ascii="Book Antiqua" w:hAnsi="Book Antiqua"/>
          <w:bCs/>
          <w:sz w:val="24"/>
          <w:szCs w:val="24"/>
        </w:rPr>
        <w:t>Mineral and bone disorder after kidney transplantation</w:t>
      </w:r>
    </w:p>
    <w:p w:rsidR="00B1057D" w:rsidRPr="00AB6C30" w:rsidRDefault="00B1057D" w:rsidP="00493B84">
      <w:pPr>
        <w:spacing w:after="0" w:line="360" w:lineRule="auto"/>
        <w:jc w:val="both"/>
        <w:rPr>
          <w:rFonts w:ascii="Book Antiqua" w:hAnsi="Book Antiqua"/>
          <w:i/>
          <w:sz w:val="24"/>
          <w:szCs w:val="24"/>
          <w:lang w:eastAsia="zh-CN"/>
        </w:rPr>
      </w:pPr>
    </w:p>
    <w:p w:rsidR="006165FF" w:rsidRPr="00AB6C30" w:rsidRDefault="006165FF" w:rsidP="00493B84">
      <w:pPr>
        <w:spacing w:after="0" w:line="360" w:lineRule="auto"/>
        <w:jc w:val="both"/>
        <w:rPr>
          <w:rFonts w:ascii="Book Antiqua" w:hAnsi="Book Antiqua"/>
          <w:b/>
          <w:sz w:val="24"/>
          <w:szCs w:val="24"/>
          <w:lang w:eastAsia="zh-CN"/>
        </w:rPr>
      </w:pPr>
      <w:proofErr w:type="spellStart"/>
      <w:r w:rsidRPr="00AB6C30">
        <w:rPr>
          <w:rFonts w:ascii="Book Antiqua" w:hAnsi="Book Antiqua"/>
          <w:b/>
          <w:sz w:val="24"/>
          <w:szCs w:val="24"/>
        </w:rPr>
        <w:t>Pahnwat</w:t>
      </w:r>
      <w:proofErr w:type="spellEnd"/>
      <w:r w:rsidRPr="00AB6C30">
        <w:rPr>
          <w:rFonts w:ascii="Book Antiqua" w:hAnsi="Book Antiqua"/>
          <w:b/>
          <w:sz w:val="24"/>
          <w:szCs w:val="24"/>
        </w:rPr>
        <w:t xml:space="preserve"> T </w:t>
      </w:r>
      <w:proofErr w:type="spellStart"/>
      <w:r w:rsidRPr="00AB6C30">
        <w:rPr>
          <w:rFonts w:ascii="Book Antiqua" w:hAnsi="Book Antiqua"/>
          <w:b/>
          <w:sz w:val="24"/>
          <w:szCs w:val="24"/>
        </w:rPr>
        <w:t>Taweesedt</w:t>
      </w:r>
      <w:proofErr w:type="spellEnd"/>
      <w:r w:rsidRPr="00AB6C30">
        <w:rPr>
          <w:rFonts w:ascii="Book Antiqua" w:hAnsi="Book Antiqua"/>
          <w:b/>
          <w:sz w:val="24"/>
          <w:szCs w:val="24"/>
          <w:lang w:eastAsia="zh-CN"/>
        </w:rPr>
        <w:t>,</w:t>
      </w:r>
      <w:r w:rsidRPr="00AB6C30">
        <w:rPr>
          <w:rFonts w:ascii="Book Antiqua" w:hAnsi="Book Antiqua"/>
          <w:b/>
          <w:sz w:val="24"/>
          <w:szCs w:val="24"/>
        </w:rPr>
        <w:t xml:space="preserve"> </w:t>
      </w:r>
      <w:proofErr w:type="spellStart"/>
      <w:r w:rsidRPr="00AB6C30">
        <w:rPr>
          <w:rFonts w:ascii="Book Antiqua" w:hAnsi="Book Antiqua"/>
          <w:b/>
          <w:sz w:val="24"/>
          <w:szCs w:val="24"/>
        </w:rPr>
        <w:t>Sinee</w:t>
      </w:r>
      <w:proofErr w:type="spellEnd"/>
      <w:r w:rsidRPr="00AB6C30">
        <w:rPr>
          <w:rFonts w:ascii="Book Antiqua" w:hAnsi="Book Antiqua"/>
          <w:b/>
          <w:sz w:val="24"/>
          <w:szCs w:val="24"/>
        </w:rPr>
        <w:t xml:space="preserve"> </w:t>
      </w:r>
      <w:proofErr w:type="spellStart"/>
      <w:r w:rsidRPr="00AB6C30">
        <w:rPr>
          <w:rFonts w:ascii="Book Antiqua" w:hAnsi="Book Antiqua"/>
          <w:b/>
          <w:sz w:val="24"/>
          <w:szCs w:val="24"/>
        </w:rPr>
        <w:t>Disthabanchong</w:t>
      </w:r>
      <w:proofErr w:type="spellEnd"/>
    </w:p>
    <w:p w:rsidR="006165FF" w:rsidRPr="00AB6C30" w:rsidRDefault="006165FF"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sz w:val="24"/>
          <w:szCs w:val="24"/>
        </w:rPr>
      </w:pPr>
      <w:proofErr w:type="spellStart"/>
      <w:r w:rsidRPr="00AB6C30">
        <w:rPr>
          <w:rFonts w:ascii="Book Antiqua" w:hAnsi="Book Antiqua"/>
          <w:b/>
          <w:bCs/>
          <w:sz w:val="24"/>
          <w:szCs w:val="24"/>
        </w:rPr>
        <w:t>Pahnwat</w:t>
      </w:r>
      <w:proofErr w:type="spellEnd"/>
      <w:r w:rsidRPr="00AB6C30">
        <w:rPr>
          <w:rFonts w:ascii="Book Antiqua" w:hAnsi="Book Antiqua"/>
          <w:b/>
          <w:bCs/>
          <w:sz w:val="24"/>
          <w:szCs w:val="24"/>
        </w:rPr>
        <w:t xml:space="preserve"> T </w:t>
      </w:r>
      <w:proofErr w:type="spellStart"/>
      <w:r w:rsidRPr="00AB6C30">
        <w:rPr>
          <w:rFonts w:ascii="Book Antiqua" w:hAnsi="Book Antiqua"/>
          <w:b/>
          <w:bCs/>
          <w:sz w:val="24"/>
          <w:szCs w:val="24"/>
        </w:rPr>
        <w:t>Taweesedt</w:t>
      </w:r>
      <w:proofErr w:type="spellEnd"/>
      <w:r w:rsidRPr="00AB6C30">
        <w:rPr>
          <w:rFonts w:ascii="Book Antiqua" w:hAnsi="Book Antiqua"/>
          <w:b/>
          <w:bCs/>
          <w:sz w:val="24"/>
          <w:szCs w:val="24"/>
        </w:rPr>
        <w:t>,</w:t>
      </w:r>
      <w:r w:rsidR="00D9766B" w:rsidRPr="00AB6C30">
        <w:rPr>
          <w:rFonts w:ascii="Book Antiqua" w:hAnsi="Book Antiqua"/>
          <w:b/>
          <w:bCs/>
          <w:sz w:val="24"/>
          <w:szCs w:val="24"/>
        </w:rPr>
        <w:t xml:space="preserve"> </w:t>
      </w:r>
      <w:proofErr w:type="spellStart"/>
      <w:r w:rsidR="00D9766B" w:rsidRPr="00AB6C30">
        <w:rPr>
          <w:rFonts w:ascii="Book Antiqua" w:hAnsi="Book Antiqua"/>
          <w:b/>
          <w:bCs/>
          <w:sz w:val="24"/>
          <w:szCs w:val="24"/>
        </w:rPr>
        <w:t>Sinee</w:t>
      </w:r>
      <w:proofErr w:type="spellEnd"/>
      <w:r w:rsidR="00D9766B" w:rsidRPr="00AB6C30">
        <w:rPr>
          <w:rFonts w:ascii="Book Antiqua" w:hAnsi="Book Antiqua"/>
          <w:b/>
          <w:bCs/>
          <w:sz w:val="24"/>
          <w:szCs w:val="24"/>
        </w:rPr>
        <w:t xml:space="preserve"> </w:t>
      </w:r>
      <w:proofErr w:type="spellStart"/>
      <w:r w:rsidR="00D9766B" w:rsidRPr="00AB6C30">
        <w:rPr>
          <w:rFonts w:ascii="Book Antiqua" w:hAnsi="Book Antiqua"/>
          <w:b/>
          <w:bCs/>
          <w:sz w:val="24"/>
          <w:szCs w:val="24"/>
        </w:rPr>
        <w:t>Disthabanchong</w:t>
      </w:r>
      <w:proofErr w:type="spellEnd"/>
      <w:r w:rsidR="00D9766B" w:rsidRPr="00AB6C30">
        <w:rPr>
          <w:rFonts w:ascii="Book Antiqua" w:hAnsi="Book Antiqua"/>
          <w:b/>
          <w:bCs/>
          <w:sz w:val="24"/>
          <w:szCs w:val="24"/>
        </w:rPr>
        <w:t>,</w:t>
      </w:r>
      <w:r w:rsidR="00D9766B" w:rsidRPr="00AB6C30">
        <w:rPr>
          <w:rFonts w:ascii="Book Antiqua" w:hAnsi="Book Antiqua"/>
          <w:b/>
          <w:bCs/>
          <w:sz w:val="24"/>
          <w:szCs w:val="24"/>
          <w:lang w:eastAsia="zh-CN"/>
        </w:rPr>
        <w:t xml:space="preserve"> </w:t>
      </w:r>
      <w:r w:rsidRPr="00AB6C30">
        <w:rPr>
          <w:rFonts w:ascii="Book Antiqua" w:hAnsi="Book Antiqua"/>
          <w:sz w:val="24"/>
          <w:szCs w:val="24"/>
        </w:rPr>
        <w:t>Division of</w:t>
      </w:r>
      <w:r w:rsidRPr="00AB6C30">
        <w:rPr>
          <w:rFonts w:ascii="Book Antiqua" w:hAnsi="Book Antiqua"/>
          <w:b/>
          <w:bCs/>
          <w:sz w:val="24"/>
          <w:szCs w:val="24"/>
        </w:rPr>
        <w:t xml:space="preserve"> </w:t>
      </w:r>
      <w:r w:rsidRPr="00AB6C30">
        <w:rPr>
          <w:rFonts w:ascii="Book Antiqua" w:hAnsi="Book Antiqua"/>
          <w:sz w:val="24"/>
          <w:szCs w:val="24"/>
        </w:rPr>
        <w:t xml:space="preserve">Nephrology, Department of Medicine, Faculty of Medicine, </w:t>
      </w:r>
      <w:proofErr w:type="spellStart"/>
      <w:r w:rsidRPr="00AB6C30">
        <w:rPr>
          <w:rFonts w:ascii="Book Antiqua" w:hAnsi="Book Antiqua"/>
          <w:sz w:val="24"/>
          <w:szCs w:val="24"/>
        </w:rPr>
        <w:t>Ramathibodi</w:t>
      </w:r>
      <w:proofErr w:type="spellEnd"/>
      <w:r w:rsidRPr="00AB6C30">
        <w:rPr>
          <w:rFonts w:ascii="Book Antiqua" w:hAnsi="Book Antiqua"/>
          <w:sz w:val="24"/>
          <w:szCs w:val="24"/>
        </w:rPr>
        <w:t xml:space="preserve"> Hospital, </w:t>
      </w:r>
      <w:proofErr w:type="spellStart"/>
      <w:r w:rsidRPr="00AB6C30">
        <w:rPr>
          <w:rFonts w:ascii="Book Antiqua" w:hAnsi="Book Antiqua"/>
          <w:sz w:val="24"/>
          <w:szCs w:val="24"/>
        </w:rPr>
        <w:t>Mahidol</w:t>
      </w:r>
      <w:proofErr w:type="spellEnd"/>
      <w:r w:rsidRPr="00AB6C30">
        <w:rPr>
          <w:rFonts w:ascii="Book Antiqua" w:hAnsi="Book Antiqua"/>
          <w:sz w:val="24"/>
          <w:szCs w:val="24"/>
        </w:rPr>
        <w:t xml:space="preserve"> University, Bangkok</w:t>
      </w:r>
      <w:r w:rsidR="00D9766B" w:rsidRPr="00AB6C30">
        <w:rPr>
          <w:rFonts w:ascii="Book Antiqua" w:hAnsi="Book Antiqua"/>
          <w:sz w:val="24"/>
          <w:szCs w:val="24"/>
          <w:lang w:eastAsia="zh-CN"/>
        </w:rPr>
        <w:t xml:space="preserve"> </w:t>
      </w:r>
      <w:r w:rsidR="00D9766B" w:rsidRPr="00AB6C30">
        <w:rPr>
          <w:rFonts w:ascii="Book Antiqua" w:hAnsi="Book Antiqua"/>
          <w:sz w:val="24"/>
          <w:szCs w:val="24"/>
        </w:rPr>
        <w:t>10400</w:t>
      </w:r>
      <w:r w:rsidRPr="00AB6C30">
        <w:rPr>
          <w:rFonts w:ascii="Book Antiqua" w:hAnsi="Book Antiqua"/>
          <w:sz w:val="24"/>
          <w:szCs w:val="24"/>
        </w:rPr>
        <w:t>, Thailand</w:t>
      </w:r>
    </w:p>
    <w:p w:rsidR="00166161" w:rsidRPr="00AB6C30" w:rsidRDefault="00166161"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b/>
          <w:bCs/>
          <w:sz w:val="24"/>
          <w:szCs w:val="24"/>
        </w:rPr>
        <w:t>Author contributions:</w:t>
      </w:r>
      <w:r w:rsidRPr="00AB6C30">
        <w:rPr>
          <w:rFonts w:ascii="Book Antiqua" w:hAnsi="Book Antiqua"/>
          <w:sz w:val="24"/>
          <w:szCs w:val="24"/>
        </w:rPr>
        <w:t xml:space="preserve"> </w:t>
      </w:r>
      <w:proofErr w:type="spellStart"/>
      <w:r w:rsidRPr="00AB6C30">
        <w:rPr>
          <w:rFonts w:ascii="Book Antiqua" w:hAnsi="Book Antiqua"/>
          <w:sz w:val="24"/>
          <w:szCs w:val="24"/>
        </w:rPr>
        <w:t>Taweesedt</w:t>
      </w:r>
      <w:proofErr w:type="spellEnd"/>
      <w:r w:rsidRPr="00AB6C30">
        <w:rPr>
          <w:rFonts w:ascii="Book Antiqua" w:hAnsi="Book Antiqua"/>
          <w:sz w:val="24"/>
          <w:szCs w:val="24"/>
        </w:rPr>
        <w:t xml:space="preserve"> PT </w:t>
      </w:r>
      <w:r w:rsidR="00D9766B" w:rsidRPr="00AB6C30">
        <w:rPr>
          <w:rFonts w:ascii="Book Antiqua" w:hAnsi="Book Antiqua"/>
          <w:sz w:val="24"/>
          <w:szCs w:val="24"/>
        </w:rPr>
        <w:t xml:space="preserve">and </w:t>
      </w:r>
      <w:proofErr w:type="spellStart"/>
      <w:r w:rsidR="00D9766B" w:rsidRPr="00AB6C30">
        <w:rPr>
          <w:rFonts w:ascii="Book Antiqua" w:hAnsi="Book Antiqua"/>
          <w:sz w:val="24"/>
          <w:szCs w:val="24"/>
        </w:rPr>
        <w:t>Disthabanchong</w:t>
      </w:r>
      <w:proofErr w:type="spellEnd"/>
      <w:r w:rsidR="00D9766B" w:rsidRPr="00AB6C30">
        <w:rPr>
          <w:rFonts w:ascii="Book Antiqua" w:hAnsi="Book Antiqua"/>
          <w:sz w:val="24"/>
          <w:szCs w:val="24"/>
        </w:rPr>
        <w:t xml:space="preserve"> S </w:t>
      </w:r>
      <w:r w:rsidRPr="00AB6C30">
        <w:rPr>
          <w:rFonts w:ascii="Book Antiqua" w:hAnsi="Book Antiqua"/>
          <w:sz w:val="24"/>
          <w:szCs w:val="24"/>
        </w:rPr>
        <w:t xml:space="preserve">contributed </w:t>
      </w:r>
      <w:r w:rsidR="00D9766B" w:rsidRPr="00AB6C30">
        <w:rPr>
          <w:rFonts w:ascii="Book Antiqua" w:hAnsi="Book Antiqua"/>
          <w:sz w:val="24"/>
          <w:szCs w:val="24"/>
          <w:lang w:eastAsia="zh-CN"/>
        </w:rPr>
        <w:t>equally</w:t>
      </w:r>
      <w:r w:rsidRPr="00AB6C30">
        <w:rPr>
          <w:rFonts w:ascii="Book Antiqua" w:hAnsi="Book Antiqua"/>
          <w:sz w:val="24"/>
          <w:szCs w:val="24"/>
        </w:rPr>
        <w:t xml:space="preserve"> to this review</w:t>
      </w:r>
      <w:r w:rsidR="00D9766B" w:rsidRPr="00AB6C30">
        <w:rPr>
          <w:rFonts w:ascii="Book Antiqua" w:hAnsi="Book Antiqua"/>
          <w:sz w:val="24"/>
          <w:szCs w:val="24"/>
          <w:lang w:eastAsia="zh-CN"/>
        </w:rPr>
        <w:t>.</w:t>
      </w:r>
    </w:p>
    <w:p w:rsidR="00166161" w:rsidRPr="00AB6C30" w:rsidRDefault="00166161" w:rsidP="00493B84">
      <w:pPr>
        <w:spacing w:after="0" w:line="360" w:lineRule="auto"/>
        <w:jc w:val="both"/>
        <w:rPr>
          <w:rFonts w:ascii="Book Antiqua" w:hAnsi="Book Antiqua"/>
          <w:b/>
          <w:bCs/>
          <w:sz w:val="24"/>
          <w:szCs w:val="24"/>
        </w:rPr>
      </w:pPr>
    </w:p>
    <w:p w:rsidR="00166161" w:rsidRPr="00AB6C30" w:rsidRDefault="00166161" w:rsidP="00493B84">
      <w:pPr>
        <w:spacing w:after="0" w:line="360" w:lineRule="auto"/>
        <w:jc w:val="both"/>
        <w:rPr>
          <w:rFonts w:ascii="Book Antiqua" w:hAnsi="Book Antiqua"/>
          <w:sz w:val="24"/>
          <w:szCs w:val="24"/>
        </w:rPr>
      </w:pPr>
      <w:r w:rsidRPr="00AB6C30">
        <w:rPr>
          <w:rFonts w:ascii="Book Antiqua" w:hAnsi="Book Antiqua"/>
          <w:b/>
          <w:bCs/>
          <w:sz w:val="24"/>
          <w:szCs w:val="24"/>
        </w:rPr>
        <w:t>Conflict-of-interest statement:</w:t>
      </w:r>
      <w:r w:rsidRPr="00AB6C30">
        <w:rPr>
          <w:rFonts w:ascii="Book Antiqua" w:hAnsi="Book Antiqua"/>
          <w:sz w:val="24"/>
          <w:szCs w:val="24"/>
        </w:rPr>
        <w:t xml:space="preserve"> Authors declare no conflict of interests for this article</w:t>
      </w:r>
    </w:p>
    <w:p w:rsidR="00166161" w:rsidRPr="00AB6C30" w:rsidRDefault="00166161" w:rsidP="00493B84">
      <w:pPr>
        <w:spacing w:after="0" w:line="360" w:lineRule="auto"/>
        <w:jc w:val="both"/>
        <w:rPr>
          <w:rFonts w:ascii="Book Antiqua" w:hAnsi="Book Antiqua"/>
          <w:sz w:val="24"/>
          <w:szCs w:val="24"/>
        </w:rPr>
      </w:pPr>
    </w:p>
    <w:p w:rsidR="00166161" w:rsidRPr="00AB6C30" w:rsidRDefault="00166161" w:rsidP="00493B84">
      <w:pPr>
        <w:spacing w:after="0" w:line="360" w:lineRule="auto"/>
        <w:jc w:val="both"/>
        <w:rPr>
          <w:rFonts w:ascii="Book Antiqua" w:hAnsi="Book Antiqua"/>
          <w:sz w:val="24"/>
          <w:szCs w:val="24"/>
        </w:rPr>
      </w:pPr>
      <w:r w:rsidRPr="00AB6C30">
        <w:rPr>
          <w:rFonts w:ascii="Book Antiqua" w:hAnsi="Book Antiqua"/>
          <w:b/>
          <w:bCs/>
          <w:sz w:val="24"/>
          <w:szCs w:val="24"/>
        </w:rPr>
        <w:t>Open-Access:</w:t>
      </w:r>
      <w:r w:rsidRPr="00AB6C30">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B6C30">
          <w:rPr>
            <w:rStyle w:val="Hyperlink"/>
            <w:rFonts w:ascii="Book Antiqua" w:hAnsi="Book Antiqua" w:cs="Cordia New"/>
            <w:color w:val="auto"/>
            <w:sz w:val="24"/>
            <w:szCs w:val="24"/>
            <w:u w:val="none"/>
          </w:rPr>
          <w:t>http://creativecommons.org/licenses/by-nc/4.0/</w:t>
        </w:r>
      </w:hyperlink>
    </w:p>
    <w:p w:rsidR="00166161" w:rsidRPr="00AB6C30" w:rsidRDefault="00166161" w:rsidP="00493B84">
      <w:pPr>
        <w:spacing w:after="0" w:line="360" w:lineRule="auto"/>
        <w:jc w:val="both"/>
        <w:rPr>
          <w:rFonts w:ascii="Book Antiqua" w:hAnsi="Book Antiqua"/>
          <w:sz w:val="24"/>
          <w:szCs w:val="24"/>
        </w:rPr>
      </w:pP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b/>
          <w:bCs/>
          <w:sz w:val="24"/>
          <w:szCs w:val="24"/>
        </w:rPr>
        <w:t>Correspondence to:</w:t>
      </w:r>
      <w:r w:rsidR="000B13D8" w:rsidRPr="00AB6C30">
        <w:rPr>
          <w:rFonts w:ascii="Book Antiqua" w:hAnsi="Book Antiqua"/>
          <w:sz w:val="24"/>
          <w:szCs w:val="24"/>
        </w:rPr>
        <w:t xml:space="preserve">  </w:t>
      </w:r>
      <w:proofErr w:type="spellStart"/>
      <w:r w:rsidRPr="00AB6C30">
        <w:rPr>
          <w:rFonts w:ascii="Book Antiqua" w:hAnsi="Book Antiqua"/>
          <w:b/>
          <w:sz w:val="24"/>
          <w:szCs w:val="24"/>
        </w:rPr>
        <w:t>Sinee</w:t>
      </w:r>
      <w:proofErr w:type="spellEnd"/>
      <w:r w:rsidRPr="00AB6C30">
        <w:rPr>
          <w:rFonts w:ascii="Book Antiqua" w:hAnsi="Book Antiqua"/>
          <w:b/>
          <w:sz w:val="24"/>
          <w:szCs w:val="24"/>
        </w:rPr>
        <w:t xml:space="preserve"> </w:t>
      </w:r>
      <w:proofErr w:type="spellStart"/>
      <w:r w:rsidRPr="00AB6C30">
        <w:rPr>
          <w:rFonts w:ascii="Book Antiqua" w:hAnsi="Book Antiqua"/>
          <w:b/>
          <w:sz w:val="24"/>
          <w:szCs w:val="24"/>
        </w:rPr>
        <w:t>Disthabanchong</w:t>
      </w:r>
      <w:proofErr w:type="spellEnd"/>
      <w:r w:rsidRPr="00AB6C30">
        <w:rPr>
          <w:rFonts w:ascii="Book Antiqua" w:hAnsi="Book Antiqua"/>
          <w:b/>
          <w:sz w:val="24"/>
          <w:szCs w:val="24"/>
        </w:rPr>
        <w:t>, MD, Associate Professor</w:t>
      </w:r>
      <w:r w:rsidRPr="00AB6C30">
        <w:rPr>
          <w:rFonts w:ascii="Book Antiqua" w:hAnsi="Book Antiqua"/>
          <w:sz w:val="24"/>
          <w:szCs w:val="24"/>
        </w:rPr>
        <w:t xml:space="preserve"> of Medicine,</w:t>
      </w:r>
      <w:r w:rsidR="00493B84" w:rsidRPr="00AB6C30">
        <w:rPr>
          <w:rFonts w:ascii="Book Antiqua" w:hAnsi="Book Antiqua"/>
          <w:sz w:val="24"/>
          <w:szCs w:val="24"/>
        </w:rPr>
        <w:t xml:space="preserve"> Division of</w:t>
      </w:r>
      <w:r w:rsidR="00493B84" w:rsidRPr="00AB6C30">
        <w:rPr>
          <w:rFonts w:ascii="Book Antiqua" w:hAnsi="Book Antiqua"/>
          <w:b/>
          <w:bCs/>
          <w:sz w:val="24"/>
          <w:szCs w:val="24"/>
        </w:rPr>
        <w:t xml:space="preserve"> </w:t>
      </w:r>
      <w:r w:rsidR="00493B84" w:rsidRPr="00AB6C30">
        <w:rPr>
          <w:rFonts w:ascii="Book Antiqua" w:hAnsi="Book Antiqua"/>
          <w:sz w:val="24"/>
          <w:szCs w:val="24"/>
        </w:rPr>
        <w:t xml:space="preserve">Nephrology, Department of Medicine, Faculty of Medicine, </w:t>
      </w:r>
      <w:proofErr w:type="spellStart"/>
      <w:r w:rsidR="00493B84" w:rsidRPr="00AB6C30">
        <w:rPr>
          <w:rFonts w:ascii="Book Antiqua" w:hAnsi="Book Antiqua"/>
          <w:sz w:val="24"/>
          <w:szCs w:val="24"/>
        </w:rPr>
        <w:t>Ramathibodi</w:t>
      </w:r>
      <w:proofErr w:type="spellEnd"/>
      <w:r w:rsidR="00493B84" w:rsidRPr="00AB6C30">
        <w:rPr>
          <w:rFonts w:ascii="Book Antiqua" w:hAnsi="Book Antiqua"/>
          <w:sz w:val="24"/>
          <w:szCs w:val="24"/>
        </w:rPr>
        <w:t xml:space="preserve"> Hospital, </w:t>
      </w:r>
      <w:proofErr w:type="spellStart"/>
      <w:r w:rsidR="00493B84" w:rsidRPr="00AB6C30">
        <w:rPr>
          <w:rFonts w:ascii="Book Antiqua" w:hAnsi="Book Antiqua"/>
          <w:sz w:val="24"/>
          <w:szCs w:val="24"/>
        </w:rPr>
        <w:t>Mahidol</w:t>
      </w:r>
      <w:proofErr w:type="spellEnd"/>
      <w:r w:rsidR="00493B84" w:rsidRPr="00AB6C30">
        <w:rPr>
          <w:rFonts w:ascii="Book Antiqua" w:hAnsi="Book Antiqua"/>
          <w:sz w:val="24"/>
          <w:szCs w:val="24"/>
        </w:rPr>
        <w:t xml:space="preserve"> University</w:t>
      </w:r>
      <w:r w:rsidR="00493B84" w:rsidRPr="00AB6C30">
        <w:rPr>
          <w:rFonts w:ascii="Book Antiqua" w:hAnsi="Book Antiqua"/>
          <w:sz w:val="24"/>
          <w:szCs w:val="24"/>
          <w:lang w:eastAsia="zh-CN"/>
        </w:rPr>
        <w:t xml:space="preserve">, </w:t>
      </w:r>
      <w:r w:rsidR="00493B84" w:rsidRPr="00AB6C30">
        <w:rPr>
          <w:rFonts w:ascii="Book Antiqua" w:hAnsi="Book Antiqua"/>
          <w:sz w:val="24"/>
          <w:szCs w:val="24"/>
        </w:rPr>
        <w:t>270 Rama VI Rd,</w:t>
      </w:r>
      <w:r w:rsidR="00493B84" w:rsidRPr="00AB6C30">
        <w:rPr>
          <w:rFonts w:ascii="Book Antiqua" w:hAnsi="Book Antiqua"/>
          <w:sz w:val="24"/>
          <w:szCs w:val="24"/>
          <w:lang w:eastAsia="zh-CN"/>
        </w:rPr>
        <w:t xml:space="preserve"> </w:t>
      </w:r>
      <w:proofErr w:type="spellStart"/>
      <w:r w:rsidR="00493B84" w:rsidRPr="00AB6C30">
        <w:rPr>
          <w:rFonts w:ascii="Book Antiqua" w:hAnsi="Book Antiqua"/>
          <w:sz w:val="24"/>
          <w:szCs w:val="24"/>
        </w:rPr>
        <w:t>Phayathai</w:t>
      </w:r>
      <w:proofErr w:type="spellEnd"/>
      <w:r w:rsidR="00493B84" w:rsidRPr="00AB6C30">
        <w:rPr>
          <w:rFonts w:ascii="Book Antiqua" w:hAnsi="Book Antiqua"/>
          <w:sz w:val="24"/>
          <w:szCs w:val="24"/>
        </w:rPr>
        <w:t>, Bangkok</w:t>
      </w:r>
      <w:r w:rsidRPr="00AB6C30">
        <w:rPr>
          <w:rFonts w:ascii="Book Antiqua" w:hAnsi="Book Antiqua"/>
          <w:sz w:val="24"/>
          <w:szCs w:val="24"/>
        </w:rPr>
        <w:t xml:space="preserve"> 10400</w:t>
      </w:r>
      <w:r w:rsidR="00493B84" w:rsidRPr="00AB6C30">
        <w:rPr>
          <w:rFonts w:ascii="Book Antiqua" w:hAnsi="Book Antiqua"/>
          <w:sz w:val="24"/>
          <w:szCs w:val="24"/>
          <w:lang w:eastAsia="zh-CN"/>
        </w:rPr>
        <w:t>,</w:t>
      </w:r>
      <w:r w:rsidR="00493B84" w:rsidRPr="00AB6C30">
        <w:rPr>
          <w:rFonts w:ascii="Book Antiqua" w:hAnsi="Book Antiqua"/>
          <w:sz w:val="24"/>
          <w:szCs w:val="24"/>
        </w:rPr>
        <w:t xml:space="preserve"> Thailand.</w:t>
      </w:r>
      <w:r w:rsidR="00493B84" w:rsidRPr="00AB6C30">
        <w:rPr>
          <w:rFonts w:ascii="Book Antiqua" w:hAnsi="Book Antiqua"/>
          <w:sz w:val="24"/>
          <w:szCs w:val="24"/>
          <w:lang w:eastAsia="zh-CN"/>
        </w:rPr>
        <w:t xml:space="preserve"> </w:t>
      </w:r>
      <w:hyperlink r:id="rId8" w:history="1">
        <w:r w:rsidRPr="00AB6C30">
          <w:rPr>
            <w:rStyle w:val="Hyperlink"/>
            <w:rFonts w:ascii="Book Antiqua" w:hAnsi="Book Antiqua" w:cs="Cordia New"/>
            <w:color w:val="auto"/>
            <w:sz w:val="24"/>
            <w:szCs w:val="24"/>
            <w:u w:val="none"/>
          </w:rPr>
          <w:t>sineemd@hotmail.com</w:t>
        </w:r>
      </w:hyperlink>
      <w:r w:rsidR="00493B84" w:rsidRPr="00AB6C30">
        <w:rPr>
          <w:rFonts w:ascii="Book Antiqua" w:hAnsi="Book Antiqua"/>
          <w:sz w:val="24"/>
          <w:szCs w:val="24"/>
          <w:lang w:eastAsia="zh-CN"/>
        </w:rPr>
        <w:t xml:space="preserve"> </w:t>
      </w:r>
    </w:p>
    <w:p w:rsidR="00166161" w:rsidRPr="00AB6C30" w:rsidRDefault="00166161" w:rsidP="00493B84">
      <w:pPr>
        <w:spacing w:after="0" w:line="360" w:lineRule="auto"/>
        <w:jc w:val="both"/>
        <w:rPr>
          <w:rFonts w:ascii="Book Antiqua" w:hAnsi="Book Antiqua"/>
          <w:sz w:val="24"/>
          <w:szCs w:val="24"/>
        </w:rPr>
      </w:pPr>
      <w:r w:rsidRPr="00AB6C30">
        <w:rPr>
          <w:rFonts w:ascii="Book Antiqua" w:hAnsi="Book Antiqua"/>
          <w:b/>
          <w:bCs/>
          <w:sz w:val="24"/>
          <w:szCs w:val="24"/>
        </w:rPr>
        <w:t>Telephone:</w:t>
      </w:r>
      <w:r w:rsidR="00493B84" w:rsidRPr="00AB6C30">
        <w:rPr>
          <w:rFonts w:ascii="Book Antiqua" w:hAnsi="Book Antiqua"/>
          <w:sz w:val="24"/>
          <w:szCs w:val="24"/>
        </w:rPr>
        <w:t xml:space="preserve"> +66-2-201</w:t>
      </w:r>
      <w:r w:rsidRPr="00AB6C30">
        <w:rPr>
          <w:rFonts w:ascii="Book Antiqua" w:hAnsi="Book Antiqua"/>
          <w:sz w:val="24"/>
          <w:szCs w:val="24"/>
        </w:rPr>
        <w:t>1116</w:t>
      </w:r>
    </w:p>
    <w:p w:rsidR="00166161" w:rsidRPr="00AB6C30" w:rsidRDefault="00166161" w:rsidP="00493B84">
      <w:pPr>
        <w:spacing w:after="0" w:line="360" w:lineRule="auto"/>
        <w:jc w:val="both"/>
        <w:rPr>
          <w:rFonts w:ascii="Book Antiqua" w:hAnsi="Book Antiqua"/>
          <w:sz w:val="24"/>
          <w:szCs w:val="24"/>
        </w:rPr>
      </w:pPr>
      <w:r w:rsidRPr="00AB6C30">
        <w:rPr>
          <w:rFonts w:ascii="Book Antiqua" w:hAnsi="Book Antiqua"/>
          <w:b/>
          <w:bCs/>
          <w:sz w:val="24"/>
          <w:szCs w:val="24"/>
        </w:rPr>
        <w:lastRenderedPageBreak/>
        <w:t>Fax:</w:t>
      </w:r>
      <w:r w:rsidR="00493B84" w:rsidRPr="00AB6C30">
        <w:rPr>
          <w:rFonts w:ascii="Book Antiqua" w:hAnsi="Book Antiqua"/>
          <w:sz w:val="24"/>
          <w:szCs w:val="24"/>
        </w:rPr>
        <w:t xml:space="preserve"> +66-2-201</w:t>
      </w:r>
      <w:r w:rsidRPr="00AB6C30">
        <w:rPr>
          <w:rFonts w:ascii="Book Antiqua" w:hAnsi="Book Antiqua"/>
          <w:sz w:val="24"/>
          <w:szCs w:val="24"/>
        </w:rPr>
        <w:t>1400</w:t>
      </w:r>
    </w:p>
    <w:p w:rsidR="00D9766B" w:rsidRPr="00AB6C30" w:rsidRDefault="00D9766B"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sz w:val="24"/>
          <w:szCs w:val="24"/>
        </w:rPr>
      </w:pPr>
      <w:r w:rsidRPr="00AB6C30">
        <w:rPr>
          <w:rFonts w:ascii="Book Antiqua" w:hAnsi="Book Antiqua"/>
          <w:b/>
          <w:bCs/>
          <w:sz w:val="24"/>
          <w:szCs w:val="24"/>
        </w:rPr>
        <w:t>Received:</w:t>
      </w:r>
      <w:r w:rsidRPr="00AB6C30">
        <w:rPr>
          <w:rFonts w:ascii="Book Antiqua" w:hAnsi="Book Antiqua"/>
          <w:sz w:val="24"/>
          <w:szCs w:val="24"/>
        </w:rPr>
        <w:t xml:space="preserve"> June 25, 2015</w:t>
      </w:r>
    </w:p>
    <w:p w:rsidR="00166161" w:rsidRPr="00AB6C30" w:rsidRDefault="00166161" w:rsidP="00493B84">
      <w:pPr>
        <w:spacing w:after="0" w:line="360" w:lineRule="auto"/>
        <w:jc w:val="both"/>
        <w:rPr>
          <w:rFonts w:ascii="Book Antiqua" w:hAnsi="Book Antiqua"/>
          <w:sz w:val="24"/>
          <w:szCs w:val="24"/>
        </w:rPr>
      </w:pPr>
      <w:r w:rsidRPr="00AB6C30">
        <w:rPr>
          <w:rFonts w:ascii="Book Antiqua" w:hAnsi="Book Antiqua"/>
          <w:b/>
          <w:bCs/>
          <w:sz w:val="24"/>
          <w:szCs w:val="24"/>
        </w:rPr>
        <w:t>Peer-review started:</w:t>
      </w:r>
      <w:r w:rsidRPr="00AB6C30">
        <w:rPr>
          <w:rFonts w:ascii="Book Antiqua" w:hAnsi="Book Antiqua"/>
          <w:sz w:val="24"/>
          <w:szCs w:val="24"/>
        </w:rPr>
        <w:t xml:space="preserve"> June 27, 2015</w:t>
      </w:r>
    </w:p>
    <w:p w:rsidR="00166161" w:rsidRPr="00AB6C30" w:rsidRDefault="00166161" w:rsidP="00493B84">
      <w:pPr>
        <w:spacing w:after="0" w:line="360" w:lineRule="auto"/>
        <w:jc w:val="both"/>
        <w:rPr>
          <w:rFonts w:ascii="Book Antiqua" w:hAnsi="Book Antiqua"/>
          <w:sz w:val="24"/>
          <w:szCs w:val="24"/>
        </w:rPr>
      </w:pPr>
      <w:r w:rsidRPr="00AB6C30">
        <w:rPr>
          <w:rFonts w:ascii="Book Antiqua" w:hAnsi="Book Antiqua"/>
          <w:b/>
          <w:bCs/>
          <w:sz w:val="24"/>
          <w:szCs w:val="24"/>
        </w:rPr>
        <w:t>First decision:</w:t>
      </w:r>
      <w:r w:rsidRPr="00AB6C30">
        <w:rPr>
          <w:rFonts w:ascii="Book Antiqua" w:hAnsi="Book Antiqua"/>
          <w:sz w:val="24"/>
          <w:szCs w:val="24"/>
        </w:rPr>
        <w:t xml:space="preserve"> August 2</w:t>
      </w:r>
      <w:r w:rsidR="00493B84" w:rsidRPr="00AB6C30">
        <w:rPr>
          <w:rFonts w:ascii="Book Antiqua" w:hAnsi="Book Antiqua"/>
          <w:sz w:val="24"/>
          <w:szCs w:val="24"/>
          <w:lang w:eastAsia="zh-CN"/>
        </w:rPr>
        <w:t>6</w:t>
      </w:r>
      <w:r w:rsidRPr="00AB6C30">
        <w:rPr>
          <w:rFonts w:ascii="Book Antiqua" w:hAnsi="Book Antiqua"/>
          <w:sz w:val="24"/>
          <w:szCs w:val="24"/>
        </w:rPr>
        <w:t>, 2015</w:t>
      </w: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b/>
          <w:bCs/>
          <w:sz w:val="24"/>
          <w:szCs w:val="24"/>
        </w:rPr>
        <w:t>Revised:</w:t>
      </w:r>
      <w:r w:rsidRPr="00AB6C30">
        <w:rPr>
          <w:rFonts w:ascii="Book Antiqua" w:hAnsi="Book Antiqua"/>
          <w:sz w:val="24"/>
          <w:szCs w:val="24"/>
        </w:rPr>
        <w:t xml:space="preserve"> </w:t>
      </w:r>
      <w:r w:rsidR="00493B84" w:rsidRPr="00AB6C30">
        <w:rPr>
          <w:rFonts w:ascii="Book Antiqua" w:hAnsi="Book Antiqua"/>
          <w:sz w:val="24"/>
          <w:szCs w:val="24"/>
          <w:lang w:eastAsia="zh-CN"/>
        </w:rPr>
        <w:t>September 11, 2015</w:t>
      </w:r>
    </w:p>
    <w:p w:rsidR="00166161" w:rsidRPr="00C655F9" w:rsidRDefault="00166161" w:rsidP="00C655F9">
      <w:pPr>
        <w:rPr>
          <w:rFonts w:ascii="Book Antiqua" w:hAnsi="Book Antiqua"/>
          <w:iCs/>
          <w:sz w:val="24"/>
        </w:rPr>
      </w:pPr>
      <w:r w:rsidRPr="00AB6C30">
        <w:rPr>
          <w:rFonts w:ascii="Book Antiqua" w:hAnsi="Book Antiqua"/>
          <w:b/>
          <w:bCs/>
          <w:sz w:val="24"/>
          <w:szCs w:val="24"/>
        </w:rPr>
        <w:t>Accepted:</w:t>
      </w:r>
      <w:r w:rsidRPr="00AB6C30">
        <w:rPr>
          <w:rFonts w:ascii="Book Antiqua" w:hAnsi="Book Antiqua"/>
          <w:sz w:val="24"/>
          <w:szCs w:val="24"/>
        </w:rPr>
        <w:t xml:space="preserve"> </w:t>
      </w:r>
      <w:r w:rsidR="00C655F9">
        <w:rPr>
          <w:rStyle w:val="Emphasis"/>
        </w:rPr>
        <w:t>October 23</w:t>
      </w:r>
      <w:r w:rsidR="00C655F9" w:rsidRPr="00235CD4">
        <w:rPr>
          <w:rStyle w:val="Emphasis"/>
        </w:rPr>
        <w:t>, 2015</w:t>
      </w:r>
    </w:p>
    <w:p w:rsidR="00166161" w:rsidRPr="00AB6C30" w:rsidRDefault="00166161" w:rsidP="00493B84">
      <w:pPr>
        <w:spacing w:after="0" w:line="360" w:lineRule="auto"/>
        <w:jc w:val="both"/>
        <w:rPr>
          <w:rFonts w:ascii="Book Antiqua" w:hAnsi="Book Antiqua"/>
          <w:b/>
          <w:bCs/>
          <w:sz w:val="24"/>
          <w:szCs w:val="24"/>
        </w:rPr>
      </w:pPr>
      <w:r w:rsidRPr="00AB6C30">
        <w:rPr>
          <w:rFonts w:ascii="Book Antiqua" w:hAnsi="Book Antiqua"/>
          <w:b/>
          <w:bCs/>
          <w:sz w:val="24"/>
          <w:szCs w:val="24"/>
        </w:rPr>
        <w:t>Article in press:</w:t>
      </w:r>
    </w:p>
    <w:p w:rsidR="00166161" w:rsidRPr="00AB6C30" w:rsidRDefault="00166161" w:rsidP="00493B84">
      <w:pPr>
        <w:spacing w:after="0" w:line="360" w:lineRule="auto"/>
        <w:jc w:val="both"/>
        <w:rPr>
          <w:rFonts w:ascii="Book Antiqua" w:hAnsi="Book Antiqua"/>
          <w:sz w:val="24"/>
          <w:szCs w:val="24"/>
        </w:rPr>
      </w:pPr>
      <w:r w:rsidRPr="00AB6C30">
        <w:rPr>
          <w:rFonts w:ascii="Book Antiqua" w:hAnsi="Book Antiqua"/>
          <w:b/>
          <w:bCs/>
          <w:sz w:val="24"/>
          <w:szCs w:val="24"/>
        </w:rPr>
        <w:t>Published online:</w:t>
      </w:r>
    </w:p>
    <w:p w:rsidR="00493B84" w:rsidRPr="00AB6C30" w:rsidRDefault="00493B84" w:rsidP="00493B84">
      <w:pPr>
        <w:spacing w:after="0" w:line="360" w:lineRule="auto"/>
        <w:jc w:val="both"/>
        <w:rPr>
          <w:rFonts w:ascii="Book Antiqua" w:hAnsi="Book Antiqua"/>
          <w:sz w:val="24"/>
          <w:szCs w:val="24"/>
        </w:rPr>
      </w:pPr>
      <w:r w:rsidRPr="00AB6C30">
        <w:rPr>
          <w:rFonts w:ascii="Book Antiqua" w:hAnsi="Book Antiqua"/>
          <w:sz w:val="24"/>
          <w:szCs w:val="24"/>
        </w:rPr>
        <w:br w:type="page"/>
      </w:r>
    </w:p>
    <w:p w:rsidR="00166161" w:rsidRPr="00AB6C30" w:rsidRDefault="00166161" w:rsidP="00493B84">
      <w:pPr>
        <w:spacing w:after="0" w:line="360" w:lineRule="auto"/>
        <w:jc w:val="both"/>
        <w:rPr>
          <w:rFonts w:ascii="Book Antiqua" w:hAnsi="Book Antiqua"/>
          <w:b/>
          <w:bCs/>
          <w:sz w:val="24"/>
          <w:szCs w:val="24"/>
        </w:rPr>
      </w:pPr>
      <w:r w:rsidRPr="00AB6C30">
        <w:rPr>
          <w:rFonts w:ascii="Book Antiqua" w:hAnsi="Book Antiqua"/>
          <w:b/>
          <w:bCs/>
          <w:sz w:val="24"/>
          <w:szCs w:val="24"/>
        </w:rPr>
        <w:lastRenderedPageBreak/>
        <w:t>Abstract</w:t>
      </w: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sz w:val="24"/>
          <w:szCs w:val="24"/>
        </w:rPr>
        <w:t xml:space="preserve">After successful kidney transplantation, accumulated waste products and electrolytes are excreted and regulatory hormones return to normal levels. Despite the improvement in mineral metabolites and mineral regulating hormones after kidney transplantation, abnormal bone and mineral metabolism continues to present in most patients. During the first 3 </w:t>
      </w:r>
      <w:proofErr w:type="spellStart"/>
      <w:proofErr w:type="gramStart"/>
      <w:r w:rsidRPr="00AB6C30">
        <w:rPr>
          <w:rFonts w:ascii="Book Antiqua" w:hAnsi="Book Antiqua"/>
          <w:sz w:val="24"/>
          <w:szCs w:val="24"/>
        </w:rPr>
        <w:t>mo</w:t>
      </w:r>
      <w:proofErr w:type="spellEnd"/>
      <w:proofErr w:type="gramEnd"/>
      <w:r w:rsidRPr="00AB6C30">
        <w:rPr>
          <w:rFonts w:ascii="Book Antiqua" w:hAnsi="Book Antiqua"/>
          <w:sz w:val="24"/>
          <w:szCs w:val="24"/>
        </w:rPr>
        <w:t xml:space="preserve">, fibroblast growth factor-23 (FGF-23) and parathyroid hormone levels decrease rapidly in association with an increase in 1,25-dihydroxyvitamin D production. Renal phosphate excretion resumes and serum calcium, if elevated before, </w:t>
      </w:r>
      <w:r w:rsidR="00230A54" w:rsidRPr="00AB6C30">
        <w:rPr>
          <w:rFonts w:ascii="Book Antiqua" w:hAnsi="Book Antiqua"/>
          <w:sz w:val="24"/>
          <w:szCs w:val="24"/>
        </w:rPr>
        <w:t>returns toward normal levels</w:t>
      </w:r>
      <w:r w:rsidRPr="00AB6C30">
        <w:rPr>
          <w:rFonts w:ascii="Book Antiqua" w:hAnsi="Book Antiqua"/>
          <w:sz w:val="24"/>
          <w:szCs w:val="24"/>
        </w:rPr>
        <w:t xml:space="preserve">. FGF-23 excess during the first 3-12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results in exaggerated renal phosphate loss and hypophosphatemia </w:t>
      </w:r>
      <w:r w:rsidR="00230A54" w:rsidRPr="00AB6C30">
        <w:rPr>
          <w:rFonts w:ascii="Book Antiqua" w:hAnsi="Book Antiqua"/>
          <w:sz w:val="24"/>
          <w:szCs w:val="24"/>
        </w:rPr>
        <w:t>occurs</w:t>
      </w:r>
      <w:r w:rsidRPr="00AB6C30">
        <w:rPr>
          <w:rFonts w:ascii="Book Antiqua" w:hAnsi="Book Antiqua"/>
          <w:sz w:val="24"/>
          <w:szCs w:val="24"/>
        </w:rPr>
        <w:t xml:space="preserve"> in some patients. After 1 year, FGF-23 and serum phosphate return to normal levels but persistent hyperparathyroidism remains in some patients. The progression of vascular calcification also attenuates. High dose corticosteroid and persistent hyperparathyroidism are the most important factors influencing abnormal bone and mineral metabolism in long-term kidney transplant (KT) recipients. Bone loss occurs at a highest rate during the first 6-12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after transplantation. Measurement of bone mineral density is recommended in patients with </w:t>
      </w:r>
      <w:r w:rsidR="00493B84" w:rsidRPr="00AB6C30">
        <w:rPr>
          <w:rFonts w:ascii="Book Antiqua" w:hAnsi="Book Antiqua"/>
          <w:sz w:val="24"/>
          <w:szCs w:val="24"/>
        </w:rPr>
        <w:t>estimated glomerular filtration rate</w:t>
      </w:r>
      <w:r w:rsidRPr="00AB6C30">
        <w:rPr>
          <w:rFonts w:ascii="Book Antiqua" w:hAnsi="Book Antiqua"/>
          <w:sz w:val="24"/>
          <w:szCs w:val="24"/>
        </w:rPr>
        <w:t xml:space="preserve"> &gt; 30 mL/min. The use of active vitamin D with or without bisphosphonate is effective in preventing early post-transplant bone loss. Steroid withdrawal regimen is also beneficial in preservation of bone mass in long-term. </w:t>
      </w:r>
      <w:proofErr w:type="spellStart"/>
      <w:r w:rsidRPr="00AB6C30">
        <w:rPr>
          <w:rFonts w:ascii="Book Antiqua" w:hAnsi="Book Antiqua"/>
          <w:sz w:val="24"/>
          <w:szCs w:val="24"/>
        </w:rPr>
        <w:t>Calcimimetic</w:t>
      </w:r>
      <w:proofErr w:type="spellEnd"/>
      <w:r w:rsidRPr="00AB6C30">
        <w:rPr>
          <w:rFonts w:ascii="Book Antiqua" w:hAnsi="Book Antiqua"/>
          <w:sz w:val="24"/>
          <w:szCs w:val="24"/>
        </w:rPr>
        <w:t xml:space="preserve"> is an alternative therapy to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in KT recipients with persistent hyperparathyroidism. If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is required, subtotal to near total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is recommended. Performing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during the waiting period prior to transplantation is also preferred in patients with severe hyperparathyroidism associated with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w:t>
      </w:r>
    </w:p>
    <w:p w:rsidR="00B1057D" w:rsidRPr="00AB6C30" w:rsidRDefault="00B1057D"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b/>
          <w:bCs/>
          <w:sz w:val="24"/>
          <w:szCs w:val="24"/>
        </w:rPr>
        <w:t xml:space="preserve">Key words: </w:t>
      </w:r>
      <w:proofErr w:type="spellStart"/>
      <w:r w:rsidR="00493B84" w:rsidRPr="00AB6C30">
        <w:rPr>
          <w:rFonts w:ascii="Book Antiqua" w:hAnsi="Book Antiqua"/>
          <w:sz w:val="24"/>
          <w:szCs w:val="24"/>
        </w:rPr>
        <w:t>P</w:t>
      </w:r>
      <w:r w:rsidRPr="00AB6C30">
        <w:rPr>
          <w:rFonts w:ascii="Book Antiqua" w:hAnsi="Book Antiqua"/>
          <w:sz w:val="24"/>
          <w:szCs w:val="24"/>
        </w:rPr>
        <w:t>hosphatonin</w:t>
      </w:r>
      <w:proofErr w:type="spellEnd"/>
      <w:r w:rsidR="00493B84" w:rsidRPr="00AB6C30">
        <w:rPr>
          <w:rFonts w:ascii="Book Antiqua" w:hAnsi="Book Antiqua"/>
          <w:sz w:val="24"/>
          <w:szCs w:val="24"/>
          <w:lang w:eastAsia="zh-CN"/>
        </w:rPr>
        <w:t>;</w:t>
      </w:r>
      <w:r w:rsidRPr="00AB6C30">
        <w:rPr>
          <w:rFonts w:ascii="Book Antiqua" w:hAnsi="Book Antiqua"/>
          <w:sz w:val="24"/>
          <w:szCs w:val="24"/>
        </w:rPr>
        <w:t xml:space="preserve"> </w:t>
      </w:r>
      <w:r w:rsidR="00493B84" w:rsidRPr="00AB6C30">
        <w:rPr>
          <w:rFonts w:ascii="Book Antiqua" w:hAnsi="Book Antiqua"/>
          <w:sz w:val="24"/>
          <w:szCs w:val="24"/>
        </w:rPr>
        <w:t>T</w:t>
      </w:r>
      <w:r w:rsidRPr="00AB6C30">
        <w:rPr>
          <w:rFonts w:ascii="Book Antiqua" w:hAnsi="Book Antiqua"/>
          <w:sz w:val="24"/>
          <w:szCs w:val="24"/>
        </w:rPr>
        <w:t>ertiary hyperparathyroidism</w:t>
      </w:r>
      <w:r w:rsidR="00493B84" w:rsidRPr="00AB6C30">
        <w:rPr>
          <w:rFonts w:ascii="Book Antiqua" w:hAnsi="Book Antiqua"/>
          <w:sz w:val="24"/>
          <w:szCs w:val="24"/>
          <w:lang w:eastAsia="zh-CN"/>
        </w:rPr>
        <w:t>;</w:t>
      </w:r>
      <w:r w:rsidRPr="00AB6C30">
        <w:rPr>
          <w:rFonts w:ascii="Book Antiqua" w:hAnsi="Book Antiqua"/>
          <w:sz w:val="24"/>
          <w:szCs w:val="24"/>
        </w:rPr>
        <w:t xml:space="preserve"> </w:t>
      </w:r>
      <w:proofErr w:type="spellStart"/>
      <w:r w:rsidR="00493B84" w:rsidRPr="00AB6C30">
        <w:rPr>
          <w:rFonts w:ascii="Book Antiqua" w:hAnsi="Book Antiqua"/>
          <w:sz w:val="24"/>
          <w:szCs w:val="24"/>
        </w:rPr>
        <w:t>P</w:t>
      </w:r>
      <w:r w:rsidRPr="00AB6C30">
        <w:rPr>
          <w:rFonts w:ascii="Book Antiqua" w:hAnsi="Book Antiqua"/>
          <w:sz w:val="24"/>
          <w:szCs w:val="24"/>
        </w:rPr>
        <w:t>hosphaturia</w:t>
      </w:r>
      <w:proofErr w:type="spellEnd"/>
      <w:r w:rsidR="00493B84" w:rsidRPr="00AB6C30">
        <w:rPr>
          <w:rFonts w:ascii="Book Antiqua" w:hAnsi="Book Antiqua"/>
          <w:sz w:val="24"/>
          <w:szCs w:val="24"/>
          <w:lang w:eastAsia="zh-CN"/>
        </w:rPr>
        <w:t>;</w:t>
      </w:r>
      <w:r w:rsidRPr="00AB6C30">
        <w:rPr>
          <w:rFonts w:ascii="Book Antiqua" w:hAnsi="Book Antiqua"/>
          <w:sz w:val="24"/>
          <w:szCs w:val="24"/>
        </w:rPr>
        <w:t xml:space="preserve"> </w:t>
      </w:r>
      <w:r w:rsidR="00493B84" w:rsidRPr="00AB6C30">
        <w:rPr>
          <w:rFonts w:ascii="Book Antiqua" w:hAnsi="Book Antiqua"/>
          <w:sz w:val="24"/>
          <w:szCs w:val="24"/>
        </w:rPr>
        <w:t>R</w:t>
      </w:r>
      <w:r w:rsidRPr="00AB6C30">
        <w:rPr>
          <w:rFonts w:ascii="Book Antiqua" w:hAnsi="Book Antiqua"/>
          <w:sz w:val="24"/>
          <w:szCs w:val="24"/>
        </w:rPr>
        <w:t>enal transplantation</w:t>
      </w:r>
      <w:r w:rsidR="00493B84" w:rsidRPr="00AB6C30">
        <w:rPr>
          <w:rFonts w:ascii="Book Antiqua" w:hAnsi="Book Antiqua"/>
          <w:sz w:val="24"/>
          <w:szCs w:val="24"/>
          <w:lang w:eastAsia="zh-CN"/>
        </w:rPr>
        <w:t>;</w:t>
      </w:r>
      <w:r w:rsidRPr="00AB6C30">
        <w:rPr>
          <w:rFonts w:ascii="Book Antiqua" w:hAnsi="Book Antiqua"/>
          <w:sz w:val="24"/>
          <w:szCs w:val="24"/>
        </w:rPr>
        <w:t xml:space="preserve"> </w:t>
      </w:r>
      <w:r w:rsidR="00493B84" w:rsidRPr="00AB6C30">
        <w:rPr>
          <w:rFonts w:ascii="Book Antiqua" w:hAnsi="Book Antiqua"/>
          <w:sz w:val="24"/>
          <w:szCs w:val="24"/>
        </w:rPr>
        <w:t>Bone mineral density</w:t>
      </w:r>
    </w:p>
    <w:p w:rsidR="00B1057D" w:rsidRPr="00AB6C30" w:rsidRDefault="00B1057D" w:rsidP="00493B84">
      <w:pPr>
        <w:spacing w:after="0" w:line="360" w:lineRule="auto"/>
        <w:jc w:val="both"/>
        <w:rPr>
          <w:rFonts w:ascii="Book Antiqua" w:hAnsi="Book Antiqua"/>
          <w:sz w:val="24"/>
          <w:szCs w:val="24"/>
          <w:lang w:eastAsia="zh-CN"/>
        </w:rPr>
      </w:pPr>
    </w:p>
    <w:p w:rsidR="00493B84" w:rsidRPr="00AB6C30" w:rsidRDefault="00493B84" w:rsidP="00493B84">
      <w:pPr>
        <w:spacing w:after="0" w:line="360" w:lineRule="auto"/>
        <w:jc w:val="both"/>
        <w:rPr>
          <w:rFonts w:ascii="Book Antiqua" w:hAnsi="Book Antiqua" w:cs="Arial"/>
          <w:sz w:val="24"/>
          <w:szCs w:val="24"/>
        </w:rPr>
      </w:pPr>
      <w:proofErr w:type="gramStart"/>
      <w:r w:rsidRPr="00AB6C30">
        <w:rPr>
          <w:rFonts w:ascii="Book Antiqua" w:hAnsi="Book Antiqua"/>
          <w:b/>
          <w:sz w:val="24"/>
          <w:szCs w:val="24"/>
        </w:rPr>
        <w:t xml:space="preserve">© </w:t>
      </w:r>
      <w:r w:rsidRPr="00AB6C30">
        <w:rPr>
          <w:rFonts w:ascii="Book Antiqua" w:hAnsi="Book Antiqua" w:cs="Arial"/>
          <w:b/>
          <w:sz w:val="24"/>
          <w:szCs w:val="24"/>
        </w:rPr>
        <w:t>The Author(s) 2015.</w:t>
      </w:r>
      <w:proofErr w:type="gramEnd"/>
      <w:r w:rsidRPr="00AB6C30">
        <w:rPr>
          <w:rFonts w:ascii="Book Antiqua" w:hAnsi="Book Antiqua" w:cs="Arial"/>
          <w:sz w:val="24"/>
          <w:szCs w:val="24"/>
        </w:rPr>
        <w:t xml:space="preserve"> Published by </w:t>
      </w:r>
      <w:proofErr w:type="spellStart"/>
      <w:r w:rsidRPr="00AB6C30">
        <w:rPr>
          <w:rFonts w:ascii="Book Antiqua" w:hAnsi="Book Antiqua" w:cs="Arial"/>
          <w:sz w:val="24"/>
          <w:szCs w:val="24"/>
        </w:rPr>
        <w:t>Baishideng</w:t>
      </w:r>
      <w:proofErr w:type="spellEnd"/>
      <w:r w:rsidRPr="00AB6C30">
        <w:rPr>
          <w:rFonts w:ascii="Book Antiqua" w:hAnsi="Book Antiqua" w:cs="Arial"/>
          <w:sz w:val="24"/>
          <w:szCs w:val="24"/>
        </w:rPr>
        <w:t xml:space="preserve"> Publishing Group Inc. All rights reserved.</w:t>
      </w:r>
    </w:p>
    <w:p w:rsidR="00493B84" w:rsidRPr="00AB6C30" w:rsidRDefault="00493B84"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b/>
          <w:bCs/>
          <w:sz w:val="24"/>
          <w:szCs w:val="24"/>
        </w:rPr>
        <w:lastRenderedPageBreak/>
        <w:t xml:space="preserve">Core </w:t>
      </w:r>
      <w:r w:rsidR="00493B84" w:rsidRPr="00AB6C30">
        <w:rPr>
          <w:rFonts w:ascii="Book Antiqua" w:hAnsi="Book Antiqua"/>
          <w:b/>
          <w:bCs/>
          <w:sz w:val="24"/>
          <w:szCs w:val="24"/>
        </w:rPr>
        <w:t>t</w:t>
      </w:r>
      <w:r w:rsidRPr="00AB6C30">
        <w:rPr>
          <w:rFonts w:ascii="Book Antiqua" w:hAnsi="Book Antiqua"/>
          <w:b/>
          <w:bCs/>
          <w:sz w:val="24"/>
          <w:szCs w:val="24"/>
        </w:rPr>
        <w:t>ip:</w:t>
      </w:r>
      <w:r w:rsidRPr="00AB6C30">
        <w:rPr>
          <w:rFonts w:ascii="Book Antiqua" w:hAnsi="Book Antiqua"/>
          <w:sz w:val="24"/>
          <w:szCs w:val="24"/>
        </w:rPr>
        <w:t xml:space="preserve"> Despite the improvement in mineral metabolites and mineral regulating hormones after kidney transplantation, abnormal mineral metabolism continues to present in most patients. High dose corticosteroid and persistent hyperparathyroidism are the most important factors influencing abnormal mineral metabolism in long-term kidney transplant recipients. The use of active vitamin D with or without bisphosphonate and steroid withdrawal regimen are effective in preventing early post-transplant bone loss. </w:t>
      </w:r>
      <w:proofErr w:type="spellStart"/>
      <w:r w:rsidRPr="00AB6C30">
        <w:rPr>
          <w:rFonts w:ascii="Book Antiqua" w:hAnsi="Book Antiqua"/>
          <w:sz w:val="24"/>
          <w:szCs w:val="24"/>
        </w:rPr>
        <w:t>Calcimimetic</w:t>
      </w:r>
      <w:proofErr w:type="spellEnd"/>
      <w:r w:rsidRPr="00AB6C30">
        <w:rPr>
          <w:rFonts w:ascii="Book Antiqua" w:hAnsi="Book Antiqua"/>
          <w:sz w:val="24"/>
          <w:szCs w:val="24"/>
        </w:rPr>
        <w:t xml:space="preserve"> is an alternative therapy to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If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is required, subtotal to near total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is recommended. Performing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during the waiting period is also preferred in patients with severe hyperparathyroidism associated with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w:t>
      </w:r>
    </w:p>
    <w:p w:rsidR="00493B84" w:rsidRPr="00AB6C30" w:rsidRDefault="00493B84" w:rsidP="00493B84">
      <w:pPr>
        <w:spacing w:after="0" w:line="360" w:lineRule="auto"/>
        <w:jc w:val="both"/>
        <w:rPr>
          <w:rFonts w:ascii="Book Antiqua" w:hAnsi="Book Antiqua"/>
          <w:i/>
          <w:sz w:val="24"/>
          <w:szCs w:val="24"/>
          <w:lang w:eastAsia="zh-CN"/>
        </w:rPr>
      </w:pPr>
    </w:p>
    <w:p w:rsidR="00493B84" w:rsidRPr="00AB6C30" w:rsidRDefault="00493B84" w:rsidP="00493B84">
      <w:pPr>
        <w:spacing w:after="0" w:line="360" w:lineRule="auto"/>
        <w:jc w:val="both"/>
        <w:rPr>
          <w:rFonts w:ascii="Book Antiqua" w:hAnsi="Book Antiqua"/>
          <w:bCs/>
          <w:sz w:val="24"/>
          <w:szCs w:val="24"/>
          <w:lang w:eastAsia="zh-CN"/>
        </w:rPr>
      </w:pPr>
      <w:proofErr w:type="spellStart"/>
      <w:r w:rsidRPr="00AB6C30">
        <w:rPr>
          <w:rFonts w:ascii="Book Antiqua" w:hAnsi="Book Antiqua"/>
          <w:sz w:val="24"/>
          <w:szCs w:val="24"/>
        </w:rPr>
        <w:t>Taweesedt</w:t>
      </w:r>
      <w:proofErr w:type="spellEnd"/>
      <w:r w:rsidRPr="00AB6C30">
        <w:rPr>
          <w:rFonts w:ascii="Book Antiqua" w:hAnsi="Book Antiqua"/>
          <w:sz w:val="24"/>
          <w:szCs w:val="24"/>
          <w:lang w:eastAsia="zh-CN"/>
        </w:rPr>
        <w:t xml:space="preserve"> PT,</w:t>
      </w:r>
      <w:r w:rsidRPr="00AB6C30">
        <w:rPr>
          <w:rFonts w:ascii="Book Antiqua" w:hAnsi="Book Antiqua"/>
          <w:sz w:val="24"/>
          <w:szCs w:val="24"/>
        </w:rPr>
        <w:t xml:space="preserve"> </w:t>
      </w:r>
      <w:proofErr w:type="spellStart"/>
      <w:r w:rsidRPr="00AB6C30">
        <w:rPr>
          <w:rFonts w:ascii="Book Antiqua" w:hAnsi="Book Antiqua"/>
          <w:sz w:val="24"/>
          <w:szCs w:val="24"/>
        </w:rPr>
        <w:t>Disthabanchong</w:t>
      </w:r>
      <w:proofErr w:type="spellEnd"/>
      <w:r w:rsidRPr="00AB6C30">
        <w:rPr>
          <w:rFonts w:ascii="Book Antiqua" w:hAnsi="Book Antiqua"/>
          <w:sz w:val="24"/>
          <w:szCs w:val="24"/>
          <w:lang w:eastAsia="zh-CN"/>
        </w:rPr>
        <w:t xml:space="preserve"> S.</w:t>
      </w:r>
      <w:r w:rsidRPr="00AB6C30">
        <w:rPr>
          <w:rFonts w:ascii="Book Antiqua" w:hAnsi="Book Antiqua"/>
          <w:bCs/>
          <w:sz w:val="24"/>
          <w:szCs w:val="24"/>
        </w:rPr>
        <w:t xml:space="preserve"> Mineral and bone disorder after kidney transplantation</w:t>
      </w:r>
      <w:r w:rsidRPr="00AB6C30">
        <w:rPr>
          <w:rFonts w:ascii="Book Antiqua" w:hAnsi="Book Antiqua"/>
          <w:bCs/>
          <w:sz w:val="24"/>
          <w:szCs w:val="24"/>
          <w:lang w:eastAsia="zh-CN"/>
        </w:rPr>
        <w:t xml:space="preserve">. </w:t>
      </w:r>
      <w:r w:rsidRPr="00AB6C30">
        <w:rPr>
          <w:rFonts w:ascii="Book Antiqua" w:hAnsi="Book Antiqua"/>
          <w:i/>
          <w:iCs/>
          <w:sz w:val="24"/>
          <w:szCs w:val="24"/>
        </w:rPr>
        <w:t>World J Transplant</w:t>
      </w:r>
      <w:r w:rsidRPr="00AB6C30">
        <w:rPr>
          <w:rFonts w:ascii="Book Antiqua" w:hAnsi="Book Antiqua"/>
          <w:i/>
          <w:iCs/>
          <w:sz w:val="24"/>
          <w:szCs w:val="24"/>
          <w:lang w:eastAsia="zh-CN"/>
        </w:rPr>
        <w:t xml:space="preserve"> </w:t>
      </w:r>
      <w:r w:rsidRPr="00AB6C30">
        <w:rPr>
          <w:rFonts w:ascii="Book Antiqua" w:hAnsi="Book Antiqua"/>
          <w:iCs/>
          <w:sz w:val="24"/>
          <w:szCs w:val="24"/>
          <w:lang w:eastAsia="zh-CN"/>
        </w:rPr>
        <w:t xml:space="preserve">2015; </w:t>
      </w:r>
      <w:proofErr w:type="gramStart"/>
      <w:r w:rsidRPr="00AB6C30">
        <w:rPr>
          <w:rFonts w:ascii="Book Antiqua" w:hAnsi="Book Antiqua"/>
          <w:iCs/>
          <w:sz w:val="24"/>
          <w:szCs w:val="24"/>
          <w:lang w:eastAsia="zh-CN"/>
        </w:rPr>
        <w:t>In</w:t>
      </w:r>
      <w:proofErr w:type="gramEnd"/>
      <w:r w:rsidRPr="00AB6C30">
        <w:rPr>
          <w:rFonts w:ascii="Book Antiqua" w:hAnsi="Book Antiqua"/>
          <w:iCs/>
          <w:sz w:val="24"/>
          <w:szCs w:val="24"/>
          <w:lang w:eastAsia="zh-CN"/>
        </w:rPr>
        <w:t xml:space="preserve"> press</w:t>
      </w:r>
    </w:p>
    <w:p w:rsidR="00B1057D" w:rsidRPr="00AB6C30" w:rsidRDefault="00B1057D" w:rsidP="00493B84">
      <w:pPr>
        <w:spacing w:after="0" w:line="360" w:lineRule="auto"/>
        <w:jc w:val="both"/>
        <w:rPr>
          <w:rFonts w:ascii="Book Antiqua" w:hAnsi="Book Antiqua"/>
          <w:sz w:val="24"/>
          <w:szCs w:val="24"/>
          <w:lang w:eastAsia="zh-CN"/>
        </w:rPr>
      </w:pPr>
    </w:p>
    <w:p w:rsidR="00493B84" w:rsidRPr="00AB6C30" w:rsidRDefault="00493B84" w:rsidP="00493B84">
      <w:pPr>
        <w:spacing w:after="0" w:line="360" w:lineRule="auto"/>
        <w:jc w:val="both"/>
        <w:rPr>
          <w:rFonts w:ascii="Book Antiqua" w:hAnsi="Book Antiqua"/>
          <w:b/>
          <w:bCs/>
          <w:caps/>
          <w:sz w:val="24"/>
          <w:szCs w:val="24"/>
        </w:rPr>
      </w:pPr>
      <w:r w:rsidRPr="00AB6C30">
        <w:rPr>
          <w:rFonts w:ascii="Book Antiqua" w:hAnsi="Book Antiqua"/>
          <w:b/>
          <w:bCs/>
          <w:caps/>
          <w:sz w:val="24"/>
          <w:szCs w:val="24"/>
        </w:rPr>
        <w:br w:type="page"/>
      </w:r>
    </w:p>
    <w:p w:rsidR="00166161" w:rsidRPr="00AB6C30" w:rsidRDefault="00166161" w:rsidP="00493B84">
      <w:pPr>
        <w:spacing w:after="0" w:line="360" w:lineRule="auto"/>
        <w:jc w:val="both"/>
        <w:rPr>
          <w:rFonts w:ascii="Book Antiqua" w:hAnsi="Book Antiqua"/>
          <w:b/>
          <w:bCs/>
          <w:caps/>
          <w:sz w:val="24"/>
          <w:szCs w:val="24"/>
        </w:rPr>
      </w:pPr>
      <w:r w:rsidRPr="00AB6C30">
        <w:rPr>
          <w:rFonts w:ascii="Book Antiqua" w:hAnsi="Book Antiqua"/>
          <w:b/>
          <w:bCs/>
          <w:caps/>
          <w:sz w:val="24"/>
          <w:szCs w:val="24"/>
        </w:rPr>
        <w:lastRenderedPageBreak/>
        <w:t>introduction</w:t>
      </w: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sz w:val="24"/>
          <w:szCs w:val="24"/>
        </w:rPr>
        <w:t>After successful kidney transplantation, kidney function resumes. Accumulated waste products and electrolytes are excreted and regulatory hormones return to normal levels. Important mineral metabolites and regulatory hormones in bone and mineral metabolism include calcium, phosphate, parathyroid hormone (PTH), fibroblast growth factor-23 (FGF-23) and vitamin D. Improvement of bone and mineral metabolism are expected in most patients and, as a result, the progression of vascular calcification also attenuates. However, persistent abnormalities remain in some patients. Due to the dependency on life-long immunosuppression especially corticosteroid, new bone disorder may also develop. This review focuses on abnormalities of bone and mineral metabolism that occur after kidney transplantation.</w:t>
      </w:r>
    </w:p>
    <w:p w:rsidR="00CD46C3" w:rsidRPr="00AB6C30" w:rsidRDefault="00CD46C3" w:rsidP="00493B84">
      <w:pPr>
        <w:spacing w:after="0" w:line="360" w:lineRule="auto"/>
        <w:jc w:val="both"/>
        <w:rPr>
          <w:rFonts w:ascii="Book Antiqua" w:hAnsi="Book Antiqua"/>
          <w:sz w:val="24"/>
          <w:szCs w:val="24"/>
          <w:lang w:eastAsia="zh-CN"/>
        </w:rPr>
      </w:pPr>
    </w:p>
    <w:p w:rsidR="00166161" w:rsidRPr="00AB6C30" w:rsidRDefault="00CD46C3" w:rsidP="00493B84">
      <w:pPr>
        <w:spacing w:after="0" w:line="360" w:lineRule="auto"/>
        <w:jc w:val="both"/>
        <w:rPr>
          <w:rFonts w:ascii="Book Antiqua" w:hAnsi="Book Antiqua"/>
          <w:b/>
          <w:bCs/>
          <w:caps/>
          <w:sz w:val="24"/>
          <w:szCs w:val="24"/>
        </w:rPr>
      </w:pPr>
      <w:r w:rsidRPr="00AB6C30">
        <w:rPr>
          <w:rFonts w:ascii="Book Antiqua" w:hAnsi="Book Antiqua"/>
          <w:b/>
          <w:sz w:val="24"/>
          <w:szCs w:val="24"/>
        </w:rPr>
        <w:t>FGF-23</w:t>
      </w:r>
      <w:r w:rsidR="00166161" w:rsidRPr="00AB6C30">
        <w:rPr>
          <w:rFonts w:ascii="Book Antiqua" w:hAnsi="Book Antiqua"/>
          <w:b/>
          <w:bCs/>
          <w:caps/>
          <w:sz w:val="24"/>
          <w:szCs w:val="24"/>
        </w:rPr>
        <w:t xml:space="preserve"> and phosphate</w:t>
      </w: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sz w:val="24"/>
          <w:szCs w:val="24"/>
        </w:rPr>
        <w:t>Prior to kidney transplantation, chronic kidney disease (CKD) patients often have high FGF-23 level as a result of phosphate retention.</w:t>
      </w:r>
      <w:r w:rsidRPr="00AB6C30">
        <w:rPr>
          <w:rFonts w:ascii="Book Antiqua" w:hAnsi="Book Antiqua"/>
          <w:sz w:val="24"/>
          <w:szCs w:val="24"/>
          <w:cs/>
        </w:rPr>
        <w:t xml:space="preserve"> </w:t>
      </w:r>
      <w:r w:rsidRPr="00AB6C30">
        <w:rPr>
          <w:rFonts w:ascii="Book Antiqua" w:hAnsi="Book Antiqua"/>
          <w:sz w:val="24"/>
          <w:szCs w:val="24"/>
        </w:rPr>
        <w:t xml:space="preserve">After successful kidney transplantation, as kidney function resumes, urinary phosphate excretion is normally exaggerated by the relatively high FGF-23 concentration resulting in renal phosphate wasting and low serum phosphate in some patients. Despite the rapid reduction of FGF-23 during the first 3 d up until 3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after transplantation, the average FGF-23 level is still higher than normal resulting in almost 90% of patients with</w:t>
      </w:r>
      <w:r w:rsidR="000B13D8" w:rsidRPr="00AB6C30">
        <w:rPr>
          <w:rFonts w:ascii="Book Antiqua" w:hAnsi="Book Antiqua"/>
          <w:sz w:val="24"/>
          <w:szCs w:val="24"/>
        </w:rPr>
        <w:t xml:space="preserve"> functioning graft experiencing</w:t>
      </w:r>
      <w:r w:rsidRPr="00AB6C30">
        <w:rPr>
          <w:rFonts w:ascii="Book Antiqua" w:hAnsi="Book Antiqua"/>
          <w:sz w:val="24"/>
          <w:szCs w:val="24"/>
        </w:rPr>
        <w:t xml:space="preserve"> hypophosphatemia at some </w:t>
      </w:r>
      <w:proofErr w:type="gramStart"/>
      <w:r w:rsidRPr="00AB6C30">
        <w:rPr>
          <w:rFonts w:ascii="Book Antiqua" w:hAnsi="Book Antiqua"/>
          <w:sz w:val="24"/>
          <w:szCs w:val="24"/>
        </w:rPr>
        <w:t>point</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1-3]</w:t>
      </w:r>
      <w:r w:rsidRPr="00AB6C30">
        <w:rPr>
          <w:rFonts w:ascii="Book Antiqua" w:hAnsi="Book Antiqua"/>
          <w:sz w:val="24"/>
          <w:szCs w:val="24"/>
        </w:rPr>
        <w:t>. The degree of hypophosphatemia is mild-to-moderate (1.5-2.3 mg/</w:t>
      </w:r>
      <w:proofErr w:type="spellStart"/>
      <w:r w:rsidRPr="00AB6C30">
        <w:rPr>
          <w:rFonts w:ascii="Book Antiqua" w:hAnsi="Book Antiqua"/>
          <w:sz w:val="24"/>
          <w:szCs w:val="24"/>
        </w:rPr>
        <w:t>dL</w:t>
      </w:r>
      <w:proofErr w:type="spellEnd"/>
      <w:r w:rsidRPr="00AB6C30">
        <w:rPr>
          <w:rFonts w:ascii="Book Antiqua" w:hAnsi="Book Antiqua"/>
          <w:sz w:val="24"/>
          <w:szCs w:val="24"/>
        </w:rPr>
        <w:t>) in 20% and severe (≤</w:t>
      </w:r>
      <w:r w:rsidR="000B13D8" w:rsidRPr="00AB6C30">
        <w:rPr>
          <w:rFonts w:ascii="Book Antiqua" w:hAnsi="Book Antiqua"/>
          <w:sz w:val="24"/>
          <w:szCs w:val="24"/>
          <w:lang w:eastAsia="zh-CN"/>
        </w:rPr>
        <w:t xml:space="preserve"> </w:t>
      </w:r>
      <w:r w:rsidRPr="00AB6C30">
        <w:rPr>
          <w:rFonts w:ascii="Book Antiqua" w:hAnsi="Book Antiqua"/>
          <w:sz w:val="24"/>
          <w:szCs w:val="24"/>
        </w:rPr>
        <w:t>1.5 mg/</w:t>
      </w:r>
      <w:proofErr w:type="spellStart"/>
      <w:r w:rsidRPr="00AB6C30">
        <w:rPr>
          <w:rFonts w:ascii="Book Antiqua" w:hAnsi="Book Antiqua"/>
          <w:sz w:val="24"/>
          <w:szCs w:val="24"/>
        </w:rPr>
        <w:t>dL</w:t>
      </w:r>
      <w:proofErr w:type="spellEnd"/>
      <w:r w:rsidRPr="00AB6C30">
        <w:rPr>
          <w:rFonts w:ascii="Book Antiqua" w:hAnsi="Book Antiqua"/>
          <w:sz w:val="24"/>
          <w:szCs w:val="24"/>
        </w:rPr>
        <w:t xml:space="preserve">) in 60% of </w:t>
      </w:r>
      <w:r w:rsidR="00230A54" w:rsidRPr="00AB6C30">
        <w:rPr>
          <w:rFonts w:ascii="Book Antiqua" w:hAnsi="Book Antiqua"/>
          <w:sz w:val="24"/>
          <w:szCs w:val="24"/>
        </w:rPr>
        <w:t xml:space="preserve">the </w:t>
      </w:r>
      <w:r w:rsidRPr="00AB6C30">
        <w:rPr>
          <w:rFonts w:ascii="Book Antiqua" w:hAnsi="Book Antiqua"/>
          <w:sz w:val="24"/>
          <w:szCs w:val="24"/>
        </w:rPr>
        <w:t xml:space="preserve">patients. After 3 </w:t>
      </w:r>
      <w:proofErr w:type="spellStart"/>
      <w:proofErr w:type="gramStart"/>
      <w:r w:rsidRPr="00AB6C30">
        <w:rPr>
          <w:rFonts w:ascii="Book Antiqua" w:hAnsi="Book Antiqua"/>
          <w:sz w:val="24"/>
          <w:szCs w:val="24"/>
        </w:rPr>
        <w:t>mo</w:t>
      </w:r>
      <w:proofErr w:type="spellEnd"/>
      <w:proofErr w:type="gramEnd"/>
      <w:r w:rsidRPr="00AB6C30">
        <w:rPr>
          <w:rFonts w:ascii="Book Antiqua" w:hAnsi="Book Antiqua"/>
          <w:sz w:val="24"/>
          <w:szCs w:val="24"/>
        </w:rPr>
        <w:t xml:space="preserve">, FGF-23 levels still elevate in 60% and hypophosphatemia can still be observed in 30%. FGF-23 levels at 3 </w:t>
      </w:r>
      <w:proofErr w:type="spellStart"/>
      <w:proofErr w:type="gramStart"/>
      <w:r w:rsidRPr="00AB6C30">
        <w:rPr>
          <w:rFonts w:ascii="Book Antiqua" w:hAnsi="Book Antiqua"/>
          <w:sz w:val="24"/>
          <w:szCs w:val="24"/>
        </w:rPr>
        <w:t>mo</w:t>
      </w:r>
      <w:proofErr w:type="spellEnd"/>
      <w:proofErr w:type="gramEnd"/>
      <w:r w:rsidRPr="00AB6C30">
        <w:rPr>
          <w:rFonts w:ascii="Book Antiqua" w:hAnsi="Book Antiqua"/>
          <w:sz w:val="24"/>
          <w:szCs w:val="24"/>
        </w:rPr>
        <w:t xml:space="preserve"> after transplantation are independently associated with fractional excretion of phosphate (FEP), decreased </w:t>
      </w:r>
      <w:proofErr w:type="spellStart"/>
      <w:r w:rsidRPr="00AB6C30">
        <w:rPr>
          <w:rFonts w:ascii="Book Antiqua" w:hAnsi="Book Antiqua"/>
          <w:sz w:val="24"/>
          <w:szCs w:val="24"/>
        </w:rPr>
        <w:t>calcitriol</w:t>
      </w:r>
      <w:proofErr w:type="spellEnd"/>
      <w:r w:rsidRPr="00AB6C30">
        <w:rPr>
          <w:rFonts w:ascii="Book Antiqua" w:hAnsi="Book Antiqua"/>
          <w:sz w:val="24"/>
          <w:szCs w:val="24"/>
        </w:rPr>
        <w:t xml:space="preserve"> levels and pre-transplant FGF-23 levels. There are no correlations between phosphate parameters and PTH during this early </w:t>
      </w:r>
      <w:proofErr w:type="gramStart"/>
      <w:r w:rsidRPr="00AB6C30">
        <w:rPr>
          <w:rFonts w:ascii="Book Antiqua" w:hAnsi="Book Antiqua"/>
          <w:sz w:val="24"/>
          <w:szCs w:val="24"/>
        </w:rPr>
        <w:t>period</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1,3]</w:t>
      </w:r>
      <w:r w:rsidRPr="00AB6C30">
        <w:rPr>
          <w:rFonts w:ascii="Book Antiqua" w:hAnsi="Book Antiqua"/>
          <w:sz w:val="24"/>
          <w:szCs w:val="24"/>
        </w:rPr>
        <w:t xml:space="preserve">. The degree of hypophosphatemia can also be predicted by pre-transplant FGF-23 </w:t>
      </w:r>
      <w:proofErr w:type="gramStart"/>
      <w:r w:rsidRPr="00AB6C30">
        <w:rPr>
          <w:rFonts w:ascii="Book Antiqua" w:hAnsi="Book Antiqua"/>
          <w:sz w:val="24"/>
          <w:szCs w:val="24"/>
        </w:rPr>
        <w:t>levels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4]</w:t>
      </w:r>
      <w:r w:rsidRPr="00AB6C30">
        <w:rPr>
          <w:rFonts w:ascii="Book Antiqua" w:hAnsi="Book Antiqua"/>
          <w:sz w:val="24"/>
          <w:szCs w:val="24"/>
        </w:rPr>
        <w:t xml:space="preserve">. FGF-23 normally returns to baseline approximately 1 year after </w:t>
      </w:r>
      <w:proofErr w:type="gramStart"/>
      <w:r w:rsidRPr="00AB6C30">
        <w:rPr>
          <w:rFonts w:ascii="Book Antiqua" w:hAnsi="Book Antiqua"/>
          <w:sz w:val="24"/>
          <w:szCs w:val="24"/>
        </w:rPr>
        <w:t>transplantation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5,6]</w:t>
      </w:r>
      <w:r w:rsidRPr="00AB6C30">
        <w:rPr>
          <w:rFonts w:ascii="Book Antiqua" w:hAnsi="Book Antiqua"/>
          <w:sz w:val="24"/>
          <w:szCs w:val="24"/>
        </w:rPr>
        <w:t xml:space="preserve">. Among patients who have been transplanted for longer than 10 years with a well-functioning graft, FGF-23 levels are comparable to CKD patients </w:t>
      </w:r>
      <w:r w:rsidRPr="00AB6C30">
        <w:rPr>
          <w:rFonts w:ascii="Book Antiqua" w:hAnsi="Book Antiqua"/>
          <w:sz w:val="24"/>
          <w:szCs w:val="24"/>
        </w:rPr>
        <w:lastRenderedPageBreak/>
        <w:t>matched for estimated glomerular filtration rate (</w:t>
      </w:r>
      <w:proofErr w:type="spellStart"/>
      <w:r w:rsidRPr="00AB6C30">
        <w:rPr>
          <w:rFonts w:ascii="Book Antiqua" w:hAnsi="Book Antiqua"/>
          <w:sz w:val="24"/>
          <w:szCs w:val="24"/>
        </w:rPr>
        <w:t>eGFR</w:t>
      </w:r>
      <w:proofErr w:type="spellEnd"/>
      <w:r w:rsidRPr="00AB6C30">
        <w:rPr>
          <w:rFonts w:ascii="Book Antiqua" w:hAnsi="Book Antiqua"/>
          <w:sz w:val="24"/>
          <w:szCs w:val="24"/>
        </w:rPr>
        <w:t>)</w:t>
      </w:r>
      <w:r w:rsidRPr="00AB6C30">
        <w:rPr>
          <w:rFonts w:ascii="Book Antiqua" w:hAnsi="Book Antiqua"/>
          <w:noProof/>
          <w:sz w:val="24"/>
          <w:szCs w:val="24"/>
          <w:vertAlign w:val="superscript"/>
        </w:rPr>
        <w:t>[7]</w:t>
      </w:r>
      <w:r w:rsidRPr="00AB6C30">
        <w:rPr>
          <w:rFonts w:ascii="Book Antiqua" w:hAnsi="Book Antiqua"/>
          <w:sz w:val="24"/>
          <w:szCs w:val="24"/>
        </w:rPr>
        <w:t xml:space="preserve">. Nevertheless, despite the return of FGF-23 to baseline after 1 year, serum phosphate is still significantly lower than that in CKD </w:t>
      </w:r>
      <w:proofErr w:type="gramStart"/>
      <w:r w:rsidRPr="00AB6C30">
        <w:rPr>
          <w:rFonts w:ascii="Book Antiqua" w:hAnsi="Book Antiqua"/>
          <w:sz w:val="24"/>
          <w:szCs w:val="24"/>
        </w:rPr>
        <w:t>patients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5]</w:t>
      </w:r>
      <w:r w:rsidRPr="00AB6C30">
        <w:rPr>
          <w:rFonts w:ascii="Book Antiqua" w:hAnsi="Book Antiqua"/>
          <w:sz w:val="24"/>
          <w:szCs w:val="24"/>
        </w:rPr>
        <w:t xml:space="preserve">. Studies on phosphate metabolism in this later period reveal lower serum phosphate and higher serum calcium compared to CKD patients with equivalent </w:t>
      </w:r>
      <w:proofErr w:type="spellStart"/>
      <w:r w:rsidRPr="00AB6C30">
        <w:rPr>
          <w:rFonts w:ascii="Book Antiqua" w:hAnsi="Book Antiqua"/>
          <w:sz w:val="24"/>
          <w:szCs w:val="24"/>
        </w:rPr>
        <w:t>eGFR</w:t>
      </w:r>
      <w:proofErr w:type="spellEnd"/>
      <w:r w:rsidRPr="00AB6C30">
        <w:rPr>
          <w:rFonts w:ascii="Book Antiqua" w:hAnsi="Book Antiqua"/>
          <w:sz w:val="24"/>
          <w:szCs w:val="24"/>
        </w:rPr>
        <w:t xml:space="preserve"> and hypophosphatemia can still be observed in 5</w:t>
      </w:r>
      <w:r w:rsidR="000B2A84">
        <w:rPr>
          <w:rFonts w:ascii="Book Antiqua" w:hAnsi="Book Antiqua"/>
          <w:sz w:val="24"/>
          <w:szCs w:val="24"/>
          <w:lang w:eastAsia="zh-CN"/>
        </w:rPr>
        <w:t>%</w:t>
      </w:r>
      <w:r w:rsidRPr="00AB6C30">
        <w:rPr>
          <w:rFonts w:ascii="Book Antiqua" w:hAnsi="Book Antiqua"/>
          <w:sz w:val="24"/>
          <w:szCs w:val="24"/>
        </w:rPr>
        <w:t>-6% of the patients</w:t>
      </w:r>
      <w:r w:rsidRPr="00AB6C30">
        <w:rPr>
          <w:rFonts w:ascii="Book Antiqua" w:hAnsi="Book Antiqua"/>
          <w:noProof/>
          <w:sz w:val="24"/>
          <w:szCs w:val="24"/>
          <w:vertAlign w:val="superscript"/>
        </w:rPr>
        <w:t>[8,9]</w:t>
      </w:r>
      <w:r w:rsidRPr="00AB6C30">
        <w:rPr>
          <w:rFonts w:ascii="Book Antiqua" w:hAnsi="Book Antiqua"/>
          <w:sz w:val="24"/>
          <w:szCs w:val="24"/>
        </w:rPr>
        <w:t xml:space="preserve"> (Figure 1</w:t>
      </w:r>
      <w:r w:rsidR="000B13D8" w:rsidRPr="00AB6C30">
        <w:rPr>
          <w:rFonts w:ascii="Book Antiqua" w:hAnsi="Book Antiqua"/>
          <w:sz w:val="24"/>
          <w:szCs w:val="24"/>
        </w:rPr>
        <w:t>A</w:t>
      </w:r>
      <w:r w:rsidR="003654A0" w:rsidRPr="00AB6C30">
        <w:rPr>
          <w:rFonts w:ascii="Book Antiqua" w:hAnsi="Book Antiqua"/>
          <w:sz w:val="24"/>
          <w:szCs w:val="24"/>
        </w:rPr>
        <w:t xml:space="preserve"> and </w:t>
      </w:r>
      <w:r w:rsidR="000B13D8" w:rsidRPr="00AB6C30">
        <w:rPr>
          <w:rFonts w:ascii="Book Antiqua" w:hAnsi="Book Antiqua"/>
          <w:sz w:val="24"/>
          <w:szCs w:val="24"/>
        </w:rPr>
        <w:t>B</w:t>
      </w:r>
      <w:r w:rsidR="00230A54" w:rsidRPr="00AB6C30">
        <w:rPr>
          <w:rFonts w:ascii="Book Antiqua" w:hAnsi="Book Antiqua"/>
          <w:sz w:val="24"/>
          <w:szCs w:val="24"/>
        </w:rPr>
        <w:t>). L</w:t>
      </w:r>
      <w:r w:rsidRPr="00AB6C30">
        <w:rPr>
          <w:rFonts w:ascii="Book Antiqua" w:hAnsi="Book Antiqua"/>
          <w:sz w:val="24"/>
          <w:szCs w:val="24"/>
        </w:rPr>
        <w:t xml:space="preserve">ow serum phosphate is </w:t>
      </w:r>
      <w:r w:rsidR="00230A54" w:rsidRPr="00AB6C30">
        <w:rPr>
          <w:rFonts w:ascii="Book Antiqua" w:hAnsi="Book Antiqua"/>
          <w:sz w:val="24"/>
          <w:szCs w:val="24"/>
        </w:rPr>
        <w:t>the</w:t>
      </w:r>
      <w:r w:rsidRPr="00AB6C30">
        <w:rPr>
          <w:rFonts w:ascii="Book Antiqua" w:hAnsi="Book Antiqua"/>
          <w:sz w:val="24"/>
          <w:szCs w:val="24"/>
        </w:rPr>
        <w:t xml:space="preserve"> result of phosphate loss in the urine but, in contrast to the early period, FGF-23 is not responsible for </w:t>
      </w:r>
      <w:proofErr w:type="spellStart"/>
      <w:r w:rsidRPr="00AB6C30">
        <w:rPr>
          <w:rFonts w:ascii="Book Antiqua" w:hAnsi="Book Antiqua"/>
          <w:sz w:val="24"/>
          <w:szCs w:val="24"/>
        </w:rPr>
        <w:t>phosphaturia</w:t>
      </w:r>
      <w:proofErr w:type="spellEnd"/>
      <w:r w:rsidRPr="00AB6C30">
        <w:rPr>
          <w:rFonts w:ascii="Book Antiqua" w:hAnsi="Book Antiqua"/>
          <w:sz w:val="24"/>
          <w:szCs w:val="24"/>
        </w:rPr>
        <w:t xml:space="preserve"> because FGF-23 levels are lower than the levels observed in CKD </w:t>
      </w:r>
      <w:proofErr w:type="gramStart"/>
      <w:r w:rsidRPr="00AB6C30">
        <w:rPr>
          <w:rFonts w:ascii="Book Antiqua" w:hAnsi="Book Antiqua"/>
          <w:sz w:val="24"/>
          <w:szCs w:val="24"/>
        </w:rPr>
        <w:t>patients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9,10]</w:t>
      </w:r>
      <w:r w:rsidRPr="00AB6C30">
        <w:rPr>
          <w:rFonts w:ascii="Book Antiqua" w:hAnsi="Book Antiqua"/>
          <w:sz w:val="24"/>
          <w:szCs w:val="24"/>
        </w:rPr>
        <w:t>. The presence of decreased serum phosphate and increased serum calcium seems to suggest the role of PTH in renal phosphate loss. In fact, PTH levels in KT recipients are higher than that in CKD patients at all levels of kidney function and only increased PTH level displays an independent association with FEP during this later period after kidney transplantation</w:t>
      </w:r>
      <w:r w:rsidRPr="00AB6C30">
        <w:rPr>
          <w:rFonts w:ascii="Book Antiqua" w:hAnsi="Book Antiqua"/>
          <w:noProof/>
          <w:sz w:val="24"/>
          <w:szCs w:val="24"/>
          <w:vertAlign w:val="superscript"/>
        </w:rPr>
        <w:t>[8]</w:t>
      </w:r>
      <w:r w:rsidRPr="00AB6C30">
        <w:rPr>
          <w:rFonts w:ascii="Book Antiqua" w:hAnsi="Book Antiqua"/>
          <w:sz w:val="24"/>
          <w:szCs w:val="24"/>
        </w:rPr>
        <w:t xml:space="preserve"> (Figure 1</w:t>
      </w:r>
      <w:r w:rsidR="000B13D8" w:rsidRPr="00AB6C30">
        <w:rPr>
          <w:rFonts w:ascii="Book Antiqua" w:hAnsi="Book Antiqua"/>
          <w:sz w:val="24"/>
          <w:szCs w:val="24"/>
        </w:rPr>
        <w:t>C</w:t>
      </w:r>
      <w:r w:rsidRPr="00AB6C30">
        <w:rPr>
          <w:rFonts w:ascii="Book Antiqua" w:hAnsi="Book Antiqua"/>
          <w:sz w:val="24"/>
          <w:szCs w:val="24"/>
        </w:rPr>
        <w:t>).</w:t>
      </w:r>
    </w:p>
    <w:p w:rsidR="000B13D8" w:rsidRPr="00AB6C30" w:rsidRDefault="000B13D8" w:rsidP="00493B84">
      <w:pPr>
        <w:spacing w:after="0" w:line="360" w:lineRule="auto"/>
        <w:jc w:val="both"/>
        <w:rPr>
          <w:rFonts w:ascii="Book Antiqua" w:hAnsi="Book Antiqua"/>
          <w:sz w:val="24"/>
          <w:szCs w:val="24"/>
          <w:lang w:eastAsia="zh-CN"/>
        </w:rPr>
      </w:pPr>
    </w:p>
    <w:p w:rsidR="00166161" w:rsidRPr="00AB6C30" w:rsidRDefault="00493B84" w:rsidP="00493B84">
      <w:pPr>
        <w:spacing w:after="0" w:line="360" w:lineRule="auto"/>
        <w:jc w:val="both"/>
        <w:rPr>
          <w:rFonts w:ascii="Book Antiqua" w:hAnsi="Book Antiqua"/>
          <w:b/>
          <w:bCs/>
          <w:caps/>
          <w:sz w:val="24"/>
          <w:szCs w:val="24"/>
        </w:rPr>
      </w:pPr>
      <w:r w:rsidRPr="00AB6C30">
        <w:rPr>
          <w:rFonts w:ascii="Book Antiqua" w:hAnsi="Book Antiqua"/>
          <w:b/>
          <w:sz w:val="24"/>
          <w:szCs w:val="24"/>
        </w:rPr>
        <w:t>PTH</w:t>
      </w: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sz w:val="24"/>
          <w:szCs w:val="24"/>
        </w:rPr>
        <w:t xml:space="preserve">PTH levels decline substantially during the first 3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after kidney transplantation. However, a significant number of KT recipients with adequate allograft function still exhibit</w:t>
      </w:r>
      <w:r w:rsidR="00230A54" w:rsidRPr="00AB6C30">
        <w:rPr>
          <w:rFonts w:ascii="Book Antiqua" w:hAnsi="Book Antiqua"/>
          <w:sz w:val="24"/>
          <w:szCs w:val="24"/>
        </w:rPr>
        <w:t>s</w:t>
      </w:r>
      <w:r w:rsidRPr="00AB6C30">
        <w:rPr>
          <w:rFonts w:ascii="Book Antiqua" w:hAnsi="Book Antiqua"/>
          <w:sz w:val="24"/>
          <w:szCs w:val="24"/>
        </w:rPr>
        <w:t xml:space="preserve"> high PTH </w:t>
      </w:r>
      <w:proofErr w:type="gramStart"/>
      <w:r w:rsidRPr="00AB6C30">
        <w:rPr>
          <w:rFonts w:ascii="Book Antiqua" w:hAnsi="Book Antiqua"/>
          <w:sz w:val="24"/>
          <w:szCs w:val="24"/>
        </w:rPr>
        <w:t>levels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11]</w:t>
      </w:r>
      <w:r w:rsidRPr="00AB6C30">
        <w:rPr>
          <w:rFonts w:ascii="Book Antiqua" w:hAnsi="Book Antiqua"/>
          <w:sz w:val="24"/>
          <w:szCs w:val="24"/>
        </w:rPr>
        <w:t>. In long-term KT recipients with a well-functioning graft (</w:t>
      </w:r>
      <w:proofErr w:type="spellStart"/>
      <w:r w:rsidRPr="00AB6C30">
        <w:rPr>
          <w:rFonts w:ascii="Book Antiqua" w:hAnsi="Book Antiqua"/>
          <w:sz w:val="24"/>
          <w:szCs w:val="24"/>
        </w:rPr>
        <w:t>eGFR</w:t>
      </w:r>
      <w:proofErr w:type="spellEnd"/>
      <w:r w:rsidRPr="00AB6C30">
        <w:rPr>
          <w:rFonts w:ascii="Book Antiqua" w:hAnsi="Book Antiqua"/>
          <w:sz w:val="24"/>
          <w:szCs w:val="24"/>
        </w:rPr>
        <w:t xml:space="preserve"> &gt; 30</w:t>
      </w:r>
      <w:r w:rsidR="0003357F" w:rsidRPr="00AB6C30">
        <w:rPr>
          <w:rFonts w:ascii="Book Antiqua" w:hAnsi="Book Antiqua"/>
          <w:sz w:val="24"/>
          <w:szCs w:val="24"/>
          <w:lang w:eastAsia="zh-CN"/>
        </w:rPr>
        <w:t>-</w:t>
      </w:r>
      <w:r w:rsidRPr="00AB6C30">
        <w:rPr>
          <w:rFonts w:ascii="Book Antiqua" w:hAnsi="Book Antiqua"/>
          <w:sz w:val="24"/>
          <w:szCs w:val="24"/>
        </w:rPr>
        <w:t>45 mL/min), high PTH level can still be observed in 30</w:t>
      </w:r>
      <w:r w:rsidR="0003357F" w:rsidRPr="00AB6C30">
        <w:rPr>
          <w:rFonts w:ascii="Book Antiqua" w:hAnsi="Book Antiqua"/>
          <w:sz w:val="24"/>
          <w:szCs w:val="24"/>
          <w:lang w:eastAsia="zh-CN"/>
        </w:rPr>
        <w:t>%</w:t>
      </w:r>
      <w:r w:rsidRPr="00AB6C30">
        <w:rPr>
          <w:rFonts w:ascii="Book Antiqua" w:hAnsi="Book Antiqua"/>
          <w:sz w:val="24"/>
          <w:szCs w:val="24"/>
        </w:rPr>
        <w:t xml:space="preserve">-60% one year after </w:t>
      </w:r>
      <w:proofErr w:type="gramStart"/>
      <w:r w:rsidRPr="00AB6C30">
        <w:rPr>
          <w:rFonts w:ascii="Book Antiqua" w:hAnsi="Book Antiqua"/>
          <w:sz w:val="24"/>
          <w:szCs w:val="24"/>
        </w:rPr>
        <w:t>transplantation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5</w:t>
      </w:r>
      <w:r w:rsidR="00C67B4C"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7</w:t>
      </w:r>
      <w:r w:rsidR="00C67B4C"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8</w:t>
      </w:r>
      <w:r w:rsidR="00C67B4C"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12]</w:t>
      </w:r>
      <w:r w:rsidRPr="00AB6C30">
        <w:rPr>
          <w:rFonts w:ascii="Book Antiqua" w:hAnsi="Book Antiqua"/>
          <w:sz w:val="24"/>
          <w:szCs w:val="24"/>
        </w:rPr>
        <w:t>. Elevated PTH level in this later period is responsible for an increase in serum calcium, a decrease in serum phosphate and an increase in FEP suggesting that the secretion of PTH is not entirely under the normal feedback control</w:t>
      </w:r>
      <w:r w:rsidRPr="00AB6C30">
        <w:rPr>
          <w:rFonts w:ascii="Book Antiqua" w:hAnsi="Book Antiqua"/>
          <w:noProof/>
          <w:sz w:val="24"/>
          <w:szCs w:val="24"/>
          <w:vertAlign w:val="superscript"/>
        </w:rPr>
        <w:t>[8</w:t>
      </w:r>
      <w:r w:rsidR="00C67B4C"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13]</w:t>
      </w:r>
      <w:r w:rsidRPr="00AB6C30">
        <w:rPr>
          <w:rFonts w:ascii="Book Antiqua" w:hAnsi="Book Antiqua"/>
          <w:sz w:val="24"/>
          <w:szCs w:val="24"/>
        </w:rPr>
        <w:t>. High PTH level prior to transplantation, long dialysis vintage, and monoclonal transformation (nodular hyperplasia) of parathyroid glands are important risk factors for the persistence of hyperparathyroidism after transplantation. Nodular hyperplastic parathyroid gland exhibits a decrease in calcium sensing receptor (</w:t>
      </w:r>
      <w:proofErr w:type="spellStart"/>
      <w:r w:rsidRPr="00AB6C30">
        <w:rPr>
          <w:rFonts w:ascii="Book Antiqua" w:hAnsi="Book Antiqua"/>
          <w:sz w:val="24"/>
          <w:szCs w:val="24"/>
        </w:rPr>
        <w:t>CaSR</w:t>
      </w:r>
      <w:proofErr w:type="spellEnd"/>
      <w:r w:rsidRPr="00AB6C30">
        <w:rPr>
          <w:rFonts w:ascii="Book Antiqua" w:hAnsi="Book Antiqua"/>
          <w:sz w:val="24"/>
          <w:szCs w:val="24"/>
        </w:rPr>
        <w:t>), vitamin D receptor (VDR) and FGFR1-Klotho expression resulting in an upward increase in the set point of calcium that triggers PTH release and a resistance to active vitamin D and FGF-23</w:t>
      </w:r>
      <w:r w:rsidR="007B7131">
        <w:rPr>
          <w:rFonts w:ascii="Book Antiqua" w:hAnsi="Book Antiqua"/>
          <w:noProof/>
          <w:sz w:val="24"/>
          <w:szCs w:val="24"/>
          <w:vertAlign w:val="superscript"/>
        </w:rPr>
        <w:t>[9,</w:t>
      </w:r>
      <w:r w:rsidRPr="00AB6C30">
        <w:rPr>
          <w:rFonts w:ascii="Book Antiqua" w:hAnsi="Book Antiqua"/>
          <w:noProof/>
          <w:sz w:val="24"/>
          <w:szCs w:val="24"/>
          <w:vertAlign w:val="superscript"/>
        </w:rPr>
        <w:t>11</w:t>
      </w:r>
      <w:r w:rsidR="00C67B4C"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14-17]</w:t>
      </w:r>
      <w:r w:rsidRPr="00AB6C30">
        <w:rPr>
          <w:rFonts w:ascii="Book Antiqua" w:hAnsi="Book Antiqua"/>
          <w:sz w:val="24"/>
          <w:szCs w:val="24"/>
        </w:rPr>
        <w:t xml:space="preserve">. Pre-transplant PTH and calcium levels can also predict the severity of persistent hyperparathyroidism and the need for parathyroid surgery after </w:t>
      </w:r>
      <w:proofErr w:type="gramStart"/>
      <w:r w:rsidRPr="00AB6C30">
        <w:rPr>
          <w:rFonts w:ascii="Book Antiqua" w:hAnsi="Book Antiqua"/>
          <w:sz w:val="24"/>
          <w:szCs w:val="24"/>
        </w:rPr>
        <w:t>transplantation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18]</w:t>
      </w:r>
      <w:r w:rsidRPr="00AB6C30">
        <w:rPr>
          <w:rFonts w:ascii="Book Antiqua" w:hAnsi="Book Antiqua"/>
          <w:sz w:val="24"/>
          <w:szCs w:val="24"/>
        </w:rPr>
        <w:t xml:space="preserve">. Restoration of </w:t>
      </w:r>
      <w:proofErr w:type="spellStart"/>
      <w:r w:rsidRPr="00AB6C30">
        <w:rPr>
          <w:rFonts w:ascii="Book Antiqua" w:hAnsi="Book Antiqua"/>
          <w:sz w:val="24"/>
          <w:szCs w:val="24"/>
        </w:rPr>
        <w:t>CaSR</w:t>
      </w:r>
      <w:proofErr w:type="spellEnd"/>
      <w:r w:rsidRPr="00AB6C30">
        <w:rPr>
          <w:rFonts w:ascii="Book Antiqua" w:hAnsi="Book Antiqua"/>
          <w:sz w:val="24"/>
          <w:szCs w:val="24"/>
        </w:rPr>
        <w:t xml:space="preserve"> and VDR expression after successful transplantation which can </w:t>
      </w:r>
      <w:r w:rsidRPr="00AB6C30">
        <w:rPr>
          <w:rFonts w:ascii="Book Antiqua" w:hAnsi="Book Antiqua"/>
          <w:sz w:val="24"/>
          <w:szCs w:val="24"/>
        </w:rPr>
        <w:lastRenderedPageBreak/>
        <w:t xml:space="preserve">allow the shrinkage of gland size is expected only in non-nodular hyperplastic </w:t>
      </w:r>
      <w:proofErr w:type="gramStart"/>
      <w:r w:rsidRPr="00AB6C30">
        <w:rPr>
          <w:rFonts w:ascii="Book Antiqua" w:hAnsi="Book Antiqua"/>
          <w:sz w:val="24"/>
          <w:szCs w:val="24"/>
        </w:rPr>
        <w:t>gland</w:t>
      </w:r>
      <w:r w:rsidR="00230A54" w:rsidRPr="00AB6C30">
        <w:rPr>
          <w:rFonts w:ascii="Book Antiqua" w:hAnsi="Book Antiqua"/>
          <w:sz w:val="24"/>
          <w:szCs w:val="24"/>
        </w:rPr>
        <w:t>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19]</w:t>
      </w:r>
      <w:r w:rsidRPr="00AB6C30">
        <w:rPr>
          <w:rFonts w:ascii="Book Antiqua" w:hAnsi="Book Antiqua"/>
          <w:sz w:val="24"/>
          <w:szCs w:val="24"/>
        </w:rPr>
        <w:t xml:space="preserve">. Due to the long life span of parathyroid cells (approximately 20 years) with a cell renewal rate of only 5% per year, the decrease in PTH level after the first 3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occurs at a very slow rate. Therefore, patients with high PTH level prior to transplantation are likely to experience long-term persistent hyperparathyroidism. The use of </w:t>
      </w:r>
      <w:proofErr w:type="spellStart"/>
      <w:r w:rsidRPr="00AB6C30">
        <w:rPr>
          <w:rFonts w:ascii="Book Antiqua" w:hAnsi="Book Antiqua"/>
          <w:sz w:val="24"/>
          <w:szCs w:val="24"/>
        </w:rPr>
        <w:t>calcimimetic</w:t>
      </w:r>
      <w:proofErr w:type="spellEnd"/>
      <w:r w:rsidRPr="00AB6C30">
        <w:rPr>
          <w:rFonts w:ascii="Book Antiqua" w:hAnsi="Book Antiqua"/>
          <w:sz w:val="24"/>
          <w:szCs w:val="24"/>
        </w:rPr>
        <w:t xml:space="preserve"> drug during the waiting period can also influence the degree of hyperparathyroidism after transplantation. In a</w:t>
      </w:r>
      <w:r w:rsidR="000B13D8" w:rsidRPr="00AB6C30">
        <w:rPr>
          <w:rFonts w:ascii="Book Antiqua" w:hAnsi="Book Antiqua"/>
          <w:sz w:val="24"/>
          <w:szCs w:val="24"/>
        </w:rPr>
        <w:t xml:space="preserve">  </w:t>
      </w:r>
      <w:r w:rsidRPr="00AB6C30">
        <w:rPr>
          <w:rFonts w:ascii="Book Antiqua" w:hAnsi="Book Antiqua"/>
          <w:sz w:val="24"/>
          <w:szCs w:val="24"/>
        </w:rPr>
        <w:t xml:space="preserve">study that compared patients who had been on </w:t>
      </w:r>
      <w:proofErr w:type="spellStart"/>
      <w:r w:rsidRPr="00AB6C30">
        <w:rPr>
          <w:rFonts w:ascii="Book Antiqua" w:hAnsi="Book Antiqua"/>
          <w:sz w:val="24"/>
          <w:szCs w:val="24"/>
        </w:rPr>
        <w:t>cinacalcet</w:t>
      </w:r>
      <w:proofErr w:type="spellEnd"/>
      <w:r w:rsidRPr="00AB6C30">
        <w:rPr>
          <w:rFonts w:ascii="Book Antiqua" w:hAnsi="Book Antiqua"/>
          <w:sz w:val="24"/>
          <w:szCs w:val="24"/>
        </w:rPr>
        <w:t xml:space="preserve"> during the waiting period and then discontinued after transplantation to those who had never been on the drug revealed a higher incidence of post-transplant </w:t>
      </w:r>
      <w:proofErr w:type="spellStart"/>
      <w:r w:rsidRPr="00AB6C30">
        <w:rPr>
          <w:rFonts w:ascii="Book Antiqua" w:hAnsi="Book Antiqua"/>
          <w:sz w:val="24"/>
          <w:szCs w:val="24"/>
        </w:rPr>
        <w:t>nephrocalcinosis</w:t>
      </w:r>
      <w:proofErr w:type="spellEnd"/>
      <w:r w:rsidRPr="00AB6C30">
        <w:rPr>
          <w:rFonts w:ascii="Book Antiqua" w:hAnsi="Book Antiqua"/>
          <w:sz w:val="24"/>
          <w:szCs w:val="24"/>
        </w:rPr>
        <w:t xml:space="preserve"> and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in patients who </w:t>
      </w:r>
      <w:r w:rsidR="00843801" w:rsidRPr="00AB6C30">
        <w:rPr>
          <w:rFonts w:ascii="Book Antiqua" w:hAnsi="Book Antiqua"/>
          <w:sz w:val="24"/>
          <w:szCs w:val="24"/>
        </w:rPr>
        <w:t>had been</w:t>
      </w:r>
      <w:r w:rsidRPr="00AB6C30">
        <w:rPr>
          <w:rFonts w:ascii="Book Antiqua" w:hAnsi="Book Antiqua"/>
          <w:sz w:val="24"/>
          <w:szCs w:val="24"/>
        </w:rPr>
        <w:t xml:space="preserve"> on </w:t>
      </w:r>
      <w:proofErr w:type="spellStart"/>
      <w:r w:rsidRPr="00AB6C30">
        <w:rPr>
          <w:rFonts w:ascii="Book Antiqua" w:hAnsi="Book Antiqua"/>
          <w:sz w:val="24"/>
          <w:szCs w:val="24"/>
        </w:rPr>
        <w:t>cinacalcet</w:t>
      </w:r>
      <w:proofErr w:type="spellEnd"/>
      <w:r w:rsidR="00843801" w:rsidRPr="00AB6C30">
        <w:rPr>
          <w:rFonts w:ascii="Book Antiqua" w:hAnsi="Book Antiqua"/>
          <w:sz w:val="24"/>
          <w:szCs w:val="24"/>
        </w:rPr>
        <w:t xml:space="preserve"> before</w:t>
      </w:r>
      <w:r w:rsidRPr="00AB6C30">
        <w:rPr>
          <w:rFonts w:ascii="Book Antiqua" w:hAnsi="Book Antiqua"/>
          <w:noProof/>
          <w:sz w:val="24"/>
          <w:szCs w:val="24"/>
          <w:vertAlign w:val="superscript"/>
        </w:rPr>
        <w:t>[20]</w:t>
      </w:r>
      <w:r w:rsidRPr="00AB6C30">
        <w:rPr>
          <w:rFonts w:ascii="Book Antiqua" w:hAnsi="Book Antiqua"/>
          <w:sz w:val="24"/>
          <w:szCs w:val="24"/>
        </w:rPr>
        <w:t xml:space="preserve">. </w:t>
      </w:r>
    </w:p>
    <w:p w:rsidR="0003357F" w:rsidRPr="00AB6C30" w:rsidRDefault="0003357F"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b/>
          <w:bCs/>
          <w:caps/>
          <w:sz w:val="24"/>
          <w:szCs w:val="24"/>
        </w:rPr>
      </w:pPr>
      <w:r w:rsidRPr="00AB6C30">
        <w:rPr>
          <w:rFonts w:ascii="Book Antiqua" w:hAnsi="Book Antiqua"/>
          <w:b/>
          <w:bCs/>
          <w:caps/>
          <w:sz w:val="24"/>
          <w:szCs w:val="24"/>
        </w:rPr>
        <w:t>Vitamin D</w:t>
      </w: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sz w:val="24"/>
          <w:szCs w:val="24"/>
        </w:rPr>
        <w:t>25-hydroxyvitamin D (25-OH-D) deficiency is commonly observed in KT recipients</w:t>
      </w:r>
      <w:r w:rsidR="00843801" w:rsidRPr="00AB6C30">
        <w:rPr>
          <w:rFonts w:ascii="Book Antiqua" w:hAnsi="Book Antiqua"/>
          <w:sz w:val="24"/>
          <w:szCs w:val="24"/>
        </w:rPr>
        <w:t>. R</w:t>
      </w:r>
      <w:r w:rsidRPr="00AB6C30">
        <w:rPr>
          <w:rFonts w:ascii="Book Antiqua" w:hAnsi="Book Antiqua"/>
          <w:sz w:val="24"/>
          <w:szCs w:val="24"/>
        </w:rPr>
        <w:t>ecent study in the northern latitude of European continent revealed 49% of long-term KT recipients (median transplant vintage of 6 years) were vitamin D deficient (25-OH-D</w:t>
      </w:r>
      <w:r w:rsidR="0003357F" w:rsidRPr="00AB6C30">
        <w:rPr>
          <w:rFonts w:ascii="Book Antiqua" w:hAnsi="Book Antiqua"/>
          <w:sz w:val="24"/>
          <w:szCs w:val="24"/>
          <w:lang w:eastAsia="zh-CN"/>
        </w:rPr>
        <w:t xml:space="preserve"> </w:t>
      </w:r>
      <w:r w:rsidRPr="00AB6C30">
        <w:rPr>
          <w:rFonts w:ascii="Book Antiqua" w:hAnsi="Book Antiqua"/>
          <w:sz w:val="24"/>
          <w:szCs w:val="24"/>
        </w:rPr>
        <w:t>&lt;</w:t>
      </w:r>
      <w:r w:rsidR="0003357F" w:rsidRPr="00AB6C30">
        <w:rPr>
          <w:rFonts w:ascii="Book Antiqua" w:hAnsi="Book Antiqua"/>
          <w:sz w:val="24"/>
          <w:szCs w:val="24"/>
          <w:lang w:eastAsia="zh-CN"/>
        </w:rPr>
        <w:t xml:space="preserve"> </w:t>
      </w:r>
      <w:r w:rsidRPr="00AB6C30">
        <w:rPr>
          <w:rFonts w:ascii="Book Antiqua" w:hAnsi="Book Antiqua"/>
          <w:sz w:val="24"/>
          <w:szCs w:val="24"/>
        </w:rPr>
        <w:t xml:space="preserve">20 </w:t>
      </w:r>
      <w:proofErr w:type="spellStart"/>
      <w:r w:rsidRPr="00AB6C30">
        <w:rPr>
          <w:rFonts w:ascii="Book Antiqua" w:hAnsi="Book Antiqua"/>
          <w:sz w:val="24"/>
          <w:szCs w:val="24"/>
        </w:rPr>
        <w:t>ng</w:t>
      </w:r>
      <w:proofErr w:type="spellEnd"/>
      <w:r w:rsidRPr="00AB6C30">
        <w:rPr>
          <w:rFonts w:ascii="Book Antiqua" w:hAnsi="Book Antiqua"/>
          <w:sz w:val="24"/>
          <w:szCs w:val="24"/>
        </w:rPr>
        <w:t>/m</w:t>
      </w:r>
      <w:r w:rsidR="0003357F" w:rsidRPr="00AB6C30">
        <w:rPr>
          <w:rFonts w:ascii="Book Antiqua" w:hAnsi="Book Antiqua"/>
          <w:sz w:val="24"/>
          <w:szCs w:val="24"/>
        </w:rPr>
        <w:t>L</w:t>
      </w:r>
      <w:r w:rsidRPr="00AB6C30">
        <w:rPr>
          <w:rFonts w:ascii="Book Antiqua" w:hAnsi="Book Antiqua"/>
          <w:sz w:val="24"/>
          <w:szCs w:val="24"/>
        </w:rPr>
        <w:t>), 33% were insufficient (20</w:t>
      </w:r>
      <w:r w:rsidR="0003357F" w:rsidRPr="00AB6C30">
        <w:rPr>
          <w:rFonts w:ascii="Book Antiqua" w:hAnsi="Book Antiqua"/>
          <w:sz w:val="24"/>
          <w:szCs w:val="24"/>
          <w:lang w:eastAsia="zh-CN"/>
        </w:rPr>
        <w:t>-</w:t>
      </w:r>
      <w:r w:rsidRPr="00AB6C30">
        <w:rPr>
          <w:rFonts w:ascii="Book Antiqua" w:hAnsi="Book Antiqua"/>
          <w:sz w:val="24"/>
          <w:szCs w:val="24"/>
        </w:rPr>
        <w:t xml:space="preserve">30 </w:t>
      </w:r>
      <w:proofErr w:type="spellStart"/>
      <w:r w:rsidRPr="00AB6C30">
        <w:rPr>
          <w:rFonts w:ascii="Book Antiqua" w:hAnsi="Book Antiqua"/>
          <w:sz w:val="24"/>
          <w:szCs w:val="24"/>
        </w:rPr>
        <w:t>ng</w:t>
      </w:r>
      <w:proofErr w:type="spellEnd"/>
      <w:r w:rsidRPr="00AB6C30">
        <w:rPr>
          <w:rFonts w:ascii="Book Antiqua" w:hAnsi="Book Antiqua"/>
          <w:sz w:val="24"/>
          <w:szCs w:val="24"/>
        </w:rPr>
        <w:t>/m</w:t>
      </w:r>
      <w:r w:rsidR="007E1FB2" w:rsidRPr="00AB6C30">
        <w:rPr>
          <w:rFonts w:ascii="Book Antiqua" w:hAnsi="Book Antiqua"/>
          <w:sz w:val="24"/>
          <w:szCs w:val="24"/>
        </w:rPr>
        <w:t>L</w:t>
      </w:r>
      <w:r w:rsidRPr="00AB6C30">
        <w:rPr>
          <w:rFonts w:ascii="Book Antiqua" w:hAnsi="Book Antiqua"/>
          <w:sz w:val="24"/>
          <w:szCs w:val="24"/>
        </w:rPr>
        <w:t>) and 18% were sufficient (&gt;</w:t>
      </w:r>
      <w:r w:rsidR="0003357F" w:rsidRPr="00AB6C30">
        <w:rPr>
          <w:rFonts w:ascii="Book Antiqua" w:hAnsi="Book Antiqua"/>
          <w:sz w:val="24"/>
          <w:szCs w:val="24"/>
          <w:lang w:eastAsia="zh-CN"/>
        </w:rPr>
        <w:t xml:space="preserve"> </w:t>
      </w:r>
      <w:r w:rsidRPr="00AB6C30">
        <w:rPr>
          <w:rFonts w:ascii="Book Antiqua" w:hAnsi="Book Antiqua"/>
          <w:sz w:val="24"/>
          <w:szCs w:val="24"/>
        </w:rPr>
        <w:t xml:space="preserve">30 </w:t>
      </w:r>
      <w:proofErr w:type="spellStart"/>
      <w:r w:rsidRPr="00AB6C30">
        <w:rPr>
          <w:rFonts w:ascii="Book Antiqua" w:hAnsi="Book Antiqua"/>
          <w:sz w:val="24"/>
          <w:szCs w:val="24"/>
        </w:rPr>
        <w:t>ng</w:t>
      </w:r>
      <w:proofErr w:type="spellEnd"/>
      <w:r w:rsidRPr="00AB6C30">
        <w:rPr>
          <w:rFonts w:ascii="Book Antiqua" w:hAnsi="Book Antiqua"/>
          <w:sz w:val="24"/>
          <w:szCs w:val="24"/>
        </w:rPr>
        <w:t>/m</w:t>
      </w:r>
      <w:r w:rsidR="0003357F" w:rsidRPr="00AB6C30">
        <w:rPr>
          <w:rFonts w:ascii="Book Antiqua" w:hAnsi="Book Antiqua"/>
          <w:sz w:val="24"/>
          <w:szCs w:val="24"/>
        </w:rPr>
        <w:t>L</w:t>
      </w:r>
      <w:r w:rsidRPr="00AB6C30">
        <w:rPr>
          <w:rFonts w:ascii="Book Antiqua" w:hAnsi="Book Antiqua"/>
          <w:sz w:val="24"/>
          <w:szCs w:val="24"/>
        </w:rPr>
        <w:t>)</w:t>
      </w:r>
      <w:r w:rsidRPr="00AB6C30">
        <w:rPr>
          <w:rFonts w:ascii="Book Antiqua" w:hAnsi="Book Antiqua"/>
          <w:noProof/>
          <w:sz w:val="24"/>
          <w:szCs w:val="24"/>
          <w:vertAlign w:val="superscript"/>
        </w:rPr>
        <w:t>[21]</w:t>
      </w:r>
      <w:r w:rsidRPr="00AB6C30">
        <w:rPr>
          <w:rFonts w:ascii="Book Antiqua" w:hAnsi="Book Antiqua"/>
          <w:sz w:val="24"/>
          <w:szCs w:val="24"/>
        </w:rPr>
        <w:t>. Other studies in western countries found similar results with only 10</w:t>
      </w:r>
      <w:r w:rsidR="007E1FB2" w:rsidRPr="00AB6C30">
        <w:rPr>
          <w:rFonts w:ascii="Book Antiqua" w:hAnsi="Book Antiqua"/>
          <w:sz w:val="24"/>
          <w:szCs w:val="24"/>
          <w:lang w:eastAsia="zh-CN"/>
        </w:rPr>
        <w:t>%</w:t>
      </w:r>
      <w:r w:rsidRPr="00AB6C30">
        <w:rPr>
          <w:rFonts w:ascii="Book Antiqua" w:hAnsi="Book Antiqua"/>
          <w:sz w:val="24"/>
          <w:szCs w:val="24"/>
        </w:rPr>
        <w:t xml:space="preserve">-20% </w:t>
      </w:r>
      <w:r w:rsidR="00843801" w:rsidRPr="00AB6C30">
        <w:rPr>
          <w:rFonts w:ascii="Book Antiqua" w:hAnsi="Book Antiqua"/>
          <w:sz w:val="24"/>
          <w:szCs w:val="24"/>
        </w:rPr>
        <w:t xml:space="preserve">of patients </w:t>
      </w:r>
      <w:r w:rsidRPr="00AB6C30">
        <w:rPr>
          <w:rFonts w:ascii="Book Antiqua" w:hAnsi="Book Antiqua"/>
          <w:sz w:val="24"/>
          <w:szCs w:val="24"/>
        </w:rPr>
        <w:t xml:space="preserve">had sufficient 25-OH-D </w:t>
      </w:r>
      <w:proofErr w:type="gramStart"/>
      <w:r w:rsidRPr="00AB6C30">
        <w:rPr>
          <w:rFonts w:ascii="Book Antiqua" w:hAnsi="Book Antiqua"/>
          <w:sz w:val="24"/>
          <w:szCs w:val="24"/>
        </w:rPr>
        <w:t>level</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22-25]</w:t>
      </w:r>
      <w:r w:rsidRPr="00AB6C30">
        <w:rPr>
          <w:rFonts w:ascii="Book Antiqua" w:hAnsi="Book Antiqua"/>
          <w:sz w:val="24"/>
          <w:szCs w:val="24"/>
        </w:rPr>
        <w:t>. Studies in Asian countries closer to the Equator with more sun exposure revealed the prevalence of 25-OH-D deficiency ranging between 20</w:t>
      </w:r>
      <w:r w:rsidR="007E1FB2" w:rsidRPr="00AB6C30">
        <w:rPr>
          <w:rFonts w:ascii="Book Antiqua" w:hAnsi="Book Antiqua"/>
          <w:sz w:val="24"/>
          <w:szCs w:val="24"/>
          <w:lang w:eastAsia="zh-CN"/>
        </w:rPr>
        <w:t>%</w:t>
      </w:r>
      <w:r w:rsidRPr="00AB6C30">
        <w:rPr>
          <w:rFonts w:ascii="Book Antiqua" w:hAnsi="Book Antiqua"/>
          <w:sz w:val="24"/>
          <w:szCs w:val="24"/>
        </w:rPr>
        <w:t>-30%, 25-OH-D insufficiency around 50% and 25-OH-D sufficiency ranging between 25</w:t>
      </w:r>
      <w:r w:rsidR="007E1FB2" w:rsidRPr="00AB6C30">
        <w:rPr>
          <w:rFonts w:ascii="Book Antiqua" w:hAnsi="Book Antiqua"/>
          <w:sz w:val="24"/>
          <w:szCs w:val="24"/>
          <w:lang w:eastAsia="zh-CN"/>
        </w:rPr>
        <w:t>%</w:t>
      </w:r>
      <w:r w:rsidRPr="00AB6C30">
        <w:rPr>
          <w:rFonts w:ascii="Book Antiqua" w:hAnsi="Book Antiqua"/>
          <w:sz w:val="24"/>
          <w:szCs w:val="24"/>
        </w:rPr>
        <w:t>-30%</w:t>
      </w:r>
      <w:r w:rsidRPr="00AB6C30">
        <w:rPr>
          <w:rFonts w:ascii="Book Antiqua" w:hAnsi="Book Antiqua"/>
          <w:noProof/>
          <w:sz w:val="24"/>
          <w:szCs w:val="24"/>
          <w:vertAlign w:val="superscript"/>
        </w:rPr>
        <w:t>[8</w:t>
      </w:r>
      <w:r w:rsidR="00C67B4C"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26]</w:t>
      </w:r>
      <w:r w:rsidRPr="00AB6C30">
        <w:rPr>
          <w:rFonts w:ascii="Book Antiqua" w:hAnsi="Book Antiqua"/>
          <w:sz w:val="24"/>
          <w:szCs w:val="24"/>
        </w:rPr>
        <w:t>. Time from transplantation seems to positively influence 25-OH-D level in which every year out of transplantation decreases the risk of deficiency by approximately 10%</w:t>
      </w:r>
      <w:r w:rsidRPr="00AB6C30">
        <w:rPr>
          <w:rFonts w:ascii="Book Antiqua" w:hAnsi="Book Antiqua"/>
          <w:noProof/>
          <w:sz w:val="24"/>
          <w:szCs w:val="24"/>
          <w:vertAlign w:val="superscript"/>
        </w:rPr>
        <w:t>[27]</w:t>
      </w:r>
      <w:r w:rsidRPr="00AB6C30">
        <w:rPr>
          <w:rFonts w:ascii="Book Antiqua" w:hAnsi="Book Antiqua"/>
          <w:sz w:val="24"/>
          <w:szCs w:val="24"/>
        </w:rPr>
        <w:t>. In addition to the reduced sunlight exposure, the use of sun protectors, and the impaired kidney function, immunosuppressive drugs especially</w:t>
      </w:r>
      <w:r w:rsidRPr="00AB6C30">
        <w:rPr>
          <w:rStyle w:val="apple-converted-space"/>
          <w:rFonts w:ascii="Book Antiqua" w:hAnsi="Book Antiqua" w:cs="Arial"/>
          <w:sz w:val="24"/>
          <w:szCs w:val="24"/>
        </w:rPr>
        <w:t> </w:t>
      </w:r>
      <w:r w:rsidRPr="00AB6C30">
        <w:rPr>
          <w:rFonts w:ascii="Book Antiqua" w:hAnsi="Book Antiqua" w:cs="Arial"/>
          <w:sz w:val="24"/>
          <w:szCs w:val="24"/>
        </w:rPr>
        <w:t xml:space="preserve">high doses of steroid, metabolic syndrome and obesity are also associated with 25-OH-D </w:t>
      </w:r>
      <w:proofErr w:type="gramStart"/>
      <w:r w:rsidRPr="00AB6C30">
        <w:rPr>
          <w:rFonts w:ascii="Book Antiqua" w:hAnsi="Book Antiqua" w:cs="Arial"/>
          <w:sz w:val="24"/>
          <w:szCs w:val="24"/>
        </w:rPr>
        <w:t>deficiency</w:t>
      </w:r>
      <w:r w:rsidRPr="00AB6C30">
        <w:rPr>
          <w:rFonts w:ascii="Book Antiqua" w:hAnsi="Book Antiqua" w:cs="Arial"/>
          <w:noProof/>
          <w:sz w:val="24"/>
          <w:szCs w:val="24"/>
          <w:vertAlign w:val="superscript"/>
        </w:rPr>
        <w:t>[</w:t>
      </w:r>
      <w:proofErr w:type="gramEnd"/>
      <w:r w:rsidRPr="00AB6C30">
        <w:rPr>
          <w:rFonts w:ascii="Book Antiqua" w:hAnsi="Book Antiqua" w:cs="Arial"/>
          <w:noProof/>
          <w:sz w:val="24"/>
          <w:szCs w:val="24"/>
          <w:vertAlign w:val="superscript"/>
        </w:rPr>
        <w:t>26</w:t>
      </w:r>
      <w:r w:rsidR="00C67B4C" w:rsidRPr="00AB6C30">
        <w:rPr>
          <w:rFonts w:ascii="Book Antiqua" w:hAnsi="Book Antiqua" w:cs="Arial"/>
          <w:noProof/>
          <w:sz w:val="24"/>
          <w:szCs w:val="24"/>
          <w:vertAlign w:val="superscript"/>
        </w:rPr>
        <w:t>,</w:t>
      </w:r>
      <w:r w:rsidRPr="00AB6C30">
        <w:rPr>
          <w:rFonts w:ascii="Book Antiqua" w:hAnsi="Book Antiqua" w:cs="Arial"/>
          <w:noProof/>
          <w:sz w:val="24"/>
          <w:szCs w:val="24"/>
          <w:vertAlign w:val="superscript"/>
        </w:rPr>
        <w:t>28]</w:t>
      </w:r>
      <w:r w:rsidRPr="00AB6C30">
        <w:rPr>
          <w:rFonts w:ascii="Book Antiqua" w:hAnsi="Book Antiqua" w:cs="Arial"/>
          <w:sz w:val="24"/>
          <w:szCs w:val="24"/>
        </w:rPr>
        <w:t xml:space="preserve"> Lower 25-OH-D level in KT recipients can worsen the degree of hyperparathyroidism by depleting the substrate for </w:t>
      </w:r>
      <w:r w:rsidRPr="00AB6C30">
        <w:rPr>
          <w:rFonts w:ascii="Book Antiqua" w:hAnsi="Book Antiqua"/>
          <w:sz w:val="24"/>
          <w:szCs w:val="24"/>
        </w:rPr>
        <w:t>1,25-dihydroxyvitamin D (1,25-OH</w:t>
      </w:r>
      <w:r w:rsidRPr="00AB6C30">
        <w:rPr>
          <w:rFonts w:ascii="Book Antiqua" w:hAnsi="Book Antiqua"/>
          <w:sz w:val="24"/>
          <w:szCs w:val="24"/>
          <w:vertAlign w:val="subscript"/>
        </w:rPr>
        <w:t>2</w:t>
      </w:r>
      <w:r w:rsidRPr="00AB6C30">
        <w:rPr>
          <w:rFonts w:ascii="Book Antiqua" w:hAnsi="Book Antiqua"/>
          <w:sz w:val="24"/>
          <w:szCs w:val="24"/>
        </w:rPr>
        <w:t>-D) production</w:t>
      </w:r>
      <w:r w:rsidRPr="00AB6C30">
        <w:rPr>
          <w:rFonts w:ascii="Book Antiqua" w:hAnsi="Book Antiqua" w:cs="Arial"/>
          <w:noProof/>
          <w:sz w:val="24"/>
          <w:szCs w:val="24"/>
          <w:vertAlign w:val="superscript"/>
        </w:rPr>
        <w:t>[25]</w:t>
      </w:r>
      <w:r w:rsidRPr="00AB6C30">
        <w:rPr>
          <w:rFonts w:ascii="Book Antiqua" w:hAnsi="Book Antiqua" w:cs="Arial"/>
          <w:sz w:val="24"/>
          <w:szCs w:val="24"/>
        </w:rPr>
        <w:t>. S</w:t>
      </w:r>
      <w:r w:rsidRPr="00AB6C30">
        <w:rPr>
          <w:rFonts w:ascii="Book Antiqua" w:hAnsi="Book Antiqua"/>
          <w:sz w:val="24"/>
          <w:szCs w:val="24"/>
        </w:rPr>
        <w:t>evere 1,25-OH</w:t>
      </w:r>
      <w:r w:rsidRPr="00AB6C30">
        <w:rPr>
          <w:rFonts w:ascii="Book Antiqua" w:hAnsi="Book Antiqua"/>
          <w:sz w:val="24"/>
          <w:szCs w:val="24"/>
          <w:vertAlign w:val="subscript"/>
        </w:rPr>
        <w:t>2</w:t>
      </w:r>
      <w:r w:rsidRPr="00AB6C30">
        <w:rPr>
          <w:rFonts w:ascii="Book Antiqua" w:hAnsi="Book Antiqua"/>
          <w:sz w:val="24"/>
          <w:szCs w:val="24"/>
        </w:rPr>
        <w:t xml:space="preserve">-D deficiency can be observed in up to 80% in the immediate post-transplant </w:t>
      </w:r>
      <w:proofErr w:type="gramStart"/>
      <w:r w:rsidRPr="00AB6C30">
        <w:rPr>
          <w:rFonts w:ascii="Book Antiqua" w:hAnsi="Book Antiqua"/>
          <w:sz w:val="24"/>
          <w:szCs w:val="24"/>
        </w:rPr>
        <w:t>period</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29]</w:t>
      </w:r>
      <w:r w:rsidRPr="00AB6C30">
        <w:rPr>
          <w:rFonts w:ascii="Book Antiqua" w:hAnsi="Book Antiqua"/>
          <w:sz w:val="24"/>
          <w:szCs w:val="24"/>
        </w:rPr>
        <w:t>. The concentration of 1,25-OH</w:t>
      </w:r>
      <w:r w:rsidRPr="00AB6C30">
        <w:rPr>
          <w:rFonts w:ascii="Book Antiqua" w:hAnsi="Book Antiqua"/>
          <w:sz w:val="24"/>
          <w:szCs w:val="24"/>
          <w:vertAlign w:val="subscript"/>
        </w:rPr>
        <w:t>2</w:t>
      </w:r>
      <w:r w:rsidRPr="00AB6C30">
        <w:rPr>
          <w:rFonts w:ascii="Book Antiqua" w:hAnsi="Book Antiqua"/>
          <w:sz w:val="24"/>
          <w:szCs w:val="24"/>
        </w:rPr>
        <w:t>-D increases rapidly thereafter and becomes comparable to CKD patients with equivalent k</w:t>
      </w:r>
      <w:r w:rsidR="007E1FB2" w:rsidRPr="00AB6C30">
        <w:rPr>
          <w:rFonts w:ascii="Book Antiqua" w:hAnsi="Book Antiqua"/>
          <w:sz w:val="24"/>
          <w:szCs w:val="24"/>
        </w:rPr>
        <w:t xml:space="preserve">idney function after 3-12 </w:t>
      </w:r>
      <w:proofErr w:type="spellStart"/>
      <w:proofErr w:type="gramStart"/>
      <w:r w:rsidR="007E1FB2" w:rsidRPr="00AB6C30">
        <w:rPr>
          <w:rFonts w:ascii="Book Antiqua" w:hAnsi="Book Antiqua"/>
          <w:sz w:val="24"/>
          <w:szCs w:val="24"/>
        </w:rPr>
        <w:lastRenderedPageBreak/>
        <w:t>mo</w:t>
      </w:r>
      <w:proofErr w:type="spellEnd"/>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5]</w:t>
      </w:r>
      <w:r w:rsidRPr="00AB6C30">
        <w:rPr>
          <w:rFonts w:ascii="Book Antiqua" w:hAnsi="Book Antiqua"/>
          <w:sz w:val="24"/>
          <w:szCs w:val="24"/>
        </w:rPr>
        <w:t>. During the early period post-transplantation, 1,25-OH</w:t>
      </w:r>
      <w:r w:rsidRPr="00AB6C30">
        <w:rPr>
          <w:rFonts w:ascii="Book Antiqua" w:hAnsi="Book Antiqua"/>
          <w:sz w:val="24"/>
          <w:szCs w:val="24"/>
          <w:vertAlign w:val="subscript"/>
        </w:rPr>
        <w:t>2</w:t>
      </w:r>
      <w:r w:rsidRPr="00AB6C30">
        <w:rPr>
          <w:rFonts w:ascii="Book Antiqua" w:hAnsi="Book Antiqua"/>
          <w:sz w:val="24"/>
          <w:szCs w:val="24"/>
        </w:rPr>
        <w:t>-D levels are negatively correlated with FGF-23 levels suggesting that the excess of FGF-23 suppresses the production of 1,25-OH</w:t>
      </w:r>
      <w:r w:rsidRPr="00AB6C30">
        <w:rPr>
          <w:rFonts w:ascii="Book Antiqua" w:hAnsi="Book Antiqua"/>
          <w:sz w:val="24"/>
          <w:szCs w:val="24"/>
          <w:vertAlign w:val="subscript"/>
        </w:rPr>
        <w:t>2</w:t>
      </w:r>
      <w:r w:rsidRPr="00AB6C30">
        <w:rPr>
          <w:rFonts w:ascii="Book Antiqua" w:hAnsi="Book Antiqua"/>
          <w:sz w:val="24"/>
          <w:szCs w:val="24"/>
        </w:rPr>
        <w:t>-D. Twelve months after transplantation, only allograft function displays an association with 1,25-OH</w:t>
      </w:r>
      <w:r w:rsidRPr="00AB6C30">
        <w:rPr>
          <w:rFonts w:ascii="Book Antiqua" w:hAnsi="Book Antiqua"/>
          <w:sz w:val="24"/>
          <w:szCs w:val="24"/>
          <w:vertAlign w:val="subscript"/>
        </w:rPr>
        <w:t>2</w:t>
      </w:r>
      <w:r w:rsidRPr="00AB6C30">
        <w:rPr>
          <w:rFonts w:ascii="Book Antiqua" w:hAnsi="Book Antiqua"/>
          <w:sz w:val="24"/>
          <w:szCs w:val="24"/>
        </w:rPr>
        <w:t xml:space="preserve">-D level indicating the return of vitamin D physiology towards that of </w:t>
      </w:r>
      <w:proofErr w:type="gramStart"/>
      <w:r w:rsidRPr="00AB6C30">
        <w:rPr>
          <w:rFonts w:ascii="Book Antiqua" w:hAnsi="Book Antiqua"/>
          <w:sz w:val="24"/>
          <w:szCs w:val="24"/>
        </w:rPr>
        <w:t>CKD</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5]</w:t>
      </w:r>
      <w:r w:rsidRPr="00AB6C30">
        <w:rPr>
          <w:rFonts w:ascii="Book Antiqua" w:hAnsi="Book Antiqua"/>
          <w:sz w:val="24"/>
          <w:szCs w:val="24"/>
        </w:rPr>
        <w:t xml:space="preserve">. Roles of vitamin D in KT patients are diverse. In addition to the effect on bone and mineral metabolism, vitamin D also exerts several important immunological effects. The effect of vitamin D on adaptive immune responses including inhibition of dendritic cell proliferation and maturation causing an impairment of antigen presenting activity may reduce the risk of transplant </w:t>
      </w:r>
      <w:proofErr w:type="gramStart"/>
      <w:r w:rsidRPr="00AB6C30">
        <w:rPr>
          <w:rFonts w:ascii="Book Antiqua" w:hAnsi="Book Antiqua"/>
          <w:sz w:val="24"/>
          <w:szCs w:val="24"/>
        </w:rPr>
        <w:t>rejection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30]</w:t>
      </w:r>
      <w:r w:rsidRPr="00AB6C30">
        <w:rPr>
          <w:rFonts w:ascii="Book Antiqua" w:hAnsi="Book Antiqua"/>
          <w:sz w:val="24"/>
          <w:szCs w:val="24"/>
        </w:rPr>
        <w:t>. In addition to suppression of cell growth, vitamin D also promotes cell apoptosis while inhibiting angiogenesis which may also protect against cancer development</w:t>
      </w:r>
      <w:r w:rsidR="00843801" w:rsidRPr="00AB6C30">
        <w:rPr>
          <w:rFonts w:ascii="Book Antiqua" w:hAnsi="Book Antiqua"/>
          <w:sz w:val="24"/>
          <w:szCs w:val="24"/>
        </w:rPr>
        <w:t xml:space="preserve"> after </w:t>
      </w:r>
      <w:proofErr w:type="gramStart"/>
      <w:r w:rsidR="00843801" w:rsidRPr="00AB6C30">
        <w:rPr>
          <w:rFonts w:ascii="Book Antiqua" w:hAnsi="Book Antiqua"/>
          <w:sz w:val="24"/>
          <w:szCs w:val="24"/>
        </w:rPr>
        <w:t>transplantation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31]</w:t>
      </w:r>
      <w:r w:rsidRPr="00AB6C30">
        <w:rPr>
          <w:rFonts w:ascii="Book Antiqua" w:hAnsi="Book Antiqua"/>
          <w:sz w:val="24"/>
          <w:szCs w:val="24"/>
        </w:rPr>
        <w:t xml:space="preserve">. The details of this topic can be found in a review by McGregor </w:t>
      </w:r>
      <w:r w:rsidRPr="00AB6C30">
        <w:rPr>
          <w:rFonts w:ascii="Book Antiqua" w:hAnsi="Book Antiqua"/>
          <w:i/>
          <w:sz w:val="24"/>
          <w:szCs w:val="24"/>
        </w:rPr>
        <w:t xml:space="preserve">et </w:t>
      </w:r>
      <w:proofErr w:type="gramStart"/>
      <w:r w:rsidRPr="00AB6C30">
        <w:rPr>
          <w:rFonts w:ascii="Book Antiqua" w:hAnsi="Book Antiqua"/>
          <w:i/>
          <w:sz w:val="24"/>
          <w:szCs w:val="24"/>
        </w:rPr>
        <w:t>al</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32]</w:t>
      </w:r>
      <w:r w:rsidRPr="00AB6C30">
        <w:rPr>
          <w:rFonts w:ascii="Book Antiqua" w:hAnsi="Book Antiqua"/>
          <w:sz w:val="24"/>
          <w:szCs w:val="24"/>
        </w:rPr>
        <w:t xml:space="preserve">. </w:t>
      </w:r>
    </w:p>
    <w:p w:rsidR="007E1FB2" w:rsidRPr="00AB6C30" w:rsidRDefault="007E1FB2"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b/>
          <w:bCs/>
          <w:caps/>
          <w:sz w:val="24"/>
          <w:szCs w:val="24"/>
        </w:rPr>
      </w:pPr>
      <w:r w:rsidRPr="00AB6C30">
        <w:rPr>
          <w:rFonts w:ascii="Book Antiqua" w:hAnsi="Book Antiqua"/>
          <w:b/>
          <w:bCs/>
          <w:caps/>
          <w:sz w:val="24"/>
          <w:szCs w:val="24"/>
        </w:rPr>
        <w:t>Calcium</w:t>
      </w: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sz w:val="24"/>
          <w:szCs w:val="24"/>
        </w:rPr>
        <w:t xml:space="preserve">Immediately after successful kidney transplantation, serum calcium decreases secondary to the discontinuation of calcium and active vitamin D. The rapid decline in PTH results in the movement of calcium back into the bone and the loss of calcium in the </w:t>
      </w:r>
      <w:proofErr w:type="gramStart"/>
      <w:r w:rsidRPr="00AB6C30">
        <w:rPr>
          <w:rFonts w:ascii="Book Antiqua" w:hAnsi="Book Antiqua"/>
          <w:sz w:val="24"/>
          <w:szCs w:val="24"/>
        </w:rPr>
        <w:t>urine</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33]</w:t>
      </w:r>
      <w:r w:rsidRPr="00AB6C30">
        <w:rPr>
          <w:rFonts w:ascii="Book Antiqua" w:hAnsi="Book Antiqua"/>
          <w:sz w:val="24"/>
          <w:szCs w:val="24"/>
        </w:rPr>
        <w:t xml:space="preserve">. Thereafter, serum calcium gradually increases and becomes stabilized after 3-6 mo. Due to the high prevalence of persistent hyperparathyroidism as mentioned earlier,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usually develops in 10</w:t>
      </w:r>
      <w:r w:rsidR="007E1FB2" w:rsidRPr="00AB6C30">
        <w:rPr>
          <w:rFonts w:ascii="Book Antiqua" w:hAnsi="Book Antiqua"/>
          <w:sz w:val="24"/>
          <w:szCs w:val="24"/>
          <w:lang w:eastAsia="zh-CN"/>
        </w:rPr>
        <w:t>%</w:t>
      </w:r>
      <w:r w:rsidRPr="00AB6C30">
        <w:rPr>
          <w:rFonts w:ascii="Book Antiqua" w:hAnsi="Book Antiqua"/>
          <w:sz w:val="24"/>
          <w:szCs w:val="24"/>
        </w:rPr>
        <w:t xml:space="preserve">-15% of KT </w:t>
      </w:r>
      <w:proofErr w:type="gramStart"/>
      <w:r w:rsidRPr="00AB6C30">
        <w:rPr>
          <w:rFonts w:ascii="Book Antiqua" w:hAnsi="Book Antiqua"/>
          <w:sz w:val="24"/>
          <w:szCs w:val="24"/>
        </w:rPr>
        <w:t>recipients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8</w:t>
      </w:r>
      <w:r w:rsidR="003654A0"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12]</w:t>
      </w:r>
      <w:r w:rsidRPr="00AB6C30">
        <w:rPr>
          <w:rFonts w:ascii="Book Antiqua" w:hAnsi="Book Antiqua"/>
          <w:sz w:val="24"/>
          <w:szCs w:val="24"/>
        </w:rPr>
        <w:t xml:space="preserve">. Pre-transplant calcium and PTH levels are the significant determinant of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after </w:t>
      </w:r>
      <w:proofErr w:type="gramStart"/>
      <w:r w:rsidRPr="00AB6C30">
        <w:rPr>
          <w:rFonts w:ascii="Book Antiqua" w:hAnsi="Book Antiqua"/>
          <w:sz w:val="24"/>
          <w:szCs w:val="24"/>
        </w:rPr>
        <w:t>transplantation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6</w:t>
      </w:r>
      <w:r w:rsidR="003654A0"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15]</w:t>
      </w:r>
      <w:r w:rsidRPr="00AB6C30">
        <w:rPr>
          <w:rFonts w:ascii="Book Antiqua" w:hAnsi="Book Antiqua"/>
          <w:sz w:val="24"/>
          <w:szCs w:val="24"/>
        </w:rPr>
        <w:t xml:space="preserve">. Increased serum calcium may also occur in association with low PTH levels. In this case, other causes such as malignancy and opportunistic infection should be considered.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in conjunction with pneumocystis </w:t>
      </w:r>
      <w:proofErr w:type="spellStart"/>
      <w:r w:rsidRPr="00AB6C30">
        <w:rPr>
          <w:rFonts w:ascii="Book Antiqua" w:hAnsi="Book Antiqua"/>
          <w:sz w:val="24"/>
          <w:szCs w:val="24"/>
        </w:rPr>
        <w:t>jirovecii</w:t>
      </w:r>
      <w:proofErr w:type="spellEnd"/>
      <w:r w:rsidRPr="00AB6C30">
        <w:rPr>
          <w:rFonts w:ascii="Book Antiqua" w:hAnsi="Book Antiqua"/>
          <w:sz w:val="24"/>
          <w:szCs w:val="24"/>
        </w:rPr>
        <w:t xml:space="preserve"> pneumonia (PCP) is being increasingly reported in </w:t>
      </w:r>
      <w:proofErr w:type="spellStart"/>
      <w:r w:rsidRPr="00AB6C30">
        <w:rPr>
          <w:rFonts w:ascii="Book Antiqua" w:hAnsi="Book Antiqua"/>
          <w:sz w:val="24"/>
          <w:szCs w:val="24"/>
        </w:rPr>
        <w:t>immunocompromised</w:t>
      </w:r>
      <w:proofErr w:type="spellEnd"/>
      <w:r w:rsidRPr="00AB6C30">
        <w:rPr>
          <w:rFonts w:ascii="Book Antiqua" w:hAnsi="Book Antiqua"/>
          <w:sz w:val="24"/>
          <w:szCs w:val="24"/>
        </w:rPr>
        <w:t xml:space="preserve"> </w:t>
      </w:r>
      <w:proofErr w:type="gramStart"/>
      <w:r w:rsidRPr="00AB6C30">
        <w:rPr>
          <w:rFonts w:ascii="Book Antiqua" w:hAnsi="Book Antiqua"/>
          <w:sz w:val="24"/>
          <w:szCs w:val="24"/>
        </w:rPr>
        <w:t>patients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34]</w:t>
      </w:r>
      <w:r w:rsidRPr="00AB6C30">
        <w:rPr>
          <w:rFonts w:ascii="Book Antiqua" w:hAnsi="Book Antiqua"/>
          <w:sz w:val="24"/>
          <w:szCs w:val="24"/>
        </w:rPr>
        <w:t xml:space="preserve">. The increase in serum calcium was due to granulomatous PCP infection and </w:t>
      </w:r>
      <w:proofErr w:type="spellStart"/>
      <w:r w:rsidRPr="00AB6C30">
        <w:rPr>
          <w:rFonts w:ascii="Book Antiqua" w:hAnsi="Book Antiqua"/>
          <w:sz w:val="24"/>
          <w:szCs w:val="24"/>
        </w:rPr>
        <w:t>extrarenal</w:t>
      </w:r>
      <w:proofErr w:type="spellEnd"/>
      <w:r w:rsidRPr="00AB6C30">
        <w:rPr>
          <w:rFonts w:ascii="Book Antiqua" w:hAnsi="Book Antiqua"/>
          <w:sz w:val="24"/>
          <w:szCs w:val="24"/>
        </w:rPr>
        <w:t xml:space="preserve"> production of 1,25-OH</w:t>
      </w:r>
      <w:r w:rsidRPr="00AB6C30">
        <w:rPr>
          <w:rFonts w:ascii="Book Antiqua" w:hAnsi="Book Antiqua"/>
          <w:sz w:val="24"/>
          <w:szCs w:val="24"/>
          <w:vertAlign w:val="subscript"/>
        </w:rPr>
        <w:t>2</w:t>
      </w:r>
      <w:r w:rsidRPr="00AB6C30">
        <w:rPr>
          <w:rFonts w:ascii="Book Antiqua" w:hAnsi="Book Antiqua"/>
          <w:sz w:val="24"/>
          <w:szCs w:val="24"/>
        </w:rPr>
        <w:t>-</w:t>
      </w:r>
      <w:proofErr w:type="gramStart"/>
      <w:r w:rsidRPr="00AB6C30">
        <w:rPr>
          <w:rFonts w:ascii="Book Antiqua" w:hAnsi="Book Antiqua"/>
          <w:sz w:val="24"/>
          <w:szCs w:val="24"/>
        </w:rPr>
        <w:t>D</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35]</w:t>
      </w:r>
      <w:r w:rsidRPr="00AB6C30">
        <w:rPr>
          <w:rFonts w:ascii="Book Antiqua" w:hAnsi="Book Antiqua"/>
          <w:sz w:val="24"/>
          <w:szCs w:val="24"/>
        </w:rPr>
        <w:t xml:space="preserve">.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may be a prodromal feature of indolent PCP infection with full blown pneumonia developing few months </w:t>
      </w:r>
      <w:proofErr w:type="gramStart"/>
      <w:r w:rsidRPr="00AB6C30">
        <w:rPr>
          <w:rFonts w:ascii="Book Antiqua" w:hAnsi="Book Antiqua"/>
          <w:sz w:val="24"/>
          <w:szCs w:val="24"/>
        </w:rPr>
        <w:t>later</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36]</w:t>
      </w:r>
      <w:r w:rsidRPr="00AB6C30">
        <w:rPr>
          <w:rFonts w:ascii="Book Antiqua" w:hAnsi="Book Antiqua"/>
          <w:sz w:val="24"/>
          <w:szCs w:val="24"/>
        </w:rPr>
        <w:t xml:space="preserve">.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and suppressed PTH level normally resolve after </w:t>
      </w:r>
      <w:r w:rsidR="008A1289" w:rsidRPr="00AB6C30">
        <w:rPr>
          <w:rFonts w:ascii="Book Antiqua" w:hAnsi="Book Antiqua"/>
          <w:sz w:val="24"/>
          <w:szCs w:val="24"/>
        </w:rPr>
        <w:t xml:space="preserve">a </w:t>
      </w:r>
      <w:r w:rsidRPr="00AB6C30">
        <w:rPr>
          <w:rFonts w:ascii="Book Antiqua" w:hAnsi="Book Antiqua"/>
          <w:sz w:val="24"/>
          <w:szCs w:val="24"/>
        </w:rPr>
        <w:t>successful treatment of pneumonia.</w:t>
      </w:r>
    </w:p>
    <w:p w:rsidR="005C4C19" w:rsidRPr="00AB6C30" w:rsidRDefault="005C4C19"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caps/>
          <w:sz w:val="24"/>
          <w:szCs w:val="24"/>
        </w:rPr>
      </w:pPr>
      <w:r w:rsidRPr="00AB6C30">
        <w:rPr>
          <w:rFonts w:ascii="Book Antiqua" w:hAnsi="Book Antiqua"/>
          <w:b/>
          <w:bCs/>
          <w:caps/>
          <w:sz w:val="24"/>
          <w:szCs w:val="24"/>
        </w:rPr>
        <w:lastRenderedPageBreak/>
        <w:t>Bone loss</w:t>
      </w: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sz w:val="24"/>
          <w:szCs w:val="24"/>
        </w:rPr>
        <w:t>Prevalence of osteoporosis in long-term KT recipients ranges between 11</w:t>
      </w:r>
      <w:r w:rsidR="005C4C19" w:rsidRPr="00AB6C30">
        <w:rPr>
          <w:rFonts w:ascii="Book Antiqua" w:hAnsi="Book Antiqua"/>
          <w:sz w:val="24"/>
          <w:szCs w:val="24"/>
          <w:lang w:eastAsia="zh-CN"/>
        </w:rPr>
        <w:t>%</w:t>
      </w:r>
      <w:r w:rsidRPr="00AB6C30">
        <w:rPr>
          <w:rFonts w:ascii="Book Antiqua" w:hAnsi="Book Antiqua"/>
          <w:sz w:val="24"/>
          <w:szCs w:val="24"/>
        </w:rPr>
        <w:t>-56% with the incidence of vertebral fracture 3</w:t>
      </w:r>
      <w:r w:rsidR="005C4C19" w:rsidRPr="00AB6C30">
        <w:rPr>
          <w:rFonts w:ascii="Book Antiqua" w:hAnsi="Book Antiqua"/>
          <w:sz w:val="24"/>
          <w:szCs w:val="24"/>
          <w:lang w:eastAsia="zh-CN"/>
        </w:rPr>
        <w:t>%</w:t>
      </w:r>
      <w:r w:rsidRPr="00AB6C30">
        <w:rPr>
          <w:rFonts w:ascii="Book Antiqua" w:hAnsi="Book Antiqua"/>
          <w:sz w:val="24"/>
          <w:szCs w:val="24"/>
        </w:rPr>
        <w:t>-29% and peripheral fracture 11</w:t>
      </w:r>
      <w:r w:rsidR="005C4C19" w:rsidRPr="00AB6C30">
        <w:rPr>
          <w:rFonts w:ascii="Book Antiqua" w:hAnsi="Book Antiqua"/>
          <w:sz w:val="24"/>
          <w:szCs w:val="24"/>
          <w:lang w:eastAsia="zh-CN"/>
        </w:rPr>
        <w:t>%</w:t>
      </w:r>
      <w:r w:rsidRPr="00AB6C30">
        <w:rPr>
          <w:rFonts w:ascii="Book Antiqua" w:hAnsi="Book Antiqua"/>
          <w:sz w:val="24"/>
          <w:szCs w:val="24"/>
        </w:rPr>
        <w:t>-43%</w:t>
      </w:r>
      <w:r w:rsidRPr="00AB6C30">
        <w:rPr>
          <w:rFonts w:ascii="Book Antiqua" w:hAnsi="Book Antiqua"/>
          <w:noProof/>
          <w:sz w:val="24"/>
          <w:szCs w:val="24"/>
          <w:vertAlign w:val="superscript"/>
        </w:rPr>
        <w:t>[37]</w:t>
      </w:r>
      <w:r w:rsidRPr="00AB6C30">
        <w:rPr>
          <w:rFonts w:ascii="Book Antiqua" w:hAnsi="Book Antiqua"/>
          <w:sz w:val="24"/>
          <w:szCs w:val="24"/>
        </w:rPr>
        <w:t xml:space="preserve">. Bone loss occurs at a highest rate in the first 6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and continues to occur at a slower rate during the</w:t>
      </w:r>
      <w:r w:rsidR="008A1289" w:rsidRPr="00AB6C30">
        <w:rPr>
          <w:rFonts w:ascii="Book Antiqua" w:hAnsi="Book Antiqua"/>
          <w:sz w:val="24"/>
          <w:szCs w:val="24"/>
        </w:rPr>
        <w:t xml:space="preserve"> following</w:t>
      </w:r>
      <w:r w:rsidRPr="00AB6C30">
        <w:rPr>
          <w:rFonts w:ascii="Book Antiqua" w:hAnsi="Book Antiqua"/>
          <w:sz w:val="24"/>
          <w:szCs w:val="24"/>
        </w:rPr>
        <w:t xml:space="preserve"> 6-12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after </w:t>
      </w:r>
      <w:proofErr w:type="gramStart"/>
      <w:r w:rsidRPr="00AB6C30">
        <w:rPr>
          <w:rFonts w:ascii="Book Antiqua" w:hAnsi="Book Antiqua"/>
          <w:sz w:val="24"/>
          <w:szCs w:val="24"/>
        </w:rPr>
        <w:t>transplantation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38</w:t>
      </w:r>
      <w:r w:rsidR="003654A0"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39]</w:t>
      </w:r>
      <w:r w:rsidRPr="00AB6C30">
        <w:rPr>
          <w:rFonts w:ascii="Book Antiqua" w:hAnsi="Book Antiqua"/>
          <w:sz w:val="24"/>
          <w:szCs w:val="24"/>
        </w:rPr>
        <w:t xml:space="preserve">. According to bone mineral density (BMD) data, the rate of bone loss in the first 6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ranges between 5.5</w:t>
      </w:r>
      <w:r w:rsidR="005C4C19" w:rsidRPr="00AB6C30">
        <w:rPr>
          <w:rFonts w:ascii="Book Antiqua" w:hAnsi="Book Antiqua"/>
          <w:sz w:val="24"/>
          <w:szCs w:val="24"/>
          <w:lang w:eastAsia="zh-CN"/>
        </w:rPr>
        <w:t>%</w:t>
      </w:r>
      <w:r w:rsidR="000B2A84">
        <w:rPr>
          <w:rFonts w:ascii="Book Antiqua" w:hAnsi="Book Antiqua"/>
          <w:sz w:val="24"/>
          <w:szCs w:val="24"/>
          <w:lang w:eastAsia="zh-CN"/>
        </w:rPr>
        <w:t>-</w:t>
      </w:r>
      <w:r w:rsidRPr="00AB6C30">
        <w:rPr>
          <w:rFonts w:ascii="Book Antiqua" w:hAnsi="Book Antiqua"/>
          <w:sz w:val="24"/>
          <w:szCs w:val="24"/>
        </w:rPr>
        <w:t>19.5%, which decreases to 2.6</w:t>
      </w:r>
      <w:r w:rsidR="005C4C19" w:rsidRPr="00AB6C30">
        <w:rPr>
          <w:rFonts w:ascii="Book Antiqua" w:hAnsi="Book Antiqua"/>
          <w:sz w:val="24"/>
          <w:szCs w:val="24"/>
          <w:lang w:eastAsia="zh-CN"/>
        </w:rPr>
        <w:t>%</w:t>
      </w:r>
      <w:r w:rsidRPr="00AB6C30">
        <w:rPr>
          <w:rFonts w:ascii="Book Antiqua" w:hAnsi="Book Antiqua"/>
          <w:sz w:val="24"/>
          <w:szCs w:val="24"/>
        </w:rPr>
        <w:t>-8.2% after 6-12 mo. After the first year, BMD largely stabilizes but, in some patients, a gradual decline may still be obs</w:t>
      </w:r>
      <w:r w:rsidR="005C4C19" w:rsidRPr="00AB6C30">
        <w:rPr>
          <w:rFonts w:ascii="Book Antiqua" w:hAnsi="Book Antiqua"/>
          <w:sz w:val="24"/>
          <w:szCs w:val="24"/>
        </w:rPr>
        <w:t>erved at a rate between 0.4</w:t>
      </w:r>
      <w:r w:rsidR="005C4C19" w:rsidRPr="00AB6C30">
        <w:rPr>
          <w:rFonts w:ascii="Book Antiqua" w:hAnsi="Book Antiqua"/>
          <w:sz w:val="24"/>
          <w:szCs w:val="24"/>
          <w:lang w:eastAsia="zh-CN"/>
        </w:rPr>
        <w:t>%</w:t>
      </w:r>
      <w:r w:rsidR="005C4C19" w:rsidRPr="00AB6C30">
        <w:rPr>
          <w:rFonts w:ascii="Book Antiqua" w:hAnsi="Book Antiqua"/>
          <w:sz w:val="24"/>
          <w:szCs w:val="24"/>
        </w:rPr>
        <w:t>-4.5</w:t>
      </w:r>
      <w:r w:rsidRPr="00AB6C30">
        <w:rPr>
          <w:rFonts w:ascii="Book Antiqua" w:hAnsi="Book Antiqua"/>
          <w:sz w:val="24"/>
          <w:szCs w:val="24"/>
        </w:rPr>
        <w:t>%</w:t>
      </w:r>
      <w:r w:rsidRPr="00AB6C30">
        <w:rPr>
          <w:rFonts w:ascii="Book Antiqua" w:hAnsi="Book Antiqua"/>
          <w:noProof/>
          <w:sz w:val="24"/>
          <w:szCs w:val="24"/>
          <w:vertAlign w:val="superscript"/>
        </w:rPr>
        <w:t>[40]</w:t>
      </w:r>
      <w:r w:rsidRPr="00AB6C30">
        <w:rPr>
          <w:rFonts w:ascii="Book Antiqua" w:hAnsi="Book Antiqua"/>
          <w:sz w:val="24"/>
          <w:szCs w:val="24"/>
        </w:rPr>
        <w:t xml:space="preserve">. The data on bone histology in KT recipients revealed abnormalities in nearly all patients. The decrease in bone volume and bone formation was observed indicating the presence of </w:t>
      </w:r>
      <w:proofErr w:type="spellStart"/>
      <w:r w:rsidRPr="00AB6C30">
        <w:rPr>
          <w:rFonts w:ascii="Book Antiqua" w:hAnsi="Book Antiqua"/>
          <w:sz w:val="24"/>
          <w:szCs w:val="24"/>
        </w:rPr>
        <w:t>adynamic</w:t>
      </w:r>
      <w:proofErr w:type="spellEnd"/>
      <w:r w:rsidRPr="00AB6C30">
        <w:rPr>
          <w:rFonts w:ascii="Book Antiqua" w:hAnsi="Book Antiqua"/>
          <w:sz w:val="24"/>
          <w:szCs w:val="24"/>
        </w:rPr>
        <w:t xml:space="preserve"> bone </w:t>
      </w:r>
      <w:proofErr w:type="gramStart"/>
      <w:r w:rsidRPr="00AB6C30">
        <w:rPr>
          <w:rFonts w:ascii="Book Antiqua" w:hAnsi="Book Antiqua"/>
          <w:sz w:val="24"/>
          <w:szCs w:val="24"/>
        </w:rPr>
        <w:t>disease</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41]</w:t>
      </w:r>
      <w:r w:rsidRPr="00AB6C30">
        <w:rPr>
          <w:rFonts w:ascii="Book Antiqua" w:hAnsi="Book Antiqua"/>
          <w:sz w:val="24"/>
          <w:szCs w:val="24"/>
        </w:rPr>
        <w:t xml:space="preserve">. In addition, there was an increase in osteoblast apoptosis, some degree of mineralization defect as well as an increase in bone </w:t>
      </w:r>
      <w:proofErr w:type="spellStart"/>
      <w:proofErr w:type="gramStart"/>
      <w:r w:rsidRPr="00AB6C30">
        <w:rPr>
          <w:rFonts w:ascii="Book Antiqua" w:hAnsi="Book Antiqua"/>
          <w:sz w:val="24"/>
          <w:szCs w:val="24"/>
        </w:rPr>
        <w:t>resorption</w:t>
      </w:r>
      <w:proofErr w:type="spellEnd"/>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42]</w:t>
      </w:r>
      <w:r w:rsidRPr="00AB6C30">
        <w:rPr>
          <w:rFonts w:ascii="Book Antiqua" w:hAnsi="Book Antiqua"/>
          <w:sz w:val="24"/>
          <w:szCs w:val="24"/>
        </w:rPr>
        <w:t xml:space="preserve">. Abnormal bone pathology and bone loss that occur after kidney transplantation </w:t>
      </w:r>
      <w:r w:rsidR="008A1289" w:rsidRPr="00AB6C30">
        <w:rPr>
          <w:rFonts w:ascii="Book Antiqua" w:hAnsi="Book Antiqua"/>
          <w:sz w:val="24"/>
          <w:szCs w:val="24"/>
        </w:rPr>
        <w:t>are</w:t>
      </w:r>
      <w:r w:rsidRPr="00AB6C30">
        <w:rPr>
          <w:rFonts w:ascii="Book Antiqua" w:hAnsi="Book Antiqua"/>
          <w:sz w:val="24"/>
          <w:szCs w:val="24"/>
        </w:rPr>
        <w:t xml:space="preserve"> largely due to the high cumulative dose of corticosteroid and persistent </w:t>
      </w:r>
      <w:proofErr w:type="gramStart"/>
      <w:r w:rsidRPr="00AB6C30">
        <w:rPr>
          <w:rFonts w:ascii="Book Antiqua" w:hAnsi="Book Antiqua"/>
          <w:sz w:val="24"/>
          <w:szCs w:val="24"/>
        </w:rPr>
        <w:t>hyperparathyroidism</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43]</w:t>
      </w:r>
      <w:r w:rsidRPr="00AB6C30">
        <w:rPr>
          <w:rFonts w:ascii="Book Antiqua" w:hAnsi="Book Antiqua"/>
          <w:sz w:val="24"/>
          <w:szCs w:val="24"/>
        </w:rPr>
        <w:t xml:space="preserve">. Corticosteroid can inhibit </w:t>
      </w:r>
      <w:proofErr w:type="spellStart"/>
      <w:r w:rsidRPr="00AB6C30">
        <w:rPr>
          <w:rFonts w:ascii="Book Antiqua" w:hAnsi="Book Antiqua"/>
          <w:sz w:val="24"/>
          <w:szCs w:val="24"/>
        </w:rPr>
        <w:t>osteoblastogenesis</w:t>
      </w:r>
      <w:proofErr w:type="spellEnd"/>
      <w:r w:rsidRPr="00AB6C30">
        <w:rPr>
          <w:rFonts w:ascii="Book Antiqua" w:hAnsi="Book Antiqua"/>
          <w:sz w:val="24"/>
          <w:szCs w:val="24"/>
        </w:rPr>
        <w:t xml:space="preserve">, suppress bone formation, promote osteoblast apoptosis, stimulate bone </w:t>
      </w:r>
      <w:proofErr w:type="spellStart"/>
      <w:r w:rsidRPr="00AB6C30">
        <w:rPr>
          <w:rFonts w:ascii="Book Antiqua" w:hAnsi="Book Antiqua"/>
          <w:sz w:val="24"/>
          <w:szCs w:val="24"/>
        </w:rPr>
        <w:t>resorption</w:t>
      </w:r>
      <w:proofErr w:type="spellEnd"/>
      <w:r w:rsidRPr="00AB6C30">
        <w:rPr>
          <w:rFonts w:ascii="Book Antiqua" w:hAnsi="Book Antiqua"/>
          <w:sz w:val="24"/>
          <w:szCs w:val="24"/>
        </w:rPr>
        <w:t xml:space="preserve"> and attenuate calcium absorption from the </w:t>
      </w:r>
      <w:proofErr w:type="gramStart"/>
      <w:r w:rsidRPr="00AB6C30">
        <w:rPr>
          <w:rFonts w:ascii="Book Antiqua" w:hAnsi="Book Antiqua"/>
          <w:sz w:val="24"/>
          <w:szCs w:val="24"/>
        </w:rPr>
        <w:t>intestine</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44]</w:t>
      </w:r>
      <w:r w:rsidRPr="00AB6C30">
        <w:rPr>
          <w:rFonts w:ascii="Book Antiqua" w:hAnsi="Book Antiqua"/>
          <w:sz w:val="24"/>
          <w:szCs w:val="24"/>
        </w:rPr>
        <w:t xml:space="preserve">. Persistent hyperparathyroidism is </w:t>
      </w:r>
      <w:r w:rsidR="008A1289" w:rsidRPr="00AB6C30">
        <w:rPr>
          <w:rFonts w:ascii="Book Antiqua" w:hAnsi="Book Antiqua"/>
          <w:sz w:val="24"/>
          <w:szCs w:val="24"/>
        </w:rPr>
        <w:t>an</w:t>
      </w:r>
      <w:r w:rsidRPr="00AB6C30">
        <w:rPr>
          <w:rFonts w:ascii="Book Antiqua" w:hAnsi="Book Antiqua"/>
          <w:sz w:val="24"/>
          <w:szCs w:val="24"/>
        </w:rPr>
        <w:t xml:space="preserve"> important factor for the increased bone </w:t>
      </w:r>
      <w:proofErr w:type="spellStart"/>
      <w:r w:rsidRPr="00AB6C30">
        <w:rPr>
          <w:rFonts w:ascii="Book Antiqua" w:hAnsi="Book Antiqua"/>
          <w:sz w:val="24"/>
          <w:szCs w:val="24"/>
        </w:rPr>
        <w:t>resorption</w:t>
      </w:r>
      <w:proofErr w:type="spellEnd"/>
      <w:r w:rsidRPr="00AB6C30">
        <w:rPr>
          <w:rFonts w:ascii="Book Antiqua" w:hAnsi="Book Antiqua"/>
          <w:sz w:val="24"/>
          <w:szCs w:val="24"/>
        </w:rPr>
        <w:t xml:space="preserve"> after kidney </w:t>
      </w:r>
      <w:proofErr w:type="gramStart"/>
      <w:r w:rsidRPr="00AB6C30">
        <w:rPr>
          <w:rFonts w:ascii="Book Antiqua" w:hAnsi="Book Antiqua"/>
          <w:sz w:val="24"/>
          <w:szCs w:val="24"/>
        </w:rPr>
        <w:t>transplantation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39]</w:t>
      </w:r>
      <w:r w:rsidRPr="00AB6C30">
        <w:rPr>
          <w:rFonts w:ascii="Book Antiqua" w:hAnsi="Book Antiqua"/>
          <w:sz w:val="24"/>
          <w:szCs w:val="24"/>
        </w:rPr>
        <w:t xml:space="preserve">. Despite the presence of hypophosphatemia in the early post-transplant period, only 5% of KT recipients display bone histologic finding consistent with </w:t>
      </w:r>
      <w:proofErr w:type="spellStart"/>
      <w:proofErr w:type="gramStart"/>
      <w:r w:rsidRPr="00AB6C30">
        <w:rPr>
          <w:rFonts w:ascii="Book Antiqua" w:hAnsi="Book Antiqua"/>
          <w:sz w:val="24"/>
          <w:szCs w:val="24"/>
        </w:rPr>
        <w:t>osteomalacia</w:t>
      </w:r>
      <w:proofErr w:type="spellEnd"/>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45]</w:t>
      </w:r>
      <w:r w:rsidRPr="00AB6C30">
        <w:rPr>
          <w:rFonts w:ascii="Book Antiqua" w:hAnsi="Book Antiqua"/>
          <w:sz w:val="24"/>
          <w:szCs w:val="24"/>
        </w:rPr>
        <w:t xml:space="preserve">. In addition to corticosteroid and hyperparathyroidism, factors other than age, gender and diabetes that may influence post-transplant bone loss include long dialysis vintage, previous transplantation and poor allograft </w:t>
      </w:r>
      <w:proofErr w:type="gramStart"/>
      <w:r w:rsidRPr="00AB6C30">
        <w:rPr>
          <w:rFonts w:ascii="Book Antiqua" w:hAnsi="Book Antiqua"/>
          <w:sz w:val="24"/>
          <w:szCs w:val="24"/>
        </w:rPr>
        <w:t>function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46]</w:t>
      </w:r>
      <w:r w:rsidR="008A1289" w:rsidRPr="00AB6C30">
        <w:rPr>
          <w:rFonts w:ascii="Book Antiqua" w:hAnsi="Book Antiqua"/>
          <w:sz w:val="24"/>
          <w:szCs w:val="24"/>
        </w:rPr>
        <w:t>. R</w:t>
      </w:r>
      <w:r w:rsidRPr="00AB6C30">
        <w:rPr>
          <w:rFonts w:ascii="Book Antiqua" w:hAnsi="Book Antiqua"/>
          <w:sz w:val="24"/>
          <w:szCs w:val="24"/>
        </w:rPr>
        <w:t xml:space="preserve">ecently published study also revealed the </w:t>
      </w:r>
      <w:r w:rsidR="008A1289" w:rsidRPr="00AB6C30">
        <w:rPr>
          <w:rFonts w:ascii="Book Antiqua" w:hAnsi="Book Antiqua"/>
          <w:sz w:val="24"/>
          <w:szCs w:val="24"/>
        </w:rPr>
        <w:t>relationship</w:t>
      </w:r>
      <w:r w:rsidRPr="00AB6C30">
        <w:rPr>
          <w:rFonts w:ascii="Book Antiqua" w:hAnsi="Book Antiqua"/>
          <w:sz w:val="24"/>
          <w:szCs w:val="24"/>
        </w:rPr>
        <w:t xml:space="preserve"> of HCV infection </w:t>
      </w:r>
      <w:r w:rsidR="008A1289" w:rsidRPr="00AB6C30">
        <w:rPr>
          <w:rFonts w:ascii="Book Antiqua" w:hAnsi="Book Antiqua"/>
          <w:sz w:val="24"/>
          <w:szCs w:val="24"/>
        </w:rPr>
        <w:t>and</w:t>
      </w:r>
      <w:r w:rsidRPr="00AB6C30">
        <w:rPr>
          <w:rFonts w:ascii="Book Antiqua" w:hAnsi="Book Antiqua"/>
          <w:sz w:val="24"/>
          <w:szCs w:val="24"/>
        </w:rPr>
        <w:t xml:space="preserve"> post-transplant </w:t>
      </w:r>
      <w:proofErr w:type="gramStart"/>
      <w:r w:rsidRPr="00AB6C30">
        <w:rPr>
          <w:rFonts w:ascii="Book Antiqua" w:hAnsi="Book Antiqua"/>
          <w:sz w:val="24"/>
          <w:szCs w:val="24"/>
        </w:rPr>
        <w:t>osteoporosis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47]</w:t>
      </w:r>
      <w:r w:rsidRPr="00AB6C30">
        <w:rPr>
          <w:rFonts w:ascii="Book Antiqua" w:hAnsi="Book Antiqua"/>
          <w:sz w:val="24"/>
          <w:szCs w:val="24"/>
        </w:rPr>
        <w:t xml:space="preserve">. As for fracture risk, the risk of hip fracture in KT recipients during the first 6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after transplantation is 34% higher than </w:t>
      </w:r>
      <w:r w:rsidR="008A1289" w:rsidRPr="00AB6C30">
        <w:rPr>
          <w:rFonts w:ascii="Book Antiqua" w:hAnsi="Book Antiqua"/>
          <w:sz w:val="24"/>
          <w:szCs w:val="24"/>
        </w:rPr>
        <w:t xml:space="preserve">that </w:t>
      </w:r>
      <w:r w:rsidRPr="00AB6C30">
        <w:rPr>
          <w:rFonts w:ascii="Book Antiqua" w:hAnsi="Book Antiqua"/>
          <w:sz w:val="24"/>
          <w:szCs w:val="24"/>
        </w:rPr>
        <w:t xml:space="preserve">in dialysis </w:t>
      </w:r>
      <w:proofErr w:type="gramStart"/>
      <w:r w:rsidRPr="00AB6C30">
        <w:rPr>
          <w:rFonts w:ascii="Book Antiqua" w:hAnsi="Book Antiqua"/>
          <w:sz w:val="24"/>
          <w:szCs w:val="24"/>
        </w:rPr>
        <w:t>patients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48]</w:t>
      </w:r>
      <w:r w:rsidRPr="00AB6C30">
        <w:rPr>
          <w:rFonts w:ascii="Book Antiqua" w:hAnsi="Book Antiqua"/>
          <w:sz w:val="24"/>
          <w:szCs w:val="24"/>
        </w:rPr>
        <w:t xml:space="preserve">. </w:t>
      </w:r>
      <w:r w:rsidR="00060FB9" w:rsidRPr="00AB6C30">
        <w:rPr>
          <w:rFonts w:ascii="Book Antiqua" w:hAnsi="Book Antiqua"/>
          <w:sz w:val="24"/>
          <w:szCs w:val="24"/>
        </w:rPr>
        <w:t xml:space="preserve">In long-term KT recipients, </w:t>
      </w:r>
      <w:r w:rsidRPr="00AB6C30">
        <w:rPr>
          <w:rFonts w:ascii="Book Antiqua" w:hAnsi="Book Antiqua"/>
          <w:sz w:val="24"/>
          <w:szCs w:val="24"/>
        </w:rPr>
        <w:t>fracture risk within 10 years of transplan</w:t>
      </w:r>
      <w:r w:rsidR="00C25914" w:rsidRPr="00AB6C30">
        <w:rPr>
          <w:rFonts w:ascii="Book Antiqua" w:hAnsi="Book Antiqua"/>
          <w:sz w:val="24"/>
          <w:szCs w:val="24"/>
        </w:rPr>
        <w:t>tation is 4 times higher than</w:t>
      </w:r>
      <w:r w:rsidRPr="00AB6C30">
        <w:rPr>
          <w:rFonts w:ascii="Book Antiqua" w:hAnsi="Book Antiqua"/>
          <w:sz w:val="24"/>
          <w:szCs w:val="24"/>
        </w:rPr>
        <w:t xml:space="preserve"> </w:t>
      </w:r>
      <w:r w:rsidR="00060FB9" w:rsidRPr="00AB6C30">
        <w:rPr>
          <w:rFonts w:ascii="Book Antiqua" w:hAnsi="Book Antiqua"/>
          <w:sz w:val="24"/>
          <w:szCs w:val="24"/>
        </w:rPr>
        <w:t xml:space="preserve">fracture risk in </w:t>
      </w:r>
      <w:r w:rsidRPr="00AB6C30">
        <w:rPr>
          <w:rFonts w:ascii="Book Antiqua" w:hAnsi="Book Antiqua"/>
          <w:sz w:val="24"/>
          <w:szCs w:val="24"/>
        </w:rPr>
        <w:t xml:space="preserve">general </w:t>
      </w:r>
      <w:proofErr w:type="gramStart"/>
      <w:r w:rsidRPr="00AB6C30">
        <w:rPr>
          <w:rFonts w:ascii="Book Antiqua" w:hAnsi="Book Antiqua"/>
          <w:sz w:val="24"/>
          <w:szCs w:val="24"/>
        </w:rPr>
        <w:t>population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49]</w:t>
      </w:r>
      <w:r w:rsidRPr="00AB6C30">
        <w:rPr>
          <w:rFonts w:ascii="Book Antiqua" w:hAnsi="Book Antiqua"/>
          <w:sz w:val="24"/>
          <w:szCs w:val="24"/>
        </w:rPr>
        <w:t xml:space="preserve">. After 10 years, </w:t>
      </w:r>
      <w:r w:rsidR="00060FB9" w:rsidRPr="00AB6C30">
        <w:rPr>
          <w:rFonts w:ascii="Book Antiqua" w:hAnsi="Book Antiqua"/>
          <w:sz w:val="24"/>
          <w:szCs w:val="24"/>
        </w:rPr>
        <w:t xml:space="preserve">the </w:t>
      </w:r>
      <w:r w:rsidR="00C25914" w:rsidRPr="00AB6C30">
        <w:rPr>
          <w:rFonts w:ascii="Book Antiqua" w:hAnsi="Book Antiqua"/>
          <w:sz w:val="24"/>
          <w:szCs w:val="24"/>
        </w:rPr>
        <w:t>risk</w:t>
      </w:r>
      <w:r w:rsidR="00060FB9" w:rsidRPr="00AB6C30">
        <w:rPr>
          <w:rFonts w:ascii="Book Antiqua" w:hAnsi="Book Antiqua"/>
          <w:sz w:val="24"/>
          <w:szCs w:val="24"/>
        </w:rPr>
        <w:t xml:space="preserve"> decreases</w:t>
      </w:r>
      <w:r w:rsidRPr="00AB6C30">
        <w:rPr>
          <w:rFonts w:ascii="Book Antiqua" w:hAnsi="Book Antiqua"/>
          <w:sz w:val="24"/>
          <w:szCs w:val="24"/>
        </w:rPr>
        <w:t xml:space="preserve"> to twice of</w:t>
      </w:r>
      <w:r w:rsidR="00C25914" w:rsidRPr="00AB6C30">
        <w:rPr>
          <w:rFonts w:ascii="Book Antiqua" w:hAnsi="Book Antiqua"/>
          <w:sz w:val="24"/>
          <w:szCs w:val="24"/>
        </w:rPr>
        <w:t xml:space="preserve"> that in</w:t>
      </w:r>
      <w:r w:rsidRPr="00AB6C30">
        <w:rPr>
          <w:rFonts w:ascii="Book Antiqua" w:hAnsi="Book Antiqua"/>
          <w:sz w:val="24"/>
          <w:szCs w:val="24"/>
        </w:rPr>
        <w:t xml:space="preserve"> general </w:t>
      </w:r>
      <w:proofErr w:type="gramStart"/>
      <w:r w:rsidRPr="00AB6C30">
        <w:rPr>
          <w:rFonts w:ascii="Book Antiqua" w:hAnsi="Book Antiqua"/>
          <w:sz w:val="24"/>
          <w:szCs w:val="24"/>
        </w:rPr>
        <w:t>population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50]</w:t>
      </w:r>
      <w:r w:rsidRPr="00AB6C30">
        <w:rPr>
          <w:rFonts w:ascii="Book Antiqua" w:hAnsi="Book Antiqua"/>
          <w:sz w:val="24"/>
          <w:szCs w:val="24"/>
        </w:rPr>
        <w:t>.</w:t>
      </w:r>
    </w:p>
    <w:p w:rsidR="005C4C19" w:rsidRPr="00AB6C30" w:rsidRDefault="005C4C19" w:rsidP="00493B84">
      <w:pPr>
        <w:spacing w:after="0" w:line="360" w:lineRule="auto"/>
        <w:jc w:val="both"/>
        <w:rPr>
          <w:rFonts w:ascii="Book Antiqua" w:hAnsi="Book Antiqua"/>
          <w:b/>
          <w:bCs/>
          <w:sz w:val="24"/>
          <w:szCs w:val="24"/>
          <w:lang w:eastAsia="zh-CN"/>
        </w:rPr>
      </w:pPr>
    </w:p>
    <w:p w:rsidR="00166161" w:rsidRPr="00AB6C30" w:rsidRDefault="00166161" w:rsidP="00493B84">
      <w:pPr>
        <w:spacing w:after="0" w:line="360" w:lineRule="auto"/>
        <w:jc w:val="both"/>
        <w:rPr>
          <w:rFonts w:ascii="Book Antiqua" w:hAnsi="Book Antiqua"/>
          <w:b/>
          <w:bCs/>
          <w:caps/>
          <w:sz w:val="24"/>
          <w:szCs w:val="24"/>
        </w:rPr>
      </w:pPr>
      <w:r w:rsidRPr="00AB6C30">
        <w:rPr>
          <w:rFonts w:ascii="Book Antiqua" w:hAnsi="Book Antiqua"/>
          <w:b/>
          <w:bCs/>
          <w:caps/>
          <w:sz w:val="24"/>
          <w:szCs w:val="24"/>
        </w:rPr>
        <w:t>Vascular calcification</w:t>
      </w: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sz w:val="24"/>
          <w:szCs w:val="24"/>
        </w:rPr>
        <w:lastRenderedPageBreak/>
        <w:t xml:space="preserve">Atherosclerosis and vascular calcification are common among patients with CKD due to </w:t>
      </w:r>
      <w:r w:rsidR="00C25914" w:rsidRPr="00AB6C30">
        <w:rPr>
          <w:rFonts w:ascii="Book Antiqua" w:hAnsi="Book Antiqua"/>
          <w:sz w:val="24"/>
          <w:szCs w:val="24"/>
        </w:rPr>
        <w:t xml:space="preserve">the </w:t>
      </w:r>
      <w:r w:rsidRPr="00AB6C30">
        <w:rPr>
          <w:rFonts w:ascii="Book Antiqua" w:hAnsi="Book Antiqua"/>
          <w:sz w:val="24"/>
          <w:szCs w:val="24"/>
        </w:rPr>
        <w:t>high prevalence of cardiovascular risk factors including aging, smoking, diabetes, hypertension and dyslipidemia. Comparing to general population of the same age, the severity of atherosclerosis and vascular calcification in CKD</w:t>
      </w:r>
      <w:r w:rsidR="00C25914" w:rsidRPr="00AB6C30">
        <w:rPr>
          <w:rFonts w:ascii="Book Antiqua" w:hAnsi="Book Antiqua"/>
          <w:sz w:val="24"/>
          <w:szCs w:val="24"/>
        </w:rPr>
        <w:t xml:space="preserve"> patients is intensified by the </w:t>
      </w:r>
      <w:r w:rsidRPr="00AB6C30">
        <w:rPr>
          <w:rFonts w:ascii="Book Antiqua" w:hAnsi="Book Antiqua"/>
          <w:sz w:val="24"/>
          <w:szCs w:val="24"/>
        </w:rPr>
        <w:t xml:space="preserve">prolonged exposure to phosphate retention, </w:t>
      </w:r>
      <w:r w:rsidR="00C25914" w:rsidRPr="00AB6C30">
        <w:rPr>
          <w:rFonts w:ascii="Book Antiqua" w:hAnsi="Book Antiqua"/>
          <w:sz w:val="24"/>
          <w:szCs w:val="24"/>
        </w:rPr>
        <w:t xml:space="preserve">the </w:t>
      </w:r>
      <w:r w:rsidRPr="00AB6C30">
        <w:rPr>
          <w:rFonts w:ascii="Book Antiqua" w:hAnsi="Book Antiqua"/>
          <w:sz w:val="24"/>
          <w:szCs w:val="24"/>
        </w:rPr>
        <w:t xml:space="preserve">increased calcium load from calcium-based phosphate binder and </w:t>
      </w:r>
      <w:r w:rsidR="00C25914" w:rsidRPr="00AB6C30">
        <w:rPr>
          <w:rFonts w:ascii="Book Antiqua" w:hAnsi="Book Antiqua"/>
          <w:sz w:val="24"/>
          <w:szCs w:val="24"/>
        </w:rPr>
        <w:t xml:space="preserve">high </w:t>
      </w:r>
      <w:r w:rsidRPr="00AB6C30">
        <w:rPr>
          <w:rFonts w:ascii="Book Antiqua" w:hAnsi="Book Antiqua"/>
          <w:sz w:val="24"/>
          <w:szCs w:val="24"/>
        </w:rPr>
        <w:t xml:space="preserve">dialysate </w:t>
      </w:r>
      <w:r w:rsidR="00C25914" w:rsidRPr="00AB6C30">
        <w:rPr>
          <w:rFonts w:ascii="Book Antiqua" w:hAnsi="Book Antiqua"/>
          <w:sz w:val="24"/>
          <w:szCs w:val="24"/>
        </w:rPr>
        <w:t xml:space="preserve">calcium and the presence of </w:t>
      </w:r>
      <w:r w:rsidRPr="00AB6C30">
        <w:rPr>
          <w:rFonts w:ascii="Book Antiqua" w:hAnsi="Book Antiqua"/>
          <w:sz w:val="24"/>
          <w:szCs w:val="24"/>
        </w:rPr>
        <w:t xml:space="preserve">uremia and </w:t>
      </w:r>
      <w:proofErr w:type="gramStart"/>
      <w:r w:rsidRPr="00AB6C30">
        <w:rPr>
          <w:rFonts w:ascii="Book Antiqua" w:hAnsi="Book Antiqua"/>
          <w:sz w:val="24"/>
          <w:szCs w:val="24"/>
        </w:rPr>
        <w:t>inflammation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51</w:t>
      </w:r>
      <w:r w:rsidR="003654A0"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52]</w:t>
      </w:r>
      <w:r w:rsidRPr="00AB6C30">
        <w:rPr>
          <w:rFonts w:ascii="Book Antiqua" w:hAnsi="Book Antiqua"/>
          <w:sz w:val="24"/>
          <w:szCs w:val="24"/>
        </w:rPr>
        <w:t>. Prevalence of coronary artery calcification (CAC) in dialysis patients ranges between 80</w:t>
      </w:r>
      <w:r w:rsidR="00563F21" w:rsidRPr="00AB6C30">
        <w:rPr>
          <w:rFonts w:ascii="Book Antiqua" w:hAnsi="Book Antiqua"/>
          <w:sz w:val="24"/>
          <w:szCs w:val="24"/>
          <w:lang w:eastAsia="zh-CN"/>
        </w:rPr>
        <w:t>%</w:t>
      </w:r>
      <w:r w:rsidRPr="00AB6C30">
        <w:rPr>
          <w:rFonts w:ascii="Book Antiqua" w:hAnsi="Book Antiqua"/>
          <w:sz w:val="24"/>
          <w:szCs w:val="24"/>
        </w:rPr>
        <w:t>-90%</w:t>
      </w:r>
      <w:r w:rsidRPr="00AB6C30">
        <w:rPr>
          <w:rFonts w:ascii="Book Antiqua" w:hAnsi="Book Antiqua"/>
          <w:noProof/>
          <w:sz w:val="24"/>
          <w:szCs w:val="24"/>
          <w:vertAlign w:val="superscript"/>
        </w:rPr>
        <w:t>[53</w:t>
      </w:r>
      <w:r w:rsidR="003654A0"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54]</w:t>
      </w:r>
      <w:r w:rsidRPr="00AB6C30">
        <w:rPr>
          <w:rFonts w:ascii="Book Antiqua" w:hAnsi="Book Antiqua"/>
          <w:sz w:val="24"/>
          <w:szCs w:val="24"/>
        </w:rPr>
        <w:t>. In the study that evaluated vascular calcification at the time of transplantation found the presence of CAC in 65%</w:t>
      </w:r>
      <w:r w:rsidRPr="00AB6C30">
        <w:rPr>
          <w:rFonts w:ascii="Book Antiqua" w:hAnsi="Book Antiqua"/>
          <w:noProof/>
          <w:sz w:val="24"/>
          <w:szCs w:val="24"/>
          <w:vertAlign w:val="superscript"/>
        </w:rPr>
        <w:t>[55]</w:t>
      </w:r>
      <w:r w:rsidRPr="00AB6C30">
        <w:rPr>
          <w:rFonts w:ascii="Book Antiqua" w:hAnsi="Book Antiqua"/>
          <w:sz w:val="24"/>
          <w:szCs w:val="24"/>
        </w:rPr>
        <w:t xml:space="preserve">. Pathogenesis of vascular calcification involves an active cellular process of vascular smooth muscle cell transformation into osteoblast-like cells. This programmed cellular transformation can be induced by high calcium and high phosphate environment and made worse by the reduction of calcification inhibitors that occurs in uremic </w:t>
      </w:r>
      <w:proofErr w:type="gramStart"/>
      <w:r w:rsidRPr="00AB6C30">
        <w:rPr>
          <w:rFonts w:ascii="Book Antiqua" w:hAnsi="Book Antiqua"/>
          <w:sz w:val="24"/>
          <w:szCs w:val="24"/>
        </w:rPr>
        <w:t>environment</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56]</w:t>
      </w:r>
      <w:r w:rsidRPr="00AB6C30">
        <w:rPr>
          <w:rFonts w:ascii="Book Antiqua" w:hAnsi="Book Antiqua"/>
          <w:sz w:val="24"/>
          <w:szCs w:val="24"/>
        </w:rPr>
        <w:t>. Kidney transplantation offers a mean to improve both kidney function and abnormal mineral metabolism at the same time. Following KT recipients with a good allograft function for 1</w:t>
      </w:r>
      <w:r w:rsidR="001D5CF1">
        <w:rPr>
          <w:rFonts w:ascii="Book Antiqua" w:hAnsi="Book Antiqua"/>
          <w:sz w:val="24"/>
          <w:szCs w:val="24"/>
          <w:lang w:eastAsia="zh-CN"/>
        </w:rPr>
        <w:t>-</w:t>
      </w:r>
      <w:r w:rsidRPr="00AB6C30">
        <w:rPr>
          <w:rFonts w:ascii="Book Antiqua" w:hAnsi="Book Antiqua"/>
          <w:sz w:val="24"/>
          <w:szCs w:val="24"/>
        </w:rPr>
        <w:t xml:space="preserve">2 years after transplantation revealed </w:t>
      </w:r>
      <w:r w:rsidR="00C25914" w:rsidRPr="00AB6C30">
        <w:rPr>
          <w:rFonts w:ascii="Book Antiqua" w:hAnsi="Book Antiqua"/>
          <w:sz w:val="24"/>
          <w:szCs w:val="24"/>
        </w:rPr>
        <w:t xml:space="preserve">a </w:t>
      </w:r>
      <w:r w:rsidRPr="00AB6C30">
        <w:rPr>
          <w:rFonts w:ascii="Book Antiqua" w:hAnsi="Book Antiqua"/>
          <w:sz w:val="24"/>
          <w:szCs w:val="24"/>
        </w:rPr>
        <w:t xml:space="preserve">stabilization of vascular calcification in most </w:t>
      </w:r>
      <w:proofErr w:type="gramStart"/>
      <w:r w:rsidRPr="00AB6C30">
        <w:rPr>
          <w:rFonts w:ascii="Book Antiqua" w:hAnsi="Book Antiqua"/>
          <w:sz w:val="24"/>
          <w:szCs w:val="24"/>
        </w:rPr>
        <w:t>patients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57]</w:t>
      </w:r>
      <w:r w:rsidRPr="00AB6C30">
        <w:rPr>
          <w:rFonts w:ascii="Book Antiqua" w:hAnsi="Book Antiqua"/>
          <w:sz w:val="24"/>
          <w:szCs w:val="24"/>
        </w:rPr>
        <w:t xml:space="preserve">. However, with longer follow-up period up to 4 years, </w:t>
      </w:r>
      <w:r w:rsidR="003654A0" w:rsidRPr="00AB6C30">
        <w:rPr>
          <w:rFonts w:ascii="Book Antiqua" w:hAnsi="Book Antiqua"/>
          <w:sz w:val="24"/>
          <w:szCs w:val="24"/>
        </w:rPr>
        <w:t xml:space="preserve">the </w:t>
      </w:r>
      <w:r w:rsidRPr="00AB6C30">
        <w:rPr>
          <w:rFonts w:ascii="Book Antiqua" w:hAnsi="Book Antiqua"/>
          <w:sz w:val="24"/>
          <w:szCs w:val="24"/>
        </w:rPr>
        <w:t xml:space="preserve">overall progression was </w:t>
      </w:r>
      <w:proofErr w:type="gramStart"/>
      <w:r w:rsidRPr="00AB6C30">
        <w:rPr>
          <w:rFonts w:ascii="Book Antiqua" w:hAnsi="Book Antiqua"/>
          <w:sz w:val="24"/>
          <w:szCs w:val="24"/>
        </w:rPr>
        <w:t>observed</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58</w:t>
      </w:r>
      <w:r w:rsidR="003654A0"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59]</w:t>
      </w:r>
      <w:r w:rsidRPr="00AB6C30">
        <w:rPr>
          <w:rFonts w:ascii="Book Antiqua" w:hAnsi="Book Antiqua"/>
          <w:sz w:val="24"/>
          <w:szCs w:val="24"/>
        </w:rPr>
        <w:t>. When compared vascular calcification in patients who remained on dialysis to KT recipients, the degree of vascular calcification was more pronounced in KT recipients especially among those who had been on dialysis for longer than 2 years (Figure 2</w:t>
      </w:r>
      <w:r w:rsidR="00563F21" w:rsidRPr="00AB6C30">
        <w:rPr>
          <w:rFonts w:ascii="Book Antiqua" w:hAnsi="Book Antiqua"/>
          <w:sz w:val="24"/>
          <w:szCs w:val="24"/>
        </w:rPr>
        <w:t>A</w:t>
      </w:r>
      <w:r w:rsidRPr="00AB6C30">
        <w:rPr>
          <w:rFonts w:ascii="Book Antiqua" w:hAnsi="Book Antiqua"/>
          <w:sz w:val="24"/>
          <w:szCs w:val="24"/>
        </w:rPr>
        <w:t>). With increasing length of time after transplantation, worsening of vascular calcification was also observed (Figure 2</w:t>
      </w:r>
      <w:r w:rsidR="00563F21" w:rsidRPr="00AB6C30">
        <w:rPr>
          <w:rFonts w:ascii="Book Antiqua" w:hAnsi="Book Antiqua"/>
          <w:sz w:val="24"/>
          <w:szCs w:val="24"/>
        </w:rPr>
        <w:t>B</w:t>
      </w:r>
      <w:r w:rsidRPr="00AB6C30">
        <w:rPr>
          <w:rFonts w:ascii="Book Antiqua" w:hAnsi="Book Antiqua"/>
          <w:sz w:val="24"/>
          <w:szCs w:val="24"/>
        </w:rPr>
        <w:t>)</w:t>
      </w:r>
      <w:r w:rsidRPr="00AB6C30">
        <w:rPr>
          <w:rFonts w:ascii="Book Antiqua" w:hAnsi="Book Antiqua"/>
          <w:noProof/>
          <w:sz w:val="24"/>
          <w:szCs w:val="24"/>
          <w:vertAlign w:val="superscript"/>
        </w:rPr>
        <w:t>[60]</w:t>
      </w:r>
      <w:r w:rsidRPr="00AB6C30">
        <w:rPr>
          <w:rFonts w:ascii="Book Antiqua" w:hAnsi="Book Antiqua"/>
          <w:sz w:val="24"/>
          <w:szCs w:val="24"/>
        </w:rPr>
        <w:t xml:space="preserve">. A review of 13 studies on vascular calcification in KT recipients found that CAC continued to progress at a slow rate after transplantation. There was a strong association between baseline CAC score and CAC progression. A significant improvement in hyperparathyroidism after transplantation </w:t>
      </w:r>
      <w:r w:rsidR="00C25914" w:rsidRPr="00AB6C30">
        <w:rPr>
          <w:rFonts w:ascii="Book Antiqua" w:hAnsi="Book Antiqua"/>
          <w:sz w:val="24"/>
          <w:szCs w:val="24"/>
        </w:rPr>
        <w:t>retarded</w:t>
      </w:r>
      <w:r w:rsidRPr="00AB6C30">
        <w:rPr>
          <w:rFonts w:ascii="Book Antiqua" w:hAnsi="Book Antiqua"/>
          <w:sz w:val="24"/>
          <w:szCs w:val="24"/>
        </w:rPr>
        <w:t xml:space="preserve"> the progression of CAC and low 25-OH-D level was an independent determinant of CAC </w:t>
      </w:r>
      <w:proofErr w:type="gramStart"/>
      <w:r w:rsidRPr="00AB6C30">
        <w:rPr>
          <w:rFonts w:ascii="Book Antiqua" w:hAnsi="Book Antiqua"/>
          <w:sz w:val="24"/>
          <w:szCs w:val="24"/>
        </w:rPr>
        <w:t>progression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61]</w:t>
      </w:r>
      <w:r w:rsidRPr="00AB6C30">
        <w:rPr>
          <w:rFonts w:ascii="Book Antiqua" w:hAnsi="Book Antiqua"/>
          <w:sz w:val="24"/>
          <w:szCs w:val="24"/>
        </w:rPr>
        <w:t>. Since abnormal mineral metabolism is largely restored by kidney transplantation, these data suggest that cellular changes within the vascular wall are likely</w:t>
      </w:r>
      <w:r w:rsidR="00C25914" w:rsidRPr="00AB6C30">
        <w:rPr>
          <w:rFonts w:ascii="Book Antiqua" w:hAnsi="Book Antiqua"/>
          <w:sz w:val="24"/>
          <w:szCs w:val="24"/>
        </w:rPr>
        <w:t xml:space="preserve"> to be</w:t>
      </w:r>
      <w:r w:rsidRPr="00AB6C30">
        <w:rPr>
          <w:rFonts w:ascii="Book Antiqua" w:hAnsi="Book Antiqua"/>
          <w:sz w:val="24"/>
          <w:szCs w:val="24"/>
        </w:rPr>
        <w:t xml:space="preserve"> irreversible. Moreover, the continued exposure to traditional risk factors such as </w:t>
      </w:r>
      <w:r w:rsidRPr="00AB6C30">
        <w:rPr>
          <w:rFonts w:ascii="Book Antiqua" w:hAnsi="Book Antiqua"/>
          <w:sz w:val="24"/>
          <w:szCs w:val="24"/>
        </w:rPr>
        <w:lastRenderedPageBreak/>
        <w:t>diabetes, hypertension and dyslipidemia as well as corticosteroid may also encourage the progression.</w:t>
      </w:r>
    </w:p>
    <w:p w:rsidR="00563F21" w:rsidRPr="00AB6C30" w:rsidRDefault="00563F21"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b/>
          <w:bCs/>
          <w:caps/>
          <w:sz w:val="24"/>
          <w:szCs w:val="24"/>
        </w:rPr>
      </w:pPr>
      <w:r w:rsidRPr="00AB6C30">
        <w:rPr>
          <w:rFonts w:ascii="Book Antiqua" w:hAnsi="Book Antiqua"/>
          <w:b/>
          <w:bCs/>
          <w:caps/>
          <w:sz w:val="24"/>
          <w:szCs w:val="24"/>
        </w:rPr>
        <w:t>outcomes</w:t>
      </w: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sz w:val="24"/>
          <w:szCs w:val="24"/>
        </w:rPr>
        <w:t xml:space="preserve">Similar to CKD population, increased FGF-23 levels in KT recipients predict cardiovascular mortality, all-cause mortality and the composite outcome of allograft loss and </w:t>
      </w:r>
      <w:proofErr w:type="gramStart"/>
      <w:r w:rsidRPr="00AB6C30">
        <w:rPr>
          <w:rFonts w:ascii="Book Antiqua" w:hAnsi="Book Antiqua"/>
          <w:sz w:val="24"/>
          <w:szCs w:val="24"/>
        </w:rPr>
        <w:t>death</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62,63]</w:t>
      </w:r>
      <w:r w:rsidRPr="00AB6C30">
        <w:rPr>
          <w:rFonts w:ascii="Book Antiqua" w:hAnsi="Book Antiqua"/>
          <w:sz w:val="24"/>
          <w:szCs w:val="24"/>
        </w:rPr>
        <w:t>. Serum phosphate greater than 3.5 mg/</w:t>
      </w:r>
      <w:proofErr w:type="spellStart"/>
      <w:r w:rsidRPr="00AB6C30">
        <w:rPr>
          <w:rFonts w:ascii="Book Antiqua" w:hAnsi="Book Antiqua"/>
          <w:sz w:val="24"/>
          <w:szCs w:val="24"/>
        </w:rPr>
        <w:t>dL</w:t>
      </w:r>
      <w:proofErr w:type="spellEnd"/>
      <w:r w:rsidRPr="00AB6C30">
        <w:rPr>
          <w:rFonts w:ascii="Book Antiqua" w:hAnsi="Book Antiqua"/>
          <w:sz w:val="24"/>
          <w:szCs w:val="24"/>
        </w:rPr>
        <w:t xml:space="preserve"> is a predictor of all-cause mortality</w:t>
      </w:r>
      <w:r w:rsidR="00C25914" w:rsidRPr="00AB6C30">
        <w:rPr>
          <w:rFonts w:ascii="Book Antiqua" w:hAnsi="Book Antiqua"/>
          <w:sz w:val="24"/>
          <w:szCs w:val="24"/>
        </w:rPr>
        <w:t xml:space="preserve"> after 4 years of follow-up</w:t>
      </w:r>
      <w:r w:rsidRPr="00AB6C30">
        <w:rPr>
          <w:rFonts w:ascii="Book Antiqua" w:hAnsi="Book Antiqua"/>
          <w:sz w:val="24"/>
          <w:szCs w:val="24"/>
        </w:rPr>
        <w:t xml:space="preserve"> independent of allograft </w:t>
      </w:r>
      <w:proofErr w:type="gramStart"/>
      <w:r w:rsidRPr="00AB6C30">
        <w:rPr>
          <w:rFonts w:ascii="Book Antiqua" w:hAnsi="Book Antiqua"/>
          <w:sz w:val="24"/>
          <w:szCs w:val="24"/>
        </w:rPr>
        <w:t>function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64]</w:t>
      </w:r>
      <w:r w:rsidRPr="00AB6C30">
        <w:rPr>
          <w:rFonts w:ascii="Book Antiqua" w:hAnsi="Book Antiqua"/>
          <w:sz w:val="24"/>
          <w:szCs w:val="24"/>
        </w:rPr>
        <w:t>. PTH level h</w:t>
      </w:r>
      <w:r w:rsidR="00AB6C30" w:rsidRPr="00AB6C30">
        <w:rPr>
          <w:rFonts w:ascii="Book Antiqua" w:hAnsi="Book Antiqua"/>
          <w:sz w:val="24"/>
          <w:szCs w:val="24"/>
        </w:rPr>
        <w:t xml:space="preserve">igher than 135 </w:t>
      </w:r>
      <w:proofErr w:type="spellStart"/>
      <w:r w:rsidR="00AB6C30" w:rsidRPr="00AB6C30">
        <w:rPr>
          <w:rFonts w:ascii="Book Antiqua" w:hAnsi="Book Antiqua"/>
          <w:sz w:val="24"/>
          <w:szCs w:val="24"/>
        </w:rPr>
        <w:t>pg</w:t>
      </w:r>
      <w:proofErr w:type="spellEnd"/>
      <w:r w:rsidR="00AB6C30" w:rsidRPr="00AB6C30">
        <w:rPr>
          <w:rFonts w:ascii="Book Antiqua" w:hAnsi="Book Antiqua"/>
          <w:sz w:val="24"/>
          <w:szCs w:val="24"/>
        </w:rPr>
        <w:t xml:space="preserve">/mL at 10 </w:t>
      </w:r>
      <w:proofErr w:type="spellStart"/>
      <w:r w:rsidR="00AB6C30" w:rsidRPr="00AB6C30">
        <w:rPr>
          <w:rFonts w:ascii="Book Antiqua" w:hAnsi="Book Antiqua"/>
          <w:sz w:val="24"/>
          <w:szCs w:val="24"/>
        </w:rPr>
        <w:t>wk</w:t>
      </w:r>
      <w:proofErr w:type="spellEnd"/>
      <w:r w:rsidRPr="00AB6C30">
        <w:rPr>
          <w:rFonts w:ascii="Book Antiqua" w:hAnsi="Book Antiqua"/>
          <w:sz w:val="24"/>
          <w:szCs w:val="24"/>
        </w:rPr>
        <w:t xml:space="preserve"> after transplantation has been shown to predict the composite endpoint of cardiovascular events, graft loss and all-cause </w:t>
      </w:r>
      <w:proofErr w:type="gramStart"/>
      <w:r w:rsidRPr="00AB6C30">
        <w:rPr>
          <w:rFonts w:ascii="Book Antiqua" w:hAnsi="Book Antiqua"/>
          <w:sz w:val="24"/>
          <w:szCs w:val="24"/>
        </w:rPr>
        <w:t>mortality</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65]</w:t>
      </w:r>
      <w:r w:rsidRPr="00AB6C30">
        <w:rPr>
          <w:rFonts w:ascii="Book Antiqua" w:hAnsi="Book Antiqua"/>
          <w:sz w:val="24"/>
          <w:szCs w:val="24"/>
        </w:rPr>
        <w:t xml:space="preserve">. PTH levels greater than 130 </w:t>
      </w:r>
      <w:proofErr w:type="spellStart"/>
      <w:r w:rsidRPr="00AB6C30">
        <w:rPr>
          <w:rFonts w:ascii="Book Antiqua" w:hAnsi="Book Antiqua"/>
          <w:sz w:val="24"/>
          <w:szCs w:val="24"/>
        </w:rPr>
        <w:t>pg</w:t>
      </w:r>
      <w:proofErr w:type="spellEnd"/>
      <w:r w:rsidRPr="00AB6C30">
        <w:rPr>
          <w:rFonts w:ascii="Book Antiqua" w:hAnsi="Book Antiqua"/>
          <w:sz w:val="24"/>
          <w:szCs w:val="24"/>
        </w:rPr>
        <w:t xml:space="preserve">/mL at 3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after transplantation is an independent predictor of fracture after 5 years of follow-</w:t>
      </w:r>
      <w:proofErr w:type="gramStart"/>
      <w:r w:rsidRPr="00AB6C30">
        <w:rPr>
          <w:rFonts w:ascii="Book Antiqua" w:hAnsi="Book Antiqua"/>
          <w:sz w:val="24"/>
          <w:szCs w:val="24"/>
        </w:rPr>
        <w:t>up</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66]</w:t>
      </w:r>
      <w:r w:rsidRPr="00AB6C30">
        <w:rPr>
          <w:rFonts w:ascii="Book Antiqua" w:hAnsi="Book Antiqua"/>
          <w:sz w:val="24"/>
          <w:szCs w:val="24"/>
        </w:rPr>
        <w:t xml:space="preserve">. In a retrospective review, high serum calcium with low serum phosphate in KT recipients was associated with </w:t>
      </w:r>
      <w:r w:rsidR="00B03800" w:rsidRPr="00AB6C30">
        <w:rPr>
          <w:rFonts w:ascii="Book Antiqua" w:hAnsi="Book Antiqua"/>
          <w:sz w:val="24"/>
          <w:szCs w:val="24"/>
        </w:rPr>
        <w:t>a</w:t>
      </w:r>
      <w:r w:rsidRPr="00AB6C30">
        <w:rPr>
          <w:rFonts w:ascii="Book Antiqua" w:hAnsi="Book Antiqua"/>
          <w:sz w:val="24"/>
          <w:szCs w:val="24"/>
        </w:rPr>
        <w:t xml:space="preserve"> decline in graft function during the first </w:t>
      </w:r>
      <w:proofErr w:type="gramStart"/>
      <w:r w:rsidRPr="00AB6C30">
        <w:rPr>
          <w:rFonts w:ascii="Book Antiqua" w:hAnsi="Book Antiqua"/>
          <w:sz w:val="24"/>
          <w:szCs w:val="24"/>
        </w:rPr>
        <w:t>year</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67]</w:t>
      </w:r>
      <w:r w:rsidRPr="00AB6C30">
        <w:rPr>
          <w:rFonts w:ascii="Book Antiqua" w:hAnsi="Book Antiqua"/>
          <w:sz w:val="24"/>
          <w:szCs w:val="24"/>
        </w:rPr>
        <w:t xml:space="preserve">. Low 25-OH-D level can predict all-cause mortality but not cardiovascular mortality in long-term KT recipients. This observation suggests that conditions other than cardiovascular disease, such as malignancy, may be the cause of an increased </w:t>
      </w:r>
      <w:proofErr w:type="gramStart"/>
      <w:r w:rsidRPr="00AB6C30">
        <w:rPr>
          <w:rFonts w:ascii="Book Antiqua" w:hAnsi="Book Antiqua"/>
          <w:sz w:val="24"/>
          <w:szCs w:val="24"/>
        </w:rPr>
        <w:t>mortality</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21</w:t>
      </w:r>
      <w:r w:rsidR="00B03800"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68]</w:t>
      </w:r>
      <w:r w:rsidRPr="00AB6C30">
        <w:rPr>
          <w:rFonts w:ascii="Book Antiqua" w:hAnsi="Book Antiqua"/>
          <w:sz w:val="24"/>
          <w:szCs w:val="24"/>
        </w:rPr>
        <w:t xml:space="preserve">. Low 25-hydroxyvitamin D concentration measured 3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after transplantation is also an independent risk factor for interstitial fibrosis progression and is associated with a lower GFR 1 year after </w:t>
      </w:r>
      <w:proofErr w:type="gramStart"/>
      <w:r w:rsidRPr="00AB6C30">
        <w:rPr>
          <w:rFonts w:ascii="Book Antiqua" w:hAnsi="Book Antiqua"/>
          <w:sz w:val="24"/>
          <w:szCs w:val="24"/>
        </w:rPr>
        <w:t>transplantation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69]</w:t>
      </w:r>
      <w:r w:rsidRPr="00AB6C30">
        <w:rPr>
          <w:rFonts w:ascii="Book Antiqua" w:hAnsi="Book Antiqua"/>
          <w:sz w:val="24"/>
          <w:szCs w:val="24"/>
        </w:rPr>
        <w:t xml:space="preserve">. The presence of CAC score greater than 100 and the progression of CAC in KT recipients are strongly predictive of cardiovascular events and </w:t>
      </w:r>
      <w:proofErr w:type="gramStart"/>
      <w:r w:rsidRPr="00AB6C30">
        <w:rPr>
          <w:rFonts w:ascii="Book Antiqua" w:hAnsi="Book Antiqua"/>
          <w:sz w:val="24"/>
          <w:szCs w:val="24"/>
        </w:rPr>
        <w:t>mortality</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61</w:t>
      </w:r>
      <w:r w:rsidR="00B03800"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70]</w:t>
      </w:r>
      <w:r w:rsidRPr="00AB6C30">
        <w:rPr>
          <w:rFonts w:ascii="Book Antiqua" w:hAnsi="Book Antiqua"/>
          <w:sz w:val="24"/>
          <w:szCs w:val="24"/>
        </w:rPr>
        <w:t>.</w:t>
      </w:r>
    </w:p>
    <w:p w:rsidR="00563F21" w:rsidRPr="00AB6C30" w:rsidRDefault="00563F21"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b/>
          <w:bCs/>
          <w:caps/>
          <w:sz w:val="24"/>
          <w:szCs w:val="24"/>
        </w:rPr>
      </w:pPr>
      <w:r w:rsidRPr="00AB6C30">
        <w:rPr>
          <w:rFonts w:ascii="Book Antiqua" w:hAnsi="Book Antiqua"/>
          <w:b/>
          <w:bCs/>
          <w:caps/>
          <w:sz w:val="24"/>
          <w:szCs w:val="24"/>
        </w:rPr>
        <w:t>Management</w:t>
      </w:r>
    </w:p>
    <w:p w:rsidR="00166161" w:rsidRPr="00AB6C30" w:rsidRDefault="00166161" w:rsidP="00493B84">
      <w:pPr>
        <w:spacing w:after="0" w:line="360" w:lineRule="auto"/>
        <w:jc w:val="both"/>
        <w:rPr>
          <w:rFonts w:ascii="Book Antiqua" w:hAnsi="Book Antiqua"/>
          <w:b/>
          <w:i/>
          <w:iCs/>
          <w:sz w:val="24"/>
          <w:szCs w:val="24"/>
        </w:rPr>
      </w:pPr>
      <w:r w:rsidRPr="00AB6C30">
        <w:rPr>
          <w:rFonts w:ascii="Book Antiqua" w:hAnsi="Book Antiqua"/>
          <w:b/>
          <w:i/>
          <w:iCs/>
          <w:sz w:val="24"/>
          <w:szCs w:val="24"/>
        </w:rPr>
        <w:t>Screening and diagnosis</w:t>
      </w: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sz w:val="24"/>
          <w:szCs w:val="24"/>
        </w:rPr>
        <w:t xml:space="preserve">Kidney Disease Improving Global Outcomes (KDIGO) recommends following serum calcium and phosphate at least once a week during the first 2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after transplantation or until the concentrations stabilize. Thereafter, the frequency of monitoring depends on the level of allograft function. In KT recipients with </w:t>
      </w:r>
      <w:proofErr w:type="spellStart"/>
      <w:r w:rsidRPr="00AB6C30">
        <w:rPr>
          <w:rFonts w:ascii="Book Antiqua" w:hAnsi="Book Antiqua"/>
          <w:sz w:val="24"/>
          <w:szCs w:val="24"/>
        </w:rPr>
        <w:t>eGFR</w:t>
      </w:r>
      <w:proofErr w:type="spellEnd"/>
      <w:r w:rsidRPr="00AB6C30">
        <w:rPr>
          <w:rFonts w:ascii="Book Antiqua" w:hAnsi="Book Antiqua"/>
          <w:sz w:val="24"/>
          <w:szCs w:val="24"/>
        </w:rPr>
        <w:t xml:space="preserve"> </w:t>
      </w:r>
      <w:r w:rsidR="00C26ED5" w:rsidRPr="00AB6C30">
        <w:rPr>
          <w:rFonts w:ascii="Book Antiqua" w:eastAsia="Arial Unicode MS" w:hAnsi="Book Antiqua" w:cs="Arial Unicode MS"/>
          <w:sz w:val="24"/>
          <w:szCs w:val="24"/>
        </w:rPr>
        <w:t>≥</w:t>
      </w:r>
      <w:r w:rsidRPr="00AB6C30">
        <w:rPr>
          <w:rFonts w:ascii="Book Antiqua" w:hAnsi="Book Antiqua"/>
          <w:sz w:val="24"/>
          <w:szCs w:val="24"/>
        </w:rPr>
        <w:t xml:space="preserve"> 30 mL/min (stage 3T), serum calcium and phosphate should be followed every 6-12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and PTH should be followed yearly. Once </w:t>
      </w:r>
      <w:proofErr w:type="spellStart"/>
      <w:r w:rsidRPr="00AB6C30">
        <w:rPr>
          <w:rFonts w:ascii="Book Antiqua" w:hAnsi="Book Antiqua"/>
          <w:sz w:val="24"/>
          <w:szCs w:val="24"/>
        </w:rPr>
        <w:t>eGFR</w:t>
      </w:r>
      <w:proofErr w:type="spellEnd"/>
      <w:r w:rsidRPr="00AB6C30">
        <w:rPr>
          <w:rFonts w:ascii="Book Antiqua" w:hAnsi="Book Antiqua"/>
          <w:sz w:val="24"/>
          <w:szCs w:val="24"/>
        </w:rPr>
        <w:t xml:space="preserve"> decreases to 15-29 mL/min (stage 4T), serum calcium and phosphate should be followed every 3-6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and PTH </w:t>
      </w:r>
      <w:r w:rsidRPr="00AB6C30">
        <w:rPr>
          <w:rFonts w:ascii="Book Antiqua" w:hAnsi="Book Antiqua"/>
          <w:sz w:val="24"/>
          <w:szCs w:val="24"/>
        </w:rPr>
        <w:lastRenderedPageBreak/>
        <w:t xml:space="preserve">every 6-12 mo. In KT recipients stage 5T, serum calcium and phosphate should be followed every 1-3 </w:t>
      </w:r>
      <w:proofErr w:type="spellStart"/>
      <w:r w:rsidRPr="00AB6C30">
        <w:rPr>
          <w:rFonts w:ascii="Book Antiqua" w:hAnsi="Book Antiqua"/>
          <w:sz w:val="24"/>
          <w:szCs w:val="24"/>
        </w:rPr>
        <w:t>mo</w:t>
      </w:r>
      <w:proofErr w:type="spellEnd"/>
      <w:r w:rsidR="00C26ED5" w:rsidRPr="00AB6C30">
        <w:rPr>
          <w:rFonts w:ascii="Book Antiqua" w:hAnsi="Book Antiqua"/>
          <w:sz w:val="24"/>
          <w:szCs w:val="24"/>
        </w:rPr>
        <w:t xml:space="preserve"> and PTH every 3-6 </w:t>
      </w:r>
      <w:proofErr w:type="spellStart"/>
      <w:proofErr w:type="gramStart"/>
      <w:r w:rsidR="00C26ED5" w:rsidRPr="00AB6C30">
        <w:rPr>
          <w:rFonts w:ascii="Book Antiqua" w:hAnsi="Book Antiqua"/>
          <w:sz w:val="24"/>
          <w:szCs w:val="24"/>
        </w:rPr>
        <w:t>mo</w:t>
      </w:r>
      <w:proofErr w:type="spellEnd"/>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71]</w:t>
      </w:r>
      <w:r w:rsidRPr="00AB6C30">
        <w:rPr>
          <w:rFonts w:ascii="Book Antiqua" w:hAnsi="Book Antiqua"/>
          <w:sz w:val="24"/>
          <w:szCs w:val="24"/>
        </w:rPr>
        <w:t>. 25-OH-D level should also be checked in the early post-transplant period. Regarding monitoring</w:t>
      </w:r>
      <w:r w:rsidR="00B03800" w:rsidRPr="00AB6C30">
        <w:rPr>
          <w:rFonts w:ascii="Book Antiqua" w:hAnsi="Book Antiqua"/>
          <w:sz w:val="24"/>
          <w:szCs w:val="24"/>
        </w:rPr>
        <w:t xml:space="preserve"> of</w:t>
      </w:r>
      <w:r w:rsidRPr="00AB6C30">
        <w:rPr>
          <w:rFonts w:ascii="Book Antiqua" w:hAnsi="Book Antiqua"/>
          <w:sz w:val="24"/>
          <w:szCs w:val="24"/>
        </w:rPr>
        <w:t xml:space="preserve"> bone loss and evaluation of fracture risk, in patients with </w:t>
      </w:r>
      <w:proofErr w:type="spellStart"/>
      <w:r w:rsidRPr="00AB6C30">
        <w:rPr>
          <w:rFonts w:ascii="Book Antiqua" w:hAnsi="Book Antiqua"/>
          <w:sz w:val="24"/>
          <w:szCs w:val="24"/>
        </w:rPr>
        <w:t>eGFR</w:t>
      </w:r>
      <w:proofErr w:type="spellEnd"/>
      <w:r w:rsidRPr="00AB6C30">
        <w:rPr>
          <w:rFonts w:ascii="Book Antiqua" w:hAnsi="Book Antiqua"/>
          <w:sz w:val="24"/>
          <w:szCs w:val="24"/>
        </w:rPr>
        <w:t xml:space="preserve"> &gt; 30 mL/min, BMD measurement can be valuable and should be determined within the first 3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and then every year thereafter. If the loss of BMD is less than 5%, monitoring every 2 years is </w:t>
      </w:r>
      <w:proofErr w:type="gramStart"/>
      <w:r w:rsidRPr="00AB6C30">
        <w:rPr>
          <w:rFonts w:ascii="Book Antiqua" w:hAnsi="Book Antiqua"/>
          <w:sz w:val="24"/>
          <w:szCs w:val="24"/>
        </w:rPr>
        <w:t>adequate</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71]</w:t>
      </w:r>
      <w:r w:rsidRPr="00AB6C30">
        <w:rPr>
          <w:rFonts w:ascii="Book Antiqua" w:hAnsi="Book Antiqua"/>
          <w:sz w:val="24"/>
          <w:szCs w:val="24"/>
        </w:rPr>
        <w:t>.</w:t>
      </w:r>
    </w:p>
    <w:p w:rsidR="00C26ED5" w:rsidRPr="00AB6C30" w:rsidRDefault="00C26ED5"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b/>
          <w:i/>
          <w:iCs/>
          <w:sz w:val="24"/>
          <w:szCs w:val="24"/>
        </w:rPr>
      </w:pPr>
      <w:r w:rsidRPr="00AB6C30">
        <w:rPr>
          <w:rFonts w:ascii="Book Antiqua" w:hAnsi="Book Antiqua"/>
          <w:b/>
          <w:i/>
          <w:iCs/>
          <w:sz w:val="24"/>
          <w:szCs w:val="24"/>
        </w:rPr>
        <w:t xml:space="preserve">Phosphate </w:t>
      </w:r>
      <w:r w:rsidR="00C26ED5" w:rsidRPr="00AB6C30">
        <w:rPr>
          <w:rFonts w:ascii="Book Antiqua" w:hAnsi="Book Antiqua"/>
          <w:b/>
          <w:i/>
          <w:iCs/>
          <w:sz w:val="24"/>
          <w:szCs w:val="24"/>
        </w:rPr>
        <w:t>r</w:t>
      </w:r>
      <w:r w:rsidRPr="00AB6C30">
        <w:rPr>
          <w:rFonts w:ascii="Book Antiqua" w:hAnsi="Book Antiqua"/>
          <w:b/>
          <w:i/>
          <w:iCs/>
          <w:sz w:val="24"/>
          <w:szCs w:val="24"/>
        </w:rPr>
        <w:t>eplacement</w:t>
      </w: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sz w:val="24"/>
          <w:szCs w:val="24"/>
        </w:rPr>
        <w:t xml:space="preserve">Hypophosphatemia is common in the early period post-transplantation as a result of renal phosphate loss from FGF-23 excess and </w:t>
      </w:r>
      <w:proofErr w:type="spellStart"/>
      <w:r w:rsidRPr="00AB6C30">
        <w:rPr>
          <w:rFonts w:ascii="Book Antiqua" w:hAnsi="Book Antiqua"/>
          <w:sz w:val="24"/>
          <w:szCs w:val="24"/>
        </w:rPr>
        <w:t>calcitriol</w:t>
      </w:r>
      <w:proofErr w:type="spellEnd"/>
      <w:r w:rsidRPr="00AB6C30">
        <w:rPr>
          <w:rFonts w:ascii="Book Antiqua" w:hAnsi="Book Antiqua"/>
          <w:sz w:val="24"/>
          <w:szCs w:val="24"/>
        </w:rPr>
        <w:t xml:space="preserve"> </w:t>
      </w:r>
      <w:proofErr w:type="gramStart"/>
      <w:r w:rsidRPr="00AB6C30">
        <w:rPr>
          <w:rFonts w:ascii="Book Antiqua" w:hAnsi="Book Antiqua"/>
          <w:sz w:val="24"/>
          <w:szCs w:val="24"/>
        </w:rPr>
        <w:t>deficiency</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3]</w:t>
      </w:r>
      <w:r w:rsidRPr="00AB6C30">
        <w:rPr>
          <w:rFonts w:ascii="Book Antiqua" w:hAnsi="Book Antiqua"/>
          <w:sz w:val="24"/>
          <w:szCs w:val="24"/>
        </w:rPr>
        <w:t xml:space="preserve">. Patients with mild to moderate hypophosphatemia are largely asymptomatic and phosphate replacement may do more harm than good causing </w:t>
      </w:r>
      <w:r w:rsidR="00B03800" w:rsidRPr="00AB6C30">
        <w:rPr>
          <w:rFonts w:ascii="Book Antiqua" w:hAnsi="Book Antiqua"/>
          <w:sz w:val="24"/>
          <w:szCs w:val="24"/>
        </w:rPr>
        <w:t xml:space="preserve">a </w:t>
      </w:r>
      <w:r w:rsidRPr="00AB6C30">
        <w:rPr>
          <w:rFonts w:ascii="Book Antiqua" w:hAnsi="Book Antiqua"/>
          <w:sz w:val="24"/>
          <w:szCs w:val="24"/>
        </w:rPr>
        <w:t xml:space="preserve">binding to calcium resulting in </w:t>
      </w:r>
      <w:proofErr w:type="spellStart"/>
      <w:r w:rsidRPr="00AB6C30">
        <w:rPr>
          <w:rFonts w:ascii="Book Antiqua" w:hAnsi="Book Antiqua"/>
          <w:sz w:val="24"/>
          <w:szCs w:val="24"/>
        </w:rPr>
        <w:t>hypocalcemia</w:t>
      </w:r>
      <w:proofErr w:type="spellEnd"/>
      <w:r w:rsidRPr="00AB6C30">
        <w:rPr>
          <w:rFonts w:ascii="Book Antiqua" w:hAnsi="Book Antiqua"/>
          <w:sz w:val="24"/>
          <w:szCs w:val="24"/>
        </w:rPr>
        <w:t xml:space="preserve"> and </w:t>
      </w:r>
      <w:proofErr w:type="spellStart"/>
      <w:proofErr w:type="gramStart"/>
      <w:r w:rsidRPr="00AB6C30">
        <w:rPr>
          <w:rFonts w:ascii="Book Antiqua" w:hAnsi="Book Antiqua"/>
          <w:sz w:val="24"/>
          <w:szCs w:val="24"/>
        </w:rPr>
        <w:t>nephrocalcinosis</w:t>
      </w:r>
      <w:proofErr w:type="spellEnd"/>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72]</w:t>
      </w:r>
      <w:r w:rsidRPr="00AB6C30">
        <w:rPr>
          <w:rFonts w:ascii="Book Antiqua" w:hAnsi="Book Antiqua"/>
          <w:sz w:val="24"/>
          <w:szCs w:val="24"/>
        </w:rPr>
        <w:t xml:space="preserve">. Acute phosphate nephropathy has also been reported in association with oral phosphate replacement in KT </w:t>
      </w:r>
      <w:proofErr w:type="gramStart"/>
      <w:r w:rsidRPr="00AB6C30">
        <w:rPr>
          <w:rFonts w:ascii="Book Antiqua" w:hAnsi="Book Antiqua"/>
          <w:sz w:val="24"/>
          <w:szCs w:val="24"/>
        </w:rPr>
        <w:t>recipients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73]</w:t>
      </w:r>
      <w:r w:rsidRPr="00AB6C30">
        <w:rPr>
          <w:rFonts w:ascii="Book Antiqua" w:hAnsi="Book Antiqua"/>
          <w:sz w:val="24"/>
          <w:szCs w:val="24"/>
        </w:rPr>
        <w:t>. However, if serum phosphate drops below 1-1.5 mg/</w:t>
      </w:r>
      <w:proofErr w:type="spellStart"/>
      <w:r w:rsidRPr="00AB6C30">
        <w:rPr>
          <w:rFonts w:ascii="Book Antiqua" w:hAnsi="Book Antiqua"/>
          <w:sz w:val="24"/>
          <w:szCs w:val="24"/>
        </w:rPr>
        <w:t>dL</w:t>
      </w:r>
      <w:proofErr w:type="spellEnd"/>
      <w:r w:rsidRPr="00AB6C30">
        <w:rPr>
          <w:rFonts w:ascii="Book Antiqua" w:hAnsi="Book Antiqua"/>
          <w:sz w:val="24"/>
          <w:szCs w:val="24"/>
        </w:rPr>
        <w:t xml:space="preserve"> or patients are symptomatic, phosphate replacement may be necessary in order </w:t>
      </w:r>
      <w:r w:rsidR="00B03800" w:rsidRPr="00AB6C30">
        <w:rPr>
          <w:rFonts w:ascii="Book Antiqua" w:hAnsi="Book Antiqua"/>
          <w:sz w:val="24"/>
          <w:szCs w:val="24"/>
        </w:rPr>
        <w:t xml:space="preserve">to alleviate the </w:t>
      </w:r>
      <w:r w:rsidRPr="00AB6C30">
        <w:rPr>
          <w:rFonts w:ascii="Book Antiqua" w:hAnsi="Book Antiqua"/>
          <w:sz w:val="24"/>
          <w:szCs w:val="24"/>
        </w:rPr>
        <w:t xml:space="preserve">symptoms and </w:t>
      </w:r>
      <w:r w:rsidR="00B03800" w:rsidRPr="00AB6C30">
        <w:rPr>
          <w:rFonts w:ascii="Book Antiqua" w:hAnsi="Book Antiqua"/>
          <w:sz w:val="24"/>
          <w:szCs w:val="24"/>
        </w:rPr>
        <w:t xml:space="preserve">to </w:t>
      </w:r>
      <w:r w:rsidRPr="00AB6C30">
        <w:rPr>
          <w:rFonts w:ascii="Book Antiqua" w:hAnsi="Book Antiqua"/>
          <w:sz w:val="24"/>
          <w:szCs w:val="24"/>
        </w:rPr>
        <w:t>prevent bone demineralization. Once serum phosphate is stable, phosphate replacement should be discontinued.</w:t>
      </w:r>
    </w:p>
    <w:p w:rsidR="00423CDD" w:rsidRPr="00AB6C30" w:rsidRDefault="00423CDD"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b/>
          <w:i/>
          <w:iCs/>
          <w:sz w:val="24"/>
          <w:szCs w:val="24"/>
        </w:rPr>
      </w:pPr>
      <w:r w:rsidRPr="00AB6C30">
        <w:rPr>
          <w:rFonts w:ascii="Book Antiqua" w:hAnsi="Book Antiqua"/>
          <w:b/>
          <w:i/>
          <w:iCs/>
          <w:sz w:val="24"/>
          <w:szCs w:val="24"/>
        </w:rPr>
        <w:t>Vitamin D</w:t>
      </w: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sz w:val="24"/>
          <w:szCs w:val="24"/>
        </w:rPr>
        <w:t xml:space="preserve">Earlier studies have shown the effectiveness of oral </w:t>
      </w:r>
      <w:proofErr w:type="spellStart"/>
      <w:r w:rsidRPr="00AB6C30">
        <w:rPr>
          <w:rFonts w:ascii="Book Antiqua" w:hAnsi="Book Antiqua"/>
          <w:sz w:val="24"/>
          <w:szCs w:val="24"/>
        </w:rPr>
        <w:t>calcitriol</w:t>
      </w:r>
      <w:proofErr w:type="spellEnd"/>
      <w:r w:rsidRPr="00AB6C30">
        <w:rPr>
          <w:rFonts w:ascii="Book Antiqua" w:hAnsi="Book Antiqua"/>
          <w:sz w:val="24"/>
          <w:szCs w:val="24"/>
        </w:rPr>
        <w:t xml:space="preserve"> with or without calcium supplement in reducing PTH</w:t>
      </w:r>
      <w:r w:rsidR="00B03800" w:rsidRPr="00AB6C30">
        <w:rPr>
          <w:rFonts w:ascii="Book Antiqua" w:hAnsi="Book Antiqua"/>
          <w:sz w:val="24"/>
          <w:szCs w:val="24"/>
        </w:rPr>
        <w:t xml:space="preserve"> </w:t>
      </w:r>
      <w:r w:rsidRPr="00AB6C30">
        <w:rPr>
          <w:rFonts w:ascii="Book Antiqua" w:hAnsi="Book Antiqua"/>
          <w:sz w:val="24"/>
          <w:szCs w:val="24"/>
        </w:rPr>
        <w:t xml:space="preserve">in KT recipients with </w:t>
      </w:r>
      <w:proofErr w:type="spellStart"/>
      <w:r w:rsidRPr="00AB6C30">
        <w:rPr>
          <w:rFonts w:ascii="Book Antiqua" w:hAnsi="Book Antiqua"/>
          <w:sz w:val="24"/>
          <w:szCs w:val="24"/>
        </w:rPr>
        <w:t>normocalcemic</w:t>
      </w:r>
      <w:proofErr w:type="spellEnd"/>
      <w:r w:rsidRPr="00AB6C30">
        <w:rPr>
          <w:rFonts w:ascii="Book Antiqua" w:hAnsi="Book Antiqua"/>
          <w:sz w:val="24"/>
          <w:szCs w:val="24"/>
        </w:rPr>
        <w:t xml:space="preserve"> </w:t>
      </w:r>
      <w:proofErr w:type="gramStart"/>
      <w:r w:rsidRPr="00AB6C30">
        <w:rPr>
          <w:rFonts w:ascii="Book Antiqua" w:hAnsi="Book Antiqua"/>
          <w:sz w:val="24"/>
          <w:szCs w:val="24"/>
        </w:rPr>
        <w:t>hyperparathyroidism</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74</w:t>
      </w:r>
      <w:r w:rsidR="00B03800"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75]</w:t>
      </w:r>
      <w:r w:rsidRPr="00AB6C30">
        <w:rPr>
          <w:rFonts w:ascii="Book Antiqua" w:hAnsi="Book Antiqua"/>
          <w:sz w:val="24"/>
          <w:szCs w:val="24"/>
        </w:rPr>
        <w:t xml:space="preserve">. </w:t>
      </w:r>
      <w:proofErr w:type="spellStart"/>
      <w:r w:rsidRPr="00AB6C30">
        <w:rPr>
          <w:rFonts w:ascii="Book Antiqua" w:hAnsi="Book Antiqua"/>
          <w:sz w:val="24"/>
          <w:szCs w:val="24"/>
        </w:rPr>
        <w:t>Calcitriol</w:t>
      </w:r>
      <w:proofErr w:type="spellEnd"/>
      <w:r w:rsidRPr="00AB6C30">
        <w:rPr>
          <w:rFonts w:ascii="Book Antiqua" w:hAnsi="Book Antiqua"/>
          <w:sz w:val="24"/>
          <w:szCs w:val="24"/>
        </w:rPr>
        <w:t xml:space="preserve"> can also prevent bone loss especially during the first year after </w:t>
      </w:r>
      <w:proofErr w:type="gramStart"/>
      <w:r w:rsidRPr="00AB6C30">
        <w:rPr>
          <w:rFonts w:ascii="Book Antiqua" w:hAnsi="Book Antiqua"/>
          <w:sz w:val="24"/>
          <w:szCs w:val="24"/>
        </w:rPr>
        <w:t>transplantation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76</w:t>
      </w:r>
      <w:r w:rsidR="00B03800"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77]</w:t>
      </w:r>
      <w:r w:rsidRPr="00AB6C30">
        <w:rPr>
          <w:rFonts w:ascii="Book Antiqua" w:hAnsi="Book Antiqua"/>
          <w:sz w:val="24"/>
          <w:szCs w:val="24"/>
        </w:rPr>
        <w:t xml:space="preserve">. Similar to </w:t>
      </w:r>
      <w:proofErr w:type="spellStart"/>
      <w:r w:rsidRPr="00AB6C30">
        <w:rPr>
          <w:rFonts w:ascii="Book Antiqua" w:hAnsi="Book Antiqua"/>
          <w:sz w:val="24"/>
          <w:szCs w:val="24"/>
        </w:rPr>
        <w:t>calcitriol</w:t>
      </w:r>
      <w:proofErr w:type="spellEnd"/>
      <w:r w:rsidRPr="00AB6C30">
        <w:rPr>
          <w:rFonts w:ascii="Book Antiqua" w:hAnsi="Book Antiqua"/>
          <w:sz w:val="24"/>
          <w:szCs w:val="24"/>
        </w:rPr>
        <w:t xml:space="preserve">, oral </w:t>
      </w:r>
      <w:proofErr w:type="spellStart"/>
      <w:r w:rsidRPr="00AB6C30">
        <w:rPr>
          <w:rFonts w:ascii="Book Antiqua" w:hAnsi="Book Antiqua"/>
          <w:sz w:val="24"/>
          <w:szCs w:val="24"/>
        </w:rPr>
        <w:t>alfacalcidol</w:t>
      </w:r>
      <w:proofErr w:type="spellEnd"/>
      <w:r w:rsidRPr="00AB6C30">
        <w:rPr>
          <w:rFonts w:ascii="Book Antiqua" w:hAnsi="Book Antiqua"/>
          <w:sz w:val="24"/>
          <w:szCs w:val="24"/>
        </w:rPr>
        <w:t xml:space="preserve"> can lower PTH and improve BMD in KT </w:t>
      </w:r>
      <w:proofErr w:type="gramStart"/>
      <w:r w:rsidRPr="00AB6C30">
        <w:rPr>
          <w:rFonts w:ascii="Book Antiqua" w:hAnsi="Book Antiqua"/>
          <w:sz w:val="24"/>
          <w:szCs w:val="24"/>
        </w:rPr>
        <w:t>recipients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78</w:t>
      </w:r>
      <w:r w:rsidR="00B03800"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79]</w:t>
      </w:r>
      <w:r w:rsidRPr="00AB6C30">
        <w:rPr>
          <w:rFonts w:ascii="Book Antiqua" w:hAnsi="Book Antiqua"/>
          <w:sz w:val="24"/>
          <w:szCs w:val="24"/>
        </w:rPr>
        <w:t xml:space="preserve">. In these studies, transient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occurred in a few patients but all incidences were without clinical significance. In a later randomized controlled study of </w:t>
      </w:r>
      <w:proofErr w:type="spellStart"/>
      <w:r w:rsidRPr="00AB6C30">
        <w:rPr>
          <w:rFonts w:ascii="Book Antiqua" w:hAnsi="Book Antiqua"/>
          <w:sz w:val="24"/>
          <w:szCs w:val="24"/>
        </w:rPr>
        <w:t>paricalcitol</w:t>
      </w:r>
      <w:proofErr w:type="spellEnd"/>
      <w:r w:rsidRPr="00AB6C30">
        <w:rPr>
          <w:rFonts w:ascii="Book Antiqua" w:hAnsi="Book Antiqua"/>
          <w:sz w:val="24"/>
          <w:szCs w:val="24"/>
        </w:rPr>
        <w:t xml:space="preserve"> </w:t>
      </w:r>
      <w:proofErr w:type="spellStart"/>
      <w:r w:rsidRPr="000B2A84">
        <w:rPr>
          <w:rFonts w:ascii="Book Antiqua" w:hAnsi="Book Antiqua"/>
          <w:i/>
          <w:sz w:val="24"/>
          <w:szCs w:val="24"/>
        </w:rPr>
        <w:t>vs</w:t>
      </w:r>
      <w:proofErr w:type="spellEnd"/>
      <w:r w:rsidRPr="00AB6C30">
        <w:rPr>
          <w:rFonts w:ascii="Book Antiqua" w:hAnsi="Book Antiqua"/>
          <w:sz w:val="24"/>
          <w:szCs w:val="24"/>
        </w:rPr>
        <w:t xml:space="preserve"> no treatment for 1 year in incident KT recipients under steroid withdrawal protocol revealed the effectiveness of oral </w:t>
      </w:r>
      <w:proofErr w:type="spellStart"/>
      <w:r w:rsidRPr="00AB6C30">
        <w:rPr>
          <w:rFonts w:ascii="Book Antiqua" w:hAnsi="Book Antiqua"/>
          <w:sz w:val="24"/>
          <w:szCs w:val="24"/>
        </w:rPr>
        <w:t>paricalcitol</w:t>
      </w:r>
      <w:proofErr w:type="spellEnd"/>
      <w:r w:rsidRPr="00AB6C30">
        <w:rPr>
          <w:rFonts w:ascii="Book Antiqua" w:hAnsi="Book Antiqua"/>
          <w:sz w:val="24"/>
          <w:szCs w:val="24"/>
        </w:rPr>
        <w:t xml:space="preserve"> in lowering PTH</w:t>
      </w:r>
      <w:r w:rsidR="00B03800" w:rsidRPr="00AB6C30">
        <w:rPr>
          <w:rFonts w:ascii="Book Antiqua" w:hAnsi="Book Antiqua"/>
          <w:sz w:val="24"/>
          <w:szCs w:val="24"/>
        </w:rPr>
        <w:t xml:space="preserve"> with a</w:t>
      </w:r>
      <w:r w:rsidRPr="00AB6C30">
        <w:rPr>
          <w:rFonts w:ascii="Book Antiqua" w:hAnsi="Book Antiqua"/>
          <w:sz w:val="24"/>
          <w:szCs w:val="24"/>
        </w:rPr>
        <w:t xml:space="preserve"> 54% relative risk reduction of hyperparathyroidism. BMD increased in both groups and there </w:t>
      </w:r>
      <w:r w:rsidR="00B03800" w:rsidRPr="00AB6C30">
        <w:rPr>
          <w:rFonts w:ascii="Book Antiqua" w:hAnsi="Book Antiqua"/>
          <w:sz w:val="24"/>
          <w:szCs w:val="24"/>
        </w:rPr>
        <w:t>were</w:t>
      </w:r>
      <w:r w:rsidRPr="00AB6C30">
        <w:rPr>
          <w:rFonts w:ascii="Book Antiqua" w:hAnsi="Book Antiqua"/>
          <w:sz w:val="24"/>
          <w:szCs w:val="24"/>
        </w:rPr>
        <w:t xml:space="preserve"> no difference</w:t>
      </w:r>
      <w:r w:rsidR="00B03800" w:rsidRPr="00AB6C30">
        <w:rPr>
          <w:rFonts w:ascii="Book Antiqua" w:hAnsi="Book Antiqua"/>
          <w:sz w:val="24"/>
          <w:szCs w:val="24"/>
        </w:rPr>
        <w:t>s</w:t>
      </w:r>
      <w:r w:rsidRPr="00AB6C30">
        <w:rPr>
          <w:rFonts w:ascii="Book Antiqua" w:hAnsi="Book Antiqua"/>
          <w:sz w:val="24"/>
          <w:szCs w:val="24"/>
        </w:rPr>
        <w:t xml:space="preserve"> in the change of BMD among the two groups. The </w:t>
      </w:r>
      <w:r w:rsidR="00B03800" w:rsidRPr="00AB6C30">
        <w:rPr>
          <w:rFonts w:ascii="Book Antiqua" w:hAnsi="Book Antiqua"/>
          <w:sz w:val="24"/>
          <w:szCs w:val="24"/>
        </w:rPr>
        <w:t xml:space="preserve">reason for </w:t>
      </w:r>
      <w:r w:rsidRPr="00AB6C30">
        <w:rPr>
          <w:rFonts w:ascii="Book Antiqua" w:hAnsi="Book Antiqua"/>
          <w:sz w:val="24"/>
          <w:szCs w:val="24"/>
        </w:rPr>
        <w:lastRenderedPageBreak/>
        <w:t xml:space="preserve">preservation of BMD in all patients was likely due to the steroid withdrawal regimen used in this study. Few patients developed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and/or </w:t>
      </w:r>
      <w:proofErr w:type="spellStart"/>
      <w:r w:rsidRPr="00AB6C30">
        <w:rPr>
          <w:rFonts w:ascii="Book Antiqua" w:hAnsi="Book Antiqua"/>
          <w:sz w:val="24"/>
          <w:szCs w:val="24"/>
        </w:rPr>
        <w:t>hypercalciuria</w:t>
      </w:r>
      <w:proofErr w:type="spellEnd"/>
      <w:r w:rsidRPr="00AB6C30">
        <w:rPr>
          <w:rFonts w:ascii="Book Antiqua" w:hAnsi="Book Antiqua"/>
          <w:sz w:val="24"/>
          <w:szCs w:val="24"/>
        </w:rPr>
        <w:t xml:space="preserve"> necessitating discontinuation of the drug or reduction of the </w:t>
      </w:r>
      <w:proofErr w:type="gramStart"/>
      <w:r w:rsidRPr="00AB6C30">
        <w:rPr>
          <w:rFonts w:ascii="Book Antiqua" w:hAnsi="Book Antiqua"/>
          <w:sz w:val="24"/>
          <w:szCs w:val="24"/>
        </w:rPr>
        <w:t>dosage</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80]</w:t>
      </w:r>
      <w:r w:rsidRPr="00AB6C30">
        <w:rPr>
          <w:rFonts w:ascii="Book Antiqua" w:hAnsi="Book Antiqua"/>
          <w:sz w:val="24"/>
          <w:szCs w:val="24"/>
        </w:rPr>
        <w:t xml:space="preserve">. Another randomized controlled trial of </w:t>
      </w:r>
      <w:proofErr w:type="spellStart"/>
      <w:r w:rsidRPr="00AB6C30">
        <w:rPr>
          <w:rFonts w:ascii="Book Antiqua" w:hAnsi="Book Antiqua"/>
          <w:sz w:val="24"/>
          <w:szCs w:val="24"/>
        </w:rPr>
        <w:t>paricalcitol</w:t>
      </w:r>
      <w:proofErr w:type="spellEnd"/>
      <w:r w:rsidRPr="00AB6C30">
        <w:rPr>
          <w:rFonts w:ascii="Book Antiqua" w:hAnsi="Book Antiqua"/>
          <w:sz w:val="24"/>
          <w:szCs w:val="24"/>
        </w:rPr>
        <w:t xml:space="preserve"> </w:t>
      </w:r>
      <w:proofErr w:type="spellStart"/>
      <w:r w:rsidR="000B2A84" w:rsidRPr="000B2A84">
        <w:rPr>
          <w:rFonts w:ascii="Book Antiqua" w:hAnsi="Book Antiqua"/>
          <w:i/>
          <w:sz w:val="24"/>
          <w:szCs w:val="24"/>
        </w:rPr>
        <w:t>vs</w:t>
      </w:r>
      <w:proofErr w:type="spellEnd"/>
      <w:r w:rsidRPr="00AB6C30">
        <w:rPr>
          <w:rFonts w:ascii="Book Antiqua" w:hAnsi="Book Antiqua"/>
          <w:sz w:val="24"/>
          <w:szCs w:val="24"/>
        </w:rPr>
        <w:t xml:space="preserve"> no treatment </w:t>
      </w:r>
      <w:r w:rsidR="00B03800" w:rsidRPr="00AB6C30">
        <w:rPr>
          <w:rFonts w:ascii="Book Antiqua" w:hAnsi="Book Antiqua"/>
          <w:sz w:val="24"/>
          <w:szCs w:val="24"/>
        </w:rPr>
        <w:t xml:space="preserve">for 6 </w:t>
      </w:r>
      <w:proofErr w:type="spellStart"/>
      <w:proofErr w:type="gramStart"/>
      <w:r w:rsidR="00B03800" w:rsidRPr="00AB6C30">
        <w:rPr>
          <w:rFonts w:ascii="Book Antiqua" w:hAnsi="Book Antiqua"/>
          <w:sz w:val="24"/>
          <w:szCs w:val="24"/>
        </w:rPr>
        <w:t>mo</w:t>
      </w:r>
      <w:proofErr w:type="spellEnd"/>
      <w:proofErr w:type="gramEnd"/>
      <w:r w:rsidR="00B03800" w:rsidRPr="00AB6C30">
        <w:rPr>
          <w:rFonts w:ascii="Book Antiqua" w:hAnsi="Book Antiqua"/>
          <w:sz w:val="24"/>
          <w:szCs w:val="24"/>
        </w:rPr>
        <w:t xml:space="preserve"> </w:t>
      </w:r>
      <w:r w:rsidRPr="00AB6C30">
        <w:rPr>
          <w:rFonts w:ascii="Book Antiqua" w:hAnsi="Book Antiqua"/>
          <w:sz w:val="24"/>
          <w:szCs w:val="24"/>
        </w:rPr>
        <w:t xml:space="preserve">in prevalent KT recipients with transplant duration 5-17 years also revealed the ability of </w:t>
      </w:r>
      <w:proofErr w:type="spellStart"/>
      <w:r w:rsidRPr="00AB6C30">
        <w:rPr>
          <w:rFonts w:ascii="Book Antiqua" w:hAnsi="Book Antiqua"/>
          <w:sz w:val="24"/>
          <w:szCs w:val="24"/>
        </w:rPr>
        <w:t>paricalcitol</w:t>
      </w:r>
      <w:proofErr w:type="spellEnd"/>
      <w:r w:rsidRPr="00AB6C30">
        <w:rPr>
          <w:rFonts w:ascii="Book Antiqua" w:hAnsi="Book Antiqua"/>
          <w:sz w:val="24"/>
          <w:szCs w:val="24"/>
        </w:rPr>
        <w:t xml:space="preserve"> in lowering PTH. In this study, vertebral BMD as well as proteinuria improved after </w:t>
      </w:r>
      <w:proofErr w:type="spellStart"/>
      <w:r w:rsidRPr="00AB6C30">
        <w:rPr>
          <w:rFonts w:ascii="Book Antiqua" w:hAnsi="Book Antiqua"/>
          <w:sz w:val="24"/>
          <w:szCs w:val="24"/>
        </w:rPr>
        <w:t>paricalcitol</w:t>
      </w:r>
      <w:proofErr w:type="spellEnd"/>
      <w:r w:rsidRPr="00AB6C30">
        <w:rPr>
          <w:rFonts w:ascii="Book Antiqua" w:hAnsi="Book Antiqua"/>
          <w:sz w:val="24"/>
          <w:szCs w:val="24"/>
        </w:rPr>
        <w:t xml:space="preserve"> </w:t>
      </w:r>
      <w:proofErr w:type="gramStart"/>
      <w:r w:rsidRPr="00AB6C30">
        <w:rPr>
          <w:rFonts w:ascii="Book Antiqua" w:hAnsi="Book Antiqua"/>
          <w:sz w:val="24"/>
          <w:szCs w:val="24"/>
        </w:rPr>
        <w:t>therapy</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81]</w:t>
      </w:r>
      <w:r w:rsidRPr="00AB6C30">
        <w:rPr>
          <w:rFonts w:ascii="Book Antiqua" w:hAnsi="Book Antiqua"/>
          <w:sz w:val="24"/>
          <w:szCs w:val="24"/>
        </w:rPr>
        <w:t xml:space="preserve">. The above evidence </w:t>
      </w:r>
      <w:proofErr w:type="gramStart"/>
      <w:r w:rsidRPr="00AB6C30">
        <w:rPr>
          <w:rFonts w:ascii="Book Antiqua" w:hAnsi="Book Antiqua"/>
          <w:sz w:val="24"/>
          <w:szCs w:val="24"/>
        </w:rPr>
        <w:t>indicate</w:t>
      </w:r>
      <w:proofErr w:type="gramEnd"/>
      <w:r w:rsidRPr="00AB6C30">
        <w:rPr>
          <w:rFonts w:ascii="Book Antiqua" w:hAnsi="Book Antiqua"/>
          <w:sz w:val="24"/>
          <w:szCs w:val="24"/>
        </w:rPr>
        <w:t xml:space="preserve"> that oral active vitamin D are beneficial in alleviating persistent hyperparathyroidism and improving bone mass. In incident KT recipients, oral active vitamin D with or without calcium supplement for at least 6 </w:t>
      </w:r>
      <w:proofErr w:type="spellStart"/>
      <w:proofErr w:type="gramStart"/>
      <w:r w:rsidRPr="00AB6C30">
        <w:rPr>
          <w:rFonts w:ascii="Book Antiqua" w:hAnsi="Book Antiqua"/>
          <w:sz w:val="24"/>
          <w:szCs w:val="24"/>
        </w:rPr>
        <w:t>mo</w:t>
      </w:r>
      <w:proofErr w:type="spellEnd"/>
      <w:proofErr w:type="gramEnd"/>
      <w:r w:rsidRPr="00AB6C30">
        <w:rPr>
          <w:rFonts w:ascii="Book Antiqua" w:hAnsi="Book Antiqua"/>
          <w:sz w:val="24"/>
          <w:szCs w:val="24"/>
        </w:rPr>
        <w:t xml:space="preserve"> to 1 year after transplantation can also prevent early post-transplant bone loss.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and increased calcium load are major limiting factors for the use of active vitamin D. As for nutritional vitamin D, according to KDIGO guideline, 25-OH-D level should be measured and nutritional vitamin D should be given according to the recommendation for general </w:t>
      </w:r>
      <w:proofErr w:type="gramStart"/>
      <w:r w:rsidRPr="00AB6C30">
        <w:rPr>
          <w:rFonts w:ascii="Book Antiqua" w:hAnsi="Book Antiqua"/>
          <w:sz w:val="24"/>
          <w:szCs w:val="24"/>
        </w:rPr>
        <w:t>population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71]</w:t>
      </w:r>
      <w:r w:rsidRPr="00AB6C30">
        <w:rPr>
          <w:rFonts w:ascii="Book Antiqua" w:hAnsi="Book Antiqua"/>
          <w:sz w:val="24"/>
          <w:szCs w:val="24"/>
        </w:rPr>
        <w:t>. Since nutritional vitamin D supplement can provide the substrate (25-OH-D) for 1,25-OH</w:t>
      </w:r>
      <w:r w:rsidRPr="00AB6C30">
        <w:rPr>
          <w:rFonts w:ascii="Book Antiqua" w:hAnsi="Book Antiqua"/>
          <w:sz w:val="24"/>
          <w:szCs w:val="24"/>
          <w:vertAlign w:val="subscript"/>
        </w:rPr>
        <w:t>2</w:t>
      </w:r>
      <w:r w:rsidRPr="00AB6C30">
        <w:rPr>
          <w:rFonts w:ascii="Book Antiqua" w:hAnsi="Book Antiqua"/>
          <w:sz w:val="24"/>
          <w:szCs w:val="24"/>
        </w:rPr>
        <w:t>-D production, the decrease in PTH levels were ob</w:t>
      </w:r>
      <w:r w:rsidR="00423CDD" w:rsidRPr="00AB6C30">
        <w:rPr>
          <w:rFonts w:ascii="Book Antiqua" w:hAnsi="Book Antiqua"/>
          <w:sz w:val="24"/>
          <w:szCs w:val="24"/>
        </w:rPr>
        <w:t xml:space="preserve">served after </w:t>
      </w:r>
      <w:proofErr w:type="spellStart"/>
      <w:r w:rsidR="00423CDD" w:rsidRPr="00AB6C30">
        <w:rPr>
          <w:rFonts w:ascii="Book Antiqua" w:hAnsi="Book Antiqua"/>
          <w:sz w:val="24"/>
          <w:szCs w:val="24"/>
        </w:rPr>
        <w:t>cholecalciferol</w:t>
      </w:r>
      <w:proofErr w:type="spellEnd"/>
      <w:r w:rsidR="00423CDD" w:rsidRPr="00AB6C30">
        <w:rPr>
          <w:rFonts w:ascii="Book Antiqua" w:hAnsi="Book Antiqua"/>
          <w:sz w:val="24"/>
          <w:szCs w:val="24"/>
        </w:rPr>
        <w:t xml:space="preserve"> 25</w:t>
      </w:r>
      <w:r w:rsidRPr="00AB6C30">
        <w:rPr>
          <w:rFonts w:ascii="Book Antiqua" w:hAnsi="Book Antiqua"/>
          <w:sz w:val="24"/>
          <w:szCs w:val="24"/>
        </w:rPr>
        <w:t>000 IU/</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or </w:t>
      </w:r>
      <w:proofErr w:type="gramStart"/>
      <w:r w:rsidRPr="00AB6C30">
        <w:rPr>
          <w:rFonts w:ascii="Book Antiqua" w:hAnsi="Book Antiqua"/>
          <w:sz w:val="24"/>
          <w:szCs w:val="24"/>
        </w:rPr>
        <w:t>400 IU/d</w:t>
      </w:r>
      <w:r w:rsidR="009E6A08" w:rsidRPr="00AB6C30">
        <w:rPr>
          <w:rFonts w:ascii="Book Antiqua" w:hAnsi="Book Antiqua"/>
          <w:sz w:val="24"/>
          <w:szCs w:val="24"/>
        </w:rPr>
        <w:t xml:space="preserve"> supplementation</w:t>
      </w:r>
      <w:proofErr w:type="gramEnd"/>
      <w:r w:rsidRPr="00AB6C30">
        <w:rPr>
          <w:rFonts w:ascii="Book Antiqua" w:hAnsi="Book Antiqua"/>
          <w:sz w:val="24"/>
          <w:szCs w:val="24"/>
        </w:rPr>
        <w:t xml:space="preserve">. However, the benefit of nutritional vitamin D in preservation of bone mass was </w:t>
      </w:r>
      <w:proofErr w:type="gramStart"/>
      <w:r w:rsidRPr="00AB6C30">
        <w:rPr>
          <w:rFonts w:ascii="Book Antiqua" w:hAnsi="Book Antiqua"/>
          <w:sz w:val="24"/>
          <w:szCs w:val="24"/>
        </w:rPr>
        <w:t>inconsistent</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82</w:t>
      </w:r>
      <w:r w:rsidR="00D37D7C"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83]</w:t>
      </w:r>
      <w:r w:rsidRPr="00AB6C30">
        <w:rPr>
          <w:rFonts w:ascii="Book Antiqua" w:hAnsi="Book Antiqua"/>
          <w:sz w:val="24"/>
          <w:szCs w:val="24"/>
        </w:rPr>
        <w:t>.</w:t>
      </w:r>
    </w:p>
    <w:p w:rsidR="00423CDD" w:rsidRPr="00AB6C30" w:rsidRDefault="00423CDD"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b/>
          <w:i/>
          <w:iCs/>
          <w:sz w:val="24"/>
          <w:szCs w:val="24"/>
        </w:rPr>
      </w:pPr>
      <w:r w:rsidRPr="00AB6C30">
        <w:rPr>
          <w:rFonts w:ascii="Book Antiqua" w:hAnsi="Book Antiqua"/>
          <w:b/>
          <w:i/>
          <w:iCs/>
          <w:sz w:val="24"/>
          <w:szCs w:val="24"/>
        </w:rPr>
        <w:t>Bisphosphonates</w:t>
      </w: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sz w:val="24"/>
          <w:szCs w:val="24"/>
        </w:rPr>
        <w:t xml:space="preserve">Bisphosphonates are analogs of inorganic pyrophosphate that have the ability to suppress </w:t>
      </w:r>
      <w:proofErr w:type="spellStart"/>
      <w:r w:rsidRPr="00AB6C30">
        <w:rPr>
          <w:rFonts w:ascii="Book Antiqua" w:hAnsi="Book Antiqua"/>
          <w:sz w:val="24"/>
          <w:szCs w:val="24"/>
        </w:rPr>
        <w:t>osteoclastic</w:t>
      </w:r>
      <w:proofErr w:type="spellEnd"/>
      <w:r w:rsidRPr="00AB6C30">
        <w:rPr>
          <w:rFonts w:ascii="Book Antiqua" w:hAnsi="Book Antiqua"/>
          <w:sz w:val="24"/>
          <w:szCs w:val="24"/>
        </w:rPr>
        <w:t xml:space="preserve"> bone </w:t>
      </w:r>
      <w:proofErr w:type="spellStart"/>
      <w:r w:rsidRPr="00AB6C30">
        <w:rPr>
          <w:rFonts w:ascii="Book Antiqua" w:hAnsi="Book Antiqua"/>
          <w:sz w:val="24"/>
          <w:szCs w:val="24"/>
        </w:rPr>
        <w:t>resorption</w:t>
      </w:r>
      <w:proofErr w:type="spellEnd"/>
      <w:r w:rsidRPr="00AB6C30">
        <w:rPr>
          <w:rFonts w:ascii="Book Antiqua" w:hAnsi="Book Antiqua"/>
          <w:sz w:val="24"/>
          <w:szCs w:val="24"/>
        </w:rPr>
        <w:t xml:space="preserve">. Bisphosphonates are commonly used in the treatment of osteoporosis in general population. Trials that evaluated the effectiveness of intravenous bisphosphonates in prevention of bone loss in KT recipients revealed the ability of intravenous </w:t>
      </w:r>
      <w:proofErr w:type="spellStart"/>
      <w:r w:rsidRPr="00AB6C30">
        <w:rPr>
          <w:rFonts w:ascii="Book Antiqua" w:hAnsi="Book Antiqua"/>
          <w:sz w:val="24"/>
          <w:szCs w:val="24"/>
        </w:rPr>
        <w:t>ibandronate</w:t>
      </w:r>
      <w:proofErr w:type="spellEnd"/>
      <w:r w:rsidRPr="00AB6C30">
        <w:rPr>
          <w:rFonts w:ascii="Book Antiqua" w:hAnsi="Book Antiqua"/>
          <w:sz w:val="24"/>
          <w:szCs w:val="24"/>
        </w:rPr>
        <w:t xml:space="preserve">, </w:t>
      </w:r>
      <w:proofErr w:type="spellStart"/>
      <w:r w:rsidRPr="00AB6C30">
        <w:rPr>
          <w:rFonts w:ascii="Book Antiqua" w:hAnsi="Book Antiqua"/>
          <w:sz w:val="24"/>
          <w:szCs w:val="24"/>
        </w:rPr>
        <w:t>pamidronate</w:t>
      </w:r>
      <w:proofErr w:type="spellEnd"/>
      <w:r w:rsidRPr="00AB6C30">
        <w:rPr>
          <w:rFonts w:ascii="Book Antiqua" w:hAnsi="Book Antiqua"/>
          <w:sz w:val="24"/>
          <w:szCs w:val="24"/>
        </w:rPr>
        <w:t xml:space="preserve"> and </w:t>
      </w:r>
      <w:proofErr w:type="spellStart"/>
      <w:r w:rsidRPr="00AB6C30">
        <w:rPr>
          <w:rFonts w:ascii="Book Antiqua" w:hAnsi="Book Antiqua"/>
          <w:sz w:val="24"/>
          <w:szCs w:val="24"/>
        </w:rPr>
        <w:t>zoledronic</w:t>
      </w:r>
      <w:proofErr w:type="spellEnd"/>
      <w:r w:rsidRPr="00AB6C30">
        <w:rPr>
          <w:rFonts w:ascii="Book Antiqua" w:hAnsi="Book Antiqua"/>
          <w:sz w:val="24"/>
          <w:szCs w:val="24"/>
        </w:rPr>
        <w:t xml:space="preserve"> acid in preservation of BMD especially at the lumbar spine during the first year after </w:t>
      </w:r>
      <w:proofErr w:type="gramStart"/>
      <w:r w:rsidRPr="00AB6C30">
        <w:rPr>
          <w:rFonts w:ascii="Book Antiqua" w:hAnsi="Book Antiqua"/>
          <w:sz w:val="24"/>
          <w:szCs w:val="24"/>
        </w:rPr>
        <w:t>transplantation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84-86]</w:t>
      </w:r>
      <w:r w:rsidRPr="00AB6C30">
        <w:rPr>
          <w:rFonts w:ascii="Book Antiqua" w:hAnsi="Book Antiqua"/>
          <w:sz w:val="24"/>
          <w:szCs w:val="24"/>
        </w:rPr>
        <w:t xml:space="preserve">. Comparison between intravenous </w:t>
      </w:r>
      <w:proofErr w:type="spellStart"/>
      <w:r w:rsidRPr="00AB6C30">
        <w:rPr>
          <w:rFonts w:ascii="Book Antiqua" w:hAnsi="Book Antiqua"/>
          <w:sz w:val="24"/>
          <w:szCs w:val="24"/>
        </w:rPr>
        <w:t>pamidronate</w:t>
      </w:r>
      <w:proofErr w:type="spellEnd"/>
      <w:r w:rsidRPr="00AB6C30">
        <w:rPr>
          <w:rFonts w:ascii="Book Antiqua" w:hAnsi="Book Antiqua"/>
          <w:sz w:val="24"/>
          <w:szCs w:val="24"/>
        </w:rPr>
        <w:t xml:space="preserve"> given at baseline, months 1, 2, 3, and 6 on top of oral </w:t>
      </w:r>
      <w:proofErr w:type="spellStart"/>
      <w:r w:rsidRPr="00AB6C30">
        <w:rPr>
          <w:rFonts w:ascii="Book Antiqua" w:hAnsi="Book Antiqua"/>
          <w:sz w:val="24"/>
          <w:szCs w:val="24"/>
        </w:rPr>
        <w:t>calcitriol</w:t>
      </w:r>
      <w:proofErr w:type="spellEnd"/>
      <w:r w:rsidRPr="00AB6C30">
        <w:rPr>
          <w:rFonts w:ascii="Book Antiqua" w:hAnsi="Book Antiqua"/>
          <w:sz w:val="24"/>
          <w:szCs w:val="24"/>
        </w:rPr>
        <w:t xml:space="preserve"> and calcium carbonate to oral </w:t>
      </w:r>
      <w:proofErr w:type="spellStart"/>
      <w:r w:rsidRPr="00AB6C30">
        <w:rPr>
          <w:rFonts w:ascii="Book Antiqua" w:hAnsi="Book Antiqua"/>
          <w:sz w:val="24"/>
          <w:szCs w:val="24"/>
        </w:rPr>
        <w:t>calcitriol</w:t>
      </w:r>
      <w:proofErr w:type="spellEnd"/>
      <w:r w:rsidRPr="00AB6C30">
        <w:rPr>
          <w:rFonts w:ascii="Book Antiqua" w:hAnsi="Book Antiqua"/>
          <w:sz w:val="24"/>
          <w:szCs w:val="24"/>
        </w:rPr>
        <w:t xml:space="preserve"> and calcium alone in incident KT recipients revealed the superiority of intravenous </w:t>
      </w:r>
      <w:proofErr w:type="spellStart"/>
      <w:r w:rsidRPr="00AB6C30">
        <w:rPr>
          <w:rFonts w:ascii="Book Antiqua" w:hAnsi="Book Antiqua"/>
          <w:sz w:val="24"/>
          <w:szCs w:val="24"/>
        </w:rPr>
        <w:t>pamidronate</w:t>
      </w:r>
      <w:proofErr w:type="spellEnd"/>
      <w:r w:rsidRPr="00AB6C30">
        <w:rPr>
          <w:rFonts w:ascii="Book Antiqua" w:hAnsi="Book Antiqua"/>
          <w:sz w:val="24"/>
          <w:szCs w:val="24"/>
        </w:rPr>
        <w:t xml:space="preserve"> in preservation of vertebral BMD but all patients that received </w:t>
      </w:r>
      <w:proofErr w:type="spellStart"/>
      <w:r w:rsidRPr="00AB6C30">
        <w:rPr>
          <w:rFonts w:ascii="Book Antiqua" w:hAnsi="Book Antiqua"/>
          <w:sz w:val="24"/>
          <w:szCs w:val="24"/>
        </w:rPr>
        <w:t>pamidronate</w:t>
      </w:r>
      <w:proofErr w:type="spellEnd"/>
      <w:r w:rsidRPr="00AB6C30">
        <w:rPr>
          <w:rFonts w:ascii="Book Antiqua" w:hAnsi="Book Antiqua"/>
          <w:sz w:val="24"/>
          <w:szCs w:val="24"/>
        </w:rPr>
        <w:t xml:space="preserve"> developed </w:t>
      </w:r>
      <w:proofErr w:type="spellStart"/>
      <w:r w:rsidRPr="00AB6C30">
        <w:rPr>
          <w:rFonts w:ascii="Book Antiqua" w:hAnsi="Book Antiqua"/>
          <w:sz w:val="24"/>
          <w:szCs w:val="24"/>
        </w:rPr>
        <w:t>adynamic</w:t>
      </w:r>
      <w:proofErr w:type="spellEnd"/>
      <w:r w:rsidRPr="00AB6C30">
        <w:rPr>
          <w:rFonts w:ascii="Book Antiqua" w:hAnsi="Book Antiqua"/>
          <w:sz w:val="24"/>
          <w:szCs w:val="24"/>
        </w:rPr>
        <w:t xml:space="preserve"> bone disease at the end of the study</w:t>
      </w:r>
      <w:r w:rsidRPr="00AB6C30">
        <w:rPr>
          <w:rFonts w:ascii="Book Antiqua" w:hAnsi="Book Antiqua"/>
          <w:noProof/>
          <w:sz w:val="24"/>
          <w:szCs w:val="24"/>
          <w:vertAlign w:val="superscript"/>
        </w:rPr>
        <w:t>[87]</w:t>
      </w:r>
      <w:r w:rsidRPr="00AB6C30">
        <w:rPr>
          <w:rFonts w:ascii="Book Antiqua" w:hAnsi="Book Antiqua"/>
          <w:sz w:val="24"/>
          <w:szCs w:val="24"/>
        </w:rPr>
        <w:t xml:space="preserve">. In a randomized controlled trial comparing intravenous </w:t>
      </w:r>
      <w:proofErr w:type="spellStart"/>
      <w:r w:rsidRPr="00AB6C30">
        <w:rPr>
          <w:rFonts w:ascii="Book Antiqua" w:hAnsi="Book Antiqua"/>
          <w:sz w:val="24"/>
          <w:szCs w:val="24"/>
        </w:rPr>
        <w:t>ibandronate</w:t>
      </w:r>
      <w:proofErr w:type="spellEnd"/>
      <w:r w:rsidRPr="00AB6C30">
        <w:rPr>
          <w:rFonts w:ascii="Book Antiqua" w:hAnsi="Book Antiqua"/>
          <w:sz w:val="24"/>
          <w:szCs w:val="24"/>
        </w:rPr>
        <w:t xml:space="preserve"> every 3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for </w:t>
      </w:r>
      <w:r w:rsidRPr="00AB6C30">
        <w:rPr>
          <w:rFonts w:ascii="Book Antiqua" w:hAnsi="Book Antiqua"/>
          <w:sz w:val="24"/>
          <w:szCs w:val="24"/>
        </w:rPr>
        <w:lastRenderedPageBreak/>
        <w:t xml:space="preserve">12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to placebo on top of oral </w:t>
      </w:r>
      <w:proofErr w:type="spellStart"/>
      <w:r w:rsidRPr="00AB6C30">
        <w:rPr>
          <w:rFonts w:ascii="Book Antiqua" w:hAnsi="Book Antiqua"/>
          <w:sz w:val="24"/>
          <w:szCs w:val="24"/>
        </w:rPr>
        <w:t>calcitriol</w:t>
      </w:r>
      <w:proofErr w:type="spellEnd"/>
      <w:r w:rsidRPr="00AB6C30">
        <w:rPr>
          <w:rFonts w:ascii="Book Antiqua" w:hAnsi="Book Antiqua"/>
          <w:sz w:val="24"/>
          <w:szCs w:val="24"/>
        </w:rPr>
        <w:t xml:space="preserve"> and calcium in incident KT recipients revealed the effectiveness of </w:t>
      </w:r>
      <w:proofErr w:type="spellStart"/>
      <w:r w:rsidRPr="00AB6C30">
        <w:rPr>
          <w:rFonts w:ascii="Book Antiqua" w:hAnsi="Book Antiqua"/>
          <w:sz w:val="24"/>
          <w:szCs w:val="24"/>
        </w:rPr>
        <w:t>ibandronate</w:t>
      </w:r>
      <w:proofErr w:type="spellEnd"/>
      <w:r w:rsidRPr="00AB6C30">
        <w:rPr>
          <w:rFonts w:ascii="Book Antiqua" w:hAnsi="Book Antiqua"/>
          <w:sz w:val="24"/>
          <w:szCs w:val="24"/>
        </w:rPr>
        <w:t xml:space="preserve"> in further improving BMD at femur and </w:t>
      </w:r>
      <w:proofErr w:type="spellStart"/>
      <w:r w:rsidRPr="00AB6C30">
        <w:rPr>
          <w:rFonts w:ascii="Book Antiqua" w:hAnsi="Book Antiqua"/>
          <w:sz w:val="24"/>
          <w:szCs w:val="24"/>
        </w:rPr>
        <w:t>ultradistal</w:t>
      </w:r>
      <w:proofErr w:type="spellEnd"/>
      <w:r w:rsidRPr="00AB6C30">
        <w:rPr>
          <w:rFonts w:ascii="Book Antiqua" w:hAnsi="Book Antiqua"/>
          <w:sz w:val="24"/>
          <w:szCs w:val="24"/>
        </w:rPr>
        <w:t xml:space="preserve"> radius compared to oral </w:t>
      </w:r>
      <w:proofErr w:type="spellStart"/>
      <w:r w:rsidRPr="00AB6C30">
        <w:rPr>
          <w:rFonts w:ascii="Book Antiqua" w:hAnsi="Book Antiqua"/>
          <w:sz w:val="24"/>
          <w:szCs w:val="24"/>
        </w:rPr>
        <w:t>calcitriol</w:t>
      </w:r>
      <w:proofErr w:type="spellEnd"/>
      <w:r w:rsidRPr="00AB6C30">
        <w:rPr>
          <w:rFonts w:ascii="Book Antiqua" w:hAnsi="Book Antiqua"/>
          <w:sz w:val="24"/>
          <w:szCs w:val="24"/>
        </w:rPr>
        <w:t xml:space="preserve"> and calcium alone</w:t>
      </w:r>
      <w:r w:rsidRPr="00AB6C30">
        <w:rPr>
          <w:rFonts w:ascii="Book Antiqua" w:hAnsi="Book Antiqua"/>
          <w:noProof/>
          <w:sz w:val="24"/>
          <w:szCs w:val="24"/>
          <w:vertAlign w:val="superscript"/>
        </w:rPr>
        <w:t>[88]</w:t>
      </w:r>
      <w:r w:rsidRPr="00AB6C30">
        <w:rPr>
          <w:rFonts w:ascii="Book Antiqua" w:hAnsi="Book Antiqua"/>
          <w:sz w:val="24"/>
          <w:szCs w:val="24"/>
        </w:rPr>
        <w:t xml:space="preserve">. As for oral bisphosphonates, oral alendronate and </w:t>
      </w:r>
      <w:proofErr w:type="spellStart"/>
      <w:r w:rsidRPr="00AB6C30">
        <w:rPr>
          <w:rFonts w:ascii="Book Antiqua" w:hAnsi="Book Antiqua"/>
          <w:sz w:val="24"/>
          <w:szCs w:val="24"/>
        </w:rPr>
        <w:t>risedronate</w:t>
      </w:r>
      <w:proofErr w:type="spellEnd"/>
      <w:r w:rsidRPr="00AB6C30">
        <w:rPr>
          <w:rFonts w:ascii="Book Antiqua" w:hAnsi="Book Antiqua"/>
          <w:sz w:val="24"/>
          <w:szCs w:val="24"/>
        </w:rPr>
        <w:t xml:space="preserve"> are either superior or equally effective to oral active vitamin D in prevention of early post-transplant bone loss at the lumbar spine and </w:t>
      </w:r>
      <w:r w:rsidR="00D37D7C" w:rsidRPr="00AB6C30">
        <w:rPr>
          <w:rFonts w:ascii="Book Antiqua" w:hAnsi="Book Antiqua"/>
          <w:sz w:val="24"/>
          <w:szCs w:val="24"/>
        </w:rPr>
        <w:t xml:space="preserve">the </w:t>
      </w:r>
      <w:r w:rsidRPr="00AB6C30">
        <w:rPr>
          <w:rFonts w:ascii="Book Antiqua" w:hAnsi="Book Antiqua"/>
          <w:sz w:val="24"/>
          <w:szCs w:val="24"/>
        </w:rPr>
        <w:t xml:space="preserve">hip but failed to show benefit in </w:t>
      </w:r>
      <w:r w:rsidR="00D37D7C" w:rsidRPr="00AB6C30">
        <w:rPr>
          <w:rFonts w:ascii="Book Antiqua" w:hAnsi="Book Antiqua"/>
          <w:sz w:val="24"/>
          <w:szCs w:val="24"/>
        </w:rPr>
        <w:t>the reduction</w:t>
      </w:r>
      <w:r w:rsidRPr="00AB6C30">
        <w:rPr>
          <w:rFonts w:ascii="Book Antiqua" w:hAnsi="Book Antiqua"/>
          <w:sz w:val="24"/>
          <w:szCs w:val="24"/>
        </w:rPr>
        <w:t xml:space="preserve"> fracture </w:t>
      </w:r>
      <w:proofErr w:type="gramStart"/>
      <w:r w:rsidRPr="00AB6C30">
        <w:rPr>
          <w:rFonts w:ascii="Book Antiqua" w:hAnsi="Book Antiqua"/>
          <w:sz w:val="24"/>
          <w:szCs w:val="24"/>
        </w:rPr>
        <w:t>risk</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79</w:t>
      </w:r>
      <w:r w:rsidR="00D37D7C"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89-92]</w:t>
      </w:r>
      <w:r w:rsidRPr="00AB6C30">
        <w:rPr>
          <w:rFonts w:ascii="Book Antiqua" w:hAnsi="Book Antiqua"/>
          <w:sz w:val="24"/>
          <w:szCs w:val="24"/>
        </w:rPr>
        <w:t xml:space="preserve">. Bone biopsy study that evaluated the effect </w:t>
      </w:r>
      <w:r w:rsidR="00D37D7C" w:rsidRPr="00AB6C30">
        <w:rPr>
          <w:rFonts w:ascii="Book Antiqua" w:hAnsi="Book Antiqua"/>
          <w:sz w:val="24"/>
          <w:szCs w:val="24"/>
        </w:rPr>
        <w:t xml:space="preserve">of </w:t>
      </w:r>
      <w:r w:rsidRPr="00AB6C30">
        <w:rPr>
          <w:rFonts w:ascii="Book Antiqua" w:hAnsi="Book Antiqua"/>
          <w:sz w:val="24"/>
          <w:szCs w:val="24"/>
        </w:rPr>
        <w:t xml:space="preserve">oral </w:t>
      </w:r>
      <w:proofErr w:type="spellStart"/>
      <w:r w:rsidRPr="00AB6C30">
        <w:rPr>
          <w:rFonts w:ascii="Book Antiqua" w:hAnsi="Book Antiqua"/>
          <w:sz w:val="24"/>
          <w:szCs w:val="24"/>
        </w:rPr>
        <w:t>risidronate</w:t>
      </w:r>
      <w:proofErr w:type="spellEnd"/>
      <w:r w:rsidR="00D37D7C" w:rsidRPr="00AB6C30">
        <w:rPr>
          <w:rFonts w:ascii="Book Antiqua" w:hAnsi="Book Antiqua"/>
          <w:sz w:val="24"/>
          <w:szCs w:val="24"/>
        </w:rPr>
        <w:t xml:space="preserve"> for 12 </w:t>
      </w:r>
      <w:proofErr w:type="spellStart"/>
      <w:r w:rsidR="00D37D7C" w:rsidRPr="00AB6C30">
        <w:rPr>
          <w:rFonts w:ascii="Book Antiqua" w:hAnsi="Book Antiqua"/>
          <w:sz w:val="24"/>
          <w:szCs w:val="24"/>
        </w:rPr>
        <w:t>mo</w:t>
      </w:r>
      <w:proofErr w:type="spellEnd"/>
      <w:r w:rsidRPr="00AB6C30">
        <w:rPr>
          <w:rFonts w:ascii="Book Antiqua" w:hAnsi="Book Antiqua"/>
          <w:sz w:val="24"/>
          <w:szCs w:val="24"/>
        </w:rPr>
        <w:t xml:space="preserve"> on bone turnover in incident KT recipients revealed no evidence of </w:t>
      </w:r>
      <w:proofErr w:type="spellStart"/>
      <w:r w:rsidRPr="00AB6C30">
        <w:rPr>
          <w:rFonts w:ascii="Book Antiqua" w:hAnsi="Book Antiqua"/>
          <w:sz w:val="24"/>
          <w:szCs w:val="24"/>
        </w:rPr>
        <w:t>adynamic</w:t>
      </w:r>
      <w:proofErr w:type="spellEnd"/>
      <w:r w:rsidRPr="00AB6C30">
        <w:rPr>
          <w:rFonts w:ascii="Book Antiqua" w:hAnsi="Book Antiqua"/>
          <w:sz w:val="24"/>
          <w:szCs w:val="24"/>
        </w:rPr>
        <w:t xml:space="preserve"> bone </w:t>
      </w:r>
      <w:proofErr w:type="gramStart"/>
      <w:r w:rsidRPr="00AB6C30">
        <w:rPr>
          <w:rFonts w:ascii="Book Antiqua" w:hAnsi="Book Antiqua"/>
          <w:sz w:val="24"/>
          <w:szCs w:val="24"/>
        </w:rPr>
        <w:t>disease</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93]</w:t>
      </w:r>
      <w:r w:rsidRPr="00AB6C30">
        <w:rPr>
          <w:rFonts w:ascii="Book Antiqua" w:hAnsi="Book Antiqua"/>
          <w:sz w:val="24"/>
          <w:szCs w:val="24"/>
        </w:rPr>
        <w:t xml:space="preserve">. The difference between this study and the intravenous </w:t>
      </w:r>
      <w:proofErr w:type="spellStart"/>
      <w:r w:rsidRPr="00AB6C30">
        <w:rPr>
          <w:rFonts w:ascii="Book Antiqua" w:hAnsi="Book Antiqua"/>
          <w:sz w:val="24"/>
          <w:szCs w:val="24"/>
        </w:rPr>
        <w:t>pamidronate</w:t>
      </w:r>
      <w:proofErr w:type="spellEnd"/>
      <w:r w:rsidRPr="00AB6C30">
        <w:rPr>
          <w:rFonts w:ascii="Book Antiqua" w:hAnsi="Book Antiqua"/>
          <w:sz w:val="24"/>
          <w:szCs w:val="24"/>
        </w:rPr>
        <w:t xml:space="preserve"> study mentioned earlier may be due to the use of a combined regimen of oral </w:t>
      </w:r>
      <w:proofErr w:type="spellStart"/>
      <w:r w:rsidRPr="00AB6C30">
        <w:rPr>
          <w:rFonts w:ascii="Book Antiqua" w:hAnsi="Book Antiqua"/>
          <w:sz w:val="24"/>
          <w:szCs w:val="24"/>
        </w:rPr>
        <w:t>calcitriol</w:t>
      </w:r>
      <w:proofErr w:type="spellEnd"/>
      <w:r w:rsidRPr="00AB6C30">
        <w:rPr>
          <w:rFonts w:ascii="Book Antiqua" w:hAnsi="Book Antiqua"/>
          <w:sz w:val="24"/>
          <w:szCs w:val="24"/>
        </w:rPr>
        <w:t xml:space="preserve"> and </w:t>
      </w:r>
      <w:proofErr w:type="spellStart"/>
      <w:r w:rsidRPr="00AB6C30">
        <w:rPr>
          <w:rFonts w:ascii="Book Antiqua" w:hAnsi="Book Antiqua"/>
          <w:sz w:val="24"/>
          <w:szCs w:val="24"/>
        </w:rPr>
        <w:t>pamidronate</w:t>
      </w:r>
      <w:proofErr w:type="spellEnd"/>
      <w:r w:rsidRPr="00AB6C30">
        <w:rPr>
          <w:rFonts w:ascii="Book Antiqua" w:hAnsi="Book Antiqua"/>
          <w:sz w:val="24"/>
          <w:szCs w:val="24"/>
        </w:rPr>
        <w:t xml:space="preserve"> or the dose and/or the route of administration of </w:t>
      </w:r>
      <w:proofErr w:type="spellStart"/>
      <w:r w:rsidRPr="00AB6C30">
        <w:rPr>
          <w:rFonts w:ascii="Book Antiqua" w:hAnsi="Book Antiqua"/>
          <w:sz w:val="24"/>
          <w:szCs w:val="24"/>
        </w:rPr>
        <w:t>pamidronate</w:t>
      </w:r>
      <w:proofErr w:type="spellEnd"/>
      <w:r w:rsidRPr="00AB6C30">
        <w:rPr>
          <w:rFonts w:ascii="Book Antiqua" w:hAnsi="Book Antiqua"/>
          <w:sz w:val="24"/>
          <w:szCs w:val="24"/>
        </w:rPr>
        <w:t xml:space="preserve"> that might have exaggerated the suppression of bone turnover. </w:t>
      </w:r>
      <w:r w:rsidR="00D37D7C" w:rsidRPr="00AB6C30">
        <w:rPr>
          <w:rFonts w:ascii="Book Antiqua" w:hAnsi="Book Antiqua"/>
          <w:sz w:val="24"/>
          <w:szCs w:val="24"/>
        </w:rPr>
        <w:t>The</w:t>
      </w:r>
      <w:r w:rsidRPr="00AB6C30">
        <w:rPr>
          <w:rFonts w:ascii="Book Antiqua" w:hAnsi="Book Antiqua"/>
          <w:sz w:val="24"/>
          <w:szCs w:val="24"/>
        </w:rPr>
        <w:t xml:space="preserve"> systematic review of randomized controlled trials and </w:t>
      </w:r>
      <w:r w:rsidR="00D37D7C" w:rsidRPr="00AB6C30">
        <w:rPr>
          <w:rFonts w:ascii="Book Antiqua" w:hAnsi="Book Antiqua"/>
          <w:sz w:val="24"/>
          <w:szCs w:val="24"/>
        </w:rPr>
        <w:t>the</w:t>
      </w:r>
      <w:r w:rsidRPr="00AB6C30">
        <w:rPr>
          <w:rFonts w:ascii="Book Antiqua" w:hAnsi="Book Antiqua"/>
          <w:sz w:val="24"/>
          <w:szCs w:val="24"/>
        </w:rPr>
        <w:t xml:space="preserve"> retrospective review of trials in prevention of early post-transplant bone loss revealed the superiority of a combined regimen of bisphosphonate and active vitamin D (± calcium) to active vitamin D (± calcium) alone in prevention of bone loss during the first year after transplantation but both regimens failed to show </w:t>
      </w:r>
      <w:r w:rsidR="00D37D7C" w:rsidRPr="00AB6C30">
        <w:rPr>
          <w:rFonts w:ascii="Book Antiqua" w:hAnsi="Book Antiqua"/>
          <w:sz w:val="24"/>
          <w:szCs w:val="24"/>
        </w:rPr>
        <w:t xml:space="preserve">the </w:t>
      </w:r>
      <w:r w:rsidRPr="00AB6C30">
        <w:rPr>
          <w:rFonts w:ascii="Book Antiqua" w:hAnsi="Book Antiqua"/>
          <w:sz w:val="24"/>
          <w:szCs w:val="24"/>
        </w:rPr>
        <w:t xml:space="preserve">favorable outcome in reducing fracture </w:t>
      </w:r>
      <w:proofErr w:type="gramStart"/>
      <w:r w:rsidRPr="00AB6C30">
        <w:rPr>
          <w:rFonts w:ascii="Book Antiqua" w:hAnsi="Book Antiqua"/>
          <w:sz w:val="24"/>
          <w:szCs w:val="24"/>
        </w:rPr>
        <w:t>risk</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94</w:t>
      </w:r>
      <w:r w:rsidR="00D37D7C"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95]</w:t>
      </w:r>
      <w:r w:rsidRPr="00AB6C30">
        <w:rPr>
          <w:rFonts w:ascii="Book Antiqua" w:hAnsi="Book Antiqua"/>
          <w:sz w:val="24"/>
          <w:szCs w:val="24"/>
        </w:rPr>
        <w:t>. A</w:t>
      </w:r>
      <w:r w:rsidR="00D37D7C" w:rsidRPr="00AB6C30">
        <w:rPr>
          <w:rFonts w:ascii="Book Antiqua" w:hAnsi="Book Antiqua"/>
          <w:sz w:val="24"/>
          <w:szCs w:val="24"/>
        </w:rPr>
        <w:t>nother</w:t>
      </w:r>
      <w:r w:rsidRPr="00AB6C30">
        <w:rPr>
          <w:rFonts w:ascii="Book Antiqua" w:hAnsi="Book Antiqua"/>
          <w:sz w:val="24"/>
          <w:szCs w:val="24"/>
        </w:rPr>
        <w:t xml:space="preserve"> study in patients with an average transplant vintage of 2 years revealed the superiority of a combined regimen of oral </w:t>
      </w:r>
      <w:proofErr w:type="spellStart"/>
      <w:r w:rsidRPr="00AB6C30">
        <w:rPr>
          <w:rFonts w:ascii="Book Antiqua" w:hAnsi="Book Antiqua"/>
          <w:sz w:val="24"/>
          <w:szCs w:val="24"/>
        </w:rPr>
        <w:t>risedronate</w:t>
      </w:r>
      <w:proofErr w:type="spellEnd"/>
      <w:r w:rsidRPr="00AB6C30">
        <w:rPr>
          <w:rFonts w:ascii="Book Antiqua" w:hAnsi="Book Antiqua"/>
          <w:sz w:val="24"/>
          <w:szCs w:val="24"/>
        </w:rPr>
        <w:t xml:space="preserve"> on top of nutritional vitamin D (</w:t>
      </w:r>
      <w:proofErr w:type="spellStart"/>
      <w:r w:rsidRPr="00AB6C30">
        <w:rPr>
          <w:rFonts w:ascii="Book Antiqua" w:hAnsi="Book Antiqua"/>
          <w:sz w:val="24"/>
          <w:szCs w:val="24"/>
        </w:rPr>
        <w:t>cholecalciferol</w:t>
      </w:r>
      <w:proofErr w:type="spellEnd"/>
      <w:r w:rsidRPr="00AB6C30">
        <w:rPr>
          <w:rFonts w:ascii="Book Antiqua" w:hAnsi="Book Antiqua"/>
          <w:sz w:val="24"/>
          <w:szCs w:val="24"/>
        </w:rPr>
        <w:t xml:space="preserve">) and calcium to nutritional vitamin D and calcium alone in reducing bone loss at the lumbar spine. However, the incidence of fracture was not different among the two </w:t>
      </w:r>
      <w:proofErr w:type="gramStart"/>
      <w:r w:rsidRPr="00AB6C30">
        <w:rPr>
          <w:rFonts w:ascii="Book Antiqua" w:hAnsi="Book Antiqua"/>
          <w:sz w:val="24"/>
          <w:szCs w:val="24"/>
        </w:rPr>
        <w:t>groups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96]</w:t>
      </w:r>
      <w:r w:rsidRPr="00AB6C30">
        <w:rPr>
          <w:rFonts w:ascii="Book Antiqua" w:hAnsi="Book Antiqua"/>
          <w:sz w:val="24"/>
          <w:szCs w:val="24"/>
        </w:rPr>
        <w:t xml:space="preserve">. In long-term KT recipients, data on the benefit of bisphosphonates appear to be inconsistent. An earlier study in KT recipients with an average transplant vintage of 9 years who had osteopenia or osteoporosis at baseline revealed the same degree of effectiveness of oral alendronate and oral </w:t>
      </w:r>
      <w:proofErr w:type="spellStart"/>
      <w:r w:rsidRPr="00AB6C30">
        <w:rPr>
          <w:rFonts w:ascii="Book Antiqua" w:hAnsi="Book Antiqua"/>
          <w:sz w:val="24"/>
          <w:szCs w:val="24"/>
        </w:rPr>
        <w:t>calcitriol</w:t>
      </w:r>
      <w:proofErr w:type="spellEnd"/>
      <w:r w:rsidRPr="00AB6C30">
        <w:rPr>
          <w:rFonts w:ascii="Book Antiqua" w:hAnsi="Book Antiqua"/>
          <w:sz w:val="24"/>
          <w:szCs w:val="24"/>
        </w:rPr>
        <w:t xml:space="preserve"> in improving BMD at the lumbar spine and femur</w:t>
      </w:r>
      <w:r w:rsidRPr="00AB6C30">
        <w:rPr>
          <w:rFonts w:ascii="Book Antiqua" w:hAnsi="Book Antiqua"/>
          <w:noProof/>
          <w:sz w:val="24"/>
          <w:szCs w:val="24"/>
          <w:vertAlign w:val="superscript"/>
        </w:rPr>
        <w:t>[77]</w:t>
      </w:r>
      <w:r w:rsidRPr="00AB6C30">
        <w:rPr>
          <w:rFonts w:ascii="Book Antiqua" w:hAnsi="Book Antiqua"/>
          <w:sz w:val="24"/>
          <w:szCs w:val="24"/>
        </w:rPr>
        <w:t xml:space="preserve">. However, </w:t>
      </w:r>
      <w:r w:rsidR="00D37D7C" w:rsidRPr="00AB6C30">
        <w:rPr>
          <w:rFonts w:ascii="Book Antiqua" w:hAnsi="Book Antiqua"/>
          <w:sz w:val="24"/>
          <w:szCs w:val="24"/>
        </w:rPr>
        <w:t xml:space="preserve">in </w:t>
      </w:r>
      <w:r w:rsidRPr="00AB6C30">
        <w:rPr>
          <w:rFonts w:ascii="Book Antiqua" w:hAnsi="Book Antiqua"/>
          <w:sz w:val="24"/>
          <w:szCs w:val="24"/>
        </w:rPr>
        <w:t xml:space="preserve">a recent observational study </w:t>
      </w:r>
      <w:r w:rsidR="00D37D7C" w:rsidRPr="00AB6C30">
        <w:rPr>
          <w:rFonts w:ascii="Book Antiqua" w:hAnsi="Book Antiqua"/>
          <w:sz w:val="24"/>
          <w:szCs w:val="24"/>
        </w:rPr>
        <w:t>in</w:t>
      </w:r>
      <w:r w:rsidRPr="00AB6C30">
        <w:rPr>
          <w:rFonts w:ascii="Book Antiqua" w:hAnsi="Book Antiqua"/>
          <w:sz w:val="24"/>
          <w:szCs w:val="24"/>
        </w:rPr>
        <w:t xml:space="preserve"> patients who received kidney transplantation 10 years ago</w:t>
      </w:r>
      <w:r w:rsidR="00D37D7C" w:rsidRPr="00AB6C30">
        <w:rPr>
          <w:rFonts w:ascii="Book Antiqua" w:hAnsi="Book Antiqua"/>
          <w:sz w:val="24"/>
          <w:szCs w:val="24"/>
        </w:rPr>
        <w:t>,</w:t>
      </w:r>
      <w:r w:rsidRPr="00AB6C30">
        <w:rPr>
          <w:rFonts w:ascii="Book Antiqua" w:hAnsi="Book Antiqua"/>
          <w:sz w:val="24"/>
          <w:szCs w:val="24"/>
        </w:rPr>
        <w:t xml:space="preserve"> oral alendronate given for 36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w:t>
      </w:r>
      <w:r w:rsidR="00D37D7C" w:rsidRPr="00AB6C30">
        <w:rPr>
          <w:rFonts w:ascii="Book Antiqua" w:hAnsi="Book Antiqua"/>
          <w:sz w:val="24"/>
          <w:szCs w:val="24"/>
        </w:rPr>
        <w:t>did</w:t>
      </w:r>
      <w:r w:rsidRPr="00AB6C30">
        <w:rPr>
          <w:rFonts w:ascii="Book Antiqua" w:hAnsi="Book Antiqua"/>
          <w:sz w:val="24"/>
          <w:szCs w:val="24"/>
        </w:rPr>
        <w:t xml:space="preserve"> not improve bone mass and failed to prevent </w:t>
      </w:r>
      <w:proofErr w:type="gramStart"/>
      <w:r w:rsidRPr="00AB6C30">
        <w:rPr>
          <w:rFonts w:ascii="Book Antiqua" w:hAnsi="Book Antiqua"/>
          <w:sz w:val="24"/>
          <w:szCs w:val="24"/>
        </w:rPr>
        <w:t>fracture</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97]</w:t>
      </w:r>
      <w:r w:rsidRPr="00AB6C30">
        <w:rPr>
          <w:rFonts w:ascii="Book Antiqua" w:hAnsi="Book Antiqua"/>
          <w:sz w:val="24"/>
          <w:szCs w:val="24"/>
        </w:rPr>
        <w:t xml:space="preserve">. According to these data, oral bisphosphonate with or without active vitamin D should be given to KT recipients with osteopenia and/or osteoporosis during the first year after kidney transplantation. Nevertheless, care should be taken in giving bisphosphonate to patients with suspected </w:t>
      </w:r>
      <w:r w:rsidR="00C655F9" w:rsidRPr="00AB6C30">
        <w:rPr>
          <w:rFonts w:ascii="Book Antiqua" w:hAnsi="Book Antiqua"/>
          <w:sz w:val="24"/>
          <w:szCs w:val="24"/>
        </w:rPr>
        <w:t>a dynamic</w:t>
      </w:r>
      <w:bookmarkStart w:id="0" w:name="_GoBack"/>
      <w:bookmarkEnd w:id="0"/>
      <w:r w:rsidRPr="00AB6C30">
        <w:rPr>
          <w:rFonts w:ascii="Book Antiqua" w:hAnsi="Book Antiqua"/>
          <w:sz w:val="24"/>
          <w:szCs w:val="24"/>
        </w:rPr>
        <w:t xml:space="preserve"> </w:t>
      </w:r>
      <w:r w:rsidRPr="00AB6C30">
        <w:rPr>
          <w:rFonts w:ascii="Book Antiqua" w:hAnsi="Book Antiqua"/>
          <w:sz w:val="24"/>
          <w:szCs w:val="24"/>
        </w:rPr>
        <w:lastRenderedPageBreak/>
        <w:t>bone disease. The benefit of bisphosphonate beyond the first 1-2 years remains unclear and will require further study.</w:t>
      </w:r>
    </w:p>
    <w:p w:rsidR="00423CDD" w:rsidRPr="00AB6C30" w:rsidRDefault="00423CDD"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b/>
          <w:i/>
          <w:iCs/>
          <w:sz w:val="24"/>
          <w:szCs w:val="24"/>
        </w:rPr>
      </w:pPr>
      <w:r w:rsidRPr="00AB6C30">
        <w:rPr>
          <w:rFonts w:ascii="Book Antiqua" w:hAnsi="Book Antiqua"/>
          <w:b/>
          <w:i/>
          <w:iCs/>
          <w:sz w:val="24"/>
          <w:szCs w:val="24"/>
        </w:rPr>
        <w:t>Steroid withdrawal</w:t>
      </w:r>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sz w:val="24"/>
          <w:szCs w:val="24"/>
        </w:rPr>
        <w:t xml:space="preserve">In earlier studies of steroid withdrawal, discontinuation of oral prednisolone 3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after transplantation resulted in a stabilization of BMD at lumbar</w:t>
      </w:r>
      <w:r w:rsidR="00D37D7C" w:rsidRPr="00AB6C30">
        <w:rPr>
          <w:rFonts w:ascii="Book Antiqua" w:hAnsi="Book Antiqua"/>
          <w:sz w:val="24"/>
          <w:szCs w:val="24"/>
        </w:rPr>
        <w:t xml:space="preserve"> spine</w:t>
      </w:r>
      <w:r w:rsidRPr="00AB6C30">
        <w:rPr>
          <w:rFonts w:ascii="Book Antiqua" w:hAnsi="Book Antiqua"/>
          <w:sz w:val="24"/>
          <w:szCs w:val="24"/>
        </w:rPr>
        <w:t xml:space="preserve"> and femoral neck after 3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of follow-up and withdrawal of prednisolone approximately one year or more after transplantation resulted in an improvement in BMD at femoral neck and total hip by 2</w:t>
      </w:r>
      <w:r w:rsidR="00423CDD" w:rsidRPr="00AB6C30">
        <w:rPr>
          <w:rFonts w:ascii="Book Antiqua" w:hAnsi="Book Antiqua"/>
          <w:sz w:val="24"/>
          <w:szCs w:val="24"/>
          <w:lang w:eastAsia="zh-CN"/>
        </w:rPr>
        <w:t>%</w:t>
      </w:r>
      <w:r w:rsidRPr="00AB6C30">
        <w:rPr>
          <w:rFonts w:ascii="Book Antiqua" w:hAnsi="Book Antiqua"/>
          <w:sz w:val="24"/>
          <w:szCs w:val="24"/>
        </w:rPr>
        <w:t>-3% after one year and lumbar spine by 3</w:t>
      </w:r>
      <w:r w:rsidR="00423CDD" w:rsidRPr="00AB6C30">
        <w:rPr>
          <w:rFonts w:ascii="Book Antiqua" w:hAnsi="Book Antiqua"/>
          <w:sz w:val="24"/>
          <w:szCs w:val="24"/>
          <w:lang w:eastAsia="zh-CN"/>
        </w:rPr>
        <w:t>%</w:t>
      </w:r>
      <w:r w:rsidRPr="00AB6C30">
        <w:rPr>
          <w:rFonts w:ascii="Book Antiqua" w:hAnsi="Book Antiqua"/>
          <w:sz w:val="24"/>
          <w:szCs w:val="24"/>
        </w:rPr>
        <w:t xml:space="preserve">-7% after 1-3 </w:t>
      </w:r>
      <w:proofErr w:type="gramStart"/>
      <w:r w:rsidRPr="00AB6C30">
        <w:rPr>
          <w:rFonts w:ascii="Book Antiqua" w:hAnsi="Book Antiqua"/>
          <w:sz w:val="24"/>
          <w:szCs w:val="24"/>
        </w:rPr>
        <w:t>years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98-101]</w:t>
      </w:r>
      <w:r w:rsidRPr="00AB6C30">
        <w:rPr>
          <w:rFonts w:ascii="Book Antiqua" w:hAnsi="Book Antiqua"/>
          <w:sz w:val="24"/>
          <w:szCs w:val="24"/>
        </w:rPr>
        <w:t>. A recent study in KT recipients who were managed with early corticosteroid withdrawal protocol using high-resolution peripheral quantitative computed tomography (</w:t>
      </w:r>
      <w:proofErr w:type="spellStart"/>
      <w:r w:rsidRPr="00AB6C30">
        <w:rPr>
          <w:rFonts w:ascii="Book Antiqua" w:hAnsi="Book Antiqua"/>
          <w:sz w:val="24"/>
          <w:szCs w:val="24"/>
        </w:rPr>
        <w:t>HRpQCT</w:t>
      </w:r>
      <w:proofErr w:type="spellEnd"/>
      <w:r w:rsidRPr="00AB6C30">
        <w:rPr>
          <w:rFonts w:ascii="Book Antiqua" w:hAnsi="Book Antiqua"/>
          <w:sz w:val="24"/>
          <w:szCs w:val="24"/>
        </w:rPr>
        <w:t xml:space="preserve">) and dual energy </w:t>
      </w:r>
      <w:r w:rsidR="00423CDD" w:rsidRPr="00AB6C30">
        <w:rPr>
          <w:rFonts w:ascii="Book Antiqua" w:hAnsi="Book Antiqua"/>
          <w:sz w:val="24"/>
          <w:szCs w:val="24"/>
        </w:rPr>
        <w:t>X</w:t>
      </w:r>
      <w:r w:rsidRPr="00AB6C30">
        <w:rPr>
          <w:rFonts w:ascii="Book Antiqua" w:hAnsi="Book Antiqua"/>
          <w:sz w:val="24"/>
          <w:szCs w:val="24"/>
        </w:rPr>
        <w:t xml:space="preserve">-ray absorptiometry (DXA) to examine bone architecture revealed the preservation of bone mass at lumbar spine and total hip up to at least 12 </w:t>
      </w:r>
      <w:proofErr w:type="spellStart"/>
      <w:r w:rsidRPr="00AB6C30">
        <w:rPr>
          <w:rFonts w:ascii="Book Antiqua" w:hAnsi="Book Antiqua"/>
          <w:sz w:val="24"/>
          <w:szCs w:val="24"/>
        </w:rPr>
        <w:t>mo</w:t>
      </w:r>
      <w:proofErr w:type="spellEnd"/>
      <w:r w:rsidRPr="00AB6C30">
        <w:rPr>
          <w:rFonts w:ascii="Book Antiqua" w:hAnsi="Book Antiqua"/>
          <w:sz w:val="24"/>
          <w:szCs w:val="24"/>
        </w:rPr>
        <w:t xml:space="preserve"> after transplantation</w:t>
      </w:r>
      <w:r w:rsidR="00D37D7C" w:rsidRPr="00AB6C30">
        <w:rPr>
          <w:rFonts w:ascii="Book Antiqua" w:hAnsi="Book Antiqua"/>
          <w:sz w:val="24"/>
          <w:szCs w:val="24"/>
        </w:rPr>
        <w:t>. The study also</w:t>
      </w:r>
      <w:r w:rsidRPr="00AB6C30">
        <w:rPr>
          <w:rFonts w:ascii="Book Antiqua" w:hAnsi="Book Antiqua"/>
          <w:sz w:val="24"/>
          <w:szCs w:val="24"/>
        </w:rPr>
        <w:t xml:space="preserve"> found the decline in cortical bone area, density and thickness and the decrease in trabecular bone density and stiffness and failure load in the distal 1/3 of radius and tibia indicating the benefit of steroid withdrawal on central skeleton but not peripheral skeleton. The loss of cortical bone was associated with the increased severity of hyperparathyroidism and the loss of trabecular bone was most severe at the lowest and highest PTH </w:t>
      </w:r>
      <w:proofErr w:type="gramStart"/>
      <w:r w:rsidRPr="00AB6C30">
        <w:rPr>
          <w:rFonts w:ascii="Book Antiqua" w:hAnsi="Book Antiqua"/>
          <w:sz w:val="24"/>
          <w:szCs w:val="24"/>
        </w:rPr>
        <w:t>levels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102]</w:t>
      </w:r>
      <w:r w:rsidRPr="00AB6C30">
        <w:rPr>
          <w:rFonts w:ascii="Book Antiqua" w:hAnsi="Book Antiqua"/>
          <w:sz w:val="24"/>
          <w:szCs w:val="24"/>
        </w:rPr>
        <w:t>. Unfortunately, these studies did not evaluate the impact of steroid withdrawal on fracture risk</w:t>
      </w:r>
      <w:r w:rsidR="00423CDD" w:rsidRPr="00AB6C30">
        <w:rPr>
          <w:rFonts w:ascii="Book Antiqua" w:hAnsi="Book Antiqua"/>
          <w:sz w:val="24"/>
          <w:szCs w:val="24"/>
        </w:rPr>
        <w:t>. A recent analysis of 77</w:t>
      </w:r>
      <w:r w:rsidRPr="00AB6C30">
        <w:rPr>
          <w:rFonts w:ascii="Book Antiqua" w:hAnsi="Book Antiqua"/>
          <w:sz w:val="24"/>
          <w:szCs w:val="24"/>
        </w:rPr>
        <w:t xml:space="preserve">430 KT recipients from United States Renal Data System (USRDS) revealed the incidence of fracture that led to hospitalization after a median follow-up of 32 </w:t>
      </w:r>
      <w:proofErr w:type="spellStart"/>
      <w:proofErr w:type="gramStart"/>
      <w:r w:rsidRPr="00AB6C30">
        <w:rPr>
          <w:rFonts w:ascii="Book Antiqua" w:hAnsi="Book Antiqua"/>
          <w:sz w:val="24"/>
          <w:szCs w:val="24"/>
        </w:rPr>
        <w:t>mo</w:t>
      </w:r>
      <w:proofErr w:type="spellEnd"/>
      <w:proofErr w:type="gramEnd"/>
      <w:r w:rsidRPr="00AB6C30">
        <w:rPr>
          <w:rFonts w:ascii="Book Antiqua" w:hAnsi="Book Antiqua"/>
          <w:sz w:val="24"/>
          <w:szCs w:val="24"/>
        </w:rPr>
        <w:t xml:space="preserve"> to be 0.0058 per patient-year in patients who did not receive steroid compared to 0.008 per patient-year in patients who received steroid. The most common fracture sites were femur (29%), ankle (15%) and spine (11%). Corticosteroid withdrawal was associated with a 31% reduction in the fracture </w:t>
      </w:r>
      <w:proofErr w:type="gramStart"/>
      <w:r w:rsidRPr="00AB6C30">
        <w:rPr>
          <w:rFonts w:ascii="Book Antiqua" w:hAnsi="Book Antiqua"/>
          <w:sz w:val="24"/>
          <w:szCs w:val="24"/>
        </w:rPr>
        <w:t>risk</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103]</w:t>
      </w:r>
      <w:r w:rsidRPr="00AB6C30">
        <w:rPr>
          <w:rFonts w:ascii="Book Antiqua" w:hAnsi="Book Antiqua"/>
          <w:sz w:val="24"/>
          <w:szCs w:val="24"/>
        </w:rPr>
        <w:t>. According to the above data, steroid withdrawal can preserve bone mass especially in the central skeleton. A prospective study is required to confirm the benefit of steroid-sparing regimen on fracture risk.</w:t>
      </w:r>
    </w:p>
    <w:p w:rsidR="00423CDD" w:rsidRPr="00AB6C30" w:rsidRDefault="00423CDD"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b/>
          <w:i/>
          <w:iCs/>
          <w:sz w:val="24"/>
          <w:szCs w:val="24"/>
        </w:rPr>
      </w:pPr>
      <w:proofErr w:type="spellStart"/>
      <w:r w:rsidRPr="00AB6C30">
        <w:rPr>
          <w:rFonts w:ascii="Book Antiqua" w:hAnsi="Book Antiqua"/>
          <w:b/>
          <w:i/>
          <w:iCs/>
          <w:sz w:val="24"/>
          <w:szCs w:val="24"/>
        </w:rPr>
        <w:t>Calcimimetics</w:t>
      </w:r>
      <w:proofErr w:type="spellEnd"/>
    </w:p>
    <w:p w:rsidR="00166161" w:rsidRPr="00AB6C30" w:rsidRDefault="00166161" w:rsidP="00493B84">
      <w:pPr>
        <w:spacing w:after="0" w:line="360" w:lineRule="auto"/>
        <w:jc w:val="both"/>
        <w:rPr>
          <w:rFonts w:ascii="Book Antiqua" w:hAnsi="Book Antiqua"/>
          <w:sz w:val="24"/>
          <w:szCs w:val="24"/>
          <w:lang w:eastAsia="zh-CN"/>
        </w:rPr>
      </w:pPr>
      <w:proofErr w:type="spellStart"/>
      <w:r w:rsidRPr="00AB6C30">
        <w:rPr>
          <w:rFonts w:ascii="Book Antiqua" w:hAnsi="Book Antiqua"/>
          <w:sz w:val="24"/>
          <w:szCs w:val="24"/>
        </w:rPr>
        <w:lastRenderedPageBreak/>
        <w:t>Calcimimetic</w:t>
      </w:r>
      <w:proofErr w:type="spellEnd"/>
      <w:r w:rsidRPr="00AB6C30">
        <w:rPr>
          <w:rFonts w:ascii="Book Antiqua" w:hAnsi="Book Antiqua"/>
          <w:sz w:val="24"/>
          <w:szCs w:val="24"/>
        </w:rPr>
        <w:t xml:space="preserve"> is an allosteric modulator of calcium sensing receptor that has the ability to increase the sensitivity of the receptor to calcium and suppress PTH secretion. </w:t>
      </w:r>
      <w:proofErr w:type="spellStart"/>
      <w:r w:rsidRPr="00AB6C30">
        <w:rPr>
          <w:rFonts w:ascii="Book Antiqua" w:hAnsi="Book Antiqua"/>
          <w:sz w:val="24"/>
          <w:szCs w:val="24"/>
        </w:rPr>
        <w:t>Cinacalcet</w:t>
      </w:r>
      <w:proofErr w:type="spellEnd"/>
      <w:r w:rsidRPr="00AB6C30">
        <w:rPr>
          <w:rFonts w:ascii="Book Antiqua" w:hAnsi="Book Antiqua"/>
          <w:sz w:val="24"/>
          <w:szCs w:val="24"/>
        </w:rPr>
        <w:t xml:space="preserve">, the only drug in this class, is used as an add-on therapy to active vitamin D in the treatment of secondary hyperparathyroidism in CKD. Discontinuation of </w:t>
      </w:r>
      <w:proofErr w:type="spellStart"/>
      <w:r w:rsidRPr="00AB6C30">
        <w:rPr>
          <w:rFonts w:ascii="Book Antiqua" w:hAnsi="Book Antiqua"/>
          <w:sz w:val="24"/>
          <w:szCs w:val="24"/>
        </w:rPr>
        <w:t>cinacalcet</w:t>
      </w:r>
      <w:proofErr w:type="spellEnd"/>
      <w:r w:rsidRPr="00AB6C30">
        <w:rPr>
          <w:rFonts w:ascii="Book Antiqua" w:hAnsi="Book Antiqua"/>
          <w:sz w:val="24"/>
          <w:szCs w:val="24"/>
        </w:rPr>
        <w:t xml:space="preserve"> at the time of transplantation can cause rebound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and hyperparathyroidism resulting in an increase in the incidence of post-transplant </w:t>
      </w:r>
      <w:proofErr w:type="spellStart"/>
      <w:r w:rsidRPr="00AB6C30">
        <w:rPr>
          <w:rFonts w:ascii="Book Antiqua" w:hAnsi="Book Antiqua"/>
          <w:sz w:val="24"/>
          <w:szCs w:val="24"/>
        </w:rPr>
        <w:t>nephrocalcinosis</w:t>
      </w:r>
      <w:proofErr w:type="spellEnd"/>
      <w:r w:rsidRPr="00AB6C30">
        <w:rPr>
          <w:rFonts w:ascii="Book Antiqua" w:hAnsi="Book Antiqua"/>
          <w:sz w:val="24"/>
          <w:szCs w:val="24"/>
        </w:rPr>
        <w:t xml:space="preserve"> and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and, therefore, stopping the drug immediately after tran</w:t>
      </w:r>
      <w:r w:rsidR="009B1091" w:rsidRPr="00AB6C30">
        <w:rPr>
          <w:rFonts w:ascii="Book Antiqua" w:hAnsi="Book Antiqua"/>
          <w:sz w:val="24"/>
          <w:szCs w:val="24"/>
        </w:rPr>
        <w:t xml:space="preserve">splantation is not </w:t>
      </w:r>
      <w:proofErr w:type="gramStart"/>
      <w:r w:rsidR="009B1091" w:rsidRPr="00AB6C30">
        <w:rPr>
          <w:rFonts w:ascii="Book Antiqua" w:hAnsi="Book Antiqua"/>
          <w:sz w:val="24"/>
          <w:szCs w:val="24"/>
        </w:rPr>
        <w:t>recommended</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20</w:t>
      </w:r>
      <w:r w:rsidR="00D87FD9"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104]</w:t>
      </w:r>
      <w:r w:rsidRPr="00AB6C30">
        <w:rPr>
          <w:rFonts w:ascii="Book Antiqua" w:hAnsi="Book Antiqua"/>
          <w:sz w:val="24"/>
          <w:szCs w:val="24"/>
        </w:rPr>
        <w:t xml:space="preserve">. Since a decade ago, </w:t>
      </w:r>
      <w:proofErr w:type="spellStart"/>
      <w:r w:rsidRPr="00AB6C30">
        <w:rPr>
          <w:rFonts w:ascii="Book Antiqua" w:hAnsi="Book Antiqua"/>
          <w:sz w:val="24"/>
          <w:szCs w:val="24"/>
        </w:rPr>
        <w:t>cinacalcet</w:t>
      </w:r>
      <w:proofErr w:type="spellEnd"/>
      <w:r w:rsidRPr="00AB6C30">
        <w:rPr>
          <w:rFonts w:ascii="Book Antiqua" w:hAnsi="Book Antiqua"/>
          <w:sz w:val="24"/>
          <w:szCs w:val="24"/>
        </w:rPr>
        <w:t xml:space="preserve"> has been utilized as an alternative therapy to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in KT recipients with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due to persistent </w:t>
      </w:r>
      <w:proofErr w:type="gramStart"/>
      <w:r w:rsidRPr="00AB6C30">
        <w:rPr>
          <w:rFonts w:ascii="Book Antiqua" w:hAnsi="Book Antiqua"/>
          <w:sz w:val="24"/>
          <w:szCs w:val="24"/>
        </w:rPr>
        <w:t>hyperparathyroidism</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105</w:t>
      </w:r>
      <w:r w:rsidR="00D87FD9"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106]</w:t>
      </w:r>
      <w:r w:rsidRPr="00AB6C30">
        <w:rPr>
          <w:rFonts w:ascii="Book Antiqua" w:hAnsi="Book Antiqua"/>
          <w:sz w:val="24"/>
          <w:szCs w:val="24"/>
        </w:rPr>
        <w:t xml:space="preserve">. After initiation of </w:t>
      </w:r>
      <w:proofErr w:type="spellStart"/>
      <w:r w:rsidRPr="00AB6C30">
        <w:rPr>
          <w:rFonts w:ascii="Book Antiqua" w:hAnsi="Book Antiqua"/>
          <w:sz w:val="24"/>
          <w:szCs w:val="24"/>
        </w:rPr>
        <w:t>cinacalcet</w:t>
      </w:r>
      <w:proofErr w:type="spellEnd"/>
      <w:r w:rsidRPr="00AB6C30">
        <w:rPr>
          <w:rFonts w:ascii="Book Antiqua" w:hAnsi="Book Antiqua"/>
          <w:sz w:val="24"/>
          <w:szCs w:val="24"/>
        </w:rPr>
        <w:t>, serum calcium decrease</w:t>
      </w:r>
      <w:r w:rsidR="009B1091" w:rsidRPr="00AB6C30">
        <w:rPr>
          <w:rFonts w:ascii="Book Antiqua" w:hAnsi="Book Antiqua"/>
          <w:sz w:val="24"/>
          <w:szCs w:val="24"/>
          <w:lang w:eastAsia="zh-CN"/>
        </w:rPr>
        <w:t>d</w:t>
      </w:r>
      <w:r w:rsidRPr="00AB6C30">
        <w:rPr>
          <w:rFonts w:ascii="Book Antiqua" w:hAnsi="Book Antiqua"/>
          <w:sz w:val="24"/>
          <w:szCs w:val="24"/>
        </w:rPr>
        <w:t>, serum phosphate increase</w:t>
      </w:r>
      <w:r w:rsidR="009B1091" w:rsidRPr="00AB6C30">
        <w:rPr>
          <w:rFonts w:ascii="Book Antiqua" w:hAnsi="Book Antiqua"/>
          <w:sz w:val="24"/>
          <w:szCs w:val="24"/>
          <w:lang w:eastAsia="zh-CN"/>
        </w:rPr>
        <w:t>d</w:t>
      </w:r>
      <w:r w:rsidRPr="00AB6C30">
        <w:rPr>
          <w:rFonts w:ascii="Book Antiqua" w:hAnsi="Book Antiqua"/>
          <w:sz w:val="24"/>
          <w:szCs w:val="24"/>
        </w:rPr>
        <w:t xml:space="preserve"> and hyperparathyroidism improve</w:t>
      </w:r>
      <w:r w:rsidR="009B1091" w:rsidRPr="00AB6C30">
        <w:rPr>
          <w:rFonts w:ascii="Book Antiqua" w:hAnsi="Book Antiqua"/>
          <w:sz w:val="24"/>
          <w:szCs w:val="24"/>
          <w:lang w:eastAsia="zh-CN"/>
        </w:rPr>
        <w:t>d</w:t>
      </w:r>
      <w:r w:rsidRPr="00AB6C30">
        <w:rPr>
          <w:rFonts w:ascii="Book Antiqua" w:hAnsi="Book Antiqua"/>
          <w:sz w:val="24"/>
          <w:szCs w:val="24"/>
        </w:rPr>
        <w:t xml:space="preserve"> without a significant change in serum </w:t>
      </w:r>
      <w:proofErr w:type="spellStart"/>
      <w:r w:rsidRPr="00AB6C30">
        <w:rPr>
          <w:rFonts w:ascii="Book Antiqua" w:hAnsi="Book Antiqua"/>
          <w:sz w:val="24"/>
          <w:szCs w:val="24"/>
        </w:rPr>
        <w:t>creatinine</w:t>
      </w:r>
      <w:proofErr w:type="spellEnd"/>
      <w:r w:rsidRPr="00AB6C30">
        <w:rPr>
          <w:rFonts w:ascii="Book Antiqua" w:hAnsi="Book Antiqua"/>
          <w:sz w:val="24"/>
          <w:szCs w:val="24"/>
        </w:rPr>
        <w:t xml:space="preserve">. The increase in serum phosphate helps keeping serum phosphate within the normal range. A systematic review and meta-analysis of 411 KT recipients confirms the effectiveness of </w:t>
      </w:r>
      <w:proofErr w:type="spellStart"/>
      <w:r w:rsidRPr="00AB6C30">
        <w:rPr>
          <w:rFonts w:ascii="Book Antiqua" w:hAnsi="Book Antiqua"/>
          <w:sz w:val="24"/>
          <w:szCs w:val="24"/>
        </w:rPr>
        <w:t>cinacalcet</w:t>
      </w:r>
      <w:proofErr w:type="spellEnd"/>
      <w:r w:rsidRPr="00AB6C30">
        <w:rPr>
          <w:rFonts w:ascii="Book Antiqua" w:hAnsi="Book Antiqua"/>
          <w:sz w:val="24"/>
          <w:szCs w:val="24"/>
        </w:rPr>
        <w:t xml:space="preserve"> in controlling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and hyperparathyroidism after kidney </w:t>
      </w:r>
      <w:proofErr w:type="gramStart"/>
      <w:r w:rsidRPr="00AB6C30">
        <w:rPr>
          <w:rFonts w:ascii="Book Antiqua" w:hAnsi="Book Antiqua"/>
          <w:sz w:val="24"/>
          <w:szCs w:val="24"/>
        </w:rPr>
        <w:t>transplantation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107]</w:t>
      </w:r>
      <w:r w:rsidRPr="00AB6C30">
        <w:rPr>
          <w:rFonts w:ascii="Book Antiqua" w:hAnsi="Book Antiqua"/>
          <w:sz w:val="24"/>
          <w:szCs w:val="24"/>
        </w:rPr>
        <w:t xml:space="preserve">. Despite the improvement in hyperparathyroidism, a two-year therapy with </w:t>
      </w:r>
      <w:proofErr w:type="spellStart"/>
      <w:r w:rsidRPr="00AB6C30">
        <w:rPr>
          <w:rFonts w:ascii="Book Antiqua" w:hAnsi="Book Antiqua"/>
          <w:sz w:val="24"/>
          <w:szCs w:val="24"/>
        </w:rPr>
        <w:t>cinacalcet</w:t>
      </w:r>
      <w:proofErr w:type="spellEnd"/>
      <w:r w:rsidRPr="00AB6C30">
        <w:rPr>
          <w:rFonts w:ascii="Book Antiqua" w:hAnsi="Book Antiqua"/>
          <w:sz w:val="24"/>
          <w:szCs w:val="24"/>
        </w:rPr>
        <w:t xml:space="preserve"> in prevalent KT recipients did not result in an improvement in </w:t>
      </w:r>
      <w:proofErr w:type="gramStart"/>
      <w:r w:rsidRPr="00AB6C30">
        <w:rPr>
          <w:rFonts w:ascii="Book Antiqua" w:hAnsi="Book Antiqua"/>
          <w:sz w:val="24"/>
          <w:szCs w:val="24"/>
        </w:rPr>
        <w:t>BMD</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108</w:t>
      </w:r>
      <w:r w:rsidR="00D87FD9"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109]</w:t>
      </w:r>
      <w:r w:rsidRPr="00AB6C30">
        <w:rPr>
          <w:rFonts w:ascii="Book Antiqua" w:hAnsi="Book Antiqua"/>
          <w:sz w:val="24"/>
          <w:szCs w:val="24"/>
        </w:rPr>
        <w:t xml:space="preserve">. Few reports have described the development of </w:t>
      </w:r>
      <w:proofErr w:type="spellStart"/>
      <w:r w:rsidRPr="00AB6C30">
        <w:rPr>
          <w:rFonts w:ascii="Book Antiqua" w:hAnsi="Book Antiqua"/>
          <w:sz w:val="24"/>
          <w:szCs w:val="24"/>
        </w:rPr>
        <w:t>hypercalciuria</w:t>
      </w:r>
      <w:proofErr w:type="spellEnd"/>
      <w:r w:rsidRPr="00AB6C30">
        <w:rPr>
          <w:rFonts w:ascii="Book Antiqua" w:hAnsi="Book Antiqua"/>
          <w:sz w:val="24"/>
          <w:szCs w:val="24"/>
        </w:rPr>
        <w:t xml:space="preserve"> and nephrolithiasis in the kidney allograft after </w:t>
      </w:r>
      <w:proofErr w:type="spellStart"/>
      <w:r w:rsidRPr="00AB6C30">
        <w:rPr>
          <w:rFonts w:ascii="Book Antiqua" w:hAnsi="Book Antiqua"/>
          <w:sz w:val="24"/>
          <w:szCs w:val="24"/>
        </w:rPr>
        <w:t>cinacalcet</w:t>
      </w:r>
      <w:proofErr w:type="spellEnd"/>
      <w:r w:rsidRPr="00AB6C30">
        <w:rPr>
          <w:rFonts w:ascii="Book Antiqua" w:hAnsi="Book Antiqua"/>
          <w:sz w:val="24"/>
          <w:szCs w:val="24"/>
        </w:rPr>
        <w:t xml:space="preserve"> therapy. Nephrolithiasis resolved after discontinuing </w:t>
      </w:r>
      <w:proofErr w:type="spellStart"/>
      <w:r w:rsidRPr="00AB6C30">
        <w:rPr>
          <w:rFonts w:ascii="Book Antiqua" w:hAnsi="Book Antiqua"/>
          <w:sz w:val="24"/>
          <w:szCs w:val="24"/>
        </w:rPr>
        <w:t>cinacalcet</w:t>
      </w:r>
      <w:proofErr w:type="spellEnd"/>
      <w:r w:rsidRPr="00AB6C30">
        <w:rPr>
          <w:rFonts w:ascii="Book Antiqua" w:hAnsi="Book Antiqua"/>
          <w:sz w:val="24"/>
          <w:szCs w:val="24"/>
        </w:rPr>
        <w:t xml:space="preserve"> and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suggesting the role of hyperparathyroidism in addition to </w:t>
      </w:r>
      <w:proofErr w:type="spellStart"/>
      <w:r w:rsidRPr="00AB6C30">
        <w:rPr>
          <w:rFonts w:ascii="Book Antiqua" w:hAnsi="Book Antiqua"/>
          <w:sz w:val="24"/>
          <w:szCs w:val="24"/>
        </w:rPr>
        <w:t>cinacalcet</w:t>
      </w:r>
      <w:proofErr w:type="spellEnd"/>
      <w:r w:rsidRPr="00AB6C30">
        <w:rPr>
          <w:rFonts w:ascii="Book Antiqua" w:hAnsi="Book Antiqua"/>
          <w:sz w:val="24"/>
          <w:szCs w:val="24"/>
        </w:rPr>
        <w:t xml:space="preserve"> alone in kidney stone </w:t>
      </w:r>
      <w:proofErr w:type="gramStart"/>
      <w:r w:rsidRPr="00AB6C30">
        <w:rPr>
          <w:rFonts w:ascii="Book Antiqua" w:hAnsi="Book Antiqua"/>
          <w:sz w:val="24"/>
          <w:szCs w:val="24"/>
        </w:rPr>
        <w:t>formation</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110</w:t>
      </w:r>
      <w:r w:rsidR="00D87FD9"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111]</w:t>
      </w:r>
      <w:r w:rsidRPr="00AB6C30">
        <w:rPr>
          <w:rFonts w:ascii="Book Antiqua" w:hAnsi="Book Antiqua"/>
          <w:sz w:val="24"/>
          <w:szCs w:val="24"/>
        </w:rPr>
        <w:t xml:space="preserve">. Long-term data on </w:t>
      </w:r>
      <w:proofErr w:type="spellStart"/>
      <w:r w:rsidRPr="00AB6C30">
        <w:rPr>
          <w:rFonts w:ascii="Book Antiqua" w:hAnsi="Book Antiqua"/>
          <w:sz w:val="24"/>
          <w:szCs w:val="24"/>
        </w:rPr>
        <w:t>cinacalcet</w:t>
      </w:r>
      <w:proofErr w:type="spellEnd"/>
      <w:r w:rsidRPr="00AB6C30">
        <w:rPr>
          <w:rFonts w:ascii="Book Antiqua" w:hAnsi="Book Antiqua"/>
          <w:sz w:val="24"/>
          <w:szCs w:val="24"/>
        </w:rPr>
        <w:t xml:space="preserve"> therapy up to 6 years revealed the safety and effectiveness of the drug in </w:t>
      </w:r>
      <w:r w:rsidR="00D87FD9" w:rsidRPr="00AB6C30">
        <w:rPr>
          <w:rFonts w:ascii="Book Antiqua" w:hAnsi="Book Antiqua"/>
          <w:sz w:val="24"/>
          <w:szCs w:val="24"/>
        </w:rPr>
        <w:t xml:space="preserve">the </w:t>
      </w:r>
      <w:r w:rsidRPr="00AB6C30">
        <w:rPr>
          <w:rFonts w:ascii="Book Antiqua" w:hAnsi="Book Antiqua"/>
          <w:sz w:val="24"/>
          <w:szCs w:val="24"/>
        </w:rPr>
        <w:t xml:space="preserve">treatment of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and hyperparathyroidism. Discontinuation of </w:t>
      </w:r>
      <w:proofErr w:type="spellStart"/>
      <w:r w:rsidRPr="00AB6C30">
        <w:rPr>
          <w:rFonts w:ascii="Book Antiqua" w:hAnsi="Book Antiqua"/>
          <w:sz w:val="24"/>
          <w:szCs w:val="24"/>
        </w:rPr>
        <w:t>cinacalcet</w:t>
      </w:r>
      <w:proofErr w:type="spellEnd"/>
      <w:r w:rsidRPr="00AB6C30">
        <w:rPr>
          <w:rFonts w:ascii="Book Antiqua" w:hAnsi="Book Antiqua"/>
          <w:sz w:val="24"/>
          <w:szCs w:val="24"/>
        </w:rPr>
        <w:t xml:space="preserve"> after 3.5 years of continuous therapy resulted in an increase in serum calcium with one-third of the patients required re-initiation of the drug due to </w:t>
      </w:r>
      <w:proofErr w:type="spellStart"/>
      <w:proofErr w:type="gramStart"/>
      <w:r w:rsidRPr="00AB6C30">
        <w:rPr>
          <w:rFonts w:ascii="Book Antiqua" w:hAnsi="Book Antiqua"/>
          <w:sz w:val="24"/>
          <w:szCs w:val="24"/>
        </w:rPr>
        <w:t>hypercalcemia</w:t>
      </w:r>
      <w:proofErr w:type="spellEnd"/>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112]</w:t>
      </w:r>
      <w:r w:rsidRPr="00AB6C30">
        <w:rPr>
          <w:rFonts w:ascii="Book Antiqua" w:hAnsi="Book Antiqua"/>
          <w:sz w:val="24"/>
          <w:szCs w:val="24"/>
        </w:rPr>
        <w:t xml:space="preserve">. Overall </w:t>
      </w:r>
      <w:proofErr w:type="spellStart"/>
      <w:r w:rsidRPr="00AB6C30">
        <w:rPr>
          <w:rFonts w:ascii="Book Antiqua" w:hAnsi="Book Antiqua"/>
          <w:sz w:val="24"/>
          <w:szCs w:val="24"/>
        </w:rPr>
        <w:t>cinacalcet</w:t>
      </w:r>
      <w:proofErr w:type="spellEnd"/>
      <w:r w:rsidRPr="00AB6C30">
        <w:rPr>
          <w:rFonts w:ascii="Book Antiqua" w:hAnsi="Book Antiqua"/>
          <w:sz w:val="24"/>
          <w:szCs w:val="24"/>
        </w:rPr>
        <w:t xml:space="preserve"> is a safe and effective therapy for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and persistent hyperparathyroidism after kidney transplantation. The effectiveness of </w:t>
      </w:r>
      <w:proofErr w:type="spellStart"/>
      <w:r w:rsidRPr="00AB6C30">
        <w:rPr>
          <w:rFonts w:ascii="Book Antiqua" w:hAnsi="Book Antiqua"/>
          <w:sz w:val="24"/>
          <w:szCs w:val="24"/>
        </w:rPr>
        <w:t>cinacalcet</w:t>
      </w:r>
      <w:proofErr w:type="spellEnd"/>
      <w:r w:rsidRPr="00AB6C30">
        <w:rPr>
          <w:rFonts w:ascii="Book Antiqua" w:hAnsi="Book Antiqua"/>
          <w:sz w:val="24"/>
          <w:szCs w:val="24"/>
        </w:rPr>
        <w:t xml:space="preserve"> is maintained for several years. There is no cut point as to how long the therapy should be continued since the severity and duration of hyperparathyroidism varies from patient to patient and, therefore, the time required for the shrinkage of enlarged hyperplastic parathyroid glands differs among patients.</w:t>
      </w:r>
    </w:p>
    <w:p w:rsidR="009B1091" w:rsidRPr="00AB6C30" w:rsidRDefault="009B1091"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b/>
          <w:sz w:val="24"/>
          <w:szCs w:val="24"/>
        </w:rPr>
      </w:pPr>
      <w:proofErr w:type="spellStart"/>
      <w:r w:rsidRPr="00AB6C30">
        <w:rPr>
          <w:rFonts w:ascii="Book Antiqua" w:hAnsi="Book Antiqua"/>
          <w:b/>
          <w:i/>
          <w:iCs/>
          <w:sz w:val="24"/>
          <w:szCs w:val="24"/>
        </w:rPr>
        <w:t>Parathyroidectomy</w:t>
      </w:r>
      <w:proofErr w:type="spellEnd"/>
    </w:p>
    <w:p w:rsidR="00166161" w:rsidRPr="00AB6C30" w:rsidRDefault="00166161" w:rsidP="00493B84">
      <w:pPr>
        <w:spacing w:after="0" w:line="360" w:lineRule="auto"/>
        <w:jc w:val="both"/>
        <w:rPr>
          <w:rFonts w:ascii="Book Antiqua" w:hAnsi="Book Antiqua"/>
          <w:sz w:val="24"/>
          <w:szCs w:val="24"/>
          <w:lang w:eastAsia="zh-CN"/>
        </w:rPr>
      </w:pPr>
      <w:r w:rsidRPr="00AB6C30">
        <w:rPr>
          <w:rFonts w:ascii="Book Antiqua" w:hAnsi="Book Antiqua"/>
          <w:sz w:val="24"/>
          <w:szCs w:val="24"/>
        </w:rPr>
        <w:t xml:space="preserve">In the past, surgical treatment for persistent hyperparathyroidism after kidney transplantation has been either total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with </w:t>
      </w:r>
      <w:proofErr w:type="spellStart"/>
      <w:r w:rsidRPr="00AB6C30">
        <w:rPr>
          <w:rFonts w:ascii="Book Antiqua" w:hAnsi="Book Antiqua"/>
          <w:sz w:val="24"/>
          <w:szCs w:val="24"/>
        </w:rPr>
        <w:t>autotransplantation</w:t>
      </w:r>
      <w:proofErr w:type="spellEnd"/>
      <w:r w:rsidRPr="00AB6C30">
        <w:rPr>
          <w:rFonts w:ascii="Book Antiqua" w:hAnsi="Book Antiqua"/>
          <w:sz w:val="24"/>
          <w:szCs w:val="24"/>
        </w:rPr>
        <w:t xml:space="preserve"> or subtotal (3.5 glands) to near total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Limited glandular resection is advocated in patients presenting with only one or two macroscopically enlarged glands. Choices of preoperative localization study include 99mTc-sestimibi </w:t>
      </w:r>
      <w:proofErr w:type="spellStart"/>
      <w:r w:rsidRPr="00AB6C30">
        <w:rPr>
          <w:rFonts w:ascii="Book Antiqua" w:hAnsi="Book Antiqua"/>
          <w:sz w:val="24"/>
          <w:szCs w:val="24"/>
        </w:rPr>
        <w:t>scintigraphy</w:t>
      </w:r>
      <w:proofErr w:type="spellEnd"/>
      <w:r w:rsidRPr="00AB6C30">
        <w:rPr>
          <w:rFonts w:ascii="Book Antiqua" w:hAnsi="Book Antiqua"/>
          <w:sz w:val="24"/>
          <w:szCs w:val="24"/>
        </w:rPr>
        <w:t xml:space="preserve">, ultrasound, computed tomography and magnetic resonance imaging. In a single-center study, both total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with </w:t>
      </w:r>
      <w:proofErr w:type="spellStart"/>
      <w:r w:rsidRPr="00AB6C30">
        <w:rPr>
          <w:rFonts w:ascii="Book Antiqua" w:hAnsi="Book Antiqua"/>
          <w:sz w:val="24"/>
          <w:szCs w:val="24"/>
        </w:rPr>
        <w:t>autotransplantation</w:t>
      </w:r>
      <w:proofErr w:type="spellEnd"/>
      <w:r w:rsidRPr="00AB6C30">
        <w:rPr>
          <w:rFonts w:ascii="Book Antiqua" w:hAnsi="Book Antiqua"/>
          <w:sz w:val="24"/>
          <w:szCs w:val="24"/>
        </w:rPr>
        <w:t xml:space="preserve"> and subtotal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were equally effective in alleviating hyperparathyroidism and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but patients who underwent total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showed a tendency toward lower PTH level with an increased risk of </w:t>
      </w:r>
      <w:proofErr w:type="spellStart"/>
      <w:proofErr w:type="gramStart"/>
      <w:r w:rsidRPr="00AB6C30">
        <w:rPr>
          <w:rFonts w:ascii="Book Antiqua" w:hAnsi="Book Antiqua"/>
          <w:sz w:val="24"/>
          <w:szCs w:val="24"/>
        </w:rPr>
        <w:t>hypoparathyroidism</w:t>
      </w:r>
      <w:proofErr w:type="spellEnd"/>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113]</w:t>
      </w:r>
      <w:r w:rsidRPr="00AB6C30">
        <w:rPr>
          <w:rFonts w:ascii="Book Antiqua" w:hAnsi="Book Antiqua"/>
          <w:sz w:val="24"/>
          <w:szCs w:val="24"/>
        </w:rPr>
        <w:t xml:space="preserve">. Subtotal to near total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is now a standard surgery for persistent hyperparathyroidism after kidney transplantation. A recent retrospective review revealed near total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resulting in a resolution of 96.9% of patients’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with 78.4% of the patients had PTH level below 250 </w:t>
      </w:r>
      <w:proofErr w:type="spellStart"/>
      <w:r w:rsidRPr="00AB6C30">
        <w:rPr>
          <w:rFonts w:ascii="Book Antiqua" w:hAnsi="Book Antiqua"/>
          <w:sz w:val="24"/>
          <w:szCs w:val="24"/>
        </w:rPr>
        <w:t>pg</w:t>
      </w:r>
      <w:proofErr w:type="spellEnd"/>
      <w:r w:rsidRPr="00AB6C30">
        <w:rPr>
          <w:rFonts w:ascii="Book Antiqua" w:hAnsi="Book Antiqua"/>
          <w:sz w:val="24"/>
          <w:szCs w:val="24"/>
        </w:rPr>
        <w:t xml:space="preserve">/mL after a median follow-up of 3 </w:t>
      </w:r>
      <w:proofErr w:type="gramStart"/>
      <w:r w:rsidRPr="00AB6C30">
        <w:rPr>
          <w:rFonts w:ascii="Book Antiqua" w:hAnsi="Book Antiqua"/>
          <w:sz w:val="24"/>
          <w:szCs w:val="24"/>
        </w:rPr>
        <w:t>years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114]</w:t>
      </w:r>
      <w:r w:rsidRPr="00AB6C30">
        <w:rPr>
          <w:rFonts w:ascii="Book Antiqua" w:hAnsi="Book Antiqua"/>
          <w:sz w:val="24"/>
          <w:szCs w:val="24"/>
        </w:rPr>
        <w:t xml:space="preserve">. After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deterioration of allograft function is common with a 5</w:t>
      </w:r>
      <w:r w:rsidR="000B2A84">
        <w:rPr>
          <w:rFonts w:ascii="Book Antiqua" w:hAnsi="Book Antiqua"/>
          <w:sz w:val="24"/>
          <w:szCs w:val="24"/>
          <w:lang w:eastAsia="zh-CN"/>
        </w:rPr>
        <w:t>%</w:t>
      </w:r>
      <w:r w:rsidRPr="00AB6C30">
        <w:rPr>
          <w:rFonts w:ascii="Book Antiqua" w:hAnsi="Book Antiqua"/>
          <w:sz w:val="24"/>
          <w:szCs w:val="24"/>
        </w:rPr>
        <w:t xml:space="preserve">-30% drop in </w:t>
      </w:r>
      <w:proofErr w:type="spellStart"/>
      <w:r w:rsidRPr="00AB6C30">
        <w:rPr>
          <w:rFonts w:ascii="Book Antiqua" w:hAnsi="Book Antiqua"/>
          <w:sz w:val="24"/>
          <w:szCs w:val="24"/>
        </w:rPr>
        <w:t>eGFR</w:t>
      </w:r>
      <w:proofErr w:type="spellEnd"/>
      <w:r w:rsidRPr="00AB6C30">
        <w:rPr>
          <w:rFonts w:ascii="Book Antiqua" w:hAnsi="Book Antiqua"/>
          <w:sz w:val="24"/>
          <w:szCs w:val="24"/>
        </w:rPr>
        <w:t xml:space="preserve">. The severity of baseline hyperparathyroidism seems to predict the decline in </w:t>
      </w:r>
      <w:proofErr w:type="spellStart"/>
      <w:r w:rsidRPr="00AB6C30">
        <w:rPr>
          <w:rFonts w:ascii="Book Antiqua" w:hAnsi="Book Antiqua"/>
          <w:sz w:val="24"/>
          <w:szCs w:val="24"/>
        </w:rPr>
        <w:t>eGFR</w:t>
      </w:r>
      <w:proofErr w:type="spellEnd"/>
      <w:r w:rsidRPr="00AB6C30">
        <w:rPr>
          <w:rFonts w:ascii="Book Antiqua" w:hAnsi="Book Antiqua"/>
          <w:sz w:val="24"/>
          <w:szCs w:val="24"/>
        </w:rPr>
        <w:t xml:space="preserve"> after surgery. Recovery of allograft function may be expected after 12 </w:t>
      </w:r>
      <w:proofErr w:type="spellStart"/>
      <w:proofErr w:type="gramStart"/>
      <w:r w:rsidR="00734438" w:rsidRPr="00AB6C30">
        <w:rPr>
          <w:rFonts w:ascii="Book Antiqua" w:hAnsi="Book Antiqua"/>
          <w:sz w:val="24"/>
          <w:szCs w:val="24"/>
        </w:rPr>
        <w:t>mo</w:t>
      </w:r>
      <w:proofErr w:type="spellEnd"/>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115]</w:t>
      </w:r>
      <w:r w:rsidRPr="00AB6C30">
        <w:rPr>
          <w:rFonts w:ascii="Book Antiqua" w:hAnsi="Book Antiqua"/>
          <w:sz w:val="24"/>
          <w:szCs w:val="24"/>
        </w:rPr>
        <w:t xml:space="preserve">. However, long-term follow-up data comparing </w:t>
      </w:r>
      <w:proofErr w:type="spellStart"/>
      <w:r w:rsidRPr="00AB6C30">
        <w:rPr>
          <w:rFonts w:ascii="Book Antiqua" w:hAnsi="Book Antiqua"/>
          <w:sz w:val="24"/>
          <w:szCs w:val="24"/>
        </w:rPr>
        <w:t>eGFR</w:t>
      </w:r>
      <w:proofErr w:type="spellEnd"/>
      <w:r w:rsidRPr="00AB6C30">
        <w:rPr>
          <w:rFonts w:ascii="Book Antiqua" w:hAnsi="Book Antiqua"/>
          <w:sz w:val="24"/>
          <w:szCs w:val="24"/>
        </w:rPr>
        <w:t xml:space="preserve"> in patients who underwent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during the first year after transplantation to those who had surgery prior to transplantation revealed a significantly lower </w:t>
      </w:r>
      <w:proofErr w:type="spellStart"/>
      <w:r w:rsidRPr="00AB6C30">
        <w:rPr>
          <w:rFonts w:ascii="Book Antiqua" w:hAnsi="Book Antiqua"/>
          <w:sz w:val="24"/>
          <w:szCs w:val="24"/>
        </w:rPr>
        <w:t>eGFR</w:t>
      </w:r>
      <w:proofErr w:type="spellEnd"/>
      <w:r w:rsidRPr="00AB6C30">
        <w:rPr>
          <w:rFonts w:ascii="Book Antiqua" w:hAnsi="Book Antiqua"/>
          <w:sz w:val="24"/>
          <w:szCs w:val="24"/>
        </w:rPr>
        <w:t xml:space="preserve"> after 5 years in patients who had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after transplantation</w:t>
      </w:r>
      <w:r w:rsidRPr="00AB6C30">
        <w:rPr>
          <w:rFonts w:ascii="Book Antiqua" w:hAnsi="Book Antiqua"/>
          <w:noProof/>
          <w:sz w:val="24"/>
          <w:szCs w:val="24"/>
          <w:vertAlign w:val="superscript"/>
        </w:rPr>
        <w:t>[116]</w:t>
      </w:r>
      <w:r w:rsidRPr="00AB6C30">
        <w:rPr>
          <w:rFonts w:ascii="Book Antiqua" w:hAnsi="Book Antiqua"/>
          <w:sz w:val="24"/>
          <w:szCs w:val="24"/>
        </w:rPr>
        <w:t xml:space="preserve">. Due to this evidence, several centers consider performing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during the waiting period in patients with severe hyperparathyroidism associated with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However, the cut-off values for PTH and serum calcium during the waiting period are not clearly defined. In one retrospective review, patients who required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after transplantation had an average PTH level of 723 </w:t>
      </w:r>
      <w:proofErr w:type="spellStart"/>
      <w:r w:rsidRPr="00AB6C30">
        <w:rPr>
          <w:rFonts w:ascii="Book Antiqua" w:hAnsi="Book Antiqua"/>
          <w:sz w:val="24"/>
          <w:szCs w:val="24"/>
        </w:rPr>
        <w:t>pg</w:t>
      </w:r>
      <w:proofErr w:type="spellEnd"/>
      <w:r w:rsidRPr="00AB6C30">
        <w:rPr>
          <w:rFonts w:ascii="Book Antiqua" w:hAnsi="Book Antiqua"/>
          <w:sz w:val="24"/>
          <w:szCs w:val="24"/>
        </w:rPr>
        <w:t xml:space="preserve">/mL (range 557-919) 1 year prior to transplantation whereas those who did not require surgery had an average PTH level of 212 </w:t>
      </w:r>
      <w:proofErr w:type="spellStart"/>
      <w:r w:rsidRPr="00AB6C30">
        <w:rPr>
          <w:rFonts w:ascii="Book Antiqua" w:hAnsi="Book Antiqua"/>
          <w:sz w:val="24"/>
          <w:szCs w:val="24"/>
        </w:rPr>
        <w:t>pg</w:t>
      </w:r>
      <w:proofErr w:type="spellEnd"/>
      <w:r w:rsidRPr="00AB6C30">
        <w:rPr>
          <w:rFonts w:ascii="Book Antiqua" w:hAnsi="Book Antiqua"/>
          <w:sz w:val="24"/>
          <w:szCs w:val="24"/>
        </w:rPr>
        <w:t>/mL (range 160-439)</w:t>
      </w:r>
      <w:r w:rsidRPr="00AB6C30">
        <w:rPr>
          <w:rFonts w:ascii="Book Antiqua" w:hAnsi="Book Antiqua"/>
          <w:noProof/>
          <w:sz w:val="24"/>
          <w:szCs w:val="24"/>
          <w:vertAlign w:val="superscript"/>
        </w:rPr>
        <w:t>[18]</w:t>
      </w:r>
      <w:r w:rsidRPr="00AB6C30">
        <w:rPr>
          <w:rFonts w:ascii="Book Antiqua" w:hAnsi="Book Antiqua"/>
          <w:sz w:val="24"/>
          <w:szCs w:val="24"/>
        </w:rPr>
        <w:t xml:space="preserve">. Data on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in end-stage renal disease (ESRD) patients on the waiting list </w:t>
      </w:r>
      <w:r w:rsidRPr="00AB6C30">
        <w:rPr>
          <w:rFonts w:ascii="Book Antiqua" w:hAnsi="Book Antiqua"/>
          <w:sz w:val="24"/>
          <w:szCs w:val="24"/>
        </w:rPr>
        <w:lastRenderedPageBreak/>
        <w:t xml:space="preserve">indicated that total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with </w:t>
      </w:r>
      <w:proofErr w:type="spellStart"/>
      <w:r w:rsidRPr="00AB6C30">
        <w:rPr>
          <w:rFonts w:ascii="Book Antiqua" w:hAnsi="Book Antiqua"/>
          <w:sz w:val="24"/>
          <w:szCs w:val="24"/>
        </w:rPr>
        <w:t>autotransplantation</w:t>
      </w:r>
      <w:proofErr w:type="spellEnd"/>
      <w:r w:rsidRPr="00AB6C30">
        <w:rPr>
          <w:rFonts w:ascii="Book Antiqua" w:hAnsi="Book Antiqua"/>
          <w:sz w:val="24"/>
          <w:szCs w:val="24"/>
        </w:rPr>
        <w:t xml:space="preserve"> could cause permanent </w:t>
      </w:r>
      <w:proofErr w:type="spellStart"/>
      <w:r w:rsidRPr="00AB6C30">
        <w:rPr>
          <w:rFonts w:ascii="Book Antiqua" w:hAnsi="Book Antiqua"/>
          <w:sz w:val="24"/>
          <w:szCs w:val="24"/>
        </w:rPr>
        <w:t>hypocalcemia</w:t>
      </w:r>
      <w:proofErr w:type="spellEnd"/>
      <w:r w:rsidRPr="00AB6C30">
        <w:rPr>
          <w:rFonts w:ascii="Book Antiqua" w:hAnsi="Book Antiqua"/>
          <w:sz w:val="24"/>
          <w:szCs w:val="24"/>
        </w:rPr>
        <w:t xml:space="preserve"> in 50</w:t>
      </w:r>
      <w:r w:rsidR="00734438" w:rsidRPr="00AB6C30">
        <w:rPr>
          <w:rFonts w:ascii="Book Antiqua" w:hAnsi="Book Antiqua"/>
          <w:sz w:val="24"/>
          <w:szCs w:val="24"/>
          <w:lang w:eastAsia="zh-CN"/>
        </w:rPr>
        <w:t>%</w:t>
      </w:r>
      <w:r w:rsidRPr="00AB6C30">
        <w:rPr>
          <w:rFonts w:ascii="Book Antiqua" w:hAnsi="Book Antiqua"/>
          <w:sz w:val="24"/>
          <w:szCs w:val="24"/>
        </w:rPr>
        <w:t xml:space="preserve">-83% after transplantation whereas less-than-total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resulted in </w:t>
      </w:r>
      <w:proofErr w:type="spellStart"/>
      <w:r w:rsidRPr="00AB6C30">
        <w:rPr>
          <w:rFonts w:ascii="Book Antiqua" w:hAnsi="Book Antiqua"/>
          <w:sz w:val="24"/>
          <w:szCs w:val="24"/>
        </w:rPr>
        <w:t>normocalcemia</w:t>
      </w:r>
      <w:proofErr w:type="spellEnd"/>
      <w:r w:rsidRPr="00AB6C30">
        <w:rPr>
          <w:rFonts w:ascii="Book Antiqua" w:hAnsi="Book Antiqua"/>
          <w:sz w:val="24"/>
          <w:szCs w:val="24"/>
        </w:rPr>
        <w:t xml:space="preserve"> in all </w:t>
      </w:r>
      <w:proofErr w:type="gramStart"/>
      <w:r w:rsidRPr="00AB6C30">
        <w:rPr>
          <w:rFonts w:ascii="Book Antiqua" w:hAnsi="Book Antiqua"/>
          <w:sz w:val="24"/>
          <w:szCs w:val="24"/>
        </w:rPr>
        <w:t>patients</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117]</w:t>
      </w:r>
      <w:r w:rsidRPr="00AB6C30">
        <w:rPr>
          <w:rFonts w:ascii="Book Antiqua" w:hAnsi="Book Antiqua"/>
          <w:sz w:val="24"/>
          <w:szCs w:val="24"/>
        </w:rPr>
        <w:t xml:space="preserve">. After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it is better to wait until serum calcium and phosphate are stable and hungry bone syndrome subsides before proceeding to kidney transplantation in order to avoid intractable </w:t>
      </w:r>
      <w:proofErr w:type="spellStart"/>
      <w:r w:rsidRPr="00AB6C30">
        <w:rPr>
          <w:rFonts w:ascii="Book Antiqua" w:hAnsi="Book Antiqua"/>
          <w:sz w:val="24"/>
          <w:szCs w:val="24"/>
        </w:rPr>
        <w:t>hypocalcemia</w:t>
      </w:r>
      <w:proofErr w:type="spellEnd"/>
      <w:r w:rsidRPr="00AB6C30">
        <w:rPr>
          <w:rFonts w:ascii="Book Antiqua" w:hAnsi="Book Antiqua"/>
          <w:sz w:val="24"/>
          <w:szCs w:val="24"/>
        </w:rPr>
        <w:t xml:space="preserve"> postoperatively. In those who did not have surgery prior to transplantation, currently, there is no consensus as to when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should be performed. It is recommended that, during the first year, physicians should try to manage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and hyperparathyroidism with available medications in order to allow the time for the shrinkage of hyperplastic parathyroid glands to </w:t>
      </w:r>
      <w:proofErr w:type="gramStart"/>
      <w:r w:rsidRPr="00AB6C30">
        <w:rPr>
          <w:rFonts w:ascii="Book Antiqua" w:hAnsi="Book Antiqua"/>
          <w:sz w:val="24"/>
          <w:szCs w:val="24"/>
        </w:rPr>
        <w:t>occur</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118</w:t>
      </w:r>
      <w:r w:rsidR="00D87FD9" w:rsidRPr="00AB6C30">
        <w:rPr>
          <w:rFonts w:ascii="Book Antiqua" w:hAnsi="Book Antiqua"/>
          <w:noProof/>
          <w:sz w:val="24"/>
          <w:szCs w:val="24"/>
          <w:vertAlign w:val="superscript"/>
        </w:rPr>
        <w:t>,</w:t>
      </w:r>
      <w:r w:rsidRPr="00AB6C30">
        <w:rPr>
          <w:rFonts w:ascii="Book Antiqua" w:hAnsi="Book Antiqua"/>
          <w:noProof/>
          <w:sz w:val="24"/>
          <w:szCs w:val="24"/>
          <w:vertAlign w:val="superscript"/>
        </w:rPr>
        <w:t>119]</w:t>
      </w:r>
      <w:r w:rsidRPr="00AB6C30">
        <w:rPr>
          <w:rFonts w:ascii="Book Antiqua" w:hAnsi="Book Antiqua"/>
          <w:sz w:val="24"/>
          <w:szCs w:val="24"/>
        </w:rPr>
        <w:t xml:space="preserve">. If patients continue to have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 xml:space="preserve"> with elevated PTH levels despite the use of active vitamin D and/or </w:t>
      </w:r>
      <w:proofErr w:type="spellStart"/>
      <w:r w:rsidRPr="00AB6C30">
        <w:rPr>
          <w:rFonts w:ascii="Book Antiqua" w:hAnsi="Book Antiqua"/>
          <w:sz w:val="24"/>
          <w:szCs w:val="24"/>
        </w:rPr>
        <w:t>calcimimetic</w:t>
      </w:r>
      <w:proofErr w:type="spellEnd"/>
      <w:r w:rsidRPr="00AB6C30">
        <w:rPr>
          <w:rFonts w:ascii="Book Antiqua" w:hAnsi="Book Antiqua"/>
          <w:sz w:val="24"/>
          <w:szCs w:val="24"/>
        </w:rPr>
        <w:t xml:space="preserve"> after 1 year, display a continuous decline in BMD or develop a fracture or nephrolithiasis in the kidney allograft, in these cases,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should be considered. If </w:t>
      </w:r>
      <w:proofErr w:type="spellStart"/>
      <w:r w:rsidRPr="00AB6C30">
        <w:rPr>
          <w:rFonts w:ascii="Book Antiqua" w:hAnsi="Book Antiqua"/>
          <w:sz w:val="24"/>
          <w:szCs w:val="24"/>
        </w:rPr>
        <w:t>hypoparathyroidism</w:t>
      </w:r>
      <w:proofErr w:type="spellEnd"/>
      <w:r w:rsidRPr="00AB6C30">
        <w:rPr>
          <w:rFonts w:ascii="Book Antiqua" w:hAnsi="Book Antiqua"/>
          <w:sz w:val="24"/>
          <w:szCs w:val="24"/>
        </w:rPr>
        <w:t xml:space="preserve"> develops after kidney transplantation, methods that have been used to correct </w:t>
      </w:r>
      <w:proofErr w:type="spellStart"/>
      <w:r w:rsidRPr="00AB6C30">
        <w:rPr>
          <w:rFonts w:ascii="Book Antiqua" w:hAnsi="Book Antiqua"/>
          <w:sz w:val="24"/>
          <w:szCs w:val="24"/>
        </w:rPr>
        <w:t>hypocalcemia</w:t>
      </w:r>
      <w:proofErr w:type="spellEnd"/>
      <w:r w:rsidRPr="00AB6C30">
        <w:rPr>
          <w:rFonts w:ascii="Book Antiqua" w:hAnsi="Book Antiqua"/>
          <w:sz w:val="24"/>
          <w:szCs w:val="24"/>
        </w:rPr>
        <w:t xml:space="preserve"> in addition to calcium and </w:t>
      </w:r>
      <w:proofErr w:type="spellStart"/>
      <w:r w:rsidRPr="00AB6C30">
        <w:rPr>
          <w:rFonts w:ascii="Book Antiqua" w:hAnsi="Book Antiqua"/>
          <w:sz w:val="24"/>
          <w:szCs w:val="24"/>
        </w:rPr>
        <w:t>calcitriol</w:t>
      </w:r>
      <w:proofErr w:type="spellEnd"/>
      <w:r w:rsidRPr="00AB6C30">
        <w:rPr>
          <w:rFonts w:ascii="Book Antiqua" w:hAnsi="Book Antiqua"/>
          <w:sz w:val="24"/>
          <w:szCs w:val="24"/>
        </w:rPr>
        <w:t xml:space="preserve"> include daily </w:t>
      </w:r>
      <w:proofErr w:type="spellStart"/>
      <w:r w:rsidRPr="00AB6C30">
        <w:rPr>
          <w:rFonts w:ascii="Book Antiqua" w:hAnsi="Book Antiqua"/>
          <w:sz w:val="24"/>
          <w:szCs w:val="24"/>
        </w:rPr>
        <w:t>teriparatide</w:t>
      </w:r>
      <w:proofErr w:type="spellEnd"/>
      <w:r w:rsidRPr="00AB6C30">
        <w:rPr>
          <w:rFonts w:ascii="Book Antiqua" w:hAnsi="Book Antiqua"/>
          <w:sz w:val="24"/>
          <w:szCs w:val="24"/>
        </w:rPr>
        <w:t xml:space="preserve"> injection, the use of parathyroid tissue that has been cryopreserved at the time of surgery for a </w:t>
      </w:r>
      <w:proofErr w:type="spellStart"/>
      <w:r w:rsidRPr="00AB6C30">
        <w:rPr>
          <w:rFonts w:ascii="Book Antiqua" w:hAnsi="Book Antiqua"/>
          <w:sz w:val="24"/>
          <w:szCs w:val="24"/>
        </w:rPr>
        <w:t>metachronous</w:t>
      </w:r>
      <w:proofErr w:type="spellEnd"/>
      <w:r w:rsidRPr="00AB6C30">
        <w:rPr>
          <w:rFonts w:ascii="Book Antiqua" w:hAnsi="Book Antiqua"/>
          <w:sz w:val="24"/>
          <w:szCs w:val="24"/>
        </w:rPr>
        <w:t xml:space="preserve"> </w:t>
      </w:r>
      <w:proofErr w:type="spellStart"/>
      <w:r w:rsidRPr="00AB6C30">
        <w:rPr>
          <w:rFonts w:ascii="Book Antiqua" w:hAnsi="Book Antiqua"/>
          <w:sz w:val="24"/>
          <w:szCs w:val="24"/>
        </w:rPr>
        <w:t>autotransplantation</w:t>
      </w:r>
      <w:proofErr w:type="spellEnd"/>
      <w:r w:rsidRPr="00AB6C30">
        <w:rPr>
          <w:rFonts w:ascii="Book Antiqua" w:hAnsi="Book Antiqua"/>
          <w:sz w:val="24"/>
          <w:szCs w:val="24"/>
        </w:rPr>
        <w:t xml:space="preserve"> and parathyroid </w:t>
      </w:r>
      <w:proofErr w:type="spellStart"/>
      <w:r w:rsidRPr="00AB6C30">
        <w:rPr>
          <w:rFonts w:ascii="Book Antiqua" w:hAnsi="Book Antiqua"/>
          <w:sz w:val="24"/>
          <w:szCs w:val="24"/>
        </w:rPr>
        <w:t>allotransplantation</w:t>
      </w:r>
      <w:proofErr w:type="spellEnd"/>
      <w:r w:rsidRPr="00AB6C30">
        <w:rPr>
          <w:rFonts w:ascii="Book Antiqua" w:hAnsi="Book Antiqua"/>
          <w:sz w:val="24"/>
          <w:szCs w:val="24"/>
        </w:rPr>
        <w:t xml:space="preserve"> from a well-matched living or cadaveric </w:t>
      </w:r>
      <w:proofErr w:type="gramStart"/>
      <w:r w:rsidRPr="00AB6C30">
        <w:rPr>
          <w:rFonts w:ascii="Book Antiqua" w:hAnsi="Book Antiqua"/>
          <w:sz w:val="24"/>
          <w:szCs w:val="24"/>
        </w:rPr>
        <w:t>donor</w:t>
      </w:r>
      <w:r w:rsidRPr="00AB6C30">
        <w:rPr>
          <w:rFonts w:ascii="Book Antiqua" w:hAnsi="Book Antiqua"/>
          <w:noProof/>
          <w:sz w:val="24"/>
          <w:szCs w:val="24"/>
          <w:vertAlign w:val="superscript"/>
        </w:rPr>
        <w:t>[</w:t>
      </w:r>
      <w:proofErr w:type="gramEnd"/>
      <w:r w:rsidRPr="00AB6C30">
        <w:rPr>
          <w:rFonts w:ascii="Book Antiqua" w:hAnsi="Book Antiqua"/>
          <w:noProof/>
          <w:sz w:val="24"/>
          <w:szCs w:val="24"/>
          <w:vertAlign w:val="superscript"/>
        </w:rPr>
        <w:t>120-122]</w:t>
      </w:r>
      <w:r w:rsidRPr="00AB6C30">
        <w:rPr>
          <w:rFonts w:ascii="Book Antiqua" w:hAnsi="Book Antiqua"/>
          <w:sz w:val="24"/>
          <w:szCs w:val="24"/>
        </w:rPr>
        <w:t>.</w:t>
      </w:r>
    </w:p>
    <w:p w:rsidR="00734438" w:rsidRPr="00AB6C30" w:rsidRDefault="00734438" w:rsidP="00493B84">
      <w:pPr>
        <w:spacing w:after="0" w:line="360" w:lineRule="auto"/>
        <w:jc w:val="both"/>
        <w:rPr>
          <w:rFonts w:ascii="Book Antiqua" w:hAnsi="Book Antiqua"/>
          <w:sz w:val="24"/>
          <w:szCs w:val="24"/>
          <w:lang w:eastAsia="zh-CN"/>
        </w:rPr>
      </w:pPr>
    </w:p>
    <w:p w:rsidR="00166161" w:rsidRPr="00AB6C30" w:rsidRDefault="00166161" w:rsidP="00493B84">
      <w:pPr>
        <w:spacing w:after="0" w:line="360" w:lineRule="auto"/>
        <w:jc w:val="both"/>
        <w:rPr>
          <w:rFonts w:ascii="Book Antiqua" w:hAnsi="Book Antiqua"/>
          <w:b/>
          <w:bCs/>
          <w:caps/>
          <w:sz w:val="24"/>
          <w:szCs w:val="24"/>
        </w:rPr>
      </w:pPr>
      <w:r w:rsidRPr="00AB6C30">
        <w:rPr>
          <w:rFonts w:ascii="Book Antiqua" w:hAnsi="Book Antiqua"/>
          <w:b/>
          <w:bCs/>
          <w:caps/>
          <w:sz w:val="24"/>
          <w:szCs w:val="24"/>
        </w:rPr>
        <w:t>Conclusion</w:t>
      </w:r>
    </w:p>
    <w:p w:rsidR="00166161" w:rsidRPr="00AB6C30" w:rsidRDefault="00166161" w:rsidP="00493B84">
      <w:pPr>
        <w:spacing w:after="0" w:line="360" w:lineRule="auto"/>
        <w:jc w:val="both"/>
        <w:rPr>
          <w:rFonts w:ascii="Book Antiqua" w:hAnsi="Book Antiqua"/>
          <w:sz w:val="24"/>
          <w:szCs w:val="24"/>
        </w:rPr>
      </w:pPr>
      <w:r w:rsidRPr="00AB6C30">
        <w:rPr>
          <w:rFonts w:ascii="Book Antiqua" w:hAnsi="Book Antiqua"/>
          <w:sz w:val="24"/>
          <w:szCs w:val="24"/>
        </w:rPr>
        <w:t xml:space="preserve">Despite the improvement in mineral metabolites and mineral regulating hormones after kidney transplantation, abnormal bone and mineral metabolism continues to present in most patients. High dose corticosteroid and persistent hyperparathyroidism are the most important factors influencing abnormal bone and mineral metabolism after kidney transplantation. The use of active vitamin D with or without bisphosphonate is effective in preventing early post-transplant bone loss. Steroid withdrawal regimen is also beneficial in preservation of bone mass in long-term. </w:t>
      </w:r>
      <w:proofErr w:type="spellStart"/>
      <w:r w:rsidRPr="00AB6C30">
        <w:rPr>
          <w:rFonts w:ascii="Book Antiqua" w:hAnsi="Book Antiqua"/>
          <w:sz w:val="24"/>
          <w:szCs w:val="24"/>
        </w:rPr>
        <w:t>Calcimimetic</w:t>
      </w:r>
      <w:proofErr w:type="spellEnd"/>
      <w:r w:rsidRPr="00AB6C30">
        <w:rPr>
          <w:rFonts w:ascii="Book Antiqua" w:hAnsi="Book Antiqua"/>
          <w:sz w:val="24"/>
          <w:szCs w:val="24"/>
        </w:rPr>
        <w:t xml:space="preserve"> is an alternative therapy to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in KT recipients with persistent hyperparathyroidism. If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is required, subtotal to near total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appears to result in a more favorable long-term outcome compared to total </w:t>
      </w:r>
      <w:proofErr w:type="spellStart"/>
      <w:r w:rsidRPr="00AB6C30">
        <w:rPr>
          <w:rFonts w:ascii="Book Antiqua" w:hAnsi="Book Antiqua"/>
          <w:sz w:val="24"/>
          <w:szCs w:val="24"/>
        </w:rPr>
        <w:t>parathyroidectomy</w:t>
      </w:r>
      <w:proofErr w:type="spellEnd"/>
      <w:r w:rsidRPr="00AB6C30">
        <w:rPr>
          <w:rFonts w:ascii="Book Antiqua" w:hAnsi="Book Antiqua"/>
          <w:sz w:val="24"/>
          <w:szCs w:val="24"/>
        </w:rPr>
        <w:t xml:space="preserve"> with </w:t>
      </w:r>
      <w:proofErr w:type="spellStart"/>
      <w:r w:rsidRPr="00AB6C30">
        <w:rPr>
          <w:rFonts w:ascii="Book Antiqua" w:hAnsi="Book Antiqua"/>
          <w:sz w:val="24"/>
          <w:szCs w:val="24"/>
        </w:rPr>
        <w:t>autotransplantation</w:t>
      </w:r>
      <w:proofErr w:type="spellEnd"/>
      <w:r w:rsidRPr="00AB6C30">
        <w:rPr>
          <w:rFonts w:ascii="Book Antiqua" w:hAnsi="Book Antiqua"/>
          <w:sz w:val="24"/>
          <w:szCs w:val="24"/>
        </w:rPr>
        <w:t xml:space="preserve">. Performing </w:t>
      </w:r>
      <w:proofErr w:type="spellStart"/>
      <w:r w:rsidRPr="00AB6C30">
        <w:rPr>
          <w:rFonts w:ascii="Book Antiqua" w:hAnsi="Book Antiqua"/>
          <w:sz w:val="24"/>
          <w:szCs w:val="24"/>
        </w:rPr>
        <w:lastRenderedPageBreak/>
        <w:t>parathyroidectomy</w:t>
      </w:r>
      <w:proofErr w:type="spellEnd"/>
      <w:r w:rsidRPr="00AB6C30">
        <w:rPr>
          <w:rFonts w:ascii="Book Antiqua" w:hAnsi="Book Antiqua"/>
          <w:sz w:val="24"/>
          <w:szCs w:val="24"/>
        </w:rPr>
        <w:t xml:space="preserve"> during the waiting period prior to transplantation is also preferred in patients with severe hyperparathyroidism associated with </w:t>
      </w:r>
      <w:proofErr w:type="spellStart"/>
      <w:r w:rsidRPr="00AB6C30">
        <w:rPr>
          <w:rFonts w:ascii="Book Antiqua" w:hAnsi="Book Antiqua"/>
          <w:sz w:val="24"/>
          <w:szCs w:val="24"/>
        </w:rPr>
        <w:t>hypercalcemia</w:t>
      </w:r>
      <w:proofErr w:type="spellEnd"/>
      <w:r w:rsidRPr="00AB6C30">
        <w:rPr>
          <w:rFonts w:ascii="Book Antiqua" w:hAnsi="Book Antiqua"/>
          <w:sz w:val="24"/>
          <w:szCs w:val="24"/>
        </w:rPr>
        <w:t>.</w:t>
      </w:r>
    </w:p>
    <w:p w:rsidR="00166161" w:rsidRPr="00AB6C30" w:rsidRDefault="00166161" w:rsidP="00493B84">
      <w:pPr>
        <w:spacing w:after="0" w:line="360" w:lineRule="auto"/>
        <w:jc w:val="both"/>
        <w:rPr>
          <w:rFonts w:ascii="Book Antiqua" w:hAnsi="Book Antiqua"/>
          <w:sz w:val="24"/>
          <w:szCs w:val="24"/>
        </w:rPr>
      </w:pPr>
      <w:r w:rsidRPr="00AB6C30">
        <w:rPr>
          <w:rFonts w:ascii="Book Antiqua" w:hAnsi="Book Antiqua"/>
          <w:sz w:val="24"/>
          <w:szCs w:val="24"/>
        </w:rPr>
        <w:br w:type="page"/>
      </w:r>
    </w:p>
    <w:p w:rsidR="00166161" w:rsidRPr="002E4D3A" w:rsidRDefault="00166161" w:rsidP="002E4D3A">
      <w:pPr>
        <w:spacing w:after="0" w:line="360" w:lineRule="auto"/>
        <w:jc w:val="both"/>
        <w:rPr>
          <w:rFonts w:ascii="Book Antiqua" w:hAnsi="Book Antiqua"/>
          <w:b/>
          <w:bCs/>
          <w:caps/>
          <w:sz w:val="24"/>
          <w:szCs w:val="24"/>
          <w:lang w:eastAsia="zh-CN"/>
        </w:rPr>
      </w:pPr>
      <w:r w:rsidRPr="002E4D3A">
        <w:rPr>
          <w:rFonts w:ascii="Book Antiqua" w:hAnsi="Book Antiqua"/>
          <w:b/>
          <w:bCs/>
          <w:caps/>
          <w:sz w:val="24"/>
          <w:szCs w:val="24"/>
        </w:rPr>
        <w:lastRenderedPageBreak/>
        <w:t>References</w:t>
      </w:r>
    </w:p>
    <w:p w:rsidR="002E4D3A" w:rsidRPr="002E4D3A" w:rsidRDefault="007B7131" w:rsidP="002E4D3A">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hint="eastAsia"/>
          <w:b/>
          <w:bCs/>
          <w:sz w:val="24"/>
          <w:szCs w:val="24"/>
          <w:lang w:eastAsia="zh-CN" w:bidi="ar-SA"/>
        </w:rPr>
        <w:t xml:space="preserve">1 </w:t>
      </w:r>
      <w:proofErr w:type="spellStart"/>
      <w:r w:rsidR="002E4D3A" w:rsidRPr="002E4D3A">
        <w:rPr>
          <w:rFonts w:ascii="Book Antiqua" w:eastAsia="宋体" w:hAnsi="Book Antiqua" w:cs="宋体"/>
          <w:b/>
          <w:bCs/>
          <w:sz w:val="24"/>
          <w:szCs w:val="24"/>
          <w:lang w:eastAsia="zh-CN" w:bidi="ar-SA"/>
        </w:rPr>
        <w:t>Bhan</w:t>
      </w:r>
      <w:proofErr w:type="spellEnd"/>
      <w:r w:rsidR="002E4D3A" w:rsidRPr="002E4D3A">
        <w:rPr>
          <w:rFonts w:ascii="Book Antiqua" w:eastAsia="宋体" w:hAnsi="Book Antiqua" w:cs="宋体"/>
          <w:b/>
          <w:bCs/>
          <w:sz w:val="24"/>
          <w:szCs w:val="24"/>
          <w:lang w:eastAsia="zh-CN" w:bidi="ar-SA"/>
        </w:rPr>
        <w:t xml:space="preserve"> I</w:t>
      </w:r>
      <w:r w:rsidR="002E4D3A" w:rsidRPr="002E4D3A">
        <w:rPr>
          <w:rFonts w:ascii="Book Antiqua" w:eastAsia="宋体" w:hAnsi="Book Antiqua" w:cs="宋体"/>
          <w:sz w:val="24"/>
          <w:szCs w:val="24"/>
          <w:lang w:eastAsia="zh-CN" w:bidi="ar-SA"/>
        </w:rPr>
        <w:t xml:space="preserve">, Shah A, Holmes J, </w:t>
      </w:r>
      <w:proofErr w:type="spellStart"/>
      <w:r w:rsidR="002E4D3A" w:rsidRPr="002E4D3A">
        <w:rPr>
          <w:rFonts w:ascii="Book Antiqua" w:eastAsia="宋体" w:hAnsi="Book Antiqua" w:cs="宋体"/>
          <w:sz w:val="24"/>
          <w:szCs w:val="24"/>
          <w:lang w:eastAsia="zh-CN" w:bidi="ar-SA"/>
        </w:rPr>
        <w:t>Isakova</w:t>
      </w:r>
      <w:proofErr w:type="spellEnd"/>
      <w:r w:rsidR="002E4D3A" w:rsidRPr="002E4D3A">
        <w:rPr>
          <w:rFonts w:ascii="Book Antiqua" w:eastAsia="宋体" w:hAnsi="Book Antiqua" w:cs="宋体"/>
          <w:sz w:val="24"/>
          <w:szCs w:val="24"/>
          <w:lang w:eastAsia="zh-CN" w:bidi="ar-SA"/>
        </w:rPr>
        <w:t xml:space="preserve"> T, Gutierrez O, Burnett SM, </w:t>
      </w:r>
      <w:proofErr w:type="spellStart"/>
      <w:r w:rsidR="002E4D3A" w:rsidRPr="002E4D3A">
        <w:rPr>
          <w:rFonts w:ascii="Book Antiqua" w:eastAsia="宋体" w:hAnsi="Book Antiqua" w:cs="宋体"/>
          <w:sz w:val="24"/>
          <w:szCs w:val="24"/>
          <w:lang w:eastAsia="zh-CN" w:bidi="ar-SA"/>
        </w:rPr>
        <w:t>Jüppner</w:t>
      </w:r>
      <w:proofErr w:type="spellEnd"/>
      <w:r w:rsidR="002E4D3A" w:rsidRPr="002E4D3A">
        <w:rPr>
          <w:rFonts w:ascii="Book Antiqua" w:eastAsia="宋体" w:hAnsi="Book Antiqua" w:cs="宋体"/>
          <w:sz w:val="24"/>
          <w:szCs w:val="24"/>
          <w:lang w:eastAsia="zh-CN" w:bidi="ar-SA"/>
        </w:rPr>
        <w:t xml:space="preserve"> H, Wolf M. Post-transplant hypophosphatemia: Tertiary 'Hyper-</w:t>
      </w:r>
      <w:proofErr w:type="spellStart"/>
      <w:r w:rsidR="002E4D3A" w:rsidRPr="002E4D3A">
        <w:rPr>
          <w:rFonts w:ascii="Book Antiqua" w:eastAsia="宋体" w:hAnsi="Book Antiqua" w:cs="宋体"/>
          <w:sz w:val="24"/>
          <w:szCs w:val="24"/>
          <w:lang w:eastAsia="zh-CN" w:bidi="ar-SA"/>
        </w:rPr>
        <w:t>Phosphatoninism</w:t>
      </w:r>
      <w:proofErr w:type="spellEnd"/>
      <w:r w:rsidR="002E4D3A" w:rsidRPr="002E4D3A">
        <w:rPr>
          <w:rFonts w:ascii="Book Antiqua" w:eastAsia="宋体" w:hAnsi="Book Antiqua" w:cs="宋体"/>
          <w:sz w:val="24"/>
          <w:szCs w:val="24"/>
          <w:lang w:eastAsia="zh-CN" w:bidi="ar-SA"/>
        </w:rPr>
        <w:t xml:space="preserve">'? </w:t>
      </w:r>
      <w:r w:rsidR="002E4D3A" w:rsidRPr="002E4D3A">
        <w:rPr>
          <w:rFonts w:ascii="Book Antiqua" w:eastAsia="宋体" w:hAnsi="Book Antiqua" w:cs="宋体"/>
          <w:i/>
          <w:iCs/>
          <w:sz w:val="24"/>
          <w:szCs w:val="24"/>
          <w:lang w:eastAsia="zh-CN" w:bidi="ar-SA"/>
        </w:rPr>
        <w:t xml:space="preserve">Kidney </w:t>
      </w:r>
      <w:proofErr w:type="spellStart"/>
      <w:r w:rsidR="002E4D3A" w:rsidRPr="002E4D3A">
        <w:rPr>
          <w:rFonts w:ascii="Book Antiqua" w:eastAsia="宋体" w:hAnsi="Book Antiqua" w:cs="宋体"/>
          <w:i/>
          <w:iCs/>
          <w:sz w:val="24"/>
          <w:szCs w:val="24"/>
          <w:lang w:eastAsia="zh-CN" w:bidi="ar-SA"/>
        </w:rPr>
        <w:t>Int</w:t>
      </w:r>
      <w:proofErr w:type="spellEnd"/>
      <w:r w:rsidR="002E4D3A" w:rsidRPr="002E4D3A">
        <w:rPr>
          <w:rFonts w:ascii="Book Antiqua" w:eastAsia="宋体" w:hAnsi="Book Antiqua" w:cs="宋体"/>
          <w:sz w:val="24"/>
          <w:szCs w:val="24"/>
          <w:lang w:eastAsia="zh-CN" w:bidi="ar-SA"/>
        </w:rPr>
        <w:t xml:space="preserve"> 2006; </w:t>
      </w:r>
      <w:r w:rsidR="002E4D3A" w:rsidRPr="002E4D3A">
        <w:rPr>
          <w:rFonts w:ascii="Book Antiqua" w:eastAsia="宋体" w:hAnsi="Book Antiqua" w:cs="宋体"/>
          <w:b/>
          <w:bCs/>
          <w:sz w:val="24"/>
          <w:szCs w:val="24"/>
          <w:lang w:eastAsia="zh-CN" w:bidi="ar-SA"/>
        </w:rPr>
        <w:t>70</w:t>
      </w:r>
      <w:r w:rsidR="002E4D3A" w:rsidRPr="002E4D3A">
        <w:rPr>
          <w:rFonts w:ascii="Book Antiqua" w:eastAsia="宋体" w:hAnsi="Book Antiqua" w:cs="宋体"/>
          <w:sz w:val="24"/>
          <w:szCs w:val="24"/>
          <w:lang w:eastAsia="zh-CN" w:bidi="ar-SA"/>
        </w:rPr>
        <w:t>: 1486-1494 [PMID: 16941023 DOI: 10.1038/sj.ki.5001788]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2 </w:t>
      </w:r>
      <w:proofErr w:type="spellStart"/>
      <w:r w:rsidRPr="002E4D3A">
        <w:rPr>
          <w:rFonts w:ascii="Book Antiqua" w:eastAsia="宋体" w:hAnsi="Book Antiqua" w:cs="宋体"/>
          <w:b/>
          <w:bCs/>
          <w:sz w:val="24"/>
          <w:szCs w:val="24"/>
          <w:lang w:eastAsia="zh-CN" w:bidi="ar-SA"/>
        </w:rPr>
        <w:t>Pande</w:t>
      </w:r>
      <w:proofErr w:type="spellEnd"/>
      <w:r w:rsidRPr="002E4D3A">
        <w:rPr>
          <w:rFonts w:ascii="Book Antiqua" w:eastAsia="宋体" w:hAnsi="Book Antiqua" w:cs="宋体"/>
          <w:b/>
          <w:bCs/>
          <w:sz w:val="24"/>
          <w:szCs w:val="24"/>
          <w:lang w:eastAsia="zh-CN" w:bidi="ar-SA"/>
        </w:rPr>
        <w:t xml:space="preserve"> S</w:t>
      </w:r>
      <w:r w:rsidRPr="002E4D3A">
        <w:rPr>
          <w:rFonts w:ascii="Book Antiqua" w:eastAsia="宋体" w:hAnsi="Book Antiqua" w:cs="宋体"/>
          <w:sz w:val="24"/>
          <w:szCs w:val="24"/>
          <w:lang w:eastAsia="zh-CN" w:bidi="ar-SA"/>
        </w:rPr>
        <w:t xml:space="preserve">, Ritter CS, Rothstein M, </w:t>
      </w:r>
      <w:proofErr w:type="spellStart"/>
      <w:r w:rsidRPr="002E4D3A">
        <w:rPr>
          <w:rFonts w:ascii="Book Antiqua" w:eastAsia="宋体" w:hAnsi="Book Antiqua" w:cs="宋体"/>
          <w:sz w:val="24"/>
          <w:szCs w:val="24"/>
          <w:lang w:eastAsia="zh-CN" w:bidi="ar-SA"/>
        </w:rPr>
        <w:t>Wiesen</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Vassiliadis</w:t>
      </w:r>
      <w:proofErr w:type="spellEnd"/>
      <w:r w:rsidRPr="002E4D3A">
        <w:rPr>
          <w:rFonts w:ascii="Book Antiqua" w:eastAsia="宋体" w:hAnsi="Book Antiqua" w:cs="宋体"/>
          <w:sz w:val="24"/>
          <w:szCs w:val="24"/>
          <w:lang w:eastAsia="zh-CN" w:bidi="ar-SA"/>
        </w:rPr>
        <w:t xml:space="preserve"> J, Kumar R, </w:t>
      </w:r>
      <w:proofErr w:type="spellStart"/>
      <w:r w:rsidRPr="002E4D3A">
        <w:rPr>
          <w:rFonts w:ascii="Book Antiqua" w:eastAsia="宋体" w:hAnsi="Book Antiqua" w:cs="宋体"/>
          <w:sz w:val="24"/>
          <w:szCs w:val="24"/>
          <w:lang w:eastAsia="zh-CN" w:bidi="ar-SA"/>
        </w:rPr>
        <w:t>Schiavi</w:t>
      </w:r>
      <w:proofErr w:type="spellEnd"/>
      <w:r w:rsidRPr="002E4D3A">
        <w:rPr>
          <w:rFonts w:ascii="Book Antiqua" w:eastAsia="宋体" w:hAnsi="Book Antiqua" w:cs="宋体"/>
          <w:sz w:val="24"/>
          <w:szCs w:val="24"/>
          <w:lang w:eastAsia="zh-CN" w:bidi="ar-SA"/>
        </w:rPr>
        <w:t xml:space="preserve"> SC, </w:t>
      </w:r>
      <w:proofErr w:type="spellStart"/>
      <w:r w:rsidRPr="002E4D3A">
        <w:rPr>
          <w:rFonts w:ascii="Book Antiqua" w:eastAsia="宋体" w:hAnsi="Book Antiqua" w:cs="宋体"/>
          <w:sz w:val="24"/>
          <w:szCs w:val="24"/>
          <w:lang w:eastAsia="zh-CN" w:bidi="ar-SA"/>
        </w:rPr>
        <w:t>Slatapolsky</w:t>
      </w:r>
      <w:proofErr w:type="spellEnd"/>
      <w:r w:rsidRPr="002E4D3A">
        <w:rPr>
          <w:rFonts w:ascii="Book Antiqua" w:eastAsia="宋体" w:hAnsi="Book Antiqua" w:cs="宋体"/>
          <w:sz w:val="24"/>
          <w:szCs w:val="24"/>
          <w:lang w:eastAsia="zh-CN" w:bidi="ar-SA"/>
        </w:rPr>
        <w:t xml:space="preserve"> E, Brown AJ. </w:t>
      </w:r>
      <w:proofErr w:type="gramStart"/>
      <w:r w:rsidRPr="002E4D3A">
        <w:rPr>
          <w:rFonts w:ascii="Book Antiqua" w:eastAsia="宋体" w:hAnsi="Book Antiqua" w:cs="宋体"/>
          <w:sz w:val="24"/>
          <w:szCs w:val="24"/>
          <w:lang w:eastAsia="zh-CN" w:bidi="ar-SA"/>
        </w:rPr>
        <w:t>FGF-23 and sFRP-4 in chronic kidney disease and post-renal transplantation.</w:t>
      </w:r>
      <w:proofErr w:type="gramEnd"/>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i/>
          <w:iCs/>
          <w:sz w:val="24"/>
          <w:szCs w:val="24"/>
          <w:lang w:eastAsia="zh-CN" w:bidi="ar-SA"/>
        </w:rPr>
        <w:t xml:space="preserve">Nephron </w:t>
      </w:r>
      <w:proofErr w:type="spellStart"/>
      <w:r w:rsidRPr="002E4D3A">
        <w:rPr>
          <w:rFonts w:ascii="Book Antiqua" w:eastAsia="宋体" w:hAnsi="Book Antiqua" w:cs="宋体"/>
          <w:i/>
          <w:iCs/>
          <w:sz w:val="24"/>
          <w:szCs w:val="24"/>
          <w:lang w:eastAsia="zh-CN" w:bidi="ar-SA"/>
        </w:rPr>
        <w:t>Physiol</w:t>
      </w:r>
      <w:proofErr w:type="spellEnd"/>
      <w:r w:rsidRPr="002E4D3A">
        <w:rPr>
          <w:rFonts w:ascii="Book Antiqua" w:eastAsia="宋体" w:hAnsi="Book Antiqua" w:cs="宋体"/>
          <w:sz w:val="24"/>
          <w:szCs w:val="24"/>
          <w:lang w:eastAsia="zh-CN" w:bidi="ar-SA"/>
        </w:rPr>
        <w:t xml:space="preserve"> 2006; </w:t>
      </w:r>
      <w:r w:rsidRPr="002E4D3A">
        <w:rPr>
          <w:rFonts w:ascii="Book Antiqua" w:eastAsia="宋体" w:hAnsi="Book Antiqua" w:cs="宋体"/>
          <w:b/>
          <w:bCs/>
          <w:sz w:val="24"/>
          <w:szCs w:val="24"/>
          <w:lang w:eastAsia="zh-CN" w:bidi="ar-SA"/>
        </w:rPr>
        <w:t>104</w:t>
      </w:r>
      <w:r w:rsidRPr="002E4D3A">
        <w:rPr>
          <w:rFonts w:ascii="Book Antiqua" w:eastAsia="宋体" w:hAnsi="Book Antiqua" w:cs="宋体"/>
          <w:sz w:val="24"/>
          <w:szCs w:val="24"/>
          <w:lang w:eastAsia="zh-CN" w:bidi="ar-SA"/>
        </w:rPr>
        <w:t>: p23-p32 [PMID: 16691036]</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3 </w:t>
      </w:r>
      <w:proofErr w:type="spellStart"/>
      <w:r w:rsidRPr="002E4D3A">
        <w:rPr>
          <w:rFonts w:ascii="Book Antiqua" w:eastAsia="宋体" w:hAnsi="Book Antiqua" w:cs="宋体"/>
          <w:b/>
          <w:bCs/>
          <w:sz w:val="24"/>
          <w:szCs w:val="24"/>
          <w:lang w:eastAsia="zh-CN" w:bidi="ar-SA"/>
        </w:rPr>
        <w:t>Evenepoel</w:t>
      </w:r>
      <w:proofErr w:type="spellEnd"/>
      <w:r w:rsidRPr="002E4D3A">
        <w:rPr>
          <w:rFonts w:ascii="Book Antiqua" w:eastAsia="宋体" w:hAnsi="Book Antiqua" w:cs="宋体"/>
          <w:b/>
          <w:bCs/>
          <w:sz w:val="24"/>
          <w:szCs w:val="24"/>
          <w:lang w:eastAsia="zh-CN" w:bidi="ar-SA"/>
        </w:rPr>
        <w:t xml:space="preserve"> P</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Naesens</w:t>
      </w:r>
      <w:proofErr w:type="spellEnd"/>
      <w:r w:rsidRPr="002E4D3A">
        <w:rPr>
          <w:rFonts w:ascii="Book Antiqua" w:eastAsia="宋体" w:hAnsi="Book Antiqua" w:cs="宋体"/>
          <w:sz w:val="24"/>
          <w:szCs w:val="24"/>
          <w:lang w:eastAsia="zh-CN" w:bidi="ar-SA"/>
        </w:rPr>
        <w:t xml:space="preserve"> M, </w:t>
      </w:r>
      <w:proofErr w:type="spellStart"/>
      <w:r w:rsidRPr="002E4D3A">
        <w:rPr>
          <w:rFonts w:ascii="Book Antiqua" w:eastAsia="宋体" w:hAnsi="Book Antiqua" w:cs="宋体"/>
          <w:sz w:val="24"/>
          <w:szCs w:val="24"/>
          <w:lang w:eastAsia="zh-CN" w:bidi="ar-SA"/>
        </w:rPr>
        <w:t>Claes</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Kuypers</w:t>
      </w:r>
      <w:proofErr w:type="spellEnd"/>
      <w:r w:rsidRPr="002E4D3A">
        <w:rPr>
          <w:rFonts w:ascii="Book Antiqua" w:eastAsia="宋体" w:hAnsi="Book Antiqua" w:cs="宋体"/>
          <w:sz w:val="24"/>
          <w:szCs w:val="24"/>
          <w:lang w:eastAsia="zh-CN" w:bidi="ar-SA"/>
        </w:rPr>
        <w:t xml:space="preserve"> D, </w:t>
      </w:r>
      <w:proofErr w:type="spellStart"/>
      <w:r w:rsidRPr="002E4D3A">
        <w:rPr>
          <w:rFonts w:ascii="Book Antiqua" w:eastAsia="宋体" w:hAnsi="Book Antiqua" w:cs="宋体"/>
          <w:sz w:val="24"/>
          <w:szCs w:val="24"/>
          <w:lang w:eastAsia="zh-CN" w:bidi="ar-SA"/>
        </w:rPr>
        <w:t>Vanrenterghem</w:t>
      </w:r>
      <w:proofErr w:type="spellEnd"/>
      <w:r w:rsidRPr="002E4D3A">
        <w:rPr>
          <w:rFonts w:ascii="Book Antiqua" w:eastAsia="宋体" w:hAnsi="Book Antiqua" w:cs="宋体"/>
          <w:sz w:val="24"/>
          <w:szCs w:val="24"/>
          <w:lang w:eastAsia="zh-CN" w:bidi="ar-SA"/>
        </w:rPr>
        <w:t xml:space="preserve"> Y. Tertiary '</w:t>
      </w:r>
      <w:proofErr w:type="spellStart"/>
      <w:r w:rsidRPr="002E4D3A">
        <w:rPr>
          <w:rFonts w:ascii="Book Antiqua" w:eastAsia="宋体" w:hAnsi="Book Antiqua" w:cs="宋体"/>
          <w:sz w:val="24"/>
          <w:szCs w:val="24"/>
          <w:lang w:eastAsia="zh-CN" w:bidi="ar-SA"/>
        </w:rPr>
        <w:t>hyperphosphatoninism</w:t>
      </w:r>
      <w:proofErr w:type="spellEnd"/>
      <w:r w:rsidRPr="002E4D3A">
        <w:rPr>
          <w:rFonts w:ascii="Book Antiqua" w:eastAsia="宋体" w:hAnsi="Book Antiqua" w:cs="宋体"/>
          <w:sz w:val="24"/>
          <w:szCs w:val="24"/>
          <w:lang w:eastAsia="zh-CN" w:bidi="ar-SA"/>
        </w:rPr>
        <w:t xml:space="preserve">' accentuates hypophosphatemia and suppresses </w:t>
      </w:r>
      <w:proofErr w:type="spellStart"/>
      <w:r w:rsidRPr="002E4D3A">
        <w:rPr>
          <w:rFonts w:ascii="Book Antiqua" w:eastAsia="宋体" w:hAnsi="Book Antiqua" w:cs="宋体"/>
          <w:sz w:val="24"/>
          <w:szCs w:val="24"/>
          <w:lang w:eastAsia="zh-CN" w:bidi="ar-SA"/>
        </w:rPr>
        <w:t>calcitriol</w:t>
      </w:r>
      <w:proofErr w:type="spellEnd"/>
      <w:r w:rsidRPr="002E4D3A">
        <w:rPr>
          <w:rFonts w:ascii="Book Antiqua" w:eastAsia="宋体" w:hAnsi="Book Antiqua" w:cs="宋体"/>
          <w:sz w:val="24"/>
          <w:szCs w:val="24"/>
          <w:lang w:eastAsia="zh-CN" w:bidi="ar-SA"/>
        </w:rPr>
        <w:t xml:space="preserve"> levels in renal transplant recipients. </w:t>
      </w:r>
      <w:r w:rsidRPr="002E4D3A">
        <w:rPr>
          <w:rFonts w:ascii="Book Antiqua" w:eastAsia="宋体" w:hAnsi="Book Antiqua" w:cs="宋体"/>
          <w:i/>
          <w:iCs/>
          <w:sz w:val="24"/>
          <w:szCs w:val="24"/>
          <w:lang w:eastAsia="zh-CN" w:bidi="ar-SA"/>
        </w:rPr>
        <w:t>Am J Transplant</w:t>
      </w:r>
      <w:r w:rsidRPr="002E4D3A">
        <w:rPr>
          <w:rFonts w:ascii="Book Antiqua" w:eastAsia="宋体" w:hAnsi="Book Antiqua" w:cs="宋体"/>
          <w:sz w:val="24"/>
          <w:szCs w:val="24"/>
          <w:lang w:eastAsia="zh-CN" w:bidi="ar-SA"/>
        </w:rPr>
        <w:t xml:space="preserve"> 2007; </w:t>
      </w:r>
      <w:r w:rsidRPr="002E4D3A">
        <w:rPr>
          <w:rFonts w:ascii="Book Antiqua" w:eastAsia="宋体" w:hAnsi="Book Antiqua" w:cs="宋体"/>
          <w:b/>
          <w:bCs/>
          <w:sz w:val="24"/>
          <w:szCs w:val="24"/>
          <w:lang w:eastAsia="zh-CN" w:bidi="ar-SA"/>
        </w:rPr>
        <w:t>7</w:t>
      </w:r>
      <w:r w:rsidRPr="002E4D3A">
        <w:rPr>
          <w:rFonts w:ascii="Book Antiqua" w:eastAsia="宋体" w:hAnsi="Book Antiqua" w:cs="宋体"/>
          <w:sz w:val="24"/>
          <w:szCs w:val="24"/>
          <w:lang w:eastAsia="zh-CN" w:bidi="ar-SA"/>
        </w:rPr>
        <w:t>: 1193-1200 [PMID: 17359508 DOI: 10.1111/j.1600-6143.2007.01753.x]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4 </w:t>
      </w:r>
      <w:r w:rsidRPr="002E4D3A">
        <w:rPr>
          <w:rFonts w:ascii="Book Antiqua" w:eastAsia="宋体" w:hAnsi="Book Antiqua" w:cs="宋体"/>
          <w:b/>
          <w:bCs/>
          <w:sz w:val="24"/>
          <w:szCs w:val="24"/>
          <w:lang w:eastAsia="zh-CN" w:bidi="ar-SA"/>
        </w:rPr>
        <w:t>Barros X</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Torregrosa</w:t>
      </w:r>
      <w:proofErr w:type="spellEnd"/>
      <w:r w:rsidRPr="002E4D3A">
        <w:rPr>
          <w:rFonts w:ascii="Book Antiqua" w:eastAsia="宋体" w:hAnsi="Book Antiqua" w:cs="宋体"/>
          <w:sz w:val="24"/>
          <w:szCs w:val="24"/>
          <w:lang w:eastAsia="zh-CN" w:bidi="ar-SA"/>
        </w:rPr>
        <w:t xml:space="preserve"> JV, </w:t>
      </w:r>
      <w:proofErr w:type="spellStart"/>
      <w:r w:rsidRPr="002E4D3A">
        <w:rPr>
          <w:rFonts w:ascii="Book Antiqua" w:eastAsia="宋体" w:hAnsi="Book Antiqua" w:cs="宋体"/>
          <w:sz w:val="24"/>
          <w:szCs w:val="24"/>
          <w:lang w:eastAsia="zh-CN" w:bidi="ar-SA"/>
        </w:rPr>
        <w:t>Martínez</w:t>
      </w:r>
      <w:proofErr w:type="spellEnd"/>
      <w:r w:rsidRPr="002E4D3A">
        <w:rPr>
          <w:rFonts w:ascii="Book Antiqua" w:eastAsia="宋体" w:hAnsi="Book Antiqua" w:cs="宋体"/>
          <w:sz w:val="24"/>
          <w:szCs w:val="24"/>
          <w:lang w:eastAsia="zh-CN" w:bidi="ar-SA"/>
        </w:rPr>
        <w:t xml:space="preserve"> de </w:t>
      </w:r>
      <w:proofErr w:type="spellStart"/>
      <w:r w:rsidRPr="002E4D3A">
        <w:rPr>
          <w:rFonts w:ascii="Book Antiqua" w:eastAsia="宋体" w:hAnsi="Book Antiqua" w:cs="宋体"/>
          <w:sz w:val="24"/>
          <w:szCs w:val="24"/>
          <w:lang w:eastAsia="zh-CN" w:bidi="ar-SA"/>
        </w:rPr>
        <w:t>Osaba</w:t>
      </w:r>
      <w:proofErr w:type="spellEnd"/>
      <w:r w:rsidRPr="002E4D3A">
        <w:rPr>
          <w:rFonts w:ascii="Book Antiqua" w:eastAsia="宋体" w:hAnsi="Book Antiqua" w:cs="宋体"/>
          <w:sz w:val="24"/>
          <w:szCs w:val="24"/>
          <w:lang w:eastAsia="zh-CN" w:bidi="ar-SA"/>
        </w:rPr>
        <w:t xml:space="preserve"> MJ, Casals G, </w:t>
      </w:r>
      <w:proofErr w:type="spellStart"/>
      <w:r w:rsidRPr="002E4D3A">
        <w:rPr>
          <w:rFonts w:ascii="Book Antiqua" w:eastAsia="宋体" w:hAnsi="Book Antiqua" w:cs="宋体"/>
          <w:sz w:val="24"/>
          <w:szCs w:val="24"/>
          <w:lang w:eastAsia="zh-CN" w:bidi="ar-SA"/>
        </w:rPr>
        <w:t>Paschoalin</w:t>
      </w:r>
      <w:proofErr w:type="spellEnd"/>
      <w:r w:rsidRPr="002E4D3A">
        <w:rPr>
          <w:rFonts w:ascii="Book Antiqua" w:eastAsia="宋体" w:hAnsi="Book Antiqua" w:cs="宋体"/>
          <w:sz w:val="24"/>
          <w:szCs w:val="24"/>
          <w:lang w:eastAsia="zh-CN" w:bidi="ar-SA"/>
        </w:rPr>
        <w:t xml:space="preserve"> R, </w:t>
      </w:r>
      <w:proofErr w:type="spellStart"/>
      <w:r w:rsidRPr="002E4D3A">
        <w:rPr>
          <w:rFonts w:ascii="Book Antiqua" w:eastAsia="宋体" w:hAnsi="Book Antiqua" w:cs="宋体"/>
          <w:sz w:val="24"/>
          <w:szCs w:val="24"/>
          <w:lang w:eastAsia="zh-CN" w:bidi="ar-SA"/>
        </w:rPr>
        <w:t>Durán</w:t>
      </w:r>
      <w:proofErr w:type="spellEnd"/>
      <w:r w:rsidRPr="002E4D3A">
        <w:rPr>
          <w:rFonts w:ascii="Book Antiqua" w:eastAsia="宋体" w:hAnsi="Book Antiqua" w:cs="宋体"/>
          <w:sz w:val="24"/>
          <w:szCs w:val="24"/>
          <w:lang w:eastAsia="zh-CN" w:bidi="ar-SA"/>
        </w:rPr>
        <w:t xml:space="preserve"> CE, </w:t>
      </w:r>
      <w:proofErr w:type="spellStart"/>
      <w:r w:rsidRPr="002E4D3A">
        <w:rPr>
          <w:rFonts w:ascii="Book Antiqua" w:eastAsia="宋体" w:hAnsi="Book Antiqua" w:cs="宋体"/>
          <w:sz w:val="24"/>
          <w:szCs w:val="24"/>
          <w:lang w:eastAsia="zh-CN" w:bidi="ar-SA"/>
        </w:rPr>
        <w:t>Campistol</w:t>
      </w:r>
      <w:proofErr w:type="spellEnd"/>
      <w:r w:rsidRPr="002E4D3A">
        <w:rPr>
          <w:rFonts w:ascii="Book Antiqua" w:eastAsia="宋体" w:hAnsi="Book Antiqua" w:cs="宋体"/>
          <w:sz w:val="24"/>
          <w:szCs w:val="24"/>
          <w:lang w:eastAsia="zh-CN" w:bidi="ar-SA"/>
        </w:rPr>
        <w:t xml:space="preserve"> JM. Earlier decrease of FGF-23 and less hypophosphatemia in preemptive kidney transplant recipients. </w:t>
      </w:r>
      <w:r w:rsidRPr="002E4D3A">
        <w:rPr>
          <w:rFonts w:ascii="Book Antiqua" w:eastAsia="宋体" w:hAnsi="Book Antiqua" w:cs="宋体"/>
          <w:i/>
          <w:iCs/>
          <w:sz w:val="24"/>
          <w:szCs w:val="24"/>
          <w:lang w:eastAsia="zh-CN" w:bidi="ar-SA"/>
        </w:rPr>
        <w:t>Transplantation</w:t>
      </w:r>
      <w:r w:rsidRPr="002E4D3A">
        <w:rPr>
          <w:rFonts w:ascii="Book Antiqua" w:eastAsia="宋体" w:hAnsi="Book Antiqua" w:cs="宋体"/>
          <w:sz w:val="24"/>
          <w:szCs w:val="24"/>
          <w:lang w:eastAsia="zh-CN" w:bidi="ar-SA"/>
        </w:rPr>
        <w:t xml:space="preserve"> 2012; </w:t>
      </w:r>
      <w:r w:rsidRPr="002E4D3A">
        <w:rPr>
          <w:rFonts w:ascii="Book Antiqua" w:eastAsia="宋体" w:hAnsi="Book Antiqua" w:cs="宋体"/>
          <w:b/>
          <w:bCs/>
          <w:sz w:val="24"/>
          <w:szCs w:val="24"/>
          <w:lang w:eastAsia="zh-CN" w:bidi="ar-SA"/>
        </w:rPr>
        <w:t>94</w:t>
      </w:r>
      <w:r w:rsidRPr="002E4D3A">
        <w:rPr>
          <w:rFonts w:ascii="Book Antiqua" w:eastAsia="宋体" w:hAnsi="Book Antiqua" w:cs="宋体"/>
          <w:sz w:val="24"/>
          <w:szCs w:val="24"/>
          <w:lang w:eastAsia="zh-CN" w:bidi="ar-SA"/>
        </w:rPr>
        <w:t>: 830-836 [PMID: 23018879 DOI: 10.1097/TP.0b013e318264fc08]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5 </w:t>
      </w:r>
      <w:proofErr w:type="spellStart"/>
      <w:r w:rsidRPr="002E4D3A">
        <w:rPr>
          <w:rFonts w:ascii="Book Antiqua" w:eastAsia="宋体" w:hAnsi="Book Antiqua" w:cs="宋体"/>
          <w:b/>
          <w:bCs/>
          <w:sz w:val="24"/>
          <w:szCs w:val="24"/>
          <w:lang w:eastAsia="zh-CN" w:bidi="ar-SA"/>
        </w:rPr>
        <w:t>Evenepoel</w:t>
      </w:r>
      <w:proofErr w:type="spellEnd"/>
      <w:r w:rsidRPr="002E4D3A">
        <w:rPr>
          <w:rFonts w:ascii="Book Antiqua" w:eastAsia="宋体" w:hAnsi="Book Antiqua" w:cs="宋体"/>
          <w:b/>
          <w:bCs/>
          <w:sz w:val="24"/>
          <w:szCs w:val="24"/>
          <w:lang w:eastAsia="zh-CN" w:bidi="ar-SA"/>
        </w:rPr>
        <w:t xml:space="preserve"> P</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Meijers</w:t>
      </w:r>
      <w:proofErr w:type="spellEnd"/>
      <w:r w:rsidRPr="002E4D3A">
        <w:rPr>
          <w:rFonts w:ascii="Book Antiqua" w:eastAsia="宋体" w:hAnsi="Book Antiqua" w:cs="宋体"/>
          <w:sz w:val="24"/>
          <w:szCs w:val="24"/>
          <w:lang w:eastAsia="zh-CN" w:bidi="ar-SA"/>
        </w:rPr>
        <w:t xml:space="preserve"> BK, de </w:t>
      </w:r>
      <w:proofErr w:type="spellStart"/>
      <w:r w:rsidRPr="002E4D3A">
        <w:rPr>
          <w:rFonts w:ascii="Book Antiqua" w:eastAsia="宋体" w:hAnsi="Book Antiqua" w:cs="宋体"/>
          <w:sz w:val="24"/>
          <w:szCs w:val="24"/>
          <w:lang w:eastAsia="zh-CN" w:bidi="ar-SA"/>
        </w:rPr>
        <w:t>Jonge</w:t>
      </w:r>
      <w:proofErr w:type="spellEnd"/>
      <w:r w:rsidRPr="002E4D3A">
        <w:rPr>
          <w:rFonts w:ascii="Book Antiqua" w:eastAsia="宋体" w:hAnsi="Book Antiqua" w:cs="宋体"/>
          <w:sz w:val="24"/>
          <w:szCs w:val="24"/>
          <w:lang w:eastAsia="zh-CN" w:bidi="ar-SA"/>
        </w:rPr>
        <w:t xml:space="preserve"> H, </w:t>
      </w:r>
      <w:proofErr w:type="spellStart"/>
      <w:r w:rsidRPr="002E4D3A">
        <w:rPr>
          <w:rFonts w:ascii="Book Antiqua" w:eastAsia="宋体" w:hAnsi="Book Antiqua" w:cs="宋体"/>
          <w:sz w:val="24"/>
          <w:szCs w:val="24"/>
          <w:lang w:eastAsia="zh-CN" w:bidi="ar-SA"/>
        </w:rPr>
        <w:t>Naesens</w:t>
      </w:r>
      <w:proofErr w:type="spellEnd"/>
      <w:r w:rsidRPr="002E4D3A">
        <w:rPr>
          <w:rFonts w:ascii="Book Antiqua" w:eastAsia="宋体" w:hAnsi="Book Antiqua" w:cs="宋体"/>
          <w:sz w:val="24"/>
          <w:szCs w:val="24"/>
          <w:lang w:eastAsia="zh-CN" w:bidi="ar-SA"/>
        </w:rPr>
        <w:t xml:space="preserve"> M, </w:t>
      </w:r>
      <w:proofErr w:type="spellStart"/>
      <w:r w:rsidRPr="002E4D3A">
        <w:rPr>
          <w:rFonts w:ascii="Book Antiqua" w:eastAsia="宋体" w:hAnsi="Book Antiqua" w:cs="宋体"/>
          <w:sz w:val="24"/>
          <w:szCs w:val="24"/>
          <w:lang w:eastAsia="zh-CN" w:bidi="ar-SA"/>
        </w:rPr>
        <w:t>Bammens</w:t>
      </w:r>
      <w:proofErr w:type="spellEnd"/>
      <w:r w:rsidRPr="002E4D3A">
        <w:rPr>
          <w:rFonts w:ascii="Book Antiqua" w:eastAsia="宋体" w:hAnsi="Book Antiqua" w:cs="宋体"/>
          <w:sz w:val="24"/>
          <w:szCs w:val="24"/>
          <w:lang w:eastAsia="zh-CN" w:bidi="ar-SA"/>
        </w:rPr>
        <w:t xml:space="preserve"> B, </w:t>
      </w:r>
      <w:proofErr w:type="spellStart"/>
      <w:r w:rsidRPr="002E4D3A">
        <w:rPr>
          <w:rFonts w:ascii="Book Antiqua" w:eastAsia="宋体" w:hAnsi="Book Antiqua" w:cs="宋体"/>
          <w:sz w:val="24"/>
          <w:szCs w:val="24"/>
          <w:lang w:eastAsia="zh-CN" w:bidi="ar-SA"/>
        </w:rPr>
        <w:t>Claes</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Kuypers</w:t>
      </w:r>
      <w:proofErr w:type="spellEnd"/>
      <w:r w:rsidRPr="002E4D3A">
        <w:rPr>
          <w:rFonts w:ascii="Book Antiqua" w:eastAsia="宋体" w:hAnsi="Book Antiqua" w:cs="宋体"/>
          <w:sz w:val="24"/>
          <w:szCs w:val="24"/>
          <w:lang w:eastAsia="zh-CN" w:bidi="ar-SA"/>
        </w:rPr>
        <w:t xml:space="preserve"> D, </w:t>
      </w:r>
      <w:proofErr w:type="spellStart"/>
      <w:r w:rsidRPr="002E4D3A">
        <w:rPr>
          <w:rFonts w:ascii="Book Antiqua" w:eastAsia="宋体" w:hAnsi="Book Antiqua" w:cs="宋体"/>
          <w:sz w:val="24"/>
          <w:szCs w:val="24"/>
          <w:lang w:eastAsia="zh-CN" w:bidi="ar-SA"/>
        </w:rPr>
        <w:t>Vanrenterghem</w:t>
      </w:r>
      <w:proofErr w:type="spellEnd"/>
      <w:r w:rsidRPr="002E4D3A">
        <w:rPr>
          <w:rFonts w:ascii="Book Antiqua" w:eastAsia="宋体" w:hAnsi="Book Antiqua" w:cs="宋体"/>
          <w:sz w:val="24"/>
          <w:szCs w:val="24"/>
          <w:lang w:eastAsia="zh-CN" w:bidi="ar-SA"/>
        </w:rPr>
        <w:t xml:space="preserve"> Y. Recovery of </w:t>
      </w:r>
      <w:proofErr w:type="spellStart"/>
      <w:r w:rsidRPr="002E4D3A">
        <w:rPr>
          <w:rFonts w:ascii="Book Antiqua" w:eastAsia="宋体" w:hAnsi="Book Antiqua" w:cs="宋体"/>
          <w:sz w:val="24"/>
          <w:szCs w:val="24"/>
          <w:lang w:eastAsia="zh-CN" w:bidi="ar-SA"/>
        </w:rPr>
        <w:t>hyperphosphatoninism</w:t>
      </w:r>
      <w:proofErr w:type="spellEnd"/>
      <w:r w:rsidRPr="002E4D3A">
        <w:rPr>
          <w:rFonts w:ascii="Book Antiqua" w:eastAsia="宋体" w:hAnsi="Book Antiqua" w:cs="宋体"/>
          <w:sz w:val="24"/>
          <w:szCs w:val="24"/>
          <w:lang w:eastAsia="zh-CN" w:bidi="ar-SA"/>
        </w:rPr>
        <w:t xml:space="preserve"> and renal phosphorus wasting one year after successful renal transplantation.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J Am </w:t>
      </w:r>
      <w:proofErr w:type="spellStart"/>
      <w:r w:rsidRPr="002E4D3A">
        <w:rPr>
          <w:rFonts w:ascii="Book Antiqua" w:eastAsia="宋体" w:hAnsi="Book Antiqua" w:cs="宋体"/>
          <w:i/>
          <w:iCs/>
          <w:sz w:val="24"/>
          <w:szCs w:val="24"/>
          <w:lang w:eastAsia="zh-CN" w:bidi="ar-SA"/>
        </w:rPr>
        <w:t>Soc</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2008; </w:t>
      </w:r>
      <w:r w:rsidRPr="002E4D3A">
        <w:rPr>
          <w:rFonts w:ascii="Book Antiqua" w:eastAsia="宋体" w:hAnsi="Book Antiqua" w:cs="宋体"/>
          <w:b/>
          <w:bCs/>
          <w:sz w:val="24"/>
          <w:szCs w:val="24"/>
          <w:lang w:eastAsia="zh-CN" w:bidi="ar-SA"/>
        </w:rPr>
        <w:t>3</w:t>
      </w:r>
      <w:r w:rsidRPr="002E4D3A">
        <w:rPr>
          <w:rFonts w:ascii="Book Antiqua" w:eastAsia="宋体" w:hAnsi="Book Antiqua" w:cs="宋体"/>
          <w:sz w:val="24"/>
          <w:szCs w:val="24"/>
          <w:lang w:eastAsia="zh-CN" w:bidi="ar-SA"/>
        </w:rPr>
        <w:t>: 1829-1836 [PMID: 18922992 DOI: 10.2215/CJN.01310308]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6 </w:t>
      </w:r>
      <w:proofErr w:type="spellStart"/>
      <w:r w:rsidRPr="002E4D3A">
        <w:rPr>
          <w:rFonts w:ascii="Book Antiqua" w:eastAsia="宋体" w:hAnsi="Book Antiqua" w:cs="宋体"/>
          <w:b/>
          <w:bCs/>
          <w:sz w:val="24"/>
          <w:szCs w:val="24"/>
          <w:lang w:eastAsia="zh-CN" w:bidi="ar-SA"/>
        </w:rPr>
        <w:t>Kawarazaki</w:t>
      </w:r>
      <w:proofErr w:type="spellEnd"/>
      <w:r w:rsidRPr="002E4D3A">
        <w:rPr>
          <w:rFonts w:ascii="Book Antiqua" w:eastAsia="宋体" w:hAnsi="Book Antiqua" w:cs="宋体"/>
          <w:b/>
          <w:bCs/>
          <w:sz w:val="24"/>
          <w:szCs w:val="24"/>
          <w:lang w:eastAsia="zh-CN" w:bidi="ar-SA"/>
        </w:rPr>
        <w:t xml:space="preserve"> H</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Shibagaki</w:t>
      </w:r>
      <w:proofErr w:type="spellEnd"/>
      <w:r w:rsidRPr="002E4D3A">
        <w:rPr>
          <w:rFonts w:ascii="Book Antiqua" w:eastAsia="宋体" w:hAnsi="Book Antiqua" w:cs="宋体"/>
          <w:sz w:val="24"/>
          <w:szCs w:val="24"/>
          <w:lang w:eastAsia="zh-CN" w:bidi="ar-SA"/>
        </w:rPr>
        <w:t xml:space="preserve"> Y, </w:t>
      </w:r>
      <w:proofErr w:type="spellStart"/>
      <w:r w:rsidRPr="002E4D3A">
        <w:rPr>
          <w:rFonts w:ascii="Book Antiqua" w:eastAsia="宋体" w:hAnsi="Book Antiqua" w:cs="宋体"/>
          <w:sz w:val="24"/>
          <w:szCs w:val="24"/>
          <w:lang w:eastAsia="zh-CN" w:bidi="ar-SA"/>
        </w:rPr>
        <w:t>Fukumoto</w:t>
      </w:r>
      <w:proofErr w:type="spellEnd"/>
      <w:r w:rsidRPr="002E4D3A">
        <w:rPr>
          <w:rFonts w:ascii="Book Antiqua" w:eastAsia="宋体" w:hAnsi="Book Antiqua" w:cs="宋体"/>
          <w:sz w:val="24"/>
          <w:szCs w:val="24"/>
          <w:lang w:eastAsia="zh-CN" w:bidi="ar-SA"/>
        </w:rPr>
        <w:t xml:space="preserve"> S, Kido R, Nakajima I, </w:t>
      </w:r>
      <w:proofErr w:type="spellStart"/>
      <w:r w:rsidRPr="002E4D3A">
        <w:rPr>
          <w:rFonts w:ascii="Book Antiqua" w:eastAsia="宋体" w:hAnsi="Book Antiqua" w:cs="宋体"/>
          <w:sz w:val="24"/>
          <w:szCs w:val="24"/>
          <w:lang w:eastAsia="zh-CN" w:bidi="ar-SA"/>
        </w:rPr>
        <w:t>Fuchinoue</w:t>
      </w:r>
      <w:proofErr w:type="spellEnd"/>
      <w:r w:rsidRPr="002E4D3A">
        <w:rPr>
          <w:rFonts w:ascii="Book Antiqua" w:eastAsia="宋体" w:hAnsi="Book Antiqua" w:cs="宋体"/>
          <w:sz w:val="24"/>
          <w:szCs w:val="24"/>
          <w:lang w:eastAsia="zh-CN" w:bidi="ar-SA"/>
        </w:rPr>
        <w:t xml:space="preserve"> S, Fujita T, </w:t>
      </w:r>
      <w:proofErr w:type="spellStart"/>
      <w:r w:rsidRPr="002E4D3A">
        <w:rPr>
          <w:rFonts w:ascii="Book Antiqua" w:eastAsia="宋体" w:hAnsi="Book Antiqua" w:cs="宋体"/>
          <w:sz w:val="24"/>
          <w:szCs w:val="24"/>
          <w:lang w:eastAsia="zh-CN" w:bidi="ar-SA"/>
        </w:rPr>
        <w:t>Fukagawa</w:t>
      </w:r>
      <w:proofErr w:type="spellEnd"/>
      <w:r w:rsidRPr="002E4D3A">
        <w:rPr>
          <w:rFonts w:ascii="Book Antiqua" w:eastAsia="宋体" w:hAnsi="Book Antiqua" w:cs="宋体"/>
          <w:sz w:val="24"/>
          <w:szCs w:val="24"/>
          <w:lang w:eastAsia="zh-CN" w:bidi="ar-SA"/>
        </w:rPr>
        <w:t xml:space="preserve"> M, </w:t>
      </w:r>
      <w:proofErr w:type="spellStart"/>
      <w:r w:rsidRPr="002E4D3A">
        <w:rPr>
          <w:rFonts w:ascii="Book Antiqua" w:eastAsia="宋体" w:hAnsi="Book Antiqua" w:cs="宋体"/>
          <w:sz w:val="24"/>
          <w:szCs w:val="24"/>
          <w:lang w:eastAsia="zh-CN" w:bidi="ar-SA"/>
        </w:rPr>
        <w:t>Teraoka</w:t>
      </w:r>
      <w:proofErr w:type="spellEnd"/>
      <w:r w:rsidRPr="002E4D3A">
        <w:rPr>
          <w:rFonts w:ascii="Book Antiqua" w:eastAsia="宋体" w:hAnsi="Book Antiqua" w:cs="宋体"/>
          <w:sz w:val="24"/>
          <w:szCs w:val="24"/>
          <w:lang w:eastAsia="zh-CN" w:bidi="ar-SA"/>
        </w:rPr>
        <w:t xml:space="preserve"> S. The relative role of fibroblast growth factor 23 and parathyroid hormone in predicting future hypophosphatemia and </w:t>
      </w:r>
      <w:proofErr w:type="spellStart"/>
      <w:r w:rsidRPr="002E4D3A">
        <w:rPr>
          <w:rFonts w:ascii="Book Antiqua" w:eastAsia="宋体" w:hAnsi="Book Antiqua" w:cs="宋体"/>
          <w:sz w:val="24"/>
          <w:szCs w:val="24"/>
          <w:lang w:eastAsia="zh-CN" w:bidi="ar-SA"/>
        </w:rPr>
        <w:t>hypercalcemia</w:t>
      </w:r>
      <w:proofErr w:type="spellEnd"/>
      <w:r w:rsidRPr="002E4D3A">
        <w:rPr>
          <w:rFonts w:ascii="Book Antiqua" w:eastAsia="宋体" w:hAnsi="Book Antiqua" w:cs="宋体"/>
          <w:sz w:val="24"/>
          <w:szCs w:val="24"/>
          <w:lang w:eastAsia="zh-CN" w:bidi="ar-SA"/>
        </w:rPr>
        <w:t xml:space="preserve"> after living donor kidney transplantation: a 1-year prospective observational study.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i/>
          <w:iCs/>
          <w:sz w:val="24"/>
          <w:szCs w:val="24"/>
          <w:lang w:eastAsia="zh-CN" w:bidi="ar-SA"/>
        </w:rPr>
        <w:t xml:space="preserve"> Dial Transplant</w:t>
      </w:r>
      <w:r w:rsidRPr="002E4D3A">
        <w:rPr>
          <w:rFonts w:ascii="Book Antiqua" w:eastAsia="宋体" w:hAnsi="Book Antiqua" w:cs="宋体"/>
          <w:sz w:val="24"/>
          <w:szCs w:val="24"/>
          <w:lang w:eastAsia="zh-CN" w:bidi="ar-SA"/>
        </w:rPr>
        <w:t xml:space="preserve"> 2011; </w:t>
      </w:r>
      <w:r w:rsidRPr="002E4D3A">
        <w:rPr>
          <w:rFonts w:ascii="Book Antiqua" w:eastAsia="宋体" w:hAnsi="Book Antiqua" w:cs="宋体"/>
          <w:b/>
          <w:bCs/>
          <w:sz w:val="24"/>
          <w:szCs w:val="24"/>
          <w:lang w:eastAsia="zh-CN" w:bidi="ar-SA"/>
        </w:rPr>
        <w:t>26</w:t>
      </w:r>
      <w:r w:rsidRPr="002E4D3A">
        <w:rPr>
          <w:rFonts w:ascii="Book Antiqua" w:eastAsia="宋体" w:hAnsi="Book Antiqua" w:cs="宋体"/>
          <w:sz w:val="24"/>
          <w:szCs w:val="24"/>
          <w:lang w:eastAsia="zh-CN" w:bidi="ar-SA"/>
        </w:rPr>
        <w:t>: 2691-2695 [PMID: 21303965 DOI: 10.1093/</w:t>
      </w:r>
      <w:proofErr w:type="spellStart"/>
      <w:r w:rsidRPr="002E4D3A">
        <w:rPr>
          <w:rFonts w:ascii="Book Antiqua" w:eastAsia="宋体" w:hAnsi="Book Antiqua" w:cs="宋体"/>
          <w:sz w:val="24"/>
          <w:szCs w:val="24"/>
          <w:lang w:eastAsia="zh-CN" w:bidi="ar-SA"/>
        </w:rPr>
        <w:t>ndt</w:t>
      </w:r>
      <w:proofErr w:type="spellEnd"/>
      <w:r w:rsidRPr="002E4D3A">
        <w:rPr>
          <w:rFonts w:ascii="Book Antiqua" w:eastAsia="宋体" w:hAnsi="Book Antiqua" w:cs="宋体"/>
          <w:sz w:val="24"/>
          <w:szCs w:val="24"/>
          <w:lang w:eastAsia="zh-CN" w:bidi="ar-SA"/>
        </w:rPr>
        <w:t>/gfq777]</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7 </w:t>
      </w:r>
      <w:proofErr w:type="spellStart"/>
      <w:r w:rsidRPr="002E4D3A">
        <w:rPr>
          <w:rFonts w:ascii="Book Antiqua" w:eastAsia="宋体" w:hAnsi="Book Antiqua" w:cs="宋体"/>
          <w:b/>
          <w:bCs/>
          <w:sz w:val="24"/>
          <w:szCs w:val="24"/>
          <w:lang w:eastAsia="zh-CN" w:bidi="ar-SA"/>
        </w:rPr>
        <w:t>Bleskestad</w:t>
      </w:r>
      <w:proofErr w:type="spellEnd"/>
      <w:r w:rsidRPr="002E4D3A">
        <w:rPr>
          <w:rFonts w:ascii="Book Antiqua" w:eastAsia="宋体" w:hAnsi="Book Antiqua" w:cs="宋体"/>
          <w:b/>
          <w:bCs/>
          <w:sz w:val="24"/>
          <w:szCs w:val="24"/>
          <w:lang w:eastAsia="zh-CN" w:bidi="ar-SA"/>
        </w:rPr>
        <w:t xml:space="preserve"> IH</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Thorsen</w:t>
      </w:r>
      <w:proofErr w:type="spellEnd"/>
      <w:r w:rsidRPr="002E4D3A">
        <w:rPr>
          <w:rFonts w:ascii="Book Antiqua" w:eastAsia="宋体" w:hAnsi="Book Antiqua" w:cs="宋体"/>
          <w:sz w:val="24"/>
          <w:szCs w:val="24"/>
          <w:lang w:eastAsia="zh-CN" w:bidi="ar-SA"/>
        </w:rPr>
        <w:t xml:space="preserve"> IS, </w:t>
      </w:r>
      <w:proofErr w:type="spellStart"/>
      <w:r w:rsidRPr="002E4D3A">
        <w:rPr>
          <w:rFonts w:ascii="Book Antiqua" w:eastAsia="宋体" w:hAnsi="Book Antiqua" w:cs="宋体"/>
          <w:sz w:val="24"/>
          <w:szCs w:val="24"/>
          <w:lang w:eastAsia="zh-CN" w:bidi="ar-SA"/>
        </w:rPr>
        <w:t>Jonsson</w:t>
      </w:r>
      <w:proofErr w:type="spellEnd"/>
      <w:r w:rsidRPr="002E4D3A">
        <w:rPr>
          <w:rFonts w:ascii="Book Antiqua" w:eastAsia="宋体" w:hAnsi="Book Antiqua" w:cs="宋体"/>
          <w:sz w:val="24"/>
          <w:szCs w:val="24"/>
          <w:lang w:eastAsia="zh-CN" w:bidi="ar-SA"/>
        </w:rPr>
        <w:t xml:space="preserve"> G, </w:t>
      </w:r>
      <w:proofErr w:type="spellStart"/>
      <w:r w:rsidRPr="002E4D3A">
        <w:rPr>
          <w:rFonts w:ascii="Book Antiqua" w:eastAsia="宋体" w:hAnsi="Book Antiqua" w:cs="宋体"/>
          <w:sz w:val="24"/>
          <w:szCs w:val="24"/>
          <w:lang w:eastAsia="zh-CN" w:bidi="ar-SA"/>
        </w:rPr>
        <w:t>Skadberg</w:t>
      </w:r>
      <w:proofErr w:type="spellEnd"/>
      <w:r w:rsidRPr="002E4D3A">
        <w:rPr>
          <w:rFonts w:ascii="Book Antiqua" w:eastAsia="宋体" w:hAnsi="Book Antiqua" w:cs="宋体"/>
          <w:sz w:val="24"/>
          <w:szCs w:val="24"/>
          <w:lang w:eastAsia="zh-CN" w:bidi="ar-SA"/>
        </w:rPr>
        <w:t xml:space="preserve"> Ø, </w:t>
      </w:r>
      <w:proofErr w:type="spellStart"/>
      <w:r w:rsidRPr="002E4D3A">
        <w:rPr>
          <w:rFonts w:ascii="Book Antiqua" w:eastAsia="宋体" w:hAnsi="Book Antiqua" w:cs="宋体"/>
          <w:sz w:val="24"/>
          <w:szCs w:val="24"/>
          <w:lang w:eastAsia="zh-CN" w:bidi="ar-SA"/>
        </w:rPr>
        <w:t>Bergrem</w:t>
      </w:r>
      <w:proofErr w:type="spellEnd"/>
      <w:r w:rsidRPr="002E4D3A">
        <w:rPr>
          <w:rFonts w:ascii="Book Antiqua" w:eastAsia="宋体" w:hAnsi="Book Antiqua" w:cs="宋体"/>
          <w:sz w:val="24"/>
          <w:szCs w:val="24"/>
          <w:lang w:eastAsia="zh-CN" w:bidi="ar-SA"/>
        </w:rPr>
        <w:t xml:space="preserve"> H, </w:t>
      </w:r>
      <w:proofErr w:type="spellStart"/>
      <w:r w:rsidRPr="002E4D3A">
        <w:rPr>
          <w:rFonts w:ascii="Book Antiqua" w:eastAsia="宋体" w:hAnsi="Book Antiqua" w:cs="宋体"/>
          <w:sz w:val="24"/>
          <w:szCs w:val="24"/>
          <w:lang w:eastAsia="zh-CN" w:bidi="ar-SA"/>
        </w:rPr>
        <w:t>Gøransson</w:t>
      </w:r>
      <w:proofErr w:type="spellEnd"/>
      <w:r w:rsidRPr="002E4D3A">
        <w:rPr>
          <w:rFonts w:ascii="Book Antiqua" w:eastAsia="宋体" w:hAnsi="Book Antiqua" w:cs="宋体"/>
          <w:sz w:val="24"/>
          <w:szCs w:val="24"/>
          <w:lang w:eastAsia="zh-CN" w:bidi="ar-SA"/>
        </w:rPr>
        <w:t xml:space="preserve"> LG. Soluble </w:t>
      </w:r>
      <w:proofErr w:type="spellStart"/>
      <w:r w:rsidRPr="002E4D3A">
        <w:rPr>
          <w:rFonts w:ascii="Book Antiqua" w:eastAsia="宋体" w:hAnsi="Book Antiqua" w:cs="宋体"/>
          <w:sz w:val="24"/>
          <w:szCs w:val="24"/>
          <w:lang w:eastAsia="zh-CN" w:bidi="ar-SA"/>
        </w:rPr>
        <w:t>Klotho</w:t>
      </w:r>
      <w:proofErr w:type="spellEnd"/>
      <w:r w:rsidRPr="002E4D3A">
        <w:rPr>
          <w:rFonts w:ascii="Book Antiqua" w:eastAsia="宋体" w:hAnsi="Book Antiqua" w:cs="宋体"/>
          <w:sz w:val="24"/>
          <w:szCs w:val="24"/>
          <w:lang w:eastAsia="zh-CN" w:bidi="ar-SA"/>
        </w:rPr>
        <w:t xml:space="preserve"> and intact fibroblast growth factor 23 in long-term kidney transplant patients. </w:t>
      </w:r>
      <w:proofErr w:type="spellStart"/>
      <w:r w:rsidRPr="002E4D3A">
        <w:rPr>
          <w:rFonts w:ascii="Book Antiqua" w:eastAsia="宋体" w:hAnsi="Book Antiqua" w:cs="宋体"/>
          <w:i/>
          <w:iCs/>
          <w:sz w:val="24"/>
          <w:szCs w:val="24"/>
          <w:lang w:eastAsia="zh-CN" w:bidi="ar-SA"/>
        </w:rPr>
        <w:t>Eur</w:t>
      </w:r>
      <w:proofErr w:type="spellEnd"/>
      <w:r w:rsidRPr="002E4D3A">
        <w:rPr>
          <w:rFonts w:ascii="Book Antiqua" w:eastAsia="宋体" w:hAnsi="Book Antiqua" w:cs="宋体"/>
          <w:i/>
          <w:iCs/>
          <w:sz w:val="24"/>
          <w:szCs w:val="24"/>
          <w:lang w:eastAsia="zh-CN" w:bidi="ar-SA"/>
        </w:rPr>
        <w:t xml:space="preserve"> J </w:t>
      </w:r>
      <w:proofErr w:type="spellStart"/>
      <w:r w:rsidRPr="002E4D3A">
        <w:rPr>
          <w:rFonts w:ascii="Book Antiqua" w:eastAsia="宋体" w:hAnsi="Book Antiqua" w:cs="宋体"/>
          <w:i/>
          <w:iCs/>
          <w:sz w:val="24"/>
          <w:szCs w:val="24"/>
          <w:lang w:eastAsia="zh-CN" w:bidi="ar-SA"/>
        </w:rPr>
        <w:t>Endocrinol</w:t>
      </w:r>
      <w:proofErr w:type="spellEnd"/>
      <w:r w:rsidRPr="002E4D3A">
        <w:rPr>
          <w:rFonts w:ascii="Book Antiqua" w:eastAsia="宋体" w:hAnsi="Book Antiqua" w:cs="宋体"/>
          <w:sz w:val="24"/>
          <w:szCs w:val="24"/>
          <w:lang w:eastAsia="zh-CN" w:bidi="ar-SA"/>
        </w:rPr>
        <w:t xml:space="preserve"> 2015; </w:t>
      </w:r>
      <w:r w:rsidRPr="002E4D3A">
        <w:rPr>
          <w:rFonts w:ascii="Book Antiqua" w:eastAsia="宋体" w:hAnsi="Book Antiqua" w:cs="宋体"/>
          <w:b/>
          <w:bCs/>
          <w:sz w:val="24"/>
          <w:szCs w:val="24"/>
          <w:lang w:eastAsia="zh-CN" w:bidi="ar-SA"/>
        </w:rPr>
        <w:t>172</w:t>
      </w:r>
      <w:r w:rsidRPr="002E4D3A">
        <w:rPr>
          <w:rFonts w:ascii="Book Antiqua" w:eastAsia="宋体" w:hAnsi="Book Antiqua" w:cs="宋体"/>
          <w:sz w:val="24"/>
          <w:szCs w:val="24"/>
          <w:lang w:eastAsia="zh-CN" w:bidi="ar-SA"/>
        </w:rPr>
        <w:t>: 343-350 [PMID: 25572388 DOI: 10.1530/EJE-14-0457]</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8 </w:t>
      </w:r>
      <w:proofErr w:type="spellStart"/>
      <w:r w:rsidRPr="002E4D3A">
        <w:rPr>
          <w:rFonts w:ascii="Book Antiqua" w:eastAsia="宋体" w:hAnsi="Book Antiqua" w:cs="宋体"/>
          <w:b/>
          <w:bCs/>
          <w:sz w:val="24"/>
          <w:szCs w:val="24"/>
          <w:lang w:eastAsia="zh-CN" w:bidi="ar-SA"/>
        </w:rPr>
        <w:t>Sirilak</w:t>
      </w:r>
      <w:proofErr w:type="spellEnd"/>
      <w:r w:rsidRPr="002E4D3A">
        <w:rPr>
          <w:rFonts w:ascii="Book Antiqua" w:eastAsia="宋体" w:hAnsi="Book Antiqua" w:cs="宋体"/>
          <w:b/>
          <w:bCs/>
          <w:sz w:val="24"/>
          <w:szCs w:val="24"/>
          <w:lang w:eastAsia="zh-CN" w:bidi="ar-SA"/>
        </w:rPr>
        <w:t xml:space="preserve"> S</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Chatsrisak</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Ingsathit</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Kantachuvesiri</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Sumethkul</w:t>
      </w:r>
      <w:proofErr w:type="spellEnd"/>
      <w:r w:rsidRPr="002E4D3A">
        <w:rPr>
          <w:rFonts w:ascii="Book Antiqua" w:eastAsia="宋体" w:hAnsi="Book Antiqua" w:cs="宋体"/>
          <w:sz w:val="24"/>
          <w:szCs w:val="24"/>
          <w:lang w:eastAsia="zh-CN" w:bidi="ar-SA"/>
        </w:rPr>
        <w:t xml:space="preserve"> V, </w:t>
      </w:r>
      <w:proofErr w:type="spellStart"/>
      <w:r w:rsidRPr="002E4D3A">
        <w:rPr>
          <w:rFonts w:ascii="Book Antiqua" w:eastAsia="宋体" w:hAnsi="Book Antiqua" w:cs="宋体"/>
          <w:sz w:val="24"/>
          <w:szCs w:val="24"/>
          <w:lang w:eastAsia="zh-CN" w:bidi="ar-SA"/>
        </w:rPr>
        <w:t>Stitchantrakul</w:t>
      </w:r>
      <w:proofErr w:type="spellEnd"/>
      <w:r w:rsidRPr="002E4D3A">
        <w:rPr>
          <w:rFonts w:ascii="Book Antiqua" w:eastAsia="宋体" w:hAnsi="Book Antiqua" w:cs="宋体"/>
          <w:sz w:val="24"/>
          <w:szCs w:val="24"/>
          <w:lang w:eastAsia="zh-CN" w:bidi="ar-SA"/>
        </w:rPr>
        <w:t xml:space="preserve"> W, </w:t>
      </w:r>
      <w:proofErr w:type="spellStart"/>
      <w:r w:rsidRPr="002E4D3A">
        <w:rPr>
          <w:rFonts w:ascii="Book Antiqua" w:eastAsia="宋体" w:hAnsi="Book Antiqua" w:cs="宋体"/>
          <w:sz w:val="24"/>
          <w:szCs w:val="24"/>
          <w:lang w:eastAsia="zh-CN" w:bidi="ar-SA"/>
        </w:rPr>
        <w:t>Radinahamed</w:t>
      </w:r>
      <w:proofErr w:type="spellEnd"/>
      <w:r w:rsidRPr="002E4D3A">
        <w:rPr>
          <w:rFonts w:ascii="Book Antiqua" w:eastAsia="宋体" w:hAnsi="Book Antiqua" w:cs="宋体"/>
          <w:sz w:val="24"/>
          <w:szCs w:val="24"/>
          <w:lang w:eastAsia="zh-CN" w:bidi="ar-SA"/>
        </w:rPr>
        <w:t xml:space="preserve"> P, </w:t>
      </w:r>
      <w:proofErr w:type="spellStart"/>
      <w:r w:rsidRPr="002E4D3A">
        <w:rPr>
          <w:rFonts w:ascii="Book Antiqua" w:eastAsia="宋体" w:hAnsi="Book Antiqua" w:cs="宋体"/>
          <w:sz w:val="24"/>
          <w:szCs w:val="24"/>
          <w:lang w:eastAsia="zh-CN" w:bidi="ar-SA"/>
        </w:rPr>
        <w:t>Disthabanchong</w:t>
      </w:r>
      <w:proofErr w:type="spellEnd"/>
      <w:r w:rsidRPr="002E4D3A">
        <w:rPr>
          <w:rFonts w:ascii="Book Antiqua" w:eastAsia="宋体" w:hAnsi="Book Antiqua" w:cs="宋体"/>
          <w:sz w:val="24"/>
          <w:szCs w:val="24"/>
          <w:lang w:eastAsia="zh-CN" w:bidi="ar-SA"/>
        </w:rPr>
        <w:t xml:space="preserve"> S. Renal phosphate loss in long-term kidney </w:t>
      </w:r>
      <w:r w:rsidRPr="002E4D3A">
        <w:rPr>
          <w:rFonts w:ascii="Book Antiqua" w:eastAsia="宋体" w:hAnsi="Book Antiqua" w:cs="宋体"/>
          <w:sz w:val="24"/>
          <w:szCs w:val="24"/>
          <w:lang w:eastAsia="zh-CN" w:bidi="ar-SA"/>
        </w:rPr>
        <w:lastRenderedPageBreak/>
        <w:t xml:space="preserve">transplantation.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J Am </w:t>
      </w:r>
      <w:proofErr w:type="spellStart"/>
      <w:r w:rsidRPr="002E4D3A">
        <w:rPr>
          <w:rFonts w:ascii="Book Antiqua" w:eastAsia="宋体" w:hAnsi="Book Antiqua" w:cs="宋体"/>
          <w:i/>
          <w:iCs/>
          <w:sz w:val="24"/>
          <w:szCs w:val="24"/>
          <w:lang w:eastAsia="zh-CN" w:bidi="ar-SA"/>
        </w:rPr>
        <w:t>Soc</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2012; </w:t>
      </w:r>
      <w:r w:rsidRPr="002E4D3A">
        <w:rPr>
          <w:rFonts w:ascii="Book Antiqua" w:eastAsia="宋体" w:hAnsi="Book Antiqua" w:cs="宋体"/>
          <w:b/>
          <w:bCs/>
          <w:sz w:val="24"/>
          <w:szCs w:val="24"/>
          <w:lang w:eastAsia="zh-CN" w:bidi="ar-SA"/>
        </w:rPr>
        <w:t>7</w:t>
      </w:r>
      <w:r w:rsidRPr="002E4D3A">
        <w:rPr>
          <w:rFonts w:ascii="Book Antiqua" w:eastAsia="宋体" w:hAnsi="Book Antiqua" w:cs="宋体"/>
          <w:sz w:val="24"/>
          <w:szCs w:val="24"/>
          <w:lang w:eastAsia="zh-CN" w:bidi="ar-SA"/>
        </w:rPr>
        <w:t>: 323-331 [PMID: 22134626 DOI: 10.2215/CJN.06380611]</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9 </w:t>
      </w:r>
      <w:proofErr w:type="spellStart"/>
      <w:r w:rsidRPr="002E4D3A">
        <w:rPr>
          <w:rFonts w:ascii="Book Antiqua" w:eastAsia="宋体" w:hAnsi="Book Antiqua" w:cs="宋体"/>
          <w:b/>
          <w:bCs/>
          <w:sz w:val="24"/>
          <w:szCs w:val="24"/>
          <w:lang w:eastAsia="zh-CN" w:bidi="ar-SA"/>
        </w:rPr>
        <w:t>Tomida</w:t>
      </w:r>
      <w:proofErr w:type="spellEnd"/>
      <w:r w:rsidRPr="002E4D3A">
        <w:rPr>
          <w:rFonts w:ascii="Book Antiqua" w:eastAsia="宋体" w:hAnsi="Book Antiqua" w:cs="宋体"/>
          <w:b/>
          <w:bCs/>
          <w:sz w:val="24"/>
          <w:szCs w:val="24"/>
          <w:lang w:eastAsia="zh-CN" w:bidi="ar-SA"/>
        </w:rPr>
        <w:t xml:space="preserve"> K</w:t>
      </w:r>
      <w:r w:rsidRPr="002E4D3A">
        <w:rPr>
          <w:rFonts w:ascii="Book Antiqua" w:eastAsia="宋体" w:hAnsi="Book Antiqua" w:cs="宋体"/>
          <w:sz w:val="24"/>
          <w:szCs w:val="24"/>
          <w:lang w:eastAsia="zh-CN" w:bidi="ar-SA"/>
        </w:rPr>
        <w:t xml:space="preserve">, Hamano T, </w:t>
      </w:r>
      <w:proofErr w:type="spellStart"/>
      <w:r w:rsidRPr="002E4D3A">
        <w:rPr>
          <w:rFonts w:ascii="Book Antiqua" w:eastAsia="宋体" w:hAnsi="Book Antiqua" w:cs="宋体"/>
          <w:sz w:val="24"/>
          <w:szCs w:val="24"/>
          <w:lang w:eastAsia="zh-CN" w:bidi="ar-SA"/>
        </w:rPr>
        <w:t>Ichimaru</w:t>
      </w:r>
      <w:proofErr w:type="spellEnd"/>
      <w:r w:rsidRPr="002E4D3A">
        <w:rPr>
          <w:rFonts w:ascii="Book Antiqua" w:eastAsia="宋体" w:hAnsi="Book Antiqua" w:cs="宋体"/>
          <w:sz w:val="24"/>
          <w:szCs w:val="24"/>
          <w:lang w:eastAsia="zh-CN" w:bidi="ar-SA"/>
        </w:rPr>
        <w:t xml:space="preserve"> N, </w:t>
      </w:r>
      <w:proofErr w:type="spellStart"/>
      <w:r w:rsidRPr="002E4D3A">
        <w:rPr>
          <w:rFonts w:ascii="Book Antiqua" w:eastAsia="宋体" w:hAnsi="Book Antiqua" w:cs="宋体"/>
          <w:sz w:val="24"/>
          <w:szCs w:val="24"/>
          <w:lang w:eastAsia="zh-CN" w:bidi="ar-SA"/>
        </w:rPr>
        <w:t>Fujii</w:t>
      </w:r>
      <w:proofErr w:type="spellEnd"/>
      <w:r w:rsidRPr="002E4D3A">
        <w:rPr>
          <w:rFonts w:ascii="Book Antiqua" w:eastAsia="宋体" w:hAnsi="Book Antiqua" w:cs="宋体"/>
          <w:sz w:val="24"/>
          <w:szCs w:val="24"/>
          <w:lang w:eastAsia="zh-CN" w:bidi="ar-SA"/>
        </w:rPr>
        <w:t xml:space="preserve"> N, Matsui I, </w:t>
      </w:r>
      <w:proofErr w:type="spellStart"/>
      <w:r w:rsidRPr="002E4D3A">
        <w:rPr>
          <w:rFonts w:ascii="Book Antiqua" w:eastAsia="宋体" w:hAnsi="Book Antiqua" w:cs="宋体"/>
          <w:sz w:val="24"/>
          <w:szCs w:val="24"/>
          <w:lang w:eastAsia="zh-CN" w:bidi="ar-SA"/>
        </w:rPr>
        <w:t>Nonomura</w:t>
      </w:r>
      <w:proofErr w:type="spellEnd"/>
      <w:r w:rsidRPr="002E4D3A">
        <w:rPr>
          <w:rFonts w:ascii="Book Antiqua" w:eastAsia="宋体" w:hAnsi="Book Antiqua" w:cs="宋体"/>
          <w:sz w:val="24"/>
          <w:szCs w:val="24"/>
          <w:lang w:eastAsia="zh-CN" w:bidi="ar-SA"/>
        </w:rPr>
        <w:t xml:space="preserve"> N, </w:t>
      </w:r>
      <w:proofErr w:type="spellStart"/>
      <w:r w:rsidRPr="002E4D3A">
        <w:rPr>
          <w:rFonts w:ascii="Book Antiqua" w:eastAsia="宋体" w:hAnsi="Book Antiqua" w:cs="宋体"/>
          <w:sz w:val="24"/>
          <w:szCs w:val="24"/>
          <w:lang w:eastAsia="zh-CN" w:bidi="ar-SA"/>
        </w:rPr>
        <w:t>Tsubakihara</w:t>
      </w:r>
      <w:proofErr w:type="spellEnd"/>
      <w:r w:rsidRPr="002E4D3A">
        <w:rPr>
          <w:rFonts w:ascii="Book Antiqua" w:eastAsia="宋体" w:hAnsi="Book Antiqua" w:cs="宋体"/>
          <w:sz w:val="24"/>
          <w:szCs w:val="24"/>
          <w:lang w:eastAsia="zh-CN" w:bidi="ar-SA"/>
        </w:rPr>
        <w:t xml:space="preserve"> Y, </w:t>
      </w:r>
      <w:proofErr w:type="spellStart"/>
      <w:r w:rsidRPr="002E4D3A">
        <w:rPr>
          <w:rFonts w:ascii="Book Antiqua" w:eastAsia="宋体" w:hAnsi="Book Antiqua" w:cs="宋体"/>
          <w:sz w:val="24"/>
          <w:szCs w:val="24"/>
          <w:lang w:eastAsia="zh-CN" w:bidi="ar-SA"/>
        </w:rPr>
        <w:t>Rakugi</w:t>
      </w:r>
      <w:proofErr w:type="spellEnd"/>
      <w:r w:rsidRPr="002E4D3A">
        <w:rPr>
          <w:rFonts w:ascii="Book Antiqua" w:eastAsia="宋体" w:hAnsi="Book Antiqua" w:cs="宋体"/>
          <w:sz w:val="24"/>
          <w:szCs w:val="24"/>
          <w:lang w:eastAsia="zh-CN" w:bidi="ar-SA"/>
        </w:rPr>
        <w:t xml:space="preserve"> H, </w:t>
      </w:r>
      <w:proofErr w:type="spellStart"/>
      <w:r w:rsidRPr="002E4D3A">
        <w:rPr>
          <w:rFonts w:ascii="Book Antiqua" w:eastAsia="宋体" w:hAnsi="Book Antiqua" w:cs="宋体"/>
          <w:sz w:val="24"/>
          <w:szCs w:val="24"/>
          <w:lang w:eastAsia="zh-CN" w:bidi="ar-SA"/>
        </w:rPr>
        <w:t>Takahara</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Isaka</w:t>
      </w:r>
      <w:proofErr w:type="spellEnd"/>
      <w:r w:rsidRPr="002E4D3A">
        <w:rPr>
          <w:rFonts w:ascii="Book Antiqua" w:eastAsia="宋体" w:hAnsi="Book Antiqua" w:cs="宋体"/>
          <w:sz w:val="24"/>
          <w:szCs w:val="24"/>
          <w:lang w:eastAsia="zh-CN" w:bidi="ar-SA"/>
        </w:rPr>
        <w:t xml:space="preserve"> Y. Dialysis vintage and parathyroid hormone level, not fibroblast growth factor-23, determines chronic-phase phosphate wasting after renal transplantation. </w:t>
      </w:r>
      <w:r w:rsidRPr="002E4D3A">
        <w:rPr>
          <w:rFonts w:ascii="Book Antiqua" w:eastAsia="宋体" w:hAnsi="Book Antiqua" w:cs="宋体"/>
          <w:i/>
          <w:iCs/>
          <w:sz w:val="24"/>
          <w:szCs w:val="24"/>
          <w:lang w:eastAsia="zh-CN" w:bidi="ar-SA"/>
        </w:rPr>
        <w:t>Bone</w:t>
      </w:r>
      <w:r w:rsidRPr="002E4D3A">
        <w:rPr>
          <w:rFonts w:ascii="Book Antiqua" w:eastAsia="宋体" w:hAnsi="Book Antiqua" w:cs="宋体"/>
          <w:sz w:val="24"/>
          <w:szCs w:val="24"/>
          <w:lang w:eastAsia="zh-CN" w:bidi="ar-SA"/>
        </w:rPr>
        <w:t xml:space="preserve"> 2012; </w:t>
      </w:r>
      <w:r w:rsidRPr="002E4D3A">
        <w:rPr>
          <w:rFonts w:ascii="Book Antiqua" w:eastAsia="宋体" w:hAnsi="Book Antiqua" w:cs="宋体"/>
          <w:b/>
          <w:bCs/>
          <w:sz w:val="24"/>
          <w:szCs w:val="24"/>
          <w:lang w:eastAsia="zh-CN" w:bidi="ar-SA"/>
        </w:rPr>
        <w:t>51</w:t>
      </w:r>
      <w:r w:rsidRPr="002E4D3A">
        <w:rPr>
          <w:rFonts w:ascii="Book Antiqua" w:eastAsia="宋体" w:hAnsi="Book Antiqua" w:cs="宋体"/>
          <w:sz w:val="24"/>
          <w:szCs w:val="24"/>
          <w:lang w:eastAsia="zh-CN" w:bidi="ar-SA"/>
        </w:rPr>
        <w:t>: 729-736 [PMID: 22796419 DOI: 10.1016/j.bone.2012.06.027]</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10 </w:t>
      </w:r>
      <w:r w:rsidRPr="002E4D3A">
        <w:rPr>
          <w:rFonts w:ascii="Book Antiqua" w:eastAsia="宋体" w:hAnsi="Book Antiqua" w:cs="宋体"/>
          <w:b/>
          <w:bCs/>
          <w:sz w:val="24"/>
          <w:szCs w:val="24"/>
          <w:lang w:eastAsia="zh-CN" w:bidi="ar-SA"/>
        </w:rPr>
        <w:t>Gutierrez O</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Isakova</w:t>
      </w:r>
      <w:proofErr w:type="spellEnd"/>
      <w:r w:rsidRPr="002E4D3A">
        <w:rPr>
          <w:rFonts w:ascii="Book Antiqua" w:eastAsia="宋体" w:hAnsi="Book Antiqua" w:cs="宋体"/>
          <w:sz w:val="24"/>
          <w:szCs w:val="24"/>
          <w:lang w:eastAsia="zh-CN" w:bidi="ar-SA"/>
        </w:rPr>
        <w:t xml:space="preserve"> T, Rhee E, Shah A, Holmes J, </w:t>
      </w:r>
      <w:proofErr w:type="spellStart"/>
      <w:r w:rsidRPr="002E4D3A">
        <w:rPr>
          <w:rFonts w:ascii="Book Antiqua" w:eastAsia="宋体" w:hAnsi="Book Antiqua" w:cs="宋体"/>
          <w:sz w:val="24"/>
          <w:szCs w:val="24"/>
          <w:lang w:eastAsia="zh-CN" w:bidi="ar-SA"/>
        </w:rPr>
        <w:t>Collerone</w:t>
      </w:r>
      <w:proofErr w:type="spellEnd"/>
      <w:r w:rsidRPr="002E4D3A">
        <w:rPr>
          <w:rFonts w:ascii="Book Antiqua" w:eastAsia="宋体" w:hAnsi="Book Antiqua" w:cs="宋体"/>
          <w:sz w:val="24"/>
          <w:szCs w:val="24"/>
          <w:lang w:eastAsia="zh-CN" w:bidi="ar-SA"/>
        </w:rPr>
        <w:t xml:space="preserve"> G, </w:t>
      </w:r>
      <w:proofErr w:type="spellStart"/>
      <w:r w:rsidRPr="002E4D3A">
        <w:rPr>
          <w:rFonts w:ascii="Book Antiqua" w:eastAsia="宋体" w:hAnsi="Book Antiqua" w:cs="宋体"/>
          <w:sz w:val="24"/>
          <w:szCs w:val="24"/>
          <w:lang w:eastAsia="zh-CN" w:bidi="ar-SA"/>
        </w:rPr>
        <w:t>Jüppner</w:t>
      </w:r>
      <w:proofErr w:type="spellEnd"/>
      <w:r w:rsidRPr="002E4D3A">
        <w:rPr>
          <w:rFonts w:ascii="Book Antiqua" w:eastAsia="宋体" w:hAnsi="Book Antiqua" w:cs="宋体"/>
          <w:sz w:val="24"/>
          <w:szCs w:val="24"/>
          <w:lang w:eastAsia="zh-CN" w:bidi="ar-SA"/>
        </w:rPr>
        <w:t xml:space="preserve"> H, Wolf M. Fibroblast growth factor-23 mitigates </w:t>
      </w:r>
      <w:proofErr w:type="spellStart"/>
      <w:r w:rsidRPr="002E4D3A">
        <w:rPr>
          <w:rFonts w:ascii="Book Antiqua" w:eastAsia="宋体" w:hAnsi="Book Antiqua" w:cs="宋体"/>
          <w:sz w:val="24"/>
          <w:szCs w:val="24"/>
          <w:lang w:eastAsia="zh-CN" w:bidi="ar-SA"/>
        </w:rPr>
        <w:t>hyperphosphatemia</w:t>
      </w:r>
      <w:proofErr w:type="spellEnd"/>
      <w:r w:rsidRPr="002E4D3A">
        <w:rPr>
          <w:rFonts w:ascii="Book Antiqua" w:eastAsia="宋体" w:hAnsi="Book Antiqua" w:cs="宋体"/>
          <w:sz w:val="24"/>
          <w:szCs w:val="24"/>
          <w:lang w:eastAsia="zh-CN" w:bidi="ar-SA"/>
        </w:rPr>
        <w:t xml:space="preserve"> but accentuates </w:t>
      </w:r>
      <w:proofErr w:type="spellStart"/>
      <w:r w:rsidRPr="002E4D3A">
        <w:rPr>
          <w:rFonts w:ascii="Book Antiqua" w:eastAsia="宋体" w:hAnsi="Book Antiqua" w:cs="宋体"/>
          <w:sz w:val="24"/>
          <w:szCs w:val="24"/>
          <w:lang w:eastAsia="zh-CN" w:bidi="ar-SA"/>
        </w:rPr>
        <w:t>calcitriol</w:t>
      </w:r>
      <w:proofErr w:type="spellEnd"/>
      <w:r w:rsidRPr="002E4D3A">
        <w:rPr>
          <w:rFonts w:ascii="Book Antiqua" w:eastAsia="宋体" w:hAnsi="Book Antiqua" w:cs="宋体"/>
          <w:sz w:val="24"/>
          <w:szCs w:val="24"/>
          <w:lang w:eastAsia="zh-CN" w:bidi="ar-SA"/>
        </w:rPr>
        <w:t xml:space="preserve"> deficiency in chronic kidney disease. </w:t>
      </w:r>
      <w:r w:rsidRPr="002E4D3A">
        <w:rPr>
          <w:rFonts w:ascii="Book Antiqua" w:eastAsia="宋体" w:hAnsi="Book Antiqua" w:cs="宋体"/>
          <w:i/>
          <w:iCs/>
          <w:sz w:val="24"/>
          <w:szCs w:val="24"/>
          <w:lang w:eastAsia="zh-CN" w:bidi="ar-SA"/>
        </w:rPr>
        <w:t xml:space="preserve">J Am </w:t>
      </w:r>
      <w:proofErr w:type="spellStart"/>
      <w:r w:rsidRPr="002E4D3A">
        <w:rPr>
          <w:rFonts w:ascii="Book Antiqua" w:eastAsia="宋体" w:hAnsi="Book Antiqua" w:cs="宋体"/>
          <w:i/>
          <w:iCs/>
          <w:sz w:val="24"/>
          <w:szCs w:val="24"/>
          <w:lang w:eastAsia="zh-CN" w:bidi="ar-SA"/>
        </w:rPr>
        <w:t>Soc</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2005; </w:t>
      </w:r>
      <w:r w:rsidRPr="002E4D3A">
        <w:rPr>
          <w:rFonts w:ascii="Book Antiqua" w:eastAsia="宋体" w:hAnsi="Book Antiqua" w:cs="宋体"/>
          <w:b/>
          <w:bCs/>
          <w:sz w:val="24"/>
          <w:szCs w:val="24"/>
          <w:lang w:eastAsia="zh-CN" w:bidi="ar-SA"/>
        </w:rPr>
        <w:t>16</w:t>
      </w:r>
      <w:r w:rsidRPr="002E4D3A">
        <w:rPr>
          <w:rFonts w:ascii="Book Antiqua" w:eastAsia="宋体" w:hAnsi="Book Antiqua" w:cs="宋体"/>
          <w:sz w:val="24"/>
          <w:szCs w:val="24"/>
          <w:lang w:eastAsia="zh-CN" w:bidi="ar-SA"/>
        </w:rPr>
        <w:t>: 2205-2215 [PMID: 15917335 DOI: 10.1681/ASN.2005010052]</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11 </w:t>
      </w:r>
      <w:proofErr w:type="spellStart"/>
      <w:r w:rsidRPr="002E4D3A">
        <w:rPr>
          <w:rFonts w:ascii="Book Antiqua" w:eastAsia="宋体" w:hAnsi="Book Antiqua" w:cs="宋体"/>
          <w:b/>
          <w:bCs/>
          <w:sz w:val="24"/>
          <w:szCs w:val="24"/>
          <w:lang w:eastAsia="zh-CN" w:bidi="ar-SA"/>
        </w:rPr>
        <w:t>Messa</w:t>
      </w:r>
      <w:proofErr w:type="spellEnd"/>
      <w:r w:rsidRPr="002E4D3A">
        <w:rPr>
          <w:rFonts w:ascii="Book Antiqua" w:eastAsia="宋体" w:hAnsi="Book Antiqua" w:cs="宋体"/>
          <w:b/>
          <w:bCs/>
          <w:sz w:val="24"/>
          <w:szCs w:val="24"/>
          <w:lang w:eastAsia="zh-CN" w:bidi="ar-SA"/>
        </w:rPr>
        <w:t xml:space="preserve"> P</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Sindici</w:t>
      </w:r>
      <w:proofErr w:type="spellEnd"/>
      <w:r w:rsidRPr="002E4D3A">
        <w:rPr>
          <w:rFonts w:ascii="Book Antiqua" w:eastAsia="宋体" w:hAnsi="Book Antiqua" w:cs="宋体"/>
          <w:sz w:val="24"/>
          <w:szCs w:val="24"/>
          <w:lang w:eastAsia="zh-CN" w:bidi="ar-SA"/>
        </w:rPr>
        <w:t xml:space="preserve"> C, </w:t>
      </w:r>
      <w:proofErr w:type="spellStart"/>
      <w:r w:rsidRPr="002E4D3A">
        <w:rPr>
          <w:rFonts w:ascii="Book Antiqua" w:eastAsia="宋体" w:hAnsi="Book Antiqua" w:cs="宋体"/>
          <w:sz w:val="24"/>
          <w:szCs w:val="24"/>
          <w:lang w:eastAsia="zh-CN" w:bidi="ar-SA"/>
        </w:rPr>
        <w:t>Cannella</w:t>
      </w:r>
      <w:proofErr w:type="spellEnd"/>
      <w:r w:rsidRPr="002E4D3A">
        <w:rPr>
          <w:rFonts w:ascii="Book Antiqua" w:eastAsia="宋体" w:hAnsi="Book Antiqua" w:cs="宋体"/>
          <w:sz w:val="24"/>
          <w:szCs w:val="24"/>
          <w:lang w:eastAsia="zh-CN" w:bidi="ar-SA"/>
        </w:rPr>
        <w:t xml:space="preserve"> G, </w:t>
      </w:r>
      <w:proofErr w:type="spellStart"/>
      <w:r w:rsidRPr="002E4D3A">
        <w:rPr>
          <w:rFonts w:ascii="Book Antiqua" w:eastAsia="宋体" w:hAnsi="Book Antiqua" w:cs="宋体"/>
          <w:sz w:val="24"/>
          <w:szCs w:val="24"/>
          <w:lang w:eastAsia="zh-CN" w:bidi="ar-SA"/>
        </w:rPr>
        <w:t>Miotti</w:t>
      </w:r>
      <w:proofErr w:type="spellEnd"/>
      <w:r w:rsidRPr="002E4D3A">
        <w:rPr>
          <w:rFonts w:ascii="Book Antiqua" w:eastAsia="宋体" w:hAnsi="Book Antiqua" w:cs="宋体"/>
          <w:sz w:val="24"/>
          <w:szCs w:val="24"/>
          <w:lang w:eastAsia="zh-CN" w:bidi="ar-SA"/>
        </w:rPr>
        <w:t xml:space="preserve"> V, </w:t>
      </w:r>
      <w:proofErr w:type="spellStart"/>
      <w:r w:rsidRPr="002E4D3A">
        <w:rPr>
          <w:rFonts w:ascii="Book Antiqua" w:eastAsia="宋体" w:hAnsi="Book Antiqua" w:cs="宋体"/>
          <w:sz w:val="24"/>
          <w:szCs w:val="24"/>
          <w:lang w:eastAsia="zh-CN" w:bidi="ar-SA"/>
        </w:rPr>
        <w:t>Risaliti</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Gropuzzo</w:t>
      </w:r>
      <w:proofErr w:type="spellEnd"/>
      <w:r w:rsidRPr="002E4D3A">
        <w:rPr>
          <w:rFonts w:ascii="Book Antiqua" w:eastAsia="宋体" w:hAnsi="Book Antiqua" w:cs="宋体"/>
          <w:sz w:val="24"/>
          <w:szCs w:val="24"/>
          <w:lang w:eastAsia="zh-CN" w:bidi="ar-SA"/>
        </w:rPr>
        <w:t xml:space="preserve"> M, Di Loreto PL, </w:t>
      </w:r>
      <w:proofErr w:type="spellStart"/>
      <w:r w:rsidRPr="002E4D3A">
        <w:rPr>
          <w:rFonts w:ascii="Book Antiqua" w:eastAsia="宋体" w:hAnsi="Book Antiqua" w:cs="宋体"/>
          <w:sz w:val="24"/>
          <w:szCs w:val="24"/>
          <w:lang w:eastAsia="zh-CN" w:bidi="ar-SA"/>
        </w:rPr>
        <w:t>Bresadola</w:t>
      </w:r>
      <w:proofErr w:type="spellEnd"/>
      <w:r w:rsidRPr="002E4D3A">
        <w:rPr>
          <w:rFonts w:ascii="Book Antiqua" w:eastAsia="宋体" w:hAnsi="Book Antiqua" w:cs="宋体"/>
          <w:sz w:val="24"/>
          <w:szCs w:val="24"/>
          <w:lang w:eastAsia="zh-CN" w:bidi="ar-SA"/>
        </w:rPr>
        <w:t xml:space="preserve"> F, </w:t>
      </w:r>
      <w:proofErr w:type="spellStart"/>
      <w:r w:rsidRPr="002E4D3A">
        <w:rPr>
          <w:rFonts w:ascii="Book Antiqua" w:eastAsia="宋体" w:hAnsi="Book Antiqua" w:cs="宋体"/>
          <w:sz w:val="24"/>
          <w:szCs w:val="24"/>
          <w:lang w:eastAsia="zh-CN" w:bidi="ar-SA"/>
        </w:rPr>
        <w:t>Mioni</w:t>
      </w:r>
      <w:proofErr w:type="spellEnd"/>
      <w:r w:rsidRPr="002E4D3A">
        <w:rPr>
          <w:rFonts w:ascii="Book Antiqua" w:eastAsia="宋体" w:hAnsi="Book Antiqua" w:cs="宋体"/>
          <w:sz w:val="24"/>
          <w:szCs w:val="24"/>
          <w:lang w:eastAsia="zh-CN" w:bidi="ar-SA"/>
        </w:rPr>
        <w:t xml:space="preserve"> G. Persistent secondary hyperparathyroidism after renal transplantation. </w:t>
      </w:r>
      <w:r w:rsidRPr="002E4D3A">
        <w:rPr>
          <w:rFonts w:ascii="Book Antiqua" w:eastAsia="宋体" w:hAnsi="Book Antiqua" w:cs="宋体"/>
          <w:i/>
          <w:iCs/>
          <w:sz w:val="24"/>
          <w:szCs w:val="24"/>
          <w:lang w:eastAsia="zh-CN" w:bidi="ar-SA"/>
        </w:rPr>
        <w:t xml:space="preserve">Kidney </w:t>
      </w:r>
      <w:proofErr w:type="spellStart"/>
      <w:r w:rsidRPr="002E4D3A">
        <w:rPr>
          <w:rFonts w:ascii="Book Antiqua" w:eastAsia="宋体" w:hAnsi="Book Antiqua" w:cs="宋体"/>
          <w:i/>
          <w:iCs/>
          <w:sz w:val="24"/>
          <w:szCs w:val="24"/>
          <w:lang w:eastAsia="zh-CN" w:bidi="ar-SA"/>
        </w:rPr>
        <w:t>Int</w:t>
      </w:r>
      <w:proofErr w:type="spellEnd"/>
      <w:r w:rsidRPr="002E4D3A">
        <w:rPr>
          <w:rFonts w:ascii="Book Antiqua" w:eastAsia="宋体" w:hAnsi="Book Antiqua" w:cs="宋体"/>
          <w:sz w:val="24"/>
          <w:szCs w:val="24"/>
          <w:lang w:eastAsia="zh-CN" w:bidi="ar-SA"/>
        </w:rPr>
        <w:t xml:space="preserve"> 1998; </w:t>
      </w:r>
      <w:r w:rsidRPr="002E4D3A">
        <w:rPr>
          <w:rFonts w:ascii="Book Antiqua" w:eastAsia="宋体" w:hAnsi="Book Antiqua" w:cs="宋体"/>
          <w:b/>
          <w:bCs/>
          <w:sz w:val="24"/>
          <w:szCs w:val="24"/>
          <w:lang w:eastAsia="zh-CN" w:bidi="ar-SA"/>
        </w:rPr>
        <w:t>54</w:t>
      </w:r>
      <w:r w:rsidRPr="002E4D3A">
        <w:rPr>
          <w:rFonts w:ascii="Book Antiqua" w:eastAsia="宋体" w:hAnsi="Book Antiqua" w:cs="宋体"/>
          <w:sz w:val="24"/>
          <w:szCs w:val="24"/>
          <w:lang w:eastAsia="zh-CN" w:bidi="ar-SA"/>
        </w:rPr>
        <w:t>: 1704-1713 [PMID: 9844148 DOI: 10.1046/j.1523-1755.1998.00142.x]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12 </w:t>
      </w:r>
      <w:proofErr w:type="spellStart"/>
      <w:r w:rsidRPr="002E4D3A">
        <w:rPr>
          <w:rFonts w:ascii="Book Antiqua" w:eastAsia="宋体" w:hAnsi="Book Antiqua" w:cs="宋体"/>
          <w:b/>
          <w:bCs/>
          <w:sz w:val="24"/>
          <w:szCs w:val="24"/>
          <w:lang w:eastAsia="zh-CN" w:bidi="ar-SA"/>
        </w:rPr>
        <w:t>Muirhead</w:t>
      </w:r>
      <w:proofErr w:type="spellEnd"/>
      <w:r w:rsidRPr="002E4D3A">
        <w:rPr>
          <w:rFonts w:ascii="Book Antiqua" w:eastAsia="宋体" w:hAnsi="Book Antiqua" w:cs="宋体"/>
          <w:b/>
          <w:bCs/>
          <w:sz w:val="24"/>
          <w:szCs w:val="24"/>
          <w:lang w:eastAsia="zh-CN" w:bidi="ar-SA"/>
        </w:rPr>
        <w:t xml:space="preserve"> N</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Zaltman</w:t>
      </w:r>
      <w:proofErr w:type="spellEnd"/>
      <w:r w:rsidRPr="002E4D3A">
        <w:rPr>
          <w:rFonts w:ascii="Book Antiqua" w:eastAsia="宋体" w:hAnsi="Book Antiqua" w:cs="宋体"/>
          <w:sz w:val="24"/>
          <w:szCs w:val="24"/>
          <w:lang w:eastAsia="zh-CN" w:bidi="ar-SA"/>
        </w:rPr>
        <w:t xml:space="preserve"> JS, Gill JS, Churchill DN, </w:t>
      </w:r>
      <w:proofErr w:type="spellStart"/>
      <w:r w:rsidRPr="002E4D3A">
        <w:rPr>
          <w:rFonts w:ascii="Book Antiqua" w:eastAsia="宋体" w:hAnsi="Book Antiqua" w:cs="宋体"/>
          <w:sz w:val="24"/>
          <w:szCs w:val="24"/>
          <w:lang w:eastAsia="zh-CN" w:bidi="ar-SA"/>
        </w:rPr>
        <w:t>Poulin</w:t>
      </w:r>
      <w:proofErr w:type="spellEnd"/>
      <w:r w:rsidRPr="002E4D3A">
        <w:rPr>
          <w:rFonts w:ascii="Book Antiqua" w:eastAsia="宋体" w:hAnsi="Book Antiqua" w:cs="宋体"/>
          <w:sz w:val="24"/>
          <w:szCs w:val="24"/>
          <w:lang w:eastAsia="zh-CN" w:bidi="ar-SA"/>
        </w:rPr>
        <w:t xml:space="preserve">-Costello M, Mann V, Cole EH. </w:t>
      </w:r>
      <w:proofErr w:type="spellStart"/>
      <w:r w:rsidRPr="002E4D3A">
        <w:rPr>
          <w:rFonts w:ascii="Book Antiqua" w:eastAsia="宋体" w:hAnsi="Book Antiqua" w:cs="宋体"/>
          <w:sz w:val="24"/>
          <w:szCs w:val="24"/>
          <w:lang w:eastAsia="zh-CN" w:bidi="ar-SA"/>
        </w:rPr>
        <w:t>Hypercalcemia</w:t>
      </w:r>
      <w:proofErr w:type="spellEnd"/>
      <w:r w:rsidRPr="002E4D3A">
        <w:rPr>
          <w:rFonts w:ascii="Book Antiqua" w:eastAsia="宋体" w:hAnsi="Book Antiqua" w:cs="宋体"/>
          <w:sz w:val="24"/>
          <w:szCs w:val="24"/>
          <w:lang w:eastAsia="zh-CN" w:bidi="ar-SA"/>
        </w:rPr>
        <w:t xml:space="preserve"> in renal transplant patients: prevalence and management in Canadian transplant practice.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Transplant</w:t>
      </w:r>
      <w:r w:rsidRPr="002E4D3A">
        <w:rPr>
          <w:rFonts w:ascii="Book Antiqua" w:eastAsia="宋体" w:hAnsi="Book Antiqua" w:cs="宋体"/>
          <w:sz w:val="24"/>
          <w:szCs w:val="24"/>
          <w:lang w:eastAsia="zh-CN" w:bidi="ar-SA"/>
        </w:rPr>
        <w:t xml:space="preserve"> 2014; </w:t>
      </w:r>
      <w:r w:rsidRPr="002E4D3A">
        <w:rPr>
          <w:rFonts w:ascii="Book Antiqua" w:eastAsia="宋体" w:hAnsi="Book Antiqua" w:cs="宋体"/>
          <w:b/>
          <w:bCs/>
          <w:sz w:val="24"/>
          <w:szCs w:val="24"/>
          <w:lang w:eastAsia="zh-CN" w:bidi="ar-SA"/>
        </w:rPr>
        <w:t>28</w:t>
      </w:r>
      <w:r w:rsidRPr="002E4D3A">
        <w:rPr>
          <w:rFonts w:ascii="Book Antiqua" w:eastAsia="宋体" w:hAnsi="Book Antiqua" w:cs="宋体"/>
          <w:sz w:val="24"/>
          <w:szCs w:val="24"/>
          <w:lang w:eastAsia="zh-CN" w:bidi="ar-SA"/>
        </w:rPr>
        <w:t>: 161-165 [PMID: 24329899 DOI: 10.1111/ctr.12291]</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13 </w:t>
      </w:r>
      <w:proofErr w:type="spellStart"/>
      <w:r w:rsidRPr="002E4D3A">
        <w:rPr>
          <w:rFonts w:ascii="Book Antiqua" w:eastAsia="宋体" w:hAnsi="Book Antiqua" w:cs="宋体"/>
          <w:b/>
          <w:bCs/>
          <w:sz w:val="24"/>
          <w:szCs w:val="24"/>
          <w:lang w:eastAsia="zh-CN" w:bidi="ar-SA"/>
        </w:rPr>
        <w:t>Kawarazaki</w:t>
      </w:r>
      <w:proofErr w:type="spellEnd"/>
      <w:r w:rsidRPr="002E4D3A">
        <w:rPr>
          <w:rFonts w:ascii="Book Antiqua" w:eastAsia="宋体" w:hAnsi="Book Antiqua" w:cs="宋体"/>
          <w:b/>
          <w:bCs/>
          <w:sz w:val="24"/>
          <w:szCs w:val="24"/>
          <w:lang w:eastAsia="zh-CN" w:bidi="ar-SA"/>
        </w:rPr>
        <w:t xml:space="preserve"> H</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Shibagaki</w:t>
      </w:r>
      <w:proofErr w:type="spellEnd"/>
      <w:r w:rsidRPr="002E4D3A">
        <w:rPr>
          <w:rFonts w:ascii="Book Antiqua" w:eastAsia="宋体" w:hAnsi="Book Antiqua" w:cs="宋体"/>
          <w:sz w:val="24"/>
          <w:szCs w:val="24"/>
          <w:lang w:eastAsia="zh-CN" w:bidi="ar-SA"/>
        </w:rPr>
        <w:t xml:space="preserve"> Y, </w:t>
      </w:r>
      <w:proofErr w:type="spellStart"/>
      <w:r w:rsidRPr="002E4D3A">
        <w:rPr>
          <w:rFonts w:ascii="Book Antiqua" w:eastAsia="宋体" w:hAnsi="Book Antiqua" w:cs="宋体"/>
          <w:sz w:val="24"/>
          <w:szCs w:val="24"/>
          <w:lang w:eastAsia="zh-CN" w:bidi="ar-SA"/>
        </w:rPr>
        <w:t>Fukumoto</w:t>
      </w:r>
      <w:proofErr w:type="spellEnd"/>
      <w:r w:rsidRPr="002E4D3A">
        <w:rPr>
          <w:rFonts w:ascii="Book Antiqua" w:eastAsia="宋体" w:hAnsi="Book Antiqua" w:cs="宋体"/>
          <w:sz w:val="24"/>
          <w:szCs w:val="24"/>
          <w:lang w:eastAsia="zh-CN" w:bidi="ar-SA"/>
        </w:rPr>
        <w:t xml:space="preserve"> S, Kido R, Ando K, Nakajima I, </w:t>
      </w:r>
      <w:proofErr w:type="spellStart"/>
      <w:r w:rsidRPr="002E4D3A">
        <w:rPr>
          <w:rFonts w:ascii="Book Antiqua" w:eastAsia="宋体" w:hAnsi="Book Antiqua" w:cs="宋体"/>
          <w:sz w:val="24"/>
          <w:szCs w:val="24"/>
          <w:lang w:eastAsia="zh-CN" w:bidi="ar-SA"/>
        </w:rPr>
        <w:t>Fuchinoue</w:t>
      </w:r>
      <w:proofErr w:type="spellEnd"/>
      <w:r w:rsidRPr="002E4D3A">
        <w:rPr>
          <w:rFonts w:ascii="Book Antiqua" w:eastAsia="宋体" w:hAnsi="Book Antiqua" w:cs="宋体"/>
          <w:sz w:val="24"/>
          <w:szCs w:val="24"/>
          <w:lang w:eastAsia="zh-CN" w:bidi="ar-SA"/>
        </w:rPr>
        <w:t xml:space="preserve"> S, Fujita T, </w:t>
      </w:r>
      <w:proofErr w:type="spellStart"/>
      <w:r w:rsidRPr="002E4D3A">
        <w:rPr>
          <w:rFonts w:ascii="Book Antiqua" w:eastAsia="宋体" w:hAnsi="Book Antiqua" w:cs="宋体"/>
          <w:sz w:val="24"/>
          <w:szCs w:val="24"/>
          <w:lang w:eastAsia="zh-CN" w:bidi="ar-SA"/>
        </w:rPr>
        <w:t>Fukagawa</w:t>
      </w:r>
      <w:proofErr w:type="spellEnd"/>
      <w:r w:rsidRPr="002E4D3A">
        <w:rPr>
          <w:rFonts w:ascii="Book Antiqua" w:eastAsia="宋体" w:hAnsi="Book Antiqua" w:cs="宋体"/>
          <w:sz w:val="24"/>
          <w:szCs w:val="24"/>
          <w:lang w:eastAsia="zh-CN" w:bidi="ar-SA"/>
        </w:rPr>
        <w:t xml:space="preserve"> M, </w:t>
      </w:r>
      <w:proofErr w:type="spellStart"/>
      <w:r w:rsidRPr="002E4D3A">
        <w:rPr>
          <w:rFonts w:ascii="Book Antiqua" w:eastAsia="宋体" w:hAnsi="Book Antiqua" w:cs="宋体"/>
          <w:sz w:val="24"/>
          <w:szCs w:val="24"/>
          <w:lang w:eastAsia="zh-CN" w:bidi="ar-SA"/>
        </w:rPr>
        <w:t>Teraoka</w:t>
      </w:r>
      <w:proofErr w:type="spellEnd"/>
      <w:r w:rsidRPr="002E4D3A">
        <w:rPr>
          <w:rFonts w:ascii="Book Antiqua" w:eastAsia="宋体" w:hAnsi="Book Antiqua" w:cs="宋体"/>
          <w:sz w:val="24"/>
          <w:szCs w:val="24"/>
          <w:lang w:eastAsia="zh-CN" w:bidi="ar-SA"/>
        </w:rPr>
        <w:t xml:space="preserve"> S. Natural history of mineral and bone disorders after living-donor kidney transplantation: a one-year prospective observational study. </w:t>
      </w:r>
      <w:proofErr w:type="spellStart"/>
      <w:r w:rsidRPr="002E4D3A">
        <w:rPr>
          <w:rFonts w:ascii="Book Antiqua" w:eastAsia="宋体" w:hAnsi="Book Antiqua" w:cs="宋体"/>
          <w:i/>
          <w:iCs/>
          <w:sz w:val="24"/>
          <w:szCs w:val="24"/>
          <w:lang w:eastAsia="zh-CN" w:bidi="ar-SA"/>
        </w:rPr>
        <w:t>Ther</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Apher</w:t>
      </w:r>
      <w:proofErr w:type="spellEnd"/>
      <w:r w:rsidRPr="002E4D3A">
        <w:rPr>
          <w:rFonts w:ascii="Book Antiqua" w:eastAsia="宋体" w:hAnsi="Book Antiqua" w:cs="宋体"/>
          <w:i/>
          <w:iCs/>
          <w:sz w:val="24"/>
          <w:szCs w:val="24"/>
          <w:lang w:eastAsia="zh-CN" w:bidi="ar-SA"/>
        </w:rPr>
        <w:t xml:space="preserve"> Dial</w:t>
      </w:r>
      <w:r w:rsidRPr="002E4D3A">
        <w:rPr>
          <w:rFonts w:ascii="Book Antiqua" w:eastAsia="宋体" w:hAnsi="Book Antiqua" w:cs="宋体"/>
          <w:sz w:val="24"/>
          <w:szCs w:val="24"/>
          <w:lang w:eastAsia="zh-CN" w:bidi="ar-SA"/>
        </w:rPr>
        <w:t xml:space="preserve"> 2011; </w:t>
      </w:r>
      <w:r w:rsidRPr="002E4D3A">
        <w:rPr>
          <w:rFonts w:ascii="Book Antiqua" w:eastAsia="宋体" w:hAnsi="Book Antiqua" w:cs="宋体"/>
          <w:b/>
          <w:bCs/>
          <w:sz w:val="24"/>
          <w:szCs w:val="24"/>
          <w:lang w:eastAsia="zh-CN" w:bidi="ar-SA"/>
        </w:rPr>
        <w:t>15</w:t>
      </w:r>
      <w:r w:rsidRPr="002E4D3A">
        <w:rPr>
          <w:rFonts w:ascii="Book Antiqua" w:eastAsia="宋体" w:hAnsi="Book Antiqua" w:cs="宋体"/>
          <w:sz w:val="24"/>
          <w:szCs w:val="24"/>
          <w:lang w:eastAsia="zh-CN" w:bidi="ar-SA"/>
        </w:rPr>
        <w:t>: 481-487 [PMID: 21974702 DOI: 10.1111/j.1744-9987.2011.00932.x]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14 </w:t>
      </w:r>
      <w:r w:rsidRPr="002E4D3A">
        <w:rPr>
          <w:rFonts w:ascii="Book Antiqua" w:eastAsia="宋体" w:hAnsi="Book Antiqua" w:cs="宋体"/>
          <w:b/>
          <w:bCs/>
          <w:sz w:val="24"/>
          <w:szCs w:val="24"/>
          <w:lang w:eastAsia="zh-CN" w:bidi="ar-SA"/>
        </w:rPr>
        <w:t>Torres A</w:t>
      </w:r>
      <w:r w:rsidRPr="002E4D3A">
        <w:rPr>
          <w:rFonts w:ascii="Book Antiqua" w:eastAsia="宋体" w:hAnsi="Book Antiqua" w:cs="宋体"/>
          <w:sz w:val="24"/>
          <w:szCs w:val="24"/>
          <w:lang w:eastAsia="zh-CN" w:bidi="ar-SA"/>
        </w:rPr>
        <w:t xml:space="preserve">, Rodríguez AP, Concepción MT, </w:t>
      </w:r>
      <w:proofErr w:type="spellStart"/>
      <w:r w:rsidRPr="002E4D3A">
        <w:rPr>
          <w:rFonts w:ascii="Book Antiqua" w:eastAsia="宋体" w:hAnsi="Book Antiqua" w:cs="宋体"/>
          <w:sz w:val="24"/>
          <w:szCs w:val="24"/>
          <w:lang w:eastAsia="zh-CN" w:bidi="ar-SA"/>
        </w:rPr>
        <w:t>García</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Rufino</w:t>
      </w:r>
      <w:proofErr w:type="spellEnd"/>
      <w:r w:rsidRPr="002E4D3A">
        <w:rPr>
          <w:rFonts w:ascii="Book Antiqua" w:eastAsia="宋体" w:hAnsi="Book Antiqua" w:cs="宋体"/>
          <w:sz w:val="24"/>
          <w:szCs w:val="24"/>
          <w:lang w:eastAsia="zh-CN" w:bidi="ar-SA"/>
        </w:rPr>
        <w:t xml:space="preserve"> M, Martín B, Pérez L, Machado M, de </w:t>
      </w:r>
      <w:proofErr w:type="spellStart"/>
      <w:r w:rsidRPr="002E4D3A">
        <w:rPr>
          <w:rFonts w:ascii="Book Antiqua" w:eastAsia="宋体" w:hAnsi="Book Antiqua" w:cs="宋体"/>
          <w:sz w:val="24"/>
          <w:szCs w:val="24"/>
          <w:lang w:eastAsia="zh-CN" w:bidi="ar-SA"/>
        </w:rPr>
        <w:t>Bonis</w:t>
      </w:r>
      <w:proofErr w:type="spellEnd"/>
      <w:r w:rsidRPr="002E4D3A">
        <w:rPr>
          <w:rFonts w:ascii="Book Antiqua" w:eastAsia="宋体" w:hAnsi="Book Antiqua" w:cs="宋体"/>
          <w:sz w:val="24"/>
          <w:szCs w:val="24"/>
          <w:lang w:eastAsia="zh-CN" w:bidi="ar-SA"/>
        </w:rPr>
        <w:t xml:space="preserve"> E, </w:t>
      </w:r>
      <w:proofErr w:type="spellStart"/>
      <w:r w:rsidRPr="002E4D3A">
        <w:rPr>
          <w:rFonts w:ascii="Book Antiqua" w:eastAsia="宋体" w:hAnsi="Book Antiqua" w:cs="宋体"/>
          <w:sz w:val="24"/>
          <w:szCs w:val="24"/>
          <w:lang w:eastAsia="zh-CN" w:bidi="ar-SA"/>
        </w:rPr>
        <w:t>Losada</w:t>
      </w:r>
      <w:proofErr w:type="spellEnd"/>
      <w:r w:rsidRPr="002E4D3A">
        <w:rPr>
          <w:rFonts w:ascii="Book Antiqua" w:eastAsia="宋体" w:hAnsi="Book Antiqua" w:cs="宋体"/>
          <w:sz w:val="24"/>
          <w:szCs w:val="24"/>
          <w:lang w:eastAsia="zh-CN" w:bidi="ar-SA"/>
        </w:rPr>
        <w:t xml:space="preserve"> M, Hernández D, Lorenzo V. Parathyroid function in long-term renal transplant patients: importance of pre-transplant PTH concentrations.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i/>
          <w:iCs/>
          <w:sz w:val="24"/>
          <w:szCs w:val="24"/>
          <w:lang w:eastAsia="zh-CN" w:bidi="ar-SA"/>
        </w:rPr>
        <w:t xml:space="preserve"> Dial Transplant</w:t>
      </w:r>
      <w:r w:rsidRPr="002E4D3A">
        <w:rPr>
          <w:rFonts w:ascii="Book Antiqua" w:eastAsia="宋体" w:hAnsi="Book Antiqua" w:cs="宋体"/>
          <w:sz w:val="24"/>
          <w:szCs w:val="24"/>
          <w:lang w:eastAsia="zh-CN" w:bidi="ar-SA"/>
        </w:rPr>
        <w:t xml:space="preserve"> 1998; </w:t>
      </w:r>
      <w:r w:rsidRPr="002E4D3A">
        <w:rPr>
          <w:rFonts w:ascii="Book Antiqua" w:eastAsia="宋体" w:hAnsi="Book Antiqua" w:cs="宋体"/>
          <w:b/>
          <w:bCs/>
          <w:sz w:val="24"/>
          <w:szCs w:val="24"/>
          <w:lang w:eastAsia="zh-CN" w:bidi="ar-SA"/>
        </w:rPr>
        <w:t xml:space="preserve">13 </w:t>
      </w:r>
      <w:proofErr w:type="spellStart"/>
      <w:r w:rsidRPr="002E4D3A">
        <w:rPr>
          <w:rFonts w:ascii="Book Antiqua" w:eastAsia="宋体" w:hAnsi="Book Antiqua" w:cs="宋体"/>
          <w:bCs/>
          <w:sz w:val="24"/>
          <w:szCs w:val="24"/>
          <w:lang w:eastAsia="zh-CN" w:bidi="ar-SA"/>
        </w:rPr>
        <w:t>Suppl</w:t>
      </w:r>
      <w:proofErr w:type="spellEnd"/>
      <w:r w:rsidRPr="002E4D3A">
        <w:rPr>
          <w:rFonts w:ascii="Book Antiqua" w:eastAsia="宋体" w:hAnsi="Book Antiqua" w:cs="宋体"/>
          <w:bCs/>
          <w:sz w:val="24"/>
          <w:szCs w:val="24"/>
          <w:lang w:eastAsia="zh-CN" w:bidi="ar-SA"/>
        </w:rPr>
        <w:t xml:space="preserve"> 3</w:t>
      </w:r>
      <w:r w:rsidRPr="002E4D3A">
        <w:rPr>
          <w:rFonts w:ascii="Book Antiqua" w:eastAsia="宋体" w:hAnsi="Book Antiqua" w:cs="宋体"/>
          <w:sz w:val="24"/>
          <w:szCs w:val="24"/>
          <w:lang w:eastAsia="zh-CN" w:bidi="ar-SA"/>
        </w:rPr>
        <w:t>: 94-97 [PMID: 9568830]</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15 </w:t>
      </w:r>
      <w:r w:rsidRPr="002E4D3A">
        <w:rPr>
          <w:rFonts w:ascii="Book Antiqua" w:eastAsia="宋体" w:hAnsi="Book Antiqua" w:cs="宋体"/>
          <w:b/>
          <w:bCs/>
          <w:sz w:val="24"/>
          <w:szCs w:val="24"/>
          <w:lang w:eastAsia="zh-CN" w:bidi="ar-SA"/>
        </w:rPr>
        <w:t>Nakamura M</w:t>
      </w:r>
      <w:r w:rsidRPr="002E4D3A">
        <w:rPr>
          <w:rFonts w:ascii="Book Antiqua" w:eastAsia="宋体" w:hAnsi="Book Antiqua" w:cs="宋体"/>
          <w:sz w:val="24"/>
          <w:szCs w:val="24"/>
          <w:lang w:eastAsia="zh-CN" w:bidi="ar-SA"/>
        </w:rPr>
        <w:t xml:space="preserve">, Tanaka K, Marui Y, </w:t>
      </w:r>
      <w:proofErr w:type="spellStart"/>
      <w:r w:rsidRPr="002E4D3A">
        <w:rPr>
          <w:rFonts w:ascii="Book Antiqua" w:eastAsia="宋体" w:hAnsi="Book Antiqua" w:cs="宋体"/>
          <w:sz w:val="24"/>
          <w:szCs w:val="24"/>
          <w:lang w:eastAsia="zh-CN" w:bidi="ar-SA"/>
        </w:rPr>
        <w:t>Tomikawa</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Clinicopathological</w:t>
      </w:r>
      <w:proofErr w:type="spellEnd"/>
      <w:r w:rsidRPr="002E4D3A">
        <w:rPr>
          <w:rFonts w:ascii="Book Antiqua" w:eastAsia="宋体" w:hAnsi="Book Antiqua" w:cs="宋体"/>
          <w:sz w:val="24"/>
          <w:szCs w:val="24"/>
          <w:lang w:eastAsia="zh-CN" w:bidi="ar-SA"/>
        </w:rPr>
        <w:t xml:space="preserve"> analysis of persistent </w:t>
      </w:r>
      <w:proofErr w:type="spellStart"/>
      <w:r w:rsidRPr="002E4D3A">
        <w:rPr>
          <w:rFonts w:ascii="Book Antiqua" w:eastAsia="宋体" w:hAnsi="Book Antiqua" w:cs="宋体"/>
          <w:sz w:val="24"/>
          <w:szCs w:val="24"/>
          <w:lang w:eastAsia="zh-CN" w:bidi="ar-SA"/>
        </w:rPr>
        <w:t>hypercalcemia</w:t>
      </w:r>
      <w:proofErr w:type="spellEnd"/>
      <w:r w:rsidRPr="002E4D3A">
        <w:rPr>
          <w:rFonts w:ascii="Book Antiqua" w:eastAsia="宋体" w:hAnsi="Book Antiqua" w:cs="宋体"/>
          <w:sz w:val="24"/>
          <w:szCs w:val="24"/>
          <w:lang w:eastAsia="zh-CN" w:bidi="ar-SA"/>
        </w:rPr>
        <w:t xml:space="preserve"> and hyperparathyroidism after kidney transplantation in long-term dialysis patients. </w:t>
      </w:r>
      <w:proofErr w:type="spellStart"/>
      <w:r w:rsidRPr="002E4D3A">
        <w:rPr>
          <w:rFonts w:ascii="Book Antiqua" w:eastAsia="宋体" w:hAnsi="Book Antiqua" w:cs="宋体"/>
          <w:i/>
          <w:iCs/>
          <w:sz w:val="24"/>
          <w:szCs w:val="24"/>
          <w:lang w:eastAsia="zh-CN" w:bidi="ar-SA"/>
        </w:rPr>
        <w:t>Ther</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Apher</w:t>
      </w:r>
      <w:proofErr w:type="spellEnd"/>
      <w:r w:rsidRPr="002E4D3A">
        <w:rPr>
          <w:rFonts w:ascii="Book Antiqua" w:eastAsia="宋体" w:hAnsi="Book Antiqua" w:cs="宋体"/>
          <w:i/>
          <w:iCs/>
          <w:sz w:val="24"/>
          <w:szCs w:val="24"/>
          <w:lang w:eastAsia="zh-CN" w:bidi="ar-SA"/>
        </w:rPr>
        <w:t xml:space="preserve"> Dial</w:t>
      </w:r>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17</w:t>
      </w:r>
      <w:r w:rsidRPr="002E4D3A">
        <w:rPr>
          <w:rFonts w:ascii="Book Antiqua" w:eastAsia="宋体" w:hAnsi="Book Antiqua" w:cs="宋体"/>
          <w:sz w:val="24"/>
          <w:szCs w:val="24"/>
          <w:lang w:eastAsia="zh-CN" w:bidi="ar-SA"/>
        </w:rPr>
        <w:t>: 551-556 [PMID: 24107283 DOI: 10.1111/1744-9987.12018]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lastRenderedPageBreak/>
        <w:t xml:space="preserve">16 </w:t>
      </w:r>
      <w:proofErr w:type="spellStart"/>
      <w:r w:rsidRPr="002E4D3A">
        <w:rPr>
          <w:rFonts w:ascii="Book Antiqua" w:eastAsia="宋体" w:hAnsi="Book Antiqua" w:cs="宋体"/>
          <w:b/>
          <w:bCs/>
          <w:sz w:val="24"/>
          <w:szCs w:val="24"/>
          <w:lang w:eastAsia="zh-CN" w:bidi="ar-SA"/>
        </w:rPr>
        <w:t>Torregrosa</w:t>
      </w:r>
      <w:proofErr w:type="spellEnd"/>
      <w:r w:rsidRPr="002E4D3A">
        <w:rPr>
          <w:rFonts w:ascii="Book Antiqua" w:eastAsia="宋体" w:hAnsi="Book Antiqua" w:cs="宋体"/>
          <w:b/>
          <w:bCs/>
          <w:sz w:val="24"/>
          <w:szCs w:val="24"/>
          <w:lang w:eastAsia="zh-CN" w:bidi="ar-SA"/>
        </w:rPr>
        <w:t xml:space="preserve"> JV</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Fuster</w:t>
      </w:r>
      <w:proofErr w:type="spellEnd"/>
      <w:r w:rsidRPr="002E4D3A">
        <w:rPr>
          <w:rFonts w:ascii="Book Antiqua" w:eastAsia="宋体" w:hAnsi="Book Antiqua" w:cs="宋体"/>
          <w:sz w:val="24"/>
          <w:szCs w:val="24"/>
          <w:lang w:eastAsia="zh-CN" w:bidi="ar-SA"/>
        </w:rPr>
        <w:t xml:space="preserve"> D, Duran CE, Oppenheimer F, </w:t>
      </w:r>
      <w:proofErr w:type="spellStart"/>
      <w:r w:rsidRPr="002E4D3A">
        <w:rPr>
          <w:rFonts w:ascii="Book Antiqua" w:eastAsia="宋体" w:hAnsi="Book Antiqua" w:cs="宋体"/>
          <w:sz w:val="24"/>
          <w:szCs w:val="24"/>
          <w:lang w:eastAsia="zh-CN" w:bidi="ar-SA"/>
        </w:rPr>
        <w:t>Muxí</w:t>
      </w:r>
      <w:proofErr w:type="spellEnd"/>
      <w:r w:rsidRPr="002E4D3A">
        <w:rPr>
          <w:rFonts w:ascii="Book Antiqua" w:eastAsia="宋体" w:hAnsi="Book Antiqua" w:cs="宋体"/>
          <w:sz w:val="24"/>
          <w:szCs w:val="24"/>
          <w:lang w:eastAsia="zh-CN" w:bidi="ar-SA"/>
        </w:rPr>
        <w:t xml:space="preserve"> Á, </w:t>
      </w:r>
      <w:proofErr w:type="spellStart"/>
      <w:r w:rsidRPr="002E4D3A">
        <w:rPr>
          <w:rFonts w:ascii="Book Antiqua" w:eastAsia="宋体" w:hAnsi="Book Antiqua" w:cs="宋体"/>
          <w:sz w:val="24"/>
          <w:szCs w:val="24"/>
          <w:lang w:eastAsia="zh-CN" w:bidi="ar-SA"/>
        </w:rPr>
        <w:t>Rubello</w:t>
      </w:r>
      <w:proofErr w:type="spellEnd"/>
      <w:r w:rsidRPr="002E4D3A">
        <w:rPr>
          <w:rFonts w:ascii="Book Antiqua" w:eastAsia="宋体" w:hAnsi="Book Antiqua" w:cs="宋体"/>
          <w:sz w:val="24"/>
          <w:szCs w:val="24"/>
          <w:lang w:eastAsia="zh-CN" w:bidi="ar-SA"/>
        </w:rPr>
        <w:t xml:space="preserve"> D, Pons F, </w:t>
      </w:r>
      <w:proofErr w:type="spellStart"/>
      <w:r w:rsidRPr="002E4D3A">
        <w:rPr>
          <w:rFonts w:ascii="Book Antiqua" w:eastAsia="宋体" w:hAnsi="Book Antiqua" w:cs="宋体"/>
          <w:sz w:val="24"/>
          <w:szCs w:val="24"/>
          <w:lang w:eastAsia="zh-CN" w:bidi="ar-SA"/>
        </w:rPr>
        <w:t>Campistol</w:t>
      </w:r>
      <w:proofErr w:type="spellEnd"/>
      <w:r w:rsidRPr="002E4D3A">
        <w:rPr>
          <w:rFonts w:ascii="Book Antiqua" w:eastAsia="宋体" w:hAnsi="Book Antiqua" w:cs="宋体"/>
          <w:sz w:val="24"/>
          <w:szCs w:val="24"/>
          <w:lang w:eastAsia="zh-CN" w:bidi="ar-SA"/>
        </w:rPr>
        <w:t xml:space="preserve"> JM. Set point of calcium in severe secondary hyperparathyroidism is altered and does not change after successful kidney transplantation. </w:t>
      </w:r>
      <w:r w:rsidRPr="002E4D3A">
        <w:rPr>
          <w:rFonts w:ascii="Book Antiqua" w:eastAsia="宋体" w:hAnsi="Book Antiqua" w:cs="宋体"/>
          <w:i/>
          <w:iCs/>
          <w:sz w:val="24"/>
          <w:szCs w:val="24"/>
          <w:lang w:eastAsia="zh-CN" w:bidi="ar-SA"/>
        </w:rPr>
        <w:t>Endocrine</w:t>
      </w:r>
      <w:r w:rsidRPr="002E4D3A">
        <w:rPr>
          <w:rFonts w:ascii="Book Antiqua" w:eastAsia="宋体" w:hAnsi="Book Antiqua" w:cs="宋体"/>
          <w:sz w:val="24"/>
          <w:szCs w:val="24"/>
          <w:lang w:eastAsia="zh-CN" w:bidi="ar-SA"/>
        </w:rPr>
        <w:t xml:space="preserve"> 2015; </w:t>
      </w:r>
      <w:r w:rsidRPr="002E4D3A">
        <w:rPr>
          <w:rFonts w:ascii="Book Antiqua" w:eastAsia="宋体" w:hAnsi="Book Antiqua" w:cs="宋体"/>
          <w:b/>
          <w:bCs/>
          <w:sz w:val="24"/>
          <w:szCs w:val="24"/>
          <w:lang w:eastAsia="zh-CN" w:bidi="ar-SA"/>
        </w:rPr>
        <w:t>48</w:t>
      </w:r>
      <w:r w:rsidRPr="002E4D3A">
        <w:rPr>
          <w:rFonts w:ascii="Book Antiqua" w:eastAsia="宋体" w:hAnsi="Book Antiqua" w:cs="宋体"/>
          <w:sz w:val="24"/>
          <w:szCs w:val="24"/>
          <w:lang w:eastAsia="zh-CN" w:bidi="ar-SA"/>
        </w:rPr>
        <w:t>: 709-711 [PMID: 24965230 DOI: 10.1007/s12020-014-0312-0]</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17 </w:t>
      </w:r>
      <w:proofErr w:type="spellStart"/>
      <w:r w:rsidRPr="002E4D3A">
        <w:rPr>
          <w:rFonts w:ascii="Book Antiqua" w:eastAsia="宋体" w:hAnsi="Book Antiqua" w:cs="宋体"/>
          <w:b/>
          <w:bCs/>
          <w:sz w:val="24"/>
          <w:szCs w:val="24"/>
          <w:lang w:eastAsia="zh-CN" w:bidi="ar-SA"/>
        </w:rPr>
        <w:t>Komaba</w:t>
      </w:r>
      <w:proofErr w:type="spellEnd"/>
      <w:r w:rsidRPr="002E4D3A">
        <w:rPr>
          <w:rFonts w:ascii="Book Antiqua" w:eastAsia="宋体" w:hAnsi="Book Antiqua" w:cs="宋体"/>
          <w:b/>
          <w:bCs/>
          <w:sz w:val="24"/>
          <w:szCs w:val="24"/>
          <w:lang w:eastAsia="zh-CN" w:bidi="ar-SA"/>
        </w:rPr>
        <w:t xml:space="preserve"> H</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Goto</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Fujii</w:t>
      </w:r>
      <w:proofErr w:type="spellEnd"/>
      <w:r w:rsidRPr="002E4D3A">
        <w:rPr>
          <w:rFonts w:ascii="Book Antiqua" w:eastAsia="宋体" w:hAnsi="Book Antiqua" w:cs="宋体"/>
          <w:sz w:val="24"/>
          <w:szCs w:val="24"/>
          <w:lang w:eastAsia="zh-CN" w:bidi="ar-SA"/>
        </w:rPr>
        <w:t xml:space="preserve"> H, Hamada Y, Kobayashi A, Shibuya K, </w:t>
      </w:r>
      <w:proofErr w:type="spellStart"/>
      <w:r w:rsidRPr="002E4D3A">
        <w:rPr>
          <w:rFonts w:ascii="Book Antiqua" w:eastAsia="宋体" w:hAnsi="Book Antiqua" w:cs="宋体"/>
          <w:sz w:val="24"/>
          <w:szCs w:val="24"/>
          <w:lang w:eastAsia="zh-CN" w:bidi="ar-SA"/>
        </w:rPr>
        <w:t>Tominaga</w:t>
      </w:r>
      <w:proofErr w:type="spellEnd"/>
      <w:r w:rsidRPr="002E4D3A">
        <w:rPr>
          <w:rFonts w:ascii="Book Antiqua" w:eastAsia="宋体" w:hAnsi="Book Antiqua" w:cs="宋体"/>
          <w:sz w:val="24"/>
          <w:szCs w:val="24"/>
          <w:lang w:eastAsia="zh-CN" w:bidi="ar-SA"/>
        </w:rPr>
        <w:t xml:space="preserve"> Y, </w:t>
      </w:r>
      <w:proofErr w:type="spellStart"/>
      <w:r w:rsidRPr="002E4D3A">
        <w:rPr>
          <w:rFonts w:ascii="Book Antiqua" w:eastAsia="宋体" w:hAnsi="Book Antiqua" w:cs="宋体"/>
          <w:sz w:val="24"/>
          <w:szCs w:val="24"/>
          <w:lang w:eastAsia="zh-CN" w:bidi="ar-SA"/>
        </w:rPr>
        <w:t>Otsuki</w:t>
      </w:r>
      <w:proofErr w:type="spellEnd"/>
      <w:r w:rsidRPr="002E4D3A">
        <w:rPr>
          <w:rFonts w:ascii="Book Antiqua" w:eastAsia="宋体" w:hAnsi="Book Antiqua" w:cs="宋体"/>
          <w:sz w:val="24"/>
          <w:szCs w:val="24"/>
          <w:lang w:eastAsia="zh-CN" w:bidi="ar-SA"/>
        </w:rPr>
        <w:t xml:space="preserve"> N, </w:t>
      </w:r>
      <w:proofErr w:type="spellStart"/>
      <w:r w:rsidRPr="002E4D3A">
        <w:rPr>
          <w:rFonts w:ascii="Book Antiqua" w:eastAsia="宋体" w:hAnsi="Book Antiqua" w:cs="宋体"/>
          <w:sz w:val="24"/>
          <w:szCs w:val="24"/>
          <w:lang w:eastAsia="zh-CN" w:bidi="ar-SA"/>
        </w:rPr>
        <w:t>Nibu</w:t>
      </w:r>
      <w:proofErr w:type="spellEnd"/>
      <w:r w:rsidRPr="002E4D3A">
        <w:rPr>
          <w:rFonts w:ascii="Book Antiqua" w:eastAsia="宋体" w:hAnsi="Book Antiqua" w:cs="宋体"/>
          <w:sz w:val="24"/>
          <w:szCs w:val="24"/>
          <w:lang w:eastAsia="zh-CN" w:bidi="ar-SA"/>
        </w:rPr>
        <w:t xml:space="preserve"> K, Nakagawa K, </w:t>
      </w:r>
      <w:proofErr w:type="spellStart"/>
      <w:r w:rsidRPr="002E4D3A">
        <w:rPr>
          <w:rFonts w:ascii="Book Antiqua" w:eastAsia="宋体" w:hAnsi="Book Antiqua" w:cs="宋体"/>
          <w:sz w:val="24"/>
          <w:szCs w:val="24"/>
          <w:lang w:eastAsia="zh-CN" w:bidi="ar-SA"/>
        </w:rPr>
        <w:t>Tsugawa</w:t>
      </w:r>
      <w:proofErr w:type="spellEnd"/>
      <w:r w:rsidRPr="002E4D3A">
        <w:rPr>
          <w:rFonts w:ascii="Book Antiqua" w:eastAsia="宋体" w:hAnsi="Book Antiqua" w:cs="宋体"/>
          <w:sz w:val="24"/>
          <w:szCs w:val="24"/>
          <w:lang w:eastAsia="zh-CN" w:bidi="ar-SA"/>
        </w:rPr>
        <w:t xml:space="preserve"> N, Okano T, Kitazawa R, </w:t>
      </w:r>
      <w:proofErr w:type="spellStart"/>
      <w:r w:rsidRPr="002E4D3A">
        <w:rPr>
          <w:rFonts w:ascii="Book Antiqua" w:eastAsia="宋体" w:hAnsi="Book Antiqua" w:cs="宋体"/>
          <w:sz w:val="24"/>
          <w:szCs w:val="24"/>
          <w:lang w:eastAsia="zh-CN" w:bidi="ar-SA"/>
        </w:rPr>
        <w:t>Fukagawa</w:t>
      </w:r>
      <w:proofErr w:type="spellEnd"/>
      <w:r w:rsidRPr="002E4D3A">
        <w:rPr>
          <w:rFonts w:ascii="Book Antiqua" w:eastAsia="宋体" w:hAnsi="Book Antiqua" w:cs="宋体"/>
          <w:sz w:val="24"/>
          <w:szCs w:val="24"/>
          <w:lang w:eastAsia="zh-CN" w:bidi="ar-SA"/>
        </w:rPr>
        <w:t xml:space="preserve"> M, Kita T. Depressed expression of </w:t>
      </w:r>
      <w:proofErr w:type="spellStart"/>
      <w:r w:rsidRPr="002E4D3A">
        <w:rPr>
          <w:rFonts w:ascii="Book Antiqua" w:eastAsia="宋体" w:hAnsi="Book Antiqua" w:cs="宋体"/>
          <w:sz w:val="24"/>
          <w:szCs w:val="24"/>
          <w:lang w:eastAsia="zh-CN" w:bidi="ar-SA"/>
        </w:rPr>
        <w:t>Klotho</w:t>
      </w:r>
      <w:proofErr w:type="spellEnd"/>
      <w:r w:rsidRPr="002E4D3A">
        <w:rPr>
          <w:rFonts w:ascii="Book Antiqua" w:eastAsia="宋体" w:hAnsi="Book Antiqua" w:cs="宋体"/>
          <w:sz w:val="24"/>
          <w:szCs w:val="24"/>
          <w:lang w:eastAsia="zh-CN" w:bidi="ar-SA"/>
        </w:rPr>
        <w:t xml:space="preserve"> and FGF receptor 1 in hyperplastic parathyroid glands from uremic patients. </w:t>
      </w:r>
      <w:r w:rsidRPr="002E4D3A">
        <w:rPr>
          <w:rFonts w:ascii="Book Antiqua" w:eastAsia="宋体" w:hAnsi="Book Antiqua" w:cs="宋体"/>
          <w:i/>
          <w:iCs/>
          <w:sz w:val="24"/>
          <w:szCs w:val="24"/>
          <w:lang w:eastAsia="zh-CN" w:bidi="ar-SA"/>
        </w:rPr>
        <w:t xml:space="preserve">Kidney </w:t>
      </w:r>
      <w:proofErr w:type="spellStart"/>
      <w:r w:rsidRPr="002E4D3A">
        <w:rPr>
          <w:rFonts w:ascii="Book Antiqua" w:eastAsia="宋体" w:hAnsi="Book Antiqua" w:cs="宋体"/>
          <w:i/>
          <w:iCs/>
          <w:sz w:val="24"/>
          <w:szCs w:val="24"/>
          <w:lang w:eastAsia="zh-CN" w:bidi="ar-SA"/>
        </w:rPr>
        <w:t>Int</w:t>
      </w:r>
      <w:proofErr w:type="spellEnd"/>
      <w:r w:rsidRPr="002E4D3A">
        <w:rPr>
          <w:rFonts w:ascii="Book Antiqua" w:eastAsia="宋体" w:hAnsi="Book Antiqua" w:cs="宋体"/>
          <w:sz w:val="24"/>
          <w:szCs w:val="24"/>
          <w:lang w:eastAsia="zh-CN" w:bidi="ar-SA"/>
        </w:rPr>
        <w:t xml:space="preserve"> 2010; </w:t>
      </w:r>
      <w:r w:rsidRPr="002E4D3A">
        <w:rPr>
          <w:rFonts w:ascii="Book Antiqua" w:eastAsia="宋体" w:hAnsi="Book Antiqua" w:cs="宋体"/>
          <w:b/>
          <w:bCs/>
          <w:sz w:val="24"/>
          <w:szCs w:val="24"/>
          <w:lang w:eastAsia="zh-CN" w:bidi="ar-SA"/>
        </w:rPr>
        <w:t>77</w:t>
      </w:r>
      <w:r w:rsidRPr="002E4D3A">
        <w:rPr>
          <w:rFonts w:ascii="Book Antiqua" w:eastAsia="宋体" w:hAnsi="Book Antiqua" w:cs="宋体"/>
          <w:sz w:val="24"/>
          <w:szCs w:val="24"/>
          <w:lang w:eastAsia="zh-CN" w:bidi="ar-SA"/>
        </w:rPr>
        <w:t>: 232-238 [PMID: 19890272 DOI: 10.1038/ki.2009.414]</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18 </w:t>
      </w:r>
      <w:r w:rsidRPr="002E4D3A">
        <w:rPr>
          <w:rFonts w:ascii="Book Antiqua" w:eastAsia="宋体" w:hAnsi="Book Antiqua" w:cs="宋体"/>
          <w:b/>
          <w:bCs/>
          <w:sz w:val="24"/>
          <w:szCs w:val="24"/>
          <w:lang w:eastAsia="zh-CN" w:bidi="ar-SA"/>
        </w:rPr>
        <w:t>Dewberry LC</w:t>
      </w:r>
      <w:r w:rsidRPr="002E4D3A">
        <w:rPr>
          <w:rFonts w:ascii="Book Antiqua" w:eastAsia="宋体" w:hAnsi="Book Antiqua" w:cs="宋体"/>
          <w:sz w:val="24"/>
          <w:szCs w:val="24"/>
          <w:lang w:eastAsia="zh-CN" w:bidi="ar-SA"/>
        </w:rPr>
        <w:t xml:space="preserve">, Tata S, Graves S, Weber CJ, Sharma J. Predictors of tertiary hyperparathyroidism: Who will benefit from </w:t>
      </w:r>
      <w:proofErr w:type="spellStart"/>
      <w:r w:rsidRPr="002E4D3A">
        <w:rPr>
          <w:rFonts w:ascii="Book Antiqua" w:eastAsia="宋体" w:hAnsi="Book Antiqua" w:cs="宋体"/>
          <w:sz w:val="24"/>
          <w:szCs w:val="24"/>
          <w:lang w:eastAsia="zh-CN" w:bidi="ar-SA"/>
        </w:rPr>
        <w:t>parathyroidectomy</w:t>
      </w:r>
      <w:proofErr w:type="spellEnd"/>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i/>
          <w:iCs/>
          <w:sz w:val="24"/>
          <w:szCs w:val="24"/>
          <w:lang w:eastAsia="zh-CN" w:bidi="ar-SA"/>
        </w:rPr>
        <w:t>Surgery</w:t>
      </w:r>
      <w:r w:rsidRPr="002E4D3A">
        <w:rPr>
          <w:rFonts w:ascii="Book Antiqua" w:eastAsia="宋体" w:hAnsi="Book Antiqua" w:cs="宋体"/>
          <w:sz w:val="24"/>
          <w:szCs w:val="24"/>
          <w:lang w:eastAsia="zh-CN" w:bidi="ar-SA"/>
        </w:rPr>
        <w:t xml:space="preserve"> 2014; </w:t>
      </w:r>
      <w:r w:rsidRPr="002E4D3A">
        <w:rPr>
          <w:rFonts w:ascii="Book Antiqua" w:eastAsia="宋体" w:hAnsi="Book Antiqua" w:cs="宋体"/>
          <w:b/>
          <w:bCs/>
          <w:sz w:val="24"/>
          <w:szCs w:val="24"/>
          <w:lang w:eastAsia="zh-CN" w:bidi="ar-SA"/>
        </w:rPr>
        <w:t>156</w:t>
      </w:r>
      <w:r w:rsidRPr="002E4D3A">
        <w:rPr>
          <w:rFonts w:ascii="Book Antiqua" w:eastAsia="宋体" w:hAnsi="Book Antiqua" w:cs="宋体"/>
          <w:sz w:val="24"/>
          <w:szCs w:val="24"/>
          <w:lang w:eastAsia="zh-CN" w:bidi="ar-SA"/>
        </w:rPr>
        <w:t>: 1631-16</w:t>
      </w:r>
      <w:r w:rsidR="00B71BC7">
        <w:rPr>
          <w:rFonts w:ascii="Book Antiqua" w:eastAsia="宋体" w:hAnsi="Book Antiqua" w:cs="宋体"/>
          <w:sz w:val="24"/>
          <w:szCs w:val="24"/>
          <w:lang w:eastAsia="zh-CN" w:bidi="ar-SA"/>
        </w:rPr>
        <w:t>3</w:t>
      </w:r>
      <w:r w:rsidRPr="002E4D3A">
        <w:rPr>
          <w:rFonts w:ascii="Book Antiqua" w:eastAsia="宋体" w:hAnsi="Book Antiqua" w:cs="宋体"/>
          <w:sz w:val="24"/>
          <w:szCs w:val="24"/>
          <w:lang w:eastAsia="zh-CN" w:bidi="ar-SA"/>
        </w:rPr>
        <w:t>6; discussion 1631-16</w:t>
      </w:r>
      <w:r w:rsidR="00B71BC7">
        <w:rPr>
          <w:rFonts w:ascii="Book Antiqua" w:eastAsia="宋体" w:hAnsi="Book Antiqua" w:cs="宋体"/>
          <w:sz w:val="24"/>
          <w:szCs w:val="24"/>
          <w:lang w:eastAsia="zh-CN" w:bidi="ar-SA"/>
        </w:rPr>
        <w:t>3</w:t>
      </w:r>
      <w:r w:rsidRPr="002E4D3A">
        <w:rPr>
          <w:rFonts w:ascii="Book Antiqua" w:eastAsia="宋体" w:hAnsi="Book Antiqua" w:cs="宋体"/>
          <w:sz w:val="24"/>
          <w:szCs w:val="24"/>
          <w:lang w:eastAsia="zh-CN" w:bidi="ar-SA"/>
        </w:rPr>
        <w:t>6; [PMID: 25456966 DOI: 10.1016/j.surg.2014.08.070]</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19 </w:t>
      </w:r>
      <w:r w:rsidRPr="002E4D3A">
        <w:rPr>
          <w:rFonts w:ascii="Book Antiqua" w:eastAsia="宋体" w:hAnsi="Book Antiqua" w:cs="宋体"/>
          <w:b/>
          <w:bCs/>
          <w:sz w:val="24"/>
          <w:szCs w:val="24"/>
          <w:lang w:eastAsia="zh-CN" w:bidi="ar-SA"/>
        </w:rPr>
        <w:t>Taniguchi M</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Tokumoto</w:t>
      </w:r>
      <w:proofErr w:type="spellEnd"/>
      <w:r w:rsidRPr="002E4D3A">
        <w:rPr>
          <w:rFonts w:ascii="Book Antiqua" w:eastAsia="宋体" w:hAnsi="Book Antiqua" w:cs="宋体"/>
          <w:sz w:val="24"/>
          <w:szCs w:val="24"/>
          <w:lang w:eastAsia="zh-CN" w:bidi="ar-SA"/>
        </w:rPr>
        <w:t xml:space="preserve"> M, Matsuo D, </w:t>
      </w:r>
      <w:proofErr w:type="spellStart"/>
      <w:r w:rsidRPr="002E4D3A">
        <w:rPr>
          <w:rFonts w:ascii="Book Antiqua" w:eastAsia="宋体" w:hAnsi="Book Antiqua" w:cs="宋体"/>
          <w:sz w:val="24"/>
          <w:szCs w:val="24"/>
          <w:lang w:eastAsia="zh-CN" w:bidi="ar-SA"/>
        </w:rPr>
        <w:t>Motoyama</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Sugitani</w:t>
      </w:r>
      <w:proofErr w:type="spellEnd"/>
      <w:r w:rsidRPr="002E4D3A">
        <w:rPr>
          <w:rFonts w:ascii="Book Antiqua" w:eastAsia="宋体" w:hAnsi="Book Antiqua" w:cs="宋体"/>
          <w:sz w:val="24"/>
          <w:szCs w:val="24"/>
          <w:lang w:eastAsia="zh-CN" w:bidi="ar-SA"/>
        </w:rPr>
        <w:t xml:space="preserve"> A, Kuroki S, </w:t>
      </w:r>
      <w:proofErr w:type="spellStart"/>
      <w:r w:rsidRPr="002E4D3A">
        <w:rPr>
          <w:rFonts w:ascii="Book Antiqua" w:eastAsia="宋体" w:hAnsi="Book Antiqua" w:cs="宋体"/>
          <w:sz w:val="24"/>
          <w:szCs w:val="24"/>
          <w:lang w:eastAsia="zh-CN" w:bidi="ar-SA"/>
        </w:rPr>
        <w:t>Yotsueda</w:t>
      </w:r>
      <w:proofErr w:type="spellEnd"/>
      <w:r w:rsidRPr="002E4D3A">
        <w:rPr>
          <w:rFonts w:ascii="Book Antiqua" w:eastAsia="宋体" w:hAnsi="Book Antiqua" w:cs="宋体"/>
          <w:sz w:val="24"/>
          <w:szCs w:val="24"/>
          <w:lang w:eastAsia="zh-CN" w:bidi="ar-SA"/>
        </w:rPr>
        <w:t xml:space="preserve"> H, </w:t>
      </w:r>
      <w:proofErr w:type="spellStart"/>
      <w:r w:rsidRPr="002E4D3A">
        <w:rPr>
          <w:rFonts w:ascii="Book Antiqua" w:eastAsia="宋体" w:hAnsi="Book Antiqua" w:cs="宋体"/>
          <w:sz w:val="24"/>
          <w:szCs w:val="24"/>
          <w:lang w:eastAsia="zh-CN" w:bidi="ar-SA"/>
        </w:rPr>
        <w:t>Tsuruya</w:t>
      </w:r>
      <w:proofErr w:type="spellEnd"/>
      <w:r w:rsidRPr="002E4D3A">
        <w:rPr>
          <w:rFonts w:ascii="Book Antiqua" w:eastAsia="宋体" w:hAnsi="Book Antiqua" w:cs="宋体"/>
          <w:sz w:val="24"/>
          <w:szCs w:val="24"/>
          <w:lang w:eastAsia="zh-CN" w:bidi="ar-SA"/>
        </w:rPr>
        <w:t xml:space="preserve"> K, Hirakata H, Iida M. Persistent hyperparathyroidism in renal allograft recipients: vitamin D receptor, calcium-sensing receptor, and apoptosis. </w:t>
      </w:r>
      <w:r w:rsidRPr="002E4D3A">
        <w:rPr>
          <w:rFonts w:ascii="Book Antiqua" w:eastAsia="宋体" w:hAnsi="Book Antiqua" w:cs="宋体"/>
          <w:i/>
          <w:iCs/>
          <w:sz w:val="24"/>
          <w:szCs w:val="24"/>
          <w:lang w:eastAsia="zh-CN" w:bidi="ar-SA"/>
        </w:rPr>
        <w:t xml:space="preserve">Kidney </w:t>
      </w:r>
      <w:proofErr w:type="spellStart"/>
      <w:r w:rsidRPr="002E4D3A">
        <w:rPr>
          <w:rFonts w:ascii="Book Antiqua" w:eastAsia="宋体" w:hAnsi="Book Antiqua" w:cs="宋体"/>
          <w:i/>
          <w:iCs/>
          <w:sz w:val="24"/>
          <w:szCs w:val="24"/>
          <w:lang w:eastAsia="zh-CN" w:bidi="ar-SA"/>
        </w:rPr>
        <w:t>Int</w:t>
      </w:r>
      <w:proofErr w:type="spellEnd"/>
      <w:r w:rsidRPr="002E4D3A">
        <w:rPr>
          <w:rFonts w:ascii="Book Antiqua" w:eastAsia="宋体" w:hAnsi="Book Antiqua" w:cs="宋体"/>
          <w:sz w:val="24"/>
          <w:szCs w:val="24"/>
          <w:lang w:eastAsia="zh-CN" w:bidi="ar-SA"/>
        </w:rPr>
        <w:t xml:space="preserve"> 2006; </w:t>
      </w:r>
      <w:r w:rsidRPr="002E4D3A">
        <w:rPr>
          <w:rFonts w:ascii="Book Antiqua" w:eastAsia="宋体" w:hAnsi="Book Antiqua" w:cs="宋体"/>
          <w:b/>
          <w:bCs/>
          <w:sz w:val="24"/>
          <w:szCs w:val="24"/>
          <w:lang w:eastAsia="zh-CN" w:bidi="ar-SA"/>
        </w:rPr>
        <w:t>70</w:t>
      </w:r>
      <w:r w:rsidRPr="002E4D3A">
        <w:rPr>
          <w:rFonts w:ascii="Book Antiqua" w:eastAsia="宋体" w:hAnsi="Book Antiqua" w:cs="宋体"/>
          <w:sz w:val="24"/>
          <w:szCs w:val="24"/>
          <w:lang w:eastAsia="zh-CN" w:bidi="ar-SA"/>
        </w:rPr>
        <w:t>: 363-370 [PMID: 16738533 DOI: 10.1038/sj.ki.5001549]</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20 </w:t>
      </w:r>
      <w:proofErr w:type="spellStart"/>
      <w:r w:rsidRPr="002E4D3A">
        <w:rPr>
          <w:rFonts w:ascii="Book Antiqua" w:eastAsia="宋体" w:hAnsi="Book Antiqua" w:cs="宋体"/>
          <w:b/>
          <w:bCs/>
          <w:sz w:val="24"/>
          <w:szCs w:val="24"/>
          <w:lang w:eastAsia="zh-CN" w:bidi="ar-SA"/>
        </w:rPr>
        <w:t>Evenepoel</w:t>
      </w:r>
      <w:proofErr w:type="spellEnd"/>
      <w:r w:rsidRPr="002E4D3A">
        <w:rPr>
          <w:rFonts w:ascii="Book Antiqua" w:eastAsia="宋体" w:hAnsi="Book Antiqua" w:cs="宋体"/>
          <w:b/>
          <w:bCs/>
          <w:sz w:val="24"/>
          <w:szCs w:val="24"/>
          <w:lang w:eastAsia="zh-CN" w:bidi="ar-SA"/>
        </w:rPr>
        <w:t xml:space="preserve"> P</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Sprangers</w:t>
      </w:r>
      <w:proofErr w:type="spellEnd"/>
      <w:r w:rsidRPr="002E4D3A">
        <w:rPr>
          <w:rFonts w:ascii="Book Antiqua" w:eastAsia="宋体" w:hAnsi="Book Antiqua" w:cs="宋体"/>
          <w:sz w:val="24"/>
          <w:szCs w:val="24"/>
          <w:lang w:eastAsia="zh-CN" w:bidi="ar-SA"/>
        </w:rPr>
        <w:t xml:space="preserve"> B, </w:t>
      </w:r>
      <w:proofErr w:type="spellStart"/>
      <w:r w:rsidRPr="002E4D3A">
        <w:rPr>
          <w:rFonts w:ascii="Book Antiqua" w:eastAsia="宋体" w:hAnsi="Book Antiqua" w:cs="宋体"/>
          <w:sz w:val="24"/>
          <w:szCs w:val="24"/>
          <w:lang w:eastAsia="zh-CN" w:bidi="ar-SA"/>
        </w:rPr>
        <w:t>Lerut</w:t>
      </w:r>
      <w:proofErr w:type="spellEnd"/>
      <w:r w:rsidRPr="002E4D3A">
        <w:rPr>
          <w:rFonts w:ascii="Book Antiqua" w:eastAsia="宋体" w:hAnsi="Book Antiqua" w:cs="宋体"/>
          <w:sz w:val="24"/>
          <w:szCs w:val="24"/>
          <w:lang w:eastAsia="zh-CN" w:bidi="ar-SA"/>
        </w:rPr>
        <w:t xml:space="preserve"> E, </w:t>
      </w:r>
      <w:proofErr w:type="spellStart"/>
      <w:r w:rsidRPr="002E4D3A">
        <w:rPr>
          <w:rFonts w:ascii="Book Antiqua" w:eastAsia="宋体" w:hAnsi="Book Antiqua" w:cs="宋体"/>
          <w:sz w:val="24"/>
          <w:szCs w:val="24"/>
          <w:lang w:eastAsia="zh-CN" w:bidi="ar-SA"/>
        </w:rPr>
        <w:t>Bammens</w:t>
      </w:r>
      <w:proofErr w:type="spellEnd"/>
      <w:r w:rsidRPr="002E4D3A">
        <w:rPr>
          <w:rFonts w:ascii="Book Antiqua" w:eastAsia="宋体" w:hAnsi="Book Antiqua" w:cs="宋体"/>
          <w:sz w:val="24"/>
          <w:szCs w:val="24"/>
          <w:lang w:eastAsia="zh-CN" w:bidi="ar-SA"/>
        </w:rPr>
        <w:t xml:space="preserve"> B, </w:t>
      </w:r>
      <w:proofErr w:type="spellStart"/>
      <w:r w:rsidRPr="002E4D3A">
        <w:rPr>
          <w:rFonts w:ascii="Book Antiqua" w:eastAsia="宋体" w:hAnsi="Book Antiqua" w:cs="宋体"/>
          <w:sz w:val="24"/>
          <w:szCs w:val="24"/>
          <w:lang w:eastAsia="zh-CN" w:bidi="ar-SA"/>
        </w:rPr>
        <w:t>Claes</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Kuypers</w:t>
      </w:r>
      <w:proofErr w:type="spellEnd"/>
      <w:r w:rsidRPr="002E4D3A">
        <w:rPr>
          <w:rFonts w:ascii="Book Antiqua" w:eastAsia="宋体" w:hAnsi="Book Antiqua" w:cs="宋体"/>
          <w:sz w:val="24"/>
          <w:szCs w:val="24"/>
          <w:lang w:eastAsia="zh-CN" w:bidi="ar-SA"/>
        </w:rPr>
        <w:t xml:space="preserve"> D, </w:t>
      </w:r>
      <w:proofErr w:type="spellStart"/>
      <w:r w:rsidRPr="002E4D3A">
        <w:rPr>
          <w:rFonts w:ascii="Book Antiqua" w:eastAsia="宋体" w:hAnsi="Book Antiqua" w:cs="宋体"/>
          <w:sz w:val="24"/>
          <w:szCs w:val="24"/>
          <w:lang w:eastAsia="zh-CN" w:bidi="ar-SA"/>
        </w:rPr>
        <w:t>Meijers</w:t>
      </w:r>
      <w:proofErr w:type="spellEnd"/>
      <w:r w:rsidRPr="002E4D3A">
        <w:rPr>
          <w:rFonts w:ascii="Book Antiqua" w:eastAsia="宋体" w:hAnsi="Book Antiqua" w:cs="宋体"/>
          <w:sz w:val="24"/>
          <w:szCs w:val="24"/>
          <w:lang w:eastAsia="zh-CN" w:bidi="ar-SA"/>
        </w:rPr>
        <w:t xml:space="preserve"> B, </w:t>
      </w:r>
      <w:proofErr w:type="spellStart"/>
      <w:r w:rsidRPr="002E4D3A">
        <w:rPr>
          <w:rFonts w:ascii="Book Antiqua" w:eastAsia="宋体" w:hAnsi="Book Antiqua" w:cs="宋体"/>
          <w:sz w:val="24"/>
          <w:szCs w:val="24"/>
          <w:lang w:eastAsia="zh-CN" w:bidi="ar-SA"/>
        </w:rPr>
        <w:t>Vanrenterghem</w:t>
      </w:r>
      <w:proofErr w:type="spellEnd"/>
      <w:r w:rsidRPr="002E4D3A">
        <w:rPr>
          <w:rFonts w:ascii="Book Antiqua" w:eastAsia="宋体" w:hAnsi="Book Antiqua" w:cs="宋体"/>
          <w:sz w:val="24"/>
          <w:szCs w:val="24"/>
          <w:lang w:eastAsia="zh-CN" w:bidi="ar-SA"/>
        </w:rPr>
        <w:t xml:space="preserve"> Y. Mineral metabolism in renal transplant recipients discontinuing </w:t>
      </w:r>
      <w:proofErr w:type="spellStart"/>
      <w:r w:rsidRPr="002E4D3A">
        <w:rPr>
          <w:rFonts w:ascii="Book Antiqua" w:eastAsia="宋体" w:hAnsi="Book Antiqua" w:cs="宋体"/>
          <w:sz w:val="24"/>
          <w:szCs w:val="24"/>
          <w:lang w:eastAsia="zh-CN" w:bidi="ar-SA"/>
        </w:rPr>
        <w:t>cinacalcet</w:t>
      </w:r>
      <w:proofErr w:type="spellEnd"/>
      <w:r w:rsidRPr="002E4D3A">
        <w:rPr>
          <w:rFonts w:ascii="Book Antiqua" w:eastAsia="宋体" w:hAnsi="Book Antiqua" w:cs="宋体"/>
          <w:sz w:val="24"/>
          <w:szCs w:val="24"/>
          <w:lang w:eastAsia="zh-CN" w:bidi="ar-SA"/>
        </w:rPr>
        <w:t xml:space="preserve"> at the time of transplantation: a prospective observational study.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Transplant</w:t>
      </w:r>
      <w:r w:rsidRPr="002E4D3A">
        <w:rPr>
          <w:rFonts w:ascii="Book Antiqua" w:eastAsia="宋体" w:hAnsi="Book Antiqua" w:cs="宋体"/>
          <w:sz w:val="24"/>
          <w:szCs w:val="24"/>
          <w:lang w:eastAsia="zh-CN" w:bidi="ar-SA"/>
        </w:rPr>
        <w:t xml:space="preserve"> </w:t>
      </w:r>
      <w:r w:rsidR="00B71BC7">
        <w:rPr>
          <w:rFonts w:ascii="Book Antiqua" w:eastAsia="宋体" w:hAnsi="Book Antiqua" w:cs="宋体"/>
          <w:sz w:val="24"/>
          <w:szCs w:val="24"/>
          <w:lang w:eastAsia="zh-CN" w:bidi="ar-SA"/>
        </w:rPr>
        <w:t>2012</w:t>
      </w:r>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b/>
          <w:bCs/>
          <w:sz w:val="24"/>
          <w:szCs w:val="24"/>
          <w:lang w:eastAsia="zh-CN" w:bidi="ar-SA"/>
        </w:rPr>
        <w:t>26</w:t>
      </w:r>
      <w:r w:rsidRPr="002E4D3A">
        <w:rPr>
          <w:rFonts w:ascii="Book Antiqua" w:eastAsia="宋体" w:hAnsi="Book Antiqua" w:cs="宋体"/>
          <w:sz w:val="24"/>
          <w:szCs w:val="24"/>
          <w:lang w:eastAsia="zh-CN" w:bidi="ar-SA"/>
        </w:rPr>
        <w:t>: 393-402 [PMID: 22007637 DOI: 10.1111/j.1399-0012.2011.01524.x]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21 </w:t>
      </w:r>
      <w:proofErr w:type="spellStart"/>
      <w:r w:rsidRPr="002E4D3A">
        <w:rPr>
          <w:rFonts w:ascii="Book Antiqua" w:eastAsia="宋体" w:hAnsi="Book Antiqua" w:cs="宋体"/>
          <w:b/>
          <w:bCs/>
          <w:sz w:val="24"/>
          <w:szCs w:val="24"/>
          <w:lang w:eastAsia="zh-CN" w:bidi="ar-SA"/>
        </w:rPr>
        <w:t>Keyzer</w:t>
      </w:r>
      <w:proofErr w:type="spellEnd"/>
      <w:r w:rsidRPr="002E4D3A">
        <w:rPr>
          <w:rFonts w:ascii="Book Antiqua" w:eastAsia="宋体" w:hAnsi="Book Antiqua" w:cs="宋体"/>
          <w:b/>
          <w:bCs/>
          <w:sz w:val="24"/>
          <w:szCs w:val="24"/>
          <w:lang w:eastAsia="zh-CN" w:bidi="ar-SA"/>
        </w:rPr>
        <w:t xml:space="preserve"> CA</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Riphagen</w:t>
      </w:r>
      <w:proofErr w:type="spellEnd"/>
      <w:r w:rsidRPr="002E4D3A">
        <w:rPr>
          <w:rFonts w:ascii="Book Antiqua" w:eastAsia="宋体" w:hAnsi="Book Antiqua" w:cs="宋体"/>
          <w:sz w:val="24"/>
          <w:szCs w:val="24"/>
          <w:lang w:eastAsia="zh-CN" w:bidi="ar-SA"/>
        </w:rPr>
        <w:t xml:space="preserve"> IJ, </w:t>
      </w:r>
      <w:proofErr w:type="spellStart"/>
      <w:r w:rsidRPr="002E4D3A">
        <w:rPr>
          <w:rFonts w:ascii="Book Antiqua" w:eastAsia="宋体" w:hAnsi="Book Antiqua" w:cs="宋体"/>
          <w:sz w:val="24"/>
          <w:szCs w:val="24"/>
          <w:lang w:eastAsia="zh-CN" w:bidi="ar-SA"/>
        </w:rPr>
        <w:t>Joosten</w:t>
      </w:r>
      <w:proofErr w:type="spellEnd"/>
      <w:r w:rsidRPr="002E4D3A">
        <w:rPr>
          <w:rFonts w:ascii="Book Antiqua" w:eastAsia="宋体" w:hAnsi="Book Antiqua" w:cs="宋体"/>
          <w:sz w:val="24"/>
          <w:szCs w:val="24"/>
          <w:lang w:eastAsia="zh-CN" w:bidi="ar-SA"/>
        </w:rPr>
        <w:t xml:space="preserve"> MM, </w:t>
      </w:r>
      <w:proofErr w:type="spellStart"/>
      <w:r w:rsidRPr="002E4D3A">
        <w:rPr>
          <w:rFonts w:ascii="Book Antiqua" w:eastAsia="宋体" w:hAnsi="Book Antiqua" w:cs="宋体"/>
          <w:sz w:val="24"/>
          <w:szCs w:val="24"/>
          <w:lang w:eastAsia="zh-CN" w:bidi="ar-SA"/>
        </w:rPr>
        <w:t>Navis</w:t>
      </w:r>
      <w:proofErr w:type="spellEnd"/>
      <w:r w:rsidRPr="002E4D3A">
        <w:rPr>
          <w:rFonts w:ascii="Book Antiqua" w:eastAsia="宋体" w:hAnsi="Book Antiqua" w:cs="宋体"/>
          <w:sz w:val="24"/>
          <w:szCs w:val="24"/>
          <w:lang w:eastAsia="zh-CN" w:bidi="ar-SA"/>
        </w:rPr>
        <w:t xml:space="preserve"> G, Muller Kobold AC, </w:t>
      </w:r>
      <w:proofErr w:type="spellStart"/>
      <w:r w:rsidRPr="002E4D3A">
        <w:rPr>
          <w:rFonts w:ascii="Book Antiqua" w:eastAsia="宋体" w:hAnsi="Book Antiqua" w:cs="宋体"/>
          <w:sz w:val="24"/>
          <w:szCs w:val="24"/>
          <w:lang w:eastAsia="zh-CN" w:bidi="ar-SA"/>
        </w:rPr>
        <w:t>Kema</w:t>
      </w:r>
      <w:proofErr w:type="spellEnd"/>
      <w:r w:rsidRPr="002E4D3A">
        <w:rPr>
          <w:rFonts w:ascii="Book Antiqua" w:eastAsia="宋体" w:hAnsi="Book Antiqua" w:cs="宋体"/>
          <w:sz w:val="24"/>
          <w:szCs w:val="24"/>
          <w:lang w:eastAsia="zh-CN" w:bidi="ar-SA"/>
        </w:rPr>
        <w:t xml:space="preserve"> IP, Bakker SJ, de </w:t>
      </w:r>
      <w:proofErr w:type="spellStart"/>
      <w:r w:rsidRPr="002E4D3A">
        <w:rPr>
          <w:rFonts w:ascii="Book Antiqua" w:eastAsia="宋体" w:hAnsi="Book Antiqua" w:cs="宋体"/>
          <w:sz w:val="24"/>
          <w:szCs w:val="24"/>
          <w:lang w:eastAsia="zh-CN" w:bidi="ar-SA"/>
        </w:rPr>
        <w:t>Borst</w:t>
      </w:r>
      <w:proofErr w:type="spellEnd"/>
      <w:r w:rsidRPr="002E4D3A">
        <w:rPr>
          <w:rFonts w:ascii="Book Antiqua" w:eastAsia="宋体" w:hAnsi="Book Antiqua" w:cs="宋体"/>
          <w:sz w:val="24"/>
          <w:szCs w:val="24"/>
          <w:lang w:eastAsia="zh-CN" w:bidi="ar-SA"/>
        </w:rPr>
        <w:t xml:space="preserve"> MH. Associations of 25(OH) and 1,25(</w:t>
      </w:r>
      <w:proofErr w:type="gramStart"/>
      <w:r w:rsidRPr="002E4D3A">
        <w:rPr>
          <w:rFonts w:ascii="Book Antiqua" w:eastAsia="宋体" w:hAnsi="Book Antiqua" w:cs="宋体"/>
          <w:sz w:val="24"/>
          <w:szCs w:val="24"/>
          <w:lang w:eastAsia="zh-CN" w:bidi="ar-SA"/>
        </w:rPr>
        <w:t>OH)2</w:t>
      </w:r>
      <w:proofErr w:type="gramEnd"/>
      <w:r w:rsidRPr="002E4D3A">
        <w:rPr>
          <w:rFonts w:ascii="Book Antiqua" w:eastAsia="宋体" w:hAnsi="Book Antiqua" w:cs="宋体"/>
          <w:sz w:val="24"/>
          <w:szCs w:val="24"/>
          <w:lang w:eastAsia="zh-CN" w:bidi="ar-SA"/>
        </w:rPr>
        <w:t xml:space="preserve"> vitamin D with long-term outcomes in stable renal transplant recipients. </w:t>
      </w:r>
      <w:r w:rsidRPr="002E4D3A">
        <w:rPr>
          <w:rFonts w:ascii="Book Antiqua" w:eastAsia="宋体" w:hAnsi="Book Antiqua" w:cs="宋体"/>
          <w:i/>
          <w:iCs/>
          <w:sz w:val="24"/>
          <w:szCs w:val="24"/>
          <w:lang w:eastAsia="zh-CN" w:bidi="ar-SA"/>
        </w:rPr>
        <w:t xml:space="preserve">J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Endocrinol</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Metab</w:t>
      </w:r>
      <w:proofErr w:type="spellEnd"/>
      <w:r w:rsidRPr="002E4D3A">
        <w:rPr>
          <w:rFonts w:ascii="Book Antiqua" w:eastAsia="宋体" w:hAnsi="Book Antiqua" w:cs="宋体"/>
          <w:sz w:val="24"/>
          <w:szCs w:val="24"/>
          <w:lang w:eastAsia="zh-CN" w:bidi="ar-SA"/>
        </w:rPr>
        <w:t xml:space="preserve"> 2015; </w:t>
      </w:r>
      <w:r w:rsidRPr="002E4D3A">
        <w:rPr>
          <w:rFonts w:ascii="Book Antiqua" w:eastAsia="宋体" w:hAnsi="Book Antiqua" w:cs="宋体"/>
          <w:b/>
          <w:bCs/>
          <w:sz w:val="24"/>
          <w:szCs w:val="24"/>
          <w:lang w:eastAsia="zh-CN" w:bidi="ar-SA"/>
        </w:rPr>
        <w:t>100</w:t>
      </w:r>
      <w:r w:rsidRPr="002E4D3A">
        <w:rPr>
          <w:rFonts w:ascii="Book Antiqua" w:eastAsia="宋体" w:hAnsi="Book Antiqua" w:cs="宋体"/>
          <w:sz w:val="24"/>
          <w:szCs w:val="24"/>
          <w:lang w:eastAsia="zh-CN" w:bidi="ar-SA"/>
        </w:rPr>
        <w:t>: 81-89 [PMID: 25361179 DOI: 10.1210/jc.2014-3012]</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22 </w:t>
      </w:r>
      <w:r w:rsidRPr="002E4D3A">
        <w:rPr>
          <w:rFonts w:ascii="Book Antiqua" w:eastAsia="宋体" w:hAnsi="Book Antiqua" w:cs="宋体"/>
          <w:b/>
          <w:bCs/>
          <w:sz w:val="24"/>
          <w:szCs w:val="24"/>
          <w:lang w:eastAsia="zh-CN" w:bidi="ar-SA"/>
        </w:rPr>
        <w:t>Ewers B</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Gasbjerg</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Moelgaard</w:t>
      </w:r>
      <w:proofErr w:type="spellEnd"/>
      <w:r w:rsidRPr="002E4D3A">
        <w:rPr>
          <w:rFonts w:ascii="Book Antiqua" w:eastAsia="宋体" w:hAnsi="Book Antiqua" w:cs="宋体"/>
          <w:sz w:val="24"/>
          <w:szCs w:val="24"/>
          <w:lang w:eastAsia="zh-CN" w:bidi="ar-SA"/>
        </w:rPr>
        <w:t xml:space="preserve"> C, </w:t>
      </w:r>
      <w:proofErr w:type="spellStart"/>
      <w:r w:rsidRPr="002E4D3A">
        <w:rPr>
          <w:rFonts w:ascii="Book Antiqua" w:eastAsia="宋体" w:hAnsi="Book Antiqua" w:cs="宋体"/>
          <w:sz w:val="24"/>
          <w:szCs w:val="24"/>
          <w:lang w:eastAsia="zh-CN" w:bidi="ar-SA"/>
        </w:rPr>
        <w:t>Frederiksen</w:t>
      </w:r>
      <w:proofErr w:type="spellEnd"/>
      <w:r w:rsidRPr="002E4D3A">
        <w:rPr>
          <w:rFonts w:ascii="Book Antiqua" w:eastAsia="宋体" w:hAnsi="Book Antiqua" w:cs="宋体"/>
          <w:sz w:val="24"/>
          <w:szCs w:val="24"/>
          <w:lang w:eastAsia="zh-CN" w:bidi="ar-SA"/>
        </w:rPr>
        <w:t xml:space="preserve"> AM, </w:t>
      </w:r>
      <w:proofErr w:type="spellStart"/>
      <w:r w:rsidRPr="002E4D3A">
        <w:rPr>
          <w:rFonts w:ascii="Book Antiqua" w:eastAsia="宋体" w:hAnsi="Book Antiqua" w:cs="宋体"/>
          <w:sz w:val="24"/>
          <w:szCs w:val="24"/>
          <w:lang w:eastAsia="zh-CN" w:bidi="ar-SA"/>
        </w:rPr>
        <w:t>Marckmann</w:t>
      </w:r>
      <w:proofErr w:type="spellEnd"/>
      <w:r w:rsidRPr="002E4D3A">
        <w:rPr>
          <w:rFonts w:ascii="Book Antiqua" w:eastAsia="宋体" w:hAnsi="Book Antiqua" w:cs="宋体"/>
          <w:sz w:val="24"/>
          <w:szCs w:val="24"/>
          <w:lang w:eastAsia="zh-CN" w:bidi="ar-SA"/>
        </w:rPr>
        <w:t xml:space="preserve"> P. Vitamin D status in kidney transplant patients: need for intensified routine supplementation. </w:t>
      </w:r>
      <w:r w:rsidRPr="002E4D3A">
        <w:rPr>
          <w:rFonts w:ascii="Book Antiqua" w:eastAsia="宋体" w:hAnsi="Book Antiqua" w:cs="宋体"/>
          <w:i/>
          <w:iCs/>
          <w:sz w:val="24"/>
          <w:szCs w:val="24"/>
          <w:lang w:eastAsia="zh-CN" w:bidi="ar-SA"/>
        </w:rPr>
        <w:t xml:space="preserve">Am J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Nutr</w:t>
      </w:r>
      <w:proofErr w:type="spellEnd"/>
      <w:r w:rsidRPr="002E4D3A">
        <w:rPr>
          <w:rFonts w:ascii="Book Antiqua" w:eastAsia="宋体" w:hAnsi="Book Antiqua" w:cs="宋体"/>
          <w:sz w:val="24"/>
          <w:szCs w:val="24"/>
          <w:lang w:eastAsia="zh-CN" w:bidi="ar-SA"/>
        </w:rPr>
        <w:t xml:space="preserve"> 2008; </w:t>
      </w:r>
      <w:r w:rsidRPr="002E4D3A">
        <w:rPr>
          <w:rFonts w:ascii="Book Antiqua" w:eastAsia="宋体" w:hAnsi="Book Antiqua" w:cs="宋体"/>
          <w:b/>
          <w:bCs/>
          <w:sz w:val="24"/>
          <w:szCs w:val="24"/>
          <w:lang w:eastAsia="zh-CN" w:bidi="ar-SA"/>
        </w:rPr>
        <w:t>87</w:t>
      </w:r>
      <w:r w:rsidRPr="002E4D3A">
        <w:rPr>
          <w:rFonts w:ascii="Book Antiqua" w:eastAsia="宋体" w:hAnsi="Book Antiqua" w:cs="宋体"/>
          <w:sz w:val="24"/>
          <w:szCs w:val="24"/>
          <w:lang w:eastAsia="zh-CN" w:bidi="ar-SA"/>
        </w:rPr>
        <w:t>: 431-437 [PMID: 18258635]</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23 </w:t>
      </w:r>
      <w:proofErr w:type="spellStart"/>
      <w:r w:rsidRPr="002E4D3A">
        <w:rPr>
          <w:rFonts w:ascii="Book Antiqua" w:eastAsia="宋体" w:hAnsi="Book Antiqua" w:cs="宋体"/>
          <w:b/>
          <w:bCs/>
          <w:sz w:val="24"/>
          <w:szCs w:val="24"/>
          <w:lang w:eastAsia="zh-CN" w:bidi="ar-SA"/>
        </w:rPr>
        <w:t>Querings</w:t>
      </w:r>
      <w:proofErr w:type="spellEnd"/>
      <w:r w:rsidRPr="002E4D3A">
        <w:rPr>
          <w:rFonts w:ascii="Book Antiqua" w:eastAsia="宋体" w:hAnsi="Book Antiqua" w:cs="宋体"/>
          <w:b/>
          <w:bCs/>
          <w:sz w:val="24"/>
          <w:szCs w:val="24"/>
          <w:lang w:eastAsia="zh-CN" w:bidi="ar-SA"/>
        </w:rPr>
        <w:t xml:space="preserve"> K</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Girndt</w:t>
      </w:r>
      <w:proofErr w:type="spellEnd"/>
      <w:r w:rsidRPr="002E4D3A">
        <w:rPr>
          <w:rFonts w:ascii="Book Antiqua" w:eastAsia="宋体" w:hAnsi="Book Antiqua" w:cs="宋体"/>
          <w:sz w:val="24"/>
          <w:szCs w:val="24"/>
          <w:lang w:eastAsia="zh-CN" w:bidi="ar-SA"/>
        </w:rPr>
        <w:t xml:space="preserve"> M, Geisel J, Georg T, </w:t>
      </w:r>
      <w:proofErr w:type="spellStart"/>
      <w:r w:rsidRPr="002E4D3A">
        <w:rPr>
          <w:rFonts w:ascii="Book Antiqua" w:eastAsia="宋体" w:hAnsi="Book Antiqua" w:cs="宋体"/>
          <w:sz w:val="24"/>
          <w:szCs w:val="24"/>
          <w:lang w:eastAsia="zh-CN" w:bidi="ar-SA"/>
        </w:rPr>
        <w:t>Tilgen</w:t>
      </w:r>
      <w:proofErr w:type="spellEnd"/>
      <w:r w:rsidRPr="002E4D3A">
        <w:rPr>
          <w:rFonts w:ascii="Book Antiqua" w:eastAsia="宋体" w:hAnsi="Book Antiqua" w:cs="宋体"/>
          <w:sz w:val="24"/>
          <w:szCs w:val="24"/>
          <w:lang w:eastAsia="zh-CN" w:bidi="ar-SA"/>
        </w:rPr>
        <w:t xml:space="preserve"> W, </w:t>
      </w:r>
      <w:proofErr w:type="spellStart"/>
      <w:r w:rsidRPr="002E4D3A">
        <w:rPr>
          <w:rFonts w:ascii="Book Antiqua" w:eastAsia="宋体" w:hAnsi="Book Antiqua" w:cs="宋体"/>
          <w:sz w:val="24"/>
          <w:szCs w:val="24"/>
          <w:lang w:eastAsia="zh-CN" w:bidi="ar-SA"/>
        </w:rPr>
        <w:t>Reichrath</w:t>
      </w:r>
      <w:proofErr w:type="spellEnd"/>
      <w:r w:rsidRPr="002E4D3A">
        <w:rPr>
          <w:rFonts w:ascii="Book Antiqua" w:eastAsia="宋体" w:hAnsi="Book Antiqua" w:cs="宋体"/>
          <w:sz w:val="24"/>
          <w:szCs w:val="24"/>
          <w:lang w:eastAsia="zh-CN" w:bidi="ar-SA"/>
        </w:rPr>
        <w:t xml:space="preserve"> J. 25-hydroxyvitamin D deficiency in renal transplant recipients. </w:t>
      </w:r>
      <w:r w:rsidRPr="002E4D3A">
        <w:rPr>
          <w:rFonts w:ascii="Book Antiqua" w:eastAsia="宋体" w:hAnsi="Book Antiqua" w:cs="宋体"/>
          <w:i/>
          <w:iCs/>
          <w:sz w:val="24"/>
          <w:szCs w:val="24"/>
          <w:lang w:eastAsia="zh-CN" w:bidi="ar-SA"/>
        </w:rPr>
        <w:t xml:space="preserve">J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Endocrinol</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Metab</w:t>
      </w:r>
      <w:proofErr w:type="spellEnd"/>
      <w:r w:rsidRPr="002E4D3A">
        <w:rPr>
          <w:rFonts w:ascii="Book Antiqua" w:eastAsia="宋体" w:hAnsi="Book Antiqua" w:cs="宋体"/>
          <w:sz w:val="24"/>
          <w:szCs w:val="24"/>
          <w:lang w:eastAsia="zh-CN" w:bidi="ar-SA"/>
        </w:rPr>
        <w:t xml:space="preserve"> 2006; </w:t>
      </w:r>
      <w:r w:rsidRPr="002E4D3A">
        <w:rPr>
          <w:rFonts w:ascii="Book Antiqua" w:eastAsia="宋体" w:hAnsi="Book Antiqua" w:cs="宋体"/>
          <w:b/>
          <w:bCs/>
          <w:sz w:val="24"/>
          <w:szCs w:val="24"/>
          <w:lang w:eastAsia="zh-CN" w:bidi="ar-SA"/>
        </w:rPr>
        <w:t>91</w:t>
      </w:r>
      <w:r w:rsidRPr="002E4D3A">
        <w:rPr>
          <w:rFonts w:ascii="Book Antiqua" w:eastAsia="宋体" w:hAnsi="Book Antiqua" w:cs="宋体"/>
          <w:sz w:val="24"/>
          <w:szCs w:val="24"/>
          <w:lang w:eastAsia="zh-CN" w:bidi="ar-SA"/>
        </w:rPr>
        <w:t>: 526-529 [PMID: 16303843 DOI: 10.1210/jc.2005-0547]</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lastRenderedPageBreak/>
        <w:t xml:space="preserve">24 </w:t>
      </w:r>
      <w:proofErr w:type="spellStart"/>
      <w:r w:rsidRPr="002E4D3A">
        <w:rPr>
          <w:rFonts w:ascii="Book Antiqua" w:eastAsia="宋体" w:hAnsi="Book Antiqua" w:cs="宋体"/>
          <w:b/>
          <w:bCs/>
          <w:sz w:val="24"/>
          <w:szCs w:val="24"/>
          <w:lang w:eastAsia="zh-CN" w:bidi="ar-SA"/>
        </w:rPr>
        <w:t>Stavroulopoulos</w:t>
      </w:r>
      <w:proofErr w:type="spellEnd"/>
      <w:r w:rsidRPr="002E4D3A">
        <w:rPr>
          <w:rFonts w:ascii="Book Antiqua" w:eastAsia="宋体" w:hAnsi="Book Antiqua" w:cs="宋体"/>
          <w:b/>
          <w:bCs/>
          <w:sz w:val="24"/>
          <w:szCs w:val="24"/>
          <w:lang w:eastAsia="zh-CN" w:bidi="ar-SA"/>
        </w:rPr>
        <w:t xml:space="preserve"> A</w:t>
      </w:r>
      <w:r w:rsidRPr="002E4D3A">
        <w:rPr>
          <w:rFonts w:ascii="Book Antiqua" w:eastAsia="宋体" w:hAnsi="Book Antiqua" w:cs="宋体"/>
          <w:sz w:val="24"/>
          <w:szCs w:val="24"/>
          <w:lang w:eastAsia="zh-CN" w:bidi="ar-SA"/>
        </w:rPr>
        <w:t xml:space="preserve">, Cassidy MJ, Porter CJ, Hosking DJ, Roe SD. Vitamin D status in renal transplant recipients. </w:t>
      </w:r>
      <w:r w:rsidRPr="002E4D3A">
        <w:rPr>
          <w:rFonts w:ascii="Book Antiqua" w:eastAsia="宋体" w:hAnsi="Book Antiqua" w:cs="宋体"/>
          <w:i/>
          <w:iCs/>
          <w:sz w:val="24"/>
          <w:szCs w:val="24"/>
          <w:lang w:eastAsia="zh-CN" w:bidi="ar-SA"/>
        </w:rPr>
        <w:t>Am J Transplant</w:t>
      </w:r>
      <w:r w:rsidRPr="002E4D3A">
        <w:rPr>
          <w:rFonts w:ascii="Book Antiqua" w:eastAsia="宋体" w:hAnsi="Book Antiqua" w:cs="宋体"/>
          <w:sz w:val="24"/>
          <w:szCs w:val="24"/>
          <w:lang w:eastAsia="zh-CN" w:bidi="ar-SA"/>
        </w:rPr>
        <w:t xml:space="preserve"> 2007; </w:t>
      </w:r>
      <w:r w:rsidRPr="002E4D3A">
        <w:rPr>
          <w:rFonts w:ascii="Book Antiqua" w:eastAsia="宋体" w:hAnsi="Book Antiqua" w:cs="宋体"/>
          <w:b/>
          <w:bCs/>
          <w:sz w:val="24"/>
          <w:szCs w:val="24"/>
          <w:lang w:eastAsia="zh-CN" w:bidi="ar-SA"/>
        </w:rPr>
        <w:t>7</w:t>
      </w:r>
      <w:r w:rsidRPr="002E4D3A">
        <w:rPr>
          <w:rFonts w:ascii="Book Antiqua" w:eastAsia="宋体" w:hAnsi="Book Antiqua" w:cs="宋体"/>
          <w:sz w:val="24"/>
          <w:szCs w:val="24"/>
          <w:lang w:eastAsia="zh-CN" w:bidi="ar-SA"/>
        </w:rPr>
        <w:t>: 2546-2552 [PMID: 17908281 DOI: 10.1111/j.1600-6143.2007.01978.x]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25 </w:t>
      </w:r>
      <w:r w:rsidRPr="002E4D3A">
        <w:rPr>
          <w:rFonts w:ascii="Book Antiqua" w:eastAsia="宋体" w:hAnsi="Book Antiqua" w:cs="宋体"/>
          <w:b/>
          <w:bCs/>
          <w:sz w:val="24"/>
          <w:szCs w:val="24"/>
          <w:lang w:eastAsia="zh-CN" w:bidi="ar-SA"/>
        </w:rPr>
        <w:t>Penny H</w:t>
      </w:r>
      <w:r w:rsidRPr="002E4D3A">
        <w:rPr>
          <w:rFonts w:ascii="Book Antiqua" w:eastAsia="宋体" w:hAnsi="Book Antiqua" w:cs="宋体"/>
          <w:sz w:val="24"/>
          <w:szCs w:val="24"/>
          <w:lang w:eastAsia="zh-CN" w:bidi="ar-SA"/>
        </w:rPr>
        <w:t xml:space="preserve">, Frame S, Dickinson F, Garrett G, Young AR, </w:t>
      </w:r>
      <w:proofErr w:type="spellStart"/>
      <w:r w:rsidRPr="002E4D3A">
        <w:rPr>
          <w:rFonts w:ascii="Book Antiqua" w:eastAsia="宋体" w:hAnsi="Book Antiqua" w:cs="宋体"/>
          <w:sz w:val="24"/>
          <w:szCs w:val="24"/>
          <w:lang w:eastAsia="zh-CN" w:bidi="ar-SA"/>
        </w:rPr>
        <w:t>Sarkany</w:t>
      </w:r>
      <w:proofErr w:type="spellEnd"/>
      <w:r w:rsidRPr="002E4D3A">
        <w:rPr>
          <w:rFonts w:ascii="Book Antiqua" w:eastAsia="宋体" w:hAnsi="Book Antiqua" w:cs="宋体"/>
          <w:sz w:val="24"/>
          <w:szCs w:val="24"/>
          <w:lang w:eastAsia="zh-CN" w:bidi="ar-SA"/>
        </w:rPr>
        <w:t xml:space="preserve"> R, </w:t>
      </w:r>
      <w:proofErr w:type="spellStart"/>
      <w:r w:rsidRPr="002E4D3A">
        <w:rPr>
          <w:rFonts w:ascii="Book Antiqua" w:eastAsia="宋体" w:hAnsi="Book Antiqua" w:cs="宋体"/>
          <w:sz w:val="24"/>
          <w:szCs w:val="24"/>
          <w:lang w:eastAsia="zh-CN" w:bidi="ar-SA"/>
        </w:rPr>
        <w:t>Chitalia</w:t>
      </w:r>
      <w:proofErr w:type="spellEnd"/>
      <w:r w:rsidRPr="002E4D3A">
        <w:rPr>
          <w:rFonts w:ascii="Book Antiqua" w:eastAsia="宋体" w:hAnsi="Book Antiqua" w:cs="宋体"/>
          <w:sz w:val="24"/>
          <w:szCs w:val="24"/>
          <w:lang w:eastAsia="zh-CN" w:bidi="ar-SA"/>
        </w:rPr>
        <w:t xml:space="preserve"> N, </w:t>
      </w:r>
      <w:proofErr w:type="spellStart"/>
      <w:r w:rsidRPr="002E4D3A">
        <w:rPr>
          <w:rFonts w:ascii="Book Antiqua" w:eastAsia="宋体" w:hAnsi="Book Antiqua" w:cs="宋体"/>
          <w:sz w:val="24"/>
          <w:szCs w:val="24"/>
          <w:lang w:eastAsia="zh-CN" w:bidi="ar-SA"/>
        </w:rPr>
        <w:t>Hampson</w:t>
      </w:r>
      <w:proofErr w:type="spellEnd"/>
      <w:r w:rsidRPr="002E4D3A">
        <w:rPr>
          <w:rFonts w:ascii="Book Antiqua" w:eastAsia="宋体" w:hAnsi="Book Antiqua" w:cs="宋体"/>
          <w:sz w:val="24"/>
          <w:szCs w:val="24"/>
          <w:lang w:eastAsia="zh-CN" w:bidi="ar-SA"/>
        </w:rPr>
        <w:t xml:space="preserve"> G, Goldsmith D. Determinants of vitamin D status in long-term renal transplant patients.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Transplant</w:t>
      </w:r>
      <w:r w:rsidRPr="002E4D3A">
        <w:rPr>
          <w:rFonts w:ascii="Book Antiqua" w:eastAsia="宋体" w:hAnsi="Book Antiqua" w:cs="宋体"/>
          <w:sz w:val="24"/>
          <w:szCs w:val="24"/>
          <w:lang w:eastAsia="zh-CN" w:bidi="ar-SA"/>
        </w:rPr>
        <w:t xml:space="preserve"> </w:t>
      </w:r>
      <w:r w:rsidR="00B71BC7">
        <w:rPr>
          <w:rFonts w:ascii="Book Antiqua" w:eastAsia="宋体" w:hAnsi="Book Antiqua" w:cs="宋体"/>
          <w:sz w:val="24"/>
          <w:szCs w:val="24"/>
          <w:lang w:eastAsia="zh-CN" w:bidi="ar-SA"/>
        </w:rPr>
        <w:t>2012</w:t>
      </w:r>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b/>
          <w:bCs/>
          <w:sz w:val="24"/>
          <w:szCs w:val="24"/>
          <w:lang w:eastAsia="zh-CN" w:bidi="ar-SA"/>
        </w:rPr>
        <w:t>26</w:t>
      </w:r>
      <w:r w:rsidRPr="002E4D3A">
        <w:rPr>
          <w:rFonts w:ascii="Book Antiqua" w:eastAsia="宋体" w:hAnsi="Book Antiqua" w:cs="宋体"/>
          <w:sz w:val="24"/>
          <w:szCs w:val="24"/>
          <w:lang w:eastAsia="zh-CN" w:bidi="ar-SA"/>
        </w:rPr>
        <w:t>: E617-E623 [PMID: 23083399 DOI: 10.1111/ctr.12039]</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26 </w:t>
      </w:r>
      <w:proofErr w:type="spellStart"/>
      <w:r w:rsidRPr="002E4D3A">
        <w:rPr>
          <w:rFonts w:ascii="Book Antiqua" w:eastAsia="宋体" w:hAnsi="Book Antiqua" w:cs="宋体"/>
          <w:b/>
          <w:bCs/>
          <w:sz w:val="24"/>
          <w:szCs w:val="24"/>
          <w:lang w:eastAsia="zh-CN" w:bidi="ar-SA"/>
        </w:rPr>
        <w:t>Eyal</w:t>
      </w:r>
      <w:proofErr w:type="spellEnd"/>
      <w:r w:rsidRPr="002E4D3A">
        <w:rPr>
          <w:rFonts w:ascii="Book Antiqua" w:eastAsia="宋体" w:hAnsi="Book Antiqua" w:cs="宋体"/>
          <w:b/>
          <w:bCs/>
          <w:sz w:val="24"/>
          <w:szCs w:val="24"/>
          <w:lang w:eastAsia="zh-CN" w:bidi="ar-SA"/>
        </w:rPr>
        <w:t xml:space="preserve"> O</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Aharon</w:t>
      </w:r>
      <w:proofErr w:type="spellEnd"/>
      <w:r w:rsidRPr="002E4D3A">
        <w:rPr>
          <w:rFonts w:ascii="Book Antiqua" w:eastAsia="宋体" w:hAnsi="Book Antiqua" w:cs="宋体"/>
          <w:sz w:val="24"/>
          <w:szCs w:val="24"/>
          <w:lang w:eastAsia="zh-CN" w:bidi="ar-SA"/>
        </w:rPr>
        <w:t xml:space="preserve"> M, </w:t>
      </w:r>
      <w:proofErr w:type="spellStart"/>
      <w:r w:rsidRPr="002E4D3A">
        <w:rPr>
          <w:rFonts w:ascii="Book Antiqua" w:eastAsia="宋体" w:hAnsi="Book Antiqua" w:cs="宋体"/>
          <w:sz w:val="24"/>
          <w:szCs w:val="24"/>
          <w:lang w:eastAsia="zh-CN" w:bidi="ar-SA"/>
        </w:rPr>
        <w:t>Safadi</w:t>
      </w:r>
      <w:proofErr w:type="spellEnd"/>
      <w:r w:rsidRPr="002E4D3A">
        <w:rPr>
          <w:rFonts w:ascii="Book Antiqua" w:eastAsia="宋体" w:hAnsi="Book Antiqua" w:cs="宋体"/>
          <w:sz w:val="24"/>
          <w:szCs w:val="24"/>
          <w:lang w:eastAsia="zh-CN" w:bidi="ar-SA"/>
        </w:rPr>
        <w:t xml:space="preserve"> R, </w:t>
      </w:r>
      <w:proofErr w:type="spellStart"/>
      <w:r w:rsidRPr="002E4D3A">
        <w:rPr>
          <w:rFonts w:ascii="Book Antiqua" w:eastAsia="宋体" w:hAnsi="Book Antiqua" w:cs="宋体"/>
          <w:sz w:val="24"/>
          <w:szCs w:val="24"/>
          <w:lang w:eastAsia="zh-CN" w:bidi="ar-SA"/>
        </w:rPr>
        <w:t>Elhalel</w:t>
      </w:r>
      <w:proofErr w:type="spellEnd"/>
      <w:r w:rsidRPr="002E4D3A">
        <w:rPr>
          <w:rFonts w:ascii="Book Antiqua" w:eastAsia="宋体" w:hAnsi="Book Antiqua" w:cs="宋体"/>
          <w:sz w:val="24"/>
          <w:szCs w:val="24"/>
          <w:lang w:eastAsia="zh-CN" w:bidi="ar-SA"/>
        </w:rPr>
        <w:t xml:space="preserve"> MD. Serum vitamin D levels in kidney transplant recipients: the importance of an immunosuppression regimen and sun exposure. </w:t>
      </w:r>
      <w:proofErr w:type="spellStart"/>
      <w:r w:rsidRPr="002E4D3A">
        <w:rPr>
          <w:rFonts w:ascii="Book Antiqua" w:eastAsia="宋体" w:hAnsi="Book Antiqua" w:cs="宋体"/>
          <w:i/>
          <w:iCs/>
          <w:sz w:val="24"/>
          <w:szCs w:val="24"/>
          <w:lang w:eastAsia="zh-CN" w:bidi="ar-SA"/>
        </w:rPr>
        <w:t>Isr</w:t>
      </w:r>
      <w:proofErr w:type="spellEnd"/>
      <w:r w:rsidRPr="002E4D3A">
        <w:rPr>
          <w:rFonts w:ascii="Book Antiqua" w:eastAsia="宋体" w:hAnsi="Book Antiqua" w:cs="宋体"/>
          <w:i/>
          <w:iCs/>
          <w:sz w:val="24"/>
          <w:szCs w:val="24"/>
          <w:lang w:eastAsia="zh-CN" w:bidi="ar-SA"/>
        </w:rPr>
        <w:t xml:space="preserve"> Med </w:t>
      </w:r>
      <w:proofErr w:type="spellStart"/>
      <w:r w:rsidRPr="002E4D3A">
        <w:rPr>
          <w:rFonts w:ascii="Book Antiqua" w:eastAsia="宋体" w:hAnsi="Book Antiqua" w:cs="宋体"/>
          <w:i/>
          <w:iCs/>
          <w:sz w:val="24"/>
          <w:szCs w:val="24"/>
          <w:lang w:eastAsia="zh-CN" w:bidi="ar-SA"/>
        </w:rPr>
        <w:t>Assoc</w:t>
      </w:r>
      <w:proofErr w:type="spellEnd"/>
      <w:r w:rsidRPr="002E4D3A">
        <w:rPr>
          <w:rFonts w:ascii="Book Antiqua" w:eastAsia="宋体" w:hAnsi="Book Antiqua" w:cs="宋体"/>
          <w:i/>
          <w:iCs/>
          <w:sz w:val="24"/>
          <w:szCs w:val="24"/>
          <w:lang w:eastAsia="zh-CN" w:bidi="ar-SA"/>
        </w:rPr>
        <w:t xml:space="preserve"> J</w:t>
      </w:r>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15</w:t>
      </w:r>
      <w:r w:rsidRPr="002E4D3A">
        <w:rPr>
          <w:rFonts w:ascii="Book Antiqua" w:eastAsia="宋体" w:hAnsi="Book Antiqua" w:cs="宋体"/>
          <w:sz w:val="24"/>
          <w:szCs w:val="24"/>
          <w:lang w:eastAsia="zh-CN" w:bidi="ar-SA"/>
        </w:rPr>
        <w:t>: 628-633 [PMID: 24266090]</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27 </w:t>
      </w:r>
      <w:proofErr w:type="spellStart"/>
      <w:r w:rsidRPr="002E4D3A">
        <w:rPr>
          <w:rFonts w:ascii="Book Antiqua" w:eastAsia="宋体" w:hAnsi="Book Antiqua" w:cs="宋体"/>
          <w:b/>
          <w:bCs/>
          <w:sz w:val="24"/>
          <w:szCs w:val="24"/>
          <w:lang w:eastAsia="zh-CN" w:bidi="ar-SA"/>
        </w:rPr>
        <w:t>Beique</w:t>
      </w:r>
      <w:proofErr w:type="spellEnd"/>
      <w:r w:rsidRPr="002E4D3A">
        <w:rPr>
          <w:rFonts w:ascii="Book Antiqua" w:eastAsia="宋体" w:hAnsi="Book Antiqua" w:cs="宋体"/>
          <w:b/>
          <w:bCs/>
          <w:sz w:val="24"/>
          <w:szCs w:val="24"/>
          <w:lang w:eastAsia="zh-CN" w:bidi="ar-SA"/>
        </w:rPr>
        <w:t xml:space="preserve"> LC</w:t>
      </w:r>
      <w:r w:rsidRPr="002E4D3A">
        <w:rPr>
          <w:rFonts w:ascii="Book Antiqua" w:eastAsia="宋体" w:hAnsi="Book Antiqua" w:cs="宋体"/>
          <w:sz w:val="24"/>
          <w:szCs w:val="24"/>
          <w:lang w:eastAsia="zh-CN" w:bidi="ar-SA"/>
        </w:rPr>
        <w:t xml:space="preserve">, Kline GA, Dalton B, Duggan K, </w:t>
      </w:r>
      <w:proofErr w:type="spellStart"/>
      <w:r w:rsidRPr="002E4D3A">
        <w:rPr>
          <w:rFonts w:ascii="Book Antiqua" w:eastAsia="宋体" w:hAnsi="Book Antiqua" w:cs="宋体"/>
          <w:sz w:val="24"/>
          <w:szCs w:val="24"/>
          <w:lang w:eastAsia="zh-CN" w:bidi="ar-SA"/>
        </w:rPr>
        <w:t>Yilmaz</w:t>
      </w:r>
      <w:proofErr w:type="spellEnd"/>
      <w:r w:rsidRPr="002E4D3A">
        <w:rPr>
          <w:rFonts w:ascii="Book Antiqua" w:eastAsia="宋体" w:hAnsi="Book Antiqua" w:cs="宋体"/>
          <w:sz w:val="24"/>
          <w:szCs w:val="24"/>
          <w:lang w:eastAsia="zh-CN" w:bidi="ar-SA"/>
        </w:rPr>
        <w:t xml:space="preserve"> S. Predicting deficiency of vitamin D in renal transplant recipients in northern climates. </w:t>
      </w:r>
      <w:r w:rsidRPr="002E4D3A">
        <w:rPr>
          <w:rFonts w:ascii="Book Antiqua" w:eastAsia="宋体" w:hAnsi="Book Antiqua" w:cs="宋体"/>
          <w:i/>
          <w:iCs/>
          <w:sz w:val="24"/>
          <w:szCs w:val="24"/>
          <w:lang w:eastAsia="zh-CN" w:bidi="ar-SA"/>
        </w:rPr>
        <w:t>Transplantation</w:t>
      </w:r>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95</w:t>
      </w:r>
      <w:r w:rsidRPr="002E4D3A">
        <w:rPr>
          <w:rFonts w:ascii="Book Antiqua" w:eastAsia="宋体" w:hAnsi="Book Antiqua" w:cs="宋体"/>
          <w:sz w:val="24"/>
          <w:szCs w:val="24"/>
          <w:lang w:eastAsia="zh-CN" w:bidi="ar-SA"/>
        </w:rPr>
        <w:t>: 1479-1484 [PMID: 23572129 DOI: 10.1097/TP.0b013e31828eea93]</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28 </w:t>
      </w:r>
      <w:proofErr w:type="spellStart"/>
      <w:r w:rsidRPr="002E4D3A">
        <w:rPr>
          <w:rFonts w:ascii="Book Antiqua" w:eastAsia="宋体" w:hAnsi="Book Antiqua" w:cs="宋体"/>
          <w:b/>
          <w:bCs/>
          <w:sz w:val="24"/>
          <w:szCs w:val="24"/>
          <w:lang w:eastAsia="zh-CN" w:bidi="ar-SA"/>
        </w:rPr>
        <w:t>Kulshrestha</w:t>
      </w:r>
      <w:proofErr w:type="spellEnd"/>
      <w:r w:rsidRPr="002E4D3A">
        <w:rPr>
          <w:rFonts w:ascii="Book Antiqua" w:eastAsia="宋体" w:hAnsi="Book Antiqua" w:cs="宋体"/>
          <w:b/>
          <w:bCs/>
          <w:sz w:val="24"/>
          <w:szCs w:val="24"/>
          <w:lang w:eastAsia="zh-CN" w:bidi="ar-SA"/>
        </w:rPr>
        <w:t xml:space="preserve"> S</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Ojo</w:t>
      </w:r>
      <w:proofErr w:type="spellEnd"/>
      <w:r w:rsidRPr="002E4D3A">
        <w:rPr>
          <w:rFonts w:ascii="Book Antiqua" w:eastAsia="宋体" w:hAnsi="Book Antiqua" w:cs="宋体"/>
          <w:sz w:val="24"/>
          <w:szCs w:val="24"/>
          <w:lang w:eastAsia="zh-CN" w:bidi="ar-SA"/>
        </w:rPr>
        <w:t xml:space="preserve"> AO, Luan FL. Metabolic syndrome, vitamin D deficiency and </w:t>
      </w:r>
      <w:proofErr w:type="spellStart"/>
      <w:r w:rsidRPr="002E4D3A">
        <w:rPr>
          <w:rFonts w:ascii="Book Antiqua" w:eastAsia="宋体" w:hAnsi="Book Antiqua" w:cs="宋体"/>
          <w:sz w:val="24"/>
          <w:szCs w:val="24"/>
          <w:lang w:eastAsia="zh-CN" w:bidi="ar-SA"/>
        </w:rPr>
        <w:t>hypoadiponectinemia</w:t>
      </w:r>
      <w:proofErr w:type="spellEnd"/>
      <w:r w:rsidRPr="002E4D3A">
        <w:rPr>
          <w:rFonts w:ascii="Book Antiqua" w:eastAsia="宋体" w:hAnsi="Book Antiqua" w:cs="宋体"/>
          <w:sz w:val="24"/>
          <w:szCs w:val="24"/>
          <w:lang w:eastAsia="zh-CN" w:bidi="ar-SA"/>
        </w:rPr>
        <w:t xml:space="preserve"> among </w:t>
      </w:r>
      <w:proofErr w:type="spellStart"/>
      <w:r w:rsidRPr="002E4D3A">
        <w:rPr>
          <w:rFonts w:ascii="Book Antiqua" w:eastAsia="宋体" w:hAnsi="Book Antiqua" w:cs="宋体"/>
          <w:sz w:val="24"/>
          <w:szCs w:val="24"/>
          <w:lang w:eastAsia="zh-CN" w:bidi="ar-SA"/>
        </w:rPr>
        <w:t>nondiabetic</w:t>
      </w:r>
      <w:proofErr w:type="spellEnd"/>
      <w:r w:rsidRPr="002E4D3A">
        <w:rPr>
          <w:rFonts w:ascii="Book Antiqua" w:eastAsia="宋体" w:hAnsi="Book Antiqua" w:cs="宋体"/>
          <w:sz w:val="24"/>
          <w:szCs w:val="24"/>
          <w:lang w:eastAsia="zh-CN" w:bidi="ar-SA"/>
        </w:rPr>
        <w:t xml:space="preserve"> patients early after kidney transplantation. </w:t>
      </w:r>
      <w:r w:rsidRPr="002E4D3A">
        <w:rPr>
          <w:rFonts w:ascii="Book Antiqua" w:eastAsia="宋体" w:hAnsi="Book Antiqua" w:cs="宋体"/>
          <w:i/>
          <w:iCs/>
          <w:sz w:val="24"/>
          <w:szCs w:val="24"/>
          <w:lang w:eastAsia="zh-CN" w:bidi="ar-SA"/>
        </w:rPr>
        <w:t xml:space="preserve">Am J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37</w:t>
      </w:r>
      <w:r w:rsidRPr="002E4D3A">
        <w:rPr>
          <w:rFonts w:ascii="Book Antiqua" w:eastAsia="宋体" w:hAnsi="Book Antiqua" w:cs="宋体"/>
          <w:sz w:val="24"/>
          <w:szCs w:val="24"/>
          <w:lang w:eastAsia="zh-CN" w:bidi="ar-SA"/>
        </w:rPr>
        <w:t>: 399-404 [PMID: 23751485 DOI: 10.1159/000349930]</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29 </w:t>
      </w:r>
      <w:proofErr w:type="spellStart"/>
      <w:r w:rsidRPr="002E4D3A">
        <w:rPr>
          <w:rFonts w:ascii="Book Antiqua" w:eastAsia="宋体" w:hAnsi="Book Antiqua" w:cs="宋体"/>
          <w:b/>
          <w:bCs/>
          <w:sz w:val="24"/>
          <w:szCs w:val="24"/>
          <w:lang w:eastAsia="zh-CN" w:bidi="ar-SA"/>
        </w:rPr>
        <w:t>Falkiewicz</w:t>
      </w:r>
      <w:proofErr w:type="spellEnd"/>
      <w:r w:rsidRPr="002E4D3A">
        <w:rPr>
          <w:rFonts w:ascii="Book Antiqua" w:eastAsia="宋体" w:hAnsi="Book Antiqua" w:cs="宋体"/>
          <w:b/>
          <w:bCs/>
          <w:sz w:val="24"/>
          <w:szCs w:val="24"/>
          <w:lang w:eastAsia="zh-CN" w:bidi="ar-SA"/>
        </w:rPr>
        <w:t xml:space="preserve"> K</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Boratynska</w:t>
      </w:r>
      <w:proofErr w:type="spellEnd"/>
      <w:r w:rsidRPr="002E4D3A">
        <w:rPr>
          <w:rFonts w:ascii="Book Antiqua" w:eastAsia="宋体" w:hAnsi="Book Antiqua" w:cs="宋体"/>
          <w:sz w:val="24"/>
          <w:szCs w:val="24"/>
          <w:lang w:eastAsia="zh-CN" w:bidi="ar-SA"/>
        </w:rPr>
        <w:t xml:space="preserve"> M, </w:t>
      </w:r>
      <w:proofErr w:type="spellStart"/>
      <w:r w:rsidRPr="002E4D3A">
        <w:rPr>
          <w:rFonts w:ascii="Book Antiqua" w:eastAsia="宋体" w:hAnsi="Book Antiqua" w:cs="宋体"/>
          <w:sz w:val="24"/>
          <w:szCs w:val="24"/>
          <w:lang w:eastAsia="zh-CN" w:bidi="ar-SA"/>
        </w:rPr>
        <w:t>Speichert-Bidzińska</w:t>
      </w:r>
      <w:proofErr w:type="spellEnd"/>
      <w:r w:rsidRPr="002E4D3A">
        <w:rPr>
          <w:rFonts w:ascii="Book Antiqua" w:eastAsia="宋体" w:hAnsi="Book Antiqua" w:cs="宋体"/>
          <w:sz w:val="24"/>
          <w:szCs w:val="24"/>
          <w:lang w:eastAsia="zh-CN" w:bidi="ar-SA"/>
        </w:rPr>
        <w:t xml:space="preserve"> B, </w:t>
      </w:r>
      <w:proofErr w:type="spellStart"/>
      <w:r w:rsidRPr="002E4D3A">
        <w:rPr>
          <w:rFonts w:ascii="Book Antiqua" w:eastAsia="宋体" w:hAnsi="Book Antiqua" w:cs="宋体"/>
          <w:sz w:val="24"/>
          <w:szCs w:val="24"/>
          <w:lang w:eastAsia="zh-CN" w:bidi="ar-SA"/>
        </w:rPr>
        <w:t>Magott-Procelewska</w:t>
      </w:r>
      <w:proofErr w:type="spellEnd"/>
      <w:r w:rsidRPr="002E4D3A">
        <w:rPr>
          <w:rFonts w:ascii="Book Antiqua" w:eastAsia="宋体" w:hAnsi="Book Antiqua" w:cs="宋体"/>
          <w:sz w:val="24"/>
          <w:szCs w:val="24"/>
          <w:lang w:eastAsia="zh-CN" w:bidi="ar-SA"/>
        </w:rPr>
        <w:t xml:space="preserve"> M, </w:t>
      </w:r>
      <w:proofErr w:type="spellStart"/>
      <w:r w:rsidRPr="002E4D3A">
        <w:rPr>
          <w:rFonts w:ascii="Book Antiqua" w:eastAsia="宋体" w:hAnsi="Book Antiqua" w:cs="宋体"/>
          <w:sz w:val="24"/>
          <w:szCs w:val="24"/>
          <w:lang w:eastAsia="zh-CN" w:bidi="ar-SA"/>
        </w:rPr>
        <w:t>Biecek</w:t>
      </w:r>
      <w:proofErr w:type="spellEnd"/>
      <w:r w:rsidRPr="002E4D3A">
        <w:rPr>
          <w:rFonts w:ascii="Book Antiqua" w:eastAsia="宋体" w:hAnsi="Book Antiqua" w:cs="宋体"/>
          <w:sz w:val="24"/>
          <w:szCs w:val="24"/>
          <w:lang w:eastAsia="zh-CN" w:bidi="ar-SA"/>
        </w:rPr>
        <w:t xml:space="preserve"> P, </w:t>
      </w:r>
      <w:proofErr w:type="spellStart"/>
      <w:r w:rsidRPr="002E4D3A">
        <w:rPr>
          <w:rFonts w:ascii="Book Antiqua" w:eastAsia="宋体" w:hAnsi="Book Antiqua" w:cs="宋体"/>
          <w:sz w:val="24"/>
          <w:szCs w:val="24"/>
          <w:lang w:eastAsia="zh-CN" w:bidi="ar-SA"/>
        </w:rPr>
        <w:t>Patrzalek</w:t>
      </w:r>
      <w:proofErr w:type="spellEnd"/>
      <w:r w:rsidRPr="002E4D3A">
        <w:rPr>
          <w:rFonts w:ascii="Book Antiqua" w:eastAsia="宋体" w:hAnsi="Book Antiqua" w:cs="宋体"/>
          <w:sz w:val="24"/>
          <w:szCs w:val="24"/>
          <w:lang w:eastAsia="zh-CN" w:bidi="ar-SA"/>
        </w:rPr>
        <w:t xml:space="preserve"> D, Klinger M. 1,25-dihydroxyvitamin D deficiency predicts poorer outcome after renal transplantation. </w:t>
      </w:r>
      <w:r w:rsidRPr="002E4D3A">
        <w:rPr>
          <w:rFonts w:ascii="Book Antiqua" w:eastAsia="宋体" w:hAnsi="Book Antiqua" w:cs="宋体"/>
          <w:i/>
          <w:iCs/>
          <w:sz w:val="24"/>
          <w:szCs w:val="24"/>
          <w:lang w:eastAsia="zh-CN" w:bidi="ar-SA"/>
        </w:rPr>
        <w:t xml:space="preserve">Transplant </w:t>
      </w:r>
      <w:proofErr w:type="spellStart"/>
      <w:r w:rsidRPr="002E4D3A">
        <w:rPr>
          <w:rFonts w:ascii="Book Antiqua" w:eastAsia="宋体" w:hAnsi="Book Antiqua" w:cs="宋体"/>
          <w:i/>
          <w:iCs/>
          <w:sz w:val="24"/>
          <w:szCs w:val="24"/>
          <w:lang w:eastAsia="zh-CN" w:bidi="ar-SA"/>
        </w:rPr>
        <w:t>Proc</w:t>
      </w:r>
      <w:proofErr w:type="spellEnd"/>
      <w:r w:rsidRPr="002E4D3A">
        <w:rPr>
          <w:rFonts w:ascii="Book Antiqua" w:eastAsia="宋体" w:hAnsi="Book Antiqua" w:cs="宋体"/>
          <w:sz w:val="24"/>
          <w:szCs w:val="24"/>
          <w:lang w:eastAsia="zh-CN" w:bidi="ar-SA"/>
        </w:rPr>
        <w:t xml:space="preserve"> 2009; </w:t>
      </w:r>
      <w:r w:rsidRPr="002E4D3A">
        <w:rPr>
          <w:rFonts w:ascii="Book Antiqua" w:eastAsia="宋体" w:hAnsi="Book Antiqua" w:cs="宋体"/>
          <w:b/>
          <w:bCs/>
          <w:sz w:val="24"/>
          <w:szCs w:val="24"/>
          <w:lang w:eastAsia="zh-CN" w:bidi="ar-SA"/>
        </w:rPr>
        <w:t>41</w:t>
      </w:r>
      <w:r w:rsidRPr="002E4D3A">
        <w:rPr>
          <w:rFonts w:ascii="Book Antiqua" w:eastAsia="宋体" w:hAnsi="Book Antiqua" w:cs="宋体"/>
          <w:sz w:val="24"/>
          <w:szCs w:val="24"/>
          <w:lang w:eastAsia="zh-CN" w:bidi="ar-SA"/>
        </w:rPr>
        <w:t>: 3002-3005 [PMID: 19857661 DOI: 10.1016/j.transproceed.2009.07.087]</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30 </w:t>
      </w:r>
      <w:proofErr w:type="spellStart"/>
      <w:r w:rsidRPr="002E4D3A">
        <w:rPr>
          <w:rFonts w:ascii="Book Antiqua" w:eastAsia="宋体" w:hAnsi="Book Antiqua" w:cs="宋体"/>
          <w:b/>
          <w:bCs/>
          <w:sz w:val="24"/>
          <w:szCs w:val="24"/>
          <w:lang w:eastAsia="zh-CN" w:bidi="ar-SA"/>
        </w:rPr>
        <w:t>Adorini</w:t>
      </w:r>
      <w:proofErr w:type="spellEnd"/>
      <w:r w:rsidRPr="002E4D3A">
        <w:rPr>
          <w:rFonts w:ascii="Book Antiqua" w:eastAsia="宋体" w:hAnsi="Book Antiqua" w:cs="宋体"/>
          <w:b/>
          <w:bCs/>
          <w:sz w:val="24"/>
          <w:szCs w:val="24"/>
          <w:lang w:eastAsia="zh-CN" w:bidi="ar-SA"/>
        </w:rPr>
        <w:t xml:space="preserve"> L</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Amuchastegui</w:t>
      </w:r>
      <w:proofErr w:type="spellEnd"/>
      <w:r w:rsidRPr="002E4D3A">
        <w:rPr>
          <w:rFonts w:ascii="Book Antiqua" w:eastAsia="宋体" w:hAnsi="Book Antiqua" w:cs="宋体"/>
          <w:sz w:val="24"/>
          <w:szCs w:val="24"/>
          <w:lang w:eastAsia="zh-CN" w:bidi="ar-SA"/>
        </w:rPr>
        <w:t xml:space="preserve"> S, Daniel KC. Prevention of chronic allograft rejection by Vitamin D receptor agonists. </w:t>
      </w:r>
      <w:proofErr w:type="spellStart"/>
      <w:r w:rsidRPr="002E4D3A">
        <w:rPr>
          <w:rFonts w:ascii="Book Antiqua" w:eastAsia="宋体" w:hAnsi="Book Antiqua" w:cs="宋体"/>
          <w:i/>
          <w:iCs/>
          <w:sz w:val="24"/>
          <w:szCs w:val="24"/>
          <w:lang w:eastAsia="zh-CN" w:bidi="ar-SA"/>
        </w:rPr>
        <w:t>Immunol</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Lett</w:t>
      </w:r>
      <w:proofErr w:type="spellEnd"/>
      <w:r w:rsidRPr="002E4D3A">
        <w:rPr>
          <w:rFonts w:ascii="Book Antiqua" w:eastAsia="宋体" w:hAnsi="Book Antiqua" w:cs="宋体"/>
          <w:sz w:val="24"/>
          <w:szCs w:val="24"/>
          <w:lang w:eastAsia="zh-CN" w:bidi="ar-SA"/>
        </w:rPr>
        <w:t xml:space="preserve"> 2005; </w:t>
      </w:r>
      <w:r w:rsidRPr="002E4D3A">
        <w:rPr>
          <w:rFonts w:ascii="Book Antiqua" w:eastAsia="宋体" w:hAnsi="Book Antiqua" w:cs="宋体"/>
          <w:b/>
          <w:bCs/>
          <w:sz w:val="24"/>
          <w:szCs w:val="24"/>
          <w:lang w:eastAsia="zh-CN" w:bidi="ar-SA"/>
        </w:rPr>
        <w:t>100</w:t>
      </w:r>
      <w:r w:rsidRPr="002E4D3A">
        <w:rPr>
          <w:rFonts w:ascii="Book Antiqua" w:eastAsia="宋体" w:hAnsi="Book Antiqua" w:cs="宋体"/>
          <w:sz w:val="24"/>
          <w:szCs w:val="24"/>
          <w:lang w:eastAsia="zh-CN" w:bidi="ar-SA"/>
        </w:rPr>
        <w:t>: 34-41 [PMID: 16054704 DOI: 10.1016/j.imlet.2005.06.017]</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proofErr w:type="gramStart"/>
      <w:r w:rsidRPr="002E4D3A">
        <w:rPr>
          <w:rFonts w:ascii="Book Antiqua" w:eastAsia="宋体" w:hAnsi="Book Antiqua" w:cs="宋体"/>
          <w:sz w:val="24"/>
          <w:szCs w:val="24"/>
          <w:lang w:eastAsia="zh-CN" w:bidi="ar-SA"/>
        </w:rPr>
        <w:t xml:space="preserve">31 </w:t>
      </w:r>
      <w:r w:rsidRPr="002E4D3A">
        <w:rPr>
          <w:rFonts w:ascii="Book Antiqua" w:eastAsia="宋体" w:hAnsi="Book Antiqua" w:cs="宋体"/>
          <w:b/>
          <w:bCs/>
          <w:sz w:val="24"/>
          <w:szCs w:val="24"/>
          <w:lang w:eastAsia="zh-CN" w:bidi="ar-SA"/>
        </w:rPr>
        <w:t>Young MR</w:t>
      </w:r>
      <w:r w:rsidRPr="002E4D3A">
        <w:rPr>
          <w:rFonts w:ascii="Book Antiqua" w:eastAsia="宋体" w:hAnsi="Book Antiqua" w:cs="宋体"/>
          <w:sz w:val="24"/>
          <w:szCs w:val="24"/>
          <w:lang w:eastAsia="zh-CN" w:bidi="ar-SA"/>
        </w:rPr>
        <w:t>, Day TA.</w:t>
      </w:r>
      <w:proofErr w:type="gramEnd"/>
      <w:r w:rsidRPr="002E4D3A">
        <w:rPr>
          <w:rFonts w:ascii="Book Antiqua" w:eastAsia="宋体" w:hAnsi="Book Antiqua" w:cs="宋体"/>
          <w:sz w:val="24"/>
          <w:szCs w:val="24"/>
          <w:lang w:eastAsia="zh-CN" w:bidi="ar-SA"/>
        </w:rPr>
        <w:t xml:space="preserve"> </w:t>
      </w:r>
      <w:proofErr w:type="gramStart"/>
      <w:r w:rsidRPr="002E4D3A">
        <w:rPr>
          <w:rFonts w:ascii="Book Antiqua" w:eastAsia="宋体" w:hAnsi="Book Antiqua" w:cs="宋体"/>
          <w:sz w:val="24"/>
          <w:szCs w:val="24"/>
          <w:lang w:eastAsia="zh-CN" w:bidi="ar-SA"/>
        </w:rPr>
        <w:t>Immune regulatory activity of vitamin d3 in head and neck cancer.</w:t>
      </w:r>
      <w:proofErr w:type="gramEnd"/>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i/>
          <w:iCs/>
          <w:sz w:val="24"/>
          <w:szCs w:val="24"/>
          <w:lang w:eastAsia="zh-CN" w:bidi="ar-SA"/>
        </w:rPr>
        <w:t xml:space="preserve">Cancers </w:t>
      </w:r>
      <w:r w:rsidRPr="002E4D3A">
        <w:rPr>
          <w:rFonts w:ascii="Book Antiqua" w:eastAsia="宋体" w:hAnsi="Book Antiqua" w:cs="宋体"/>
          <w:iCs/>
          <w:sz w:val="24"/>
          <w:szCs w:val="24"/>
          <w:lang w:eastAsia="zh-CN" w:bidi="ar-SA"/>
        </w:rPr>
        <w:t>(Basel)</w:t>
      </w:r>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5</w:t>
      </w:r>
      <w:r w:rsidRPr="002E4D3A">
        <w:rPr>
          <w:rFonts w:ascii="Book Antiqua" w:eastAsia="宋体" w:hAnsi="Book Antiqua" w:cs="宋体"/>
          <w:sz w:val="24"/>
          <w:szCs w:val="24"/>
          <w:lang w:eastAsia="zh-CN" w:bidi="ar-SA"/>
        </w:rPr>
        <w:t>: 1072-1085 [PMID: 24202334 DOI: 10.3390/cancers5031072]</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32 </w:t>
      </w:r>
      <w:r w:rsidRPr="002E4D3A">
        <w:rPr>
          <w:rFonts w:ascii="Book Antiqua" w:eastAsia="宋体" w:hAnsi="Book Antiqua" w:cs="宋体"/>
          <w:b/>
          <w:bCs/>
          <w:sz w:val="24"/>
          <w:szCs w:val="24"/>
          <w:lang w:eastAsia="zh-CN" w:bidi="ar-SA"/>
        </w:rPr>
        <w:t>McGregor R</w:t>
      </w:r>
      <w:r w:rsidRPr="002E4D3A">
        <w:rPr>
          <w:rFonts w:ascii="Book Antiqua" w:eastAsia="宋体" w:hAnsi="Book Antiqua" w:cs="宋体"/>
          <w:sz w:val="24"/>
          <w:szCs w:val="24"/>
          <w:lang w:eastAsia="zh-CN" w:bidi="ar-SA"/>
        </w:rPr>
        <w:t xml:space="preserve">, Li G, Penny H, Lombardi G, </w:t>
      </w:r>
      <w:proofErr w:type="spellStart"/>
      <w:r w:rsidRPr="002E4D3A">
        <w:rPr>
          <w:rFonts w:ascii="Book Antiqua" w:eastAsia="宋体" w:hAnsi="Book Antiqua" w:cs="宋体"/>
          <w:sz w:val="24"/>
          <w:szCs w:val="24"/>
          <w:lang w:eastAsia="zh-CN" w:bidi="ar-SA"/>
        </w:rPr>
        <w:t>Afzali</w:t>
      </w:r>
      <w:proofErr w:type="spellEnd"/>
      <w:r w:rsidRPr="002E4D3A">
        <w:rPr>
          <w:rFonts w:ascii="Book Antiqua" w:eastAsia="宋体" w:hAnsi="Book Antiqua" w:cs="宋体"/>
          <w:sz w:val="24"/>
          <w:szCs w:val="24"/>
          <w:lang w:eastAsia="zh-CN" w:bidi="ar-SA"/>
        </w:rPr>
        <w:t xml:space="preserve"> B, Goldsmith DJ. </w:t>
      </w:r>
      <w:proofErr w:type="gramStart"/>
      <w:r w:rsidRPr="002E4D3A">
        <w:rPr>
          <w:rFonts w:ascii="Book Antiqua" w:eastAsia="宋体" w:hAnsi="Book Antiqua" w:cs="宋体"/>
          <w:sz w:val="24"/>
          <w:szCs w:val="24"/>
          <w:lang w:eastAsia="zh-CN" w:bidi="ar-SA"/>
        </w:rPr>
        <w:t>Vitamin D in renal transplantation - from biological mechanisms to clinical benefits.</w:t>
      </w:r>
      <w:proofErr w:type="gramEnd"/>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i/>
          <w:iCs/>
          <w:sz w:val="24"/>
          <w:szCs w:val="24"/>
          <w:lang w:eastAsia="zh-CN" w:bidi="ar-SA"/>
        </w:rPr>
        <w:t>Am J Transplant</w:t>
      </w:r>
      <w:r w:rsidRPr="002E4D3A">
        <w:rPr>
          <w:rFonts w:ascii="Book Antiqua" w:eastAsia="宋体" w:hAnsi="Book Antiqua" w:cs="宋体"/>
          <w:sz w:val="24"/>
          <w:szCs w:val="24"/>
          <w:lang w:eastAsia="zh-CN" w:bidi="ar-SA"/>
        </w:rPr>
        <w:t xml:space="preserve"> 2014; </w:t>
      </w:r>
      <w:r w:rsidRPr="002E4D3A">
        <w:rPr>
          <w:rFonts w:ascii="Book Antiqua" w:eastAsia="宋体" w:hAnsi="Book Antiqua" w:cs="宋体"/>
          <w:b/>
          <w:bCs/>
          <w:sz w:val="24"/>
          <w:szCs w:val="24"/>
          <w:lang w:eastAsia="zh-CN" w:bidi="ar-SA"/>
        </w:rPr>
        <w:t>14</w:t>
      </w:r>
      <w:r w:rsidRPr="002E4D3A">
        <w:rPr>
          <w:rFonts w:ascii="Book Antiqua" w:eastAsia="宋体" w:hAnsi="Book Antiqua" w:cs="宋体"/>
          <w:sz w:val="24"/>
          <w:szCs w:val="24"/>
          <w:lang w:eastAsia="zh-CN" w:bidi="ar-SA"/>
        </w:rPr>
        <w:t>: 1259-1270 [PMID: 24840071 DOI: 10.1111/ajt.12738]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33 </w:t>
      </w:r>
      <w:proofErr w:type="spellStart"/>
      <w:r w:rsidRPr="002E4D3A">
        <w:rPr>
          <w:rFonts w:ascii="Book Antiqua" w:eastAsia="宋体" w:hAnsi="Book Antiqua" w:cs="宋体"/>
          <w:b/>
          <w:bCs/>
          <w:sz w:val="24"/>
          <w:szCs w:val="24"/>
          <w:lang w:eastAsia="zh-CN" w:bidi="ar-SA"/>
        </w:rPr>
        <w:t>Nobata</w:t>
      </w:r>
      <w:proofErr w:type="spellEnd"/>
      <w:r w:rsidRPr="002E4D3A">
        <w:rPr>
          <w:rFonts w:ascii="Book Antiqua" w:eastAsia="宋体" w:hAnsi="Book Antiqua" w:cs="宋体"/>
          <w:b/>
          <w:bCs/>
          <w:sz w:val="24"/>
          <w:szCs w:val="24"/>
          <w:lang w:eastAsia="zh-CN" w:bidi="ar-SA"/>
        </w:rPr>
        <w:t xml:space="preserve"> H</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Tominaga</w:t>
      </w:r>
      <w:proofErr w:type="spellEnd"/>
      <w:r w:rsidRPr="002E4D3A">
        <w:rPr>
          <w:rFonts w:ascii="Book Antiqua" w:eastAsia="宋体" w:hAnsi="Book Antiqua" w:cs="宋体"/>
          <w:sz w:val="24"/>
          <w:szCs w:val="24"/>
          <w:lang w:eastAsia="zh-CN" w:bidi="ar-SA"/>
        </w:rPr>
        <w:t xml:space="preserve"> Y, Imai H, Uchida K. </w:t>
      </w:r>
      <w:proofErr w:type="spellStart"/>
      <w:r w:rsidRPr="002E4D3A">
        <w:rPr>
          <w:rFonts w:ascii="Book Antiqua" w:eastAsia="宋体" w:hAnsi="Book Antiqua" w:cs="宋体"/>
          <w:sz w:val="24"/>
          <w:szCs w:val="24"/>
          <w:lang w:eastAsia="zh-CN" w:bidi="ar-SA"/>
        </w:rPr>
        <w:t>Hypocalcemia</w:t>
      </w:r>
      <w:proofErr w:type="spellEnd"/>
      <w:r w:rsidRPr="002E4D3A">
        <w:rPr>
          <w:rFonts w:ascii="Book Antiqua" w:eastAsia="宋体" w:hAnsi="Book Antiqua" w:cs="宋体"/>
          <w:sz w:val="24"/>
          <w:szCs w:val="24"/>
          <w:lang w:eastAsia="zh-CN" w:bidi="ar-SA"/>
        </w:rPr>
        <w:t xml:space="preserve"> immediately after renal transplantation.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Transplant</w:t>
      </w:r>
      <w:r w:rsidRPr="002E4D3A">
        <w:rPr>
          <w:rFonts w:ascii="Book Antiqua" w:eastAsia="宋体" w:hAnsi="Book Antiqua" w:cs="宋体"/>
          <w:sz w:val="24"/>
          <w:szCs w:val="24"/>
          <w:lang w:eastAsia="zh-CN" w:bidi="ar-SA"/>
        </w:rPr>
        <w:t xml:space="preserve"> </w:t>
      </w:r>
      <w:r w:rsidR="003F7082">
        <w:rPr>
          <w:rFonts w:ascii="Book Antiqua" w:eastAsia="宋体" w:hAnsi="Book Antiqua" w:cs="宋体"/>
          <w:sz w:val="24"/>
          <w:szCs w:val="24"/>
          <w:lang w:eastAsia="zh-CN" w:bidi="ar-SA"/>
        </w:rPr>
        <w:t>2013</w:t>
      </w:r>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b/>
          <w:bCs/>
          <w:sz w:val="24"/>
          <w:szCs w:val="24"/>
          <w:lang w:eastAsia="zh-CN" w:bidi="ar-SA"/>
        </w:rPr>
        <w:t>27</w:t>
      </w:r>
      <w:r w:rsidRPr="002E4D3A">
        <w:rPr>
          <w:rFonts w:ascii="Book Antiqua" w:eastAsia="宋体" w:hAnsi="Book Antiqua" w:cs="宋体"/>
          <w:sz w:val="24"/>
          <w:szCs w:val="24"/>
          <w:lang w:eastAsia="zh-CN" w:bidi="ar-SA"/>
        </w:rPr>
        <w:t>: E644-E648 [PMID: 24033403 DOI: 10.1111/ctr.12221]</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lastRenderedPageBreak/>
        <w:t xml:space="preserve">34 </w:t>
      </w:r>
      <w:proofErr w:type="spellStart"/>
      <w:r w:rsidRPr="002E4D3A">
        <w:rPr>
          <w:rFonts w:ascii="Book Antiqua" w:eastAsia="宋体" w:hAnsi="Book Antiqua" w:cs="宋体"/>
          <w:b/>
          <w:bCs/>
          <w:sz w:val="24"/>
          <w:szCs w:val="24"/>
          <w:lang w:eastAsia="zh-CN" w:bidi="ar-SA"/>
        </w:rPr>
        <w:t>Chatzikyrkou</w:t>
      </w:r>
      <w:proofErr w:type="spellEnd"/>
      <w:r w:rsidRPr="002E4D3A">
        <w:rPr>
          <w:rFonts w:ascii="Book Antiqua" w:eastAsia="宋体" w:hAnsi="Book Antiqua" w:cs="宋体"/>
          <w:b/>
          <w:bCs/>
          <w:sz w:val="24"/>
          <w:szCs w:val="24"/>
          <w:lang w:eastAsia="zh-CN" w:bidi="ar-SA"/>
        </w:rPr>
        <w:t xml:space="preserve"> C</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Clajus</w:t>
      </w:r>
      <w:proofErr w:type="spellEnd"/>
      <w:r w:rsidRPr="002E4D3A">
        <w:rPr>
          <w:rFonts w:ascii="Book Antiqua" w:eastAsia="宋体" w:hAnsi="Book Antiqua" w:cs="宋体"/>
          <w:sz w:val="24"/>
          <w:szCs w:val="24"/>
          <w:lang w:eastAsia="zh-CN" w:bidi="ar-SA"/>
        </w:rPr>
        <w:t xml:space="preserve"> C, </w:t>
      </w:r>
      <w:proofErr w:type="spellStart"/>
      <w:r w:rsidRPr="002E4D3A">
        <w:rPr>
          <w:rFonts w:ascii="Book Antiqua" w:eastAsia="宋体" w:hAnsi="Book Antiqua" w:cs="宋体"/>
          <w:sz w:val="24"/>
          <w:szCs w:val="24"/>
          <w:lang w:eastAsia="zh-CN" w:bidi="ar-SA"/>
        </w:rPr>
        <w:t>Haubitz</w:t>
      </w:r>
      <w:proofErr w:type="spellEnd"/>
      <w:r w:rsidRPr="002E4D3A">
        <w:rPr>
          <w:rFonts w:ascii="Book Antiqua" w:eastAsia="宋体" w:hAnsi="Book Antiqua" w:cs="宋体"/>
          <w:sz w:val="24"/>
          <w:szCs w:val="24"/>
          <w:lang w:eastAsia="zh-CN" w:bidi="ar-SA"/>
        </w:rPr>
        <w:t xml:space="preserve"> M, </w:t>
      </w:r>
      <w:proofErr w:type="spellStart"/>
      <w:r w:rsidRPr="002E4D3A">
        <w:rPr>
          <w:rFonts w:ascii="Book Antiqua" w:eastAsia="宋体" w:hAnsi="Book Antiqua" w:cs="宋体"/>
          <w:sz w:val="24"/>
          <w:szCs w:val="24"/>
          <w:lang w:eastAsia="zh-CN" w:bidi="ar-SA"/>
        </w:rPr>
        <w:t>Hafer</w:t>
      </w:r>
      <w:proofErr w:type="spellEnd"/>
      <w:r w:rsidRPr="002E4D3A">
        <w:rPr>
          <w:rFonts w:ascii="Book Antiqua" w:eastAsia="宋体" w:hAnsi="Book Antiqua" w:cs="宋体"/>
          <w:sz w:val="24"/>
          <w:szCs w:val="24"/>
          <w:lang w:eastAsia="zh-CN" w:bidi="ar-SA"/>
        </w:rPr>
        <w:t xml:space="preserve"> C. </w:t>
      </w:r>
      <w:proofErr w:type="spellStart"/>
      <w:r w:rsidRPr="002E4D3A">
        <w:rPr>
          <w:rFonts w:ascii="Book Antiqua" w:eastAsia="宋体" w:hAnsi="Book Antiqua" w:cs="宋体"/>
          <w:sz w:val="24"/>
          <w:szCs w:val="24"/>
          <w:lang w:eastAsia="zh-CN" w:bidi="ar-SA"/>
        </w:rPr>
        <w:t>Hypercalcemia</w:t>
      </w:r>
      <w:proofErr w:type="spellEnd"/>
      <w:r w:rsidRPr="002E4D3A">
        <w:rPr>
          <w:rFonts w:ascii="Book Antiqua" w:eastAsia="宋体" w:hAnsi="Book Antiqua" w:cs="宋体"/>
          <w:sz w:val="24"/>
          <w:szCs w:val="24"/>
          <w:lang w:eastAsia="zh-CN" w:bidi="ar-SA"/>
        </w:rPr>
        <w:t xml:space="preserve"> and pneumocystis Pneumonia after kidney transplantation: report of an exceptional case and literature review. </w:t>
      </w:r>
      <w:proofErr w:type="spellStart"/>
      <w:r w:rsidRPr="002E4D3A">
        <w:rPr>
          <w:rFonts w:ascii="Book Antiqua" w:eastAsia="宋体" w:hAnsi="Book Antiqua" w:cs="宋体"/>
          <w:i/>
          <w:iCs/>
          <w:sz w:val="24"/>
          <w:szCs w:val="24"/>
          <w:lang w:eastAsia="zh-CN" w:bidi="ar-SA"/>
        </w:rPr>
        <w:t>Transpl</w:t>
      </w:r>
      <w:proofErr w:type="spellEnd"/>
      <w:r w:rsidRPr="002E4D3A">
        <w:rPr>
          <w:rFonts w:ascii="Book Antiqua" w:eastAsia="宋体" w:hAnsi="Book Antiqua" w:cs="宋体"/>
          <w:i/>
          <w:iCs/>
          <w:sz w:val="24"/>
          <w:szCs w:val="24"/>
          <w:lang w:eastAsia="zh-CN" w:bidi="ar-SA"/>
        </w:rPr>
        <w:t xml:space="preserve"> Infect Dis</w:t>
      </w:r>
      <w:r w:rsidRPr="002E4D3A">
        <w:rPr>
          <w:rFonts w:ascii="Book Antiqua" w:eastAsia="宋体" w:hAnsi="Book Antiqua" w:cs="宋体"/>
          <w:sz w:val="24"/>
          <w:szCs w:val="24"/>
          <w:lang w:eastAsia="zh-CN" w:bidi="ar-SA"/>
        </w:rPr>
        <w:t xml:space="preserve"> 2011; </w:t>
      </w:r>
      <w:r w:rsidRPr="002E4D3A">
        <w:rPr>
          <w:rFonts w:ascii="Book Antiqua" w:eastAsia="宋体" w:hAnsi="Book Antiqua" w:cs="宋体"/>
          <w:b/>
          <w:bCs/>
          <w:sz w:val="24"/>
          <w:szCs w:val="24"/>
          <w:lang w:eastAsia="zh-CN" w:bidi="ar-SA"/>
        </w:rPr>
        <w:t>13</w:t>
      </w:r>
      <w:r w:rsidRPr="002E4D3A">
        <w:rPr>
          <w:rFonts w:ascii="Book Antiqua" w:eastAsia="宋体" w:hAnsi="Book Antiqua" w:cs="宋体"/>
          <w:sz w:val="24"/>
          <w:szCs w:val="24"/>
          <w:lang w:eastAsia="zh-CN" w:bidi="ar-SA"/>
        </w:rPr>
        <w:t>: 496-500 [PMID: 21414118 DOI: 10.1111/j.1399-3062.2011.00623.x]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35 </w:t>
      </w:r>
      <w:proofErr w:type="spellStart"/>
      <w:r w:rsidRPr="002E4D3A">
        <w:rPr>
          <w:rFonts w:ascii="Book Antiqua" w:eastAsia="宋体" w:hAnsi="Book Antiqua" w:cs="宋体"/>
          <w:b/>
          <w:bCs/>
          <w:sz w:val="24"/>
          <w:szCs w:val="24"/>
          <w:lang w:eastAsia="zh-CN" w:bidi="ar-SA"/>
        </w:rPr>
        <w:t>Ramalho</w:t>
      </w:r>
      <w:proofErr w:type="spellEnd"/>
      <w:r w:rsidRPr="002E4D3A">
        <w:rPr>
          <w:rFonts w:ascii="Book Antiqua" w:eastAsia="宋体" w:hAnsi="Book Antiqua" w:cs="宋体"/>
          <w:b/>
          <w:bCs/>
          <w:sz w:val="24"/>
          <w:szCs w:val="24"/>
          <w:lang w:eastAsia="zh-CN" w:bidi="ar-SA"/>
        </w:rPr>
        <w:t xml:space="preserve"> J</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Bacelar</w:t>
      </w:r>
      <w:proofErr w:type="spellEnd"/>
      <w:r w:rsidRPr="002E4D3A">
        <w:rPr>
          <w:rFonts w:ascii="Book Antiqua" w:eastAsia="宋体" w:hAnsi="Book Antiqua" w:cs="宋体"/>
          <w:sz w:val="24"/>
          <w:szCs w:val="24"/>
          <w:lang w:eastAsia="zh-CN" w:bidi="ar-SA"/>
        </w:rPr>
        <w:t xml:space="preserve"> Marques ID, Aguirre AR, </w:t>
      </w:r>
      <w:proofErr w:type="spellStart"/>
      <w:r w:rsidRPr="002E4D3A">
        <w:rPr>
          <w:rFonts w:ascii="Book Antiqua" w:eastAsia="宋体" w:hAnsi="Book Antiqua" w:cs="宋体"/>
          <w:sz w:val="24"/>
          <w:szCs w:val="24"/>
          <w:lang w:eastAsia="zh-CN" w:bidi="ar-SA"/>
        </w:rPr>
        <w:t>Pierrotti</w:t>
      </w:r>
      <w:proofErr w:type="spellEnd"/>
      <w:r w:rsidRPr="002E4D3A">
        <w:rPr>
          <w:rFonts w:ascii="Book Antiqua" w:eastAsia="宋体" w:hAnsi="Book Antiqua" w:cs="宋体"/>
          <w:sz w:val="24"/>
          <w:szCs w:val="24"/>
          <w:lang w:eastAsia="zh-CN" w:bidi="ar-SA"/>
        </w:rPr>
        <w:t xml:space="preserve"> LC, de Paula FJ, </w:t>
      </w:r>
      <w:proofErr w:type="spellStart"/>
      <w:r w:rsidRPr="002E4D3A">
        <w:rPr>
          <w:rFonts w:ascii="Book Antiqua" w:eastAsia="宋体" w:hAnsi="Book Antiqua" w:cs="宋体"/>
          <w:sz w:val="24"/>
          <w:szCs w:val="24"/>
          <w:lang w:eastAsia="zh-CN" w:bidi="ar-SA"/>
        </w:rPr>
        <w:t>Nahas</w:t>
      </w:r>
      <w:proofErr w:type="spellEnd"/>
      <w:r w:rsidRPr="002E4D3A">
        <w:rPr>
          <w:rFonts w:ascii="Book Antiqua" w:eastAsia="宋体" w:hAnsi="Book Antiqua" w:cs="宋体"/>
          <w:sz w:val="24"/>
          <w:szCs w:val="24"/>
          <w:lang w:eastAsia="zh-CN" w:bidi="ar-SA"/>
        </w:rPr>
        <w:t xml:space="preserve"> WC, David-</w:t>
      </w:r>
      <w:proofErr w:type="spellStart"/>
      <w:r w:rsidRPr="002E4D3A">
        <w:rPr>
          <w:rFonts w:ascii="Book Antiqua" w:eastAsia="宋体" w:hAnsi="Book Antiqua" w:cs="宋体"/>
          <w:sz w:val="24"/>
          <w:szCs w:val="24"/>
          <w:lang w:eastAsia="zh-CN" w:bidi="ar-SA"/>
        </w:rPr>
        <w:t>Neto</w:t>
      </w:r>
      <w:proofErr w:type="spellEnd"/>
      <w:r w:rsidRPr="002E4D3A">
        <w:rPr>
          <w:rFonts w:ascii="Book Antiqua" w:eastAsia="宋体" w:hAnsi="Book Antiqua" w:cs="宋体"/>
          <w:sz w:val="24"/>
          <w:szCs w:val="24"/>
          <w:lang w:eastAsia="zh-CN" w:bidi="ar-SA"/>
        </w:rPr>
        <w:t xml:space="preserve"> E. Pneumocystis </w:t>
      </w:r>
      <w:proofErr w:type="spellStart"/>
      <w:r w:rsidRPr="002E4D3A">
        <w:rPr>
          <w:rFonts w:ascii="Book Antiqua" w:eastAsia="宋体" w:hAnsi="Book Antiqua" w:cs="宋体"/>
          <w:sz w:val="24"/>
          <w:szCs w:val="24"/>
          <w:lang w:eastAsia="zh-CN" w:bidi="ar-SA"/>
        </w:rPr>
        <w:t>jirovecii</w:t>
      </w:r>
      <w:proofErr w:type="spellEnd"/>
      <w:r w:rsidRPr="002E4D3A">
        <w:rPr>
          <w:rFonts w:ascii="Book Antiqua" w:eastAsia="宋体" w:hAnsi="Book Antiqua" w:cs="宋体"/>
          <w:sz w:val="24"/>
          <w:szCs w:val="24"/>
          <w:lang w:eastAsia="zh-CN" w:bidi="ar-SA"/>
        </w:rPr>
        <w:t xml:space="preserve"> pneumonia with an atypical granulomatous response after kidney transplantation. </w:t>
      </w:r>
      <w:proofErr w:type="spellStart"/>
      <w:r w:rsidRPr="002E4D3A">
        <w:rPr>
          <w:rFonts w:ascii="Book Antiqua" w:eastAsia="宋体" w:hAnsi="Book Antiqua" w:cs="宋体"/>
          <w:i/>
          <w:iCs/>
          <w:sz w:val="24"/>
          <w:szCs w:val="24"/>
          <w:lang w:eastAsia="zh-CN" w:bidi="ar-SA"/>
        </w:rPr>
        <w:t>Transpl</w:t>
      </w:r>
      <w:proofErr w:type="spellEnd"/>
      <w:r w:rsidRPr="002E4D3A">
        <w:rPr>
          <w:rFonts w:ascii="Book Antiqua" w:eastAsia="宋体" w:hAnsi="Book Antiqua" w:cs="宋体"/>
          <w:i/>
          <w:iCs/>
          <w:sz w:val="24"/>
          <w:szCs w:val="24"/>
          <w:lang w:eastAsia="zh-CN" w:bidi="ar-SA"/>
        </w:rPr>
        <w:t xml:space="preserve"> Infect Dis</w:t>
      </w:r>
      <w:r w:rsidRPr="002E4D3A">
        <w:rPr>
          <w:rFonts w:ascii="Book Antiqua" w:eastAsia="宋体" w:hAnsi="Book Antiqua" w:cs="宋体"/>
          <w:sz w:val="24"/>
          <w:szCs w:val="24"/>
          <w:lang w:eastAsia="zh-CN" w:bidi="ar-SA"/>
        </w:rPr>
        <w:t xml:space="preserve"> 2014; </w:t>
      </w:r>
      <w:r w:rsidRPr="002E4D3A">
        <w:rPr>
          <w:rFonts w:ascii="Book Antiqua" w:eastAsia="宋体" w:hAnsi="Book Antiqua" w:cs="宋体"/>
          <w:b/>
          <w:bCs/>
          <w:sz w:val="24"/>
          <w:szCs w:val="24"/>
          <w:lang w:eastAsia="zh-CN" w:bidi="ar-SA"/>
        </w:rPr>
        <w:t>16</w:t>
      </w:r>
      <w:r w:rsidRPr="002E4D3A">
        <w:rPr>
          <w:rFonts w:ascii="Book Antiqua" w:eastAsia="宋体" w:hAnsi="Book Antiqua" w:cs="宋体"/>
          <w:sz w:val="24"/>
          <w:szCs w:val="24"/>
          <w:lang w:eastAsia="zh-CN" w:bidi="ar-SA"/>
        </w:rPr>
        <w:t>: 315-319 [PMID: 24621124 DOI: 10.1111/tid.12198]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proofErr w:type="gramStart"/>
      <w:r w:rsidRPr="002E4D3A">
        <w:rPr>
          <w:rFonts w:ascii="Book Antiqua" w:eastAsia="宋体" w:hAnsi="Book Antiqua" w:cs="宋体"/>
          <w:sz w:val="24"/>
          <w:szCs w:val="24"/>
          <w:lang w:eastAsia="zh-CN" w:bidi="ar-SA"/>
        </w:rPr>
        <w:t xml:space="preserve">36 </w:t>
      </w:r>
      <w:proofErr w:type="spellStart"/>
      <w:r w:rsidRPr="002E4D3A">
        <w:rPr>
          <w:rFonts w:ascii="Book Antiqua" w:eastAsia="宋体" w:hAnsi="Book Antiqua" w:cs="宋体"/>
          <w:b/>
          <w:bCs/>
          <w:sz w:val="24"/>
          <w:szCs w:val="24"/>
          <w:lang w:eastAsia="zh-CN" w:bidi="ar-SA"/>
        </w:rPr>
        <w:t>Bency</w:t>
      </w:r>
      <w:proofErr w:type="spellEnd"/>
      <w:r w:rsidRPr="002E4D3A">
        <w:rPr>
          <w:rFonts w:ascii="Book Antiqua" w:eastAsia="宋体" w:hAnsi="Book Antiqua" w:cs="宋体"/>
          <w:b/>
          <w:bCs/>
          <w:sz w:val="24"/>
          <w:szCs w:val="24"/>
          <w:lang w:eastAsia="zh-CN" w:bidi="ar-SA"/>
        </w:rPr>
        <w:t xml:space="preserve"> R</w:t>
      </w:r>
      <w:r w:rsidRPr="002E4D3A">
        <w:rPr>
          <w:rFonts w:ascii="Book Antiqua" w:eastAsia="宋体" w:hAnsi="Book Antiqua" w:cs="宋体"/>
          <w:sz w:val="24"/>
          <w:szCs w:val="24"/>
          <w:lang w:eastAsia="zh-CN" w:bidi="ar-SA"/>
        </w:rPr>
        <w:t>, Roger SD, Elder GJ.</w:t>
      </w:r>
      <w:proofErr w:type="gramEnd"/>
      <w:r w:rsidRPr="002E4D3A">
        <w:rPr>
          <w:rFonts w:ascii="Book Antiqua" w:eastAsia="宋体" w:hAnsi="Book Antiqua" w:cs="宋体"/>
          <w:sz w:val="24"/>
          <w:szCs w:val="24"/>
          <w:lang w:eastAsia="zh-CN" w:bidi="ar-SA"/>
        </w:rPr>
        <w:t xml:space="preserve"> </w:t>
      </w:r>
      <w:proofErr w:type="spellStart"/>
      <w:proofErr w:type="gramStart"/>
      <w:r w:rsidRPr="002E4D3A">
        <w:rPr>
          <w:rFonts w:ascii="Book Antiqua" w:eastAsia="宋体" w:hAnsi="Book Antiqua" w:cs="宋体"/>
          <w:sz w:val="24"/>
          <w:szCs w:val="24"/>
          <w:lang w:eastAsia="zh-CN" w:bidi="ar-SA"/>
        </w:rPr>
        <w:t>Hypercalcaemia</w:t>
      </w:r>
      <w:proofErr w:type="spellEnd"/>
      <w:r w:rsidRPr="002E4D3A">
        <w:rPr>
          <w:rFonts w:ascii="Book Antiqua" w:eastAsia="宋体" w:hAnsi="Book Antiqua" w:cs="宋体"/>
          <w:sz w:val="24"/>
          <w:szCs w:val="24"/>
          <w:lang w:eastAsia="zh-CN" w:bidi="ar-SA"/>
        </w:rPr>
        <w:t xml:space="preserve"> as a prodromal feature of indolent Pneumocystis </w:t>
      </w:r>
      <w:proofErr w:type="spellStart"/>
      <w:r w:rsidRPr="002E4D3A">
        <w:rPr>
          <w:rFonts w:ascii="Book Antiqua" w:eastAsia="宋体" w:hAnsi="Book Antiqua" w:cs="宋体"/>
          <w:sz w:val="24"/>
          <w:szCs w:val="24"/>
          <w:lang w:eastAsia="zh-CN" w:bidi="ar-SA"/>
        </w:rPr>
        <w:t>jivorecii</w:t>
      </w:r>
      <w:proofErr w:type="spellEnd"/>
      <w:r w:rsidRPr="002E4D3A">
        <w:rPr>
          <w:rFonts w:ascii="Book Antiqua" w:eastAsia="宋体" w:hAnsi="Book Antiqua" w:cs="宋体"/>
          <w:sz w:val="24"/>
          <w:szCs w:val="24"/>
          <w:lang w:eastAsia="zh-CN" w:bidi="ar-SA"/>
        </w:rPr>
        <w:t xml:space="preserve"> after renal transplantation.</w:t>
      </w:r>
      <w:proofErr w:type="gramEnd"/>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i/>
          <w:iCs/>
          <w:sz w:val="24"/>
          <w:szCs w:val="24"/>
          <w:lang w:eastAsia="zh-CN" w:bidi="ar-SA"/>
        </w:rPr>
        <w:t xml:space="preserve"> Dial Transplant</w:t>
      </w:r>
      <w:r w:rsidRPr="002E4D3A">
        <w:rPr>
          <w:rFonts w:ascii="Book Antiqua" w:eastAsia="宋体" w:hAnsi="Book Antiqua" w:cs="宋体"/>
          <w:sz w:val="24"/>
          <w:szCs w:val="24"/>
          <w:lang w:eastAsia="zh-CN" w:bidi="ar-SA"/>
        </w:rPr>
        <w:t xml:space="preserve"> 2011; </w:t>
      </w:r>
      <w:r w:rsidRPr="002E4D3A">
        <w:rPr>
          <w:rFonts w:ascii="Book Antiqua" w:eastAsia="宋体" w:hAnsi="Book Antiqua" w:cs="宋体"/>
          <w:b/>
          <w:bCs/>
          <w:sz w:val="24"/>
          <w:szCs w:val="24"/>
          <w:lang w:eastAsia="zh-CN" w:bidi="ar-SA"/>
        </w:rPr>
        <w:t>26</w:t>
      </w:r>
      <w:r w:rsidRPr="002E4D3A">
        <w:rPr>
          <w:rFonts w:ascii="Book Antiqua" w:eastAsia="宋体" w:hAnsi="Book Antiqua" w:cs="宋体"/>
          <w:sz w:val="24"/>
          <w:szCs w:val="24"/>
          <w:lang w:eastAsia="zh-CN" w:bidi="ar-SA"/>
        </w:rPr>
        <w:t>: 1740-1742 [PMID: 21378150 DOI: 10.1093/</w:t>
      </w:r>
      <w:proofErr w:type="spellStart"/>
      <w:r w:rsidRPr="002E4D3A">
        <w:rPr>
          <w:rFonts w:ascii="Book Antiqua" w:eastAsia="宋体" w:hAnsi="Book Antiqua" w:cs="宋体"/>
          <w:sz w:val="24"/>
          <w:szCs w:val="24"/>
          <w:lang w:eastAsia="zh-CN" w:bidi="ar-SA"/>
        </w:rPr>
        <w:t>ndt</w:t>
      </w:r>
      <w:proofErr w:type="spellEnd"/>
      <w:r w:rsidRPr="002E4D3A">
        <w:rPr>
          <w:rFonts w:ascii="Book Antiqua" w:eastAsia="宋体" w:hAnsi="Book Antiqua" w:cs="宋体"/>
          <w:sz w:val="24"/>
          <w:szCs w:val="24"/>
          <w:lang w:eastAsia="zh-CN" w:bidi="ar-SA"/>
        </w:rPr>
        <w:t>/gfr051]</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37 </w:t>
      </w:r>
      <w:r w:rsidRPr="002E4D3A">
        <w:rPr>
          <w:rFonts w:ascii="Book Antiqua" w:eastAsia="宋体" w:hAnsi="Book Antiqua" w:cs="宋体"/>
          <w:b/>
          <w:bCs/>
          <w:sz w:val="24"/>
          <w:szCs w:val="24"/>
          <w:lang w:eastAsia="zh-CN" w:bidi="ar-SA"/>
        </w:rPr>
        <w:t>Cohen A</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Sambrook</w:t>
      </w:r>
      <w:proofErr w:type="spellEnd"/>
      <w:r w:rsidRPr="002E4D3A">
        <w:rPr>
          <w:rFonts w:ascii="Book Antiqua" w:eastAsia="宋体" w:hAnsi="Book Antiqua" w:cs="宋体"/>
          <w:sz w:val="24"/>
          <w:szCs w:val="24"/>
          <w:lang w:eastAsia="zh-CN" w:bidi="ar-SA"/>
        </w:rPr>
        <w:t xml:space="preserve"> P, Shane E. Management of bone loss after organ transplantation. </w:t>
      </w:r>
      <w:r w:rsidRPr="002E4D3A">
        <w:rPr>
          <w:rFonts w:ascii="Book Antiqua" w:eastAsia="宋体" w:hAnsi="Book Antiqua" w:cs="宋体"/>
          <w:i/>
          <w:iCs/>
          <w:sz w:val="24"/>
          <w:szCs w:val="24"/>
          <w:lang w:eastAsia="zh-CN" w:bidi="ar-SA"/>
        </w:rPr>
        <w:t>J Bone Miner Res</w:t>
      </w:r>
      <w:r w:rsidRPr="002E4D3A">
        <w:rPr>
          <w:rFonts w:ascii="Book Antiqua" w:eastAsia="宋体" w:hAnsi="Book Antiqua" w:cs="宋体"/>
          <w:sz w:val="24"/>
          <w:szCs w:val="24"/>
          <w:lang w:eastAsia="zh-CN" w:bidi="ar-SA"/>
        </w:rPr>
        <w:t xml:space="preserve"> 2004; </w:t>
      </w:r>
      <w:r w:rsidRPr="002E4D3A">
        <w:rPr>
          <w:rFonts w:ascii="Book Antiqua" w:eastAsia="宋体" w:hAnsi="Book Antiqua" w:cs="宋体"/>
          <w:b/>
          <w:bCs/>
          <w:sz w:val="24"/>
          <w:szCs w:val="24"/>
          <w:lang w:eastAsia="zh-CN" w:bidi="ar-SA"/>
        </w:rPr>
        <w:t>19</w:t>
      </w:r>
      <w:r w:rsidRPr="002E4D3A">
        <w:rPr>
          <w:rFonts w:ascii="Book Antiqua" w:eastAsia="宋体" w:hAnsi="Book Antiqua" w:cs="宋体"/>
          <w:sz w:val="24"/>
          <w:szCs w:val="24"/>
          <w:lang w:eastAsia="zh-CN" w:bidi="ar-SA"/>
        </w:rPr>
        <w:t>: 1919-1932 [PMID: 15537434 DOI: 10.1359/JBMR.040912]</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38 </w:t>
      </w:r>
      <w:r w:rsidRPr="002E4D3A">
        <w:rPr>
          <w:rFonts w:ascii="Book Antiqua" w:eastAsia="宋体" w:hAnsi="Book Antiqua" w:cs="宋体"/>
          <w:b/>
          <w:bCs/>
          <w:sz w:val="24"/>
          <w:szCs w:val="24"/>
          <w:lang w:eastAsia="zh-CN" w:bidi="ar-SA"/>
        </w:rPr>
        <w:t>Julian BA</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Laskow</w:t>
      </w:r>
      <w:proofErr w:type="spellEnd"/>
      <w:r w:rsidRPr="002E4D3A">
        <w:rPr>
          <w:rFonts w:ascii="Book Antiqua" w:eastAsia="宋体" w:hAnsi="Book Antiqua" w:cs="宋体"/>
          <w:sz w:val="24"/>
          <w:szCs w:val="24"/>
          <w:lang w:eastAsia="zh-CN" w:bidi="ar-SA"/>
        </w:rPr>
        <w:t xml:space="preserve"> DA, </w:t>
      </w:r>
      <w:proofErr w:type="spellStart"/>
      <w:r w:rsidRPr="002E4D3A">
        <w:rPr>
          <w:rFonts w:ascii="Book Antiqua" w:eastAsia="宋体" w:hAnsi="Book Antiqua" w:cs="宋体"/>
          <w:sz w:val="24"/>
          <w:szCs w:val="24"/>
          <w:lang w:eastAsia="zh-CN" w:bidi="ar-SA"/>
        </w:rPr>
        <w:t>Dubovsky</w:t>
      </w:r>
      <w:proofErr w:type="spellEnd"/>
      <w:r w:rsidRPr="002E4D3A">
        <w:rPr>
          <w:rFonts w:ascii="Book Antiqua" w:eastAsia="宋体" w:hAnsi="Book Antiqua" w:cs="宋体"/>
          <w:sz w:val="24"/>
          <w:szCs w:val="24"/>
          <w:lang w:eastAsia="zh-CN" w:bidi="ar-SA"/>
        </w:rPr>
        <w:t xml:space="preserve"> J, </w:t>
      </w:r>
      <w:proofErr w:type="spellStart"/>
      <w:r w:rsidRPr="002E4D3A">
        <w:rPr>
          <w:rFonts w:ascii="Book Antiqua" w:eastAsia="宋体" w:hAnsi="Book Antiqua" w:cs="宋体"/>
          <w:sz w:val="24"/>
          <w:szCs w:val="24"/>
          <w:lang w:eastAsia="zh-CN" w:bidi="ar-SA"/>
        </w:rPr>
        <w:t>Dubovsky</w:t>
      </w:r>
      <w:proofErr w:type="spellEnd"/>
      <w:r w:rsidRPr="002E4D3A">
        <w:rPr>
          <w:rFonts w:ascii="Book Antiqua" w:eastAsia="宋体" w:hAnsi="Book Antiqua" w:cs="宋体"/>
          <w:sz w:val="24"/>
          <w:szCs w:val="24"/>
          <w:lang w:eastAsia="zh-CN" w:bidi="ar-SA"/>
        </w:rPr>
        <w:t xml:space="preserve"> EV, Curtis JJ, Quarles LD. Rapid loss of vertebral mineral density after renal transplantation. </w:t>
      </w:r>
      <w:r w:rsidRPr="002E4D3A">
        <w:rPr>
          <w:rFonts w:ascii="Book Antiqua" w:eastAsia="宋体" w:hAnsi="Book Antiqua" w:cs="宋体"/>
          <w:i/>
          <w:iCs/>
          <w:sz w:val="24"/>
          <w:szCs w:val="24"/>
          <w:lang w:eastAsia="zh-CN" w:bidi="ar-SA"/>
        </w:rPr>
        <w:t xml:space="preserve">N </w:t>
      </w:r>
      <w:proofErr w:type="spellStart"/>
      <w:r w:rsidRPr="002E4D3A">
        <w:rPr>
          <w:rFonts w:ascii="Book Antiqua" w:eastAsia="宋体" w:hAnsi="Book Antiqua" w:cs="宋体"/>
          <w:i/>
          <w:iCs/>
          <w:sz w:val="24"/>
          <w:szCs w:val="24"/>
          <w:lang w:eastAsia="zh-CN" w:bidi="ar-SA"/>
        </w:rPr>
        <w:t>Engl</w:t>
      </w:r>
      <w:proofErr w:type="spellEnd"/>
      <w:r w:rsidRPr="002E4D3A">
        <w:rPr>
          <w:rFonts w:ascii="Book Antiqua" w:eastAsia="宋体" w:hAnsi="Book Antiqua" w:cs="宋体"/>
          <w:i/>
          <w:iCs/>
          <w:sz w:val="24"/>
          <w:szCs w:val="24"/>
          <w:lang w:eastAsia="zh-CN" w:bidi="ar-SA"/>
        </w:rPr>
        <w:t xml:space="preserve"> J Med</w:t>
      </w:r>
      <w:r w:rsidRPr="002E4D3A">
        <w:rPr>
          <w:rFonts w:ascii="Book Antiqua" w:eastAsia="宋体" w:hAnsi="Book Antiqua" w:cs="宋体"/>
          <w:sz w:val="24"/>
          <w:szCs w:val="24"/>
          <w:lang w:eastAsia="zh-CN" w:bidi="ar-SA"/>
        </w:rPr>
        <w:t xml:space="preserve"> 1991; </w:t>
      </w:r>
      <w:r w:rsidRPr="002E4D3A">
        <w:rPr>
          <w:rFonts w:ascii="Book Antiqua" w:eastAsia="宋体" w:hAnsi="Book Antiqua" w:cs="宋体"/>
          <w:b/>
          <w:bCs/>
          <w:sz w:val="24"/>
          <w:szCs w:val="24"/>
          <w:lang w:eastAsia="zh-CN" w:bidi="ar-SA"/>
        </w:rPr>
        <w:t>325</w:t>
      </w:r>
      <w:r w:rsidRPr="002E4D3A">
        <w:rPr>
          <w:rFonts w:ascii="Book Antiqua" w:eastAsia="宋体" w:hAnsi="Book Antiqua" w:cs="宋体"/>
          <w:sz w:val="24"/>
          <w:szCs w:val="24"/>
          <w:lang w:eastAsia="zh-CN" w:bidi="ar-SA"/>
        </w:rPr>
        <w:t>: 544-550 [PMID: 1857390 DOI: 10.1056/NEJM199108223250804]</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39 </w:t>
      </w:r>
      <w:r w:rsidRPr="002E4D3A">
        <w:rPr>
          <w:rFonts w:ascii="Book Antiqua" w:eastAsia="宋体" w:hAnsi="Book Antiqua" w:cs="宋体"/>
          <w:b/>
          <w:bCs/>
          <w:sz w:val="24"/>
          <w:szCs w:val="24"/>
          <w:lang w:eastAsia="zh-CN" w:bidi="ar-SA"/>
        </w:rPr>
        <w:t>Lim DS</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Kee</w:t>
      </w:r>
      <w:proofErr w:type="spellEnd"/>
      <w:r w:rsidRPr="002E4D3A">
        <w:rPr>
          <w:rFonts w:ascii="Book Antiqua" w:eastAsia="宋体" w:hAnsi="Book Antiqua" w:cs="宋体"/>
          <w:sz w:val="24"/>
          <w:szCs w:val="24"/>
          <w:lang w:eastAsia="zh-CN" w:bidi="ar-SA"/>
        </w:rPr>
        <w:t xml:space="preserve"> TY, </w:t>
      </w:r>
      <w:proofErr w:type="spellStart"/>
      <w:r w:rsidRPr="002E4D3A">
        <w:rPr>
          <w:rFonts w:ascii="Book Antiqua" w:eastAsia="宋体" w:hAnsi="Book Antiqua" w:cs="宋体"/>
          <w:sz w:val="24"/>
          <w:szCs w:val="24"/>
          <w:lang w:eastAsia="zh-CN" w:bidi="ar-SA"/>
        </w:rPr>
        <w:t>Fook</w:t>
      </w:r>
      <w:proofErr w:type="spellEnd"/>
      <w:r w:rsidRPr="002E4D3A">
        <w:rPr>
          <w:rFonts w:ascii="Book Antiqua" w:eastAsia="宋体" w:hAnsi="Book Antiqua" w:cs="宋体"/>
          <w:sz w:val="24"/>
          <w:szCs w:val="24"/>
          <w:lang w:eastAsia="zh-CN" w:bidi="ar-SA"/>
        </w:rPr>
        <w:t xml:space="preserve">-Chong S, Zhang RF, </w:t>
      </w:r>
      <w:proofErr w:type="spellStart"/>
      <w:r w:rsidRPr="002E4D3A">
        <w:rPr>
          <w:rFonts w:ascii="Book Antiqua" w:eastAsia="宋体" w:hAnsi="Book Antiqua" w:cs="宋体"/>
          <w:sz w:val="24"/>
          <w:szCs w:val="24"/>
          <w:lang w:eastAsia="zh-CN" w:bidi="ar-SA"/>
        </w:rPr>
        <w:t>Chandran</w:t>
      </w:r>
      <w:proofErr w:type="spellEnd"/>
      <w:r w:rsidRPr="002E4D3A">
        <w:rPr>
          <w:rFonts w:ascii="Book Antiqua" w:eastAsia="宋体" w:hAnsi="Book Antiqua" w:cs="宋体"/>
          <w:sz w:val="24"/>
          <w:szCs w:val="24"/>
          <w:lang w:eastAsia="zh-CN" w:bidi="ar-SA"/>
        </w:rPr>
        <w:t xml:space="preserve"> M. Prevalence and patterns of bone loss in the first year after renal transplant in South East Asian patients. </w:t>
      </w:r>
      <w:r w:rsidRPr="002E4D3A">
        <w:rPr>
          <w:rFonts w:ascii="Book Antiqua" w:eastAsia="宋体" w:hAnsi="Book Antiqua" w:cs="宋体"/>
          <w:i/>
          <w:iCs/>
          <w:sz w:val="24"/>
          <w:szCs w:val="24"/>
          <w:lang w:eastAsia="zh-CN" w:bidi="ar-SA"/>
        </w:rPr>
        <w:t>Transplantation</w:t>
      </w:r>
      <w:r w:rsidRPr="002E4D3A">
        <w:rPr>
          <w:rFonts w:ascii="Book Antiqua" w:eastAsia="宋体" w:hAnsi="Book Antiqua" w:cs="宋体"/>
          <w:sz w:val="24"/>
          <w:szCs w:val="24"/>
          <w:lang w:eastAsia="zh-CN" w:bidi="ar-SA"/>
        </w:rPr>
        <w:t xml:space="preserve"> 2011; </w:t>
      </w:r>
      <w:r w:rsidRPr="002E4D3A">
        <w:rPr>
          <w:rFonts w:ascii="Book Antiqua" w:eastAsia="宋体" w:hAnsi="Book Antiqua" w:cs="宋体"/>
          <w:b/>
          <w:bCs/>
          <w:sz w:val="24"/>
          <w:szCs w:val="24"/>
          <w:lang w:eastAsia="zh-CN" w:bidi="ar-SA"/>
        </w:rPr>
        <w:t>92</w:t>
      </w:r>
      <w:r w:rsidRPr="002E4D3A">
        <w:rPr>
          <w:rFonts w:ascii="Book Antiqua" w:eastAsia="宋体" w:hAnsi="Book Antiqua" w:cs="宋体"/>
          <w:sz w:val="24"/>
          <w:szCs w:val="24"/>
          <w:lang w:eastAsia="zh-CN" w:bidi="ar-SA"/>
        </w:rPr>
        <w:t>: 557-563 [PMID: 21832963 DOI: 10.1097/TP.0b013e3182279152]</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40 </w:t>
      </w:r>
      <w:proofErr w:type="spellStart"/>
      <w:r w:rsidRPr="002E4D3A">
        <w:rPr>
          <w:rFonts w:ascii="Book Antiqua" w:eastAsia="宋体" w:hAnsi="Book Antiqua" w:cs="宋体"/>
          <w:b/>
          <w:bCs/>
          <w:sz w:val="24"/>
          <w:szCs w:val="24"/>
          <w:lang w:eastAsia="zh-CN" w:bidi="ar-SA"/>
        </w:rPr>
        <w:t>Kalantar-Zadeh</w:t>
      </w:r>
      <w:proofErr w:type="spellEnd"/>
      <w:r w:rsidRPr="002E4D3A">
        <w:rPr>
          <w:rFonts w:ascii="Book Antiqua" w:eastAsia="宋体" w:hAnsi="Book Antiqua" w:cs="宋体"/>
          <w:b/>
          <w:bCs/>
          <w:sz w:val="24"/>
          <w:szCs w:val="24"/>
          <w:lang w:eastAsia="zh-CN" w:bidi="ar-SA"/>
        </w:rPr>
        <w:t xml:space="preserve"> K</w:t>
      </w:r>
      <w:r w:rsidRPr="002E4D3A">
        <w:rPr>
          <w:rFonts w:ascii="Book Antiqua" w:eastAsia="宋体" w:hAnsi="Book Antiqua" w:cs="宋体"/>
          <w:sz w:val="24"/>
          <w:szCs w:val="24"/>
          <w:lang w:eastAsia="zh-CN" w:bidi="ar-SA"/>
        </w:rPr>
        <w:t xml:space="preserve">, Molnar MZ, </w:t>
      </w:r>
      <w:proofErr w:type="spellStart"/>
      <w:r w:rsidRPr="002E4D3A">
        <w:rPr>
          <w:rFonts w:ascii="Book Antiqua" w:eastAsia="宋体" w:hAnsi="Book Antiqua" w:cs="宋体"/>
          <w:sz w:val="24"/>
          <w:szCs w:val="24"/>
          <w:lang w:eastAsia="zh-CN" w:bidi="ar-SA"/>
        </w:rPr>
        <w:t>Kovesdy</w:t>
      </w:r>
      <w:proofErr w:type="spellEnd"/>
      <w:r w:rsidRPr="002E4D3A">
        <w:rPr>
          <w:rFonts w:ascii="Book Antiqua" w:eastAsia="宋体" w:hAnsi="Book Antiqua" w:cs="宋体"/>
          <w:sz w:val="24"/>
          <w:szCs w:val="24"/>
          <w:lang w:eastAsia="zh-CN" w:bidi="ar-SA"/>
        </w:rPr>
        <w:t xml:space="preserve"> CP, </w:t>
      </w:r>
      <w:proofErr w:type="spellStart"/>
      <w:r w:rsidRPr="002E4D3A">
        <w:rPr>
          <w:rFonts w:ascii="Book Antiqua" w:eastAsia="宋体" w:hAnsi="Book Antiqua" w:cs="宋体"/>
          <w:sz w:val="24"/>
          <w:szCs w:val="24"/>
          <w:lang w:eastAsia="zh-CN" w:bidi="ar-SA"/>
        </w:rPr>
        <w:t>Mucsi</w:t>
      </w:r>
      <w:proofErr w:type="spellEnd"/>
      <w:r w:rsidRPr="002E4D3A">
        <w:rPr>
          <w:rFonts w:ascii="Book Antiqua" w:eastAsia="宋体" w:hAnsi="Book Antiqua" w:cs="宋体"/>
          <w:sz w:val="24"/>
          <w:szCs w:val="24"/>
          <w:lang w:eastAsia="zh-CN" w:bidi="ar-SA"/>
        </w:rPr>
        <w:t xml:space="preserve"> I, </w:t>
      </w:r>
      <w:proofErr w:type="spellStart"/>
      <w:r w:rsidRPr="002E4D3A">
        <w:rPr>
          <w:rFonts w:ascii="Book Antiqua" w:eastAsia="宋体" w:hAnsi="Book Antiqua" w:cs="宋体"/>
          <w:sz w:val="24"/>
          <w:szCs w:val="24"/>
          <w:lang w:eastAsia="zh-CN" w:bidi="ar-SA"/>
        </w:rPr>
        <w:t>Bunnapradist</w:t>
      </w:r>
      <w:proofErr w:type="spellEnd"/>
      <w:r w:rsidRPr="002E4D3A">
        <w:rPr>
          <w:rFonts w:ascii="Book Antiqua" w:eastAsia="宋体" w:hAnsi="Book Antiqua" w:cs="宋体"/>
          <w:sz w:val="24"/>
          <w:szCs w:val="24"/>
          <w:lang w:eastAsia="zh-CN" w:bidi="ar-SA"/>
        </w:rPr>
        <w:t xml:space="preserve"> S. Management of mineral and bone disorder after kidney transplantation. </w:t>
      </w:r>
      <w:proofErr w:type="spellStart"/>
      <w:r w:rsidRPr="002E4D3A">
        <w:rPr>
          <w:rFonts w:ascii="Book Antiqua" w:eastAsia="宋体" w:hAnsi="Book Antiqua" w:cs="宋体"/>
          <w:i/>
          <w:iCs/>
          <w:sz w:val="24"/>
          <w:szCs w:val="24"/>
          <w:lang w:eastAsia="zh-CN" w:bidi="ar-SA"/>
        </w:rPr>
        <w:t>Curr</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Opin</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Hypertens</w:t>
      </w:r>
      <w:proofErr w:type="spellEnd"/>
      <w:r w:rsidRPr="002E4D3A">
        <w:rPr>
          <w:rFonts w:ascii="Book Antiqua" w:eastAsia="宋体" w:hAnsi="Book Antiqua" w:cs="宋体"/>
          <w:sz w:val="24"/>
          <w:szCs w:val="24"/>
          <w:lang w:eastAsia="zh-CN" w:bidi="ar-SA"/>
        </w:rPr>
        <w:t xml:space="preserve"> 2012; </w:t>
      </w:r>
      <w:r w:rsidRPr="002E4D3A">
        <w:rPr>
          <w:rFonts w:ascii="Book Antiqua" w:eastAsia="宋体" w:hAnsi="Book Antiqua" w:cs="宋体"/>
          <w:b/>
          <w:bCs/>
          <w:sz w:val="24"/>
          <w:szCs w:val="24"/>
          <w:lang w:eastAsia="zh-CN" w:bidi="ar-SA"/>
        </w:rPr>
        <w:t>21</w:t>
      </w:r>
      <w:r w:rsidRPr="002E4D3A">
        <w:rPr>
          <w:rFonts w:ascii="Book Antiqua" w:eastAsia="宋体" w:hAnsi="Book Antiqua" w:cs="宋体"/>
          <w:sz w:val="24"/>
          <w:szCs w:val="24"/>
          <w:lang w:eastAsia="zh-CN" w:bidi="ar-SA"/>
        </w:rPr>
        <w:t>: 389-403 [PMID: 22614626 DOI: 10.1097/MNH.0b013e3283546ee0]</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41 </w:t>
      </w:r>
      <w:proofErr w:type="spellStart"/>
      <w:r w:rsidRPr="002E4D3A">
        <w:rPr>
          <w:rFonts w:ascii="Book Antiqua" w:eastAsia="宋体" w:hAnsi="Book Antiqua" w:cs="宋体"/>
          <w:b/>
          <w:bCs/>
          <w:sz w:val="24"/>
          <w:szCs w:val="24"/>
          <w:lang w:eastAsia="zh-CN" w:bidi="ar-SA"/>
        </w:rPr>
        <w:t>Monier-Faugere</w:t>
      </w:r>
      <w:proofErr w:type="spellEnd"/>
      <w:r w:rsidRPr="002E4D3A">
        <w:rPr>
          <w:rFonts w:ascii="Book Antiqua" w:eastAsia="宋体" w:hAnsi="Book Antiqua" w:cs="宋体"/>
          <w:b/>
          <w:bCs/>
          <w:sz w:val="24"/>
          <w:szCs w:val="24"/>
          <w:lang w:eastAsia="zh-CN" w:bidi="ar-SA"/>
        </w:rPr>
        <w:t xml:space="preserve"> MC</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Mawad</w:t>
      </w:r>
      <w:proofErr w:type="spellEnd"/>
      <w:r w:rsidRPr="002E4D3A">
        <w:rPr>
          <w:rFonts w:ascii="Book Antiqua" w:eastAsia="宋体" w:hAnsi="Book Antiqua" w:cs="宋体"/>
          <w:sz w:val="24"/>
          <w:szCs w:val="24"/>
          <w:lang w:eastAsia="zh-CN" w:bidi="ar-SA"/>
        </w:rPr>
        <w:t xml:space="preserve"> H, Qi Q, </w:t>
      </w:r>
      <w:proofErr w:type="spellStart"/>
      <w:r w:rsidRPr="002E4D3A">
        <w:rPr>
          <w:rFonts w:ascii="Book Antiqua" w:eastAsia="宋体" w:hAnsi="Book Antiqua" w:cs="宋体"/>
          <w:sz w:val="24"/>
          <w:szCs w:val="24"/>
          <w:lang w:eastAsia="zh-CN" w:bidi="ar-SA"/>
        </w:rPr>
        <w:t>Friedler</w:t>
      </w:r>
      <w:proofErr w:type="spellEnd"/>
      <w:r w:rsidRPr="002E4D3A">
        <w:rPr>
          <w:rFonts w:ascii="Book Antiqua" w:eastAsia="宋体" w:hAnsi="Book Antiqua" w:cs="宋体"/>
          <w:sz w:val="24"/>
          <w:szCs w:val="24"/>
          <w:lang w:eastAsia="zh-CN" w:bidi="ar-SA"/>
        </w:rPr>
        <w:t xml:space="preserve"> RM, </w:t>
      </w:r>
      <w:proofErr w:type="spellStart"/>
      <w:r w:rsidRPr="002E4D3A">
        <w:rPr>
          <w:rFonts w:ascii="Book Antiqua" w:eastAsia="宋体" w:hAnsi="Book Antiqua" w:cs="宋体"/>
          <w:sz w:val="24"/>
          <w:szCs w:val="24"/>
          <w:lang w:eastAsia="zh-CN" w:bidi="ar-SA"/>
        </w:rPr>
        <w:t>Malluche</w:t>
      </w:r>
      <w:proofErr w:type="spellEnd"/>
      <w:r w:rsidRPr="002E4D3A">
        <w:rPr>
          <w:rFonts w:ascii="Book Antiqua" w:eastAsia="宋体" w:hAnsi="Book Antiqua" w:cs="宋体"/>
          <w:sz w:val="24"/>
          <w:szCs w:val="24"/>
          <w:lang w:eastAsia="zh-CN" w:bidi="ar-SA"/>
        </w:rPr>
        <w:t xml:space="preserve"> HH. </w:t>
      </w:r>
      <w:proofErr w:type="gramStart"/>
      <w:r w:rsidRPr="002E4D3A">
        <w:rPr>
          <w:rFonts w:ascii="Book Antiqua" w:eastAsia="宋体" w:hAnsi="Book Antiqua" w:cs="宋体"/>
          <w:sz w:val="24"/>
          <w:szCs w:val="24"/>
          <w:lang w:eastAsia="zh-CN" w:bidi="ar-SA"/>
        </w:rPr>
        <w:t xml:space="preserve">High prevalence of low bone turnover and occurrence of </w:t>
      </w:r>
      <w:proofErr w:type="spellStart"/>
      <w:r w:rsidRPr="002E4D3A">
        <w:rPr>
          <w:rFonts w:ascii="Book Antiqua" w:eastAsia="宋体" w:hAnsi="Book Antiqua" w:cs="宋体"/>
          <w:sz w:val="24"/>
          <w:szCs w:val="24"/>
          <w:lang w:eastAsia="zh-CN" w:bidi="ar-SA"/>
        </w:rPr>
        <w:t>osteomalacia</w:t>
      </w:r>
      <w:proofErr w:type="spellEnd"/>
      <w:r w:rsidRPr="002E4D3A">
        <w:rPr>
          <w:rFonts w:ascii="Book Antiqua" w:eastAsia="宋体" w:hAnsi="Book Antiqua" w:cs="宋体"/>
          <w:sz w:val="24"/>
          <w:szCs w:val="24"/>
          <w:lang w:eastAsia="zh-CN" w:bidi="ar-SA"/>
        </w:rPr>
        <w:t xml:space="preserve"> after kidney transplantation.</w:t>
      </w:r>
      <w:proofErr w:type="gramEnd"/>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i/>
          <w:iCs/>
          <w:sz w:val="24"/>
          <w:szCs w:val="24"/>
          <w:lang w:eastAsia="zh-CN" w:bidi="ar-SA"/>
        </w:rPr>
        <w:t xml:space="preserve">J Am </w:t>
      </w:r>
      <w:proofErr w:type="spellStart"/>
      <w:r w:rsidRPr="002E4D3A">
        <w:rPr>
          <w:rFonts w:ascii="Book Antiqua" w:eastAsia="宋体" w:hAnsi="Book Antiqua" w:cs="宋体"/>
          <w:i/>
          <w:iCs/>
          <w:sz w:val="24"/>
          <w:szCs w:val="24"/>
          <w:lang w:eastAsia="zh-CN" w:bidi="ar-SA"/>
        </w:rPr>
        <w:t>Soc</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2000; </w:t>
      </w:r>
      <w:r w:rsidRPr="002E4D3A">
        <w:rPr>
          <w:rFonts w:ascii="Book Antiqua" w:eastAsia="宋体" w:hAnsi="Book Antiqua" w:cs="宋体"/>
          <w:b/>
          <w:bCs/>
          <w:sz w:val="24"/>
          <w:szCs w:val="24"/>
          <w:lang w:eastAsia="zh-CN" w:bidi="ar-SA"/>
        </w:rPr>
        <w:t>11</w:t>
      </w:r>
      <w:r w:rsidRPr="002E4D3A">
        <w:rPr>
          <w:rFonts w:ascii="Book Antiqua" w:eastAsia="宋体" w:hAnsi="Book Antiqua" w:cs="宋体"/>
          <w:sz w:val="24"/>
          <w:szCs w:val="24"/>
          <w:lang w:eastAsia="zh-CN" w:bidi="ar-SA"/>
        </w:rPr>
        <w:t>: 1093-1099 [PMID: 10820173]</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42 </w:t>
      </w:r>
      <w:r w:rsidRPr="002E4D3A">
        <w:rPr>
          <w:rFonts w:ascii="Book Antiqua" w:eastAsia="宋体" w:hAnsi="Book Antiqua" w:cs="宋体"/>
          <w:b/>
          <w:bCs/>
          <w:sz w:val="24"/>
          <w:szCs w:val="24"/>
          <w:lang w:eastAsia="zh-CN" w:bidi="ar-SA"/>
        </w:rPr>
        <w:t>Rojas E</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Carlini</w:t>
      </w:r>
      <w:proofErr w:type="spellEnd"/>
      <w:r w:rsidRPr="002E4D3A">
        <w:rPr>
          <w:rFonts w:ascii="Book Antiqua" w:eastAsia="宋体" w:hAnsi="Book Antiqua" w:cs="宋体"/>
          <w:sz w:val="24"/>
          <w:szCs w:val="24"/>
          <w:lang w:eastAsia="zh-CN" w:bidi="ar-SA"/>
        </w:rPr>
        <w:t xml:space="preserve"> RG, </w:t>
      </w:r>
      <w:proofErr w:type="spellStart"/>
      <w:r w:rsidRPr="002E4D3A">
        <w:rPr>
          <w:rFonts w:ascii="Book Antiqua" w:eastAsia="宋体" w:hAnsi="Book Antiqua" w:cs="宋体"/>
          <w:sz w:val="24"/>
          <w:szCs w:val="24"/>
          <w:lang w:eastAsia="zh-CN" w:bidi="ar-SA"/>
        </w:rPr>
        <w:t>Clesca</w:t>
      </w:r>
      <w:proofErr w:type="spellEnd"/>
      <w:r w:rsidRPr="002E4D3A">
        <w:rPr>
          <w:rFonts w:ascii="Book Antiqua" w:eastAsia="宋体" w:hAnsi="Book Antiqua" w:cs="宋体"/>
          <w:sz w:val="24"/>
          <w:szCs w:val="24"/>
          <w:lang w:eastAsia="zh-CN" w:bidi="ar-SA"/>
        </w:rPr>
        <w:t xml:space="preserve"> P, </w:t>
      </w:r>
      <w:proofErr w:type="spellStart"/>
      <w:r w:rsidRPr="002E4D3A">
        <w:rPr>
          <w:rFonts w:ascii="Book Antiqua" w:eastAsia="宋体" w:hAnsi="Book Antiqua" w:cs="宋体"/>
          <w:sz w:val="24"/>
          <w:szCs w:val="24"/>
          <w:lang w:eastAsia="zh-CN" w:bidi="ar-SA"/>
        </w:rPr>
        <w:t>Arminio</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Suniaga</w:t>
      </w:r>
      <w:proofErr w:type="spellEnd"/>
      <w:r w:rsidRPr="002E4D3A">
        <w:rPr>
          <w:rFonts w:ascii="Book Antiqua" w:eastAsia="宋体" w:hAnsi="Book Antiqua" w:cs="宋体"/>
          <w:sz w:val="24"/>
          <w:szCs w:val="24"/>
          <w:lang w:eastAsia="zh-CN" w:bidi="ar-SA"/>
        </w:rPr>
        <w:t xml:space="preserve"> O, De </w:t>
      </w:r>
      <w:proofErr w:type="spellStart"/>
      <w:r w:rsidRPr="002E4D3A">
        <w:rPr>
          <w:rFonts w:ascii="Book Antiqua" w:eastAsia="宋体" w:hAnsi="Book Antiqua" w:cs="宋体"/>
          <w:sz w:val="24"/>
          <w:szCs w:val="24"/>
          <w:lang w:eastAsia="zh-CN" w:bidi="ar-SA"/>
        </w:rPr>
        <w:t>Elguezabal</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Weisinger</w:t>
      </w:r>
      <w:proofErr w:type="spellEnd"/>
      <w:r w:rsidRPr="002E4D3A">
        <w:rPr>
          <w:rFonts w:ascii="Book Antiqua" w:eastAsia="宋体" w:hAnsi="Book Antiqua" w:cs="宋体"/>
          <w:sz w:val="24"/>
          <w:szCs w:val="24"/>
          <w:lang w:eastAsia="zh-CN" w:bidi="ar-SA"/>
        </w:rPr>
        <w:t xml:space="preserve"> JR, </w:t>
      </w:r>
      <w:proofErr w:type="spellStart"/>
      <w:r w:rsidRPr="002E4D3A">
        <w:rPr>
          <w:rFonts w:ascii="Book Antiqua" w:eastAsia="宋体" w:hAnsi="Book Antiqua" w:cs="宋体"/>
          <w:sz w:val="24"/>
          <w:szCs w:val="24"/>
          <w:lang w:eastAsia="zh-CN" w:bidi="ar-SA"/>
        </w:rPr>
        <w:t>Hruska</w:t>
      </w:r>
      <w:proofErr w:type="spellEnd"/>
      <w:r w:rsidRPr="002E4D3A">
        <w:rPr>
          <w:rFonts w:ascii="Book Antiqua" w:eastAsia="宋体" w:hAnsi="Book Antiqua" w:cs="宋体"/>
          <w:sz w:val="24"/>
          <w:szCs w:val="24"/>
          <w:lang w:eastAsia="zh-CN" w:bidi="ar-SA"/>
        </w:rPr>
        <w:t xml:space="preserve"> KA, </w:t>
      </w:r>
      <w:proofErr w:type="spellStart"/>
      <w:r w:rsidRPr="002E4D3A">
        <w:rPr>
          <w:rFonts w:ascii="Book Antiqua" w:eastAsia="宋体" w:hAnsi="Book Antiqua" w:cs="宋体"/>
          <w:sz w:val="24"/>
          <w:szCs w:val="24"/>
          <w:lang w:eastAsia="zh-CN" w:bidi="ar-SA"/>
        </w:rPr>
        <w:t>Bellorin</w:t>
      </w:r>
      <w:proofErr w:type="spellEnd"/>
      <w:r w:rsidRPr="002E4D3A">
        <w:rPr>
          <w:rFonts w:ascii="Book Antiqua" w:eastAsia="宋体" w:hAnsi="Book Antiqua" w:cs="宋体"/>
          <w:sz w:val="24"/>
          <w:szCs w:val="24"/>
          <w:lang w:eastAsia="zh-CN" w:bidi="ar-SA"/>
        </w:rPr>
        <w:t xml:space="preserve">-Font E. </w:t>
      </w:r>
      <w:proofErr w:type="gramStart"/>
      <w:r w:rsidRPr="002E4D3A">
        <w:rPr>
          <w:rFonts w:ascii="Book Antiqua" w:eastAsia="宋体" w:hAnsi="Book Antiqua" w:cs="宋体"/>
          <w:sz w:val="24"/>
          <w:szCs w:val="24"/>
          <w:lang w:eastAsia="zh-CN" w:bidi="ar-SA"/>
        </w:rPr>
        <w:t xml:space="preserve">The pathogenesis of </w:t>
      </w:r>
      <w:proofErr w:type="spellStart"/>
      <w:r w:rsidRPr="002E4D3A">
        <w:rPr>
          <w:rFonts w:ascii="Book Antiqua" w:eastAsia="宋体" w:hAnsi="Book Antiqua" w:cs="宋体"/>
          <w:sz w:val="24"/>
          <w:szCs w:val="24"/>
          <w:lang w:eastAsia="zh-CN" w:bidi="ar-SA"/>
        </w:rPr>
        <w:t>osteodystrophy</w:t>
      </w:r>
      <w:proofErr w:type="spellEnd"/>
      <w:r w:rsidRPr="002E4D3A">
        <w:rPr>
          <w:rFonts w:ascii="Book Antiqua" w:eastAsia="宋体" w:hAnsi="Book Antiqua" w:cs="宋体"/>
          <w:sz w:val="24"/>
          <w:szCs w:val="24"/>
          <w:lang w:eastAsia="zh-CN" w:bidi="ar-SA"/>
        </w:rPr>
        <w:t xml:space="preserve"> after renal transplantation as detected by early alterations in bone remodeling.</w:t>
      </w:r>
      <w:proofErr w:type="gramEnd"/>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i/>
          <w:iCs/>
          <w:sz w:val="24"/>
          <w:szCs w:val="24"/>
          <w:lang w:eastAsia="zh-CN" w:bidi="ar-SA"/>
        </w:rPr>
        <w:t xml:space="preserve">Kidney </w:t>
      </w:r>
      <w:proofErr w:type="spellStart"/>
      <w:r w:rsidRPr="002E4D3A">
        <w:rPr>
          <w:rFonts w:ascii="Book Antiqua" w:eastAsia="宋体" w:hAnsi="Book Antiqua" w:cs="宋体"/>
          <w:i/>
          <w:iCs/>
          <w:sz w:val="24"/>
          <w:szCs w:val="24"/>
          <w:lang w:eastAsia="zh-CN" w:bidi="ar-SA"/>
        </w:rPr>
        <w:t>Int</w:t>
      </w:r>
      <w:proofErr w:type="spellEnd"/>
      <w:r w:rsidRPr="002E4D3A">
        <w:rPr>
          <w:rFonts w:ascii="Book Antiqua" w:eastAsia="宋体" w:hAnsi="Book Antiqua" w:cs="宋体"/>
          <w:sz w:val="24"/>
          <w:szCs w:val="24"/>
          <w:lang w:eastAsia="zh-CN" w:bidi="ar-SA"/>
        </w:rPr>
        <w:t xml:space="preserve"> 2003; </w:t>
      </w:r>
      <w:r w:rsidRPr="002E4D3A">
        <w:rPr>
          <w:rFonts w:ascii="Book Antiqua" w:eastAsia="宋体" w:hAnsi="Book Antiqua" w:cs="宋体"/>
          <w:b/>
          <w:bCs/>
          <w:sz w:val="24"/>
          <w:szCs w:val="24"/>
          <w:lang w:eastAsia="zh-CN" w:bidi="ar-SA"/>
        </w:rPr>
        <w:t>63</w:t>
      </w:r>
      <w:r w:rsidRPr="002E4D3A">
        <w:rPr>
          <w:rFonts w:ascii="Book Antiqua" w:eastAsia="宋体" w:hAnsi="Book Antiqua" w:cs="宋体"/>
          <w:sz w:val="24"/>
          <w:szCs w:val="24"/>
          <w:lang w:eastAsia="zh-CN" w:bidi="ar-SA"/>
        </w:rPr>
        <w:t>: 1915-1923 [PMID: 12675872 DOI: 10.1046/j.1523-1755.2003.00938.x]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lastRenderedPageBreak/>
        <w:t xml:space="preserve">43 </w:t>
      </w:r>
      <w:proofErr w:type="spellStart"/>
      <w:r w:rsidRPr="002E4D3A">
        <w:rPr>
          <w:rFonts w:ascii="Book Antiqua" w:eastAsia="宋体" w:hAnsi="Book Antiqua" w:cs="宋体"/>
          <w:b/>
          <w:bCs/>
          <w:sz w:val="24"/>
          <w:szCs w:val="24"/>
          <w:lang w:eastAsia="zh-CN" w:bidi="ar-SA"/>
        </w:rPr>
        <w:t>Casez</w:t>
      </w:r>
      <w:proofErr w:type="spellEnd"/>
      <w:r w:rsidRPr="002E4D3A">
        <w:rPr>
          <w:rFonts w:ascii="Book Antiqua" w:eastAsia="宋体" w:hAnsi="Book Antiqua" w:cs="宋体"/>
          <w:b/>
          <w:bCs/>
          <w:sz w:val="24"/>
          <w:szCs w:val="24"/>
          <w:lang w:eastAsia="zh-CN" w:bidi="ar-SA"/>
        </w:rPr>
        <w:t xml:space="preserve"> JP</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Lippuner</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Horber</w:t>
      </w:r>
      <w:proofErr w:type="spellEnd"/>
      <w:r w:rsidRPr="002E4D3A">
        <w:rPr>
          <w:rFonts w:ascii="Book Antiqua" w:eastAsia="宋体" w:hAnsi="Book Antiqua" w:cs="宋体"/>
          <w:sz w:val="24"/>
          <w:szCs w:val="24"/>
          <w:lang w:eastAsia="zh-CN" w:bidi="ar-SA"/>
        </w:rPr>
        <w:t xml:space="preserve"> FF, </w:t>
      </w:r>
      <w:proofErr w:type="spellStart"/>
      <w:r w:rsidRPr="002E4D3A">
        <w:rPr>
          <w:rFonts w:ascii="Book Antiqua" w:eastAsia="宋体" w:hAnsi="Book Antiqua" w:cs="宋体"/>
          <w:sz w:val="24"/>
          <w:szCs w:val="24"/>
          <w:lang w:eastAsia="zh-CN" w:bidi="ar-SA"/>
        </w:rPr>
        <w:t>Montandon</w:t>
      </w:r>
      <w:proofErr w:type="spellEnd"/>
      <w:r w:rsidRPr="002E4D3A">
        <w:rPr>
          <w:rFonts w:ascii="Book Antiqua" w:eastAsia="宋体" w:hAnsi="Book Antiqua" w:cs="宋体"/>
          <w:sz w:val="24"/>
          <w:szCs w:val="24"/>
          <w:lang w:eastAsia="zh-CN" w:bidi="ar-SA"/>
        </w:rPr>
        <w:t xml:space="preserve"> A, Jaeger P. Changes in bone mineral density over 18 months following kidney transplantation: the respective roles of prednisone and parathyroid hormone.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i/>
          <w:iCs/>
          <w:sz w:val="24"/>
          <w:szCs w:val="24"/>
          <w:lang w:eastAsia="zh-CN" w:bidi="ar-SA"/>
        </w:rPr>
        <w:t xml:space="preserve"> Dial Transplant</w:t>
      </w:r>
      <w:r w:rsidRPr="002E4D3A">
        <w:rPr>
          <w:rFonts w:ascii="Book Antiqua" w:eastAsia="宋体" w:hAnsi="Book Antiqua" w:cs="宋体"/>
          <w:sz w:val="24"/>
          <w:szCs w:val="24"/>
          <w:lang w:eastAsia="zh-CN" w:bidi="ar-SA"/>
        </w:rPr>
        <w:t xml:space="preserve"> 2002; </w:t>
      </w:r>
      <w:r w:rsidRPr="002E4D3A">
        <w:rPr>
          <w:rFonts w:ascii="Book Antiqua" w:eastAsia="宋体" w:hAnsi="Book Antiqua" w:cs="宋体"/>
          <w:b/>
          <w:bCs/>
          <w:sz w:val="24"/>
          <w:szCs w:val="24"/>
          <w:lang w:eastAsia="zh-CN" w:bidi="ar-SA"/>
        </w:rPr>
        <w:t>17</w:t>
      </w:r>
      <w:r w:rsidRPr="002E4D3A">
        <w:rPr>
          <w:rFonts w:ascii="Book Antiqua" w:eastAsia="宋体" w:hAnsi="Book Antiqua" w:cs="宋体"/>
          <w:sz w:val="24"/>
          <w:szCs w:val="24"/>
          <w:lang w:eastAsia="zh-CN" w:bidi="ar-SA"/>
        </w:rPr>
        <w:t>: 1318-1326 [PMID: 12105258]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44 </w:t>
      </w:r>
      <w:proofErr w:type="spellStart"/>
      <w:r w:rsidRPr="002E4D3A">
        <w:rPr>
          <w:rFonts w:ascii="Book Antiqua" w:eastAsia="宋体" w:hAnsi="Book Antiqua" w:cs="宋体"/>
          <w:b/>
          <w:bCs/>
          <w:sz w:val="24"/>
          <w:szCs w:val="24"/>
          <w:lang w:eastAsia="zh-CN" w:bidi="ar-SA"/>
        </w:rPr>
        <w:t>Canalis</w:t>
      </w:r>
      <w:proofErr w:type="spellEnd"/>
      <w:r w:rsidRPr="002E4D3A">
        <w:rPr>
          <w:rFonts w:ascii="Book Antiqua" w:eastAsia="宋体" w:hAnsi="Book Antiqua" w:cs="宋体"/>
          <w:b/>
          <w:bCs/>
          <w:sz w:val="24"/>
          <w:szCs w:val="24"/>
          <w:lang w:eastAsia="zh-CN" w:bidi="ar-SA"/>
        </w:rPr>
        <w:t xml:space="preserve"> E</w:t>
      </w:r>
      <w:r w:rsidRPr="002E4D3A">
        <w:rPr>
          <w:rFonts w:ascii="Book Antiqua" w:eastAsia="宋体" w:hAnsi="Book Antiqua" w:cs="宋体"/>
          <w:sz w:val="24"/>
          <w:szCs w:val="24"/>
          <w:lang w:eastAsia="zh-CN" w:bidi="ar-SA"/>
        </w:rPr>
        <w:t xml:space="preserve">. Mechanisms of glucocorticoid-induced osteoporosis. </w:t>
      </w:r>
      <w:proofErr w:type="spellStart"/>
      <w:r w:rsidRPr="002E4D3A">
        <w:rPr>
          <w:rFonts w:ascii="Book Antiqua" w:eastAsia="宋体" w:hAnsi="Book Antiqua" w:cs="宋体"/>
          <w:i/>
          <w:iCs/>
          <w:sz w:val="24"/>
          <w:szCs w:val="24"/>
          <w:lang w:eastAsia="zh-CN" w:bidi="ar-SA"/>
        </w:rPr>
        <w:t>Curr</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Opin</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Rheumatol</w:t>
      </w:r>
      <w:proofErr w:type="spellEnd"/>
      <w:r w:rsidRPr="002E4D3A">
        <w:rPr>
          <w:rFonts w:ascii="Book Antiqua" w:eastAsia="宋体" w:hAnsi="Book Antiqua" w:cs="宋体"/>
          <w:sz w:val="24"/>
          <w:szCs w:val="24"/>
          <w:lang w:eastAsia="zh-CN" w:bidi="ar-SA"/>
        </w:rPr>
        <w:t xml:space="preserve"> 2003; </w:t>
      </w:r>
      <w:r w:rsidRPr="002E4D3A">
        <w:rPr>
          <w:rFonts w:ascii="Book Antiqua" w:eastAsia="宋体" w:hAnsi="Book Antiqua" w:cs="宋体"/>
          <w:b/>
          <w:bCs/>
          <w:sz w:val="24"/>
          <w:szCs w:val="24"/>
          <w:lang w:eastAsia="zh-CN" w:bidi="ar-SA"/>
        </w:rPr>
        <w:t>15</w:t>
      </w:r>
      <w:r w:rsidRPr="002E4D3A">
        <w:rPr>
          <w:rFonts w:ascii="Book Antiqua" w:eastAsia="宋体" w:hAnsi="Book Antiqua" w:cs="宋体"/>
          <w:sz w:val="24"/>
          <w:szCs w:val="24"/>
          <w:lang w:eastAsia="zh-CN" w:bidi="ar-SA"/>
        </w:rPr>
        <w:t>: 454-457 [PMID: 12819474]</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45 </w:t>
      </w:r>
      <w:r w:rsidRPr="002E4D3A">
        <w:rPr>
          <w:rFonts w:ascii="Book Antiqua" w:eastAsia="宋体" w:hAnsi="Book Antiqua" w:cs="宋体"/>
          <w:b/>
          <w:bCs/>
          <w:sz w:val="24"/>
          <w:szCs w:val="24"/>
          <w:lang w:eastAsia="zh-CN" w:bidi="ar-SA"/>
        </w:rPr>
        <w:t>Lehmann G</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Ott</w:t>
      </w:r>
      <w:proofErr w:type="spellEnd"/>
      <w:r w:rsidRPr="002E4D3A">
        <w:rPr>
          <w:rFonts w:ascii="Book Antiqua" w:eastAsia="宋体" w:hAnsi="Book Antiqua" w:cs="宋体"/>
          <w:sz w:val="24"/>
          <w:szCs w:val="24"/>
          <w:lang w:eastAsia="zh-CN" w:bidi="ar-SA"/>
        </w:rPr>
        <w:t xml:space="preserve"> U, Stein G, Steiner T, Wolf G. Renal </w:t>
      </w:r>
      <w:proofErr w:type="spellStart"/>
      <w:r w:rsidRPr="002E4D3A">
        <w:rPr>
          <w:rFonts w:ascii="Book Antiqua" w:eastAsia="宋体" w:hAnsi="Book Antiqua" w:cs="宋体"/>
          <w:sz w:val="24"/>
          <w:szCs w:val="24"/>
          <w:lang w:eastAsia="zh-CN" w:bidi="ar-SA"/>
        </w:rPr>
        <w:t>osteodystrophy</w:t>
      </w:r>
      <w:proofErr w:type="spellEnd"/>
      <w:r w:rsidRPr="002E4D3A">
        <w:rPr>
          <w:rFonts w:ascii="Book Antiqua" w:eastAsia="宋体" w:hAnsi="Book Antiqua" w:cs="宋体"/>
          <w:sz w:val="24"/>
          <w:szCs w:val="24"/>
          <w:lang w:eastAsia="zh-CN" w:bidi="ar-SA"/>
        </w:rPr>
        <w:t xml:space="preserve"> after successful renal transplantation: a </w:t>
      </w:r>
      <w:proofErr w:type="spellStart"/>
      <w:r w:rsidRPr="002E4D3A">
        <w:rPr>
          <w:rFonts w:ascii="Book Antiqua" w:eastAsia="宋体" w:hAnsi="Book Antiqua" w:cs="宋体"/>
          <w:sz w:val="24"/>
          <w:szCs w:val="24"/>
          <w:lang w:eastAsia="zh-CN" w:bidi="ar-SA"/>
        </w:rPr>
        <w:t>histomorphometric</w:t>
      </w:r>
      <w:proofErr w:type="spellEnd"/>
      <w:r w:rsidRPr="002E4D3A">
        <w:rPr>
          <w:rFonts w:ascii="Book Antiqua" w:eastAsia="宋体" w:hAnsi="Book Antiqua" w:cs="宋体"/>
          <w:sz w:val="24"/>
          <w:szCs w:val="24"/>
          <w:lang w:eastAsia="zh-CN" w:bidi="ar-SA"/>
        </w:rPr>
        <w:t xml:space="preserve"> analysis in 57 patients. </w:t>
      </w:r>
      <w:r w:rsidRPr="002E4D3A">
        <w:rPr>
          <w:rFonts w:ascii="Book Antiqua" w:eastAsia="宋体" w:hAnsi="Book Antiqua" w:cs="宋体"/>
          <w:i/>
          <w:iCs/>
          <w:sz w:val="24"/>
          <w:szCs w:val="24"/>
          <w:lang w:eastAsia="zh-CN" w:bidi="ar-SA"/>
        </w:rPr>
        <w:t xml:space="preserve">Transplant </w:t>
      </w:r>
      <w:proofErr w:type="spellStart"/>
      <w:r w:rsidRPr="002E4D3A">
        <w:rPr>
          <w:rFonts w:ascii="Book Antiqua" w:eastAsia="宋体" w:hAnsi="Book Antiqua" w:cs="宋体"/>
          <w:i/>
          <w:iCs/>
          <w:sz w:val="24"/>
          <w:szCs w:val="24"/>
          <w:lang w:eastAsia="zh-CN" w:bidi="ar-SA"/>
        </w:rPr>
        <w:t>Proc</w:t>
      </w:r>
      <w:proofErr w:type="spellEnd"/>
      <w:r w:rsidRPr="002E4D3A">
        <w:rPr>
          <w:rFonts w:ascii="Book Antiqua" w:eastAsia="宋体" w:hAnsi="Book Antiqua" w:cs="宋体"/>
          <w:sz w:val="24"/>
          <w:szCs w:val="24"/>
          <w:lang w:eastAsia="zh-CN" w:bidi="ar-SA"/>
        </w:rPr>
        <w:t xml:space="preserve"> 2007; </w:t>
      </w:r>
      <w:r w:rsidRPr="002E4D3A">
        <w:rPr>
          <w:rFonts w:ascii="Book Antiqua" w:eastAsia="宋体" w:hAnsi="Book Antiqua" w:cs="宋体"/>
          <w:b/>
          <w:bCs/>
          <w:sz w:val="24"/>
          <w:szCs w:val="24"/>
          <w:lang w:eastAsia="zh-CN" w:bidi="ar-SA"/>
        </w:rPr>
        <w:t>39</w:t>
      </w:r>
      <w:r w:rsidRPr="002E4D3A">
        <w:rPr>
          <w:rFonts w:ascii="Book Antiqua" w:eastAsia="宋体" w:hAnsi="Book Antiqua" w:cs="宋体"/>
          <w:sz w:val="24"/>
          <w:szCs w:val="24"/>
          <w:lang w:eastAsia="zh-CN" w:bidi="ar-SA"/>
        </w:rPr>
        <w:t>: 3153-3158 [PMID: 18089342 DOI: 10.1016/j.transproceed.2007.10.001]</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46 </w:t>
      </w:r>
      <w:proofErr w:type="spellStart"/>
      <w:r w:rsidRPr="002E4D3A">
        <w:rPr>
          <w:rFonts w:ascii="Book Antiqua" w:eastAsia="宋体" w:hAnsi="Book Antiqua" w:cs="宋体"/>
          <w:b/>
          <w:bCs/>
          <w:sz w:val="24"/>
          <w:szCs w:val="24"/>
          <w:lang w:eastAsia="zh-CN" w:bidi="ar-SA"/>
        </w:rPr>
        <w:t>Dolgos</w:t>
      </w:r>
      <w:proofErr w:type="spellEnd"/>
      <w:r w:rsidRPr="002E4D3A">
        <w:rPr>
          <w:rFonts w:ascii="Book Antiqua" w:eastAsia="宋体" w:hAnsi="Book Antiqua" w:cs="宋体"/>
          <w:b/>
          <w:bCs/>
          <w:sz w:val="24"/>
          <w:szCs w:val="24"/>
          <w:lang w:eastAsia="zh-CN" w:bidi="ar-SA"/>
        </w:rPr>
        <w:t xml:space="preserve"> S</w:t>
      </w:r>
      <w:r w:rsidRPr="002E4D3A">
        <w:rPr>
          <w:rFonts w:ascii="Book Antiqua" w:eastAsia="宋体" w:hAnsi="Book Antiqua" w:cs="宋体"/>
          <w:sz w:val="24"/>
          <w:szCs w:val="24"/>
          <w:lang w:eastAsia="zh-CN" w:bidi="ar-SA"/>
        </w:rPr>
        <w:t xml:space="preserve">, Hartmann A, </w:t>
      </w:r>
      <w:proofErr w:type="spellStart"/>
      <w:r w:rsidRPr="002E4D3A">
        <w:rPr>
          <w:rFonts w:ascii="Book Antiqua" w:eastAsia="宋体" w:hAnsi="Book Antiqua" w:cs="宋体"/>
          <w:sz w:val="24"/>
          <w:szCs w:val="24"/>
          <w:lang w:eastAsia="zh-CN" w:bidi="ar-SA"/>
        </w:rPr>
        <w:t>Bønsnes</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Ueland</w:t>
      </w:r>
      <w:proofErr w:type="spellEnd"/>
      <w:r w:rsidRPr="002E4D3A">
        <w:rPr>
          <w:rFonts w:ascii="Book Antiqua" w:eastAsia="宋体" w:hAnsi="Book Antiqua" w:cs="宋体"/>
          <w:sz w:val="24"/>
          <w:szCs w:val="24"/>
          <w:lang w:eastAsia="zh-CN" w:bidi="ar-SA"/>
        </w:rPr>
        <w:t xml:space="preserve"> T, </w:t>
      </w:r>
      <w:proofErr w:type="spellStart"/>
      <w:r w:rsidRPr="002E4D3A">
        <w:rPr>
          <w:rFonts w:ascii="Book Antiqua" w:eastAsia="宋体" w:hAnsi="Book Antiqua" w:cs="宋体"/>
          <w:sz w:val="24"/>
          <w:szCs w:val="24"/>
          <w:lang w:eastAsia="zh-CN" w:bidi="ar-SA"/>
        </w:rPr>
        <w:t>Isaksen</w:t>
      </w:r>
      <w:proofErr w:type="spellEnd"/>
      <w:r w:rsidRPr="002E4D3A">
        <w:rPr>
          <w:rFonts w:ascii="Book Antiqua" w:eastAsia="宋体" w:hAnsi="Book Antiqua" w:cs="宋体"/>
          <w:sz w:val="24"/>
          <w:szCs w:val="24"/>
          <w:lang w:eastAsia="zh-CN" w:bidi="ar-SA"/>
        </w:rPr>
        <w:t xml:space="preserve"> GA, </w:t>
      </w:r>
      <w:proofErr w:type="spellStart"/>
      <w:r w:rsidRPr="002E4D3A">
        <w:rPr>
          <w:rFonts w:ascii="Book Antiqua" w:eastAsia="宋体" w:hAnsi="Book Antiqua" w:cs="宋体"/>
          <w:sz w:val="24"/>
          <w:szCs w:val="24"/>
          <w:lang w:eastAsia="zh-CN" w:bidi="ar-SA"/>
        </w:rPr>
        <w:t>Godang</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Pfeffer</w:t>
      </w:r>
      <w:proofErr w:type="spellEnd"/>
      <w:r w:rsidRPr="002E4D3A">
        <w:rPr>
          <w:rFonts w:ascii="Book Antiqua" w:eastAsia="宋体" w:hAnsi="Book Antiqua" w:cs="宋体"/>
          <w:sz w:val="24"/>
          <w:szCs w:val="24"/>
          <w:lang w:eastAsia="zh-CN" w:bidi="ar-SA"/>
        </w:rPr>
        <w:t xml:space="preserve"> P, </w:t>
      </w:r>
      <w:proofErr w:type="spellStart"/>
      <w:r w:rsidRPr="002E4D3A">
        <w:rPr>
          <w:rFonts w:ascii="Book Antiqua" w:eastAsia="宋体" w:hAnsi="Book Antiqua" w:cs="宋体"/>
          <w:sz w:val="24"/>
          <w:szCs w:val="24"/>
          <w:lang w:eastAsia="zh-CN" w:bidi="ar-SA"/>
        </w:rPr>
        <w:t>Bollerslev</w:t>
      </w:r>
      <w:proofErr w:type="spellEnd"/>
      <w:r w:rsidRPr="002E4D3A">
        <w:rPr>
          <w:rFonts w:ascii="Book Antiqua" w:eastAsia="宋体" w:hAnsi="Book Antiqua" w:cs="宋体"/>
          <w:sz w:val="24"/>
          <w:szCs w:val="24"/>
          <w:lang w:eastAsia="zh-CN" w:bidi="ar-SA"/>
        </w:rPr>
        <w:t xml:space="preserve"> J. Determinants of bone mass in end-stage renal failure patients at the time of kidney transplantation.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Transplant</w:t>
      </w:r>
      <w:r w:rsidRPr="002E4D3A">
        <w:rPr>
          <w:rFonts w:ascii="Book Antiqua" w:eastAsia="宋体" w:hAnsi="Book Antiqua" w:cs="宋体"/>
          <w:sz w:val="24"/>
          <w:szCs w:val="24"/>
          <w:lang w:eastAsia="zh-CN" w:bidi="ar-SA"/>
        </w:rPr>
        <w:t xml:space="preserve"> </w:t>
      </w:r>
      <w:r w:rsidR="003F7082">
        <w:rPr>
          <w:rFonts w:ascii="Book Antiqua" w:eastAsia="宋体" w:hAnsi="Book Antiqua" w:cs="宋体"/>
          <w:sz w:val="24"/>
          <w:szCs w:val="24"/>
          <w:lang w:eastAsia="zh-CN" w:bidi="ar-SA"/>
        </w:rPr>
        <w:t>2008</w:t>
      </w:r>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b/>
          <w:bCs/>
          <w:sz w:val="24"/>
          <w:szCs w:val="24"/>
          <w:lang w:eastAsia="zh-CN" w:bidi="ar-SA"/>
        </w:rPr>
        <w:t>22</w:t>
      </w:r>
      <w:r w:rsidRPr="002E4D3A">
        <w:rPr>
          <w:rFonts w:ascii="Book Antiqua" w:eastAsia="宋体" w:hAnsi="Book Antiqua" w:cs="宋体"/>
          <w:sz w:val="24"/>
          <w:szCs w:val="24"/>
          <w:lang w:eastAsia="zh-CN" w:bidi="ar-SA"/>
        </w:rPr>
        <w:t>: 462-468 [PMID: 18318737 DOI: 10.1111/j.1399-0012.2008.00810.x]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47 </w:t>
      </w:r>
      <w:r w:rsidRPr="002E4D3A">
        <w:rPr>
          <w:rFonts w:ascii="Book Antiqua" w:eastAsia="宋体" w:hAnsi="Book Antiqua" w:cs="宋体"/>
          <w:b/>
          <w:bCs/>
          <w:sz w:val="24"/>
          <w:szCs w:val="24"/>
          <w:lang w:eastAsia="zh-CN" w:bidi="ar-SA"/>
        </w:rPr>
        <w:t>Huang WH</w:t>
      </w:r>
      <w:r w:rsidRPr="002E4D3A">
        <w:rPr>
          <w:rFonts w:ascii="Book Antiqua" w:eastAsia="宋体" w:hAnsi="Book Antiqua" w:cs="宋体"/>
          <w:sz w:val="24"/>
          <w:szCs w:val="24"/>
          <w:lang w:eastAsia="zh-CN" w:bidi="ar-SA"/>
        </w:rPr>
        <w:t xml:space="preserve">, Yu MC, Huang JY, Lai PC. </w:t>
      </w:r>
      <w:proofErr w:type="gramStart"/>
      <w:r w:rsidRPr="002E4D3A">
        <w:rPr>
          <w:rFonts w:ascii="Book Antiqua" w:eastAsia="宋体" w:hAnsi="Book Antiqua" w:cs="宋体"/>
          <w:sz w:val="24"/>
          <w:szCs w:val="24"/>
          <w:lang w:eastAsia="zh-CN" w:bidi="ar-SA"/>
        </w:rPr>
        <w:t>Impact of hepatitis C virus infection on bone mineral density in renal transplant recipients.</w:t>
      </w:r>
      <w:proofErr w:type="gramEnd"/>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i/>
          <w:iCs/>
          <w:sz w:val="24"/>
          <w:szCs w:val="24"/>
          <w:lang w:eastAsia="zh-CN" w:bidi="ar-SA"/>
        </w:rPr>
        <w:t>PLoS</w:t>
      </w:r>
      <w:proofErr w:type="spellEnd"/>
      <w:r w:rsidRPr="002E4D3A">
        <w:rPr>
          <w:rFonts w:ascii="Book Antiqua" w:eastAsia="宋体" w:hAnsi="Book Antiqua" w:cs="宋体"/>
          <w:i/>
          <w:iCs/>
          <w:sz w:val="24"/>
          <w:szCs w:val="24"/>
          <w:lang w:eastAsia="zh-CN" w:bidi="ar-SA"/>
        </w:rPr>
        <w:t xml:space="preserve"> One</w:t>
      </w:r>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8</w:t>
      </w:r>
      <w:r w:rsidRPr="002E4D3A">
        <w:rPr>
          <w:rFonts w:ascii="Book Antiqua" w:eastAsia="宋体" w:hAnsi="Book Antiqua" w:cs="宋体"/>
          <w:sz w:val="24"/>
          <w:szCs w:val="24"/>
          <w:lang w:eastAsia="zh-CN" w:bidi="ar-SA"/>
        </w:rPr>
        <w:t>: e63263 [PMID: 23675468 DOI: 10.1371/journal.pone.0063263]</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48 </w:t>
      </w:r>
      <w:r w:rsidRPr="002E4D3A">
        <w:rPr>
          <w:rFonts w:ascii="Book Antiqua" w:eastAsia="宋体" w:hAnsi="Book Antiqua" w:cs="宋体"/>
          <w:b/>
          <w:bCs/>
          <w:sz w:val="24"/>
          <w:szCs w:val="24"/>
          <w:lang w:eastAsia="zh-CN" w:bidi="ar-SA"/>
        </w:rPr>
        <w:t>Ball AM</w:t>
      </w:r>
      <w:r w:rsidRPr="002E4D3A">
        <w:rPr>
          <w:rFonts w:ascii="Book Antiqua" w:eastAsia="宋体" w:hAnsi="Book Antiqua" w:cs="宋体"/>
          <w:sz w:val="24"/>
          <w:szCs w:val="24"/>
          <w:lang w:eastAsia="zh-CN" w:bidi="ar-SA"/>
        </w:rPr>
        <w:t xml:space="preserve">, Gillen DL, </w:t>
      </w:r>
      <w:proofErr w:type="spellStart"/>
      <w:r w:rsidRPr="002E4D3A">
        <w:rPr>
          <w:rFonts w:ascii="Book Antiqua" w:eastAsia="宋体" w:hAnsi="Book Antiqua" w:cs="宋体"/>
          <w:sz w:val="24"/>
          <w:szCs w:val="24"/>
          <w:lang w:eastAsia="zh-CN" w:bidi="ar-SA"/>
        </w:rPr>
        <w:t>Sherrard</w:t>
      </w:r>
      <w:proofErr w:type="spellEnd"/>
      <w:r w:rsidRPr="002E4D3A">
        <w:rPr>
          <w:rFonts w:ascii="Book Antiqua" w:eastAsia="宋体" w:hAnsi="Book Antiqua" w:cs="宋体"/>
          <w:sz w:val="24"/>
          <w:szCs w:val="24"/>
          <w:lang w:eastAsia="zh-CN" w:bidi="ar-SA"/>
        </w:rPr>
        <w:t xml:space="preserve"> D, Weiss NS, Emerson SS, </w:t>
      </w:r>
      <w:proofErr w:type="spellStart"/>
      <w:r w:rsidRPr="002E4D3A">
        <w:rPr>
          <w:rFonts w:ascii="Book Antiqua" w:eastAsia="宋体" w:hAnsi="Book Antiqua" w:cs="宋体"/>
          <w:sz w:val="24"/>
          <w:szCs w:val="24"/>
          <w:lang w:eastAsia="zh-CN" w:bidi="ar-SA"/>
        </w:rPr>
        <w:t>Seliger</w:t>
      </w:r>
      <w:proofErr w:type="spellEnd"/>
      <w:r w:rsidRPr="002E4D3A">
        <w:rPr>
          <w:rFonts w:ascii="Book Antiqua" w:eastAsia="宋体" w:hAnsi="Book Antiqua" w:cs="宋体"/>
          <w:sz w:val="24"/>
          <w:szCs w:val="24"/>
          <w:lang w:eastAsia="zh-CN" w:bidi="ar-SA"/>
        </w:rPr>
        <w:t xml:space="preserve"> SL, </w:t>
      </w:r>
      <w:proofErr w:type="spellStart"/>
      <w:r w:rsidRPr="002E4D3A">
        <w:rPr>
          <w:rFonts w:ascii="Book Antiqua" w:eastAsia="宋体" w:hAnsi="Book Antiqua" w:cs="宋体"/>
          <w:sz w:val="24"/>
          <w:szCs w:val="24"/>
          <w:lang w:eastAsia="zh-CN" w:bidi="ar-SA"/>
        </w:rPr>
        <w:t>Kestenbaum</w:t>
      </w:r>
      <w:proofErr w:type="spellEnd"/>
      <w:r w:rsidRPr="002E4D3A">
        <w:rPr>
          <w:rFonts w:ascii="Book Antiqua" w:eastAsia="宋体" w:hAnsi="Book Antiqua" w:cs="宋体"/>
          <w:sz w:val="24"/>
          <w:szCs w:val="24"/>
          <w:lang w:eastAsia="zh-CN" w:bidi="ar-SA"/>
        </w:rPr>
        <w:t xml:space="preserve"> BR, </w:t>
      </w:r>
      <w:proofErr w:type="spellStart"/>
      <w:r w:rsidRPr="002E4D3A">
        <w:rPr>
          <w:rFonts w:ascii="Book Antiqua" w:eastAsia="宋体" w:hAnsi="Book Antiqua" w:cs="宋体"/>
          <w:sz w:val="24"/>
          <w:szCs w:val="24"/>
          <w:lang w:eastAsia="zh-CN" w:bidi="ar-SA"/>
        </w:rPr>
        <w:t>Stehman</w:t>
      </w:r>
      <w:proofErr w:type="spellEnd"/>
      <w:r w:rsidRPr="002E4D3A">
        <w:rPr>
          <w:rFonts w:ascii="Book Antiqua" w:eastAsia="宋体" w:hAnsi="Book Antiqua" w:cs="宋体"/>
          <w:sz w:val="24"/>
          <w:szCs w:val="24"/>
          <w:lang w:eastAsia="zh-CN" w:bidi="ar-SA"/>
        </w:rPr>
        <w:t xml:space="preserve">-Breen C. Risk of hip fracture among dialysis and renal transplant recipients. </w:t>
      </w:r>
      <w:r w:rsidRPr="002E4D3A">
        <w:rPr>
          <w:rFonts w:ascii="Book Antiqua" w:eastAsia="宋体" w:hAnsi="Book Antiqua" w:cs="宋体"/>
          <w:i/>
          <w:iCs/>
          <w:sz w:val="24"/>
          <w:szCs w:val="24"/>
          <w:lang w:eastAsia="zh-CN" w:bidi="ar-SA"/>
        </w:rPr>
        <w:t>JAMA</w:t>
      </w:r>
      <w:r w:rsidRPr="002E4D3A">
        <w:rPr>
          <w:rFonts w:ascii="Book Antiqua" w:eastAsia="宋体" w:hAnsi="Book Antiqua" w:cs="宋体"/>
          <w:sz w:val="24"/>
          <w:szCs w:val="24"/>
          <w:lang w:eastAsia="zh-CN" w:bidi="ar-SA"/>
        </w:rPr>
        <w:t xml:space="preserve"> 2002; </w:t>
      </w:r>
      <w:r w:rsidRPr="002E4D3A">
        <w:rPr>
          <w:rFonts w:ascii="Book Antiqua" w:eastAsia="宋体" w:hAnsi="Book Antiqua" w:cs="宋体"/>
          <w:b/>
          <w:bCs/>
          <w:sz w:val="24"/>
          <w:szCs w:val="24"/>
          <w:lang w:eastAsia="zh-CN" w:bidi="ar-SA"/>
        </w:rPr>
        <w:t>288</w:t>
      </w:r>
      <w:r w:rsidRPr="002E4D3A">
        <w:rPr>
          <w:rFonts w:ascii="Book Antiqua" w:eastAsia="宋体" w:hAnsi="Book Antiqua" w:cs="宋体"/>
          <w:sz w:val="24"/>
          <w:szCs w:val="24"/>
          <w:lang w:eastAsia="zh-CN" w:bidi="ar-SA"/>
        </w:rPr>
        <w:t>: 3014-3018 [PMID: 12479766]</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49 </w:t>
      </w:r>
      <w:proofErr w:type="spellStart"/>
      <w:r w:rsidRPr="002E4D3A">
        <w:rPr>
          <w:rFonts w:ascii="Book Antiqua" w:eastAsia="宋体" w:hAnsi="Book Antiqua" w:cs="宋体"/>
          <w:b/>
          <w:bCs/>
          <w:sz w:val="24"/>
          <w:szCs w:val="24"/>
          <w:lang w:eastAsia="zh-CN" w:bidi="ar-SA"/>
        </w:rPr>
        <w:t>Vautour</w:t>
      </w:r>
      <w:proofErr w:type="spellEnd"/>
      <w:r w:rsidRPr="002E4D3A">
        <w:rPr>
          <w:rFonts w:ascii="Book Antiqua" w:eastAsia="宋体" w:hAnsi="Book Antiqua" w:cs="宋体"/>
          <w:b/>
          <w:bCs/>
          <w:sz w:val="24"/>
          <w:szCs w:val="24"/>
          <w:lang w:eastAsia="zh-CN" w:bidi="ar-SA"/>
        </w:rPr>
        <w:t xml:space="preserve"> LM</w:t>
      </w:r>
      <w:r w:rsidRPr="002E4D3A">
        <w:rPr>
          <w:rFonts w:ascii="Book Antiqua" w:eastAsia="宋体" w:hAnsi="Book Antiqua" w:cs="宋体"/>
          <w:sz w:val="24"/>
          <w:szCs w:val="24"/>
          <w:lang w:eastAsia="zh-CN" w:bidi="ar-SA"/>
        </w:rPr>
        <w:t xml:space="preserve">, Melton LJ, Clarke BL, Achenbach SJ, Oberg AL, McCarthy JT. Long-term fracture risk following renal transplantation: a population-based study. </w:t>
      </w:r>
      <w:proofErr w:type="spellStart"/>
      <w:r w:rsidRPr="002E4D3A">
        <w:rPr>
          <w:rFonts w:ascii="Book Antiqua" w:eastAsia="宋体" w:hAnsi="Book Antiqua" w:cs="宋体"/>
          <w:i/>
          <w:iCs/>
          <w:sz w:val="24"/>
          <w:szCs w:val="24"/>
          <w:lang w:eastAsia="zh-CN" w:bidi="ar-SA"/>
        </w:rPr>
        <w:t>Osteoporos</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Int</w:t>
      </w:r>
      <w:proofErr w:type="spellEnd"/>
      <w:r w:rsidRPr="002E4D3A">
        <w:rPr>
          <w:rFonts w:ascii="Book Antiqua" w:eastAsia="宋体" w:hAnsi="Book Antiqua" w:cs="宋体"/>
          <w:sz w:val="24"/>
          <w:szCs w:val="24"/>
          <w:lang w:eastAsia="zh-CN" w:bidi="ar-SA"/>
        </w:rPr>
        <w:t xml:space="preserve"> 2004; </w:t>
      </w:r>
      <w:r w:rsidRPr="002E4D3A">
        <w:rPr>
          <w:rFonts w:ascii="Book Antiqua" w:eastAsia="宋体" w:hAnsi="Book Antiqua" w:cs="宋体"/>
          <w:b/>
          <w:bCs/>
          <w:sz w:val="24"/>
          <w:szCs w:val="24"/>
          <w:lang w:eastAsia="zh-CN" w:bidi="ar-SA"/>
        </w:rPr>
        <w:t>15</w:t>
      </w:r>
      <w:r w:rsidRPr="002E4D3A">
        <w:rPr>
          <w:rFonts w:ascii="Book Antiqua" w:eastAsia="宋体" w:hAnsi="Book Antiqua" w:cs="宋体"/>
          <w:sz w:val="24"/>
          <w:szCs w:val="24"/>
          <w:lang w:eastAsia="zh-CN" w:bidi="ar-SA"/>
        </w:rPr>
        <w:t>: 160-167 [PMID: 14666400 DOI: 10.1007/s00198-003-1532-y]</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50 </w:t>
      </w:r>
      <w:proofErr w:type="spellStart"/>
      <w:r w:rsidRPr="002E4D3A">
        <w:rPr>
          <w:rFonts w:ascii="Book Antiqua" w:eastAsia="宋体" w:hAnsi="Book Antiqua" w:cs="宋体"/>
          <w:b/>
          <w:bCs/>
          <w:sz w:val="24"/>
          <w:szCs w:val="24"/>
          <w:lang w:eastAsia="zh-CN" w:bidi="ar-SA"/>
        </w:rPr>
        <w:t>Evenepoel</w:t>
      </w:r>
      <w:proofErr w:type="spellEnd"/>
      <w:r w:rsidRPr="002E4D3A">
        <w:rPr>
          <w:rFonts w:ascii="Book Antiqua" w:eastAsia="宋体" w:hAnsi="Book Antiqua" w:cs="宋体"/>
          <w:b/>
          <w:bCs/>
          <w:sz w:val="24"/>
          <w:szCs w:val="24"/>
          <w:lang w:eastAsia="zh-CN" w:bidi="ar-SA"/>
        </w:rPr>
        <w:t xml:space="preserve"> P</w:t>
      </w:r>
      <w:r w:rsidRPr="002E4D3A">
        <w:rPr>
          <w:rFonts w:ascii="Book Antiqua" w:eastAsia="宋体" w:hAnsi="Book Antiqua" w:cs="宋体"/>
          <w:sz w:val="24"/>
          <w:szCs w:val="24"/>
          <w:lang w:eastAsia="zh-CN" w:bidi="ar-SA"/>
        </w:rPr>
        <w:t xml:space="preserve">. Recovery versus persistence of disordered mineral metabolism in kidney transplant recipients. </w:t>
      </w:r>
      <w:proofErr w:type="spellStart"/>
      <w:r w:rsidRPr="002E4D3A">
        <w:rPr>
          <w:rFonts w:ascii="Book Antiqua" w:eastAsia="宋体" w:hAnsi="Book Antiqua" w:cs="宋体"/>
          <w:i/>
          <w:iCs/>
          <w:sz w:val="24"/>
          <w:szCs w:val="24"/>
          <w:lang w:eastAsia="zh-CN" w:bidi="ar-SA"/>
        </w:rPr>
        <w:t>Semin</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33</w:t>
      </w:r>
      <w:r w:rsidRPr="002E4D3A">
        <w:rPr>
          <w:rFonts w:ascii="Book Antiqua" w:eastAsia="宋体" w:hAnsi="Book Antiqua" w:cs="宋体"/>
          <w:sz w:val="24"/>
          <w:szCs w:val="24"/>
          <w:lang w:eastAsia="zh-CN" w:bidi="ar-SA"/>
        </w:rPr>
        <w:t>: 191-203 [PMID: 23465505 DOI: 10.1016/j.semnephrol.2012.12.019]</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51 </w:t>
      </w:r>
      <w:r w:rsidRPr="002E4D3A">
        <w:rPr>
          <w:rFonts w:ascii="Book Antiqua" w:eastAsia="宋体" w:hAnsi="Book Antiqua" w:cs="宋体"/>
          <w:b/>
          <w:bCs/>
          <w:sz w:val="24"/>
          <w:szCs w:val="24"/>
          <w:lang w:eastAsia="zh-CN" w:bidi="ar-SA"/>
        </w:rPr>
        <w:t>Foley RN</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Parfrey</w:t>
      </w:r>
      <w:proofErr w:type="spellEnd"/>
      <w:r w:rsidRPr="002E4D3A">
        <w:rPr>
          <w:rFonts w:ascii="Book Antiqua" w:eastAsia="宋体" w:hAnsi="Book Antiqua" w:cs="宋体"/>
          <w:sz w:val="24"/>
          <w:szCs w:val="24"/>
          <w:lang w:eastAsia="zh-CN" w:bidi="ar-SA"/>
        </w:rPr>
        <w:t xml:space="preserve"> PS, </w:t>
      </w:r>
      <w:proofErr w:type="spellStart"/>
      <w:r w:rsidRPr="002E4D3A">
        <w:rPr>
          <w:rFonts w:ascii="Book Antiqua" w:eastAsia="宋体" w:hAnsi="Book Antiqua" w:cs="宋体"/>
          <w:sz w:val="24"/>
          <w:szCs w:val="24"/>
          <w:lang w:eastAsia="zh-CN" w:bidi="ar-SA"/>
        </w:rPr>
        <w:t>Sarnak</w:t>
      </w:r>
      <w:proofErr w:type="spellEnd"/>
      <w:r w:rsidRPr="002E4D3A">
        <w:rPr>
          <w:rFonts w:ascii="Book Antiqua" w:eastAsia="宋体" w:hAnsi="Book Antiqua" w:cs="宋体"/>
          <w:sz w:val="24"/>
          <w:szCs w:val="24"/>
          <w:lang w:eastAsia="zh-CN" w:bidi="ar-SA"/>
        </w:rPr>
        <w:t xml:space="preserve"> MJ. </w:t>
      </w:r>
      <w:proofErr w:type="gramStart"/>
      <w:r w:rsidRPr="002E4D3A">
        <w:rPr>
          <w:rFonts w:ascii="Book Antiqua" w:eastAsia="宋体" w:hAnsi="Book Antiqua" w:cs="宋体"/>
          <w:sz w:val="24"/>
          <w:szCs w:val="24"/>
          <w:lang w:eastAsia="zh-CN" w:bidi="ar-SA"/>
        </w:rPr>
        <w:t>Clinical epidemiology of cardiovascular disease in chronic renal disease.</w:t>
      </w:r>
      <w:proofErr w:type="gramEnd"/>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i/>
          <w:iCs/>
          <w:sz w:val="24"/>
          <w:szCs w:val="24"/>
          <w:lang w:eastAsia="zh-CN" w:bidi="ar-SA"/>
        </w:rPr>
        <w:t>Am J Kidney Dis</w:t>
      </w:r>
      <w:r w:rsidRPr="002E4D3A">
        <w:rPr>
          <w:rFonts w:ascii="Book Antiqua" w:eastAsia="宋体" w:hAnsi="Book Antiqua" w:cs="宋体"/>
          <w:sz w:val="24"/>
          <w:szCs w:val="24"/>
          <w:lang w:eastAsia="zh-CN" w:bidi="ar-SA"/>
        </w:rPr>
        <w:t xml:space="preserve"> 1998; </w:t>
      </w:r>
      <w:r w:rsidRPr="002E4D3A">
        <w:rPr>
          <w:rFonts w:ascii="Book Antiqua" w:eastAsia="宋体" w:hAnsi="Book Antiqua" w:cs="宋体"/>
          <w:b/>
          <w:bCs/>
          <w:sz w:val="24"/>
          <w:szCs w:val="24"/>
          <w:lang w:eastAsia="zh-CN" w:bidi="ar-SA"/>
        </w:rPr>
        <w:t>32</w:t>
      </w:r>
      <w:r w:rsidRPr="002E4D3A">
        <w:rPr>
          <w:rFonts w:ascii="Book Antiqua" w:eastAsia="宋体" w:hAnsi="Book Antiqua" w:cs="宋体"/>
          <w:sz w:val="24"/>
          <w:szCs w:val="24"/>
          <w:lang w:eastAsia="zh-CN" w:bidi="ar-SA"/>
        </w:rPr>
        <w:t>: S112-S119 [PMID: 9820470]</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52 </w:t>
      </w:r>
      <w:r w:rsidRPr="002E4D3A">
        <w:rPr>
          <w:rFonts w:ascii="Book Antiqua" w:eastAsia="宋体" w:hAnsi="Book Antiqua" w:cs="宋体"/>
          <w:b/>
          <w:bCs/>
          <w:sz w:val="24"/>
          <w:szCs w:val="24"/>
          <w:lang w:eastAsia="zh-CN" w:bidi="ar-SA"/>
        </w:rPr>
        <w:t>London GM</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Guérin</w:t>
      </w:r>
      <w:proofErr w:type="spellEnd"/>
      <w:r w:rsidRPr="002E4D3A">
        <w:rPr>
          <w:rFonts w:ascii="Book Antiqua" w:eastAsia="宋体" w:hAnsi="Book Antiqua" w:cs="宋体"/>
          <w:sz w:val="24"/>
          <w:szCs w:val="24"/>
          <w:lang w:eastAsia="zh-CN" w:bidi="ar-SA"/>
        </w:rPr>
        <w:t xml:space="preserve"> AP, </w:t>
      </w:r>
      <w:proofErr w:type="spellStart"/>
      <w:r w:rsidRPr="002E4D3A">
        <w:rPr>
          <w:rFonts w:ascii="Book Antiqua" w:eastAsia="宋体" w:hAnsi="Book Antiqua" w:cs="宋体"/>
          <w:sz w:val="24"/>
          <w:szCs w:val="24"/>
          <w:lang w:eastAsia="zh-CN" w:bidi="ar-SA"/>
        </w:rPr>
        <w:t>Marchais</w:t>
      </w:r>
      <w:proofErr w:type="spellEnd"/>
      <w:r w:rsidRPr="002E4D3A">
        <w:rPr>
          <w:rFonts w:ascii="Book Antiqua" w:eastAsia="宋体" w:hAnsi="Book Antiqua" w:cs="宋体"/>
          <w:sz w:val="24"/>
          <w:szCs w:val="24"/>
          <w:lang w:eastAsia="zh-CN" w:bidi="ar-SA"/>
        </w:rPr>
        <w:t xml:space="preserve"> SJ, </w:t>
      </w:r>
      <w:proofErr w:type="spellStart"/>
      <w:r w:rsidRPr="002E4D3A">
        <w:rPr>
          <w:rFonts w:ascii="Book Antiqua" w:eastAsia="宋体" w:hAnsi="Book Antiqua" w:cs="宋体"/>
          <w:sz w:val="24"/>
          <w:szCs w:val="24"/>
          <w:lang w:eastAsia="zh-CN" w:bidi="ar-SA"/>
        </w:rPr>
        <w:t>Métivier</w:t>
      </w:r>
      <w:proofErr w:type="spellEnd"/>
      <w:r w:rsidRPr="002E4D3A">
        <w:rPr>
          <w:rFonts w:ascii="Book Antiqua" w:eastAsia="宋体" w:hAnsi="Book Antiqua" w:cs="宋体"/>
          <w:sz w:val="24"/>
          <w:szCs w:val="24"/>
          <w:lang w:eastAsia="zh-CN" w:bidi="ar-SA"/>
        </w:rPr>
        <w:t xml:space="preserve"> F, Pannier B, </w:t>
      </w:r>
      <w:proofErr w:type="spellStart"/>
      <w:r w:rsidRPr="002E4D3A">
        <w:rPr>
          <w:rFonts w:ascii="Book Antiqua" w:eastAsia="宋体" w:hAnsi="Book Antiqua" w:cs="宋体"/>
          <w:sz w:val="24"/>
          <w:szCs w:val="24"/>
          <w:lang w:eastAsia="zh-CN" w:bidi="ar-SA"/>
        </w:rPr>
        <w:t>Adda</w:t>
      </w:r>
      <w:proofErr w:type="spellEnd"/>
      <w:r w:rsidRPr="002E4D3A">
        <w:rPr>
          <w:rFonts w:ascii="Book Antiqua" w:eastAsia="宋体" w:hAnsi="Book Antiqua" w:cs="宋体"/>
          <w:sz w:val="24"/>
          <w:szCs w:val="24"/>
          <w:lang w:eastAsia="zh-CN" w:bidi="ar-SA"/>
        </w:rPr>
        <w:t xml:space="preserve"> H. Arterial media calcification in end-stage renal disease: impact on all-cause and cardiovascular mortality.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i/>
          <w:iCs/>
          <w:sz w:val="24"/>
          <w:szCs w:val="24"/>
          <w:lang w:eastAsia="zh-CN" w:bidi="ar-SA"/>
        </w:rPr>
        <w:t xml:space="preserve"> Dial Transplant</w:t>
      </w:r>
      <w:r w:rsidRPr="002E4D3A">
        <w:rPr>
          <w:rFonts w:ascii="Book Antiqua" w:eastAsia="宋体" w:hAnsi="Book Antiqua" w:cs="宋体"/>
          <w:sz w:val="24"/>
          <w:szCs w:val="24"/>
          <w:lang w:eastAsia="zh-CN" w:bidi="ar-SA"/>
        </w:rPr>
        <w:t xml:space="preserve"> 2003; </w:t>
      </w:r>
      <w:r w:rsidRPr="002E4D3A">
        <w:rPr>
          <w:rFonts w:ascii="Book Antiqua" w:eastAsia="宋体" w:hAnsi="Book Antiqua" w:cs="宋体"/>
          <w:b/>
          <w:bCs/>
          <w:sz w:val="24"/>
          <w:szCs w:val="24"/>
          <w:lang w:eastAsia="zh-CN" w:bidi="ar-SA"/>
        </w:rPr>
        <w:t>18</w:t>
      </w:r>
      <w:r w:rsidRPr="002E4D3A">
        <w:rPr>
          <w:rFonts w:ascii="Book Antiqua" w:eastAsia="宋体" w:hAnsi="Book Antiqua" w:cs="宋体"/>
          <w:sz w:val="24"/>
          <w:szCs w:val="24"/>
          <w:lang w:eastAsia="zh-CN" w:bidi="ar-SA"/>
        </w:rPr>
        <w:t>: 1731-1740 [PMID: 12937218]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lastRenderedPageBreak/>
        <w:t xml:space="preserve">53 </w:t>
      </w:r>
      <w:r w:rsidRPr="002E4D3A">
        <w:rPr>
          <w:rFonts w:ascii="Book Antiqua" w:eastAsia="宋体" w:hAnsi="Book Antiqua" w:cs="宋体"/>
          <w:b/>
          <w:bCs/>
          <w:sz w:val="24"/>
          <w:szCs w:val="24"/>
          <w:lang w:eastAsia="zh-CN" w:bidi="ar-SA"/>
        </w:rPr>
        <w:t>Goodman WG</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Goldin</w:t>
      </w:r>
      <w:proofErr w:type="spellEnd"/>
      <w:r w:rsidRPr="002E4D3A">
        <w:rPr>
          <w:rFonts w:ascii="Book Antiqua" w:eastAsia="宋体" w:hAnsi="Book Antiqua" w:cs="宋体"/>
          <w:sz w:val="24"/>
          <w:szCs w:val="24"/>
          <w:lang w:eastAsia="zh-CN" w:bidi="ar-SA"/>
        </w:rPr>
        <w:t xml:space="preserve"> J, </w:t>
      </w:r>
      <w:proofErr w:type="spellStart"/>
      <w:r w:rsidRPr="002E4D3A">
        <w:rPr>
          <w:rFonts w:ascii="Book Antiqua" w:eastAsia="宋体" w:hAnsi="Book Antiqua" w:cs="宋体"/>
          <w:sz w:val="24"/>
          <w:szCs w:val="24"/>
          <w:lang w:eastAsia="zh-CN" w:bidi="ar-SA"/>
        </w:rPr>
        <w:t>Kuizon</w:t>
      </w:r>
      <w:proofErr w:type="spellEnd"/>
      <w:r w:rsidRPr="002E4D3A">
        <w:rPr>
          <w:rFonts w:ascii="Book Antiqua" w:eastAsia="宋体" w:hAnsi="Book Antiqua" w:cs="宋体"/>
          <w:sz w:val="24"/>
          <w:szCs w:val="24"/>
          <w:lang w:eastAsia="zh-CN" w:bidi="ar-SA"/>
        </w:rPr>
        <w:t xml:space="preserve"> BD, Yoon C, Gales B, Sider D, Wang Y, Chung J, </w:t>
      </w:r>
      <w:proofErr w:type="spellStart"/>
      <w:r w:rsidRPr="002E4D3A">
        <w:rPr>
          <w:rFonts w:ascii="Book Antiqua" w:eastAsia="宋体" w:hAnsi="Book Antiqua" w:cs="宋体"/>
          <w:sz w:val="24"/>
          <w:szCs w:val="24"/>
          <w:lang w:eastAsia="zh-CN" w:bidi="ar-SA"/>
        </w:rPr>
        <w:t>Emerick</w:t>
      </w:r>
      <w:proofErr w:type="spellEnd"/>
      <w:r w:rsidRPr="002E4D3A">
        <w:rPr>
          <w:rFonts w:ascii="Book Antiqua" w:eastAsia="宋体" w:hAnsi="Book Antiqua" w:cs="宋体"/>
          <w:sz w:val="24"/>
          <w:szCs w:val="24"/>
          <w:lang w:eastAsia="zh-CN" w:bidi="ar-SA"/>
        </w:rPr>
        <w:t xml:space="preserve"> A, Greaser L, </w:t>
      </w:r>
      <w:proofErr w:type="spellStart"/>
      <w:r w:rsidRPr="002E4D3A">
        <w:rPr>
          <w:rFonts w:ascii="Book Antiqua" w:eastAsia="宋体" w:hAnsi="Book Antiqua" w:cs="宋体"/>
          <w:sz w:val="24"/>
          <w:szCs w:val="24"/>
          <w:lang w:eastAsia="zh-CN" w:bidi="ar-SA"/>
        </w:rPr>
        <w:t>Elashoff</w:t>
      </w:r>
      <w:proofErr w:type="spellEnd"/>
      <w:r w:rsidRPr="002E4D3A">
        <w:rPr>
          <w:rFonts w:ascii="Book Antiqua" w:eastAsia="宋体" w:hAnsi="Book Antiqua" w:cs="宋体"/>
          <w:sz w:val="24"/>
          <w:szCs w:val="24"/>
          <w:lang w:eastAsia="zh-CN" w:bidi="ar-SA"/>
        </w:rPr>
        <w:t xml:space="preserve"> RM, </w:t>
      </w:r>
      <w:proofErr w:type="spellStart"/>
      <w:r w:rsidRPr="002E4D3A">
        <w:rPr>
          <w:rFonts w:ascii="Book Antiqua" w:eastAsia="宋体" w:hAnsi="Book Antiqua" w:cs="宋体"/>
          <w:sz w:val="24"/>
          <w:szCs w:val="24"/>
          <w:lang w:eastAsia="zh-CN" w:bidi="ar-SA"/>
        </w:rPr>
        <w:t>Salusky</w:t>
      </w:r>
      <w:proofErr w:type="spellEnd"/>
      <w:r w:rsidRPr="002E4D3A">
        <w:rPr>
          <w:rFonts w:ascii="Book Antiqua" w:eastAsia="宋体" w:hAnsi="Book Antiqua" w:cs="宋体"/>
          <w:sz w:val="24"/>
          <w:szCs w:val="24"/>
          <w:lang w:eastAsia="zh-CN" w:bidi="ar-SA"/>
        </w:rPr>
        <w:t xml:space="preserve"> IB. Coronary-artery calcification in young adults with end-stage renal disease who are undergoing dialysis. </w:t>
      </w:r>
      <w:r w:rsidRPr="002E4D3A">
        <w:rPr>
          <w:rFonts w:ascii="Book Antiqua" w:eastAsia="宋体" w:hAnsi="Book Antiqua" w:cs="宋体"/>
          <w:i/>
          <w:iCs/>
          <w:sz w:val="24"/>
          <w:szCs w:val="24"/>
          <w:lang w:eastAsia="zh-CN" w:bidi="ar-SA"/>
        </w:rPr>
        <w:t xml:space="preserve">N </w:t>
      </w:r>
      <w:proofErr w:type="spellStart"/>
      <w:r w:rsidRPr="002E4D3A">
        <w:rPr>
          <w:rFonts w:ascii="Book Antiqua" w:eastAsia="宋体" w:hAnsi="Book Antiqua" w:cs="宋体"/>
          <w:i/>
          <w:iCs/>
          <w:sz w:val="24"/>
          <w:szCs w:val="24"/>
          <w:lang w:eastAsia="zh-CN" w:bidi="ar-SA"/>
        </w:rPr>
        <w:t>Engl</w:t>
      </w:r>
      <w:proofErr w:type="spellEnd"/>
      <w:r w:rsidRPr="002E4D3A">
        <w:rPr>
          <w:rFonts w:ascii="Book Antiqua" w:eastAsia="宋体" w:hAnsi="Book Antiqua" w:cs="宋体"/>
          <w:i/>
          <w:iCs/>
          <w:sz w:val="24"/>
          <w:szCs w:val="24"/>
          <w:lang w:eastAsia="zh-CN" w:bidi="ar-SA"/>
        </w:rPr>
        <w:t xml:space="preserve"> J Med</w:t>
      </w:r>
      <w:r w:rsidRPr="002E4D3A">
        <w:rPr>
          <w:rFonts w:ascii="Book Antiqua" w:eastAsia="宋体" w:hAnsi="Book Antiqua" w:cs="宋体"/>
          <w:sz w:val="24"/>
          <w:szCs w:val="24"/>
          <w:lang w:eastAsia="zh-CN" w:bidi="ar-SA"/>
        </w:rPr>
        <w:t xml:space="preserve"> 2000; </w:t>
      </w:r>
      <w:r w:rsidRPr="002E4D3A">
        <w:rPr>
          <w:rFonts w:ascii="Book Antiqua" w:eastAsia="宋体" w:hAnsi="Book Antiqua" w:cs="宋体"/>
          <w:b/>
          <w:bCs/>
          <w:sz w:val="24"/>
          <w:szCs w:val="24"/>
          <w:lang w:eastAsia="zh-CN" w:bidi="ar-SA"/>
        </w:rPr>
        <w:t>342</w:t>
      </w:r>
      <w:r w:rsidRPr="002E4D3A">
        <w:rPr>
          <w:rFonts w:ascii="Book Antiqua" w:eastAsia="宋体" w:hAnsi="Book Antiqua" w:cs="宋体"/>
          <w:sz w:val="24"/>
          <w:szCs w:val="24"/>
          <w:lang w:eastAsia="zh-CN" w:bidi="ar-SA"/>
        </w:rPr>
        <w:t>: 1478-1483 [PMID: 10816185 DOI: 10.1056/NEJM200005183422003]</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54 </w:t>
      </w:r>
      <w:proofErr w:type="spellStart"/>
      <w:r w:rsidRPr="002E4D3A">
        <w:rPr>
          <w:rFonts w:ascii="Book Antiqua" w:eastAsia="宋体" w:hAnsi="Book Antiqua" w:cs="宋体"/>
          <w:b/>
          <w:bCs/>
          <w:sz w:val="24"/>
          <w:szCs w:val="24"/>
          <w:lang w:eastAsia="zh-CN" w:bidi="ar-SA"/>
        </w:rPr>
        <w:t>Disthabanchong</w:t>
      </w:r>
      <w:proofErr w:type="spellEnd"/>
      <w:r w:rsidRPr="002E4D3A">
        <w:rPr>
          <w:rFonts w:ascii="Book Antiqua" w:eastAsia="宋体" w:hAnsi="Book Antiqua" w:cs="宋体"/>
          <w:b/>
          <w:bCs/>
          <w:sz w:val="24"/>
          <w:szCs w:val="24"/>
          <w:lang w:eastAsia="zh-CN" w:bidi="ar-SA"/>
        </w:rPr>
        <w:t xml:space="preserve"> S</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Jongjirasiri</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Adirekkiat</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Sumethkul</w:t>
      </w:r>
      <w:proofErr w:type="spellEnd"/>
      <w:r w:rsidRPr="002E4D3A">
        <w:rPr>
          <w:rFonts w:ascii="Book Antiqua" w:eastAsia="宋体" w:hAnsi="Book Antiqua" w:cs="宋体"/>
          <w:sz w:val="24"/>
          <w:szCs w:val="24"/>
          <w:lang w:eastAsia="zh-CN" w:bidi="ar-SA"/>
        </w:rPr>
        <w:t xml:space="preserve"> V, </w:t>
      </w:r>
      <w:proofErr w:type="spellStart"/>
      <w:r w:rsidRPr="002E4D3A">
        <w:rPr>
          <w:rFonts w:ascii="Book Antiqua" w:eastAsia="宋体" w:hAnsi="Book Antiqua" w:cs="宋体"/>
          <w:sz w:val="24"/>
          <w:szCs w:val="24"/>
          <w:lang w:eastAsia="zh-CN" w:bidi="ar-SA"/>
        </w:rPr>
        <w:t>Ingsathit</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Domrongkitchaiporn</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Phakdeekitcharoen</w:t>
      </w:r>
      <w:proofErr w:type="spellEnd"/>
      <w:r w:rsidRPr="002E4D3A">
        <w:rPr>
          <w:rFonts w:ascii="Book Antiqua" w:eastAsia="宋体" w:hAnsi="Book Antiqua" w:cs="宋体"/>
          <w:sz w:val="24"/>
          <w:szCs w:val="24"/>
          <w:lang w:eastAsia="zh-CN" w:bidi="ar-SA"/>
        </w:rPr>
        <w:t xml:space="preserve"> B, </w:t>
      </w:r>
      <w:proofErr w:type="spellStart"/>
      <w:r w:rsidRPr="002E4D3A">
        <w:rPr>
          <w:rFonts w:ascii="Book Antiqua" w:eastAsia="宋体" w:hAnsi="Book Antiqua" w:cs="宋体"/>
          <w:sz w:val="24"/>
          <w:szCs w:val="24"/>
          <w:lang w:eastAsia="zh-CN" w:bidi="ar-SA"/>
        </w:rPr>
        <w:t>Kantachuvesiri</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Kitiyakara</w:t>
      </w:r>
      <w:proofErr w:type="spellEnd"/>
      <w:r w:rsidRPr="002E4D3A">
        <w:rPr>
          <w:rFonts w:ascii="Book Antiqua" w:eastAsia="宋体" w:hAnsi="Book Antiqua" w:cs="宋体"/>
          <w:sz w:val="24"/>
          <w:szCs w:val="24"/>
          <w:lang w:eastAsia="zh-CN" w:bidi="ar-SA"/>
        </w:rPr>
        <w:t xml:space="preserve"> C. Low hip bone mineral density predicts mortality in maintenance hemodialysis patients: a five-year follow-up study. </w:t>
      </w:r>
      <w:r w:rsidRPr="002E4D3A">
        <w:rPr>
          <w:rFonts w:ascii="Book Antiqua" w:eastAsia="宋体" w:hAnsi="Book Antiqua" w:cs="宋体"/>
          <w:i/>
          <w:iCs/>
          <w:sz w:val="24"/>
          <w:szCs w:val="24"/>
          <w:lang w:eastAsia="zh-CN" w:bidi="ar-SA"/>
        </w:rPr>
        <w:t xml:space="preserve">Blood </w:t>
      </w:r>
      <w:proofErr w:type="spellStart"/>
      <w:r w:rsidRPr="002E4D3A">
        <w:rPr>
          <w:rFonts w:ascii="Book Antiqua" w:eastAsia="宋体" w:hAnsi="Book Antiqua" w:cs="宋体"/>
          <w:i/>
          <w:iCs/>
          <w:sz w:val="24"/>
          <w:szCs w:val="24"/>
          <w:lang w:eastAsia="zh-CN" w:bidi="ar-SA"/>
        </w:rPr>
        <w:t>Purif</w:t>
      </w:r>
      <w:proofErr w:type="spellEnd"/>
      <w:r w:rsidRPr="002E4D3A">
        <w:rPr>
          <w:rFonts w:ascii="Book Antiqua" w:eastAsia="宋体" w:hAnsi="Book Antiqua" w:cs="宋体"/>
          <w:sz w:val="24"/>
          <w:szCs w:val="24"/>
          <w:lang w:eastAsia="zh-CN" w:bidi="ar-SA"/>
        </w:rPr>
        <w:t xml:space="preserve"> 2014; </w:t>
      </w:r>
      <w:r w:rsidRPr="002E4D3A">
        <w:rPr>
          <w:rFonts w:ascii="Book Antiqua" w:eastAsia="宋体" w:hAnsi="Book Antiqua" w:cs="宋体"/>
          <w:b/>
          <w:bCs/>
          <w:sz w:val="24"/>
          <w:szCs w:val="24"/>
          <w:lang w:eastAsia="zh-CN" w:bidi="ar-SA"/>
        </w:rPr>
        <w:t>37</w:t>
      </w:r>
      <w:r w:rsidRPr="002E4D3A">
        <w:rPr>
          <w:rFonts w:ascii="Book Antiqua" w:eastAsia="宋体" w:hAnsi="Book Antiqua" w:cs="宋体"/>
          <w:sz w:val="24"/>
          <w:szCs w:val="24"/>
          <w:lang w:eastAsia="zh-CN" w:bidi="ar-SA"/>
        </w:rPr>
        <w:t>: 33-38 [PMID: 24503711 DOI: 10.1159/000357639]</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55 </w:t>
      </w:r>
      <w:r w:rsidRPr="002E4D3A">
        <w:rPr>
          <w:rFonts w:ascii="Book Antiqua" w:eastAsia="宋体" w:hAnsi="Book Antiqua" w:cs="宋体"/>
          <w:b/>
          <w:bCs/>
          <w:sz w:val="24"/>
          <w:szCs w:val="24"/>
          <w:lang w:eastAsia="zh-CN" w:bidi="ar-SA"/>
        </w:rPr>
        <w:t>Rosas SE</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Mensah</w:t>
      </w:r>
      <w:proofErr w:type="spellEnd"/>
      <w:r w:rsidRPr="002E4D3A">
        <w:rPr>
          <w:rFonts w:ascii="Book Antiqua" w:eastAsia="宋体" w:hAnsi="Book Antiqua" w:cs="宋体"/>
          <w:sz w:val="24"/>
          <w:szCs w:val="24"/>
          <w:lang w:eastAsia="zh-CN" w:bidi="ar-SA"/>
        </w:rPr>
        <w:t xml:space="preserve"> K, Weinstein RB, Bellamy SL, Rader DJ. </w:t>
      </w:r>
      <w:proofErr w:type="gramStart"/>
      <w:r w:rsidRPr="002E4D3A">
        <w:rPr>
          <w:rFonts w:ascii="Book Antiqua" w:eastAsia="宋体" w:hAnsi="Book Antiqua" w:cs="宋体"/>
          <w:sz w:val="24"/>
          <w:szCs w:val="24"/>
          <w:lang w:eastAsia="zh-CN" w:bidi="ar-SA"/>
        </w:rPr>
        <w:t>Coronary artery calcification in renal transplant recipients.</w:t>
      </w:r>
      <w:proofErr w:type="gramEnd"/>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i/>
          <w:iCs/>
          <w:sz w:val="24"/>
          <w:szCs w:val="24"/>
          <w:lang w:eastAsia="zh-CN" w:bidi="ar-SA"/>
        </w:rPr>
        <w:t>Am J Transplant</w:t>
      </w:r>
      <w:r w:rsidRPr="002E4D3A">
        <w:rPr>
          <w:rFonts w:ascii="Book Antiqua" w:eastAsia="宋体" w:hAnsi="Book Antiqua" w:cs="宋体"/>
          <w:sz w:val="24"/>
          <w:szCs w:val="24"/>
          <w:lang w:eastAsia="zh-CN" w:bidi="ar-SA"/>
        </w:rPr>
        <w:t xml:space="preserve"> 2005; </w:t>
      </w:r>
      <w:r w:rsidRPr="002E4D3A">
        <w:rPr>
          <w:rFonts w:ascii="Book Antiqua" w:eastAsia="宋体" w:hAnsi="Book Antiqua" w:cs="宋体"/>
          <w:b/>
          <w:bCs/>
          <w:sz w:val="24"/>
          <w:szCs w:val="24"/>
          <w:lang w:eastAsia="zh-CN" w:bidi="ar-SA"/>
        </w:rPr>
        <w:t>5</w:t>
      </w:r>
      <w:r w:rsidRPr="002E4D3A">
        <w:rPr>
          <w:rFonts w:ascii="Book Antiqua" w:eastAsia="宋体" w:hAnsi="Book Antiqua" w:cs="宋体"/>
          <w:sz w:val="24"/>
          <w:szCs w:val="24"/>
          <w:lang w:eastAsia="zh-CN" w:bidi="ar-SA"/>
        </w:rPr>
        <w:t>: 1942-1947 [PMID: 15996243 DOI: 10.1111/j.1600-6143.2005.00955.x]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proofErr w:type="gramStart"/>
      <w:r w:rsidRPr="002E4D3A">
        <w:rPr>
          <w:rFonts w:ascii="Book Antiqua" w:eastAsia="宋体" w:hAnsi="Book Antiqua" w:cs="宋体"/>
          <w:sz w:val="24"/>
          <w:szCs w:val="24"/>
          <w:lang w:eastAsia="zh-CN" w:bidi="ar-SA"/>
        </w:rPr>
        <w:t xml:space="preserve">56 </w:t>
      </w:r>
      <w:proofErr w:type="spellStart"/>
      <w:r w:rsidRPr="002E4D3A">
        <w:rPr>
          <w:rFonts w:ascii="Book Antiqua" w:eastAsia="宋体" w:hAnsi="Book Antiqua" w:cs="宋体"/>
          <w:b/>
          <w:bCs/>
          <w:sz w:val="24"/>
          <w:szCs w:val="24"/>
          <w:lang w:eastAsia="zh-CN" w:bidi="ar-SA"/>
        </w:rPr>
        <w:t>Disthabanchong</w:t>
      </w:r>
      <w:proofErr w:type="spellEnd"/>
      <w:r w:rsidRPr="002E4D3A">
        <w:rPr>
          <w:rFonts w:ascii="Book Antiqua" w:eastAsia="宋体" w:hAnsi="Book Antiqua" w:cs="宋体"/>
          <w:b/>
          <w:bCs/>
          <w:sz w:val="24"/>
          <w:szCs w:val="24"/>
          <w:lang w:eastAsia="zh-CN" w:bidi="ar-SA"/>
        </w:rPr>
        <w:t xml:space="preserve"> S</w:t>
      </w:r>
      <w:r w:rsidRPr="002E4D3A">
        <w:rPr>
          <w:rFonts w:ascii="Book Antiqua" w:eastAsia="宋体" w:hAnsi="Book Antiqua" w:cs="宋体"/>
          <w:sz w:val="24"/>
          <w:szCs w:val="24"/>
          <w:lang w:eastAsia="zh-CN" w:bidi="ar-SA"/>
        </w:rPr>
        <w:t>. Vascular calcification in chronic kidney disease</w:t>
      </w:r>
      <w:proofErr w:type="gramEnd"/>
      <w:r w:rsidRPr="002E4D3A">
        <w:rPr>
          <w:rFonts w:ascii="Book Antiqua" w:eastAsia="宋体" w:hAnsi="Book Antiqua" w:cs="宋体"/>
          <w:sz w:val="24"/>
          <w:szCs w:val="24"/>
          <w:lang w:eastAsia="zh-CN" w:bidi="ar-SA"/>
        </w:rPr>
        <w:t xml:space="preserve">: Pathogenesis and clinical implication. </w:t>
      </w:r>
      <w:r w:rsidRPr="002E4D3A">
        <w:rPr>
          <w:rFonts w:ascii="Book Antiqua" w:eastAsia="宋体" w:hAnsi="Book Antiqua" w:cs="宋体"/>
          <w:i/>
          <w:iCs/>
          <w:sz w:val="24"/>
          <w:szCs w:val="24"/>
          <w:lang w:eastAsia="zh-CN" w:bidi="ar-SA"/>
        </w:rPr>
        <w:t xml:space="preserve">World J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2012; </w:t>
      </w:r>
      <w:r w:rsidRPr="002E4D3A">
        <w:rPr>
          <w:rFonts w:ascii="Book Antiqua" w:eastAsia="宋体" w:hAnsi="Book Antiqua" w:cs="宋体"/>
          <w:b/>
          <w:bCs/>
          <w:sz w:val="24"/>
          <w:szCs w:val="24"/>
          <w:lang w:eastAsia="zh-CN" w:bidi="ar-SA"/>
        </w:rPr>
        <w:t>1</w:t>
      </w:r>
      <w:r w:rsidRPr="002E4D3A">
        <w:rPr>
          <w:rFonts w:ascii="Book Antiqua" w:eastAsia="宋体" w:hAnsi="Book Antiqua" w:cs="宋体"/>
          <w:sz w:val="24"/>
          <w:szCs w:val="24"/>
          <w:lang w:eastAsia="zh-CN" w:bidi="ar-SA"/>
        </w:rPr>
        <w:t>: 43-53 [PMID: 24175241 DOI: 10.5527/wjn.v1.i2.43]</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57 </w:t>
      </w:r>
      <w:proofErr w:type="spellStart"/>
      <w:r w:rsidRPr="002E4D3A">
        <w:rPr>
          <w:rFonts w:ascii="Book Antiqua" w:eastAsia="宋体" w:hAnsi="Book Antiqua" w:cs="宋体"/>
          <w:b/>
          <w:bCs/>
          <w:sz w:val="24"/>
          <w:szCs w:val="24"/>
          <w:lang w:eastAsia="zh-CN" w:bidi="ar-SA"/>
        </w:rPr>
        <w:t>Bargnoux</w:t>
      </w:r>
      <w:proofErr w:type="spellEnd"/>
      <w:r w:rsidRPr="002E4D3A">
        <w:rPr>
          <w:rFonts w:ascii="Book Antiqua" w:eastAsia="宋体" w:hAnsi="Book Antiqua" w:cs="宋体"/>
          <w:b/>
          <w:bCs/>
          <w:sz w:val="24"/>
          <w:szCs w:val="24"/>
          <w:lang w:eastAsia="zh-CN" w:bidi="ar-SA"/>
        </w:rPr>
        <w:t xml:space="preserve"> AS</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Dupuy</w:t>
      </w:r>
      <w:proofErr w:type="spellEnd"/>
      <w:r w:rsidRPr="002E4D3A">
        <w:rPr>
          <w:rFonts w:ascii="Book Antiqua" w:eastAsia="宋体" w:hAnsi="Book Antiqua" w:cs="宋体"/>
          <w:sz w:val="24"/>
          <w:szCs w:val="24"/>
          <w:lang w:eastAsia="zh-CN" w:bidi="ar-SA"/>
        </w:rPr>
        <w:t xml:space="preserve"> AM, </w:t>
      </w:r>
      <w:proofErr w:type="spellStart"/>
      <w:r w:rsidRPr="002E4D3A">
        <w:rPr>
          <w:rFonts w:ascii="Book Antiqua" w:eastAsia="宋体" w:hAnsi="Book Antiqua" w:cs="宋体"/>
          <w:sz w:val="24"/>
          <w:szCs w:val="24"/>
          <w:lang w:eastAsia="zh-CN" w:bidi="ar-SA"/>
        </w:rPr>
        <w:t>Garrigue</w:t>
      </w:r>
      <w:proofErr w:type="spellEnd"/>
      <w:r w:rsidRPr="002E4D3A">
        <w:rPr>
          <w:rFonts w:ascii="Book Antiqua" w:eastAsia="宋体" w:hAnsi="Book Antiqua" w:cs="宋体"/>
          <w:sz w:val="24"/>
          <w:szCs w:val="24"/>
          <w:lang w:eastAsia="zh-CN" w:bidi="ar-SA"/>
        </w:rPr>
        <w:t xml:space="preserve"> V, </w:t>
      </w:r>
      <w:proofErr w:type="spellStart"/>
      <w:r w:rsidRPr="002E4D3A">
        <w:rPr>
          <w:rFonts w:ascii="Book Antiqua" w:eastAsia="宋体" w:hAnsi="Book Antiqua" w:cs="宋体"/>
          <w:sz w:val="24"/>
          <w:szCs w:val="24"/>
          <w:lang w:eastAsia="zh-CN" w:bidi="ar-SA"/>
        </w:rPr>
        <w:t>Jaussent</w:t>
      </w:r>
      <w:proofErr w:type="spellEnd"/>
      <w:r w:rsidRPr="002E4D3A">
        <w:rPr>
          <w:rFonts w:ascii="Book Antiqua" w:eastAsia="宋体" w:hAnsi="Book Antiqua" w:cs="宋体"/>
          <w:sz w:val="24"/>
          <w:szCs w:val="24"/>
          <w:lang w:eastAsia="zh-CN" w:bidi="ar-SA"/>
        </w:rPr>
        <w:t xml:space="preserve"> I, </w:t>
      </w:r>
      <w:proofErr w:type="spellStart"/>
      <w:r w:rsidRPr="002E4D3A">
        <w:rPr>
          <w:rFonts w:ascii="Book Antiqua" w:eastAsia="宋体" w:hAnsi="Book Antiqua" w:cs="宋体"/>
          <w:sz w:val="24"/>
          <w:szCs w:val="24"/>
          <w:lang w:eastAsia="zh-CN" w:bidi="ar-SA"/>
        </w:rPr>
        <w:t>Gahide</w:t>
      </w:r>
      <w:proofErr w:type="spellEnd"/>
      <w:r w:rsidRPr="002E4D3A">
        <w:rPr>
          <w:rFonts w:ascii="Book Antiqua" w:eastAsia="宋体" w:hAnsi="Book Antiqua" w:cs="宋体"/>
          <w:sz w:val="24"/>
          <w:szCs w:val="24"/>
          <w:lang w:eastAsia="zh-CN" w:bidi="ar-SA"/>
        </w:rPr>
        <w:t xml:space="preserve"> G, </w:t>
      </w:r>
      <w:proofErr w:type="spellStart"/>
      <w:r w:rsidRPr="002E4D3A">
        <w:rPr>
          <w:rFonts w:ascii="Book Antiqua" w:eastAsia="宋体" w:hAnsi="Book Antiqua" w:cs="宋体"/>
          <w:sz w:val="24"/>
          <w:szCs w:val="24"/>
          <w:lang w:eastAsia="zh-CN" w:bidi="ar-SA"/>
        </w:rPr>
        <w:t>Badiou</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Szwarc</w:t>
      </w:r>
      <w:proofErr w:type="spellEnd"/>
      <w:r w:rsidRPr="002E4D3A">
        <w:rPr>
          <w:rFonts w:ascii="Book Antiqua" w:eastAsia="宋体" w:hAnsi="Book Antiqua" w:cs="宋体"/>
          <w:sz w:val="24"/>
          <w:szCs w:val="24"/>
          <w:lang w:eastAsia="zh-CN" w:bidi="ar-SA"/>
        </w:rPr>
        <w:t xml:space="preserve"> I, </w:t>
      </w:r>
      <w:proofErr w:type="spellStart"/>
      <w:r w:rsidRPr="002E4D3A">
        <w:rPr>
          <w:rFonts w:ascii="Book Antiqua" w:eastAsia="宋体" w:hAnsi="Book Antiqua" w:cs="宋体"/>
          <w:sz w:val="24"/>
          <w:szCs w:val="24"/>
          <w:lang w:eastAsia="zh-CN" w:bidi="ar-SA"/>
        </w:rPr>
        <w:t>Deleuze</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Vernhet</w:t>
      </w:r>
      <w:proofErr w:type="spellEnd"/>
      <w:r w:rsidRPr="002E4D3A">
        <w:rPr>
          <w:rFonts w:ascii="Book Antiqua" w:eastAsia="宋体" w:hAnsi="Book Antiqua" w:cs="宋体"/>
          <w:sz w:val="24"/>
          <w:szCs w:val="24"/>
          <w:lang w:eastAsia="zh-CN" w:bidi="ar-SA"/>
        </w:rPr>
        <w:t xml:space="preserve"> H, </w:t>
      </w:r>
      <w:proofErr w:type="spellStart"/>
      <w:r w:rsidRPr="002E4D3A">
        <w:rPr>
          <w:rFonts w:ascii="Book Antiqua" w:eastAsia="宋体" w:hAnsi="Book Antiqua" w:cs="宋体"/>
          <w:sz w:val="24"/>
          <w:szCs w:val="24"/>
          <w:lang w:eastAsia="zh-CN" w:bidi="ar-SA"/>
        </w:rPr>
        <w:t>Cristol</w:t>
      </w:r>
      <w:proofErr w:type="spellEnd"/>
      <w:r w:rsidRPr="002E4D3A">
        <w:rPr>
          <w:rFonts w:ascii="Book Antiqua" w:eastAsia="宋体" w:hAnsi="Book Antiqua" w:cs="宋体"/>
          <w:sz w:val="24"/>
          <w:szCs w:val="24"/>
          <w:lang w:eastAsia="zh-CN" w:bidi="ar-SA"/>
        </w:rPr>
        <w:t xml:space="preserve"> JP, </w:t>
      </w:r>
      <w:proofErr w:type="spellStart"/>
      <w:r w:rsidRPr="002E4D3A">
        <w:rPr>
          <w:rFonts w:ascii="Book Antiqua" w:eastAsia="宋体" w:hAnsi="Book Antiqua" w:cs="宋体"/>
          <w:sz w:val="24"/>
          <w:szCs w:val="24"/>
          <w:lang w:eastAsia="zh-CN" w:bidi="ar-SA"/>
        </w:rPr>
        <w:t>Mourad</w:t>
      </w:r>
      <w:proofErr w:type="spellEnd"/>
      <w:r w:rsidRPr="002E4D3A">
        <w:rPr>
          <w:rFonts w:ascii="Book Antiqua" w:eastAsia="宋体" w:hAnsi="Book Antiqua" w:cs="宋体"/>
          <w:sz w:val="24"/>
          <w:szCs w:val="24"/>
          <w:lang w:eastAsia="zh-CN" w:bidi="ar-SA"/>
        </w:rPr>
        <w:t xml:space="preserve"> G. Evolution of coronary artery calcifications following kidney transplantation: relationship with </w:t>
      </w:r>
      <w:proofErr w:type="spellStart"/>
      <w:r w:rsidRPr="002E4D3A">
        <w:rPr>
          <w:rFonts w:ascii="Book Antiqua" w:eastAsia="宋体" w:hAnsi="Book Antiqua" w:cs="宋体"/>
          <w:sz w:val="24"/>
          <w:szCs w:val="24"/>
          <w:lang w:eastAsia="zh-CN" w:bidi="ar-SA"/>
        </w:rPr>
        <w:t>osteoprotegerin</w:t>
      </w:r>
      <w:proofErr w:type="spellEnd"/>
      <w:r w:rsidRPr="002E4D3A">
        <w:rPr>
          <w:rFonts w:ascii="Book Antiqua" w:eastAsia="宋体" w:hAnsi="Book Antiqua" w:cs="宋体"/>
          <w:sz w:val="24"/>
          <w:szCs w:val="24"/>
          <w:lang w:eastAsia="zh-CN" w:bidi="ar-SA"/>
        </w:rPr>
        <w:t xml:space="preserve"> levels. </w:t>
      </w:r>
      <w:r w:rsidRPr="002E4D3A">
        <w:rPr>
          <w:rFonts w:ascii="Book Antiqua" w:eastAsia="宋体" w:hAnsi="Book Antiqua" w:cs="宋体"/>
          <w:i/>
          <w:iCs/>
          <w:sz w:val="24"/>
          <w:szCs w:val="24"/>
          <w:lang w:eastAsia="zh-CN" w:bidi="ar-SA"/>
        </w:rPr>
        <w:t>Am J Transplant</w:t>
      </w:r>
      <w:r w:rsidRPr="002E4D3A">
        <w:rPr>
          <w:rFonts w:ascii="Book Antiqua" w:eastAsia="宋体" w:hAnsi="Book Antiqua" w:cs="宋体"/>
          <w:sz w:val="24"/>
          <w:szCs w:val="24"/>
          <w:lang w:eastAsia="zh-CN" w:bidi="ar-SA"/>
        </w:rPr>
        <w:t xml:space="preserve"> 2009; </w:t>
      </w:r>
      <w:r w:rsidRPr="002E4D3A">
        <w:rPr>
          <w:rFonts w:ascii="Book Antiqua" w:eastAsia="宋体" w:hAnsi="Book Antiqua" w:cs="宋体"/>
          <w:b/>
          <w:bCs/>
          <w:sz w:val="24"/>
          <w:szCs w:val="24"/>
          <w:lang w:eastAsia="zh-CN" w:bidi="ar-SA"/>
        </w:rPr>
        <w:t>9</w:t>
      </w:r>
      <w:r w:rsidRPr="002E4D3A">
        <w:rPr>
          <w:rFonts w:ascii="Book Antiqua" w:eastAsia="宋体" w:hAnsi="Book Antiqua" w:cs="宋体"/>
          <w:sz w:val="24"/>
          <w:szCs w:val="24"/>
          <w:lang w:eastAsia="zh-CN" w:bidi="ar-SA"/>
        </w:rPr>
        <w:t>: 2571-2579 [PMID: 19775319 DOI: 10.1111/j.1600-6143.2009.02814.x]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58 </w:t>
      </w:r>
      <w:proofErr w:type="spellStart"/>
      <w:r w:rsidRPr="002E4D3A">
        <w:rPr>
          <w:rFonts w:ascii="Book Antiqua" w:eastAsia="宋体" w:hAnsi="Book Antiqua" w:cs="宋体"/>
          <w:b/>
          <w:bCs/>
          <w:sz w:val="24"/>
          <w:szCs w:val="24"/>
          <w:lang w:eastAsia="zh-CN" w:bidi="ar-SA"/>
        </w:rPr>
        <w:t>Maréchal</w:t>
      </w:r>
      <w:proofErr w:type="spellEnd"/>
      <w:r w:rsidRPr="002E4D3A">
        <w:rPr>
          <w:rFonts w:ascii="Book Antiqua" w:eastAsia="宋体" w:hAnsi="Book Antiqua" w:cs="宋体"/>
          <w:b/>
          <w:bCs/>
          <w:sz w:val="24"/>
          <w:szCs w:val="24"/>
          <w:lang w:eastAsia="zh-CN" w:bidi="ar-SA"/>
        </w:rPr>
        <w:t xml:space="preserve"> C</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Coche</w:t>
      </w:r>
      <w:proofErr w:type="spellEnd"/>
      <w:r w:rsidRPr="002E4D3A">
        <w:rPr>
          <w:rFonts w:ascii="Book Antiqua" w:eastAsia="宋体" w:hAnsi="Book Antiqua" w:cs="宋体"/>
          <w:sz w:val="24"/>
          <w:szCs w:val="24"/>
          <w:lang w:eastAsia="zh-CN" w:bidi="ar-SA"/>
        </w:rPr>
        <w:t xml:space="preserve"> E, </w:t>
      </w:r>
      <w:proofErr w:type="spellStart"/>
      <w:r w:rsidRPr="002E4D3A">
        <w:rPr>
          <w:rFonts w:ascii="Book Antiqua" w:eastAsia="宋体" w:hAnsi="Book Antiqua" w:cs="宋体"/>
          <w:sz w:val="24"/>
          <w:szCs w:val="24"/>
          <w:lang w:eastAsia="zh-CN" w:bidi="ar-SA"/>
        </w:rPr>
        <w:t>Goffin</w:t>
      </w:r>
      <w:proofErr w:type="spellEnd"/>
      <w:r w:rsidRPr="002E4D3A">
        <w:rPr>
          <w:rFonts w:ascii="Book Antiqua" w:eastAsia="宋体" w:hAnsi="Book Antiqua" w:cs="宋体"/>
          <w:sz w:val="24"/>
          <w:szCs w:val="24"/>
          <w:lang w:eastAsia="zh-CN" w:bidi="ar-SA"/>
        </w:rPr>
        <w:t xml:space="preserve"> E, </w:t>
      </w:r>
      <w:proofErr w:type="spellStart"/>
      <w:r w:rsidRPr="002E4D3A">
        <w:rPr>
          <w:rFonts w:ascii="Book Antiqua" w:eastAsia="宋体" w:hAnsi="Book Antiqua" w:cs="宋体"/>
          <w:sz w:val="24"/>
          <w:szCs w:val="24"/>
          <w:lang w:eastAsia="zh-CN" w:bidi="ar-SA"/>
        </w:rPr>
        <w:t>Dragean</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Schlieper</w:t>
      </w:r>
      <w:proofErr w:type="spellEnd"/>
      <w:r w:rsidRPr="002E4D3A">
        <w:rPr>
          <w:rFonts w:ascii="Book Antiqua" w:eastAsia="宋体" w:hAnsi="Book Antiqua" w:cs="宋体"/>
          <w:sz w:val="24"/>
          <w:szCs w:val="24"/>
          <w:lang w:eastAsia="zh-CN" w:bidi="ar-SA"/>
        </w:rPr>
        <w:t xml:space="preserve"> G, Nguyen P, </w:t>
      </w:r>
      <w:proofErr w:type="spellStart"/>
      <w:r w:rsidRPr="002E4D3A">
        <w:rPr>
          <w:rFonts w:ascii="Book Antiqua" w:eastAsia="宋体" w:hAnsi="Book Antiqua" w:cs="宋体"/>
          <w:sz w:val="24"/>
          <w:szCs w:val="24"/>
          <w:lang w:eastAsia="zh-CN" w:bidi="ar-SA"/>
        </w:rPr>
        <w:t>Floege</w:t>
      </w:r>
      <w:proofErr w:type="spellEnd"/>
      <w:r w:rsidRPr="002E4D3A">
        <w:rPr>
          <w:rFonts w:ascii="Book Antiqua" w:eastAsia="宋体" w:hAnsi="Book Antiqua" w:cs="宋体"/>
          <w:sz w:val="24"/>
          <w:szCs w:val="24"/>
          <w:lang w:eastAsia="zh-CN" w:bidi="ar-SA"/>
        </w:rPr>
        <w:t xml:space="preserve"> J, </w:t>
      </w:r>
      <w:proofErr w:type="spellStart"/>
      <w:r w:rsidRPr="002E4D3A">
        <w:rPr>
          <w:rFonts w:ascii="Book Antiqua" w:eastAsia="宋体" w:hAnsi="Book Antiqua" w:cs="宋体"/>
          <w:sz w:val="24"/>
          <w:szCs w:val="24"/>
          <w:lang w:eastAsia="zh-CN" w:bidi="ar-SA"/>
        </w:rPr>
        <w:t>Kanaan</w:t>
      </w:r>
      <w:proofErr w:type="spellEnd"/>
      <w:r w:rsidRPr="002E4D3A">
        <w:rPr>
          <w:rFonts w:ascii="Book Antiqua" w:eastAsia="宋体" w:hAnsi="Book Antiqua" w:cs="宋体"/>
          <w:sz w:val="24"/>
          <w:szCs w:val="24"/>
          <w:lang w:eastAsia="zh-CN" w:bidi="ar-SA"/>
        </w:rPr>
        <w:t xml:space="preserve"> N, </w:t>
      </w:r>
      <w:proofErr w:type="spellStart"/>
      <w:r w:rsidRPr="002E4D3A">
        <w:rPr>
          <w:rFonts w:ascii="Book Antiqua" w:eastAsia="宋体" w:hAnsi="Book Antiqua" w:cs="宋体"/>
          <w:sz w:val="24"/>
          <w:szCs w:val="24"/>
          <w:lang w:eastAsia="zh-CN" w:bidi="ar-SA"/>
        </w:rPr>
        <w:t>Devuyst</w:t>
      </w:r>
      <w:proofErr w:type="spellEnd"/>
      <w:r w:rsidRPr="002E4D3A">
        <w:rPr>
          <w:rFonts w:ascii="Book Antiqua" w:eastAsia="宋体" w:hAnsi="Book Antiqua" w:cs="宋体"/>
          <w:sz w:val="24"/>
          <w:szCs w:val="24"/>
          <w:lang w:eastAsia="zh-CN" w:bidi="ar-SA"/>
        </w:rPr>
        <w:t xml:space="preserve"> O, </w:t>
      </w:r>
      <w:proofErr w:type="spellStart"/>
      <w:r w:rsidRPr="002E4D3A">
        <w:rPr>
          <w:rFonts w:ascii="Book Antiqua" w:eastAsia="宋体" w:hAnsi="Book Antiqua" w:cs="宋体"/>
          <w:sz w:val="24"/>
          <w:szCs w:val="24"/>
          <w:lang w:eastAsia="zh-CN" w:bidi="ar-SA"/>
        </w:rPr>
        <w:t>Jadoul</w:t>
      </w:r>
      <w:proofErr w:type="spellEnd"/>
      <w:r w:rsidRPr="002E4D3A">
        <w:rPr>
          <w:rFonts w:ascii="Book Antiqua" w:eastAsia="宋体" w:hAnsi="Book Antiqua" w:cs="宋体"/>
          <w:sz w:val="24"/>
          <w:szCs w:val="24"/>
          <w:lang w:eastAsia="zh-CN" w:bidi="ar-SA"/>
        </w:rPr>
        <w:t xml:space="preserve"> M. Progression of coronary artery calcification and thoracic aorta calcification in kidney transplant recipients. </w:t>
      </w:r>
      <w:r w:rsidRPr="002E4D3A">
        <w:rPr>
          <w:rFonts w:ascii="Book Antiqua" w:eastAsia="宋体" w:hAnsi="Book Antiqua" w:cs="宋体"/>
          <w:i/>
          <w:iCs/>
          <w:sz w:val="24"/>
          <w:szCs w:val="24"/>
          <w:lang w:eastAsia="zh-CN" w:bidi="ar-SA"/>
        </w:rPr>
        <w:t>Am J Kidney Dis</w:t>
      </w:r>
      <w:r w:rsidRPr="002E4D3A">
        <w:rPr>
          <w:rFonts w:ascii="Book Antiqua" w:eastAsia="宋体" w:hAnsi="Book Antiqua" w:cs="宋体"/>
          <w:sz w:val="24"/>
          <w:szCs w:val="24"/>
          <w:lang w:eastAsia="zh-CN" w:bidi="ar-SA"/>
        </w:rPr>
        <w:t xml:space="preserve"> 2012; </w:t>
      </w:r>
      <w:r w:rsidRPr="002E4D3A">
        <w:rPr>
          <w:rFonts w:ascii="Book Antiqua" w:eastAsia="宋体" w:hAnsi="Book Antiqua" w:cs="宋体"/>
          <w:b/>
          <w:bCs/>
          <w:sz w:val="24"/>
          <w:szCs w:val="24"/>
          <w:lang w:eastAsia="zh-CN" w:bidi="ar-SA"/>
        </w:rPr>
        <w:t>59</w:t>
      </w:r>
      <w:r w:rsidRPr="002E4D3A">
        <w:rPr>
          <w:rFonts w:ascii="Book Antiqua" w:eastAsia="宋体" w:hAnsi="Book Antiqua" w:cs="宋体"/>
          <w:sz w:val="24"/>
          <w:szCs w:val="24"/>
          <w:lang w:eastAsia="zh-CN" w:bidi="ar-SA"/>
        </w:rPr>
        <w:t>: 258-269 [PMID: 21944666 DOI: 10.1053/j.ajkd.2011.07.019]</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59 </w:t>
      </w:r>
      <w:proofErr w:type="spellStart"/>
      <w:r w:rsidRPr="002E4D3A">
        <w:rPr>
          <w:rFonts w:ascii="Book Antiqua" w:eastAsia="宋体" w:hAnsi="Book Antiqua" w:cs="宋体"/>
          <w:b/>
          <w:bCs/>
          <w:sz w:val="24"/>
          <w:szCs w:val="24"/>
          <w:lang w:eastAsia="zh-CN" w:bidi="ar-SA"/>
        </w:rPr>
        <w:t>Seyahi</w:t>
      </w:r>
      <w:proofErr w:type="spellEnd"/>
      <w:r w:rsidRPr="002E4D3A">
        <w:rPr>
          <w:rFonts w:ascii="Book Antiqua" w:eastAsia="宋体" w:hAnsi="Book Antiqua" w:cs="宋体"/>
          <w:b/>
          <w:bCs/>
          <w:sz w:val="24"/>
          <w:szCs w:val="24"/>
          <w:lang w:eastAsia="zh-CN" w:bidi="ar-SA"/>
        </w:rPr>
        <w:t xml:space="preserve"> N</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Cebi</w:t>
      </w:r>
      <w:proofErr w:type="spellEnd"/>
      <w:r w:rsidRPr="002E4D3A">
        <w:rPr>
          <w:rFonts w:ascii="Book Antiqua" w:eastAsia="宋体" w:hAnsi="Book Antiqua" w:cs="宋体"/>
          <w:sz w:val="24"/>
          <w:szCs w:val="24"/>
          <w:lang w:eastAsia="zh-CN" w:bidi="ar-SA"/>
        </w:rPr>
        <w:t xml:space="preserve"> D, </w:t>
      </w:r>
      <w:proofErr w:type="spellStart"/>
      <w:r w:rsidRPr="002E4D3A">
        <w:rPr>
          <w:rFonts w:ascii="Book Antiqua" w:eastAsia="宋体" w:hAnsi="Book Antiqua" w:cs="宋体"/>
          <w:sz w:val="24"/>
          <w:szCs w:val="24"/>
          <w:lang w:eastAsia="zh-CN" w:bidi="ar-SA"/>
        </w:rPr>
        <w:t>Altiparmak</w:t>
      </w:r>
      <w:proofErr w:type="spellEnd"/>
      <w:r w:rsidRPr="002E4D3A">
        <w:rPr>
          <w:rFonts w:ascii="Book Antiqua" w:eastAsia="宋体" w:hAnsi="Book Antiqua" w:cs="宋体"/>
          <w:sz w:val="24"/>
          <w:szCs w:val="24"/>
          <w:lang w:eastAsia="zh-CN" w:bidi="ar-SA"/>
        </w:rPr>
        <w:t xml:space="preserve"> MR, </w:t>
      </w:r>
      <w:proofErr w:type="spellStart"/>
      <w:r w:rsidRPr="002E4D3A">
        <w:rPr>
          <w:rFonts w:ascii="Book Antiqua" w:eastAsia="宋体" w:hAnsi="Book Antiqua" w:cs="宋体"/>
          <w:sz w:val="24"/>
          <w:szCs w:val="24"/>
          <w:lang w:eastAsia="zh-CN" w:bidi="ar-SA"/>
        </w:rPr>
        <w:t>Akman</w:t>
      </w:r>
      <w:proofErr w:type="spellEnd"/>
      <w:r w:rsidRPr="002E4D3A">
        <w:rPr>
          <w:rFonts w:ascii="Book Antiqua" w:eastAsia="宋体" w:hAnsi="Book Antiqua" w:cs="宋体"/>
          <w:sz w:val="24"/>
          <w:szCs w:val="24"/>
          <w:lang w:eastAsia="zh-CN" w:bidi="ar-SA"/>
        </w:rPr>
        <w:t xml:space="preserve"> C, Ataman R, </w:t>
      </w:r>
      <w:proofErr w:type="spellStart"/>
      <w:r w:rsidRPr="002E4D3A">
        <w:rPr>
          <w:rFonts w:ascii="Book Antiqua" w:eastAsia="宋体" w:hAnsi="Book Antiqua" w:cs="宋体"/>
          <w:sz w:val="24"/>
          <w:szCs w:val="24"/>
          <w:lang w:eastAsia="zh-CN" w:bidi="ar-SA"/>
        </w:rPr>
        <w:t>Pekmezci</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Serdengecti</w:t>
      </w:r>
      <w:proofErr w:type="spellEnd"/>
      <w:r w:rsidRPr="002E4D3A">
        <w:rPr>
          <w:rFonts w:ascii="Book Antiqua" w:eastAsia="宋体" w:hAnsi="Book Antiqua" w:cs="宋体"/>
          <w:sz w:val="24"/>
          <w:szCs w:val="24"/>
          <w:lang w:eastAsia="zh-CN" w:bidi="ar-SA"/>
        </w:rPr>
        <w:t xml:space="preserve"> K. Progression of coronary artery calcification in renal transplant recipients.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i/>
          <w:iCs/>
          <w:sz w:val="24"/>
          <w:szCs w:val="24"/>
          <w:lang w:eastAsia="zh-CN" w:bidi="ar-SA"/>
        </w:rPr>
        <w:t xml:space="preserve"> Dial Transplant</w:t>
      </w:r>
      <w:r w:rsidRPr="002E4D3A">
        <w:rPr>
          <w:rFonts w:ascii="Book Antiqua" w:eastAsia="宋体" w:hAnsi="Book Antiqua" w:cs="宋体"/>
          <w:sz w:val="24"/>
          <w:szCs w:val="24"/>
          <w:lang w:eastAsia="zh-CN" w:bidi="ar-SA"/>
        </w:rPr>
        <w:t xml:space="preserve"> 2012; </w:t>
      </w:r>
      <w:r w:rsidRPr="002E4D3A">
        <w:rPr>
          <w:rFonts w:ascii="Book Antiqua" w:eastAsia="宋体" w:hAnsi="Book Antiqua" w:cs="宋体"/>
          <w:b/>
          <w:bCs/>
          <w:sz w:val="24"/>
          <w:szCs w:val="24"/>
          <w:lang w:eastAsia="zh-CN" w:bidi="ar-SA"/>
        </w:rPr>
        <w:t>27</w:t>
      </w:r>
      <w:r w:rsidRPr="002E4D3A">
        <w:rPr>
          <w:rFonts w:ascii="Book Antiqua" w:eastAsia="宋体" w:hAnsi="Book Antiqua" w:cs="宋体"/>
          <w:sz w:val="24"/>
          <w:szCs w:val="24"/>
          <w:lang w:eastAsia="zh-CN" w:bidi="ar-SA"/>
        </w:rPr>
        <w:t>: 2101-2107 [PMID: 21965591 DOI: 10.1093/</w:t>
      </w:r>
      <w:proofErr w:type="spellStart"/>
      <w:r w:rsidRPr="002E4D3A">
        <w:rPr>
          <w:rFonts w:ascii="Book Antiqua" w:eastAsia="宋体" w:hAnsi="Book Antiqua" w:cs="宋体"/>
          <w:sz w:val="24"/>
          <w:szCs w:val="24"/>
          <w:lang w:eastAsia="zh-CN" w:bidi="ar-SA"/>
        </w:rPr>
        <w:t>ndt</w:t>
      </w:r>
      <w:proofErr w:type="spellEnd"/>
      <w:r w:rsidRPr="002E4D3A">
        <w:rPr>
          <w:rFonts w:ascii="Book Antiqua" w:eastAsia="宋体" w:hAnsi="Book Antiqua" w:cs="宋体"/>
          <w:sz w:val="24"/>
          <w:szCs w:val="24"/>
          <w:lang w:eastAsia="zh-CN" w:bidi="ar-SA"/>
        </w:rPr>
        <w:t>/gfr558]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60 </w:t>
      </w:r>
      <w:proofErr w:type="spellStart"/>
      <w:r w:rsidRPr="002E4D3A">
        <w:rPr>
          <w:rFonts w:ascii="Book Antiqua" w:eastAsia="宋体" w:hAnsi="Book Antiqua" w:cs="宋体"/>
          <w:b/>
          <w:bCs/>
          <w:sz w:val="24"/>
          <w:szCs w:val="24"/>
          <w:lang w:eastAsia="zh-CN" w:bidi="ar-SA"/>
        </w:rPr>
        <w:t>Vipattawat</w:t>
      </w:r>
      <w:proofErr w:type="spellEnd"/>
      <w:r w:rsidRPr="002E4D3A">
        <w:rPr>
          <w:rFonts w:ascii="Book Antiqua" w:eastAsia="宋体" w:hAnsi="Book Antiqua" w:cs="宋体"/>
          <w:b/>
          <w:bCs/>
          <w:sz w:val="24"/>
          <w:szCs w:val="24"/>
          <w:lang w:eastAsia="zh-CN" w:bidi="ar-SA"/>
        </w:rPr>
        <w:t xml:space="preserve"> K</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Kitiyakara</w:t>
      </w:r>
      <w:proofErr w:type="spellEnd"/>
      <w:r w:rsidRPr="002E4D3A">
        <w:rPr>
          <w:rFonts w:ascii="Book Antiqua" w:eastAsia="宋体" w:hAnsi="Book Antiqua" w:cs="宋体"/>
          <w:sz w:val="24"/>
          <w:szCs w:val="24"/>
          <w:lang w:eastAsia="zh-CN" w:bidi="ar-SA"/>
        </w:rPr>
        <w:t xml:space="preserve"> C, </w:t>
      </w:r>
      <w:proofErr w:type="spellStart"/>
      <w:r w:rsidRPr="002E4D3A">
        <w:rPr>
          <w:rFonts w:ascii="Book Antiqua" w:eastAsia="宋体" w:hAnsi="Book Antiqua" w:cs="宋体"/>
          <w:sz w:val="24"/>
          <w:szCs w:val="24"/>
          <w:lang w:eastAsia="zh-CN" w:bidi="ar-SA"/>
        </w:rPr>
        <w:t>Phakdeekitcharoen</w:t>
      </w:r>
      <w:proofErr w:type="spellEnd"/>
      <w:r w:rsidRPr="002E4D3A">
        <w:rPr>
          <w:rFonts w:ascii="Book Antiqua" w:eastAsia="宋体" w:hAnsi="Book Antiqua" w:cs="宋体"/>
          <w:sz w:val="24"/>
          <w:szCs w:val="24"/>
          <w:lang w:eastAsia="zh-CN" w:bidi="ar-SA"/>
        </w:rPr>
        <w:t xml:space="preserve"> B, </w:t>
      </w:r>
      <w:proofErr w:type="spellStart"/>
      <w:r w:rsidRPr="002E4D3A">
        <w:rPr>
          <w:rFonts w:ascii="Book Antiqua" w:eastAsia="宋体" w:hAnsi="Book Antiqua" w:cs="宋体"/>
          <w:sz w:val="24"/>
          <w:szCs w:val="24"/>
          <w:lang w:eastAsia="zh-CN" w:bidi="ar-SA"/>
        </w:rPr>
        <w:t>Kantachuvesiri</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Sumethkul</w:t>
      </w:r>
      <w:proofErr w:type="spellEnd"/>
      <w:r w:rsidRPr="002E4D3A">
        <w:rPr>
          <w:rFonts w:ascii="Book Antiqua" w:eastAsia="宋体" w:hAnsi="Book Antiqua" w:cs="宋体"/>
          <w:sz w:val="24"/>
          <w:szCs w:val="24"/>
          <w:lang w:eastAsia="zh-CN" w:bidi="ar-SA"/>
        </w:rPr>
        <w:t xml:space="preserve"> V, </w:t>
      </w:r>
      <w:proofErr w:type="spellStart"/>
      <w:r w:rsidRPr="002E4D3A">
        <w:rPr>
          <w:rFonts w:ascii="Book Antiqua" w:eastAsia="宋体" w:hAnsi="Book Antiqua" w:cs="宋体"/>
          <w:sz w:val="24"/>
          <w:szCs w:val="24"/>
          <w:lang w:eastAsia="zh-CN" w:bidi="ar-SA"/>
        </w:rPr>
        <w:t>Jirasiritham</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Stitchantrakul</w:t>
      </w:r>
      <w:proofErr w:type="spellEnd"/>
      <w:r w:rsidRPr="002E4D3A">
        <w:rPr>
          <w:rFonts w:ascii="Book Antiqua" w:eastAsia="宋体" w:hAnsi="Book Antiqua" w:cs="宋体"/>
          <w:sz w:val="24"/>
          <w:szCs w:val="24"/>
          <w:lang w:eastAsia="zh-CN" w:bidi="ar-SA"/>
        </w:rPr>
        <w:t xml:space="preserve"> W, </w:t>
      </w:r>
      <w:proofErr w:type="spellStart"/>
      <w:r w:rsidRPr="002E4D3A">
        <w:rPr>
          <w:rFonts w:ascii="Book Antiqua" w:eastAsia="宋体" w:hAnsi="Book Antiqua" w:cs="宋体"/>
          <w:sz w:val="24"/>
          <w:szCs w:val="24"/>
          <w:lang w:eastAsia="zh-CN" w:bidi="ar-SA"/>
        </w:rPr>
        <w:t>Disthabanchong</w:t>
      </w:r>
      <w:proofErr w:type="spellEnd"/>
      <w:r w:rsidRPr="002E4D3A">
        <w:rPr>
          <w:rFonts w:ascii="Book Antiqua" w:eastAsia="宋体" w:hAnsi="Book Antiqua" w:cs="宋体"/>
          <w:sz w:val="24"/>
          <w:szCs w:val="24"/>
          <w:lang w:eastAsia="zh-CN" w:bidi="ar-SA"/>
        </w:rPr>
        <w:t xml:space="preserve"> S. Vascular calcification in long-term kidney transplantation. </w:t>
      </w:r>
      <w:r w:rsidRPr="002E4D3A">
        <w:rPr>
          <w:rFonts w:ascii="Book Antiqua" w:eastAsia="宋体" w:hAnsi="Book Antiqua" w:cs="宋体"/>
          <w:i/>
          <w:iCs/>
          <w:sz w:val="24"/>
          <w:szCs w:val="24"/>
          <w:lang w:eastAsia="zh-CN" w:bidi="ar-SA"/>
        </w:rPr>
        <w:t xml:space="preserve">Nephrology </w:t>
      </w:r>
      <w:r w:rsidRPr="002E4D3A">
        <w:rPr>
          <w:rFonts w:ascii="Book Antiqua" w:eastAsia="宋体" w:hAnsi="Book Antiqua" w:cs="宋体"/>
          <w:iCs/>
          <w:sz w:val="24"/>
          <w:szCs w:val="24"/>
          <w:lang w:eastAsia="zh-CN" w:bidi="ar-SA"/>
        </w:rPr>
        <w:t>(Carlton)</w:t>
      </w:r>
      <w:r w:rsidRPr="002E4D3A">
        <w:rPr>
          <w:rFonts w:ascii="Book Antiqua" w:eastAsia="宋体" w:hAnsi="Book Antiqua" w:cs="宋体"/>
          <w:sz w:val="24"/>
          <w:szCs w:val="24"/>
          <w:lang w:eastAsia="zh-CN" w:bidi="ar-SA"/>
        </w:rPr>
        <w:t xml:space="preserve"> 2014; </w:t>
      </w:r>
      <w:r w:rsidRPr="002E4D3A">
        <w:rPr>
          <w:rFonts w:ascii="Book Antiqua" w:eastAsia="宋体" w:hAnsi="Book Antiqua" w:cs="宋体"/>
          <w:b/>
          <w:bCs/>
          <w:sz w:val="24"/>
          <w:szCs w:val="24"/>
          <w:lang w:eastAsia="zh-CN" w:bidi="ar-SA"/>
        </w:rPr>
        <w:t>19</w:t>
      </w:r>
      <w:r w:rsidRPr="002E4D3A">
        <w:rPr>
          <w:rFonts w:ascii="Book Antiqua" w:eastAsia="宋体" w:hAnsi="Book Antiqua" w:cs="宋体"/>
          <w:sz w:val="24"/>
          <w:szCs w:val="24"/>
          <w:lang w:eastAsia="zh-CN" w:bidi="ar-SA"/>
        </w:rPr>
        <w:t>: 251-256 [PMID: 24447254 DOI: 10.1111/nep.12210]</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lastRenderedPageBreak/>
        <w:t xml:space="preserve">61 </w:t>
      </w:r>
      <w:proofErr w:type="spellStart"/>
      <w:r w:rsidRPr="002E4D3A">
        <w:rPr>
          <w:rFonts w:ascii="Book Antiqua" w:eastAsia="宋体" w:hAnsi="Book Antiqua" w:cs="宋体"/>
          <w:b/>
          <w:bCs/>
          <w:sz w:val="24"/>
          <w:szCs w:val="24"/>
          <w:lang w:eastAsia="zh-CN" w:bidi="ar-SA"/>
        </w:rPr>
        <w:t>Cianciolo</w:t>
      </w:r>
      <w:proofErr w:type="spellEnd"/>
      <w:r w:rsidRPr="002E4D3A">
        <w:rPr>
          <w:rFonts w:ascii="Book Antiqua" w:eastAsia="宋体" w:hAnsi="Book Antiqua" w:cs="宋体"/>
          <w:b/>
          <w:bCs/>
          <w:sz w:val="24"/>
          <w:szCs w:val="24"/>
          <w:lang w:eastAsia="zh-CN" w:bidi="ar-SA"/>
        </w:rPr>
        <w:t xml:space="preserve"> G</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Capelli</w:t>
      </w:r>
      <w:proofErr w:type="spellEnd"/>
      <w:r w:rsidRPr="002E4D3A">
        <w:rPr>
          <w:rFonts w:ascii="Book Antiqua" w:eastAsia="宋体" w:hAnsi="Book Antiqua" w:cs="宋体"/>
          <w:sz w:val="24"/>
          <w:szCs w:val="24"/>
          <w:lang w:eastAsia="zh-CN" w:bidi="ar-SA"/>
        </w:rPr>
        <w:t xml:space="preserve"> I, </w:t>
      </w:r>
      <w:proofErr w:type="spellStart"/>
      <w:r w:rsidRPr="002E4D3A">
        <w:rPr>
          <w:rFonts w:ascii="Book Antiqua" w:eastAsia="宋体" w:hAnsi="Book Antiqua" w:cs="宋体"/>
          <w:sz w:val="24"/>
          <w:szCs w:val="24"/>
          <w:lang w:eastAsia="zh-CN" w:bidi="ar-SA"/>
        </w:rPr>
        <w:t>Angelini</w:t>
      </w:r>
      <w:proofErr w:type="spellEnd"/>
      <w:r w:rsidRPr="002E4D3A">
        <w:rPr>
          <w:rFonts w:ascii="Book Antiqua" w:eastAsia="宋体" w:hAnsi="Book Antiqua" w:cs="宋体"/>
          <w:sz w:val="24"/>
          <w:szCs w:val="24"/>
          <w:lang w:eastAsia="zh-CN" w:bidi="ar-SA"/>
        </w:rPr>
        <w:t xml:space="preserve"> ML, </w:t>
      </w:r>
      <w:proofErr w:type="spellStart"/>
      <w:r w:rsidRPr="002E4D3A">
        <w:rPr>
          <w:rFonts w:ascii="Book Antiqua" w:eastAsia="宋体" w:hAnsi="Book Antiqua" w:cs="宋体"/>
          <w:sz w:val="24"/>
          <w:szCs w:val="24"/>
          <w:lang w:eastAsia="zh-CN" w:bidi="ar-SA"/>
        </w:rPr>
        <w:t>Valentini</w:t>
      </w:r>
      <w:proofErr w:type="spellEnd"/>
      <w:r w:rsidRPr="002E4D3A">
        <w:rPr>
          <w:rFonts w:ascii="Book Antiqua" w:eastAsia="宋体" w:hAnsi="Book Antiqua" w:cs="宋体"/>
          <w:sz w:val="24"/>
          <w:szCs w:val="24"/>
          <w:lang w:eastAsia="zh-CN" w:bidi="ar-SA"/>
        </w:rPr>
        <w:t xml:space="preserve"> C, </w:t>
      </w:r>
      <w:proofErr w:type="spellStart"/>
      <w:r w:rsidRPr="002E4D3A">
        <w:rPr>
          <w:rFonts w:ascii="Book Antiqua" w:eastAsia="宋体" w:hAnsi="Book Antiqua" w:cs="宋体"/>
          <w:sz w:val="24"/>
          <w:szCs w:val="24"/>
          <w:lang w:eastAsia="zh-CN" w:bidi="ar-SA"/>
        </w:rPr>
        <w:t>Baraldi</w:t>
      </w:r>
      <w:proofErr w:type="spellEnd"/>
      <w:r w:rsidRPr="002E4D3A">
        <w:rPr>
          <w:rFonts w:ascii="Book Antiqua" w:eastAsia="宋体" w:hAnsi="Book Antiqua" w:cs="宋体"/>
          <w:sz w:val="24"/>
          <w:szCs w:val="24"/>
          <w:lang w:eastAsia="zh-CN" w:bidi="ar-SA"/>
        </w:rPr>
        <w:t xml:space="preserve"> O, </w:t>
      </w:r>
      <w:proofErr w:type="spellStart"/>
      <w:r w:rsidRPr="002E4D3A">
        <w:rPr>
          <w:rFonts w:ascii="Book Antiqua" w:eastAsia="宋体" w:hAnsi="Book Antiqua" w:cs="宋体"/>
          <w:sz w:val="24"/>
          <w:szCs w:val="24"/>
          <w:lang w:eastAsia="zh-CN" w:bidi="ar-SA"/>
        </w:rPr>
        <w:t>Scolari</w:t>
      </w:r>
      <w:proofErr w:type="spellEnd"/>
      <w:r w:rsidRPr="002E4D3A">
        <w:rPr>
          <w:rFonts w:ascii="Book Antiqua" w:eastAsia="宋体" w:hAnsi="Book Antiqua" w:cs="宋体"/>
          <w:sz w:val="24"/>
          <w:szCs w:val="24"/>
          <w:lang w:eastAsia="zh-CN" w:bidi="ar-SA"/>
        </w:rPr>
        <w:t xml:space="preserve"> MP, </w:t>
      </w:r>
      <w:proofErr w:type="spellStart"/>
      <w:r w:rsidRPr="002E4D3A">
        <w:rPr>
          <w:rFonts w:ascii="Book Antiqua" w:eastAsia="宋体" w:hAnsi="Book Antiqua" w:cs="宋体"/>
          <w:sz w:val="24"/>
          <w:szCs w:val="24"/>
          <w:lang w:eastAsia="zh-CN" w:bidi="ar-SA"/>
        </w:rPr>
        <w:t>Stefoni</w:t>
      </w:r>
      <w:proofErr w:type="spellEnd"/>
      <w:r w:rsidRPr="002E4D3A">
        <w:rPr>
          <w:rFonts w:ascii="Book Antiqua" w:eastAsia="宋体" w:hAnsi="Book Antiqua" w:cs="宋体"/>
          <w:sz w:val="24"/>
          <w:szCs w:val="24"/>
          <w:lang w:eastAsia="zh-CN" w:bidi="ar-SA"/>
        </w:rPr>
        <w:t xml:space="preserve"> S. Importance of vascular calcification in kidney transplant recipients. </w:t>
      </w:r>
      <w:r w:rsidRPr="002E4D3A">
        <w:rPr>
          <w:rFonts w:ascii="Book Antiqua" w:eastAsia="宋体" w:hAnsi="Book Antiqua" w:cs="宋体"/>
          <w:i/>
          <w:iCs/>
          <w:sz w:val="24"/>
          <w:szCs w:val="24"/>
          <w:lang w:eastAsia="zh-CN" w:bidi="ar-SA"/>
        </w:rPr>
        <w:t xml:space="preserve">Am J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2014; </w:t>
      </w:r>
      <w:r w:rsidRPr="002E4D3A">
        <w:rPr>
          <w:rFonts w:ascii="Book Antiqua" w:eastAsia="宋体" w:hAnsi="Book Antiqua" w:cs="宋体"/>
          <w:b/>
          <w:bCs/>
          <w:sz w:val="24"/>
          <w:szCs w:val="24"/>
          <w:lang w:eastAsia="zh-CN" w:bidi="ar-SA"/>
        </w:rPr>
        <w:t>39</w:t>
      </w:r>
      <w:r w:rsidRPr="002E4D3A">
        <w:rPr>
          <w:rFonts w:ascii="Book Antiqua" w:eastAsia="宋体" w:hAnsi="Book Antiqua" w:cs="宋体"/>
          <w:sz w:val="24"/>
          <w:szCs w:val="24"/>
          <w:lang w:eastAsia="zh-CN" w:bidi="ar-SA"/>
        </w:rPr>
        <w:t>: 418-426 [PMID: 24819032 DOI: 10.1159/000362492]</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62 </w:t>
      </w:r>
      <w:r w:rsidRPr="002E4D3A">
        <w:rPr>
          <w:rFonts w:ascii="Book Antiqua" w:eastAsia="宋体" w:hAnsi="Book Antiqua" w:cs="宋体"/>
          <w:b/>
          <w:bCs/>
          <w:sz w:val="24"/>
          <w:szCs w:val="24"/>
          <w:lang w:eastAsia="zh-CN" w:bidi="ar-SA"/>
        </w:rPr>
        <w:t>Wolf M</w:t>
      </w:r>
      <w:r w:rsidRPr="002E4D3A">
        <w:rPr>
          <w:rFonts w:ascii="Book Antiqua" w:eastAsia="宋体" w:hAnsi="Book Antiqua" w:cs="宋体"/>
          <w:sz w:val="24"/>
          <w:szCs w:val="24"/>
          <w:lang w:eastAsia="zh-CN" w:bidi="ar-SA"/>
        </w:rPr>
        <w:t xml:space="preserve">, Molnar MZ, </w:t>
      </w:r>
      <w:proofErr w:type="spellStart"/>
      <w:r w:rsidRPr="002E4D3A">
        <w:rPr>
          <w:rFonts w:ascii="Book Antiqua" w:eastAsia="宋体" w:hAnsi="Book Antiqua" w:cs="宋体"/>
          <w:sz w:val="24"/>
          <w:szCs w:val="24"/>
          <w:lang w:eastAsia="zh-CN" w:bidi="ar-SA"/>
        </w:rPr>
        <w:t>Amaral</w:t>
      </w:r>
      <w:proofErr w:type="spellEnd"/>
      <w:r w:rsidRPr="002E4D3A">
        <w:rPr>
          <w:rFonts w:ascii="Book Antiqua" w:eastAsia="宋体" w:hAnsi="Book Antiqua" w:cs="宋体"/>
          <w:sz w:val="24"/>
          <w:szCs w:val="24"/>
          <w:lang w:eastAsia="zh-CN" w:bidi="ar-SA"/>
        </w:rPr>
        <w:t xml:space="preserve"> AP, </w:t>
      </w:r>
      <w:proofErr w:type="spellStart"/>
      <w:r w:rsidRPr="002E4D3A">
        <w:rPr>
          <w:rFonts w:ascii="Book Antiqua" w:eastAsia="宋体" w:hAnsi="Book Antiqua" w:cs="宋体"/>
          <w:sz w:val="24"/>
          <w:szCs w:val="24"/>
          <w:lang w:eastAsia="zh-CN" w:bidi="ar-SA"/>
        </w:rPr>
        <w:t>Czira</w:t>
      </w:r>
      <w:proofErr w:type="spellEnd"/>
      <w:r w:rsidRPr="002E4D3A">
        <w:rPr>
          <w:rFonts w:ascii="Book Antiqua" w:eastAsia="宋体" w:hAnsi="Book Antiqua" w:cs="宋体"/>
          <w:sz w:val="24"/>
          <w:szCs w:val="24"/>
          <w:lang w:eastAsia="zh-CN" w:bidi="ar-SA"/>
        </w:rPr>
        <w:t xml:space="preserve"> ME, </w:t>
      </w:r>
      <w:proofErr w:type="spellStart"/>
      <w:r w:rsidRPr="002E4D3A">
        <w:rPr>
          <w:rFonts w:ascii="Book Antiqua" w:eastAsia="宋体" w:hAnsi="Book Antiqua" w:cs="宋体"/>
          <w:sz w:val="24"/>
          <w:szCs w:val="24"/>
          <w:lang w:eastAsia="zh-CN" w:bidi="ar-SA"/>
        </w:rPr>
        <w:t>Rudas</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Ujszaszi</w:t>
      </w:r>
      <w:proofErr w:type="spellEnd"/>
      <w:r w:rsidRPr="002E4D3A">
        <w:rPr>
          <w:rFonts w:ascii="Book Antiqua" w:eastAsia="宋体" w:hAnsi="Book Antiqua" w:cs="宋体"/>
          <w:sz w:val="24"/>
          <w:szCs w:val="24"/>
          <w:lang w:eastAsia="zh-CN" w:bidi="ar-SA"/>
        </w:rPr>
        <w:t xml:space="preserve"> A, Kiss I, </w:t>
      </w:r>
      <w:proofErr w:type="spellStart"/>
      <w:r w:rsidRPr="002E4D3A">
        <w:rPr>
          <w:rFonts w:ascii="Book Antiqua" w:eastAsia="宋体" w:hAnsi="Book Antiqua" w:cs="宋体"/>
          <w:sz w:val="24"/>
          <w:szCs w:val="24"/>
          <w:lang w:eastAsia="zh-CN" w:bidi="ar-SA"/>
        </w:rPr>
        <w:t>Rosivall</w:t>
      </w:r>
      <w:proofErr w:type="spellEnd"/>
      <w:r w:rsidRPr="002E4D3A">
        <w:rPr>
          <w:rFonts w:ascii="Book Antiqua" w:eastAsia="宋体" w:hAnsi="Book Antiqua" w:cs="宋体"/>
          <w:sz w:val="24"/>
          <w:szCs w:val="24"/>
          <w:lang w:eastAsia="zh-CN" w:bidi="ar-SA"/>
        </w:rPr>
        <w:t xml:space="preserve"> L, </w:t>
      </w:r>
      <w:proofErr w:type="spellStart"/>
      <w:r w:rsidRPr="002E4D3A">
        <w:rPr>
          <w:rFonts w:ascii="Book Antiqua" w:eastAsia="宋体" w:hAnsi="Book Antiqua" w:cs="宋体"/>
          <w:sz w:val="24"/>
          <w:szCs w:val="24"/>
          <w:lang w:eastAsia="zh-CN" w:bidi="ar-SA"/>
        </w:rPr>
        <w:t>Kosa</w:t>
      </w:r>
      <w:proofErr w:type="spellEnd"/>
      <w:r w:rsidRPr="002E4D3A">
        <w:rPr>
          <w:rFonts w:ascii="Book Antiqua" w:eastAsia="宋体" w:hAnsi="Book Antiqua" w:cs="宋体"/>
          <w:sz w:val="24"/>
          <w:szCs w:val="24"/>
          <w:lang w:eastAsia="zh-CN" w:bidi="ar-SA"/>
        </w:rPr>
        <w:t xml:space="preserve"> J, </w:t>
      </w:r>
      <w:proofErr w:type="spellStart"/>
      <w:r w:rsidRPr="002E4D3A">
        <w:rPr>
          <w:rFonts w:ascii="Book Antiqua" w:eastAsia="宋体" w:hAnsi="Book Antiqua" w:cs="宋体"/>
          <w:sz w:val="24"/>
          <w:szCs w:val="24"/>
          <w:lang w:eastAsia="zh-CN" w:bidi="ar-SA"/>
        </w:rPr>
        <w:t>Lakatos</w:t>
      </w:r>
      <w:proofErr w:type="spellEnd"/>
      <w:r w:rsidRPr="002E4D3A">
        <w:rPr>
          <w:rFonts w:ascii="Book Antiqua" w:eastAsia="宋体" w:hAnsi="Book Antiqua" w:cs="宋体"/>
          <w:sz w:val="24"/>
          <w:szCs w:val="24"/>
          <w:lang w:eastAsia="zh-CN" w:bidi="ar-SA"/>
        </w:rPr>
        <w:t xml:space="preserve"> P, </w:t>
      </w:r>
      <w:proofErr w:type="spellStart"/>
      <w:r w:rsidRPr="002E4D3A">
        <w:rPr>
          <w:rFonts w:ascii="Book Antiqua" w:eastAsia="宋体" w:hAnsi="Book Antiqua" w:cs="宋体"/>
          <w:sz w:val="24"/>
          <w:szCs w:val="24"/>
          <w:lang w:eastAsia="zh-CN" w:bidi="ar-SA"/>
        </w:rPr>
        <w:t>Kovesdy</w:t>
      </w:r>
      <w:proofErr w:type="spellEnd"/>
      <w:r w:rsidRPr="002E4D3A">
        <w:rPr>
          <w:rFonts w:ascii="Book Antiqua" w:eastAsia="宋体" w:hAnsi="Book Antiqua" w:cs="宋体"/>
          <w:sz w:val="24"/>
          <w:szCs w:val="24"/>
          <w:lang w:eastAsia="zh-CN" w:bidi="ar-SA"/>
        </w:rPr>
        <w:t xml:space="preserve"> CP, </w:t>
      </w:r>
      <w:proofErr w:type="spellStart"/>
      <w:r w:rsidRPr="002E4D3A">
        <w:rPr>
          <w:rFonts w:ascii="Book Antiqua" w:eastAsia="宋体" w:hAnsi="Book Antiqua" w:cs="宋体"/>
          <w:sz w:val="24"/>
          <w:szCs w:val="24"/>
          <w:lang w:eastAsia="zh-CN" w:bidi="ar-SA"/>
        </w:rPr>
        <w:t>Mucsi</w:t>
      </w:r>
      <w:proofErr w:type="spellEnd"/>
      <w:r w:rsidRPr="002E4D3A">
        <w:rPr>
          <w:rFonts w:ascii="Book Antiqua" w:eastAsia="宋体" w:hAnsi="Book Antiqua" w:cs="宋体"/>
          <w:sz w:val="24"/>
          <w:szCs w:val="24"/>
          <w:lang w:eastAsia="zh-CN" w:bidi="ar-SA"/>
        </w:rPr>
        <w:t xml:space="preserve"> I. Elevated fibroblast growth factor 23 is a risk factor for kidney transplant loss and mortality. </w:t>
      </w:r>
      <w:r w:rsidRPr="002E4D3A">
        <w:rPr>
          <w:rFonts w:ascii="Book Antiqua" w:eastAsia="宋体" w:hAnsi="Book Antiqua" w:cs="宋体"/>
          <w:i/>
          <w:iCs/>
          <w:sz w:val="24"/>
          <w:szCs w:val="24"/>
          <w:lang w:eastAsia="zh-CN" w:bidi="ar-SA"/>
        </w:rPr>
        <w:t xml:space="preserve">J Am </w:t>
      </w:r>
      <w:proofErr w:type="spellStart"/>
      <w:r w:rsidRPr="002E4D3A">
        <w:rPr>
          <w:rFonts w:ascii="Book Antiqua" w:eastAsia="宋体" w:hAnsi="Book Antiqua" w:cs="宋体"/>
          <w:i/>
          <w:iCs/>
          <w:sz w:val="24"/>
          <w:szCs w:val="24"/>
          <w:lang w:eastAsia="zh-CN" w:bidi="ar-SA"/>
        </w:rPr>
        <w:t>Soc</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2011; </w:t>
      </w:r>
      <w:r w:rsidRPr="002E4D3A">
        <w:rPr>
          <w:rFonts w:ascii="Book Antiqua" w:eastAsia="宋体" w:hAnsi="Book Antiqua" w:cs="宋体"/>
          <w:b/>
          <w:bCs/>
          <w:sz w:val="24"/>
          <w:szCs w:val="24"/>
          <w:lang w:eastAsia="zh-CN" w:bidi="ar-SA"/>
        </w:rPr>
        <w:t>22</w:t>
      </w:r>
      <w:r w:rsidRPr="002E4D3A">
        <w:rPr>
          <w:rFonts w:ascii="Book Antiqua" w:eastAsia="宋体" w:hAnsi="Book Antiqua" w:cs="宋体"/>
          <w:sz w:val="24"/>
          <w:szCs w:val="24"/>
          <w:lang w:eastAsia="zh-CN" w:bidi="ar-SA"/>
        </w:rPr>
        <w:t>: 956-966 [PMID: 21436289 DOI: 10.1681/ASN.2010080894]</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63 </w:t>
      </w:r>
      <w:proofErr w:type="spellStart"/>
      <w:r w:rsidRPr="002E4D3A">
        <w:rPr>
          <w:rFonts w:ascii="Book Antiqua" w:eastAsia="宋体" w:hAnsi="Book Antiqua" w:cs="宋体"/>
          <w:b/>
          <w:bCs/>
          <w:sz w:val="24"/>
          <w:szCs w:val="24"/>
          <w:lang w:eastAsia="zh-CN" w:bidi="ar-SA"/>
        </w:rPr>
        <w:t>Baia</w:t>
      </w:r>
      <w:proofErr w:type="spellEnd"/>
      <w:r w:rsidRPr="002E4D3A">
        <w:rPr>
          <w:rFonts w:ascii="Book Antiqua" w:eastAsia="宋体" w:hAnsi="Book Antiqua" w:cs="宋体"/>
          <w:b/>
          <w:bCs/>
          <w:sz w:val="24"/>
          <w:szCs w:val="24"/>
          <w:lang w:eastAsia="zh-CN" w:bidi="ar-SA"/>
        </w:rPr>
        <w:t xml:space="preserve"> LC</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Humalda</w:t>
      </w:r>
      <w:proofErr w:type="spellEnd"/>
      <w:r w:rsidRPr="002E4D3A">
        <w:rPr>
          <w:rFonts w:ascii="Book Antiqua" w:eastAsia="宋体" w:hAnsi="Book Antiqua" w:cs="宋体"/>
          <w:sz w:val="24"/>
          <w:szCs w:val="24"/>
          <w:lang w:eastAsia="zh-CN" w:bidi="ar-SA"/>
        </w:rPr>
        <w:t xml:space="preserve"> JK, </w:t>
      </w:r>
      <w:proofErr w:type="spellStart"/>
      <w:r w:rsidRPr="002E4D3A">
        <w:rPr>
          <w:rFonts w:ascii="Book Antiqua" w:eastAsia="宋体" w:hAnsi="Book Antiqua" w:cs="宋体"/>
          <w:sz w:val="24"/>
          <w:szCs w:val="24"/>
          <w:lang w:eastAsia="zh-CN" w:bidi="ar-SA"/>
        </w:rPr>
        <w:t>Vervloet</w:t>
      </w:r>
      <w:proofErr w:type="spellEnd"/>
      <w:r w:rsidRPr="002E4D3A">
        <w:rPr>
          <w:rFonts w:ascii="Book Antiqua" w:eastAsia="宋体" w:hAnsi="Book Antiqua" w:cs="宋体"/>
          <w:sz w:val="24"/>
          <w:szCs w:val="24"/>
          <w:lang w:eastAsia="zh-CN" w:bidi="ar-SA"/>
        </w:rPr>
        <w:t xml:space="preserve"> MG, </w:t>
      </w:r>
      <w:proofErr w:type="spellStart"/>
      <w:r w:rsidRPr="002E4D3A">
        <w:rPr>
          <w:rFonts w:ascii="Book Antiqua" w:eastAsia="宋体" w:hAnsi="Book Antiqua" w:cs="宋体"/>
          <w:sz w:val="24"/>
          <w:szCs w:val="24"/>
          <w:lang w:eastAsia="zh-CN" w:bidi="ar-SA"/>
        </w:rPr>
        <w:t>Navis</w:t>
      </w:r>
      <w:proofErr w:type="spellEnd"/>
      <w:r w:rsidRPr="002E4D3A">
        <w:rPr>
          <w:rFonts w:ascii="Book Antiqua" w:eastAsia="宋体" w:hAnsi="Book Antiqua" w:cs="宋体"/>
          <w:sz w:val="24"/>
          <w:szCs w:val="24"/>
          <w:lang w:eastAsia="zh-CN" w:bidi="ar-SA"/>
        </w:rPr>
        <w:t xml:space="preserve"> G, Bakker SJ, de </w:t>
      </w:r>
      <w:proofErr w:type="spellStart"/>
      <w:r w:rsidRPr="002E4D3A">
        <w:rPr>
          <w:rFonts w:ascii="Book Antiqua" w:eastAsia="宋体" w:hAnsi="Book Antiqua" w:cs="宋体"/>
          <w:sz w:val="24"/>
          <w:szCs w:val="24"/>
          <w:lang w:eastAsia="zh-CN" w:bidi="ar-SA"/>
        </w:rPr>
        <w:t>Borst</w:t>
      </w:r>
      <w:proofErr w:type="spellEnd"/>
      <w:r w:rsidRPr="002E4D3A">
        <w:rPr>
          <w:rFonts w:ascii="Book Antiqua" w:eastAsia="宋体" w:hAnsi="Book Antiqua" w:cs="宋体"/>
          <w:sz w:val="24"/>
          <w:szCs w:val="24"/>
          <w:lang w:eastAsia="zh-CN" w:bidi="ar-SA"/>
        </w:rPr>
        <w:t xml:space="preserve"> MH. </w:t>
      </w:r>
      <w:proofErr w:type="gramStart"/>
      <w:r w:rsidRPr="002E4D3A">
        <w:rPr>
          <w:rFonts w:ascii="Book Antiqua" w:eastAsia="宋体" w:hAnsi="Book Antiqua" w:cs="宋体"/>
          <w:sz w:val="24"/>
          <w:szCs w:val="24"/>
          <w:lang w:eastAsia="zh-CN" w:bidi="ar-SA"/>
        </w:rPr>
        <w:t>Fibroblast growth factor 23 and cardiovascular mortality after kidney transplantation.</w:t>
      </w:r>
      <w:proofErr w:type="gramEnd"/>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J Am </w:t>
      </w:r>
      <w:proofErr w:type="spellStart"/>
      <w:r w:rsidRPr="002E4D3A">
        <w:rPr>
          <w:rFonts w:ascii="Book Antiqua" w:eastAsia="宋体" w:hAnsi="Book Antiqua" w:cs="宋体"/>
          <w:i/>
          <w:iCs/>
          <w:sz w:val="24"/>
          <w:szCs w:val="24"/>
          <w:lang w:eastAsia="zh-CN" w:bidi="ar-SA"/>
        </w:rPr>
        <w:t>Soc</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8</w:t>
      </w:r>
      <w:r w:rsidRPr="002E4D3A">
        <w:rPr>
          <w:rFonts w:ascii="Book Antiqua" w:eastAsia="宋体" w:hAnsi="Book Antiqua" w:cs="宋体"/>
          <w:sz w:val="24"/>
          <w:szCs w:val="24"/>
          <w:lang w:eastAsia="zh-CN" w:bidi="ar-SA"/>
        </w:rPr>
        <w:t>: 1968-1978 [PMID: 23929933 DOI: 10.2215/CJN.01880213]</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64 </w:t>
      </w:r>
      <w:r w:rsidRPr="002E4D3A">
        <w:rPr>
          <w:rFonts w:ascii="Book Antiqua" w:eastAsia="宋体" w:hAnsi="Book Antiqua" w:cs="宋体"/>
          <w:b/>
          <w:bCs/>
          <w:sz w:val="24"/>
          <w:szCs w:val="24"/>
          <w:lang w:eastAsia="zh-CN" w:bidi="ar-SA"/>
        </w:rPr>
        <w:t>Connolly GM</w:t>
      </w:r>
      <w:r w:rsidRPr="002E4D3A">
        <w:rPr>
          <w:rFonts w:ascii="Book Antiqua" w:eastAsia="宋体" w:hAnsi="Book Antiqua" w:cs="宋体"/>
          <w:sz w:val="24"/>
          <w:szCs w:val="24"/>
          <w:lang w:eastAsia="zh-CN" w:bidi="ar-SA"/>
        </w:rPr>
        <w:t xml:space="preserve">, Cunningham R, McNamee PT, Young IS, Maxwell AP. Elevated serum phosphate predicts mortality in renal transplant recipients. </w:t>
      </w:r>
      <w:r w:rsidRPr="002E4D3A">
        <w:rPr>
          <w:rFonts w:ascii="Book Antiqua" w:eastAsia="宋体" w:hAnsi="Book Antiqua" w:cs="宋体"/>
          <w:i/>
          <w:iCs/>
          <w:sz w:val="24"/>
          <w:szCs w:val="24"/>
          <w:lang w:eastAsia="zh-CN" w:bidi="ar-SA"/>
        </w:rPr>
        <w:t>Transplantation</w:t>
      </w:r>
      <w:r w:rsidRPr="002E4D3A">
        <w:rPr>
          <w:rFonts w:ascii="Book Antiqua" w:eastAsia="宋体" w:hAnsi="Book Antiqua" w:cs="宋体"/>
          <w:sz w:val="24"/>
          <w:szCs w:val="24"/>
          <w:lang w:eastAsia="zh-CN" w:bidi="ar-SA"/>
        </w:rPr>
        <w:t xml:space="preserve"> 2009; </w:t>
      </w:r>
      <w:r w:rsidRPr="002E4D3A">
        <w:rPr>
          <w:rFonts w:ascii="Book Antiqua" w:eastAsia="宋体" w:hAnsi="Book Antiqua" w:cs="宋体"/>
          <w:b/>
          <w:bCs/>
          <w:sz w:val="24"/>
          <w:szCs w:val="24"/>
          <w:lang w:eastAsia="zh-CN" w:bidi="ar-SA"/>
        </w:rPr>
        <w:t>87</w:t>
      </w:r>
      <w:r w:rsidRPr="002E4D3A">
        <w:rPr>
          <w:rFonts w:ascii="Book Antiqua" w:eastAsia="宋体" w:hAnsi="Book Antiqua" w:cs="宋体"/>
          <w:sz w:val="24"/>
          <w:szCs w:val="24"/>
          <w:lang w:eastAsia="zh-CN" w:bidi="ar-SA"/>
        </w:rPr>
        <w:t>: 1040-1044 [PMID: 19352125 DOI: 10.1097/TP.0b013e31819cd122]</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65 </w:t>
      </w:r>
      <w:proofErr w:type="spellStart"/>
      <w:r w:rsidRPr="002E4D3A">
        <w:rPr>
          <w:rFonts w:ascii="Book Antiqua" w:eastAsia="宋体" w:hAnsi="Book Antiqua" w:cs="宋体"/>
          <w:b/>
          <w:bCs/>
          <w:sz w:val="24"/>
          <w:szCs w:val="24"/>
          <w:lang w:eastAsia="zh-CN" w:bidi="ar-SA"/>
        </w:rPr>
        <w:t>Bleskestad</w:t>
      </w:r>
      <w:proofErr w:type="spellEnd"/>
      <w:r w:rsidRPr="002E4D3A">
        <w:rPr>
          <w:rFonts w:ascii="Book Antiqua" w:eastAsia="宋体" w:hAnsi="Book Antiqua" w:cs="宋体"/>
          <w:b/>
          <w:bCs/>
          <w:sz w:val="24"/>
          <w:szCs w:val="24"/>
          <w:lang w:eastAsia="zh-CN" w:bidi="ar-SA"/>
        </w:rPr>
        <w:t xml:space="preserve"> IH</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Bergrem</w:t>
      </w:r>
      <w:proofErr w:type="spellEnd"/>
      <w:r w:rsidRPr="002E4D3A">
        <w:rPr>
          <w:rFonts w:ascii="Book Antiqua" w:eastAsia="宋体" w:hAnsi="Book Antiqua" w:cs="宋体"/>
          <w:sz w:val="24"/>
          <w:szCs w:val="24"/>
          <w:lang w:eastAsia="zh-CN" w:bidi="ar-SA"/>
        </w:rPr>
        <w:t xml:space="preserve"> H, </w:t>
      </w:r>
      <w:proofErr w:type="spellStart"/>
      <w:r w:rsidRPr="002E4D3A">
        <w:rPr>
          <w:rFonts w:ascii="Book Antiqua" w:eastAsia="宋体" w:hAnsi="Book Antiqua" w:cs="宋体"/>
          <w:sz w:val="24"/>
          <w:szCs w:val="24"/>
          <w:lang w:eastAsia="zh-CN" w:bidi="ar-SA"/>
        </w:rPr>
        <w:t>Leivestad</w:t>
      </w:r>
      <w:proofErr w:type="spellEnd"/>
      <w:r w:rsidRPr="002E4D3A">
        <w:rPr>
          <w:rFonts w:ascii="Book Antiqua" w:eastAsia="宋体" w:hAnsi="Book Antiqua" w:cs="宋体"/>
          <w:sz w:val="24"/>
          <w:szCs w:val="24"/>
          <w:lang w:eastAsia="zh-CN" w:bidi="ar-SA"/>
        </w:rPr>
        <w:t xml:space="preserve"> T, Hartmann A, </w:t>
      </w:r>
      <w:proofErr w:type="spellStart"/>
      <w:r w:rsidRPr="002E4D3A">
        <w:rPr>
          <w:rFonts w:ascii="Book Antiqua" w:eastAsia="宋体" w:hAnsi="Book Antiqua" w:cs="宋体"/>
          <w:sz w:val="24"/>
          <w:szCs w:val="24"/>
          <w:lang w:eastAsia="zh-CN" w:bidi="ar-SA"/>
        </w:rPr>
        <w:t>Gøransson</w:t>
      </w:r>
      <w:proofErr w:type="spellEnd"/>
      <w:r w:rsidRPr="002E4D3A">
        <w:rPr>
          <w:rFonts w:ascii="Book Antiqua" w:eastAsia="宋体" w:hAnsi="Book Antiqua" w:cs="宋体"/>
          <w:sz w:val="24"/>
          <w:szCs w:val="24"/>
          <w:lang w:eastAsia="zh-CN" w:bidi="ar-SA"/>
        </w:rPr>
        <w:t xml:space="preserve"> LG. Parathyroid hormone and clinical outcome in kidney transplant patients with optimal transplant function.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Transplant</w:t>
      </w:r>
      <w:r w:rsidRPr="002E4D3A">
        <w:rPr>
          <w:rFonts w:ascii="Book Antiqua" w:eastAsia="宋体" w:hAnsi="Book Antiqua" w:cs="宋体"/>
          <w:sz w:val="24"/>
          <w:szCs w:val="24"/>
          <w:lang w:eastAsia="zh-CN" w:bidi="ar-SA"/>
        </w:rPr>
        <w:t xml:space="preserve"> 2014; </w:t>
      </w:r>
      <w:r w:rsidRPr="002E4D3A">
        <w:rPr>
          <w:rFonts w:ascii="Book Antiqua" w:eastAsia="宋体" w:hAnsi="Book Antiqua" w:cs="宋体"/>
          <w:b/>
          <w:bCs/>
          <w:sz w:val="24"/>
          <w:szCs w:val="24"/>
          <w:lang w:eastAsia="zh-CN" w:bidi="ar-SA"/>
        </w:rPr>
        <w:t>28</w:t>
      </w:r>
      <w:r w:rsidRPr="002E4D3A">
        <w:rPr>
          <w:rFonts w:ascii="Book Antiqua" w:eastAsia="宋体" w:hAnsi="Book Antiqua" w:cs="宋体"/>
          <w:sz w:val="24"/>
          <w:szCs w:val="24"/>
          <w:lang w:eastAsia="zh-CN" w:bidi="ar-SA"/>
        </w:rPr>
        <w:t>: 479-486 [PMID: 25649861 DOI: 10.1111/ctr.12341]</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66 </w:t>
      </w:r>
      <w:r w:rsidRPr="002E4D3A">
        <w:rPr>
          <w:rFonts w:ascii="Book Antiqua" w:eastAsia="宋体" w:hAnsi="Book Antiqua" w:cs="宋体"/>
          <w:b/>
          <w:bCs/>
          <w:sz w:val="24"/>
          <w:szCs w:val="24"/>
          <w:lang w:eastAsia="zh-CN" w:bidi="ar-SA"/>
        </w:rPr>
        <w:t>Perrin P</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Caillard</w:t>
      </w:r>
      <w:proofErr w:type="spellEnd"/>
      <w:r w:rsidRPr="002E4D3A">
        <w:rPr>
          <w:rFonts w:ascii="Book Antiqua" w:eastAsia="宋体" w:hAnsi="Book Antiqua" w:cs="宋体"/>
          <w:sz w:val="24"/>
          <w:szCs w:val="24"/>
          <w:lang w:eastAsia="zh-CN" w:bidi="ar-SA"/>
        </w:rPr>
        <w:t xml:space="preserve"> S, Javier RM, Braun L, </w:t>
      </w:r>
      <w:proofErr w:type="spellStart"/>
      <w:r w:rsidRPr="002E4D3A">
        <w:rPr>
          <w:rFonts w:ascii="Book Antiqua" w:eastAsia="宋体" w:hAnsi="Book Antiqua" w:cs="宋体"/>
          <w:sz w:val="24"/>
          <w:szCs w:val="24"/>
          <w:lang w:eastAsia="zh-CN" w:bidi="ar-SA"/>
        </w:rPr>
        <w:t>Heibel</w:t>
      </w:r>
      <w:proofErr w:type="spellEnd"/>
      <w:r w:rsidRPr="002E4D3A">
        <w:rPr>
          <w:rFonts w:ascii="Book Antiqua" w:eastAsia="宋体" w:hAnsi="Book Antiqua" w:cs="宋体"/>
          <w:sz w:val="24"/>
          <w:szCs w:val="24"/>
          <w:lang w:eastAsia="zh-CN" w:bidi="ar-SA"/>
        </w:rPr>
        <w:t xml:space="preserve"> F, </w:t>
      </w:r>
      <w:proofErr w:type="spellStart"/>
      <w:r w:rsidRPr="002E4D3A">
        <w:rPr>
          <w:rFonts w:ascii="Book Antiqua" w:eastAsia="宋体" w:hAnsi="Book Antiqua" w:cs="宋体"/>
          <w:sz w:val="24"/>
          <w:szCs w:val="24"/>
          <w:lang w:eastAsia="zh-CN" w:bidi="ar-SA"/>
        </w:rPr>
        <w:t>Borni</w:t>
      </w:r>
      <w:proofErr w:type="spellEnd"/>
      <w:r w:rsidRPr="002E4D3A">
        <w:rPr>
          <w:rFonts w:ascii="Book Antiqua" w:eastAsia="宋体" w:hAnsi="Book Antiqua" w:cs="宋体"/>
          <w:sz w:val="24"/>
          <w:szCs w:val="24"/>
          <w:lang w:eastAsia="zh-CN" w:bidi="ar-SA"/>
        </w:rPr>
        <w:t xml:space="preserve">-Duval C, Muller C, </w:t>
      </w:r>
      <w:proofErr w:type="spellStart"/>
      <w:r w:rsidRPr="002E4D3A">
        <w:rPr>
          <w:rFonts w:ascii="Book Antiqua" w:eastAsia="宋体" w:hAnsi="Book Antiqua" w:cs="宋体"/>
          <w:sz w:val="24"/>
          <w:szCs w:val="24"/>
          <w:lang w:eastAsia="zh-CN" w:bidi="ar-SA"/>
        </w:rPr>
        <w:t>Olagne</w:t>
      </w:r>
      <w:proofErr w:type="spellEnd"/>
      <w:r w:rsidRPr="002E4D3A">
        <w:rPr>
          <w:rFonts w:ascii="Book Antiqua" w:eastAsia="宋体" w:hAnsi="Book Antiqua" w:cs="宋体"/>
          <w:sz w:val="24"/>
          <w:szCs w:val="24"/>
          <w:lang w:eastAsia="zh-CN" w:bidi="ar-SA"/>
        </w:rPr>
        <w:t xml:space="preserve"> J, Moulin B. Persistent hyperparathyroidism is a major risk factor for fractures in the five years after kidney transplantation. </w:t>
      </w:r>
      <w:r w:rsidRPr="002E4D3A">
        <w:rPr>
          <w:rFonts w:ascii="Book Antiqua" w:eastAsia="宋体" w:hAnsi="Book Antiqua" w:cs="宋体"/>
          <w:i/>
          <w:iCs/>
          <w:sz w:val="24"/>
          <w:szCs w:val="24"/>
          <w:lang w:eastAsia="zh-CN" w:bidi="ar-SA"/>
        </w:rPr>
        <w:t>Am J Transplant</w:t>
      </w:r>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13</w:t>
      </w:r>
      <w:r w:rsidRPr="002E4D3A">
        <w:rPr>
          <w:rFonts w:ascii="Book Antiqua" w:eastAsia="宋体" w:hAnsi="Book Antiqua" w:cs="宋体"/>
          <w:sz w:val="24"/>
          <w:szCs w:val="24"/>
          <w:lang w:eastAsia="zh-CN" w:bidi="ar-SA"/>
        </w:rPr>
        <w:t>: 2653-2663 [PMID: 24034142 DOI: 10.1111/ajt.12425]</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67 </w:t>
      </w:r>
      <w:proofErr w:type="spellStart"/>
      <w:r w:rsidRPr="002E4D3A">
        <w:rPr>
          <w:rFonts w:ascii="Book Antiqua" w:eastAsia="宋体" w:hAnsi="Book Antiqua" w:cs="宋体"/>
          <w:b/>
          <w:bCs/>
          <w:sz w:val="24"/>
          <w:szCs w:val="24"/>
          <w:lang w:eastAsia="zh-CN" w:bidi="ar-SA"/>
        </w:rPr>
        <w:t>Hiemstra</w:t>
      </w:r>
      <w:proofErr w:type="spellEnd"/>
      <w:r w:rsidRPr="002E4D3A">
        <w:rPr>
          <w:rFonts w:ascii="Book Antiqua" w:eastAsia="宋体" w:hAnsi="Book Antiqua" w:cs="宋体"/>
          <w:b/>
          <w:bCs/>
          <w:sz w:val="24"/>
          <w:szCs w:val="24"/>
          <w:lang w:eastAsia="zh-CN" w:bidi="ar-SA"/>
        </w:rPr>
        <w:t xml:space="preserve"> TF</w:t>
      </w:r>
      <w:r w:rsidRPr="002E4D3A">
        <w:rPr>
          <w:rFonts w:ascii="Book Antiqua" w:eastAsia="宋体" w:hAnsi="Book Antiqua" w:cs="宋体"/>
          <w:sz w:val="24"/>
          <w:szCs w:val="24"/>
          <w:lang w:eastAsia="zh-CN" w:bidi="ar-SA"/>
        </w:rPr>
        <w:t xml:space="preserve">, Brown AJ, </w:t>
      </w:r>
      <w:proofErr w:type="spellStart"/>
      <w:r w:rsidRPr="002E4D3A">
        <w:rPr>
          <w:rFonts w:ascii="Book Antiqua" w:eastAsia="宋体" w:hAnsi="Book Antiqua" w:cs="宋体"/>
          <w:sz w:val="24"/>
          <w:szCs w:val="24"/>
          <w:lang w:eastAsia="zh-CN" w:bidi="ar-SA"/>
        </w:rPr>
        <w:t>Chaudhry</w:t>
      </w:r>
      <w:proofErr w:type="spellEnd"/>
      <w:r w:rsidRPr="002E4D3A">
        <w:rPr>
          <w:rFonts w:ascii="Book Antiqua" w:eastAsia="宋体" w:hAnsi="Book Antiqua" w:cs="宋体"/>
          <w:sz w:val="24"/>
          <w:szCs w:val="24"/>
          <w:lang w:eastAsia="zh-CN" w:bidi="ar-SA"/>
        </w:rPr>
        <w:t xml:space="preserve"> AN, Walsh M. Association of calcium, phosphate and parathyroid hormone with renal allograft function: a retrospective cohort study. </w:t>
      </w:r>
      <w:r w:rsidRPr="002E4D3A">
        <w:rPr>
          <w:rFonts w:ascii="Book Antiqua" w:eastAsia="宋体" w:hAnsi="Book Antiqua" w:cs="宋体"/>
          <w:i/>
          <w:iCs/>
          <w:sz w:val="24"/>
          <w:szCs w:val="24"/>
          <w:lang w:eastAsia="zh-CN" w:bidi="ar-SA"/>
        </w:rPr>
        <w:t xml:space="preserve">Am J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37</w:t>
      </w:r>
      <w:r w:rsidRPr="002E4D3A">
        <w:rPr>
          <w:rFonts w:ascii="Book Antiqua" w:eastAsia="宋体" w:hAnsi="Book Antiqua" w:cs="宋体"/>
          <w:sz w:val="24"/>
          <w:szCs w:val="24"/>
          <w:lang w:eastAsia="zh-CN" w:bidi="ar-SA"/>
        </w:rPr>
        <w:t>: 339-345 [PMID: 23548209 DOI: 10.1159/000348376]</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68 </w:t>
      </w:r>
      <w:proofErr w:type="spellStart"/>
      <w:r w:rsidRPr="002E4D3A">
        <w:rPr>
          <w:rFonts w:ascii="Book Antiqua" w:eastAsia="宋体" w:hAnsi="Book Antiqua" w:cs="宋体"/>
          <w:b/>
          <w:bCs/>
          <w:sz w:val="24"/>
          <w:szCs w:val="24"/>
          <w:lang w:eastAsia="zh-CN" w:bidi="ar-SA"/>
        </w:rPr>
        <w:t>Marcén</w:t>
      </w:r>
      <w:proofErr w:type="spellEnd"/>
      <w:r w:rsidRPr="002E4D3A">
        <w:rPr>
          <w:rFonts w:ascii="Book Antiqua" w:eastAsia="宋体" w:hAnsi="Book Antiqua" w:cs="宋体"/>
          <w:b/>
          <w:bCs/>
          <w:sz w:val="24"/>
          <w:szCs w:val="24"/>
          <w:lang w:eastAsia="zh-CN" w:bidi="ar-SA"/>
        </w:rPr>
        <w:t xml:space="preserve"> R</w:t>
      </w:r>
      <w:r w:rsidRPr="002E4D3A">
        <w:rPr>
          <w:rFonts w:ascii="Book Antiqua" w:eastAsia="宋体" w:hAnsi="Book Antiqua" w:cs="宋体"/>
          <w:sz w:val="24"/>
          <w:szCs w:val="24"/>
          <w:lang w:eastAsia="zh-CN" w:bidi="ar-SA"/>
        </w:rPr>
        <w:t xml:space="preserve">, Jimenez S, </w:t>
      </w:r>
      <w:proofErr w:type="spellStart"/>
      <w:r w:rsidRPr="002E4D3A">
        <w:rPr>
          <w:rFonts w:ascii="Book Antiqua" w:eastAsia="宋体" w:hAnsi="Book Antiqua" w:cs="宋体"/>
          <w:sz w:val="24"/>
          <w:szCs w:val="24"/>
          <w:lang w:eastAsia="zh-CN" w:bidi="ar-SA"/>
        </w:rPr>
        <w:t>Fernández</w:t>
      </w:r>
      <w:proofErr w:type="spellEnd"/>
      <w:r w:rsidRPr="002E4D3A">
        <w:rPr>
          <w:rFonts w:ascii="Book Antiqua" w:eastAsia="宋体" w:hAnsi="Book Antiqua" w:cs="宋体"/>
          <w:sz w:val="24"/>
          <w:szCs w:val="24"/>
          <w:lang w:eastAsia="zh-CN" w:bidi="ar-SA"/>
        </w:rPr>
        <w:t xml:space="preserve">-Rodriguez A, </w:t>
      </w:r>
      <w:proofErr w:type="spellStart"/>
      <w:r w:rsidRPr="002E4D3A">
        <w:rPr>
          <w:rFonts w:ascii="Book Antiqua" w:eastAsia="宋体" w:hAnsi="Book Antiqua" w:cs="宋体"/>
          <w:sz w:val="24"/>
          <w:szCs w:val="24"/>
          <w:lang w:eastAsia="zh-CN" w:bidi="ar-SA"/>
        </w:rPr>
        <w:t>Galeano</w:t>
      </w:r>
      <w:proofErr w:type="spellEnd"/>
      <w:r w:rsidRPr="002E4D3A">
        <w:rPr>
          <w:rFonts w:ascii="Book Antiqua" w:eastAsia="宋体" w:hAnsi="Book Antiqua" w:cs="宋体"/>
          <w:sz w:val="24"/>
          <w:szCs w:val="24"/>
          <w:lang w:eastAsia="zh-CN" w:bidi="ar-SA"/>
        </w:rPr>
        <w:t xml:space="preserve"> C, </w:t>
      </w:r>
      <w:proofErr w:type="spellStart"/>
      <w:r w:rsidRPr="002E4D3A">
        <w:rPr>
          <w:rFonts w:ascii="Book Antiqua" w:eastAsia="宋体" w:hAnsi="Book Antiqua" w:cs="宋体"/>
          <w:sz w:val="24"/>
          <w:szCs w:val="24"/>
          <w:lang w:eastAsia="zh-CN" w:bidi="ar-SA"/>
        </w:rPr>
        <w:t>Villafruela</w:t>
      </w:r>
      <w:proofErr w:type="spellEnd"/>
      <w:r w:rsidRPr="002E4D3A">
        <w:rPr>
          <w:rFonts w:ascii="Book Antiqua" w:eastAsia="宋体" w:hAnsi="Book Antiqua" w:cs="宋体"/>
          <w:sz w:val="24"/>
          <w:szCs w:val="24"/>
          <w:lang w:eastAsia="zh-CN" w:bidi="ar-SA"/>
        </w:rPr>
        <w:t xml:space="preserve"> JJ, </w:t>
      </w:r>
      <w:proofErr w:type="spellStart"/>
      <w:r w:rsidRPr="002E4D3A">
        <w:rPr>
          <w:rFonts w:ascii="Book Antiqua" w:eastAsia="宋体" w:hAnsi="Book Antiqua" w:cs="宋体"/>
          <w:sz w:val="24"/>
          <w:szCs w:val="24"/>
          <w:lang w:eastAsia="zh-CN" w:bidi="ar-SA"/>
        </w:rPr>
        <w:t>Gomis</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Teruel</w:t>
      </w:r>
      <w:proofErr w:type="spellEnd"/>
      <w:r w:rsidRPr="002E4D3A">
        <w:rPr>
          <w:rFonts w:ascii="Book Antiqua" w:eastAsia="宋体" w:hAnsi="Book Antiqua" w:cs="宋体"/>
          <w:sz w:val="24"/>
          <w:szCs w:val="24"/>
          <w:lang w:eastAsia="zh-CN" w:bidi="ar-SA"/>
        </w:rPr>
        <w:t xml:space="preserve"> JL, </w:t>
      </w:r>
      <w:proofErr w:type="spellStart"/>
      <w:r w:rsidRPr="002E4D3A">
        <w:rPr>
          <w:rFonts w:ascii="Book Antiqua" w:eastAsia="宋体" w:hAnsi="Book Antiqua" w:cs="宋体"/>
          <w:sz w:val="24"/>
          <w:szCs w:val="24"/>
          <w:lang w:eastAsia="zh-CN" w:bidi="ar-SA"/>
        </w:rPr>
        <w:t>Quereda</w:t>
      </w:r>
      <w:proofErr w:type="spellEnd"/>
      <w:r w:rsidRPr="002E4D3A">
        <w:rPr>
          <w:rFonts w:ascii="Book Antiqua" w:eastAsia="宋体" w:hAnsi="Book Antiqua" w:cs="宋体"/>
          <w:sz w:val="24"/>
          <w:szCs w:val="24"/>
          <w:lang w:eastAsia="zh-CN" w:bidi="ar-SA"/>
        </w:rPr>
        <w:t xml:space="preserve"> C. Are low levels of 25-hydroxyvitamin D a risk factor for cardiovascular diseases or malignancies in renal transplantation?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i/>
          <w:iCs/>
          <w:sz w:val="24"/>
          <w:szCs w:val="24"/>
          <w:lang w:eastAsia="zh-CN" w:bidi="ar-SA"/>
        </w:rPr>
        <w:t xml:space="preserve"> Dial Transplant</w:t>
      </w:r>
      <w:r w:rsidRPr="002E4D3A">
        <w:rPr>
          <w:rFonts w:ascii="Book Antiqua" w:eastAsia="宋体" w:hAnsi="Book Antiqua" w:cs="宋体"/>
          <w:sz w:val="24"/>
          <w:szCs w:val="24"/>
          <w:lang w:eastAsia="zh-CN" w:bidi="ar-SA"/>
        </w:rPr>
        <w:t xml:space="preserve"> 2012; </w:t>
      </w:r>
      <w:r w:rsidRPr="002E4D3A">
        <w:rPr>
          <w:rFonts w:ascii="Book Antiqua" w:eastAsia="宋体" w:hAnsi="Book Antiqua" w:cs="宋体"/>
          <w:b/>
          <w:bCs/>
          <w:sz w:val="24"/>
          <w:szCs w:val="24"/>
          <w:lang w:eastAsia="zh-CN" w:bidi="ar-SA"/>
        </w:rPr>
        <w:t xml:space="preserve">27 </w:t>
      </w:r>
      <w:proofErr w:type="spellStart"/>
      <w:r w:rsidRPr="002E4D3A">
        <w:rPr>
          <w:rFonts w:ascii="Book Antiqua" w:eastAsia="宋体" w:hAnsi="Book Antiqua" w:cs="宋体"/>
          <w:bCs/>
          <w:sz w:val="24"/>
          <w:szCs w:val="24"/>
          <w:lang w:eastAsia="zh-CN" w:bidi="ar-SA"/>
        </w:rPr>
        <w:t>Suppl</w:t>
      </w:r>
      <w:proofErr w:type="spellEnd"/>
      <w:r w:rsidRPr="002E4D3A">
        <w:rPr>
          <w:rFonts w:ascii="Book Antiqua" w:eastAsia="宋体" w:hAnsi="Book Antiqua" w:cs="宋体"/>
          <w:bCs/>
          <w:sz w:val="24"/>
          <w:szCs w:val="24"/>
          <w:lang w:eastAsia="zh-CN" w:bidi="ar-SA"/>
        </w:rPr>
        <w:t xml:space="preserve"> 4</w:t>
      </w:r>
      <w:r w:rsidRPr="002E4D3A">
        <w:rPr>
          <w:rFonts w:ascii="Book Antiqua" w:eastAsia="宋体" w:hAnsi="Book Antiqua" w:cs="宋体"/>
          <w:sz w:val="24"/>
          <w:szCs w:val="24"/>
          <w:lang w:eastAsia="zh-CN" w:bidi="ar-SA"/>
        </w:rPr>
        <w:t>: iv47-iv52 [PMID: 23258811 DOI: 10.1093/</w:t>
      </w:r>
      <w:proofErr w:type="spellStart"/>
      <w:r w:rsidRPr="002E4D3A">
        <w:rPr>
          <w:rFonts w:ascii="Book Antiqua" w:eastAsia="宋体" w:hAnsi="Book Antiqua" w:cs="宋体"/>
          <w:sz w:val="24"/>
          <w:szCs w:val="24"/>
          <w:lang w:eastAsia="zh-CN" w:bidi="ar-SA"/>
        </w:rPr>
        <w:t>ndt</w:t>
      </w:r>
      <w:proofErr w:type="spellEnd"/>
      <w:r w:rsidRPr="002E4D3A">
        <w:rPr>
          <w:rFonts w:ascii="Book Antiqua" w:eastAsia="宋体" w:hAnsi="Book Antiqua" w:cs="宋体"/>
          <w:sz w:val="24"/>
          <w:szCs w:val="24"/>
          <w:lang w:eastAsia="zh-CN" w:bidi="ar-SA"/>
        </w:rPr>
        <w:t>/gfs508]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69 </w:t>
      </w:r>
      <w:proofErr w:type="spellStart"/>
      <w:r w:rsidRPr="002E4D3A">
        <w:rPr>
          <w:rFonts w:ascii="Book Antiqua" w:eastAsia="宋体" w:hAnsi="Book Antiqua" w:cs="宋体"/>
          <w:b/>
          <w:bCs/>
          <w:sz w:val="24"/>
          <w:szCs w:val="24"/>
          <w:lang w:eastAsia="zh-CN" w:bidi="ar-SA"/>
        </w:rPr>
        <w:t>Bienaimé</w:t>
      </w:r>
      <w:proofErr w:type="spellEnd"/>
      <w:r w:rsidRPr="002E4D3A">
        <w:rPr>
          <w:rFonts w:ascii="Book Antiqua" w:eastAsia="宋体" w:hAnsi="Book Antiqua" w:cs="宋体"/>
          <w:b/>
          <w:bCs/>
          <w:sz w:val="24"/>
          <w:szCs w:val="24"/>
          <w:lang w:eastAsia="zh-CN" w:bidi="ar-SA"/>
        </w:rPr>
        <w:t xml:space="preserve"> F</w:t>
      </w:r>
      <w:r w:rsidRPr="002E4D3A">
        <w:rPr>
          <w:rFonts w:ascii="Book Antiqua" w:eastAsia="宋体" w:hAnsi="Book Antiqua" w:cs="宋体"/>
          <w:sz w:val="24"/>
          <w:szCs w:val="24"/>
          <w:lang w:eastAsia="zh-CN" w:bidi="ar-SA"/>
        </w:rPr>
        <w:t xml:space="preserve">, Girard D, </w:t>
      </w:r>
      <w:proofErr w:type="spellStart"/>
      <w:r w:rsidRPr="002E4D3A">
        <w:rPr>
          <w:rFonts w:ascii="Book Antiqua" w:eastAsia="宋体" w:hAnsi="Book Antiqua" w:cs="宋体"/>
          <w:sz w:val="24"/>
          <w:szCs w:val="24"/>
          <w:lang w:eastAsia="zh-CN" w:bidi="ar-SA"/>
        </w:rPr>
        <w:t>Anglicheau</w:t>
      </w:r>
      <w:proofErr w:type="spellEnd"/>
      <w:r w:rsidRPr="002E4D3A">
        <w:rPr>
          <w:rFonts w:ascii="Book Antiqua" w:eastAsia="宋体" w:hAnsi="Book Antiqua" w:cs="宋体"/>
          <w:sz w:val="24"/>
          <w:szCs w:val="24"/>
          <w:lang w:eastAsia="zh-CN" w:bidi="ar-SA"/>
        </w:rPr>
        <w:t xml:space="preserve"> D, </w:t>
      </w:r>
      <w:proofErr w:type="spellStart"/>
      <w:r w:rsidRPr="002E4D3A">
        <w:rPr>
          <w:rFonts w:ascii="Book Antiqua" w:eastAsia="宋体" w:hAnsi="Book Antiqua" w:cs="宋体"/>
          <w:sz w:val="24"/>
          <w:szCs w:val="24"/>
          <w:lang w:eastAsia="zh-CN" w:bidi="ar-SA"/>
        </w:rPr>
        <w:t>Canaud</w:t>
      </w:r>
      <w:proofErr w:type="spellEnd"/>
      <w:r w:rsidRPr="002E4D3A">
        <w:rPr>
          <w:rFonts w:ascii="Book Antiqua" w:eastAsia="宋体" w:hAnsi="Book Antiqua" w:cs="宋体"/>
          <w:sz w:val="24"/>
          <w:szCs w:val="24"/>
          <w:lang w:eastAsia="zh-CN" w:bidi="ar-SA"/>
        </w:rPr>
        <w:t xml:space="preserve"> G, </w:t>
      </w:r>
      <w:proofErr w:type="spellStart"/>
      <w:r w:rsidRPr="002E4D3A">
        <w:rPr>
          <w:rFonts w:ascii="Book Antiqua" w:eastAsia="宋体" w:hAnsi="Book Antiqua" w:cs="宋体"/>
          <w:sz w:val="24"/>
          <w:szCs w:val="24"/>
          <w:lang w:eastAsia="zh-CN" w:bidi="ar-SA"/>
        </w:rPr>
        <w:t>Souberbielle</w:t>
      </w:r>
      <w:proofErr w:type="spellEnd"/>
      <w:r w:rsidRPr="002E4D3A">
        <w:rPr>
          <w:rFonts w:ascii="Book Antiqua" w:eastAsia="宋体" w:hAnsi="Book Antiqua" w:cs="宋体"/>
          <w:sz w:val="24"/>
          <w:szCs w:val="24"/>
          <w:lang w:eastAsia="zh-CN" w:bidi="ar-SA"/>
        </w:rPr>
        <w:t xml:space="preserve"> JC, </w:t>
      </w:r>
      <w:proofErr w:type="spellStart"/>
      <w:r w:rsidRPr="002E4D3A">
        <w:rPr>
          <w:rFonts w:ascii="Book Antiqua" w:eastAsia="宋体" w:hAnsi="Book Antiqua" w:cs="宋体"/>
          <w:sz w:val="24"/>
          <w:szCs w:val="24"/>
          <w:lang w:eastAsia="zh-CN" w:bidi="ar-SA"/>
        </w:rPr>
        <w:t>Kreis</w:t>
      </w:r>
      <w:proofErr w:type="spellEnd"/>
      <w:r w:rsidRPr="002E4D3A">
        <w:rPr>
          <w:rFonts w:ascii="Book Antiqua" w:eastAsia="宋体" w:hAnsi="Book Antiqua" w:cs="宋体"/>
          <w:sz w:val="24"/>
          <w:szCs w:val="24"/>
          <w:lang w:eastAsia="zh-CN" w:bidi="ar-SA"/>
        </w:rPr>
        <w:t xml:space="preserve"> H, Noël LH, Friedlander G, </w:t>
      </w:r>
      <w:proofErr w:type="spellStart"/>
      <w:r w:rsidRPr="002E4D3A">
        <w:rPr>
          <w:rFonts w:ascii="Book Antiqua" w:eastAsia="宋体" w:hAnsi="Book Antiqua" w:cs="宋体"/>
          <w:sz w:val="24"/>
          <w:szCs w:val="24"/>
          <w:lang w:eastAsia="zh-CN" w:bidi="ar-SA"/>
        </w:rPr>
        <w:t>Elie</w:t>
      </w:r>
      <w:proofErr w:type="spellEnd"/>
      <w:r w:rsidRPr="002E4D3A">
        <w:rPr>
          <w:rFonts w:ascii="Book Antiqua" w:eastAsia="宋体" w:hAnsi="Book Antiqua" w:cs="宋体"/>
          <w:sz w:val="24"/>
          <w:szCs w:val="24"/>
          <w:lang w:eastAsia="zh-CN" w:bidi="ar-SA"/>
        </w:rPr>
        <w:t xml:space="preserve"> C, Legendre C, </w:t>
      </w:r>
      <w:proofErr w:type="spellStart"/>
      <w:r w:rsidRPr="002E4D3A">
        <w:rPr>
          <w:rFonts w:ascii="Book Antiqua" w:eastAsia="宋体" w:hAnsi="Book Antiqua" w:cs="宋体"/>
          <w:sz w:val="24"/>
          <w:szCs w:val="24"/>
          <w:lang w:eastAsia="zh-CN" w:bidi="ar-SA"/>
        </w:rPr>
        <w:t>Prié</w:t>
      </w:r>
      <w:proofErr w:type="spellEnd"/>
      <w:r w:rsidRPr="002E4D3A">
        <w:rPr>
          <w:rFonts w:ascii="Book Antiqua" w:eastAsia="宋体" w:hAnsi="Book Antiqua" w:cs="宋体"/>
          <w:sz w:val="24"/>
          <w:szCs w:val="24"/>
          <w:lang w:eastAsia="zh-CN" w:bidi="ar-SA"/>
        </w:rPr>
        <w:t xml:space="preserve"> D. Vitamin D status and outcomes after renal transplantation. </w:t>
      </w:r>
      <w:r w:rsidRPr="002E4D3A">
        <w:rPr>
          <w:rFonts w:ascii="Book Antiqua" w:eastAsia="宋体" w:hAnsi="Book Antiqua" w:cs="宋体"/>
          <w:i/>
          <w:iCs/>
          <w:sz w:val="24"/>
          <w:szCs w:val="24"/>
          <w:lang w:eastAsia="zh-CN" w:bidi="ar-SA"/>
        </w:rPr>
        <w:t xml:space="preserve">J Am </w:t>
      </w:r>
      <w:proofErr w:type="spellStart"/>
      <w:r w:rsidRPr="002E4D3A">
        <w:rPr>
          <w:rFonts w:ascii="Book Antiqua" w:eastAsia="宋体" w:hAnsi="Book Antiqua" w:cs="宋体"/>
          <w:i/>
          <w:iCs/>
          <w:sz w:val="24"/>
          <w:szCs w:val="24"/>
          <w:lang w:eastAsia="zh-CN" w:bidi="ar-SA"/>
        </w:rPr>
        <w:t>Soc</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24</w:t>
      </w:r>
      <w:r w:rsidRPr="002E4D3A">
        <w:rPr>
          <w:rFonts w:ascii="Book Antiqua" w:eastAsia="宋体" w:hAnsi="Book Antiqua" w:cs="宋体"/>
          <w:sz w:val="24"/>
          <w:szCs w:val="24"/>
          <w:lang w:eastAsia="zh-CN" w:bidi="ar-SA"/>
        </w:rPr>
        <w:t>: 831-841 [PMID: 23539758 DOI: 10.1681/ASN.2012060614]</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lastRenderedPageBreak/>
        <w:t xml:space="preserve">70 </w:t>
      </w:r>
      <w:r w:rsidRPr="002E4D3A">
        <w:rPr>
          <w:rFonts w:ascii="Book Antiqua" w:eastAsia="宋体" w:hAnsi="Book Antiqua" w:cs="宋体"/>
          <w:b/>
          <w:bCs/>
          <w:sz w:val="24"/>
          <w:szCs w:val="24"/>
          <w:lang w:eastAsia="zh-CN" w:bidi="ar-SA"/>
        </w:rPr>
        <w:t>Roe P</w:t>
      </w:r>
      <w:r w:rsidRPr="002E4D3A">
        <w:rPr>
          <w:rFonts w:ascii="Book Antiqua" w:eastAsia="宋体" w:hAnsi="Book Antiqua" w:cs="宋体"/>
          <w:sz w:val="24"/>
          <w:szCs w:val="24"/>
          <w:lang w:eastAsia="zh-CN" w:bidi="ar-SA"/>
        </w:rPr>
        <w:t xml:space="preserve">, Wolfe M, </w:t>
      </w:r>
      <w:proofErr w:type="spellStart"/>
      <w:r w:rsidRPr="002E4D3A">
        <w:rPr>
          <w:rFonts w:ascii="Book Antiqua" w:eastAsia="宋体" w:hAnsi="Book Antiqua" w:cs="宋体"/>
          <w:sz w:val="24"/>
          <w:szCs w:val="24"/>
          <w:lang w:eastAsia="zh-CN" w:bidi="ar-SA"/>
        </w:rPr>
        <w:t>Joffe</w:t>
      </w:r>
      <w:proofErr w:type="spellEnd"/>
      <w:r w:rsidRPr="002E4D3A">
        <w:rPr>
          <w:rFonts w:ascii="Book Antiqua" w:eastAsia="宋体" w:hAnsi="Book Antiqua" w:cs="宋体"/>
          <w:sz w:val="24"/>
          <w:szCs w:val="24"/>
          <w:lang w:eastAsia="zh-CN" w:bidi="ar-SA"/>
        </w:rPr>
        <w:t xml:space="preserve"> M, Rosas SE. Inflammation, coronary artery calcification and cardiovascular events in incident renal transplant recipients. </w:t>
      </w:r>
      <w:r w:rsidRPr="002E4D3A">
        <w:rPr>
          <w:rFonts w:ascii="Book Antiqua" w:eastAsia="宋体" w:hAnsi="Book Antiqua" w:cs="宋体"/>
          <w:i/>
          <w:iCs/>
          <w:sz w:val="24"/>
          <w:szCs w:val="24"/>
          <w:lang w:eastAsia="zh-CN" w:bidi="ar-SA"/>
        </w:rPr>
        <w:t>Atherosclerosis</w:t>
      </w:r>
      <w:r w:rsidRPr="002E4D3A">
        <w:rPr>
          <w:rFonts w:ascii="Book Antiqua" w:eastAsia="宋体" w:hAnsi="Book Antiqua" w:cs="宋体"/>
          <w:sz w:val="24"/>
          <w:szCs w:val="24"/>
          <w:lang w:eastAsia="zh-CN" w:bidi="ar-SA"/>
        </w:rPr>
        <w:t xml:space="preserve"> 2010; </w:t>
      </w:r>
      <w:r w:rsidRPr="002E4D3A">
        <w:rPr>
          <w:rFonts w:ascii="Book Antiqua" w:eastAsia="宋体" w:hAnsi="Book Antiqua" w:cs="宋体"/>
          <w:b/>
          <w:bCs/>
          <w:sz w:val="24"/>
          <w:szCs w:val="24"/>
          <w:lang w:eastAsia="zh-CN" w:bidi="ar-SA"/>
        </w:rPr>
        <w:t>212</w:t>
      </w:r>
      <w:r w:rsidRPr="002E4D3A">
        <w:rPr>
          <w:rFonts w:ascii="Book Antiqua" w:eastAsia="宋体" w:hAnsi="Book Antiqua" w:cs="宋体"/>
          <w:sz w:val="24"/>
          <w:szCs w:val="24"/>
          <w:lang w:eastAsia="zh-CN" w:bidi="ar-SA"/>
        </w:rPr>
        <w:t>: 589-594 [PMID: 20934074 DOI: 10.1016/j.atherosclerosis.2010.05.016]</w:t>
      </w:r>
    </w:p>
    <w:p w:rsidR="002E4D3A" w:rsidRPr="002E4D3A" w:rsidRDefault="00F659C0" w:rsidP="002E4D3A">
      <w:pPr>
        <w:spacing w:after="0" w:line="360" w:lineRule="auto"/>
        <w:jc w:val="both"/>
        <w:rPr>
          <w:rFonts w:ascii="Book Antiqua" w:eastAsia="宋体" w:hAnsi="Book Antiqua" w:cs="宋体"/>
          <w:sz w:val="24"/>
          <w:szCs w:val="24"/>
          <w:lang w:eastAsia="zh-CN" w:bidi="ar-SA"/>
        </w:rPr>
      </w:pPr>
      <w:proofErr w:type="gramStart"/>
      <w:r>
        <w:rPr>
          <w:rFonts w:ascii="Book Antiqua" w:eastAsia="宋体" w:hAnsi="Book Antiqua" w:cs="宋体"/>
          <w:sz w:val="24"/>
          <w:szCs w:val="24"/>
          <w:lang w:eastAsia="zh-CN" w:bidi="ar-SA"/>
        </w:rPr>
        <w:t xml:space="preserve">71 </w:t>
      </w:r>
      <w:r w:rsidR="002E4D3A" w:rsidRPr="002E4D3A">
        <w:rPr>
          <w:rFonts w:ascii="Book Antiqua" w:eastAsia="宋体" w:hAnsi="Book Antiqua" w:cs="宋体"/>
          <w:sz w:val="24"/>
          <w:szCs w:val="24"/>
          <w:lang w:eastAsia="zh-CN" w:bidi="ar-SA"/>
        </w:rPr>
        <w:t>KDIGO clinical practice guideline for the diagnosis, evaluation, prevention, and treatment of Chronic Kidney Disease-Mineral and Bone Disorder (CKD-MBD).</w:t>
      </w:r>
      <w:proofErr w:type="gramEnd"/>
      <w:r w:rsidR="002E4D3A" w:rsidRPr="002E4D3A">
        <w:rPr>
          <w:rFonts w:ascii="Book Antiqua" w:eastAsia="宋体" w:hAnsi="Book Antiqua" w:cs="宋体"/>
          <w:sz w:val="24"/>
          <w:szCs w:val="24"/>
          <w:lang w:eastAsia="zh-CN" w:bidi="ar-SA"/>
        </w:rPr>
        <w:t xml:space="preserve"> </w:t>
      </w:r>
      <w:r w:rsidR="002E4D3A" w:rsidRPr="002E4D3A">
        <w:rPr>
          <w:rFonts w:ascii="Book Antiqua" w:eastAsia="宋体" w:hAnsi="Book Antiqua" w:cs="宋体"/>
          <w:i/>
          <w:iCs/>
          <w:sz w:val="24"/>
          <w:szCs w:val="24"/>
          <w:lang w:eastAsia="zh-CN" w:bidi="ar-SA"/>
        </w:rPr>
        <w:t xml:space="preserve">Kidney </w:t>
      </w:r>
      <w:proofErr w:type="spellStart"/>
      <w:r w:rsidR="002E4D3A" w:rsidRPr="002E4D3A">
        <w:rPr>
          <w:rFonts w:ascii="Book Antiqua" w:eastAsia="宋体" w:hAnsi="Book Antiqua" w:cs="宋体"/>
          <w:i/>
          <w:iCs/>
          <w:sz w:val="24"/>
          <w:szCs w:val="24"/>
          <w:lang w:eastAsia="zh-CN" w:bidi="ar-SA"/>
        </w:rPr>
        <w:t>Int</w:t>
      </w:r>
      <w:proofErr w:type="spellEnd"/>
      <w:r w:rsidR="002E4D3A" w:rsidRPr="002E4D3A">
        <w:rPr>
          <w:rFonts w:ascii="Book Antiqua" w:eastAsia="宋体" w:hAnsi="Book Antiqua" w:cs="宋体"/>
          <w:i/>
          <w:iCs/>
          <w:sz w:val="24"/>
          <w:szCs w:val="24"/>
          <w:lang w:eastAsia="zh-CN" w:bidi="ar-SA"/>
        </w:rPr>
        <w:t xml:space="preserve"> </w:t>
      </w:r>
      <w:proofErr w:type="spellStart"/>
      <w:r w:rsidR="002E4D3A" w:rsidRPr="002E4D3A">
        <w:rPr>
          <w:rFonts w:ascii="Book Antiqua" w:eastAsia="宋体" w:hAnsi="Book Antiqua" w:cs="宋体"/>
          <w:i/>
          <w:iCs/>
          <w:sz w:val="24"/>
          <w:szCs w:val="24"/>
          <w:lang w:eastAsia="zh-CN" w:bidi="ar-SA"/>
        </w:rPr>
        <w:t>Suppl</w:t>
      </w:r>
      <w:proofErr w:type="spellEnd"/>
      <w:r w:rsidR="002E4D3A" w:rsidRPr="002E4D3A">
        <w:rPr>
          <w:rFonts w:ascii="Book Antiqua" w:eastAsia="宋体" w:hAnsi="Book Antiqua" w:cs="宋体"/>
          <w:sz w:val="24"/>
          <w:szCs w:val="24"/>
          <w:lang w:eastAsia="zh-CN" w:bidi="ar-SA"/>
        </w:rPr>
        <w:t xml:space="preserve"> 2009; </w:t>
      </w:r>
      <w:r>
        <w:rPr>
          <w:rFonts w:ascii="Book Antiqua" w:eastAsia="宋体" w:hAnsi="Book Antiqua" w:cs="宋体"/>
          <w:b/>
          <w:sz w:val="24"/>
          <w:szCs w:val="24"/>
          <w:lang w:eastAsia="zh-CN" w:bidi="ar-SA"/>
        </w:rPr>
        <w:t>(113)</w:t>
      </w:r>
      <w:r w:rsidR="002E4D3A" w:rsidRPr="002E4D3A">
        <w:rPr>
          <w:rFonts w:ascii="Book Antiqua" w:eastAsia="宋体" w:hAnsi="Book Antiqua" w:cs="宋体"/>
          <w:sz w:val="24"/>
          <w:szCs w:val="24"/>
          <w:lang w:eastAsia="zh-CN" w:bidi="ar-SA"/>
        </w:rPr>
        <w:t>: S1-130 [PMID: 19644521 DOI: 10.1038/ki.2009.188]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72 </w:t>
      </w:r>
      <w:proofErr w:type="spellStart"/>
      <w:r w:rsidRPr="002E4D3A">
        <w:rPr>
          <w:rFonts w:ascii="Book Antiqua" w:eastAsia="宋体" w:hAnsi="Book Antiqua" w:cs="宋体"/>
          <w:b/>
          <w:bCs/>
          <w:sz w:val="24"/>
          <w:szCs w:val="24"/>
          <w:lang w:eastAsia="zh-CN" w:bidi="ar-SA"/>
        </w:rPr>
        <w:t>Evenepoel</w:t>
      </w:r>
      <w:proofErr w:type="spellEnd"/>
      <w:r w:rsidRPr="002E4D3A">
        <w:rPr>
          <w:rFonts w:ascii="Book Antiqua" w:eastAsia="宋体" w:hAnsi="Book Antiqua" w:cs="宋体"/>
          <w:b/>
          <w:bCs/>
          <w:sz w:val="24"/>
          <w:szCs w:val="24"/>
          <w:lang w:eastAsia="zh-CN" w:bidi="ar-SA"/>
        </w:rPr>
        <w:t xml:space="preserve"> P</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Lerut</w:t>
      </w:r>
      <w:proofErr w:type="spellEnd"/>
      <w:r w:rsidRPr="002E4D3A">
        <w:rPr>
          <w:rFonts w:ascii="Book Antiqua" w:eastAsia="宋体" w:hAnsi="Book Antiqua" w:cs="宋体"/>
          <w:sz w:val="24"/>
          <w:szCs w:val="24"/>
          <w:lang w:eastAsia="zh-CN" w:bidi="ar-SA"/>
        </w:rPr>
        <w:t xml:space="preserve"> E, </w:t>
      </w:r>
      <w:proofErr w:type="spellStart"/>
      <w:r w:rsidRPr="002E4D3A">
        <w:rPr>
          <w:rFonts w:ascii="Book Antiqua" w:eastAsia="宋体" w:hAnsi="Book Antiqua" w:cs="宋体"/>
          <w:sz w:val="24"/>
          <w:szCs w:val="24"/>
          <w:lang w:eastAsia="zh-CN" w:bidi="ar-SA"/>
        </w:rPr>
        <w:t>Naesens</w:t>
      </w:r>
      <w:proofErr w:type="spellEnd"/>
      <w:r w:rsidRPr="002E4D3A">
        <w:rPr>
          <w:rFonts w:ascii="Book Antiqua" w:eastAsia="宋体" w:hAnsi="Book Antiqua" w:cs="宋体"/>
          <w:sz w:val="24"/>
          <w:szCs w:val="24"/>
          <w:lang w:eastAsia="zh-CN" w:bidi="ar-SA"/>
        </w:rPr>
        <w:t xml:space="preserve"> M, </w:t>
      </w:r>
      <w:proofErr w:type="spellStart"/>
      <w:r w:rsidRPr="002E4D3A">
        <w:rPr>
          <w:rFonts w:ascii="Book Antiqua" w:eastAsia="宋体" w:hAnsi="Book Antiqua" w:cs="宋体"/>
          <w:sz w:val="24"/>
          <w:szCs w:val="24"/>
          <w:lang w:eastAsia="zh-CN" w:bidi="ar-SA"/>
        </w:rPr>
        <w:t>Bammens</w:t>
      </w:r>
      <w:proofErr w:type="spellEnd"/>
      <w:r w:rsidRPr="002E4D3A">
        <w:rPr>
          <w:rFonts w:ascii="Book Antiqua" w:eastAsia="宋体" w:hAnsi="Book Antiqua" w:cs="宋体"/>
          <w:sz w:val="24"/>
          <w:szCs w:val="24"/>
          <w:lang w:eastAsia="zh-CN" w:bidi="ar-SA"/>
        </w:rPr>
        <w:t xml:space="preserve"> B, </w:t>
      </w:r>
      <w:proofErr w:type="spellStart"/>
      <w:r w:rsidRPr="002E4D3A">
        <w:rPr>
          <w:rFonts w:ascii="Book Antiqua" w:eastAsia="宋体" w:hAnsi="Book Antiqua" w:cs="宋体"/>
          <w:sz w:val="24"/>
          <w:szCs w:val="24"/>
          <w:lang w:eastAsia="zh-CN" w:bidi="ar-SA"/>
        </w:rPr>
        <w:t>Claes</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Kuypers</w:t>
      </w:r>
      <w:proofErr w:type="spellEnd"/>
      <w:r w:rsidRPr="002E4D3A">
        <w:rPr>
          <w:rFonts w:ascii="Book Antiqua" w:eastAsia="宋体" w:hAnsi="Book Antiqua" w:cs="宋体"/>
          <w:sz w:val="24"/>
          <w:szCs w:val="24"/>
          <w:lang w:eastAsia="zh-CN" w:bidi="ar-SA"/>
        </w:rPr>
        <w:t xml:space="preserve"> D, </w:t>
      </w:r>
      <w:proofErr w:type="spellStart"/>
      <w:r w:rsidRPr="002E4D3A">
        <w:rPr>
          <w:rFonts w:ascii="Book Antiqua" w:eastAsia="宋体" w:hAnsi="Book Antiqua" w:cs="宋体"/>
          <w:sz w:val="24"/>
          <w:szCs w:val="24"/>
          <w:lang w:eastAsia="zh-CN" w:bidi="ar-SA"/>
        </w:rPr>
        <w:t>Vermeersch</w:t>
      </w:r>
      <w:proofErr w:type="spellEnd"/>
      <w:r w:rsidRPr="002E4D3A">
        <w:rPr>
          <w:rFonts w:ascii="Book Antiqua" w:eastAsia="宋体" w:hAnsi="Book Antiqua" w:cs="宋体"/>
          <w:sz w:val="24"/>
          <w:szCs w:val="24"/>
          <w:lang w:eastAsia="zh-CN" w:bidi="ar-SA"/>
        </w:rPr>
        <w:t xml:space="preserve"> P, </w:t>
      </w:r>
      <w:proofErr w:type="spellStart"/>
      <w:r w:rsidRPr="002E4D3A">
        <w:rPr>
          <w:rFonts w:ascii="Book Antiqua" w:eastAsia="宋体" w:hAnsi="Book Antiqua" w:cs="宋体"/>
          <w:sz w:val="24"/>
          <w:szCs w:val="24"/>
          <w:lang w:eastAsia="zh-CN" w:bidi="ar-SA"/>
        </w:rPr>
        <w:t>Meijers</w:t>
      </w:r>
      <w:proofErr w:type="spellEnd"/>
      <w:r w:rsidRPr="002E4D3A">
        <w:rPr>
          <w:rFonts w:ascii="Book Antiqua" w:eastAsia="宋体" w:hAnsi="Book Antiqua" w:cs="宋体"/>
          <w:sz w:val="24"/>
          <w:szCs w:val="24"/>
          <w:lang w:eastAsia="zh-CN" w:bidi="ar-SA"/>
        </w:rPr>
        <w:t xml:space="preserve"> B, Van </w:t>
      </w:r>
      <w:proofErr w:type="spellStart"/>
      <w:r w:rsidRPr="002E4D3A">
        <w:rPr>
          <w:rFonts w:ascii="Book Antiqua" w:eastAsia="宋体" w:hAnsi="Book Antiqua" w:cs="宋体"/>
          <w:sz w:val="24"/>
          <w:szCs w:val="24"/>
          <w:lang w:eastAsia="zh-CN" w:bidi="ar-SA"/>
        </w:rPr>
        <w:t>Damme</w:t>
      </w:r>
      <w:proofErr w:type="spellEnd"/>
      <w:r w:rsidRPr="002E4D3A">
        <w:rPr>
          <w:rFonts w:ascii="Book Antiqua" w:eastAsia="宋体" w:hAnsi="Book Antiqua" w:cs="宋体"/>
          <w:sz w:val="24"/>
          <w:szCs w:val="24"/>
          <w:lang w:eastAsia="zh-CN" w:bidi="ar-SA"/>
        </w:rPr>
        <w:t xml:space="preserve"> B, </w:t>
      </w:r>
      <w:proofErr w:type="spellStart"/>
      <w:r w:rsidRPr="002E4D3A">
        <w:rPr>
          <w:rFonts w:ascii="Book Antiqua" w:eastAsia="宋体" w:hAnsi="Book Antiqua" w:cs="宋体"/>
          <w:sz w:val="24"/>
          <w:szCs w:val="24"/>
          <w:lang w:eastAsia="zh-CN" w:bidi="ar-SA"/>
        </w:rPr>
        <w:t>Vanrenterghem</w:t>
      </w:r>
      <w:proofErr w:type="spellEnd"/>
      <w:r w:rsidRPr="002E4D3A">
        <w:rPr>
          <w:rFonts w:ascii="Book Antiqua" w:eastAsia="宋体" w:hAnsi="Book Antiqua" w:cs="宋体"/>
          <w:sz w:val="24"/>
          <w:szCs w:val="24"/>
          <w:lang w:eastAsia="zh-CN" w:bidi="ar-SA"/>
        </w:rPr>
        <w:t xml:space="preserve"> Y. Localization, etiology and impact of calcium phosphate deposits in renal allografts. </w:t>
      </w:r>
      <w:r w:rsidRPr="002E4D3A">
        <w:rPr>
          <w:rFonts w:ascii="Book Antiqua" w:eastAsia="宋体" w:hAnsi="Book Antiqua" w:cs="宋体"/>
          <w:i/>
          <w:iCs/>
          <w:sz w:val="24"/>
          <w:szCs w:val="24"/>
          <w:lang w:eastAsia="zh-CN" w:bidi="ar-SA"/>
        </w:rPr>
        <w:t>Am J Transplant</w:t>
      </w:r>
      <w:r w:rsidRPr="002E4D3A">
        <w:rPr>
          <w:rFonts w:ascii="Book Antiqua" w:eastAsia="宋体" w:hAnsi="Book Antiqua" w:cs="宋体"/>
          <w:sz w:val="24"/>
          <w:szCs w:val="24"/>
          <w:lang w:eastAsia="zh-CN" w:bidi="ar-SA"/>
        </w:rPr>
        <w:t xml:space="preserve"> 2009; </w:t>
      </w:r>
      <w:r w:rsidRPr="002E4D3A">
        <w:rPr>
          <w:rFonts w:ascii="Book Antiqua" w:eastAsia="宋体" w:hAnsi="Book Antiqua" w:cs="宋体"/>
          <w:b/>
          <w:bCs/>
          <w:sz w:val="24"/>
          <w:szCs w:val="24"/>
          <w:lang w:eastAsia="zh-CN" w:bidi="ar-SA"/>
        </w:rPr>
        <w:t>9</w:t>
      </w:r>
      <w:r w:rsidRPr="002E4D3A">
        <w:rPr>
          <w:rFonts w:ascii="Book Antiqua" w:eastAsia="宋体" w:hAnsi="Book Antiqua" w:cs="宋体"/>
          <w:sz w:val="24"/>
          <w:szCs w:val="24"/>
          <w:lang w:eastAsia="zh-CN" w:bidi="ar-SA"/>
        </w:rPr>
        <w:t>: 2470-2478 [PMID: 19681815 DOI: 10.1111/j.1600-6143.2009.02792.x]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73 </w:t>
      </w:r>
      <w:proofErr w:type="spellStart"/>
      <w:r w:rsidRPr="002E4D3A">
        <w:rPr>
          <w:rFonts w:ascii="Book Antiqua" w:eastAsia="宋体" w:hAnsi="Book Antiqua" w:cs="宋体"/>
          <w:b/>
          <w:bCs/>
          <w:sz w:val="24"/>
          <w:szCs w:val="24"/>
          <w:lang w:eastAsia="zh-CN" w:bidi="ar-SA"/>
        </w:rPr>
        <w:t>Riella</w:t>
      </w:r>
      <w:proofErr w:type="spellEnd"/>
      <w:r w:rsidRPr="002E4D3A">
        <w:rPr>
          <w:rFonts w:ascii="Book Antiqua" w:eastAsia="宋体" w:hAnsi="Book Antiqua" w:cs="宋体"/>
          <w:b/>
          <w:bCs/>
          <w:sz w:val="24"/>
          <w:szCs w:val="24"/>
          <w:lang w:eastAsia="zh-CN" w:bidi="ar-SA"/>
        </w:rPr>
        <w:t xml:space="preserve"> LV</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Rennke</w:t>
      </w:r>
      <w:proofErr w:type="spellEnd"/>
      <w:r w:rsidRPr="002E4D3A">
        <w:rPr>
          <w:rFonts w:ascii="Book Antiqua" w:eastAsia="宋体" w:hAnsi="Book Antiqua" w:cs="宋体"/>
          <w:sz w:val="24"/>
          <w:szCs w:val="24"/>
          <w:lang w:eastAsia="zh-CN" w:bidi="ar-SA"/>
        </w:rPr>
        <w:t xml:space="preserve"> HG, </w:t>
      </w:r>
      <w:proofErr w:type="spellStart"/>
      <w:r w:rsidRPr="002E4D3A">
        <w:rPr>
          <w:rFonts w:ascii="Book Antiqua" w:eastAsia="宋体" w:hAnsi="Book Antiqua" w:cs="宋体"/>
          <w:sz w:val="24"/>
          <w:szCs w:val="24"/>
          <w:lang w:eastAsia="zh-CN" w:bidi="ar-SA"/>
        </w:rPr>
        <w:t>Grafals</w:t>
      </w:r>
      <w:proofErr w:type="spellEnd"/>
      <w:r w:rsidRPr="002E4D3A">
        <w:rPr>
          <w:rFonts w:ascii="Book Antiqua" w:eastAsia="宋体" w:hAnsi="Book Antiqua" w:cs="宋体"/>
          <w:sz w:val="24"/>
          <w:szCs w:val="24"/>
          <w:lang w:eastAsia="zh-CN" w:bidi="ar-SA"/>
        </w:rPr>
        <w:t xml:space="preserve"> M, </w:t>
      </w:r>
      <w:proofErr w:type="spellStart"/>
      <w:r w:rsidRPr="002E4D3A">
        <w:rPr>
          <w:rFonts w:ascii="Book Antiqua" w:eastAsia="宋体" w:hAnsi="Book Antiqua" w:cs="宋体"/>
          <w:sz w:val="24"/>
          <w:szCs w:val="24"/>
          <w:lang w:eastAsia="zh-CN" w:bidi="ar-SA"/>
        </w:rPr>
        <w:t>Chandraker</w:t>
      </w:r>
      <w:proofErr w:type="spellEnd"/>
      <w:r w:rsidRPr="002E4D3A">
        <w:rPr>
          <w:rFonts w:ascii="Book Antiqua" w:eastAsia="宋体" w:hAnsi="Book Antiqua" w:cs="宋体"/>
          <w:sz w:val="24"/>
          <w:szCs w:val="24"/>
          <w:lang w:eastAsia="zh-CN" w:bidi="ar-SA"/>
        </w:rPr>
        <w:t xml:space="preserve"> A. Hypophosphatemia in kidney transplant recipients: report of acute phosphate nephropathy as a complication of therapy. </w:t>
      </w:r>
      <w:r w:rsidRPr="002E4D3A">
        <w:rPr>
          <w:rFonts w:ascii="Book Antiqua" w:eastAsia="宋体" w:hAnsi="Book Antiqua" w:cs="宋体"/>
          <w:i/>
          <w:iCs/>
          <w:sz w:val="24"/>
          <w:szCs w:val="24"/>
          <w:lang w:eastAsia="zh-CN" w:bidi="ar-SA"/>
        </w:rPr>
        <w:t>Am J Kidney Dis</w:t>
      </w:r>
      <w:r w:rsidRPr="002E4D3A">
        <w:rPr>
          <w:rFonts w:ascii="Book Antiqua" w:eastAsia="宋体" w:hAnsi="Book Antiqua" w:cs="宋体"/>
          <w:sz w:val="24"/>
          <w:szCs w:val="24"/>
          <w:lang w:eastAsia="zh-CN" w:bidi="ar-SA"/>
        </w:rPr>
        <w:t xml:space="preserve"> 2011; </w:t>
      </w:r>
      <w:r w:rsidRPr="002E4D3A">
        <w:rPr>
          <w:rFonts w:ascii="Book Antiqua" w:eastAsia="宋体" w:hAnsi="Book Antiqua" w:cs="宋体"/>
          <w:b/>
          <w:bCs/>
          <w:sz w:val="24"/>
          <w:szCs w:val="24"/>
          <w:lang w:eastAsia="zh-CN" w:bidi="ar-SA"/>
        </w:rPr>
        <w:t>57</w:t>
      </w:r>
      <w:r w:rsidRPr="002E4D3A">
        <w:rPr>
          <w:rFonts w:ascii="Book Antiqua" w:eastAsia="宋体" w:hAnsi="Book Antiqua" w:cs="宋体"/>
          <w:sz w:val="24"/>
          <w:szCs w:val="24"/>
          <w:lang w:eastAsia="zh-CN" w:bidi="ar-SA"/>
        </w:rPr>
        <w:t>: 641-645 [PMID: 21333424 DOI: 10.1053/j.ajkd.2010.11.024]</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proofErr w:type="gramStart"/>
      <w:r w:rsidRPr="002E4D3A">
        <w:rPr>
          <w:rFonts w:ascii="Book Antiqua" w:eastAsia="宋体" w:hAnsi="Book Antiqua" w:cs="宋体"/>
          <w:sz w:val="24"/>
          <w:szCs w:val="24"/>
          <w:lang w:eastAsia="zh-CN" w:bidi="ar-SA"/>
        </w:rPr>
        <w:t xml:space="preserve">74 </w:t>
      </w:r>
      <w:r w:rsidRPr="002E4D3A">
        <w:rPr>
          <w:rFonts w:ascii="Book Antiqua" w:eastAsia="宋体" w:hAnsi="Book Antiqua" w:cs="宋体"/>
          <w:b/>
          <w:bCs/>
          <w:sz w:val="24"/>
          <w:szCs w:val="24"/>
          <w:lang w:eastAsia="zh-CN" w:bidi="ar-SA"/>
        </w:rPr>
        <w:t>Lobo PI</w:t>
      </w:r>
      <w:r w:rsidRPr="002E4D3A">
        <w:rPr>
          <w:rFonts w:ascii="Book Antiqua" w:eastAsia="宋体" w:hAnsi="Book Antiqua" w:cs="宋体"/>
          <w:sz w:val="24"/>
          <w:szCs w:val="24"/>
          <w:lang w:eastAsia="zh-CN" w:bidi="ar-SA"/>
        </w:rPr>
        <w:t>, Cortez MS, Stevenson W, Pruett TL.</w:t>
      </w:r>
      <w:proofErr w:type="gramEnd"/>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Normocalcemic</w:t>
      </w:r>
      <w:proofErr w:type="spellEnd"/>
      <w:r w:rsidRPr="002E4D3A">
        <w:rPr>
          <w:rFonts w:ascii="Book Antiqua" w:eastAsia="宋体" w:hAnsi="Book Antiqua" w:cs="宋体"/>
          <w:sz w:val="24"/>
          <w:szCs w:val="24"/>
          <w:lang w:eastAsia="zh-CN" w:bidi="ar-SA"/>
        </w:rPr>
        <w:t xml:space="preserve"> hyperparathyroidism associated with relatively low 1: 25 vitamin D levels post-renal transplant can be successfully treated with oral </w:t>
      </w:r>
      <w:proofErr w:type="spellStart"/>
      <w:r w:rsidRPr="002E4D3A">
        <w:rPr>
          <w:rFonts w:ascii="Book Antiqua" w:eastAsia="宋体" w:hAnsi="Book Antiqua" w:cs="宋体"/>
          <w:sz w:val="24"/>
          <w:szCs w:val="24"/>
          <w:lang w:eastAsia="zh-CN" w:bidi="ar-SA"/>
        </w:rPr>
        <w:t>calcitriol</w:t>
      </w:r>
      <w:proofErr w:type="spellEnd"/>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Transplant</w:t>
      </w:r>
      <w:r w:rsidRPr="002E4D3A">
        <w:rPr>
          <w:rFonts w:ascii="Book Antiqua" w:eastAsia="宋体" w:hAnsi="Book Antiqua" w:cs="宋体"/>
          <w:sz w:val="24"/>
          <w:szCs w:val="24"/>
          <w:lang w:eastAsia="zh-CN" w:bidi="ar-SA"/>
        </w:rPr>
        <w:t xml:space="preserve"> 1995; </w:t>
      </w:r>
      <w:r w:rsidRPr="002E4D3A">
        <w:rPr>
          <w:rFonts w:ascii="Book Antiqua" w:eastAsia="宋体" w:hAnsi="Book Antiqua" w:cs="宋体"/>
          <w:b/>
          <w:bCs/>
          <w:sz w:val="24"/>
          <w:szCs w:val="24"/>
          <w:lang w:eastAsia="zh-CN" w:bidi="ar-SA"/>
        </w:rPr>
        <w:t>9</w:t>
      </w:r>
      <w:r w:rsidRPr="002E4D3A">
        <w:rPr>
          <w:rFonts w:ascii="Book Antiqua" w:eastAsia="宋体" w:hAnsi="Book Antiqua" w:cs="宋体"/>
          <w:sz w:val="24"/>
          <w:szCs w:val="24"/>
          <w:lang w:eastAsia="zh-CN" w:bidi="ar-SA"/>
        </w:rPr>
        <w:t>: 277-281 [PMID: 7579733]</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75 </w:t>
      </w:r>
      <w:r w:rsidRPr="002E4D3A">
        <w:rPr>
          <w:rFonts w:ascii="Book Antiqua" w:eastAsia="宋体" w:hAnsi="Book Antiqua" w:cs="宋体"/>
          <w:b/>
          <w:bCs/>
          <w:sz w:val="24"/>
          <w:szCs w:val="24"/>
          <w:lang w:eastAsia="zh-CN" w:bidi="ar-SA"/>
        </w:rPr>
        <w:t>Steiner RW</w:t>
      </w:r>
      <w:r w:rsidRPr="002E4D3A">
        <w:rPr>
          <w:rFonts w:ascii="Book Antiqua" w:eastAsia="宋体" w:hAnsi="Book Antiqua" w:cs="宋体"/>
          <w:sz w:val="24"/>
          <w:szCs w:val="24"/>
          <w:lang w:eastAsia="zh-CN" w:bidi="ar-SA"/>
        </w:rPr>
        <w:t xml:space="preserve">, Ziegler M, </w:t>
      </w:r>
      <w:proofErr w:type="spellStart"/>
      <w:r w:rsidRPr="002E4D3A">
        <w:rPr>
          <w:rFonts w:ascii="Book Antiqua" w:eastAsia="宋体" w:hAnsi="Book Antiqua" w:cs="宋体"/>
          <w:sz w:val="24"/>
          <w:szCs w:val="24"/>
          <w:lang w:eastAsia="zh-CN" w:bidi="ar-SA"/>
        </w:rPr>
        <w:t>Halasz</w:t>
      </w:r>
      <w:proofErr w:type="spellEnd"/>
      <w:r w:rsidRPr="002E4D3A">
        <w:rPr>
          <w:rFonts w:ascii="Book Antiqua" w:eastAsia="宋体" w:hAnsi="Book Antiqua" w:cs="宋体"/>
          <w:sz w:val="24"/>
          <w:szCs w:val="24"/>
          <w:lang w:eastAsia="zh-CN" w:bidi="ar-SA"/>
        </w:rPr>
        <w:t xml:space="preserve"> NA, </w:t>
      </w:r>
      <w:proofErr w:type="spellStart"/>
      <w:r w:rsidRPr="002E4D3A">
        <w:rPr>
          <w:rFonts w:ascii="Book Antiqua" w:eastAsia="宋体" w:hAnsi="Book Antiqua" w:cs="宋体"/>
          <w:sz w:val="24"/>
          <w:szCs w:val="24"/>
          <w:lang w:eastAsia="zh-CN" w:bidi="ar-SA"/>
        </w:rPr>
        <w:t>Catherwood</w:t>
      </w:r>
      <w:proofErr w:type="spellEnd"/>
      <w:r w:rsidRPr="002E4D3A">
        <w:rPr>
          <w:rFonts w:ascii="Book Antiqua" w:eastAsia="宋体" w:hAnsi="Book Antiqua" w:cs="宋体"/>
          <w:sz w:val="24"/>
          <w:szCs w:val="24"/>
          <w:lang w:eastAsia="zh-CN" w:bidi="ar-SA"/>
        </w:rPr>
        <w:t xml:space="preserve"> BD, </w:t>
      </w:r>
      <w:proofErr w:type="spellStart"/>
      <w:r w:rsidRPr="002E4D3A">
        <w:rPr>
          <w:rFonts w:ascii="Book Antiqua" w:eastAsia="宋体" w:hAnsi="Book Antiqua" w:cs="宋体"/>
          <w:sz w:val="24"/>
          <w:szCs w:val="24"/>
          <w:lang w:eastAsia="zh-CN" w:bidi="ar-SA"/>
        </w:rPr>
        <w:t>Manolagas</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Deftos</w:t>
      </w:r>
      <w:proofErr w:type="spellEnd"/>
      <w:r w:rsidRPr="002E4D3A">
        <w:rPr>
          <w:rFonts w:ascii="Book Antiqua" w:eastAsia="宋体" w:hAnsi="Book Antiqua" w:cs="宋体"/>
          <w:sz w:val="24"/>
          <w:szCs w:val="24"/>
          <w:lang w:eastAsia="zh-CN" w:bidi="ar-SA"/>
        </w:rPr>
        <w:t xml:space="preserve"> LJ. Effect of daily oral vitamin D and calcium therapy, hypophosphatemia, and endogenous 1-25 </w:t>
      </w:r>
      <w:proofErr w:type="spellStart"/>
      <w:r w:rsidRPr="002E4D3A">
        <w:rPr>
          <w:rFonts w:ascii="Book Antiqua" w:eastAsia="宋体" w:hAnsi="Book Antiqua" w:cs="宋体"/>
          <w:sz w:val="24"/>
          <w:szCs w:val="24"/>
          <w:lang w:eastAsia="zh-CN" w:bidi="ar-SA"/>
        </w:rPr>
        <w:t>dihydroxycholecalciferol</w:t>
      </w:r>
      <w:proofErr w:type="spellEnd"/>
      <w:r w:rsidRPr="002E4D3A">
        <w:rPr>
          <w:rFonts w:ascii="Book Antiqua" w:eastAsia="宋体" w:hAnsi="Book Antiqua" w:cs="宋体"/>
          <w:sz w:val="24"/>
          <w:szCs w:val="24"/>
          <w:lang w:eastAsia="zh-CN" w:bidi="ar-SA"/>
        </w:rPr>
        <w:t xml:space="preserve"> on parathyroid hormone and phosphate wasting in renal transplant recipients. </w:t>
      </w:r>
      <w:r w:rsidRPr="002E4D3A">
        <w:rPr>
          <w:rFonts w:ascii="Book Antiqua" w:eastAsia="宋体" w:hAnsi="Book Antiqua" w:cs="宋体"/>
          <w:i/>
          <w:iCs/>
          <w:sz w:val="24"/>
          <w:szCs w:val="24"/>
          <w:lang w:eastAsia="zh-CN" w:bidi="ar-SA"/>
        </w:rPr>
        <w:t>Transplantation</w:t>
      </w:r>
      <w:r w:rsidRPr="002E4D3A">
        <w:rPr>
          <w:rFonts w:ascii="Book Antiqua" w:eastAsia="宋体" w:hAnsi="Book Antiqua" w:cs="宋体"/>
          <w:sz w:val="24"/>
          <w:szCs w:val="24"/>
          <w:lang w:eastAsia="zh-CN" w:bidi="ar-SA"/>
        </w:rPr>
        <w:t xml:space="preserve"> 1993; </w:t>
      </w:r>
      <w:r w:rsidRPr="002E4D3A">
        <w:rPr>
          <w:rFonts w:ascii="Book Antiqua" w:eastAsia="宋体" w:hAnsi="Book Antiqua" w:cs="宋体"/>
          <w:b/>
          <w:bCs/>
          <w:sz w:val="24"/>
          <w:szCs w:val="24"/>
          <w:lang w:eastAsia="zh-CN" w:bidi="ar-SA"/>
        </w:rPr>
        <w:t>56</w:t>
      </w:r>
      <w:r w:rsidRPr="002E4D3A">
        <w:rPr>
          <w:rFonts w:ascii="Book Antiqua" w:eastAsia="宋体" w:hAnsi="Book Antiqua" w:cs="宋体"/>
          <w:sz w:val="24"/>
          <w:szCs w:val="24"/>
          <w:lang w:eastAsia="zh-CN" w:bidi="ar-SA"/>
        </w:rPr>
        <w:t>: 843-846 [PMID: 8212205]</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76 </w:t>
      </w:r>
      <w:r w:rsidRPr="002E4D3A">
        <w:rPr>
          <w:rFonts w:ascii="Book Antiqua" w:eastAsia="宋体" w:hAnsi="Book Antiqua" w:cs="宋体"/>
          <w:b/>
          <w:bCs/>
          <w:sz w:val="24"/>
          <w:szCs w:val="24"/>
          <w:lang w:eastAsia="zh-CN" w:bidi="ar-SA"/>
        </w:rPr>
        <w:t>Josephson MA</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Schumm</w:t>
      </w:r>
      <w:proofErr w:type="spellEnd"/>
      <w:r w:rsidRPr="002E4D3A">
        <w:rPr>
          <w:rFonts w:ascii="Book Antiqua" w:eastAsia="宋体" w:hAnsi="Book Antiqua" w:cs="宋体"/>
          <w:sz w:val="24"/>
          <w:szCs w:val="24"/>
          <w:lang w:eastAsia="zh-CN" w:bidi="ar-SA"/>
        </w:rPr>
        <w:t xml:space="preserve"> LP, Chiu MY, Marshall C, </w:t>
      </w:r>
      <w:proofErr w:type="spellStart"/>
      <w:r w:rsidRPr="002E4D3A">
        <w:rPr>
          <w:rFonts w:ascii="Book Antiqua" w:eastAsia="宋体" w:hAnsi="Book Antiqua" w:cs="宋体"/>
          <w:sz w:val="24"/>
          <w:szCs w:val="24"/>
          <w:lang w:eastAsia="zh-CN" w:bidi="ar-SA"/>
        </w:rPr>
        <w:t>Thistlethwaite</w:t>
      </w:r>
      <w:proofErr w:type="spellEnd"/>
      <w:r w:rsidRPr="002E4D3A">
        <w:rPr>
          <w:rFonts w:ascii="Book Antiqua" w:eastAsia="宋体" w:hAnsi="Book Antiqua" w:cs="宋体"/>
          <w:sz w:val="24"/>
          <w:szCs w:val="24"/>
          <w:lang w:eastAsia="zh-CN" w:bidi="ar-SA"/>
        </w:rPr>
        <w:t xml:space="preserve"> JR, Sprague SM. Calcium and </w:t>
      </w:r>
      <w:proofErr w:type="spellStart"/>
      <w:r w:rsidRPr="002E4D3A">
        <w:rPr>
          <w:rFonts w:ascii="Book Antiqua" w:eastAsia="宋体" w:hAnsi="Book Antiqua" w:cs="宋体"/>
          <w:sz w:val="24"/>
          <w:szCs w:val="24"/>
          <w:lang w:eastAsia="zh-CN" w:bidi="ar-SA"/>
        </w:rPr>
        <w:t>calcitriol</w:t>
      </w:r>
      <w:proofErr w:type="spellEnd"/>
      <w:r w:rsidRPr="002E4D3A">
        <w:rPr>
          <w:rFonts w:ascii="Book Antiqua" w:eastAsia="宋体" w:hAnsi="Book Antiqua" w:cs="宋体"/>
          <w:sz w:val="24"/>
          <w:szCs w:val="24"/>
          <w:lang w:eastAsia="zh-CN" w:bidi="ar-SA"/>
        </w:rPr>
        <w:t xml:space="preserve"> prophylaxis attenuates </w:t>
      </w:r>
      <w:proofErr w:type="spellStart"/>
      <w:r w:rsidRPr="002E4D3A">
        <w:rPr>
          <w:rFonts w:ascii="Book Antiqua" w:eastAsia="宋体" w:hAnsi="Book Antiqua" w:cs="宋体"/>
          <w:sz w:val="24"/>
          <w:szCs w:val="24"/>
          <w:lang w:eastAsia="zh-CN" w:bidi="ar-SA"/>
        </w:rPr>
        <w:t>posttransplant</w:t>
      </w:r>
      <w:proofErr w:type="spellEnd"/>
      <w:r w:rsidRPr="002E4D3A">
        <w:rPr>
          <w:rFonts w:ascii="Book Antiqua" w:eastAsia="宋体" w:hAnsi="Book Antiqua" w:cs="宋体"/>
          <w:sz w:val="24"/>
          <w:szCs w:val="24"/>
          <w:lang w:eastAsia="zh-CN" w:bidi="ar-SA"/>
        </w:rPr>
        <w:t xml:space="preserve"> bone loss. </w:t>
      </w:r>
      <w:r w:rsidRPr="002E4D3A">
        <w:rPr>
          <w:rFonts w:ascii="Book Antiqua" w:eastAsia="宋体" w:hAnsi="Book Antiqua" w:cs="宋体"/>
          <w:i/>
          <w:iCs/>
          <w:sz w:val="24"/>
          <w:szCs w:val="24"/>
          <w:lang w:eastAsia="zh-CN" w:bidi="ar-SA"/>
        </w:rPr>
        <w:t>Transplantation</w:t>
      </w:r>
      <w:r w:rsidRPr="002E4D3A">
        <w:rPr>
          <w:rFonts w:ascii="Book Antiqua" w:eastAsia="宋体" w:hAnsi="Book Antiqua" w:cs="宋体"/>
          <w:sz w:val="24"/>
          <w:szCs w:val="24"/>
          <w:lang w:eastAsia="zh-CN" w:bidi="ar-SA"/>
        </w:rPr>
        <w:t xml:space="preserve"> 2004; </w:t>
      </w:r>
      <w:r w:rsidRPr="002E4D3A">
        <w:rPr>
          <w:rFonts w:ascii="Book Antiqua" w:eastAsia="宋体" w:hAnsi="Book Antiqua" w:cs="宋体"/>
          <w:b/>
          <w:bCs/>
          <w:sz w:val="24"/>
          <w:szCs w:val="24"/>
          <w:lang w:eastAsia="zh-CN" w:bidi="ar-SA"/>
        </w:rPr>
        <w:t>78</w:t>
      </w:r>
      <w:r w:rsidRPr="002E4D3A">
        <w:rPr>
          <w:rFonts w:ascii="Book Antiqua" w:eastAsia="宋体" w:hAnsi="Book Antiqua" w:cs="宋体"/>
          <w:sz w:val="24"/>
          <w:szCs w:val="24"/>
          <w:lang w:eastAsia="zh-CN" w:bidi="ar-SA"/>
        </w:rPr>
        <w:t>: 1233-1236 [PMID: 15502727]</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77 </w:t>
      </w:r>
      <w:r w:rsidRPr="002E4D3A">
        <w:rPr>
          <w:rFonts w:ascii="Book Antiqua" w:eastAsia="宋体" w:hAnsi="Book Antiqua" w:cs="宋体"/>
          <w:b/>
          <w:bCs/>
          <w:sz w:val="24"/>
          <w:szCs w:val="24"/>
          <w:lang w:eastAsia="zh-CN" w:bidi="ar-SA"/>
        </w:rPr>
        <w:t>Jeffery JR</w:t>
      </w:r>
      <w:r w:rsidRPr="002E4D3A">
        <w:rPr>
          <w:rFonts w:ascii="Book Antiqua" w:eastAsia="宋体" w:hAnsi="Book Antiqua" w:cs="宋体"/>
          <w:sz w:val="24"/>
          <w:szCs w:val="24"/>
          <w:lang w:eastAsia="zh-CN" w:bidi="ar-SA"/>
        </w:rPr>
        <w:t xml:space="preserve">, Leslie WD, </w:t>
      </w:r>
      <w:proofErr w:type="spellStart"/>
      <w:r w:rsidRPr="002E4D3A">
        <w:rPr>
          <w:rFonts w:ascii="Book Antiqua" w:eastAsia="宋体" w:hAnsi="Book Antiqua" w:cs="宋体"/>
          <w:sz w:val="24"/>
          <w:szCs w:val="24"/>
          <w:lang w:eastAsia="zh-CN" w:bidi="ar-SA"/>
        </w:rPr>
        <w:t>Karpinski</w:t>
      </w:r>
      <w:proofErr w:type="spellEnd"/>
      <w:r w:rsidRPr="002E4D3A">
        <w:rPr>
          <w:rFonts w:ascii="Book Antiqua" w:eastAsia="宋体" w:hAnsi="Book Antiqua" w:cs="宋体"/>
          <w:sz w:val="24"/>
          <w:szCs w:val="24"/>
          <w:lang w:eastAsia="zh-CN" w:bidi="ar-SA"/>
        </w:rPr>
        <w:t xml:space="preserve"> ME, Nickerson PW, Rush DN. Prevalence and treatment of decreased bone density in renal transplant recipients: a randomized prospective trial of </w:t>
      </w:r>
      <w:proofErr w:type="spellStart"/>
      <w:r w:rsidRPr="002E4D3A">
        <w:rPr>
          <w:rFonts w:ascii="Book Antiqua" w:eastAsia="宋体" w:hAnsi="Book Antiqua" w:cs="宋体"/>
          <w:sz w:val="24"/>
          <w:szCs w:val="24"/>
          <w:lang w:eastAsia="zh-CN" w:bidi="ar-SA"/>
        </w:rPr>
        <w:t>calcitriol</w:t>
      </w:r>
      <w:proofErr w:type="spellEnd"/>
      <w:r w:rsidRPr="002E4D3A">
        <w:rPr>
          <w:rFonts w:ascii="Book Antiqua" w:eastAsia="宋体" w:hAnsi="Book Antiqua" w:cs="宋体"/>
          <w:sz w:val="24"/>
          <w:szCs w:val="24"/>
          <w:lang w:eastAsia="zh-CN" w:bidi="ar-SA"/>
        </w:rPr>
        <w:t xml:space="preserve"> versus alendronate. </w:t>
      </w:r>
      <w:r w:rsidRPr="002E4D3A">
        <w:rPr>
          <w:rFonts w:ascii="Book Antiqua" w:eastAsia="宋体" w:hAnsi="Book Antiqua" w:cs="宋体"/>
          <w:i/>
          <w:iCs/>
          <w:sz w:val="24"/>
          <w:szCs w:val="24"/>
          <w:lang w:eastAsia="zh-CN" w:bidi="ar-SA"/>
        </w:rPr>
        <w:t>Transplantation</w:t>
      </w:r>
      <w:r w:rsidRPr="002E4D3A">
        <w:rPr>
          <w:rFonts w:ascii="Book Antiqua" w:eastAsia="宋体" w:hAnsi="Book Antiqua" w:cs="宋体"/>
          <w:sz w:val="24"/>
          <w:szCs w:val="24"/>
          <w:lang w:eastAsia="zh-CN" w:bidi="ar-SA"/>
        </w:rPr>
        <w:t xml:space="preserve"> 2003; </w:t>
      </w:r>
      <w:r w:rsidRPr="002E4D3A">
        <w:rPr>
          <w:rFonts w:ascii="Book Antiqua" w:eastAsia="宋体" w:hAnsi="Book Antiqua" w:cs="宋体"/>
          <w:b/>
          <w:bCs/>
          <w:sz w:val="24"/>
          <w:szCs w:val="24"/>
          <w:lang w:eastAsia="zh-CN" w:bidi="ar-SA"/>
        </w:rPr>
        <w:t>76</w:t>
      </w:r>
      <w:r w:rsidRPr="002E4D3A">
        <w:rPr>
          <w:rFonts w:ascii="Book Antiqua" w:eastAsia="宋体" w:hAnsi="Book Antiqua" w:cs="宋体"/>
          <w:sz w:val="24"/>
          <w:szCs w:val="24"/>
          <w:lang w:eastAsia="zh-CN" w:bidi="ar-SA"/>
        </w:rPr>
        <w:t>: 1498-1502 [PMID: 14657693 DOI: 10.1097/01.TP.0000092523.30277.13]</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proofErr w:type="gramStart"/>
      <w:r w:rsidRPr="002E4D3A">
        <w:rPr>
          <w:rFonts w:ascii="Book Antiqua" w:eastAsia="宋体" w:hAnsi="Book Antiqua" w:cs="宋体"/>
          <w:sz w:val="24"/>
          <w:szCs w:val="24"/>
          <w:lang w:eastAsia="zh-CN" w:bidi="ar-SA"/>
        </w:rPr>
        <w:t xml:space="preserve">78 </w:t>
      </w:r>
      <w:r w:rsidRPr="002E4D3A">
        <w:rPr>
          <w:rFonts w:ascii="Book Antiqua" w:eastAsia="宋体" w:hAnsi="Book Antiqua" w:cs="宋体"/>
          <w:b/>
          <w:bCs/>
          <w:sz w:val="24"/>
          <w:szCs w:val="24"/>
          <w:lang w:eastAsia="zh-CN" w:bidi="ar-SA"/>
        </w:rPr>
        <w:t>El-</w:t>
      </w:r>
      <w:proofErr w:type="spellStart"/>
      <w:r w:rsidRPr="002E4D3A">
        <w:rPr>
          <w:rFonts w:ascii="Book Antiqua" w:eastAsia="宋体" w:hAnsi="Book Antiqua" w:cs="宋体"/>
          <w:b/>
          <w:bCs/>
          <w:sz w:val="24"/>
          <w:szCs w:val="24"/>
          <w:lang w:eastAsia="zh-CN" w:bidi="ar-SA"/>
        </w:rPr>
        <w:t>Husseini</w:t>
      </w:r>
      <w:proofErr w:type="spellEnd"/>
      <w:r w:rsidRPr="002E4D3A">
        <w:rPr>
          <w:rFonts w:ascii="Book Antiqua" w:eastAsia="宋体" w:hAnsi="Book Antiqua" w:cs="宋体"/>
          <w:b/>
          <w:bCs/>
          <w:sz w:val="24"/>
          <w:szCs w:val="24"/>
          <w:lang w:eastAsia="zh-CN" w:bidi="ar-SA"/>
        </w:rPr>
        <w:t xml:space="preserve"> AA</w:t>
      </w:r>
      <w:r w:rsidRPr="002E4D3A">
        <w:rPr>
          <w:rFonts w:ascii="Book Antiqua" w:eastAsia="宋体" w:hAnsi="Book Antiqua" w:cs="宋体"/>
          <w:sz w:val="24"/>
          <w:szCs w:val="24"/>
          <w:lang w:eastAsia="zh-CN" w:bidi="ar-SA"/>
        </w:rPr>
        <w:t>, El-</w:t>
      </w:r>
      <w:proofErr w:type="spellStart"/>
      <w:r w:rsidRPr="002E4D3A">
        <w:rPr>
          <w:rFonts w:ascii="Book Antiqua" w:eastAsia="宋体" w:hAnsi="Book Antiqua" w:cs="宋体"/>
          <w:sz w:val="24"/>
          <w:szCs w:val="24"/>
          <w:lang w:eastAsia="zh-CN" w:bidi="ar-SA"/>
        </w:rPr>
        <w:t>Agroudy</w:t>
      </w:r>
      <w:proofErr w:type="spellEnd"/>
      <w:r w:rsidRPr="002E4D3A">
        <w:rPr>
          <w:rFonts w:ascii="Book Antiqua" w:eastAsia="宋体" w:hAnsi="Book Antiqua" w:cs="宋体"/>
          <w:sz w:val="24"/>
          <w:szCs w:val="24"/>
          <w:lang w:eastAsia="zh-CN" w:bidi="ar-SA"/>
        </w:rPr>
        <w:t xml:space="preserve"> AE, El-</w:t>
      </w:r>
      <w:proofErr w:type="spellStart"/>
      <w:r w:rsidRPr="002E4D3A">
        <w:rPr>
          <w:rFonts w:ascii="Book Antiqua" w:eastAsia="宋体" w:hAnsi="Book Antiqua" w:cs="宋体"/>
          <w:sz w:val="24"/>
          <w:szCs w:val="24"/>
          <w:lang w:eastAsia="zh-CN" w:bidi="ar-SA"/>
        </w:rPr>
        <w:t>Sayed</w:t>
      </w:r>
      <w:proofErr w:type="spellEnd"/>
      <w:r w:rsidRPr="002E4D3A">
        <w:rPr>
          <w:rFonts w:ascii="Book Antiqua" w:eastAsia="宋体" w:hAnsi="Book Antiqua" w:cs="宋体"/>
          <w:sz w:val="24"/>
          <w:szCs w:val="24"/>
          <w:lang w:eastAsia="zh-CN" w:bidi="ar-SA"/>
        </w:rPr>
        <w:t xml:space="preserve"> MF, </w:t>
      </w:r>
      <w:proofErr w:type="spellStart"/>
      <w:r w:rsidRPr="002E4D3A">
        <w:rPr>
          <w:rFonts w:ascii="Book Antiqua" w:eastAsia="宋体" w:hAnsi="Book Antiqua" w:cs="宋体"/>
          <w:sz w:val="24"/>
          <w:szCs w:val="24"/>
          <w:lang w:eastAsia="zh-CN" w:bidi="ar-SA"/>
        </w:rPr>
        <w:t>Sobh</w:t>
      </w:r>
      <w:proofErr w:type="spellEnd"/>
      <w:r w:rsidRPr="002E4D3A">
        <w:rPr>
          <w:rFonts w:ascii="Book Antiqua" w:eastAsia="宋体" w:hAnsi="Book Antiqua" w:cs="宋体"/>
          <w:sz w:val="24"/>
          <w:szCs w:val="24"/>
          <w:lang w:eastAsia="zh-CN" w:bidi="ar-SA"/>
        </w:rPr>
        <w:t xml:space="preserve"> MA, </w:t>
      </w:r>
      <w:proofErr w:type="spellStart"/>
      <w:r w:rsidRPr="002E4D3A">
        <w:rPr>
          <w:rFonts w:ascii="Book Antiqua" w:eastAsia="宋体" w:hAnsi="Book Antiqua" w:cs="宋体"/>
          <w:sz w:val="24"/>
          <w:szCs w:val="24"/>
          <w:lang w:eastAsia="zh-CN" w:bidi="ar-SA"/>
        </w:rPr>
        <w:t>Ghoneim</w:t>
      </w:r>
      <w:proofErr w:type="spellEnd"/>
      <w:r w:rsidRPr="002E4D3A">
        <w:rPr>
          <w:rFonts w:ascii="Book Antiqua" w:eastAsia="宋体" w:hAnsi="Book Antiqua" w:cs="宋体"/>
          <w:sz w:val="24"/>
          <w:szCs w:val="24"/>
          <w:lang w:eastAsia="zh-CN" w:bidi="ar-SA"/>
        </w:rPr>
        <w:t xml:space="preserve"> MA.</w:t>
      </w:r>
      <w:proofErr w:type="gramEnd"/>
      <w:r w:rsidRPr="002E4D3A">
        <w:rPr>
          <w:rFonts w:ascii="Book Antiqua" w:eastAsia="宋体" w:hAnsi="Book Antiqua" w:cs="宋体"/>
          <w:sz w:val="24"/>
          <w:szCs w:val="24"/>
          <w:lang w:eastAsia="zh-CN" w:bidi="ar-SA"/>
        </w:rPr>
        <w:t xml:space="preserve"> </w:t>
      </w:r>
      <w:proofErr w:type="gramStart"/>
      <w:r w:rsidRPr="002E4D3A">
        <w:rPr>
          <w:rFonts w:ascii="Book Antiqua" w:eastAsia="宋体" w:hAnsi="Book Antiqua" w:cs="宋体"/>
          <w:sz w:val="24"/>
          <w:szCs w:val="24"/>
          <w:lang w:eastAsia="zh-CN" w:bidi="ar-SA"/>
        </w:rPr>
        <w:t xml:space="preserve">Treatment of osteopenia and osteoporosis in renal transplant children and </w:t>
      </w:r>
      <w:r w:rsidRPr="002E4D3A">
        <w:rPr>
          <w:rFonts w:ascii="Book Antiqua" w:eastAsia="宋体" w:hAnsi="Book Antiqua" w:cs="宋体"/>
          <w:sz w:val="24"/>
          <w:szCs w:val="24"/>
          <w:lang w:eastAsia="zh-CN" w:bidi="ar-SA"/>
        </w:rPr>
        <w:lastRenderedPageBreak/>
        <w:t>adolescents.</w:t>
      </w:r>
      <w:proofErr w:type="gramEnd"/>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i/>
          <w:iCs/>
          <w:sz w:val="24"/>
          <w:szCs w:val="24"/>
          <w:lang w:eastAsia="zh-CN" w:bidi="ar-SA"/>
        </w:rPr>
        <w:t>Pediatr</w:t>
      </w:r>
      <w:proofErr w:type="spellEnd"/>
      <w:r w:rsidRPr="002E4D3A">
        <w:rPr>
          <w:rFonts w:ascii="Book Antiqua" w:eastAsia="宋体" w:hAnsi="Book Antiqua" w:cs="宋体"/>
          <w:i/>
          <w:iCs/>
          <w:sz w:val="24"/>
          <w:szCs w:val="24"/>
          <w:lang w:eastAsia="zh-CN" w:bidi="ar-SA"/>
        </w:rPr>
        <w:t xml:space="preserve"> Transplant</w:t>
      </w:r>
      <w:r w:rsidRPr="002E4D3A">
        <w:rPr>
          <w:rFonts w:ascii="Book Antiqua" w:eastAsia="宋体" w:hAnsi="Book Antiqua" w:cs="宋体"/>
          <w:sz w:val="24"/>
          <w:szCs w:val="24"/>
          <w:lang w:eastAsia="zh-CN" w:bidi="ar-SA"/>
        </w:rPr>
        <w:t xml:space="preserve"> 2004; </w:t>
      </w:r>
      <w:r w:rsidRPr="002E4D3A">
        <w:rPr>
          <w:rFonts w:ascii="Book Antiqua" w:eastAsia="宋体" w:hAnsi="Book Antiqua" w:cs="宋体"/>
          <w:b/>
          <w:bCs/>
          <w:sz w:val="24"/>
          <w:szCs w:val="24"/>
          <w:lang w:eastAsia="zh-CN" w:bidi="ar-SA"/>
        </w:rPr>
        <w:t>8</w:t>
      </w:r>
      <w:r w:rsidRPr="002E4D3A">
        <w:rPr>
          <w:rFonts w:ascii="Book Antiqua" w:eastAsia="宋体" w:hAnsi="Book Antiqua" w:cs="宋体"/>
          <w:sz w:val="24"/>
          <w:szCs w:val="24"/>
          <w:lang w:eastAsia="zh-CN" w:bidi="ar-SA"/>
        </w:rPr>
        <w:t>: 357-361 [PMID: 15265162 DOI: 10.1111/j.1399-3046.2004.00191.x]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proofErr w:type="gramStart"/>
      <w:r w:rsidRPr="002E4D3A">
        <w:rPr>
          <w:rFonts w:ascii="Book Antiqua" w:eastAsia="宋体" w:hAnsi="Book Antiqua" w:cs="宋体"/>
          <w:sz w:val="24"/>
          <w:szCs w:val="24"/>
          <w:lang w:eastAsia="zh-CN" w:bidi="ar-SA"/>
        </w:rPr>
        <w:t xml:space="preserve">79 </w:t>
      </w:r>
      <w:r w:rsidRPr="002E4D3A">
        <w:rPr>
          <w:rFonts w:ascii="Book Antiqua" w:eastAsia="宋体" w:hAnsi="Book Antiqua" w:cs="宋体"/>
          <w:b/>
          <w:bCs/>
          <w:sz w:val="24"/>
          <w:szCs w:val="24"/>
          <w:lang w:eastAsia="zh-CN" w:bidi="ar-SA"/>
        </w:rPr>
        <w:t>El-</w:t>
      </w:r>
      <w:proofErr w:type="spellStart"/>
      <w:r w:rsidRPr="002E4D3A">
        <w:rPr>
          <w:rFonts w:ascii="Book Antiqua" w:eastAsia="宋体" w:hAnsi="Book Antiqua" w:cs="宋体"/>
          <w:b/>
          <w:bCs/>
          <w:sz w:val="24"/>
          <w:szCs w:val="24"/>
          <w:lang w:eastAsia="zh-CN" w:bidi="ar-SA"/>
        </w:rPr>
        <w:t>Agroudy</w:t>
      </w:r>
      <w:proofErr w:type="spellEnd"/>
      <w:r w:rsidRPr="002E4D3A">
        <w:rPr>
          <w:rFonts w:ascii="Book Antiqua" w:eastAsia="宋体" w:hAnsi="Book Antiqua" w:cs="宋体"/>
          <w:b/>
          <w:bCs/>
          <w:sz w:val="24"/>
          <w:szCs w:val="24"/>
          <w:lang w:eastAsia="zh-CN" w:bidi="ar-SA"/>
        </w:rPr>
        <w:t xml:space="preserve"> AE</w:t>
      </w:r>
      <w:r w:rsidRPr="002E4D3A">
        <w:rPr>
          <w:rFonts w:ascii="Book Antiqua" w:eastAsia="宋体" w:hAnsi="Book Antiqua" w:cs="宋体"/>
          <w:sz w:val="24"/>
          <w:szCs w:val="24"/>
          <w:lang w:eastAsia="zh-CN" w:bidi="ar-SA"/>
        </w:rPr>
        <w:t>, El-</w:t>
      </w:r>
      <w:proofErr w:type="spellStart"/>
      <w:r w:rsidRPr="002E4D3A">
        <w:rPr>
          <w:rFonts w:ascii="Book Antiqua" w:eastAsia="宋体" w:hAnsi="Book Antiqua" w:cs="宋体"/>
          <w:sz w:val="24"/>
          <w:szCs w:val="24"/>
          <w:lang w:eastAsia="zh-CN" w:bidi="ar-SA"/>
        </w:rPr>
        <w:t>Husseini</w:t>
      </w:r>
      <w:proofErr w:type="spellEnd"/>
      <w:r w:rsidRPr="002E4D3A">
        <w:rPr>
          <w:rFonts w:ascii="Book Antiqua" w:eastAsia="宋体" w:hAnsi="Book Antiqua" w:cs="宋体"/>
          <w:sz w:val="24"/>
          <w:szCs w:val="24"/>
          <w:lang w:eastAsia="zh-CN" w:bidi="ar-SA"/>
        </w:rPr>
        <w:t xml:space="preserve"> AA, El-</w:t>
      </w:r>
      <w:proofErr w:type="spellStart"/>
      <w:r w:rsidRPr="002E4D3A">
        <w:rPr>
          <w:rFonts w:ascii="Book Antiqua" w:eastAsia="宋体" w:hAnsi="Book Antiqua" w:cs="宋体"/>
          <w:sz w:val="24"/>
          <w:szCs w:val="24"/>
          <w:lang w:eastAsia="zh-CN" w:bidi="ar-SA"/>
        </w:rPr>
        <w:t>Sayed</w:t>
      </w:r>
      <w:proofErr w:type="spellEnd"/>
      <w:r w:rsidRPr="002E4D3A">
        <w:rPr>
          <w:rFonts w:ascii="Book Antiqua" w:eastAsia="宋体" w:hAnsi="Book Antiqua" w:cs="宋体"/>
          <w:sz w:val="24"/>
          <w:szCs w:val="24"/>
          <w:lang w:eastAsia="zh-CN" w:bidi="ar-SA"/>
        </w:rPr>
        <w:t xml:space="preserve"> M, Mohsen T, </w:t>
      </w:r>
      <w:proofErr w:type="spellStart"/>
      <w:r w:rsidRPr="002E4D3A">
        <w:rPr>
          <w:rFonts w:ascii="Book Antiqua" w:eastAsia="宋体" w:hAnsi="Book Antiqua" w:cs="宋体"/>
          <w:sz w:val="24"/>
          <w:szCs w:val="24"/>
          <w:lang w:eastAsia="zh-CN" w:bidi="ar-SA"/>
        </w:rPr>
        <w:t>Ghoneim</w:t>
      </w:r>
      <w:proofErr w:type="spellEnd"/>
      <w:r w:rsidRPr="002E4D3A">
        <w:rPr>
          <w:rFonts w:ascii="Book Antiqua" w:eastAsia="宋体" w:hAnsi="Book Antiqua" w:cs="宋体"/>
          <w:sz w:val="24"/>
          <w:szCs w:val="24"/>
          <w:lang w:eastAsia="zh-CN" w:bidi="ar-SA"/>
        </w:rPr>
        <w:t xml:space="preserve"> MA.</w:t>
      </w:r>
      <w:proofErr w:type="gramEnd"/>
      <w:r w:rsidRPr="002E4D3A">
        <w:rPr>
          <w:rFonts w:ascii="Book Antiqua" w:eastAsia="宋体" w:hAnsi="Book Antiqua" w:cs="宋体"/>
          <w:sz w:val="24"/>
          <w:szCs w:val="24"/>
          <w:lang w:eastAsia="zh-CN" w:bidi="ar-SA"/>
        </w:rPr>
        <w:t xml:space="preserve"> A prospective randomized study for prevention of </w:t>
      </w:r>
      <w:proofErr w:type="spellStart"/>
      <w:r w:rsidRPr="002E4D3A">
        <w:rPr>
          <w:rFonts w:ascii="Book Antiqua" w:eastAsia="宋体" w:hAnsi="Book Antiqua" w:cs="宋体"/>
          <w:sz w:val="24"/>
          <w:szCs w:val="24"/>
          <w:lang w:eastAsia="zh-CN" w:bidi="ar-SA"/>
        </w:rPr>
        <w:t>postrenal</w:t>
      </w:r>
      <w:proofErr w:type="spellEnd"/>
      <w:r w:rsidRPr="002E4D3A">
        <w:rPr>
          <w:rFonts w:ascii="Book Antiqua" w:eastAsia="宋体" w:hAnsi="Book Antiqua" w:cs="宋体"/>
          <w:sz w:val="24"/>
          <w:szCs w:val="24"/>
          <w:lang w:eastAsia="zh-CN" w:bidi="ar-SA"/>
        </w:rPr>
        <w:t xml:space="preserve"> transplantation bone loss. </w:t>
      </w:r>
      <w:r w:rsidRPr="002E4D3A">
        <w:rPr>
          <w:rFonts w:ascii="Book Antiqua" w:eastAsia="宋体" w:hAnsi="Book Antiqua" w:cs="宋体"/>
          <w:i/>
          <w:iCs/>
          <w:sz w:val="24"/>
          <w:szCs w:val="24"/>
          <w:lang w:eastAsia="zh-CN" w:bidi="ar-SA"/>
        </w:rPr>
        <w:t xml:space="preserve">Kidney </w:t>
      </w:r>
      <w:proofErr w:type="spellStart"/>
      <w:r w:rsidRPr="002E4D3A">
        <w:rPr>
          <w:rFonts w:ascii="Book Antiqua" w:eastAsia="宋体" w:hAnsi="Book Antiqua" w:cs="宋体"/>
          <w:i/>
          <w:iCs/>
          <w:sz w:val="24"/>
          <w:szCs w:val="24"/>
          <w:lang w:eastAsia="zh-CN" w:bidi="ar-SA"/>
        </w:rPr>
        <w:t>Int</w:t>
      </w:r>
      <w:proofErr w:type="spellEnd"/>
      <w:r w:rsidRPr="002E4D3A">
        <w:rPr>
          <w:rFonts w:ascii="Book Antiqua" w:eastAsia="宋体" w:hAnsi="Book Antiqua" w:cs="宋体"/>
          <w:sz w:val="24"/>
          <w:szCs w:val="24"/>
          <w:lang w:eastAsia="zh-CN" w:bidi="ar-SA"/>
        </w:rPr>
        <w:t xml:space="preserve"> 2005; </w:t>
      </w:r>
      <w:r w:rsidRPr="002E4D3A">
        <w:rPr>
          <w:rFonts w:ascii="Book Antiqua" w:eastAsia="宋体" w:hAnsi="Book Antiqua" w:cs="宋体"/>
          <w:b/>
          <w:bCs/>
          <w:sz w:val="24"/>
          <w:szCs w:val="24"/>
          <w:lang w:eastAsia="zh-CN" w:bidi="ar-SA"/>
        </w:rPr>
        <w:t>67</w:t>
      </w:r>
      <w:r w:rsidRPr="002E4D3A">
        <w:rPr>
          <w:rFonts w:ascii="Book Antiqua" w:eastAsia="宋体" w:hAnsi="Book Antiqua" w:cs="宋体"/>
          <w:sz w:val="24"/>
          <w:szCs w:val="24"/>
          <w:lang w:eastAsia="zh-CN" w:bidi="ar-SA"/>
        </w:rPr>
        <w:t>: 2039-2045 [PMID: 15840055 DOI: 10.1111/j.1523-1755.2005.00306.x]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80 </w:t>
      </w:r>
      <w:proofErr w:type="spellStart"/>
      <w:r w:rsidRPr="002E4D3A">
        <w:rPr>
          <w:rFonts w:ascii="Book Antiqua" w:eastAsia="宋体" w:hAnsi="Book Antiqua" w:cs="宋体"/>
          <w:b/>
          <w:bCs/>
          <w:sz w:val="24"/>
          <w:szCs w:val="24"/>
          <w:lang w:eastAsia="zh-CN" w:bidi="ar-SA"/>
        </w:rPr>
        <w:t>Amer</w:t>
      </w:r>
      <w:proofErr w:type="spellEnd"/>
      <w:r w:rsidRPr="002E4D3A">
        <w:rPr>
          <w:rFonts w:ascii="Book Antiqua" w:eastAsia="宋体" w:hAnsi="Book Antiqua" w:cs="宋体"/>
          <w:b/>
          <w:bCs/>
          <w:sz w:val="24"/>
          <w:szCs w:val="24"/>
          <w:lang w:eastAsia="zh-CN" w:bidi="ar-SA"/>
        </w:rPr>
        <w:t xml:space="preserve"> H</w:t>
      </w:r>
      <w:r w:rsidRPr="002E4D3A">
        <w:rPr>
          <w:rFonts w:ascii="Book Antiqua" w:eastAsia="宋体" w:hAnsi="Book Antiqua" w:cs="宋体"/>
          <w:sz w:val="24"/>
          <w:szCs w:val="24"/>
          <w:lang w:eastAsia="zh-CN" w:bidi="ar-SA"/>
        </w:rPr>
        <w:t xml:space="preserve">, Griffin MD, </w:t>
      </w:r>
      <w:proofErr w:type="spellStart"/>
      <w:r w:rsidRPr="002E4D3A">
        <w:rPr>
          <w:rFonts w:ascii="Book Antiqua" w:eastAsia="宋体" w:hAnsi="Book Antiqua" w:cs="宋体"/>
          <w:sz w:val="24"/>
          <w:szCs w:val="24"/>
          <w:lang w:eastAsia="zh-CN" w:bidi="ar-SA"/>
        </w:rPr>
        <w:t>Stegall</w:t>
      </w:r>
      <w:proofErr w:type="spellEnd"/>
      <w:r w:rsidRPr="002E4D3A">
        <w:rPr>
          <w:rFonts w:ascii="Book Antiqua" w:eastAsia="宋体" w:hAnsi="Book Antiqua" w:cs="宋体"/>
          <w:sz w:val="24"/>
          <w:szCs w:val="24"/>
          <w:lang w:eastAsia="zh-CN" w:bidi="ar-SA"/>
        </w:rPr>
        <w:t xml:space="preserve"> MD, </w:t>
      </w:r>
      <w:proofErr w:type="spellStart"/>
      <w:r w:rsidRPr="002E4D3A">
        <w:rPr>
          <w:rFonts w:ascii="Book Antiqua" w:eastAsia="宋体" w:hAnsi="Book Antiqua" w:cs="宋体"/>
          <w:sz w:val="24"/>
          <w:szCs w:val="24"/>
          <w:lang w:eastAsia="zh-CN" w:bidi="ar-SA"/>
        </w:rPr>
        <w:t>Cosio</w:t>
      </w:r>
      <w:proofErr w:type="spellEnd"/>
      <w:r w:rsidRPr="002E4D3A">
        <w:rPr>
          <w:rFonts w:ascii="Book Antiqua" w:eastAsia="宋体" w:hAnsi="Book Antiqua" w:cs="宋体"/>
          <w:sz w:val="24"/>
          <w:szCs w:val="24"/>
          <w:lang w:eastAsia="zh-CN" w:bidi="ar-SA"/>
        </w:rPr>
        <w:t xml:space="preserve"> FG, Park WD, </w:t>
      </w:r>
      <w:proofErr w:type="spellStart"/>
      <w:r w:rsidRPr="002E4D3A">
        <w:rPr>
          <w:rFonts w:ascii="Book Antiqua" w:eastAsia="宋体" w:hAnsi="Book Antiqua" w:cs="宋体"/>
          <w:sz w:val="24"/>
          <w:szCs w:val="24"/>
          <w:lang w:eastAsia="zh-CN" w:bidi="ar-SA"/>
        </w:rPr>
        <w:t>Kremers</w:t>
      </w:r>
      <w:proofErr w:type="spellEnd"/>
      <w:r w:rsidRPr="002E4D3A">
        <w:rPr>
          <w:rFonts w:ascii="Book Antiqua" w:eastAsia="宋体" w:hAnsi="Book Antiqua" w:cs="宋体"/>
          <w:sz w:val="24"/>
          <w:szCs w:val="24"/>
          <w:lang w:eastAsia="zh-CN" w:bidi="ar-SA"/>
        </w:rPr>
        <w:t xml:space="preserve"> WK, </w:t>
      </w:r>
      <w:proofErr w:type="spellStart"/>
      <w:r w:rsidRPr="002E4D3A">
        <w:rPr>
          <w:rFonts w:ascii="Book Antiqua" w:eastAsia="宋体" w:hAnsi="Book Antiqua" w:cs="宋体"/>
          <w:sz w:val="24"/>
          <w:szCs w:val="24"/>
          <w:lang w:eastAsia="zh-CN" w:bidi="ar-SA"/>
        </w:rPr>
        <w:t>Heilman</w:t>
      </w:r>
      <w:proofErr w:type="spellEnd"/>
      <w:r w:rsidRPr="002E4D3A">
        <w:rPr>
          <w:rFonts w:ascii="Book Antiqua" w:eastAsia="宋体" w:hAnsi="Book Antiqua" w:cs="宋体"/>
          <w:sz w:val="24"/>
          <w:szCs w:val="24"/>
          <w:lang w:eastAsia="zh-CN" w:bidi="ar-SA"/>
        </w:rPr>
        <w:t xml:space="preserve"> RL, Mazur MJ, </w:t>
      </w:r>
      <w:proofErr w:type="spellStart"/>
      <w:r w:rsidRPr="002E4D3A">
        <w:rPr>
          <w:rFonts w:ascii="Book Antiqua" w:eastAsia="宋体" w:hAnsi="Book Antiqua" w:cs="宋体"/>
          <w:sz w:val="24"/>
          <w:szCs w:val="24"/>
          <w:lang w:eastAsia="zh-CN" w:bidi="ar-SA"/>
        </w:rPr>
        <w:t>Hamawi</w:t>
      </w:r>
      <w:proofErr w:type="spellEnd"/>
      <w:r w:rsidRPr="002E4D3A">
        <w:rPr>
          <w:rFonts w:ascii="Book Antiqua" w:eastAsia="宋体" w:hAnsi="Book Antiqua" w:cs="宋体"/>
          <w:sz w:val="24"/>
          <w:szCs w:val="24"/>
          <w:lang w:eastAsia="zh-CN" w:bidi="ar-SA"/>
        </w:rPr>
        <w:t xml:space="preserve"> K, Larson TS, Kumar R. Oral </w:t>
      </w:r>
      <w:proofErr w:type="spellStart"/>
      <w:r w:rsidRPr="002E4D3A">
        <w:rPr>
          <w:rFonts w:ascii="Book Antiqua" w:eastAsia="宋体" w:hAnsi="Book Antiqua" w:cs="宋体"/>
          <w:sz w:val="24"/>
          <w:szCs w:val="24"/>
          <w:lang w:eastAsia="zh-CN" w:bidi="ar-SA"/>
        </w:rPr>
        <w:t>paricalcitol</w:t>
      </w:r>
      <w:proofErr w:type="spellEnd"/>
      <w:r w:rsidRPr="002E4D3A">
        <w:rPr>
          <w:rFonts w:ascii="Book Antiqua" w:eastAsia="宋体" w:hAnsi="Book Antiqua" w:cs="宋体"/>
          <w:sz w:val="24"/>
          <w:szCs w:val="24"/>
          <w:lang w:eastAsia="zh-CN" w:bidi="ar-SA"/>
        </w:rPr>
        <w:t xml:space="preserve"> reduces the prevalence of </w:t>
      </w:r>
      <w:proofErr w:type="spellStart"/>
      <w:r w:rsidRPr="002E4D3A">
        <w:rPr>
          <w:rFonts w:ascii="Book Antiqua" w:eastAsia="宋体" w:hAnsi="Book Antiqua" w:cs="宋体"/>
          <w:sz w:val="24"/>
          <w:szCs w:val="24"/>
          <w:lang w:eastAsia="zh-CN" w:bidi="ar-SA"/>
        </w:rPr>
        <w:t>posttransplant</w:t>
      </w:r>
      <w:proofErr w:type="spellEnd"/>
      <w:r w:rsidRPr="002E4D3A">
        <w:rPr>
          <w:rFonts w:ascii="Book Antiqua" w:eastAsia="宋体" w:hAnsi="Book Antiqua" w:cs="宋体"/>
          <w:sz w:val="24"/>
          <w:szCs w:val="24"/>
          <w:lang w:eastAsia="zh-CN" w:bidi="ar-SA"/>
        </w:rPr>
        <w:t xml:space="preserve"> hyperparathyroidism: results of an open label randomized trial. </w:t>
      </w:r>
      <w:r w:rsidRPr="002E4D3A">
        <w:rPr>
          <w:rFonts w:ascii="Book Antiqua" w:eastAsia="宋体" w:hAnsi="Book Antiqua" w:cs="宋体"/>
          <w:i/>
          <w:iCs/>
          <w:sz w:val="24"/>
          <w:szCs w:val="24"/>
          <w:lang w:eastAsia="zh-CN" w:bidi="ar-SA"/>
        </w:rPr>
        <w:t>Am J Transplant</w:t>
      </w:r>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13</w:t>
      </w:r>
      <w:r w:rsidRPr="002E4D3A">
        <w:rPr>
          <w:rFonts w:ascii="Book Antiqua" w:eastAsia="宋体" w:hAnsi="Book Antiqua" w:cs="宋体"/>
          <w:sz w:val="24"/>
          <w:szCs w:val="24"/>
          <w:lang w:eastAsia="zh-CN" w:bidi="ar-SA"/>
        </w:rPr>
        <w:t>: 1576-1585 [PMID: 23601186 DOI: 10.1111/ajt.12227]</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81 </w:t>
      </w:r>
      <w:proofErr w:type="spellStart"/>
      <w:r w:rsidRPr="002E4D3A">
        <w:rPr>
          <w:rFonts w:ascii="Book Antiqua" w:eastAsia="宋体" w:hAnsi="Book Antiqua" w:cs="宋体"/>
          <w:b/>
          <w:bCs/>
          <w:sz w:val="24"/>
          <w:szCs w:val="24"/>
          <w:lang w:eastAsia="zh-CN" w:bidi="ar-SA"/>
        </w:rPr>
        <w:t>Trillini</w:t>
      </w:r>
      <w:proofErr w:type="spellEnd"/>
      <w:r w:rsidRPr="002E4D3A">
        <w:rPr>
          <w:rFonts w:ascii="Book Antiqua" w:eastAsia="宋体" w:hAnsi="Book Antiqua" w:cs="宋体"/>
          <w:b/>
          <w:bCs/>
          <w:sz w:val="24"/>
          <w:szCs w:val="24"/>
          <w:lang w:eastAsia="zh-CN" w:bidi="ar-SA"/>
        </w:rPr>
        <w:t xml:space="preserve"> M</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Cortinovis</w:t>
      </w:r>
      <w:proofErr w:type="spellEnd"/>
      <w:r w:rsidRPr="002E4D3A">
        <w:rPr>
          <w:rFonts w:ascii="Book Antiqua" w:eastAsia="宋体" w:hAnsi="Book Antiqua" w:cs="宋体"/>
          <w:sz w:val="24"/>
          <w:szCs w:val="24"/>
          <w:lang w:eastAsia="zh-CN" w:bidi="ar-SA"/>
        </w:rPr>
        <w:t xml:space="preserve"> M, </w:t>
      </w:r>
      <w:proofErr w:type="spellStart"/>
      <w:r w:rsidRPr="002E4D3A">
        <w:rPr>
          <w:rFonts w:ascii="Book Antiqua" w:eastAsia="宋体" w:hAnsi="Book Antiqua" w:cs="宋体"/>
          <w:sz w:val="24"/>
          <w:szCs w:val="24"/>
          <w:lang w:eastAsia="zh-CN" w:bidi="ar-SA"/>
        </w:rPr>
        <w:t>Ruggenenti</w:t>
      </w:r>
      <w:proofErr w:type="spellEnd"/>
      <w:r w:rsidRPr="002E4D3A">
        <w:rPr>
          <w:rFonts w:ascii="Book Antiqua" w:eastAsia="宋体" w:hAnsi="Book Antiqua" w:cs="宋体"/>
          <w:sz w:val="24"/>
          <w:szCs w:val="24"/>
          <w:lang w:eastAsia="zh-CN" w:bidi="ar-SA"/>
        </w:rPr>
        <w:t xml:space="preserve"> P, Reyes </w:t>
      </w:r>
      <w:proofErr w:type="spellStart"/>
      <w:r w:rsidRPr="002E4D3A">
        <w:rPr>
          <w:rFonts w:ascii="Book Antiqua" w:eastAsia="宋体" w:hAnsi="Book Antiqua" w:cs="宋体"/>
          <w:sz w:val="24"/>
          <w:szCs w:val="24"/>
          <w:lang w:eastAsia="zh-CN" w:bidi="ar-SA"/>
        </w:rPr>
        <w:t>Loaeza</w:t>
      </w:r>
      <w:proofErr w:type="spellEnd"/>
      <w:r w:rsidRPr="002E4D3A">
        <w:rPr>
          <w:rFonts w:ascii="Book Antiqua" w:eastAsia="宋体" w:hAnsi="Book Antiqua" w:cs="宋体"/>
          <w:sz w:val="24"/>
          <w:szCs w:val="24"/>
          <w:lang w:eastAsia="zh-CN" w:bidi="ar-SA"/>
        </w:rPr>
        <w:t xml:space="preserve"> J, </w:t>
      </w:r>
      <w:proofErr w:type="spellStart"/>
      <w:r w:rsidRPr="002E4D3A">
        <w:rPr>
          <w:rFonts w:ascii="Book Antiqua" w:eastAsia="宋体" w:hAnsi="Book Antiqua" w:cs="宋体"/>
          <w:sz w:val="24"/>
          <w:szCs w:val="24"/>
          <w:lang w:eastAsia="zh-CN" w:bidi="ar-SA"/>
        </w:rPr>
        <w:t>Courville</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Ferrer-Siles</w:t>
      </w:r>
      <w:proofErr w:type="spellEnd"/>
      <w:r w:rsidRPr="002E4D3A">
        <w:rPr>
          <w:rFonts w:ascii="Book Antiqua" w:eastAsia="宋体" w:hAnsi="Book Antiqua" w:cs="宋体"/>
          <w:sz w:val="24"/>
          <w:szCs w:val="24"/>
          <w:lang w:eastAsia="zh-CN" w:bidi="ar-SA"/>
        </w:rPr>
        <w:t xml:space="preserve"> C, </w:t>
      </w:r>
      <w:proofErr w:type="spellStart"/>
      <w:r w:rsidRPr="002E4D3A">
        <w:rPr>
          <w:rFonts w:ascii="Book Antiqua" w:eastAsia="宋体" w:hAnsi="Book Antiqua" w:cs="宋体"/>
          <w:sz w:val="24"/>
          <w:szCs w:val="24"/>
          <w:lang w:eastAsia="zh-CN" w:bidi="ar-SA"/>
        </w:rPr>
        <w:t>Prandini</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Gaspari</w:t>
      </w:r>
      <w:proofErr w:type="spellEnd"/>
      <w:r w:rsidRPr="002E4D3A">
        <w:rPr>
          <w:rFonts w:ascii="Book Antiqua" w:eastAsia="宋体" w:hAnsi="Book Antiqua" w:cs="宋体"/>
          <w:sz w:val="24"/>
          <w:szCs w:val="24"/>
          <w:lang w:eastAsia="zh-CN" w:bidi="ar-SA"/>
        </w:rPr>
        <w:t xml:space="preserve"> F, </w:t>
      </w:r>
      <w:proofErr w:type="spellStart"/>
      <w:r w:rsidRPr="002E4D3A">
        <w:rPr>
          <w:rFonts w:ascii="Book Antiqua" w:eastAsia="宋体" w:hAnsi="Book Antiqua" w:cs="宋体"/>
          <w:sz w:val="24"/>
          <w:szCs w:val="24"/>
          <w:lang w:eastAsia="zh-CN" w:bidi="ar-SA"/>
        </w:rPr>
        <w:t>Cannata</w:t>
      </w:r>
      <w:proofErr w:type="spellEnd"/>
      <w:r w:rsidRPr="002E4D3A">
        <w:rPr>
          <w:rFonts w:ascii="Book Antiqua" w:eastAsia="宋体" w:hAnsi="Book Antiqua" w:cs="宋体"/>
          <w:sz w:val="24"/>
          <w:szCs w:val="24"/>
          <w:lang w:eastAsia="zh-CN" w:bidi="ar-SA"/>
        </w:rPr>
        <w:t xml:space="preserve"> A, Villa A, </w:t>
      </w:r>
      <w:proofErr w:type="spellStart"/>
      <w:r w:rsidRPr="002E4D3A">
        <w:rPr>
          <w:rFonts w:ascii="Book Antiqua" w:eastAsia="宋体" w:hAnsi="Book Antiqua" w:cs="宋体"/>
          <w:sz w:val="24"/>
          <w:szCs w:val="24"/>
          <w:lang w:eastAsia="zh-CN" w:bidi="ar-SA"/>
        </w:rPr>
        <w:t>Perna</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Gotti</w:t>
      </w:r>
      <w:proofErr w:type="spellEnd"/>
      <w:r w:rsidRPr="002E4D3A">
        <w:rPr>
          <w:rFonts w:ascii="Book Antiqua" w:eastAsia="宋体" w:hAnsi="Book Antiqua" w:cs="宋体"/>
          <w:sz w:val="24"/>
          <w:szCs w:val="24"/>
          <w:lang w:eastAsia="zh-CN" w:bidi="ar-SA"/>
        </w:rPr>
        <w:t xml:space="preserve"> E, Caruso MR, </w:t>
      </w:r>
      <w:proofErr w:type="spellStart"/>
      <w:r w:rsidRPr="002E4D3A">
        <w:rPr>
          <w:rFonts w:ascii="Book Antiqua" w:eastAsia="宋体" w:hAnsi="Book Antiqua" w:cs="宋体"/>
          <w:sz w:val="24"/>
          <w:szCs w:val="24"/>
          <w:lang w:eastAsia="zh-CN" w:bidi="ar-SA"/>
        </w:rPr>
        <w:t>Martinetti</w:t>
      </w:r>
      <w:proofErr w:type="spellEnd"/>
      <w:r w:rsidRPr="002E4D3A">
        <w:rPr>
          <w:rFonts w:ascii="Book Antiqua" w:eastAsia="宋体" w:hAnsi="Book Antiqua" w:cs="宋体"/>
          <w:sz w:val="24"/>
          <w:szCs w:val="24"/>
          <w:lang w:eastAsia="zh-CN" w:bidi="ar-SA"/>
        </w:rPr>
        <w:t xml:space="preserve"> D, </w:t>
      </w:r>
      <w:proofErr w:type="spellStart"/>
      <w:r w:rsidRPr="002E4D3A">
        <w:rPr>
          <w:rFonts w:ascii="Book Antiqua" w:eastAsia="宋体" w:hAnsi="Book Antiqua" w:cs="宋体"/>
          <w:sz w:val="24"/>
          <w:szCs w:val="24"/>
          <w:lang w:eastAsia="zh-CN" w:bidi="ar-SA"/>
        </w:rPr>
        <w:t>Remuzzi</w:t>
      </w:r>
      <w:proofErr w:type="spellEnd"/>
      <w:r w:rsidRPr="002E4D3A">
        <w:rPr>
          <w:rFonts w:ascii="Book Antiqua" w:eastAsia="宋体" w:hAnsi="Book Antiqua" w:cs="宋体"/>
          <w:sz w:val="24"/>
          <w:szCs w:val="24"/>
          <w:lang w:eastAsia="zh-CN" w:bidi="ar-SA"/>
        </w:rPr>
        <w:t xml:space="preserve"> G, </w:t>
      </w:r>
      <w:proofErr w:type="spellStart"/>
      <w:r w:rsidRPr="002E4D3A">
        <w:rPr>
          <w:rFonts w:ascii="Book Antiqua" w:eastAsia="宋体" w:hAnsi="Book Antiqua" w:cs="宋体"/>
          <w:sz w:val="24"/>
          <w:szCs w:val="24"/>
          <w:lang w:eastAsia="zh-CN" w:bidi="ar-SA"/>
        </w:rPr>
        <w:t>Perico</w:t>
      </w:r>
      <w:proofErr w:type="spellEnd"/>
      <w:r w:rsidRPr="002E4D3A">
        <w:rPr>
          <w:rFonts w:ascii="Book Antiqua" w:eastAsia="宋体" w:hAnsi="Book Antiqua" w:cs="宋体"/>
          <w:sz w:val="24"/>
          <w:szCs w:val="24"/>
          <w:lang w:eastAsia="zh-CN" w:bidi="ar-SA"/>
        </w:rPr>
        <w:t xml:space="preserve"> N. </w:t>
      </w:r>
      <w:proofErr w:type="spellStart"/>
      <w:r w:rsidRPr="002E4D3A">
        <w:rPr>
          <w:rFonts w:ascii="Book Antiqua" w:eastAsia="宋体" w:hAnsi="Book Antiqua" w:cs="宋体"/>
          <w:sz w:val="24"/>
          <w:szCs w:val="24"/>
          <w:lang w:eastAsia="zh-CN" w:bidi="ar-SA"/>
        </w:rPr>
        <w:t>Paricalcitol</w:t>
      </w:r>
      <w:proofErr w:type="spellEnd"/>
      <w:r w:rsidRPr="002E4D3A">
        <w:rPr>
          <w:rFonts w:ascii="Book Antiqua" w:eastAsia="宋体" w:hAnsi="Book Antiqua" w:cs="宋体"/>
          <w:sz w:val="24"/>
          <w:szCs w:val="24"/>
          <w:lang w:eastAsia="zh-CN" w:bidi="ar-SA"/>
        </w:rPr>
        <w:t xml:space="preserve"> for secondary hyperparathyroidism in renal transplantation. </w:t>
      </w:r>
      <w:r w:rsidRPr="002E4D3A">
        <w:rPr>
          <w:rFonts w:ascii="Book Antiqua" w:eastAsia="宋体" w:hAnsi="Book Antiqua" w:cs="宋体"/>
          <w:i/>
          <w:iCs/>
          <w:sz w:val="24"/>
          <w:szCs w:val="24"/>
          <w:lang w:eastAsia="zh-CN" w:bidi="ar-SA"/>
        </w:rPr>
        <w:t xml:space="preserve">J Am </w:t>
      </w:r>
      <w:proofErr w:type="spellStart"/>
      <w:r w:rsidRPr="002E4D3A">
        <w:rPr>
          <w:rFonts w:ascii="Book Antiqua" w:eastAsia="宋体" w:hAnsi="Book Antiqua" w:cs="宋体"/>
          <w:i/>
          <w:iCs/>
          <w:sz w:val="24"/>
          <w:szCs w:val="24"/>
          <w:lang w:eastAsia="zh-CN" w:bidi="ar-SA"/>
        </w:rPr>
        <w:t>Soc</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2015; </w:t>
      </w:r>
      <w:r w:rsidRPr="002E4D3A">
        <w:rPr>
          <w:rFonts w:ascii="Book Antiqua" w:eastAsia="宋体" w:hAnsi="Book Antiqua" w:cs="宋体"/>
          <w:b/>
          <w:bCs/>
          <w:sz w:val="24"/>
          <w:szCs w:val="24"/>
          <w:lang w:eastAsia="zh-CN" w:bidi="ar-SA"/>
        </w:rPr>
        <w:t>26</w:t>
      </w:r>
      <w:r w:rsidRPr="002E4D3A">
        <w:rPr>
          <w:rFonts w:ascii="Book Antiqua" w:eastAsia="宋体" w:hAnsi="Book Antiqua" w:cs="宋体"/>
          <w:sz w:val="24"/>
          <w:szCs w:val="24"/>
          <w:lang w:eastAsia="zh-CN" w:bidi="ar-SA"/>
        </w:rPr>
        <w:t>: 1205-1214 [PMID: 25194004 DOI: 10.1681/ASN.2013111185]</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82 </w:t>
      </w:r>
      <w:proofErr w:type="spellStart"/>
      <w:r w:rsidRPr="002E4D3A">
        <w:rPr>
          <w:rFonts w:ascii="Book Antiqua" w:eastAsia="宋体" w:hAnsi="Book Antiqua" w:cs="宋体"/>
          <w:b/>
          <w:bCs/>
          <w:sz w:val="24"/>
          <w:szCs w:val="24"/>
          <w:lang w:eastAsia="zh-CN" w:bidi="ar-SA"/>
        </w:rPr>
        <w:t>Wissing</w:t>
      </w:r>
      <w:proofErr w:type="spellEnd"/>
      <w:r w:rsidRPr="002E4D3A">
        <w:rPr>
          <w:rFonts w:ascii="Book Antiqua" w:eastAsia="宋体" w:hAnsi="Book Antiqua" w:cs="宋体"/>
          <w:b/>
          <w:bCs/>
          <w:sz w:val="24"/>
          <w:szCs w:val="24"/>
          <w:lang w:eastAsia="zh-CN" w:bidi="ar-SA"/>
        </w:rPr>
        <w:t xml:space="preserve"> KM</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Broeders</w:t>
      </w:r>
      <w:proofErr w:type="spellEnd"/>
      <w:r w:rsidRPr="002E4D3A">
        <w:rPr>
          <w:rFonts w:ascii="Book Antiqua" w:eastAsia="宋体" w:hAnsi="Book Antiqua" w:cs="宋体"/>
          <w:sz w:val="24"/>
          <w:szCs w:val="24"/>
          <w:lang w:eastAsia="zh-CN" w:bidi="ar-SA"/>
        </w:rPr>
        <w:t xml:space="preserve"> N, Moreno-Reyes R, </w:t>
      </w:r>
      <w:proofErr w:type="spellStart"/>
      <w:r w:rsidRPr="002E4D3A">
        <w:rPr>
          <w:rFonts w:ascii="Book Antiqua" w:eastAsia="宋体" w:hAnsi="Book Antiqua" w:cs="宋体"/>
          <w:sz w:val="24"/>
          <w:szCs w:val="24"/>
          <w:lang w:eastAsia="zh-CN" w:bidi="ar-SA"/>
        </w:rPr>
        <w:t>Gervy</w:t>
      </w:r>
      <w:proofErr w:type="spellEnd"/>
      <w:r w:rsidRPr="002E4D3A">
        <w:rPr>
          <w:rFonts w:ascii="Book Antiqua" w:eastAsia="宋体" w:hAnsi="Book Antiqua" w:cs="宋体"/>
          <w:sz w:val="24"/>
          <w:szCs w:val="24"/>
          <w:lang w:eastAsia="zh-CN" w:bidi="ar-SA"/>
        </w:rPr>
        <w:t xml:space="preserve"> C, </w:t>
      </w:r>
      <w:proofErr w:type="spellStart"/>
      <w:r w:rsidRPr="002E4D3A">
        <w:rPr>
          <w:rFonts w:ascii="Book Antiqua" w:eastAsia="宋体" w:hAnsi="Book Antiqua" w:cs="宋体"/>
          <w:sz w:val="24"/>
          <w:szCs w:val="24"/>
          <w:lang w:eastAsia="zh-CN" w:bidi="ar-SA"/>
        </w:rPr>
        <w:t>Stallenberg</w:t>
      </w:r>
      <w:proofErr w:type="spellEnd"/>
      <w:r w:rsidRPr="002E4D3A">
        <w:rPr>
          <w:rFonts w:ascii="Book Antiqua" w:eastAsia="宋体" w:hAnsi="Book Antiqua" w:cs="宋体"/>
          <w:sz w:val="24"/>
          <w:szCs w:val="24"/>
          <w:lang w:eastAsia="zh-CN" w:bidi="ar-SA"/>
        </w:rPr>
        <w:t xml:space="preserve"> B, </w:t>
      </w:r>
      <w:proofErr w:type="spellStart"/>
      <w:r w:rsidRPr="002E4D3A">
        <w:rPr>
          <w:rFonts w:ascii="Book Antiqua" w:eastAsia="宋体" w:hAnsi="Book Antiqua" w:cs="宋体"/>
          <w:sz w:val="24"/>
          <w:szCs w:val="24"/>
          <w:lang w:eastAsia="zh-CN" w:bidi="ar-SA"/>
        </w:rPr>
        <w:t>Abramowicz</w:t>
      </w:r>
      <w:proofErr w:type="spellEnd"/>
      <w:r w:rsidRPr="002E4D3A">
        <w:rPr>
          <w:rFonts w:ascii="Book Antiqua" w:eastAsia="宋体" w:hAnsi="Book Antiqua" w:cs="宋体"/>
          <w:sz w:val="24"/>
          <w:szCs w:val="24"/>
          <w:lang w:eastAsia="zh-CN" w:bidi="ar-SA"/>
        </w:rPr>
        <w:t xml:space="preserve"> D. </w:t>
      </w:r>
      <w:proofErr w:type="gramStart"/>
      <w:r w:rsidRPr="002E4D3A">
        <w:rPr>
          <w:rFonts w:ascii="Book Antiqua" w:eastAsia="宋体" w:hAnsi="Book Antiqua" w:cs="宋体"/>
          <w:sz w:val="24"/>
          <w:szCs w:val="24"/>
          <w:lang w:eastAsia="zh-CN" w:bidi="ar-SA"/>
        </w:rPr>
        <w:t>A controlled study of vitamin D3 to prevent bone loss in renal-transplant patients receiving low doses of steroids.</w:t>
      </w:r>
      <w:proofErr w:type="gramEnd"/>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i/>
          <w:iCs/>
          <w:sz w:val="24"/>
          <w:szCs w:val="24"/>
          <w:lang w:eastAsia="zh-CN" w:bidi="ar-SA"/>
        </w:rPr>
        <w:t>Transplantation</w:t>
      </w:r>
      <w:r w:rsidRPr="002E4D3A">
        <w:rPr>
          <w:rFonts w:ascii="Book Antiqua" w:eastAsia="宋体" w:hAnsi="Book Antiqua" w:cs="宋体"/>
          <w:sz w:val="24"/>
          <w:szCs w:val="24"/>
          <w:lang w:eastAsia="zh-CN" w:bidi="ar-SA"/>
        </w:rPr>
        <w:t xml:space="preserve"> 2005; </w:t>
      </w:r>
      <w:r w:rsidRPr="002E4D3A">
        <w:rPr>
          <w:rFonts w:ascii="Book Antiqua" w:eastAsia="宋体" w:hAnsi="Book Antiqua" w:cs="宋体"/>
          <w:b/>
          <w:bCs/>
          <w:sz w:val="24"/>
          <w:szCs w:val="24"/>
          <w:lang w:eastAsia="zh-CN" w:bidi="ar-SA"/>
        </w:rPr>
        <w:t>79</w:t>
      </w:r>
      <w:r w:rsidRPr="002E4D3A">
        <w:rPr>
          <w:rFonts w:ascii="Book Antiqua" w:eastAsia="宋体" w:hAnsi="Book Antiqua" w:cs="宋体"/>
          <w:sz w:val="24"/>
          <w:szCs w:val="24"/>
          <w:lang w:eastAsia="zh-CN" w:bidi="ar-SA"/>
        </w:rPr>
        <w:t>: 108-115 [PMID: 15714177]</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proofErr w:type="gramStart"/>
      <w:r w:rsidRPr="002E4D3A">
        <w:rPr>
          <w:rFonts w:ascii="Book Antiqua" w:eastAsia="宋体" w:hAnsi="Book Antiqua" w:cs="宋体"/>
          <w:sz w:val="24"/>
          <w:szCs w:val="24"/>
          <w:lang w:eastAsia="zh-CN" w:bidi="ar-SA"/>
        </w:rPr>
        <w:t xml:space="preserve">83 </w:t>
      </w:r>
      <w:proofErr w:type="spellStart"/>
      <w:r w:rsidRPr="002E4D3A">
        <w:rPr>
          <w:rFonts w:ascii="Book Antiqua" w:eastAsia="宋体" w:hAnsi="Book Antiqua" w:cs="宋体"/>
          <w:b/>
          <w:bCs/>
          <w:sz w:val="24"/>
          <w:szCs w:val="24"/>
          <w:lang w:eastAsia="zh-CN" w:bidi="ar-SA"/>
        </w:rPr>
        <w:t>Sahin</w:t>
      </w:r>
      <w:proofErr w:type="spellEnd"/>
      <w:r w:rsidRPr="002E4D3A">
        <w:rPr>
          <w:rFonts w:ascii="Book Antiqua" w:eastAsia="宋体" w:hAnsi="Book Antiqua" w:cs="宋体"/>
          <w:b/>
          <w:bCs/>
          <w:sz w:val="24"/>
          <w:szCs w:val="24"/>
          <w:lang w:eastAsia="zh-CN" w:bidi="ar-SA"/>
        </w:rPr>
        <w:t xml:space="preserve"> G</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Yasar</w:t>
      </w:r>
      <w:proofErr w:type="spellEnd"/>
      <w:r w:rsidRPr="002E4D3A">
        <w:rPr>
          <w:rFonts w:ascii="Book Antiqua" w:eastAsia="宋体" w:hAnsi="Book Antiqua" w:cs="宋体"/>
          <w:sz w:val="24"/>
          <w:szCs w:val="24"/>
          <w:lang w:eastAsia="zh-CN" w:bidi="ar-SA"/>
        </w:rPr>
        <w:t xml:space="preserve"> NS, </w:t>
      </w:r>
      <w:proofErr w:type="spellStart"/>
      <w:r w:rsidRPr="002E4D3A">
        <w:rPr>
          <w:rFonts w:ascii="Book Antiqua" w:eastAsia="宋体" w:hAnsi="Book Antiqua" w:cs="宋体"/>
          <w:sz w:val="24"/>
          <w:szCs w:val="24"/>
          <w:lang w:eastAsia="zh-CN" w:bidi="ar-SA"/>
        </w:rPr>
        <w:t>Sirmagul</w:t>
      </w:r>
      <w:proofErr w:type="spellEnd"/>
      <w:r w:rsidRPr="002E4D3A">
        <w:rPr>
          <w:rFonts w:ascii="Book Antiqua" w:eastAsia="宋体" w:hAnsi="Book Antiqua" w:cs="宋体"/>
          <w:sz w:val="24"/>
          <w:szCs w:val="24"/>
          <w:lang w:eastAsia="zh-CN" w:bidi="ar-SA"/>
        </w:rPr>
        <w:t xml:space="preserve"> B, </w:t>
      </w:r>
      <w:proofErr w:type="spellStart"/>
      <w:r w:rsidRPr="002E4D3A">
        <w:rPr>
          <w:rFonts w:ascii="Book Antiqua" w:eastAsia="宋体" w:hAnsi="Book Antiqua" w:cs="宋体"/>
          <w:sz w:val="24"/>
          <w:szCs w:val="24"/>
          <w:lang w:eastAsia="zh-CN" w:bidi="ar-SA"/>
        </w:rPr>
        <w:t>Bal</w:t>
      </w:r>
      <w:proofErr w:type="spellEnd"/>
      <w:r w:rsidRPr="002E4D3A">
        <w:rPr>
          <w:rFonts w:ascii="Book Antiqua" w:eastAsia="宋体" w:hAnsi="Book Antiqua" w:cs="宋体"/>
          <w:sz w:val="24"/>
          <w:szCs w:val="24"/>
          <w:lang w:eastAsia="zh-CN" w:bidi="ar-SA"/>
        </w:rPr>
        <w:t xml:space="preserve"> C, </w:t>
      </w:r>
      <w:proofErr w:type="spellStart"/>
      <w:r w:rsidRPr="002E4D3A">
        <w:rPr>
          <w:rFonts w:ascii="Book Antiqua" w:eastAsia="宋体" w:hAnsi="Book Antiqua" w:cs="宋体"/>
          <w:sz w:val="24"/>
          <w:szCs w:val="24"/>
          <w:lang w:eastAsia="zh-CN" w:bidi="ar-SA"/>
        </w:rPr>
        <w:t>Yalcin</w:t>
      </w:r>
      <w:proofErr w:type="spellEnd"/>
      <w:r w:rsidRPr="002E4D3A">
        <w:rPr>
          <w:rFonts w:ascii="Book Antiqua" w:eastAsia="宋体" w:hAnsi="Book Antiqua" w:cs="宋体"/>
          <w:sz w:val="24"/>
          <w:szCs w:val="24"/>
          <w:lang w:eastAsia="zh-CN" w:bidi="ar-SA"/>
        </w:rPr>
        <w:t xml:space="preserve"> AU.</w:t>
      </w:r>
      <w:proofErr w:type="gramEnd"/>
      <w:r w:rsidRPr="002E4D3A">
        <w:rPr>
          <w:rFonts w:ascii="Book Antiqua" w:eastAsia="宋体" w:hAnsi="Book Antiqua" w:cs="宋体"/>
          <w:sz w:val="24"/>
          <w:szCs w:val="24"/>
          <w:lang w:eastAsia="zh-CN" w:bidi="ar-SA"/>
        </w:rPr>
        <w:t xml:space="preserve"> The effect of low-dose </w:t>
      </w:r>
      <w:proofErr w:type="spellStart"/>
      <w:r w:rsidRPr="002E4D3A">
        <w:rPr>
          <w:rFonts w:ascii="Book Antiqua" w:eastAsia="宋体" w:hAnsi="Book Antiqua" w:cs="宋体"/>
          <w:sz w:val="24"/>
          <w:szCs w:val="24"/>
          <w:lang w:eastAsia="zh-CN" w:bidi="ar-SA"/>
        </w:rPr>
        <w:t>cholecalciferol</w:t>
      </w:r>
      <w:proofErr w:type="spellEnd"/>
      <w:r w:rsidRPr="002E4D3A">
        <w:rPr>
          <w:rFonts w:ascii="Book Antiqua" w:eastAsia="宋体" w:hAnsi="Book Antiqua" w:cs="宋体"/>
          <w:sz w:val="24"/>
          <w:szCs w:val="24"/>
          <w:lang w:eastAsia="zh-CN" w:bidi="ar-SA"/>
        </w:rPr>
        <w:t xml:space="preserve"> and calcium treatment on </w:t>
      </w:r>
      <w:proofErr w:type="spellStart"/>
      <w:r w:rsidRPr="002E4D3A">
        <w:rPr>
          <w:rFonts w:ascii="Book Antiqua" w:eastAsia="宋体" w:hAnsi="Book Antiqua" w:cs="宋体"/>
          <w:sz w:val="24"/>
          <w:szCs w:val="24"/>
          <w:lang w:eastAsia="zh-CN" w:bidi="ar-SA"/>
        </w:rPr>
        <w:t>posttransplant</w:t>
      </w:r>
      <w:proofErr w:type="spellEnd"/>
      <w:r w:rsidRPr="002E4D3A">
        <w:rPr>
          <w:rFonts w:ascii="Book Antiqua" w:eastAsia="宋体" w:hAnsi="Book Antiqua" w:cs="宋体"/>
          <w:sz w:val="24"/>
          <w:szCs w:val="24"/>
          <w:lang w:eastAsia="zh-CN" w:bidi="ar-SA"/>
        </w:rPr>
        <w:t xml:space="preserve"> bone loss in renal transplant patients: a prospective study. </w:t>
      </w:r>
      <w:proofErr w:type="spellStart"/>
      <w:r w:rsidRPr="002E4D3A">
        <w:rPr>
          <w:rFonts w:ascii="Book Antiqua" w:eastAsia="宋体" w:hAnsi="Book Antiqua" w:cs="宋体"/>
          <w:i/>
          <w:iCs/>
          <w:sz w:val="24"/>
          <w:szCs w:val="24"/>
          <w:lang w:eastAsia="zh-CN" w:bidi="ar-SA"/>
        </w:rPr>
        <w:t>Ren</w:t>
      </w:r>
      <w:proofErr w:type="spellEnd"/>
      <w:r w:rsidRPr="002E4D3A">
        <w:rPr>
          <w:rFonts w:ascii="Book Antiqua" w:eastAsia="宋体" w:hAnsi="Book Antiqua" w:cs="宋体"/>
          <w:i/>
          <w:iCs/>
          <w:sz w:val="24"/>
          <w:szCs w:val="24"/>
          <w:lang w:eastAsia="zh-CN" w:bidi="ar-SA"/>
        </w:rPr>
        <w:t xml:space="preserve"> Fail</w:t>
      </w:r>
      <w:r w:rsidRPr="002E4D3A">
        <w:rPr>
          <w:rFonts w:ascii="Book Antiqua" w:eastAsia="宋体" w:hAnsi="Book Antiqua" w:cs="宋体"/>
          <w:sz w:val="24"/>
          <w:szCs w:val="24"/>
          <w:lang w:eastAsia="zh-CN" w:bidi="ar-SA"/>
        </w:rPr>
        <w:t xml:space="preserve"> 2008; </w:t>
      </w:r>
      <w:r w:rsidRPr="002E4D3A">
        <w:rPr>
          <w:rFonts w:ascii="Book Antiqua" w:eastAsia="宋体" w:hAnsi="Book Antiqua" w:cs="宋体"/>
          <w:b/>
          <w:bCs/>
          <w:sz w:val="24"/>
          <w:szCs w:val="24"/>
          <w:lang w:eastAsia="zh-CN" w:bidi="ar-SA"/>
        </w:rPr>
        <w:t>30</w:t>
      </w:r>
      <w:r w:rsidRPr="002E4D3A">
        <w:rPr>
          <w:rFonts w:ascii="Book Antiqua" w:eastAsia="宋体" w:hAnsi="Book Antiqua" w:cs="宋体"/>
          <w:sz w:val="24"/>
          <w:szCs w:val="24"/>
          <w:lang w:eastAsia="zh-CN" w:bidi="ar-SA"/>
        </w:rPr>
        <w:t>: 992-999 [PMID: 19016151 DOI: 10.1080/08860220802406369]</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84 </w:t>
      </w:r>
      <w:proofErr w:type="spellStart"/>
      <w:r w:rsidRPr="002E4D3A">
        <w:rPr>
          <w:rFonts w:ascii="Book Antiqua" w:eastAsia="宋体" w:hAnsi="Book Antiqua" w:cs="宋体"/>
          <w:b/>
          <w:bCs/>
          <w:sz w:val="24"/>
          <w:szCs w:val="24"/>
          <w:lang w:eastAsia="zh-CN" w:bidi="ar-SA"/>
        </w:rPr>
        <w:t>Grotz</w:t>
      </w:r>
      <w:proofErr w:type="spellEnd"/>
      <w:r w:rsidRPr="002E4D3A">
        <w:rPr>
          <w:rFonts w:ascii="Book Antiqua" w:eastAsia="宋体" w:hAnsi="Book Antiqua" w:cs="宋体"/>
          <w:b/>
          <w:bCs/>
          <w:sz w:val="24"/>
          <w:szCs w:val="24"/>
          <w:lang w:eastAsia="zh-CN" w:bidi="ar-SA"/>
        </w:rPr>
        <w:t xml:space="preserve"> W</w:t>
      </w:r>
      <w:r w:rsidRPr="002E4D3A">
        <w:rPr>
          <w:rFonts w:ascii="Book Antiqua" w:eastAsia="宋体" w:hAnsi="Book Antiqua" w:cs="宋体"/>
          <w:sz w:val="24"/>
          <w:szCs w:val="24"/>
          <w:lang w:eastAsia="zh-CN" w:bidi="ar-SA"/>
        </w:rPr>
        <w:t xml:space="preserve">, Nagel C, </w:t>
      </w:r>
      <w:proofErr w:type="spellStart"/>
      <w:r w:rsidRPr="002E4D3A">
        <w:rPr>
          <w:rFonts w:ascii="Book Antiqua" w:eastAsia="宋体" w:hAnsi="Book Antiqua" w:cs="宋体"/>
          <w:sz w:val="24"/>
          <w:szCs w:val="24"/>
          <w:lang w:eastAsia="zh-CN" w:bidi="ar-SA"/>
        </w:rPr>
        <w:t>Poeschel</w:t>
      </w:r>
      <w:proofErr w:type="spellEnd"/>
      <w:r w:rsidRPr="002E4D3A">
        <w:rPr>
          <w:rFonts w:ascii="Book Antiqua" w:eastAsia="宋体" w:hAnsi="Book Antiqua" w:cs="宋体"/>
          <w:sz w:val="24"/>
          <w:szCs w:val="24"/>
          <w:lang w:eastAsia="zh-CN" w:bidi="ar-SA"/>
        </w:rPr>
        <w:t xml:space="preserve"> D, </w:t>
      </w:r>
      <w:proofErr w:type="spellStart"/>
      <w:r w:rsidRPr="002E4D3A">
        <w:rPr>
          <w:rFonts w:ascii="Book Antiqua" w:eastAsia="宋体" w:hAnsi="Book Antiqua" w:cs="宋体"/>
          <w:sz w:val="24"/>
          <w:szCs w:val="24"/>
          <w:lang w:eastAsia="zh-CN" w:bidi="ar-SA"/>
        </w:rPr>
        <w:t>Cybulla</w:t>
      </w:r>
      <w:proofErr w:type="spellEnd"/>
      <w:r w:rsidRPr="002E4D3A">
        <w:rPr>
          <w:rFonts w:ascii="Book Antiqua" w:eastAsia="宋体" w:hAnsi="Book Antiqua" w:cs="宋体"/>
          <w:sz w:val="24"/>
          <w:szCs w:val="24"/>
          <w:lang w:eastAsia="zh-CN" w:bidi="ar-SA"/>
        </w:rPr>
        <w:t xml:space="preserve"> M, Petersen KG, </w:t>
      </w:r>
      <w:proofErr w:type="spellStart"/>
      <w:r w:rsidRPr="002E4D3A">
        <w:rPr>
          <w:rFonts w:ascii="Book Antiqua" w:eastAsia="宋体" w:hAnsi="Book Antiqua" w:cs="宋体"/>
          <w:sz w:val="24"/>
          <w:szCs w:val="24"/>
          <w:lang w:eastAsia="zh-CN" w:bidi="ar-SA"/>
        </w:rPr>
        <w:t>Uhl</w:t>
      </w:r>
      <w:proofErr w:type="spellEnd"/>
      <w:r w:rsidRPr="002E4D3A">
        <w:rPr>
          <w:rFonts w:ascii="Book Antiqua" w:eastAsia="宋体" w:hAnsi="Book Antiqua" w:cs="宋体"/>
          <w:sz w:val="24"/>
          <w:szCs w:val="24"/>
          <w:lang w:eastAsia="zh-CN" w:bidi="ar-SA"/>
        </w:rPr>
        <w:t xml:space="preserve"> M, </w:t>
      </w:r>
      <w:proofErr w:type="spellStart"/>
      <w:r w:rsidRPr="002E4D3A">
        <w:rPr>
          <w:rFonts w:ascii="Book Antiqua" w:eastAsia="宋体" w:hAnsi="Book Antiqua" w:cs="宋体"/>
          <w:sz w:val="24"/>
          <w:szCs w:val="24"/>
          <w:lang w:eastAsia="zh-CN" w:bidi="ar-SA"/>
        </w:rPr>
        <w:t>Strey</w:t>
      </w:r>
      <w:proofErr w:type="spellEnd"/>
      <w:r w:rsidRPr="002E4D3A">
        <w:rPr>
          <w:rFonts w:ascii="Book Antiqua" w:eastAsia="宋体" w:hAnsi="Book Antiqua" w:cs="宋体"/>
          <w:sz w:val="24"/>
          <w:szCs w:val="24"/>
          <w:lang w:eastAsia="zh-CN" w:bidi="ar-SA"/>
        </w:rPr>
        <w:t xml:space="preserve"> C, </w:t>
      </w:r>
      <w:proofErr w:type="spellStart"/>
      <w:r w:rsidRPr="002E4D3A">
        <w:rPr>
          <w:rFonts w:ascii="Book Antiqua" w:eastAsia="宋体" w:hAnsi="Book Antiqua" w:cs="宋体"/>
          <w:sz w:val="24"/>
          <w:szCs w:val="24"/>
          <w:lang w:eastAsia="zh-CN" w:bidi="ar-SA"/>
        </w:rPr>
        <w:t>Kirste</w:t>
      </w:r>
      <w:proofErr w:type="spellEnd"/>
      <w:r w:rsidRPr="002E4D3A">
        <w:rPr>
          <w:rFonts w:ascii="Book Antiqua" w:eastAsia="宋体" w:hAnsi="Book Antiqua" w:cs="宋体"/>
          <w:sz w:val="24"/>
          <w:szCs w:val="24"/>
          <w:lang w:eastAsia="zh-CN" w:bidi="ar-SA"/>
        </w:rPr>
        <w:t xml:space="preserve"> G, </w:t>
      </w:r>
      <w:proofErr w:type="spellStart"/>
      <w:r w:rsidRPr="002E4D3A">
        <w:rPr>
          <w:rFonts w:ascii="Book Antiqua" w:eastAsia="宋体" w:hAnsi="Book Antiqua" w:cs="宋体"/>
          <w:sz w:val="24"/>
          <w:szCs w:val="24"/>
          <w:lang w:eastAsia="zh-CN" w:bidi="ar-SA"/>
        </w:rPr>
        <w:t>Olschewski</w:t>
      </w:r>
      <w:proofErr w:type="spellEnd"/>
      <w:r w:rsidRPr="002E4D3A">
        <w:rPr>
          <w:rFonts w:ascii="Book Antiqua" w:eastAsia="宋体" w:hAnsi="Book Antiqua" w:cs="宋体"/>
          <w:sz w:val="24"/>
          <w:szCs w:val="24"/>
          <w:lang w:eastAsia="zh-CN" w:bidi="ar-SA"/>
        </w:rPr>
        <w:t xml:space="preserve"> M, </w:t>
      </w:r>
      <w:proofErr w:type="spellStart"/>
      <w:r w:rsidRPr="002E4D3A">
        <w:rPr>
          <w:rFonts w:ascii="Book Antiqua" w:eastAsia="宋体" w:hAnsi="Book Antiqua" w:cs="宋体"/>
          <w:sz w:val="24"/>
          <w:szCs w:val="24"/>
          <w:lang w:eastAsia="zh-CN" w:bidi="ar-SA"/>
        </w:rPr>
        <w:t>Reichelt</w:t>
      </w:r>
      <w:proofErr w:type="spellEnd"/>
      <w:r w:rsidRPr="002E4D3A">
        <w:rPr>
          <w:rFonts w:ascii="Book Antiqua" w:eastAsia="宋体" w:hAnsi="Book Antiqua" w:cs="宋体"/>
          <w:sz w:val="24"/>
          <w:szCs w:val="24"/>
          <w:lang w:eastAsia="zh-CN" w:bidi="ar-SA"/>
        </w:rPr>
        <w:t xml:space="preserve"> A, Rump LC. </w:t>
      </w:r>
      <w:proofErr w:type="gramStart"/>
      <w:r w:rsidRPr="002E4D3A">
        <w:rPr>
          <w:rFonts w:ascii="Book Antiqua" w:eastAsia="宋体" w:hAnsi="Book Antiqua" w:cs="宋体"/>
          <w:sz w:val="24"/>
          <w:szCs w:val="24"/>
          <w:lang w:eastAsia="zh-CN" w:bidi="ar-SA"/>
        </w:rPr>
        <w:t xml:space="preserve">Effect of </w:t>
      </w:r>
      <w:proofErr w:type="spellStart"/>
      <w:r w:rsidRPr="002E4D3A">
        <w:rPr>
          <w:rFonts w:ascii="Book Antiqua" w:eastAsia="宋体" w:hAnsi="Book Antiqua" w:cs="宋体"/>
          <w:sz w:val="24"/>
          <w:szCs w:val="24"/>
          <w:lang w:eastAsia="zh-CN" w:bidi="ar-SA"/>
        </w:rPr>
        <w:t>ibandronate</w:t>
      </w:r>
      <w:proofErr w:type="spellEnd"/>
      <w:r w:rsidRPr="002E4D3A">
        <w:rPr>
          <w:rFonts w:ascii="Book Antiqua" w:eastAsia="宋体" w:hAnsi="Book Antiqua" w:cs="宋体"/>
          <w:sz w:val="24"/>
          <w:szCs w:val="24"/>
          <w:lang w:eastAsia="zh-CN" w:bidi="ar-SA"/>
        </w:rPr>
        <w:t xml:space="preserve"> on bone loss and renal function after kidney transplantation.</w:t>
      </w:r>
      <w:proofErr w:type="gramEnd"/>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i/>
          <w:iCs/>
          <w:sz w:val="24"/>
          <w:szCs w:val="24"/>
          <w:lang w:eastAsia="zh-CN" w:bidi="ar-SA"/>
        </w:rPr>
        <w:t xml:space="preserve">J Am </w:t>
      </w:r>
      <w:proofErr w:type="spellStart"/>
      <w:r w:rsidRPr="002E4D3A">
        <w:rPr>
          <w:rFonts w:ascii="Book Antiqua" w:eastAsia="宋体" w:hAnsi="Book Antiqua" w:cs="宋体"/>
          <w:i/>
          <w:iCs/>
          <w:sz w:val="24"/>
          <w:szCs w:val="24"/>
          <w:lang w:eastAsia="zh-CN" w:bidi="ar-SA"/>
        </w:rPr>
        <w:t>Soc</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2001; </w:t>
      </w:r>
      <w:r w:rsidRPr="002E4D3A">
        <w:rPr>
          <w:rFonts w:ascii="Book Antiqua" w:eastAsia="宋体" w:hAnsi="Book Antiqua" w:cs="宋体"/>
          <w:b/>
          <w:bCs/>
          <w:sz w:val="24"/>
          <w:szCs w:val="24"/>
          <w:lang w:eastAsia="zh-CN" w:bidi="ar-SA"/>
        </w:rPr>
        <w:t>12</w:t>
      </w:r>
      <w:r w:rsidRPr="002E4D3A">
        <w:rPr>
          <w:rFonts w:ascii="Book Antiqua" w:eastAsia="宋体" w:hAnsi="Book Antiqua" w:cs="宋体"/>
          <w:sz w:val="24"/>
          <w:szCs w:val="24"/>
          <w:lang w:eastAsia="zh-CN" w:bidi="ar-SA"/>
        </w:rPr>
        <w:t>: 1530-1537 [PMID: 11423583]</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85 </w:t>
      </w:r>
      <w:r w:rsidRPr="002E4D3A">
        <w:rPr>
          <w:rFonts w:ascii="Book Antiqua" w:eastAsia="宋体" w:hAnsi="Book Antiqua" w:cs="宋体"/>
          <w:b/>
          <w:bCs/>
          <w:sz w:val="24"/>
          <w:szCs w:val="24"/>
          <w:lang w:eastAsia="zh-CN" w:bidi="ar-SA"/>
        </w:rPr>
        <w:t>Fan SL</w:t>
      </w:r>
      <w:r w:rsidRPr="002E4D3A">
        <w:rPr>
          <w:rFonts w:ascii="Book Antiqua" w:eastAsia="宋体" w:hAnsi="Book Antiqua" w:cs="宋体"/>
          <w:sz w:val="24"/>
          <w:szCs w:val="24"/>
          <w:lang w:eastAsia="zh-CN" w:bidi="ar-SA"/>
        </w:rPr>
        <w:t xml:space="preserve">, Almond MK, Ball E, Evans K, Cunningham J. </w:t>
      </w:r>
      <w:proofErr w:type="spellStart"/>
      <w:r w:rsidRPr="002E4D3A">
        <w:rPr>
          <w:rFonts w:ascii="Book Antiqua" w:eastAsia="宋体" w:hAnsi="Book Antiqua" w:cs="宋体"/>
          <w:sz w:val="24"/>
          <w:szCs w:val="24"/>
          <w:lang w:eastAsia="zh-CN" w:bidi="ar-SA"/>
        </w:rPr>
        <w:t>Pamidronate</w:t>
      </w:r>
      <w:proofErr w:type="spellEnd"/>
      <w:r w:rsidRPr="002E4D3A">
        <w:rPr>
          <w:rFonts w:ascii="Book Antiqua" w:eastAsia="宋体" w:hAnsi="Book Antiqua" w:cs="宋体"/>
          <w:sz w:val="24"/>
          <w:szCs w:val="24"/>
          <w:lang w:eastAsia="zh-CN" w:bidi="ar-SA"/>
        </w:rPr>
        <w:t xml:space="preserve"> therapy as prevention of bone loss following renal transplantation. </w:t>
      </w:r>
      <w:r w:rsidRPr="002E4D3A">
        <w:rPr>
          <w:rFonts w:ascii="Book Antiqua" w:eastAsia="宋体" w:hAnsi="Book Antiqua" w:cs="宋体"/>
          <w:i/>
          <w:iCs/>
          <w:sz w:val="24"/>
          <w:szCs w:val="24"/>
          <w:lang w:eastAsia="zh-CN" w:bidi="ar-SA"/>
        </w:rPr>
        <w:t xml:space="preserve">Kidney </w:t>
      </w:r>
      <w:proofErr w:type="spellStart"/>
      <w:r w:rsidRPr="002E4D3A">
        <w:rPr>
          <w:rFonts w:ascii="Book Antiqua" w:eastAsia="宋体" w:hAnsi="Book Antiqua" w:cs="宋体"/>
          <w:i/>
          <w:iCs/>
          <w:sz w:val="24"/>
          <w:szCs w:val="24"/>
          <w:lang w:eastAsia="zh-CN" w:bidi="ar-SA"/>
        </w:rPr>
        <w:t>Int</w:t>
      </w:r>
      <w:proofErr w:type="spellEnd"/>
      <w:r w:rsidRPr="002E4D3A">
        <w:rPr>
          <w:rFonts w:ascii="Book Antiqua" w:eastAsia="宋体" w:hAnsi="Book Antiqua" w:cs="宋体"/>
          <w:sz w:val="24"/>
          <w:szCs w:val="24"/>
          <w:lang w:eastAsia="zh-CN" w:bidi="ar-SA"/>
        </w:rPr>
        <w:t xml:space="preserve"> 2000; </w:t>
      </w:r>
      <w:r w:rsidRPr="002E4D3A">
        <w:rPr>
          <w:rFonts w:ascii="Book Antiqua" w:eastAsia="宋体" w:hAnsi="Book Antiqua" w:cs="宋体"/>
          <w:b/>
          <w:bCs/>
          <w:sz w:val="24"/>
          <w:szCs w:val="24"/>
          <w:lang w:eastAsia="zh-CN" w:bidi="ar-SA"/>
        </w:rPr>
        <w:t>57</w:t>
      </w:r>
      <w:r w:rsidRPr="002E4D3A">
        <w:rPr>
          <w:rFonts w:ascii="Book Antiqua" w:eastAsia="宋体" w:hAnsi="Book Antiqua" w:cs="宋体"/>
          <w:sz w:val="24"/>
          <w:szCs w:val="24"/>
          <w:lang w:eastAsia="zh-CN" w:bidi="ar-SA"/>
        </w:rPr>
        <w:t>: 684-690 [PMID: 10652047 DOI: 10.1046/j.1523-1755.2000.00890.x]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86 </w:t>
      </w:r>
      <w:r w:rsidRPr="002E4D3A">
        <w:rPr>
          <w:rFonts w:ascii="Book Antiqua" w:eastAsia="宋体" w:hAnsi="Book Antiqua" w:cs="宋体"/>
          <w:b/>
          <w:bCs/>
          <w:sz w:val="24"/>
          <w:szCs w:val="24"/>
          <w:lang w:eastAsia="zh-CN" w:bidi="ar-SA"/>
        </w:rPr>
        <w:t>Haas M</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Leko</w:t>
      </w:r>
      <w:proofErr w:type="spellEnd"/>
      <w:r w:rsidRPr="002E4D3A">
        <w:rPr>
          <w:rFonts w:ascii="Book Antiqua" w:eastAsia="宋体" w:hAnsi="Book Antiqua" w:cs="宋体"/>
          <w:sz w:val="24"/>
          <w:szCs w:val="24"/>
          <w:lang w:eastAsia="zh-CN" w:bidi="ar-SA"/>
        </w:rPr>
        <w:t xml:space="preserve">-Mohr Z, </w:t>
      </w:r>
      <w:proofErr w:type="spellStart"/>
      <w:r w:rsidRPr="002E4D3A">
        <w:rPr>
          <w:rFonts w:ascii="Book Antiqua" w:eastAsia="宋体" w:hAnsi="Book Antiqua" w:cs="宋体"/>
          <w:sz w:val="24"/>
          <w:szCs w:val="24"/>
          <w:lang w:eastAsia="zh-CN" w:bidi="ar-SA"/>
        </w:rPr>
        <w:t>Roschger</w:t>
      </w:r>
      <w:proofErr w:type="spellEnd"/>
      <w:r w:rsidRPr="002E4D3A">
        <w:rPr>
          <w:rFonts w:ascii="Book Antiqua" w:eastAsia="宋体" w:hAnsi="Book Antiqua" w:cs="宋体"/>
          <w:sz w:val="24"/>
          <w:szCs w:val="24"/>
          <w:lang w:eastAsia="zh-CN" w:bidi="ar-SA"/>
        </w:rPr>
        <w:t xml:space="preserve"> P, </w:t>
      </w:r>
      <w:proofErr w:type="spellStart"/>
      <w:r w:rsidRPr="002E4D3A">
        <w:rPr>
          <w:rFonts w:ascii="Book Antiqua" w:eastAsia="宋体" w:hAnsi="Book Antiqua" w:cs="宋体"/>
          <w:sz w:val="24"/>
          <w:szCs w:val="24"/>
          <w:lang w:eastAsia="zh-CN" w:bidi="ar-SA"/>
        </w:rPr>
        <w:t>Kletzmayr</w:t>
      </w:r>
      <w:proofErr w:type="spellEnd"/>
      <w:r w:rsidRPr="002E4D3A">
        <w:rPr>
          <w:rFonts w:ascii="Book Antiqua" w:eastAsia="宋体" w:hAnsi="Book Antiqua" w:cs="宋体"/>
          <w:sz w:val="24"/>
          <w:szCs w:val="24"/>
          <w:lang w:eastAsia="zh-CN" w:bidi="ar-SA"/>
        </w:rPr>
        <w:t xml:space="preserve"> J, Schwarz C, </w:t>
      </w:r>
      <w:proofErr w:type="spellStart"/>
      <w:r w:rsidRPr="002E4D3A">
        <w:rPr>
          <w:rFonts w:ascii="Book Antiqua" w:eastAsia="宋体" w:hAnsi="Book Antiqua" w:cs="宋体"/>
          <w:sz w:val="24"/>
          <w:szCs w:val="24"/>
          <w:lang w:eastAsia="zh-CN" w:bidi="ar-SA"/>
        </w:rPr>
        <w:t>Mitterbauer</w:t>
      </w:r>
      <w:proofErr w:type="spellEnd"/>
      <w:r w:rsidRPr="002E4D3A">
        <w:rPr>
          <w:rFonts w:ascii="Book Antiqua" w:eastAsia="宋体" w:hAnsi="Book Antiqua" w:cs="宋体"/>
          <w:sz w:val="24"/>
          <w:szCs w:val="24"/>
          <w:lang w:eastAsia="zh-CN" w:bidi="ar-SA"/>
        </w:rPr>
        <w:t xml:space="preserve"> C, </w:t>
      </w:r>
      <w:proofErr w:type="spellStart"/>
      <w:r w:rsidRPr="002E4D3A">
        <w:rPr>
          <w:rFonts w:ascii="Book Antiqua" w:eastAsia="宋体" w:hAnsi="Book Antiqua" w:cs="宋体"/>
          <w:sz w:val="24"/>
          <w:szCs w:val="24"/>
          <w:lang w:eastAsia="zh-CN" w:bidi="ar-SA"/>
        </w:rPr>
        <w:t>Steininger</w:t>
      </w:r>
      <w:proofErr w:type="spellEnd"/>
      <w:r w:rsidRPr="002E4D3A">
        <w:rPr>
          <w:rFonts w:ascii="Book Antiqua" w:eastAsia="宋体" w:hAnsi="Book Antiqua" w:cs="宋体"/>
          <w:sz w:val="24"/>
          <w:szCs w:val="24"/>
          <w:lang w:eastAsia="zh-CN" w:bidi="ar-SA"/>
        </w:rPr>
        <w:t xml:space="preserve"> R, </w:t>
      </w:r>
      <w:proofErr w:type="spellStart"/>
      <w:r w:rsidRPr="002E4D3A">
        <w:rPr>
          <w:rFonts w:ascii="Book Antiqua" w:eastAsia="宋体" w:hAnsi="Book Antiqua" w:cs="宋体"/>
          <w:sz w:val="24"/>
          <w:szCs w:val="24"/>
          <w:lang w:eastAsia="zh-CN" w:bidi="ar-SA"/>
        </w:rPr>
        <w:t>Grampp</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Klaushofer</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Delling</w:t>
      </w:r>
      <w:proofErr w:type="spellEnd"/>
      <w:r w:rsidRPr="002E4D3A">
        <w:rPr>
          <w:rFonts w:ascii="Book Antiqua" w:eastAsia="宋体" w:hAnsi="Book Antiqua" w:cs="宋体"/>
          <w:sz w:val="24"/>
          <w:szCs w:val="24"/>
          <w:lang w:eastAsia="zh-CN" w:bidi="ar-SA"/>
        </w:rPr>
        <w:t xml:space="preserve"> G, </w:t>
      </w:r>
      <w:proofErr w:type="spellStart"/>
      <w:r w:rsidRPr="002E4D3A">
        <w:rPr>
          <w:rFonts w:ascii="Book Antiqua" w:eastAsia="宋体" w:hAnsi="Book Antiqua" w:cs="宋体"/>
          <w:sz w:val="24"/>
          <w:szCs w:val="24"/>
          <w:lang w:eastAsia="zh-CN" w:bidi="ar-SA"/>
        </w:rPr>
        <w:t>Oberbauer</w:t>
      </w:r>
      <w:proofErr w:type="spellEnd"/>
      <w:r w:rsidRPr="002E4D3A">
        <w:rPr>
          <w:rFonts w:ascii="Book Antiqua" w:eastAsia="宋体" w:hAnsi="Book Antiqua" w:cs="宋体"/>
          <w:sz w:val="24"/>
          <w:szCs w:val="24"/>
          <w:lang w:eastAsia="zh-CN" w:bidi="ar-SA"/>
        </w:rPr>
        <w:t xml:space="preserve"> R. </w:t>
      </w:r>
      <w:proofErr w:type="spellStart"/>
      <w:r w:rsidRPr="002E4D3A">
        <w:rPr>
          <w:rFonts w:ascii="Book Antiqua" w:eastAsia="宋体" w:hAnsi="Book Antiqua" w:cs="宋体"/>
          <w:sz w:val="24"/>
          <w:szCs w:val="24"/>
          <w:lang w:eastAsia="zh-CN" w:bidi="ar-SA"/>
        </w:rPr>
        <w:t>Zoledronic</w:t>
      </w:r>
      <w:proofErr w:type="spellEnd"/>
      <w:r w:rsidRPr="002E4D3A">
        <w:rPr>
          <w:rFonts w:ascii="Book Antiqua" w:eastAsia="宋体" w:hAnsi="Book Antiqua" w:cs="宋体"/>
          <w:sz w:val="24"/>
          <w:szCs w:val="24"/>
          <w:lang w:eastAsia="zh-CN" w:bidi="ar-SA"/>
        </w:rPr>
        <w:t xml:space="preserve"> acid to </w:t>
      </w:r>
      <w:r w:rsidRPr="002E4D3A">
        <w:rPr>
          <w:rFonts w:ascii="Book Antiqua" w:eastAsia="宋体" w:hAnsi="Book Antiqua" w:cs="宋体"/>
          <w:sz w:val="24"/>
          <w:szCs w:val="24"/>
          <w:lang w:eastAsia="zh-CN" w:bidi="ar-SA"/>
        </w:rPr>
        <w:lastRenderedPageBreak/>
        <w:t xml:space="preserve">prevent bone loss in the first 6 months after renal transplantation. </w:t>
      </w:r>
      <w:r w:rsidRPr="002E4D3A">
        <w:rPr>
          <w:rFonts w:ascii="Book Antiqua" w:eastAsia="宋体" w:hAnsi="Book Antiqua" w:cs="宋体"/>
          <w:i/>
          <w:iCs/>
          <w:sz w:val="24"/>
          <w:szCs w:val="24"/>
          <w:lang w:eastAsia="zh-CN" w:bidi="ar-SA"/>
        </w:rPr>
        <w:t xml:space="preserve">Kidney </w:t>
      </w:r>
      <w:proofErr w:type="spellStart"/>
      <w:r w:rsidRPr="002E4D3A">
        <w:rPr>
          <w:rFonts w:ascii="Book Antiqua" w:eastAsia="宋体" w:hAnsi="Book Antiqua" w:cs="宋体"/>
          <w:i/>
          <w:iCs/>
          <w:sz w:val="24"/>
          <w:szCs w:val="24"/>
          <w:lang w:eastAsia="zh-CN" w:bidi="ar-SA"/>
        </w:rPr>
        <w:t>Int</w:t>
      </w:r>
      <w:proofErr w:type="spellEnd"/>
      <w:r w:rsidRPr="002E4D3A">
        <w:rPr>
          <w:rFonts w:ascii="Book Antiqua" w:eastAsia="宋体" w:hAnsi="Book Antiqua" w:cs="宋体"/>
          <w:sz w:val="24"/>
          <w:szCs w:val="24"/>
          <w:lang w:eastAsia="zh-CN" w:bidi="ar-SA"/>
        </w:rPr>
        <w:t xml:space="preserve"> 2003; </w:t>
      </w:r>
      <w:r w:rsidRPr="002E4D3A">
        <w:rPr>
          <w:rFonts w:ascii="Book Antiqua" w:eastAsia="宋体" w:hAnsi="Book Antiqua" w:cs="宋体"/>
          <w:b/>
          <w:bCs/>
          <w:sz w:val="24"/>
          <w:szCs w:val="24"/>
          <w:lang w:eastAsia="zh-CN" w:bidi="ar-SA"/>
        </w:rPr>
        <w:t>63</w:t>
      </w:r>
      <w:r w:rsidRPr="002E4D3A">
        <w:rPr>
          <w:rFonts w:ascii="Book Antiqua" w:eastAsia="宋体" w:hAnsi="Book Antiqua" w:cs="宋体"/>
          <w:sz w:val="24"/>
          <w:szCs w:val="24"/>
          <w:lang w:eastAsia="zh-CN" w:bidi="ar-SA"/>
        </w:rPr>
        <w:t>: 1130-1136 [PMID: 12631097 DOI: 10.1046/j.1523-1755.2003.00816.x]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87 </w:t>
      </w:r>
      <w:r w:rsidRPr="002E4D3A">
        <w:rPr>
          <w:rFonts w:ascii="Book Antiqua" w:eastAsia="宋体" w:hAnsi="Book Antiqua" w:cs="宋体"/>
          <w:b/>
          <w:bCs/>
          <w:sz w:val="24"/>
          <w:szCs w:val="24"/>
          <w:lang w:eastAsia="zh-CN" w:bidi="ar-SA"/>
        </w:rPr>
        <w:t>Coco M</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Glicklich</w:t>
      </w:r>
      <w:proofErr w:type="spellEnd"/>
      <w:r w:rsidRPr="002E4D3A">
        <w:rPr>
          <w:rFonts w:ascii="Book Antiqua" w:eastAsia="宋体" w:hAnsi="Book Antiqua" w:cs="宋体"/>
          <w:sz w:val="24"/>
          <w:szCs w:val="24"/>
          <w:lang w:eastAsia="zh-CN" w:bidi="ar-SA"/>
        </w:rPr>
        <w:t xml:space="preserve"> D, </w:t>
      </w:r>
      <w:proofErr w:type="spellStart"/>
      <w:r w:rsidRPr="002E4D3A">
        <w:rPr>
          <w:rFonts w:ascii="Book Antiqua" w:eastAsia="宋体" w:hAnsi="Book Antiqua" w:cs="宋体"/>
          <w:sz w:val="24"/>
          <w:szCs w:val="24"/>
          <w:lang w:eastAsia="zh-CN" w:bidi="ar-SA"/>
        </w:rPr>
        <w:t>Faugere</w:t>
      </w:r>
      <w:proofErr w:type="spellEnd"/>
      <w:r w:rsidRPr="002E4D3A">
        <w:rPr>
          <w:rFonts w:ascii="Book Antiqua" w:eastAsia="宋体" w:hAnsi="Book Antiqua" w:cs="宋体"/>
          <w:sz w:val="24"/>
          <w:szCs w:val="24"/>
          <w:lang w:eastAsia="zh-CN" w:bidi="ar-SA"/>
        </w:rPr>
        <w:t xml:space="preserve"> MC, Burris L, </w:t>
      </w:r>
      <w:proofErr w:type="spellStart"/>
      <w:r w:rsidRPr="002E4D3A">
        <w:rPr>
          <w:rFonts w:ascii="Book Antiqua" w:eastAsia="宋体" w:hAnsi="Book Antiqua" w:cs="宋体"/>
          <w:sz w:val="24"/>
          <w:szCs w:val="24"/>
          <w:lang w:eastAsia="zh-CN" w:bidi="ar-SA"/>
        </w:rPr>
        <w:t>Bognar</w:t>
      </w:r>
      <w:proofErr w:type="spellEnd"/>
      <w:r w:rsidRPr="002E4D3A">
        <w:rPr>
          <w:rFonts w:ascii="Book Antiqua" w:eastAsia="宋体" w:hAnsi="Book Antiqua" w:cs="宋体"/>
          <w:sz w:val="24"/>
          <w:szCs w:val="24"/>
          <w:lang w:eastAsia="zh-CN" w:bidi="ar-SA"/>
        </w:rPr>
        <w:t xml:space="preserve"> I, Durkin P, </w:t>
      </w:r>
      <w:proofErr w:type="spellStart"/>
      <w:r w:rsidRPr="002E4D3A">
        <w:rPr>
          <w:rFonts w:ascii="Book Antiqua" w:eastAsia="宋体" w:hAnsi="Book Antiqua" w:cs="宋体"/>
          <w:sz w:val="24"/>
          <w:szCs w:val="24"/>
          <w:lang w:eastAsia="zh-CN" w:bidi="ar-SA"/>
        </w:rPr>
        <w:t>Tellis</w:t>
      </w:r>
      <w:proofErr w:type="spellEnd"/>
      <w:r w:rsidRPr="002E4D3A">
        <w:rPr>
          <w:rFonts w:ascii="Book Antiqua" w:eastAsia="宋体" w:hAnsi="Book Antiqua" w:cs="宋体"/>
          <w:sz w:val="24"/>
          <w:szCs w:val="24"/>
          <w:lang w:eastAsia="zh-CN" w:bidi="ar-SA"/>
        </w:rPr>
        <w:t xml:space="preserve"> V, Greenstein S, </w:t>
      </w:r>
      <w:proofErr w:type="spellStart"/>
      <w:r w:rsidRPr="002E4D3A">
        <w:rPr>
          <w:rFonts w:ascii="Book Antiqua" w:eastAsia="宋体" w:hAnsi="Book Antiqua" w:cs="宋体"/>
          <w:sz w:val="24"/>
          <w:szCs w:val="24"/>
          <w:lang w:eastAsia="zh-CN" w:bidi="ar-SA"/>
        </w:rPr>
        <w:t>Schechner</w:t>
      </w:r>
      <w:proofErr w:type="spellEnd"/>
      <w:r w:rsidRPr="002E4D3A">
        <w:rPr>
          <w:rFonts w:ascii="Book Antiqua" w:eastAsia="宋体" w:hAnsi="Book Antiqua" w:cs="宋体"/>
          <w:sz w:val="24"/>
          <w:szCs w:val="24"/>
          <w:lang w:eastAsia="zh-CN" w:bidi="ar-SA"/>
        </w:rPr>
        <w:t xml:space="preserve"> R, Figueroa K, McDonough P, Wang G, </w:t>
      </w:r>
      <w:proofErr w:type="spellStart"/>
      <w:r w:rsidRPr="002E4D3A">
        <w:rPr>
          <w:rFonts w:ascii="Book Antiqua" w:eastAsia="宋体" w:hAnsi="Book Antiqua" w:cs="宋体"/>
          <w:sz w:val="24"/>
          <w:szCs w:val="24"/>
          <w:lang w:eastAsia="zh-CN" w:bidi="ar-SA"/>
        </w:rPr>
        <w:t>Malluche</w:t>
      </w:r>
      <w:proofErr w:type="spellEnd"/>
      <w:r w:rsidRPr="002E4D3A">
        <w:rPr>
          <w:rFonts w:ascii="Book Antiqua" w:eastAsia="宋体" w:hAnsi="Book Antiqua" w:cs="宋体"/>
          <w:sz w:val="24"/>
          <w:szCs w:val="24"/>
          <w:lang w:eastAsia="zh-CN" w:bidi="ar-SA"/>
        </w:rPr>
        <w:t xml:space="preserve"> H. Prevention of bone loss in renal transplant recipients: a prospective, randomized trial of intravenous </w:t>
      </w:r>
      <w:proofErr w:type="spellStart"/>
      <w:r w:rsidRPr="002E4D3A">
        <w:rPr>
          <w:rFonts w:ascii="Book Antiqua" w:eastAsia="宋体" w:hAnsi="Book Antiqua" w:cs="宋体"/>
          <w:sz w:val="24"/>
          <w:szCs w:val="24"/>
          <w:lang w:eastAsia="zh-CN" w:bidi="ar-SA"/>
        </w:rPr>
        <w:t>pamidronate</w:t>
      </w:r>
      <w:proofErr w:type="spellEnd"/>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i/>
          <w:iCs/>
          <w:sz w:val="24"/>
          <w:szCs w:val="24"/>
          <w:lang w:eastAsia="zh-CN" w:bidi="ar-SA"/>
        </w:rPr>
        <w:t xml:space="preserve">J Am </w:t>
      </w:r>
      <w:proofErr w:type="spellStart"/>
      <w:r w:rsidRPr="002E4D3A">
        <w:rPr>
          <w:rFonts w:ascii="Book Antiqua" w:eastAsia="宋体" w:hAnsi="Book Antiqua" w:cs="宋体"/>
          <w:i/>
          <w:iCs/>
          <w:sz w:val="24"/>
          <w:szCs w:val="24"/>
          <w:lang w:eastAsia="zh-CN" w:bidi="ar-SA"/>
        </w:rPr>
        <w:t>Soc</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2003; </w:t>
      </w:r>
      <w:r w:rsidRPr="002E4D3A">
        <w:rPr>
          <w:rFonts w:ascii="Book Antiqua" w:eastAsia="宋体" w:hAnsi="Book Antiqua" w:cs="宋体"/>
          <w:b/>
          <w:bCs/>
          <w:sz w:val="24"/>
          <w:szCs w:val="24"/>
          <w:lang w:eastAsia="zh-CN" w:bidi="ar-SA"/>
        </w:rPr>
        <w:t>14</w:t>
      </w:r>
      <w:r w:rsidRPr="002E4D3A">
        <w:rPr>
          <w:rFonts w:ascii="Book Antiqua" w:eastAsia="宋体" w:hAnsi="Book Antiqua" w:cs="宋体"/>
          <w:sz w:val="24"/>
          <w:szCs w:val="24"/>
          <w:lang w:eastAsia="zh-CN" w:bidi="ar-SA"/>
        </w:rPr>
        <w:t>: 2669-2676 [PMID: 14514747]</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88 </w:t>
      </w:r>
      <w:proofErr w:type="spellStart"/>
      <w:r w:rsidRPr="002E4D3A">
        <w:rPr>
          <w:rFonts w:ascii="Book Antiqua" w:eastAsia="宋体" w:hAnsi="Book Antiqua" w:cs="宋体"/>
          <w:b/>
          <w:bCs/>
          <w:sz w:val="24"/>
          <w:szCs w:val="24"/>
          <w:lang w:eastAsia="zh-CN" w:bidi="ar-SA"/>
        </w:rPr>
        <w:t>Smerud</w:t>
      </w:r>
      <w:proofErr w:type="spellEnd"/>
      <w:r w:rsidRPr="002E4D3A">
        <w:rPr>
          <w:rFonts w:ascii="Book Antiqua" w:eastAsia="宋体" w:hAnsi="Book Antiqua" w:cs="宋体"/>
          <w:b/>
          <w:bCs/>
          <w:sz w:val="24"/>
          <w:szCs w:val="24"/>
          <w:lang w:eastAsia="zh-CN" w:bidi="ar-SA"/>
        </w:rPr>
        <w:t xml:space="preserve"> KT</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Dolgos</w:t>
      </w:r>
      <w:proofErr w:type="spellEnd"/>
      <w:r w:rsidRPr="002E4D3A">
        <w:rPr>
          <w:rFonts w:ascii="Book Antiqua" w:eastAsia="宋体" w:hAnsi="Book Antiqua" w:cs="宋体"/>
          <w:sz w:val="24"/>
          <w:szCs w:val="24"/>
          <w:lang w:eastAsia="zh-CN" w:bidi="ar-SA"/>
        </w:rPr>
        <w:t xml:space="preserve"> S, Olsen IC, </w:t>
      </w:r>
      <w:proofErr w:type="spellStart"/>
      <w:r w:rsidRPr="002E4D3A">
        <w:rPr>
          <w:rFonts w:ascii="Book Antiqua" w:eastAsia="宋体" w:hAnsi="Book Antiqua" w:cs="宋体"/>
          <w:sz w:val="24"/>
          <w:szCs w:val="24"/>
          <w:lang w:eastAsia="zh-CN" w:bidi="ar-SA"/>
        </w:rPr>
        <w:t>Åsberg</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Sagedal</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Reisæter</w:t>
      </w:r>
      <w:proofErr w:type="spellEnd"/>
      <w:r w:rsidRPr="002E4D3A">
        <w:rPr>
          <w:rFonts w:ascii="Book Antiqua" w:eastAsia="宋体" w:hAnsi="Book Antiqua" w:cs="宋体"/>
          <w:sz w:val="24"/>
          <w:szCs w:val="24"/>
          <w:lang w:eastAsia="zh-CN" w:bidi="ar-SA"/>
        </w:rPr>
        <w:t xml:space="preserve"> AV, </w:t>
      </w:r>
      <w:proofErr w:type="spellStart"/>
      <w:r w:rsidRPr="002E4D3A">
        <w:rPr>
          <w:rFonts w:ascii="Book Antiqua" w:eastAsia="宋体" w:hAnsi="Book Antiqua" w:cs="宋体"/>
          <w:sz w:val="24"/>
          <w:szCs w:val="24"/>
          <w:lang w:eastAsia="zh-CN" w:bidi="ar-SA"/>
        </w:rPr>
        <w:t>Midtvedt</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Pfeffer</w:t>
      </w:r>
      <w:proofErr w:type="spellEnd"/>
      <w:r w:rsidRPr="002E4D3A">
        <w:rPr>
          <w:rFonts w:ascii="Book Antiqua" w:eastAsia="宋体" w:hAnsi="Book Antiqua" w:cs="宋体"/>
          <w:sz w:val="24"/>
          <w:szCs w:val="24"/>
          <w:lang w:eastAsia="zh-CN" w:bidi="ar-SA"/>
        </w:rPr>
        <w:t xml:space="preserve"> P, </w:t>
      </w:r>
      <w:proofErr w:type="spellStart"/>
      <w:r w:rsidRPr="002E4D3A">
        <w:rPr>
          <w:rFonts w:ascii="Book Antiqua" w:eastAsia="宋体" w:hAnsi="Book Antiqua" w:cs="宋体"/>
          <w:sz w:val="24"/>
          <w:szCs w:val="24"/>
          <w:lang w:eastAsia="zh-CN" w:bidi="ar-SA"/>
        </w:rPr>
        <w:t>Ueland</w:t>
      </w:r>
      <w:proofErr w:type="spellEnd"/>
      <w:r w:rsidRPr="002E4D3A">
        <w:rPr>
          <w:rFonts w:ascii="Book Antiqua" w:eastAsia="宋体" w:hAnsi="Book Antiqua" w:cs="宋体"/>
          <w:sz w:val="24"/>
          <w:szCs w:val="24"/>
          <w:lang w:eastAsia="zh-CN" w:bidi="ar-SA"/>
        </w:rPr>
        <w:t xml:space="preserve"> T, </w:t>
      </w:r>
      <w:proofErr w:type="spellStart"/>
      <w:r w:rsidRPr="002E4D3A">
        <w:rPr>
          <w:rFonts w:ascii="Book Antiqua" w:eastAsia="宋体" w:hAnsi="Book Antiqua" w:cs="宋体"/>
          <w:sz w:val="24"/>
          <w:szCs w:val="24"/>
          <w:lang w:eastAsia="zh-CN" w:bidi="ar-SA"/>
        </w:rPr>
        <w:t>Godang</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Bollerslev</w:t>
      </w:r>
      <w:proofErr w:type="spellEnd"/>
      <w:r w:rsidRPr="002E4D3A">
        <w:rPr>
          <w:rFonts w:ascii="Book Antiqua" w:eastAsia="宋体" w:hAnsi="Book Antiqua" w:cs="宋体"/>
          <w:sz w:val="24"/>
          <w:szCs w:val="24"/>
          <w:lang w:eastAsia="zh-CN" w:bidi="ar-SA"/>
        </w:rPr>
        <w:t xml:space="preserve"> J, Hartmann A. A 1-year randomized, double-blind, placebo-controlled study of intravenous </w:t>
      </w:r>
      <w:proofErr w:type="spellStart"/>
      <w:r w:rsidRPr="002E4D3A">
        <w:rPr>
          <w:rFonts w:ascii="Book Antiqua" w:eastAsia="宋体" w:hAnsi="Book Antiqua" w:cs="宋体"/>
          <w:sz w:val="24"/>
          <w:szCs w:val="24"/>
          <w:lang w:eastAsia="zh-CN" w:bidi="ar-SA"/>
        </w:rPr>
        <w:t>ibandronate</w:t>
      </w:r>
      <w:proofErr w:type="spellEnd"/>
      <w:r w:rsidRPr="002E4D3A">
        <w:rPr>
          <w:rFonts w:ascii="Book Antiqua" w:eastAsia="宋体" w:hAnsi="Book Antiqua" w:cs="宋体"/>
          <w:sz w:val="24"/>
          <w:szCs w:val="24"/>
          <w:lang w:eastAsia="zh-CN" w:bidi="ar-SA"/>
        </w:rPr>
        <w:t xml:space="preserve"> on bone loss following renal transplantation. </w:t>
      </w:r>
      <w:r w:rsidRPr="002E4D3A">
        <w:rPr>
          <w:rFonts w:ascii="Book Antiqua" w:eastAsia="宋体" w:hAnsi="Book Antiqua" w:cs="宋体"/>
          <w:i/>
          <w:iCs/>
          <w:sz w:val="24"/>
          <w:szCs w:val="24"/>
          <w:lang w:eastAsia="zh-CN" w:bidi="ar-SA"/>
        </w:rPr>
        <w:t>Am J Transplant</w:t>
      </w:r>
      <w:r w:rsidRPr="002E4D3A">
        <w:rPr>
          <w:rFonts w:ascii="Book Antiqua" w:eastAsia="宋体" w:hAnsi="Book Antiqua" w:cs="宋体"/>
          <w:sz w:val="24"/>
          <w:szCs w:val="24"/>
          <w:lang w:eastAsia="zh-CN" w:bidi="ar-SA"/>
        </w:rPr>
        <w:t xml:space="preserve"> 2012; </w:t>
      </w:r>
      <w:r w:rsidRPr="002E4D3A">
        <w:rPr>
          <w:rFonts w:ascii="Book Antiqua" w:eastAsia="宋体" w:hAnsi="Book Antiqua" w:cs="宋体"/>
          <w:b/>
          <w:bCs/>
          <w:sz w:val="24"/>
          <w:szCs w:val="24"/>
          <w:lang w:eastAsia="zh-CN" w:bidi="ar-SA"/>
        </w:rPr>
        <w:t>12</w:t>
      </w:r>
      <w:r w:rsidRPr="002E4D3A">
        <w:rPr>
          <w:rFonts w:ascii="Book Antiqua" w:eastAsia="宋体" w:hAnsi="Book Antiqua" w:cs="宋体"/>
          <w:sz w:val="24"/>
          <w:szCs w:val="24"/>
          <w:lang w:eastAsia="zh-CN" w:bidi="ar-SA"/>
        </w:rPr>
        <w:t>: 3316-3325 [PMID: 22946930 DOI: 10.1111/j.1600-6143.2012.04233.x]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89 </w:t>
      </w:r>
      <w:proofErr w:type="spellStart"/>
      <w:r w:rsidRPr="002E4D3A">
        <w:rPr>
          <w:rFonts w:ascii="Book Antiqua" w:eastAsia="宋体" w:hAnsi="Book Antiqua" w:cs="宋体"/>
          <w:b/>
          <w:bCs/>
          <w:sz w:val="24"/>
          <w:szCs w:val="24"/>
          <w:lang w:eastAsia="zh-CN" w:bidi="ar-SA"/>
        </w:rPr>
        <w:t>Nowacka-Cieciura</w:t>
      </w:r>
      <w:proofErr w:type="spellEnd"/>
      <w:r w:rsidRPr="002E4D3A">
        <w:rPr>
          <w:rFonts w:ascii="Book Antiqua" w:eastAsia="宋体" w:hAnsi="Book Antiqua" w:cs="宋体"/>
          <w:b/>
          <w:bCs/>
          <w:sz w:val="24"/>
          <w:szCs w:val="24"/>
          <w:lang w:eastAsia="zh-CN" w:bidi="ar-SA"/>
        </w:rPr>
        <w:t xml:space="preserve"> E</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Cieciura</w:t>
      </w:r>
      <w:proofErr w:type="spellEnd"/>
      <w:r w:rsidRPr="002E4D3A">
        <w:rPr>
          <w:rFonts w:ascii="Book Antiqua" w:eastAsia="宋体" w:hAnsi="Book Antiqua" w:cs="宋体"/>
          <w:sz w:val="24"/>
          <w:szCs w:val="24"/>
          <w:lang w:eastAsia="zh-CN" w:bidi="ar-SA"/>
        </w:rPr>
        <w:t xml:space="preserve"> T, </w:t>
      </w:r>
      <w:proofErr w:type="spellStart"/>
      <w:r w:rsidRPr="002E4D3A">
        <w:rPr>
          <w:rFonts w:ascii="Book Antiqua" w:eastAsia="宋体" w:hAnsi="Book Antiqua" w:cs="宋体"/>
          <w:sz w:val="24"/>
          <w:szCs w:val="24"/>
          <w:lang w:eastAsia="zh-CN" w:bidi="ar-SA"/>
        </w:rPr>
        <w:t>Baczkowska</w:t>
      </w:r>
      <w:proofErr w:type="spellEnd"/>
      <w:r w:rsidRPr="002E4D3A">
        <w:rPr>
          <w:rFonts w:ascii="Book Antiqua" w:eastAsia="宋体" w:hAnsi="Book Antiqua" w:cs="宋体"/>
          <w:sz w:val="24"/>
          <w:szCs w:val="24"/>
          <w:lang w:eastAsia="zh-CN" w:bidi="ar-SA"/>
        </w:rPr>
        <w:t xml:space="preserve"> T, </w:t>
      </w:r>
      <w:proofErr w:type="spellStart"/>
      <w:r w:rsidRPr="002E4D3A">
        <w:rPr>
          <w:rFonts w:ascii="Book Antiqua" w:eastAsia="宋体" w:hAnsi="Book Antiqua" w:cs="宋体"/>
          <w:sz w:val="24"/>
          <w:szCs w:val="24"/>
          <w:lang w:eastAsia="zh-CN" w:bidi="ar-SA"/>
        </w:rPr>
        <w:t>Kozińska-Przyby</w:t>
      </w:r>
      <w:r w:rsidRPr="002E4D3A">
        <w:rPr>
          <w:rFonts w:ascii="Book Antiqua" w:eastAsia="MS Mincho" w:hAnsi="Book Antiqua" w:cs="MS Mincho"/>
          <w:sz w:val="24"/>
          <w:szCs w:val="24"/>
          <w:lang w:eastAsia="zh-CN" w:bidi="ar-SA"/>
        </w:rPr>
        <w:t>ł</w:t>
      </w:r>
      <w:proofErr w:type="spellEnd"/>
      <w:r w:rsidRPr="002E4D3A">
        <w:rPr>
          <w:rFonts w:ascii="Book Antiqua" w:eastAsia="宋体" w:hAnsi="Book Antiqua" w:cs="宋体"/>
          <w:sz w:val="24"/>
          <w:szCs w:val="24"/>
          <w:lang w:eastAsia="zh-CN" w:bidi="ar-SA"/>
        </w:rPr>
        <w:t xml:space="preserve"> O, </w:t>
      </w:r>
      <w:proofErr w:type="spellStart"/>
      <w:r w:rsidRPr="002E4D3A">
        <w:rPr>
          <w:rFonts w:ascii="Book Antiqua" w:eastAsia="宋体" w:hAnsi="Book Antiqua" w:cs="宋体"/>
          <w:sz w:val="24"/>
          <w:szCs w:val="24"/>
          <w:lang w:eastAsia="zh-CN" w:bidi="ar-SA"/>
        </w:rPr>
        <w:t>Tronina</w:t>
      </w:r>
      <w:proofErr w:type="spellEnd"/>
      <w:r w:rsidRPr="002E4D3A">
        <w:rPr>
          <w:rFonts w:ascii="Book Antiqua" w:eastAsia="宋体" w:hAnsi="Book Antiqua" w:cs="宋体"/>
          <w:sz w:val="24"/>
          <w:szCs w:val="24"/>
          <w:lang w:eastAsia="zh-CN" w:bidi="ar-SA"/>
        </w:rPr>
        <w:t xml:space="preserve"> O, </w:t>
      </w:r>
      <w:proofErr w:type="spellStart"/>
      <w:r w:rsidRPr="002E4D3A">
        <w:rPr>
          <w:rFonts w:ascii="Book Antiqua" w:eastAsia="宋体" w:hAnsi="Book Antiqua" w:cs="宋体"/>
          <w:sz w:val="24"/>
          <w:szCs w:val="24"/>
          <w:lang w:eastAsia="zh-CN" w:bidi="ar-SA"/>
        </w:rPr>
        <w:t>Chudziński</w:t>
      </w:r>
      <w:proofErr w:type="spellEnd"/>
      <w:r w:rsidRPr="002E4D3A">
        <w:rPr>
          <w:rFonts w:ascii="Book Antiqua" w:eastAsia="宋体" w:hAnsi="Book Antiqua" w:cs="宋体"/>
          <w:sz w:val="24"/>
          <w:szCs w:val="24"/>
          <w:lang w:eastAsia="zh-CN" w:bidi="ar-SA"/>
        </w:rPr>
        <w:t xml:space="preserve"> W, </w:t>
      </w:r>
      <w:proofErr w:type="spellStart"/>
      <w:r w:rsidRPr="002E4D3A">
        <w:rPr>
          <w:rFonts w:ascii="Book Antiqua" w:eastAsia="宋体" w:hAnsi="Book Antiqua" w:cs="宋体"/>
          <w:sz w:val="24"/>
          <w:szCs w:val="24"/>
          <w:lang w:eastAsia="zh-CN" w:bidi="ar-SA"/>
        </w:rPr>
        <w:t>Pacholczyk</w:t>
      </w:r>
      <w:proofErr w:type="spellEnd"/>
      <w:r w:rsidRPr="002E4D3A">
        <w:rPr>
          <w:rFonts w:ascii="Book Antiqua" w:eastAsia="宋体" w:hAnsi="Book Antiqua" w:cs="宋体"/>
          <w:sz w:val="24"/>
          <w:szCs w:val="24"/>
          <w:lang w:eastAsia="zh-CN" w:bidi="ar-SA"/>
        </w:rPr>
        <w:t xml:space="preserve"> M, </w:t>
      </w:r>
      <w:proofErr w:type="spellStart"/>
      <w:r w:rsidRPr="002E4D3A">
        <w:rPr>
          <w:rFonts w:ascii="Book Antiqua" w:eastAsia="宋体" w:hAnsi="Book Antiqua" w:cs="宋体"/>
          <w:sz w:val="24"/>
          <w:szCs w:val="24"/>
          <w:lang w:eastAsia="zh-CN" w:bidi="ar-SA"/>
        </w:rPr>
        <w:t>Durlik</w:t>
      </w:r>
      <w:proofErr w:type="spellEnd"/>
      <w:r w:rsidRPr="002E4D3A">
        <w:rPr>
          <w:rFonts w:ascii="Book Antiqua" w:eastAsia="宋体" w:hAnsi="Book Antiqua" w:cs="宋体"/>
          <w:sz w:val="24"/>
          <w:szCs w:val="24"/>
          <w:lang w:eastAsia="zh-CN" w:bidi="ar-SA"/>
        </w:rPr>
        <w:t xml:space="preserve"> M. Bisphosphonates are effective prophylactic of early bone loss after renal transplantation. </w:t>
      </w:r>
      <w:r w:rsidRPr="002E4D3A">
        <w:rPr>
          <w:rFonts w:ascii="Book Antiqua" w:eastAsia="宋体" w:hAnsi="Book Antiqua" w:cs="宋体"/>
          <w:i/>
          <w:iCs/>
          <w:sz w:val="24"/>
          <w:szCs w:val="24"/>
          <w:lang w:eastAsia="zh-CN" w:bidi="ar-SA"/>
        </w:rPr>
        <w:t xml:space="preserve">Transplant </w:t>
      </w:r>
      <w:proofErr w:type="spellStart"/>
      <w:r w:rsidRPr="002E4D3A">
        <w:rPr>
          <w:rFonts w:ascii="Book Antiqua" w:eastAsia="宋体" w:hAnsi="Book Antiqua" w:cs="宋体"/>
          <w:i/>
          <w:iCs/>
          <w:sz w:val="24"/>
          <w:szCs w:val="24"/>
          <w:lang w:eastAsia="zh-CN" w:bidi="ar-SA"/>
        </w:rPr>
        <w:t>Proc</w:t>
      </w:r>
      <w:proofErr w:type="spellEnd"/>
      <w:r w:rsidRPr="002E4D3A">
        <w:rPr>
          <w:rFonts w:ascii="Book Antiqua" w:eastAsia="宋体" w:hAnsi="Book Antiqua" w:cs="宋体"/>
          <w:sz w:val="24"/>
          <w:szCs w:val="24"/>
          <w:lang w:eastAsia="zh-CN" w:bidi="ar-SA"/>
        </w:rPr>
        <w:t xml:space="preserve"> </w:t>
      </w:r>
      <w:r w:rsidR="008B48E6">
        <w:rPr>
          <w:rFonts w:ascii="Book Antiqua" w:eastAsia="宋体" w:hAnsi="Book Antiqua" w:cs="宋体"/>
          <w:sz w:val="24"/>
          <w:szCs w:val="24"/>
          <w:lang w:eastAsia="zh-CN" w:bidi="ar-SA"/>
        </w:rPr>
        <w:t>2006</w:t>
      </w:r>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b/>
          <w:bCs/>
          <w:sz w:val="24"/>
          <w:szCs w:val="24"/>
          <w:lang w:eastAsia="zh-CN" w:bidi="ar-SA"/>
        </w:rPr>
        <w:t>38</w:t>
      </w:r>
      <w:r w:rsidRPr="002E4D3A">
        <w:rPr>
          <w:rFonts w:ascii="Book Antiqua" w:eastAsia="宋体" w:hAnsi="Book Antiqua" w:cs="宋体"/>
          <w:sz w:val="24"/>
          <w:szCs w:val="24"/>
          <w:lang w:eastAsia="zh-CN" w:bidi="ar-SA"/>
        </w:rPr>
        <w:t>: 165-167 [PMID: 16504693 DOI: 10.1016/j.transproceed.2005.12.041]</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90 </w:t>
      </w:r>
      <w:r w:rsidRPr="002E4D3A">
        <w:rPr>
          <w:rFonts w:ascii="Book Antiqua" w:eastAsia="宋体" w:hAnsi="Book Antiqua" w:cs="宋体"/>
          <w:b/>
          <w:bCs/>
          <w:sz w:val="24"/>
          <w:szCs w:val="24"/>
          <w:lang w:eastAsia="zh-CN" w:bidi="ar-SA"/>
        </w:rPr>
        <w:t>Huang WH</w:t>
      </w:r>
      <w:r w:rsidRPr="002E4D3A">
        <w:rPr>
          <w:rFonts w:ascii="Book Antiqua" w:eastAsia="宋体" w:hAnsi="Book Antiqua" w:cs="宋体"/>
          <w:sz w:val="24"/>
          <w:szCs w:val="24"/>
          <w:lang w:eastAsia="zh-CN" w:bidi="ar-SA"/>
        </w:rPr>
        <w:t xml:space="preserve">, Lee SY, </w:t>
      </w:r>
      <w:proofErr w:type="spellStart"/>
      <w:r w:rsidRPr="002E4D3A">
        <w:rPr>
          <w:rFonts w:ascii="Book Antiqua" w:eastAsia="宋体" w:hAnsi="Book Antiqua" w:cs="宋体"/>
          <w:sz w:val="24"/>
          <w:szCs w:val="24"/>
          <w:lang w:eastAsia="zh-CN" w:bidi="ar-SA"/>
        </w:rPr>
        <w:t>Weng</w:t>
      </w:r>
      <w:proofErr w:type="spellEnd"/>
      <w:r w:rsidRPr="002E4D3A">
        <w:rPr>
          <w:rFonts w:ascii="Book Antiqua" w:eastAsia="宋体" w:hAnsi="Book Antiqua" w:cs="宋体"/>
          <w:sz w:val="24"/>
          <w:szCs w:val="24"/>
          <w:lang w:eastAsia="zh-CN" w:bidi="ar-SA"/>
        </w:rPr>
        <w:t xml:space="preserve"> CH, Lai PC. Use of alendronate sodium (Fosamax) to ameliorate osteoporosis in renal transplant patients: a case-control study. </w:t>
      </w:r>
      <w:proofErr w:type="spellStart"/>
      <w:r w:rsidRPr="002E4D3A">
        <w:rPr>
          <w:rFonts w:ascii="Book Antiqua" w:eastAsia="宋体" w:hAnsi="Book Antiqua" w:cs="宋体"/>
          <w:i/>
          <w:iCs/>
          <w:sz w:val="24"/>
          <w:szCs w:val="24"/>
          <w:lang w:eastAsia="zh-CN" w:bidi="ar-SA"/>
        </w:rPr>
        <w:t>PLoS</w:t>
      </w:r>
      <w:proofErr w:type="spellEnd"/>
      <w:r w:rsidRPr="002E4D3A">
        <w:rPr>
          <w:rFonts w:ascii="Book Antiqua" w:eastAsia="宋体" w:hAnsi="Book Antiqua" w:cs="宋体"/>
          <w:i/>
          <w:iCs/>
          <w:sz w:val="24"/>
          <w:szCs w:val="24"/>
          <w:lang w:eastAsia="zh-CN" w:bidi="ar-SA"/>
        </w:rPr>
        <w:t xml:space="preserve"> One</w:t>
      </w:r>
      <w:r w:rsidRPr="002E4D3A">
        <w:rPr>
          <w:rFonts w:ascii="Book Antiqua" w:eastAsia="宋体" w:hAnsi="Book Antiqua" w:cs="宋体"/>
          <w:sz w:val="24"/>
          <w:szCs w:val="24"/>
          <w:lang w:eastAsia="zh-CN" w:bidi="ar-SA"/>
        </w:rPr>
        <w:t xml:space="preserve"> 2012; </w:t>
      </w:r>
      <w:r w:rsidRPr="002E4D3A">
        <w:rPr>
          <w:rFonts w:ascii="Book Antiqua" w:eastAsia="宋体" w:hAnsi="Book Antiqua" w:cs="宋体"/>
          <w:b/>
          <w:bCs/>
          <w:sz w:val="24"/>
          <w:szCs w:val="24"/>
          <w:lang w:eastAsia="zh-CN" w:bidi="ar-SA"/>
        </w:rPr>
        <w:t>7</w:t>
      </w:r>
      <w:r w:rsidRPr="002E4D3A">
        <w:rPr>
          <w:rFonts w:ascii="Book Antiqua" w:eastAsia="宋体" w:hAnsi="Book Antiqua" w:cs="宋体"/>
          <w:sz w:val="24"/>
          <w:szCs w:val="24"/>
          <w:lang w:eastAsia="zh-CN" w:bidi="ar-SA"/>
        </w:rPr>
        <w:t>: e48481 [PMID: 23185261 DOI: 10.1371/journal.pone.0048481]</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91 </w:t>
      </w:r>
      <w:proofErr w:type="spellStart"/>
      <w:r w:rsidRPr="002E4D3A">
        <w:rPr>
          <w:rFonts w:ascii="Book Antiqua" w:eastAsia="宋体" w:hAnsi="Book Antiqua" w:cs="宋体"/>
          <w:b/>
          <w:bCs/>
          <w:sz w:val="24"/>
          <w:szCs w:val="24"/>
          <w:lang w:eastAsia="zh-CN" w:bidi="ar-SA"/>
        </w:rPr>
        <w:t>Torregrosa</w:t>
      </w:r>
      <w:proofErr w:type="spellEnd"/>
      <w:r w:rsidRPr="002E4D3A">
        <w:rPr>
          <w:rFonts w:ascii="Book Antiqua" w:eastAsia="宋体" w:hAnsi="Book Antiqua" w:cs="宋体"/>
          <w:b/>
          <w:bCs/>
          <w:sz w:val="24"/>
          <w:szCs w:val="24"/>
          <w:lang w:eastAsia="zh-CN" w:bidi="ar-SA"/>
        </w:rPr>
        <w:t xml:space="preserve"> JV</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Fuster</w:t>
      </w:r>
      <w:proofErr w:type="spellEnd"/>
      <w:r w:rsidRPr="002E4D3A">
        <w:rPr>
          <w:rFonts w:ascii="Book Antiqua" w:eastAsia="宋体" w:hAnsi="Book Antiqua" w:cs="宋体"/>
          <w:sz w:val="24"/>
          <w:szCs w:val="24"/>
          <w:lang w:eastAsia="zh-CN" w:bidi="ar-SA"/>
        </w:rPr>
        <w:t xml:space="preserve"> D, </w:t>
      </w:r>
      <w:proofErr w:type="spellStart"/>
      <w:r w:rsidRPr="002E4D3A">
        <w:rPr>
          <w:rFonts w:ascii="Book Antiqua" w:eastAsia="宋体" w:hAnsi="Book Antiqua" w:cs="宋体"/>
          <w:sz w:val="24"/>
          <w:szCs w:val="24"/>
          <w:lang w:eastAsia="zh-CN" w:bidi="ar-SA"/>
        </w:rPr>
        <w:t>Gentil</w:t>
      </w:r>
      <w:proofErr w:type="spellEnd"/>
      <w:r w:rsidRPr="002E4D3A">
        <w:rPr>
          <w:rFonts w:ascii="Book Antiqua" w:eastAsia="宋体" w:hAnsi="Book Antiqua" w:cs="宋体"/>
          <w:sz w:val="24"/>
          <w:szCs w:val="24"/>
          <w:lang w:eastAsia="zh-CN" w:bidi="ar-SA"/>
        </w:rPr>
        <w:t xml:space="preserve"> MA, </w:t>
      </w:r>
      <w:proofErr w:type="spellStart"/>
      <w:r w:rsidRPr="002E4D3A">
        <w:rPr>
          <w:rFonts w:ascii="Book Antiqua" w:eastAsia="宋体" w:hAnsi="Book Antiqua" w:cs="宋体"/>
          <w:sz w:val="24"/>
          <w:szCs w:val="24"/>
          <w:lang w:eastAsia="zh-CN" w:bidi="ar-SA"/>
        </w:rPr>
        <w:t>Marcen</w:t>
      </w:r>
      <w:proofErr w:type="spellEnd"/>
      <w:r w:rsidRPr="002E4D3A">
        <w:rPr>
          <w:rFonts w:ascii="Book Antiqua" w:eastAsia="宋体" w:hAnsi="Book Antiqua" w:cs="宋体"/>
          <w:sz w:val="24"/>
          <w:szCs w:val="24"/>
          <w:lang w:eastAsia="zh-CN" w:bidi="ar-SA"/>
        </w:rPr>
        <w:t xml:space="preserve"> R, </w:t>
      </w:r>
      <w:proofErr w:type="spellStart"/>
      <w:r w:rsidRPr="002E4D3A">
        <w:rPr>
          <w:rFonts w:ascii="Book Antiqua" w:eastAsia="宋体" w:hAnsi="Book Antiqua" w:cs="宋体"/>
          <w:sz w:val="24"/>
          <w:szCs w:val="24"/>
          <w:lang w:eastAsia="zh-CN" w:bidi="ar-SA"/>
        </w:rPr>
        <w:t>Guirado</w:t>
      </w:r>
      <w:proofErr w:type="spellEnd"/>
      <w:r w:rsidRPr="002E4D3A">
        <w:rPr>
          <w:rFonts w:ascii="Book Antiqua" w:eastAsia="宋体" w:hAnsi="Book Antiqua" w:cs="宋体"/>
          <w:sz w:val="24"/>
          <w:szCs w:val="24"/>
          <w:lang w:eastAsia="zh-CN" w:bidi="ar-SA"/>
        </w:rPr>
        <w:t xml:space="preserve"> L, </w:t>
      </w:r>
      <w:proofErr w:type="spellStart"/>
      <w:r w:rsidRPr="002E4D3A">
        <w:rPr>
          <w:rFonts w:ascii="Book Antiqua" w:eastAsia="宋体" w:hAnsi="Book Antiqua" w:cs="宋体"/>
          <w:sz w:val="24"/>
          <w:szCs w:val="24"/>
          <w:lang w:eastAsia="zh-CN" w:bidi="ar-SA"/>
        </w:rPr>
        <w:t>Zarraga</w:t>
      </w:r>
      <w:proofErr w:type="spellEnd"/>
      <w:r w:rsidRPr="002E4D3A">
        <w:rPr>
          <w:rFonts w:ascii="Book Antiqua" w:eastAsia="宋体" w:hAnsi="Book Antiqua" w:cs="宋体"/>
          <w:sz w:val="24"/>
          <w:szCs w:val="24"/>
          <w:lang w:eastAsia="zh-CN" w:bidi="ar-SA"/>
        </w:rPr>
        <w:t xml:space="preserve"> S, Bravo J, Burgos D, </w:t>
      </w:r>
      <w:proofErr w:type="spellStart"/>
      <w:r w:rsidRPr="002E4D3A">
        <w:rPr>
          <w:rFonts w:ascii="Book Antiqua" w:eastAsia="宋体" w:hAnsi="Book Antiqua" w:cs="宋体"/>
          <w:sz w:val="24"/>
          <w:szCs w:val="24"/>
          <w:lang w:eastAsia="zh-CN" w:bidi="ar-SA"/>
        </w:rPr>
        <w:t>Monegal</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Muxí</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García</w:t>
      </w:r>
      <w:proofErr w:type="spellEnd"/>
      <w:r w:rsidRPr="002E4D3A">
        <w:rPr>
          <w:rFonts w:ascii="Book Antiqua" w:eastAsia="宋体" w:hAnsi="Book Antiqua" w:cs="宋体"/>
          <w:sz w:val="24"/>
          <w:szCs w:val="24"/>
          <w:lang w:eastAsia="zh-CN" w:bidi="ar-SA"/>
        </w:rPr>
        <w:t xml:space="preserve"> S. Open-label trial: effect of weekly </w:t>
      </w:r>
      <w:proofErr w:type="spellStart"/>
      <w:r w:rsidRPr="002E4D3A">
        <w:rPr>
          <w:rFonts w:ascii="Book Antiqua" w:eastAsia="宋体" w:hAnsi="Book Antiqua" w:cs="宋体"/>
          <w:sz w:val="24"/>
          <w:szCs w:val="24"/>
          <w:lang w:eastAsia="zh-CN" w:bidi="ar-SA"/>
        </w:rPr>
        <w:t>risedronate</w:t>
      </w:r>
      <w:proofErr w:type="spellEnd"/>
      <w:r w:rsidRPr="002E4D3A">
        <w:rPr>
          <w:rFonts w:ascii="Book Antiqua" w:eastAsia="宋体" w:hAnsi="Book Antiqua" w:cs="宋体"/>
          <w:sz w:val="24"/>
          <w:szCs w:val="24"/>
          <w:lang w:eastAsia="zh-CN" w:bidi="ar-SA"/>
        </w:rPr>
        <w:t xml:space="preserve"> immediately after transplantation in kidney recipients. </w:t>
      </w:r>
      <w:r w:rsidRPr="002E4D3A">
        <w:rPr>
          <w:rFonts w:ascii="Book Antiqua" w:eastAsia="宋体" w:hAnsi="Book Antiqua" w:cs="宋体"/>
          <w:i/>
          <w:iCs/>
          <w:sz w:val="24"/>
          <w:szCs w:val="24"/>
          <w:lang w:eastAsia="zh-CN" w:bidi="ar-SA"/>
        </w:rPr>
        <w:t>Transplantation</w:t>
      </w:r>
      <w:r w:rsidRPr="002E4D3A">
        <w:rPr>
          <w:rFonts w:ascii="Book Antiqua" w:eastAsia="宋体" w:hAnsi="Book Antiqua" w:cs="宋体"/>
          <w:sz w:val="24"/>
          <w:szCs w:val="24"/>
          <w:lang w:eastAsia="zh-CN" w:bidi="ar-SA"/>
        </w:rPr>
        <w:t xml:space="preserve"> 2010; </w:t>
      </w:r>
      <w:r w:rsidRPr="002E4D3A">
        <w:rPr>
          <w:rFonts w:ascii="Book Antiqua" w:eastAsia="宋体" w:hAnsi="Book Antiqua" w:cs="宋体"/>
          <w:b/>
          <w:bCs/>
          <w:sz w:val="24"/>
          <w:szCs w:val="24"/>
          <w:lang w:eastAsia="zh-CN" w:bidi="ar-SA"/>
        </w:rPr>
        <w:t>89</w:t>
      </w:r>
      <w:r w:rsidRPr="002E4D3A">
        <w:rPr>
          <w:rFonts w:ascii="Book Antiqua" w:eastAsia="宋体" w:hAnsi="Book Antiqua" w:cs="宋体"/>
          <w:sz w:val="24"/>
          <w:szCs w:val="24"/>
          <w:lang w:eastAsia="zh-CN" w:bidi="ar-SA"/>
        </w:rPr>
        <w:t>: 1476-1481 [PMID: 20393402 DOI: 10.1097/TP.0b013e3181dc13d0]</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proofErr w:type="gramStart"/>
      <w:r w:rsidRPr="002E4D3A">
        <w:rPr>
          <w:rFonts w:ascii="Book Antiqua" w:eastAsia="宋体" w:hAnsi="Book Antiqua" w:cs="宋体"/>
          <w:sz w:val="24"/>
          <w:szCs w:val="24"/>
          <w:lang w:eastAsia="zh-CN" w:bidi="ar-SA"/>
        </w:rPr>
        <w:t xml:space="preserve">92 </w:t>
      </w:r>
      <w:proofErr w:type="spellStart"/>
      <w:r w:rsidRPr="002E4D3A">
        <w:rPr>
          <w:rFonts w:ascii="Book Antiqua" w:eastAsia="宋体" w:hAnsi="Book Antiqua" w:cs="宋体"/>
          <w:b/>
          <w:bCs/>
          <w:sz w:val="24"/>
          <w:szCs w:val="24"/>
          <w:lang w:eastAsia="zh-CN" w:bidi="ar-SA"/>
        </w:rPr>
        <w:t>Mainra</w:t>
      </w:r>
      <w:proofErr w:type="spellEnd"/>
      <w:r w:rsidRPr="002E4D3A">
        <w:rPr>
          <w:rFonts w:ascii="Book Antiqua" w:eastAsia="宋体" w:hAnsi="Book Antiqua" w:cs="宋体"/>
          <w:b/>
          <w:bCs/>
          <w:sz w:val="24"/>
          <w:szCs w:val="24"/>
          <w:lang w:eastAsia="zh-CN" w:bidi="ar-SA"/>
        </w:rPr>
        <w:t xml:space="preserve"> R</w:t>
      </w:r>
      <w:r w:rsidRPr="002E4D3A">
        <w:rPr>
          <w:rFonts w:ascii="Book Antiqua" w:eastAsia="宋体" w:hAnsi="Book Antiqua" w:cs="宋体"/>
          <w:sz w:val="24"/>
          <w:szCs w:val="24"/>
          <w:lang w:eastAsia="zh-CN" w:bidi="ar-SA"/>
        </w:rPr>
        <w:t>, Elder GJ.</w:t>
      </w:r>
      <w:proofErr w:type="gramEnd"/>
      <w:r w:rsidRPr="002E4D3A">
        <w:rPr>
          <w:rFonts w:ascii="Book Antiqua" w:eastAsia="宋体" w:hAnsi="Book Antiqua" w:cs="宋体"/>
          <w:sz w:val="24"/>
          <w:szCs w:val="24"/>
          <w:lang w:eastAsia="zh-CN" w:bidi="ar-SA"/>
        </w:rPr>
        <w:t xml:space="preserve"> Individualized therapy to prevent bone mineral density loss after kidney and kidney-pancreas transplantation.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J Am </w:t>
      </w:r>
      <w:proofErr w:type="spellStart"/>
      <w:r w:rsidRPr="002E4D3A">
        <w:rPr>
          <w:rFonts w:ascii="Book Antiqua" w:eastAsia="宋体" w:hAnsi="Book Antiqua" w:cs="宋体"/>
          <w:i/>
          <w:iCs/>
          <w:sz w:val="24"/>
          <w:szCs w:val="24"/>
          <w:lang w:eastAsia="zh-CN" w:bidi="ar-SA"/>
        </w:rPr>
        <w:t>Soc</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2010; </w:t>
      </w:r>
      <w:r w:rsidRPr="002E4D3A">
        <w:rPr>
          <w:rFonts w:ascii="Book Antiqua" w:eastAsia="宋体" w:hAnsi="Book Antiqua" w:cs="宋体"/>
          <w:b/>
          <w:bCs/>
          <w:sz w:val="24"/>
          <w:szCs w:val="24"/>
          <w:lang w:eastAsia="zh-CN" w:bidi="ar-SA"/>
        </w:rPr>
        <w:t>5</w:t>
      </w:r>
      <w:r w:rsidRPr="002E4D3A">
        <w:rPr>
          <w:rFonts w:ascii="Book Antiqua" w:eastAsia="宋体" w:hAnsi="Book Antiqua" w:cs="宋体"/>
          <w:sz w:val="24"/>
          <w:szCs w:val="24"/>
          <w:lang w:eastAsia="zh-CN" w:bidi="ar-SA"/>
        </w:rPr>
        <w:t>: 117-124 [PMID: 19965527 DOI: 10.2215/CJN.03770609]</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93 </w:t>
      </w:r>
      <w:r w:rsidRPr="002E4D3A">
        <w:rPr>
          <w:rFonts w:ascii="Book Antiqua" w:eastAsia="宋体" w:hAnsi="Book Antiqua" w:cs="宋体"/>
          <w:b/>
          <w:bCs/>
          <w:sz w:val="24"/>
          <w:szCs w:val="24"/>
          <w:lang w:eastAsia="zh-CN" w:bidi="ar-SA"/>
        </w:rPr>
        <w:t>Coco M</w:t>
      </w:r>
      <w:r w:rsidRPr="002E4D3A">
        <w:rPr>
          <w:rFonts w:ascii="Book Antiqua" w:eastAsia="宋体" w:hAnsi="Book Antiqua" w:cs="宋体"/>
          <w:sz w:val="24"/>
          <w:szCs w:val="24"/>
          <w:lang w:eastAsia="zh-CN" w:bidi="ar-SA"/>
        </w:rPr>
        <w:t xml:space="preserve">, Pullman J, Cohen HW, Lee S, Shapiro C, </w:t>
      </w:r>
      <w:proofErr w:type="spellStart"/>
      <w:r w:rsidRPr="002E4D3A">
        <w:rPr>
          <w:rFonts w:ascii="Book Antiqua" w:eastAsia="宋体" w:hAnsi="Book Antiqua" w:cs="宋体"/>
          <w:sz w:val="24"/>
          <w:szCs w:val="24"/>
          <w:lang w:eastAsia="zh-CN" w:bidi="ar-SA"/>
        </w:rPr>
        <w:t>Solorzano</w:t>
      </w:r>
      <w:proofErr w:type="spellEnd"/>
      <w:r w:rsidRPr="002E4D3A">
        <w:rPr>
          <w:rFonts w:ascii="Book Antiqua" w:eastAsia="宋体" w:hAnsi="Book Antiqua" w:cs="宋体"/>
          <w:sz w:val="24"/>
          <w:szCs w:val="24"/>
          <w:lang w:eastAsia="zh-CN" w:bidi="ar-SA"/>
        </w:rPr>
        <w:t xml:space="preserve"> C, Greenstein S, </w:t>
      </w:r>
      <w:proofErr w:type="spellStart"/>
      <w:r w:rsidRPr="002E4D3A">
        <w:rPr>
          <w:rFonts w:ascii="Book Antiqua" w:eastAsia="宋体" w:hAnsi="Book Antiqua" w:cs="宋体"/>
          <w:sz w:val="24"/>
          <w:szCs w:val="24"/>
          <w:lang w:eastAsia="zh-CN" w:bidi="ar-SA"/>
        </w:rPr>
        <w:t>Glicklich</w:t>
      </w:r>
      <w:proofErr w:type="spellEnd"/>
      <w:r w:rsidRPr="002E4D3A">
        <w:rPr>
          <w:rFonts w:ascii="Book Antiqua" w:eastAsia="宋体" w:hAnsi="Book Antiqua" w:cs="宋体"/>
          <w:sz w:val="24"/>
          <w:szCs w:val="24"/>
          <w:lang w:eastAsia="zh-CN" w:bidi="ar-SA"/>
        </w:rPr>
        <w:t xml:space="preserve"> D. Effect of </w:t>
      </w:r>
      <w:proofErr w:type="spellStart"/>
      <w:r w:rsidRPr="002E4D3A">
        <w:rPr>
          <w:rFonts w:ascii="Book Antiqua" w:eastAsia="宋体" w:hAnsi="Book Antiqua" w:cs="宋体"/>
          <w:sz w:val="24"/>
          <w:szCs w:val="24"/>
          <w:lang w:eastAsia="zh-CN" w:bidi="ar-SA"/>
        </w:rPr>
        <w:t>risedronate</w:t>
      </w:r>
      <w:proofErr w:type="spellEnd"/>
      <w:r w:rsidRPr="002E4D3A">
        <w:rPr>
          <w:rFonts w:ascii="Book Antiqua" w:eastAsia="宋体" w:hAnsi="Book Antiqua" w:cs="宋体"/>
          <w:sz w:val="24"/>
          <w:szCs w:val="24"/>
          <w:lang w:eastAsia="zh-CN" w:bidi="ar-SA"/>
        </w:rPr>
        <w:t xml:space="preserve"> on bone in renal transplant recipients. </w:t>
      </w:r>
      <w:r w:rsidRPr="002E4D3A">
        <w:rPr>
          <w:rFonts w:ascii="Book Antiqua" w:eastAsia="宋体" w:hAnsi="Book Antiqua" w:cs="宋体"/>
          <w:i/>
          <w:iCs/>
          <w:sz w:val="24"/>
          <w:szCs w:val="24"/>
          <w:lang w:eastAsia="zh-CN" w:bidi="ar-SA"/>
        </w:rPr>
        <w:t xml:space="preserve">J Am </w:t>
      </w:r>
      <w:proofErr w:type="spellStart"/>
      <w:r w:rsidRPr="002E4D3A">
        <w:rPr>
          <w:rFonts w:ascii="Book Antiqua" w:eastAsia="宋体" w:hAnsi="Book Antiqua" w:cs="宋体"/>
          <w:i/>
          <w:iCs/>
          <w:sz w:val="24"/>
          <w:szCs w:val="24"/>
          <w:lang w:eastAsia="zh-CN" w:bidi="ar-SA"/>
        </w:rPr>
        <w:t>Soc</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2012; </w:t>
      </w:r>
      <w:r w:rsidRPr="002E4D3A">
        <w:rPr>
          <w:rFonts w:ascii="Book Antiqua" w:eastAsia="宋体" w:hAnsi="Book Antiqua" w:cs="宋体"/>
          <w:b/>
          <w:bCs/>
          <w:sz w:val="24"/>
          <w:szCs w:val="24"/>
          <w:lang w:eastAsia="zh-CN" w:bidi="ar-SA"/>
        </w:rPr>
        <w:t>23</w:t>
      </w:r>
      <w:r w:rsidRPr="002E4D3A">
        <w:rPr>
          <w:rFonts w:ascii="Book Antiqua" w:eastAsia="宋体" w:hAnsi="Book Antiqua" w:cs="宋体"/>
          <w:sz w:val="24"/>
          <w:szCs w:val="24"/>
          <w:lang w:eastAsia="zh-CN" w:bidi="ar-SA"/>
        </w:rPr>
        <w:t>: 1426-1437 [PMID: 22797188 DOI: 10.1681/ASN.2011060623]</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94 </w:t>
      </w:r>
      <w:r w:rsidRPr="002E4D3A">
        <w:rPr>
          <w:rFonts w:ascii="Book Antiqua" w:eastAsia="宋体" w:hAnsi="Book Antiqua" w:cs="宋体"/>
          <w:b/>
          <w:bCs/>
          <w:sz w:val="24"/>
          <w:szCs w:val="24"/>
          <w:lang w:eastAsia="zh-CN" w:bidi="ar-SA"/>
        </w:rPr>
        <w:t>Palmer SC</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Strippoli</w:t>
      </w:r>
      <w:proofErr w:type="spellEnd"/>
      <w:r w:rsidRPr="002E4D3A">
        <w:rPr>
          <w:rFonts w:ascii="Book Antiqua" w:eastAsia="宋体" w:hAnsi="Book Antiqua" w:cs="宋体"/>
          <w:sz w:val="24"/>
          <w:szCs w:val="24"/>
          <w:lang w:eastAsia="zh-CN" w:bidi="ar-SA"/>
        </w:rPr>
        <w:t xml:space="preserve"> GF, McGregor DO. Interventions for preventing bone disease in kidney transplant recipients: a systematic review of randomized controlled trials. </w:t>
      </w:r>
      <w:r w:rsidRPr="002E4D3A">
        <w:rPr>
          <w:rFonts w:ascii="Book Antiqua" w:eastAsia="宋体" w:hAnsi="Book Antiqua" w:cs="宋体"/>
          <w:i/>
          <w:iCs/>
          <w:sz w:val="24"/>
          <w:szCs w:val="24"/>
          <w:lang w:eastAsia="zh-CN" w:bidi="ar-SA"/>
        </w:rPr>
        <w:t>Am J Kidney Dis</w:t>
      </w:r>
      <w:r w:rsidRPr="002E4D3A">
        <w:rPr>
          <w:rFonts w:ascii="Book Antiqua" w:eastAsia="宋体" w:hAnsi="Book Antiqua" w:cs="宋体"/>
          <w:sz w:val="24"/>
          <w:szCs w:val="24"/>
          <w:lang w:eastAsia="zh-CN" w:bidi="ar-SA"/>
        </w:rPr>
        <w:t xml:space="preserve"> 2005; </w:t>
      </w:r>
      <w:r w:rsidRPr="002E4D3A">
        <w:rPr>
          <w:rFonts w:ascii="Book Antiqua" w:eastAsia="宋体" w:hAnsi="Book Antiqua" w:cs="宋体"/>
          <w:b/>
          <w:bCs/>
          <w:sz w:val="24"/>
          <w:szCs w:val="24"/>
          <w:lang w:eastAsia="zh-CN" w:bidi="ar-SA"/>
        </w:rPr>
        <w:t>45</w:t>
      </w:r>
      <w:r w:rsidRPr="002E4D3A">
        <w:rPr>
          <w:rFonts w:ascii="Book Antiqua" w:eastAsia="宋体" w:hAnsi="Book Antiqua" w:cs="宋体"/>
          <w:sz w:val="24"/>
          <w:szCs w:val="24"/>
          <w:lang w:eastAsia="zh-CN" w:bidi="ar-SA"/>
        </w:rPr>
        <w:t>: 638-649 [PMID: 15806466]</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lastRenderedPageBreak/>
        <w:t xml:space="preserve">95 </w:t>
      </w:r>
      <w:proofErr w:type="spellStart"/>
      <w:r w:rsidRPr="002E4D3A">
        <w:rPr>
          <w:rFonts w:ascii="Book Antiqua" w:eastAsia="宋体" w:hAnsi="Book Antiqua" w:cs="宋体"/>
          <w:b/>
          <w:bCs/>
          <w:sz w:val="24"/>
          <w:szCs w:val="24"/>
          <w:lang w:eastAsia="zh-CN" w:bidi="ar-SA"/>
        </w:rPr>
        <w:t>Jeon</w:t>
      </w:r>
      <w:proofErr w:type="spellEnd"/>
      <w:r w:rsidRPr="002E4D3A">
        <w:rPr>
          <w:rFonts w:ascii="Book Antiqua" w:eastAsia="宋体" w:hAnsi="Book Antiqua" w:cs="宋体"/>
          <w:b/>
          <w:bCs/>
          <w:sz w:val="24"/>
          <w:szCs w:val="24"/>
          <w:lang w:eastAsia="zh-CN" w:bidi="ar-SA"/>
        </w:rPr>
        <w:t xml:space="preserve"> HJ</w:t>
      </w:r>
      <w:r w:rsidRPr="002E4D3A">
        <w:rPr>
          <w:rFonts w:ascii="Book Antiqua" w:eastAsia="宋体" w:hAnsi="Book Antiqua" w:cs="宋体"/>
          <w:sz w:val="24"/>
          <w:szCs w:val="24"/>
          <w:lang w:eastAsia="zh-CN" w:bidi="ar-SA"/>
        </w:rPr>
        <w:t xml:space="preserve">, Han M, </w:t>
      </w:r>
      <w:proofErr w:type="spellStart"/>
      <w:r w:rsidRPr="002E4D3A">
        <w:rPr>
          <w:rFonts w:ascii="Book Antiqua" w:eastAsia="宋体" w:hAnsi="Book Antiqua" w:cs="宋体"/>
          <w:sz w:val="24"/>
          <w:szCs w:val="24"/>
          <w:lang w:eastAsia="zh-CN" w:bidi="ar-SA"/>
        </w:rPr>
        <w:t>Jeong</w:t>
      </w:r>
      <w:proofErr w:type="spellEnd"/>
      <w:r w:rsidRPr="002E4D3A">
        <w:rPr>
          <w:rFonts w:ascii="Book Antiqua" w:eastAsia="宋体" w:hAnsi="Book Antiqua" w:cs="宋体"/>
          <w:sz w:val="24"/>
          <w:szCs w:val="24"/>
          <w:lang w:eastAsia="zh-CN" w:bidi="ar-SA"/>
        </w:rPr>
        <w:t xml:space="preserve"> JC, Kim YJ, Kwon HY, Koo TY, </w:t>
      </w:r>
      <w:proofErr w:type="spellStart"/>
      <w:r w:rsidRPr="002E4D3A">
        <w:rPr>
          <w:rFonts w:ascii="Book Antiqua" w:eastAsia="宋体" w:hAnsi="Book Antiqua" w:cs="宋体"/>
          <w:sz w:val="24"/>
          <w:szCs w:val="24"/>
          <w:lang w:eastAsia="zh-CN" w:bidi="ar-SA"/>
        </w:rPr>
        <w:t>Ahn</w:t>
      </w:r>
      <w:proofErr w:type="spellEnd"/>
      <w:r w:rsidRPr="002E4D3A">
        <w:rPr>
          <w:rFonts w:ascii="Book Antiqua" w:eastAsia="宋体" w:hAnsi="Book Antiqua" w:cs="宋体"/>
          <w:sz w:val="24"/>
          <w:szCs w:val="24"/>
          <w:lang w:eastAsia="zh-CN" w:bidi="ar-SA"/>
        </w:rPr>
        <w:t xml:space="preserve"> C, Yang J. Impact of vitamin D, bisphosphonate, and combination therapy on bone mineral density in kidney transplant patients. </w:t>
      </w:r>
      <w:r w:rsidRPr="002E4D3A">
        <w:rPr>
          <w:rFonts w:ascii="Book Antiqua" w:eastAsia="宋体" w:hAnsi="Book Antiqua" w:cs="宋体"/>
          <w:i/>
          <w:iCs/>
          <w:sz w:val="24"/>
          <w:szCs w:val="24"/>
          <w:lang w:eastAsia="zh-CN" w:bidi="ar-SA"/>
        </w:rPr>
        <w:t xml:space="preserve">Transplant </w:t>
      </w:r>
      <w:proofErr w:type="spellStart"/>
      <w:r w:rsidRPr="002E4D3A">
        <w:rPr>
          <w:rFonts w:ascii="Book Antiqua" w:eastAsia="宋体" w:hAnsi="Book Antiqua" w:cs="宋体"/>
          <w:i/>
          <w:iCs/>
          <w:sz w:val="24"/>
          <w:szCs w:val="24"/>
          <w:lang w:eastAsia="zh-CN" w:bidi="ar-SA"/>
        </w:rPr>
        <w:t>Proc</w:t>
      </w:r>
      <w:proofErr w:type="spellEnd"/>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45</w:t>
      </w:r>
      <w:r w:rsidRPr="002E4D3A">
        <w:rPr>
          <w:rFonts w:ascii="Book Antiqua" w:eastAsia="宋体" w:hAnsi="Book Antiqua" w:cs="宋体"/>
          <w:sz w:val="24"/>
          <w:szCs w:val="24"/>
          <w:lang w:eastAsia="zh-CN" w:bidi="ar-SA"/>
        </w:rPr>
        <w:t>: 2963-2967 [PMID: 24157013 DOI: 10.1016/j.transproceed.2013.08.066]</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96 </w:t>
      </w:r>
      <w:proofErr w:type="spellStart"/>
      <w:r w:rsidRPr="002E4D3A">
        <w:rPr>
          <w:rFonts w:ascii="Book Antiqua" w:eastAsia="宋体" w:hAnsi="Book Antiqua" w:cs="宋体"/>
          <w:b/>
          <w:bCs/>
          <w:sz w:val="24"/>
          <w:szCs w:val="24"/>
          <w:lang w:eastAsia="zh-CN" w:bidi="ar-SA"/>
        </w:rPr>
        <w:t>Torregrosa</w:t>
      </w:r>
      <w:proofErr w:type="spellEnd"/>
      <w:r w:rsidRPr="002E4D3A">
        <w:rPr>
          <w:rFonts w:ascii="Book Antiqua" w:eastAsia="宋体" w:hAnsi="Book Antiqua" w:cs="宋体"/>
          <w:b/>
          <w:bCs/>
          <w:sz w:val="24"/>
          <w:szCs w:val="24"/>
          <w:lang w:eastAsia="zh-CN" w:bidi="ar-SA"/>
        </w:rPr>
        <w:t xml:space="preserve"> JV</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Fuster</w:t>
      </w:r>
      <w:proofErr w:type="spellEnd"/>
      <w:r w:rsidRPr="002E4D3A">
        <w:rPr>
          <w:rFonts w:ascii="Book Antiqua" w:eastAsia="宋体" w:hAnsi="Book Antiqua" w:cs="宋体"/>
          <w:sz w:val="24"/>
          <w:szCs w:val="24"/>
          <w:lang w:eastAsia="zh-CN" w:bidi="ar-SA"/>
        </w:rPr>
        <w:t xml:space="preserve"> D, </w:t>
      </w:r>
      <w:proofErr w:type="spellStart"/>
      <w:r w:rsidRPr="002E4D3A">
        <w:rPr>
          <w:rFonts w:ascii="Book Antiqua" w:eastAsia="宋体" w:hAnsi="Book Antiqua" w:cs="宋体"/>
          <w:sz w:val="24"/>
          <w:szCs w:val="24"/>
          <w:lang w:eastAsia="zh-CN" w:bidi="ar-SA"/>
        </w:rPr>
        <w:t>Pedroso</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Diekmann</w:t>
      </w:r>
      <w:proofErr w:type="spellEnd"/>
      <w:r w:rsidRPr="002E4D3A">
        <w:rPr>
          <w:rFonts w:ascii="Book Antiqua" w:eastAsia="宋体" w:hAnsi="Book Antiqua" w:cs="宋体"/>
          <w:sz w:val="24"/>
          <w:szCs w:val="24"/>
          <w:lang w:eastAsia="zh-CN" w:bidi="ar-SA"/>
        </w:rPr>
        <w:t xml:space="preserve"> F, </w:t>
      </w:r>
      <w:proofErr w:type="spellStart"/>
      <w:r w:rsidRPr="002E4D3A">
        <w:rPr>
          <w:rFonts w:ascii="Book Antiqua" w:eastAsia="宋体" w:hAnsi="Book Antiqua" w:cs="宋体"/>
          <w:sz w:val="24"/>
          <w:szCs w:val="24"/>
          <w:lang w:eastAsia="zh-CN" w:bidi="ar-SA"/>
        </w:rPr>
        <w:t>Campistol</w:t>
      </w:r>
      <w:proofErr w:type="spellEnd"/>
      <w:r w:rsidRPr="002E4D3A">
        <w:rPr>
          <w:rFonts w:ascii="Book Antiqua" w:eastAsia="宋体" w:hAnsi="Book Antiqua" w:cs="宋体"/>
          <w:sz w:val="24"/>
          <w:szCs w:val="24"/>
          <w:lang w:eastAsia="zh-CN" w:bidi="ar-SA"/>
        </w:rPr>
        <w:t xml:space="preserve"> JM, </w:t>
      </w:r>
      <w:proofErr w:type="spellStart"/>
      <w:r w:rsidRPr="002E4D3A">
        <w:rPr>
          <w:rFonts w:ascii="Book Antiqua" w:eastAsia="宋体" w:hAnsi="Book Antiqua" w:cs="宋体"/>
          <w:sz w:val="24"/>
          <w:szCs w:val="24"/>
          <w:lang w:eastAsia="zh-CN" w:bidi="ar-SA"/>
        </w:rPr>
        <w:t>Rubí</w:t>
      </w:r>
      <w:proofErr w:type="spellEnd"/>
      <w:r w:rsidRPr="002E4D3A">
        <w:rPr>
          <w:rFonts w:ascii="Book Antiqua" w:eastAsia="宋体" w:hAnsi="Book Antiqua" w:cs="宋体"/>
          <w:sz w:val="24"/>
          <w:szCs w:val="24"/>
          <w:lang w:eastAsia="zh-CN" w:bidi="ar-SA"/>
        </w:rPr>
        <w:t xml:space="preserve"> S, Oppenheimer F. Weekly </w:t>
      </w:r>
      <w:proofErr w:type="spellStart"/>
      <w:r w:rsidRPr="002E4D3A">
        <w:rPr>
          <w:rFonts w:ascii="Book Antiqua" w:eastAsia="宋体" w:hAnsi="Book Antiqua" w:cs="宋体"/>
          <w:sz w:val="24"/>
          <w:szCs w:val="24"/>
          <w:lang w:eastAsia="zh-CN" w:bidi="ar-SA"/>
        </w:rPr>
        <w:t>risedronate</w:t>
      </w:r>
      <w:proofErr w:type="spellEnd"/>
      <w:r w:rsidRPr="002E4D3A">
        <w:rPr>
          <w:rFonts w:ascii="Book Antiqua" w:eastAsia="宋体" w:hAnsi="Book Antiqua" w:cs="宋体"/>
          <w:sz w:val="24"/>
          <w:szCs w:val="24"/>
          <w:lang w:eastAsia="zh-CN" w:bidi="ar-SA"/>
        </w:rPr>
        <w:t xml:space="preserve"> in kidney transplant patients with osteopenia. </w:t>
      </w:r>
      <w:proofErr w:type="spellStart"/>
      <w:r w:rsidRPr="002E4D3A">
        <w:rPr>
          <w:rFonts w:ascii="Book Antiqua" w:eastAsia="宋体" w:hAnsi="Book Antiqua" w:cs="宋体"/>
          <w:i/>
          <w:iCs/>
          <w:sz w:val="24"/>
          <w:szCs w:val="24"/>
          <w:lang w:eastAsia="zh-CN" w:bidi="ar-SA"/>
        </w:rPr>
        <w:t>Transpl</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Int</w:t>
      </w:r>
      <w:proofErr w:type="spellEnd"/>
      <w:r w:rsidRPr="002E4D3A">
        <w:rPr>
          <w:rFonts w:ascii="Book Antiqua" w:eastAsia="宋体" w:hAnsi="Book Antiqua" w:cs="宋体"/>
          <w:sz w:val="24"/>
          <w:szCs w:val="24"/>
          <w:lang w:eastAsia="zh-CN" w:bidi="ar-SA"/>
        </w:rPr>
        <w:t xml:space="preserve"> 2007; </w:t>
      </w:r>
      <w:r w:rsidRPr="002E4D3A">
        <w:rPr>
          <w:rFonts w:ascii="Book Antiqua" w:eastAsia="宋体" w:hAnsi="Book Antiqua" w:cs="宋体"/>
          <w:b/>
          <w:bCs/>
          <w:sz w:val="24"/>
          <w:szCs w:val="24"/>
          <w:lang w:eastAsia="zh-CN" w:bidi="ar-SA"/>
        </w:rPr>
        <w:t>20</w:t>
      </w:r>
      <w:r w:rsidRPr="002E4D3A">
        <w:rPr>
          <w:rFonts w:ascii="Book Antiqua" w:eastAsia="宋体" w:hAnsi="Book Antiqua" w:cs="宋体"/>
          <w:sz w:val="24"/>
          <w:szCs w:val="24"/>
          <w:lang w:eastAsia="zh-CN" w:bidi="ar-SA"/>
        </w:rPr>
        <w:t>: 708-711 [PMID: 17555530 DOI: 10.1111/j.1432-2277.2007.00501.x]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97 </w:t>
      </w:r>
      <w:r w:rsidRPr="002E4D3A">
        <w:rPr>
          <w:rFonts w:ascii="Book Antiqua" w:eastAsia="宋体" w:hAnsi="Book Antiqua" w:cs="宋体"/>
          <w:b/>
          <w:bCs/>
          <w:sz w:val="24"/>
          <w:szCs w:val="24"/>
          <w:lang w:eastAsia="zh-CN" w:bidi="ar-SA"/>
        </w:rPr>
        <w:t>Yamamoto S</w:t>
      </w:r>
      <w:r w:rsidRPr="002E4D3A">
        <w:rPr>
          <w:rFonts w:ascii="Book Antiqua" w:eastAsia="宋体" w:hAnsi="Book Antiqua" w:cs="宋体"/>
          <w:sz w:val="24"/>
          <w:szCs w:val="24"/>
          <w:lang w:eastAsia="zh-CN" w:bidi="ar-SA"/>
        </w:rPr>
        <w:t xml:space="preserve">, Suzuki A, Sasaki H, </w:t>
      </w:r>
      <w:proofErr w:type="spellStart"/>
      <w:r w:rsidRPr="002E4D3A">
        <w:rPr>
          <w:rFonts w:ascii="Book Antiqua" w:eastAsia="宋体" w:hAnsi="Book Antiqua" w:cs="宋体"/>
          <w:sz w:val="24"/>
          <w:szCs w:val="24"/>
          <w:lang w:eastAsia="zh-CN" w:bidi="ar-SA"/>
        </w:rPr>
        <w:t>Sekiguchi</w:t>
      </w:r>
      <w:proofErr w:type="spellEnd"/>
      <w:r w:rsidRPr="002E4D3A">
        <w:rPr>
          <w:rFonts w:ascii="Book Antiqua" w:eastAsia="宋体" w:hAnsi="Book Antiqua" w:cs="宋体"/>
          <w:sz w:val="24"/>
          <w:szCs w:val="24"/>
          <w:lang w:eastAsia="zh-CN" w:bidi="ar-SA"/>
        </w:rPr>
        <w:t xml:space="preserve">-Ueda S, Asano S, Shibata M, Hayakawa N, Hashimoto S, </w:t>
      </w:r>
      <w:proofErr w:type="spellStart"/>
      <w:r w:rsidRPr="002E4D3A">
        <w:rPr>
          <w:rFonts w:ascii="Book Antiqua" w:eastAsia="宋体" w:hAnsi="Book Antiqua" w:cs="宋体"/>
          <w:sz w:val="24"/>
          <w:szCs w:val="24"/>
          <w:lang w:eastAsia="zh-CN" w:bidi="ar-SA"/>
        </w:rPr>
        <w:t>Hoshinaga</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Itoh</w:t>
      </w:r>
      <w:proofErr w:type="spellEnd"/>
      <w:r w:rsidRPr="002E4D3A">
        <w:rPr>
          <w:rFonts w:ascii="Book Antiqua" w:eastAsia="宋体" w:hAnsi="Book Antiqua" w:cs="宋体"/>
          <w:sz w:val="24"/>
          <w:szCs w:val="24"/>
          <w:lang w:eastAsia="zh-CN" w:bidi="ar-SA"/>
        </w:rPr>
        <w:t xml:space="preserve"> M. Oral alendronate can suppress bone turnover but not fracture in kidney transplantation recipients with hyperparathyroidism and chronic kidney disease. </w:t>
      </w:r>
      <w:r w:rsidRPr="002E4D3A">
        <w:rPr>
          <w:rFonts w:ascii="Book Antiqua" w:eastAsia="宋体" w:hAnsi="Book Antiqua" w:cs="宋体"/>
          <w:i/>
          <w:iCs/>
          <w:sz w:val="24"/>
          <w:szCs w:val="24"/>
          <w:lang w:eastAsia="zh-CN" w:bidi="ar-SA"/>
        </w:rPr>
        <w:t xml:space="preserve">J Bone Miner </w:t>
      </w:r>
      <w:proofErr w:type="spellStart"/>
      <w:r w:rsidRPr="002E4D3A">
        <w:rPr>
          <w:rFonts w:ascii="Book Antiqua" w:eastAsia="宋体" w:hAnsi="Book Antiqua" w:cs="宋体"/>
          <w:i/>
          <w:iCs/>
          <w:sz w:val="24"/>
          <w:szCs w:val="24"/>
          <w:lang w:eastAsia="zh-CN" w:bidi="ar-SA"/>
        </w:rPr>
        <w:t>Metab</w:t>
      </w:r>
      <w:proofErr w:type="spellEnd"/>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31</w:t>
      </w:r>
      <w:r w:rsidRPr="002E4D3A">
        <w:rPr>
          <w:rFonts w:ascii="Book Antiqua" w:eastAsia="宋体" w:hAnsi="Book Antiqua" w:cs="宋体"/>
          <w:sz w:val="24"/>
          <w:szCs w:val="24"/>
          <w:lang w:eastAsia="zh-CN" w:bidi="ar-SA"/>
        </w:rPr>
        <w:t>: 116-122 [PMID: 23076292 DOI: 10.1007/s00774-012-0391-z]</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98 </w:t>
      </w:r>
      <w:r w:rsidRPr="002E4D3A">
        <w:rPr>
          <w:rFonts w:ascii="Book Antiqua" w:eastAsia="宋体" w:hAnsi="Book Antiqua" w:cs="宋体"/>
          <w:b/>
          <w:bCs/>
          <w:sz w:val="24"/>
          <w:szCs w:val="24"/>
          <w:lang w:eastAsia="zh-CN" w:bidi="ar-SA"/>
        </w:rPr>
        <w:t>van den Ham EC</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Kooman</w:t>
      </w:r>
      <w:proofErr w:type="spellEnd"/>
      <w:r w:rsidRPr="002E4D3A">
        <w:rPr>
          <w:rFonts w:ascii="Book Antiqua" w:eastAsia="宋体" w:hAnsi="Book Antiqua" w:cs="宋体"/>
          <w:sz w:val="24"/>
          <w:szCs w:val="24"/>
          <w:lang w:eastAsia="zh-CN" w:bidi="ar-SA"/>
        </w:rPr>
        <w:t xml:space="preserve"> JP, </w:t>
      </w:r>
      <w:proofErr w:type="spellStart"/>
      <w:r w:rsidRPr="002E4D3A">
        <w:rPr>
          <w:rFonts w:ascii="Book Antiqua" w:eastAsia="宋体" w:hAnsi="Book Antiqua" w:cs="宋体"/>
          <w:sz w:val="24"/>
          <w:szCs w:val="24"/>
          <w:lang w:eastAsia="zh-CN" w:bidi="ar-SA"/>
        </w:rPr>
        <w:t>Christiaans</w:t>
      </w:r>
      <w:proofErr w:type="spellEnd"/>
      <w:r w:rsidRPr="002E4D3A">
        <w:rPr>
          <w:rFonts w:ascii="Book Antiqua" w:eastAsia="宋体" w:hAnsi="Book Antiqua" w:cs="宋体"/>
          <w:sz w:val="24"/>
          <w:szCs w:val="24"/>
          <w:lang w:eastAsia="zh-CN" w:bidi="ar-SA"/>
        </w:rPr>
        <w:t xml:space="preserve"> ML, van </w:t>
      </w:r>
      <w:proofErr w:type="spellStart"/>
      <w:r w:rsidRPr="002E4D3A">
        <w:rPr>
          <w:rFonts w:ascii="Book Antiqua" w:eastAsia="宋体" w:hAnsi="Book Antiqua" w:cs="宋体"/>
          <w:sz w:val="24"/>
          <w:szCs w:val="24"/>
          <w:lang w:eastAsia="zh-CN" w:bidi="ar-SA"/>
        </w:rPr>
        <w:t>Hooff</w:t>
      </w:r>
      <w:proofErr w:type="spellEnd"/>
      <w:r w:rsidRPr="002E4D3A">
        <w:rPr>
          <w:rFonts w:ascii="Book Antiqua" w:eastAsia="宋体" w:hAnsi="Book Antiqua" w:cs="宋体"/>
          <w:sz w:val="24"/>
          <w:szCs w:val="24"/>
          <w:lang w:eastAsia="zh-CN" w:bidi="ar-SA"/>
        </w:rPr>
        <w:t xml:space="preserve"> JP. </w:t>
      </w:r>
      <w:proofErr w:type="gramStart"/>
      <w:r w:rsidRPr="002E4D3A">
        <w:rPr>
          <w:rFonts w:ascii="Book Antiqua" w:eastAsia="宋体" w:hAnsi="Book Antiqua" w:cs="宋体"/>
          <w:sz w:val="24"/>
          <w:szCs w:val="24"/>
          <w:lang w:eastAsia="zh-CN" w:bidi="ar-SA"/>
        </w:rPr>
        <w:t>The influence of early steroid withdrawal on body composition and bone mineral density in renal transplantation patients.</w:t>
      </w:r>
      <w:proofErr w:type="gramEnd"/>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i/>
          <w:iCs/>
          <w:sz w:val="24"/>
          <w:szCs w:val="24"/>
          <w:lang w:eastAsia="zh-CN" w:bidi="ar-SA"/>
        </w:rPr>
        <w:t>Transpl</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Int</w:t>
      </w:r>
      <w:proofErr w:type="spellEnd"/>
      <w:r w:rsidRPr="002E4D3A">
        <w:rPr>
          <w:rFonts w:ascii="Book Antiqua" w:eastAsia="宋体" w:hAnsi="Book Antiqua" w:cs="宋体"/>
          <w:sz w:val="24"/>
          <w:szCs w:val="24"/>
          <w:lang w:eastAsia="zh-CN" w:bidi="ar-SA"/>
        </w:rPr>
        <w:t xml:space="preserve"> 2003; </w:t>
      </w:r>
      <w:r w:rsidRPr="002E4D3A">
        <w:rPr>
          <w:rFonts w:ascii="Book Antiqua" w:eastAsia="宋体" w:hAnsi="Book Antiqua" w:cs="宋体"/>
          <w:b/>
          <w:bCs/>
          <w:sz w:val="24"/>
          <w:szCs w:val="24"/>
          <w:lang w:eastAsia="zh-CN" w:bidi="ar-SA"/>
        </w:rPr>
        <w:t>16</w:t>
      </w:r>
      <w:r w:rsidRPr="002E4D3A">
        <w:rPr>
          <w:rFonts w:ascii="Book Antiqua" w:eastAsia="宋体" w:hAnsi="Book Antiqua" w:cs="宋体"/>
          <w:sz w:val="24"/>
          <w:szCs w:val="24"/>
          <w:lang w:eastAsia="zh-CN" w:bidi="ar-SA"/>
        </w:rPr>
        <w:t>: 82-87 [PMID: 12595969 DOI: 10.1007/s00147-002-0488-8]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99 </w:t>
      </w:r>
      <w:r w:rsidRPr="002E4D3A">
        <w:rPr>
          <w:rFonts w:ascii="Book Antiqua" w:eastAsia="宋体" w:hAnsi="Book Antiqua" w:cs="宋体"/>
          <w:b/>
          <w:bCs/>
          <w:sz w:val="24"/>
          <w:szCs w:val="24"/>
          <w:lang w:eastAsia="zh-CN" w:bidi="ar-SA"/>
        </w:rPr>
        <w:t>Pelletier SJ</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Vanderwall</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Debroy</w:t>
      </w:r>
      <w:proofErr w:type="spellEnd"/>
      <w:r w:rsidRPr="002E4D3A">
        <w:rPr>
          <w:rFonts w:ascii="Book Antiqua" w:eastAsia="宋体" w:hAnsi="Book Antiqua" w:cs="宋体"/>
          <w:sz w:val="24"/>
          <w:szCs w:val="24"/>
          <w:lang w:eastAsia="zh-CN" w:bidi="ar-SA"/>
        </w:rPr>
        <w:t xml:space="preserve"> MA, </w:t>
      </w:r>
      <w:proofErr w:type="spellStart"/>
      <w:r w:rsidRPr="002E4D3A">
        <w:rPr>
          <w:rFonts w:ascii="Book Antiqua" w:eastAsia="宋体" w:hAnsi="Book Antiqua" w:cs="宋体"/>
          <w:sz w:val="24"/>
          <w:szCs w:val="24"/>
          <w:lang w:eastAsia="zh-CN" w:bidi="ar-SA"/>
        </w:rPr>
        <w:t>Englesbe</w:t>
      </w:r>
      <w:proofErr w:type="spellEnd"/>
      <w:r w:rsidRPr="002E4D3A">
        <w:rPr>
          <w:rFonts w:ascii="Book Antiqua" w:eastAsia="宋体" w:hAnsi="Book Antiqua" w:cs="宋体"/>
          <w:sz w:val="24"/>
          <w:szCs w:val="24"/>
          <w:lang w:eastAsia="zh-CN" w:bidi="ar-SA"/>
        </w:rPr>
        <w:t xml:space="preserve"> MJ, Sung RS, Magee JC, Fontana RJ, Punch JD. Preliminary analysis of early outcomes of a </w:t>
      </w:r>
      <w:proofErr w:type="gramStart"/>
      <w:r w:rsidRPr="002E4D3A">
        <w:rPr>
          <w:rFonts w:ascii="Book Antiqua" w:eastAsia="宋体" w:hAnsi="Book Antiqua" w:cs="宋体"/>
          <w:sz w:val="24"/>
          <w:szCs w:val="24"/>
          <w:lang w:eastAsia="zh-CN" w:bidi="ar-SA"/>
        </w:rPr>
        <w:t>prospective,</w:t>
      </w:r>
      <w:proofErr w:type="gramEnd"/>
      <w:r w:rsidRPr="002E4D3A">
        <w:rPr>
          <w:rFonts w:ascii="Book Antiqua" w:eastAsia="宋体" w:hAnsi="Book Antiqua" w:cs="宋体"/>
          <w:sz w:val="24"/>
          <w:szCs w:val="24"/>
          <w:lang w:eastAsia="zh-CN" w:bidi="ar-SA"/>
        </w:rPr>
        <w:t xml:space="preserve"> randomized trial of complete steroid avoidance in liver transplantation. </w:t>
      </w:r>
      <w:r w:rsidRPr="002E4D3A">
        <w:rPr>
          <w:rFonts w:ascii="Book Antiqua" w:eastAsia="宋体" w:hAnsi="Book Antiqua" w:cs="宋体"/>
          <w:i/>
          <w:iCs/>
          <w:sz w:val="24"/>
          <w:szCs w:val="24"/>
          <w:lang w:eastAsia="zh-CN" w:bidi="ar-SA"/>
        </w:rPr>
        <w:t xml:space="preserve">Transplant </w:t>
      </w:r>
      <w:proofErr w:type="spellStart"/>
      <w:r w:rsidRPr="002E4D3A">
        <w:rPr>
          <w:rFonts w:ascii="Book Antiqua" w:eastAsia="宋体" w:hAnsi="Book Antiqua" w:cs="宋体"/>
          <w:i/>
          <w:iCs/>
          <w:sz w:val="24"/>
          <w:szCs w:val="24"/>
          <w:lang w:eastAsia="zh-CN" w:bidi="ar-SA"/>
        </w:rPr>
        <w:t>Proc</w:t>
      </w:r>
      <w:proofErr w:type="spellEnd"/>
      <w:r w:rsidRPr="002E4D3A">
        <w:rPr>
          <w:rFonts w:ascii="Book Antiqua" w:eastAsia="宋体" w:hAnsi="Book Antiqua" w:cs="宋体"/>
          <w:sz w:val="24"/>
          <w:szCs w:val="24"/>
          <w:lang w:eastAsia="zh-CN" w:bidi="ar-SA"/>
        </w:rPr>
        <w:t xml:space="preserve"> 2005; </w:t>
      </w:r>
      <w:r w:rsidRPr="002E4D3A">
        <w:rPr>
          <w:rFonts w:ascii="Book Antiqua" w:eastAsia="宋体" w:hAnsi="Book Antiqua" w:cs="宋体"/>
          <w:b/>
          <w:bCs/>
          <w:sz w:val="24"/>
          <w:szCs w:val="24"/>
          <w:lang w:eastAsia="zh-CN" w:bidi="ar-SA"/>
        </w:rPr>
        <w:t>37</w:t>
      </w:r>
      <w:r w:rsidRPr="002E4D3A">
        <w:rPr>
          <w:rFonts w:ascii="Book Antiqua" w:eastAsia="宋体" w:hAnsi="Book Antiqua" w:cs="宋体"/>
          <w:sz w:val="24"/>
          <w:szCs w:val="24"/>
          <w:lang w:eastAsia="zh-CN" w:bidi="ar-SA"/>
        </w:rPr>
        <w:t>: 1214-1216 [PMID: 15848673 DOI: 10.1016/j.transproceed.2004.12.153]</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100 </w:t>
      </w:r>
      <w:r w:rsidRPr="002E4D3A">
        <w:rPr>
          <w:rFonts w:ascii="Book Antiqua" w:eastAsia="宋体" w:hAnsi="Book Antiqua" w:cs="宋体"/>
          <w:b/>
          <w:bCs/>
          <w:sz w:val="24"/>
          <w:szCs w:val="24"/>
          <w:lang w:eastAsia="zh-CN" w:bidi="ar-SA"/>
        </w:rPr>
        <w:t>Farmer CK</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Hampson</w:t>
      </w:r>
      <w:proofErr w:type="spellEnd"/>
      <w:r w:rsidRPr="002E4D3A">
        <w:rPr>
          <w:rFonts w:ascii="Book Antiqua" w:eastAsia="宋体" w:hAnsi="Book Antiqua" w:cs="宋体"/>
          <w:sz w:val="24"/>
          <w:szCs w:val="24"/>
          <w:lang w:eastAsia="zh-CN" w:bidi="ar-SA"/>
        </w:rPr>
        <w:t xml:space="preserve"> G, </w:t>
      </w:r>
      <w:proofErr w:type="spellStart"/>
      <w:r w:rsidRPr="002E4D3A">
        <w:rPr>
          <w:rFonts w:ascii="Book Antiqua" w:eastAsia="宋体" w:hAnsi="Book Antiqua" w:cs="宋体"/>
          <w:sz w:val="24"/>
          <w:szCs w:val="24"/>
          <w:lang w:eastAsia="zh-CN" w:bidi="ar-SA"/>
        </w:rPr>
        <w:t>Abbs</w:t>
      </w:r>
      <w:proofErr w:type="spellEnd"/>
      <w:r w:rsidRPr="002E4D3A">
        <w:rPr>
          <w:rFonts w:ascii="Book Antiqua" w:eastAsia="宋体" w:hAnsi="Book Antiqua" w:cs="宋体"/>
          <w:sz w:val="24"/>
          <w:szCs w:val="24"/>
          <w:lang w:eastAsia="zh-CN" w:bidi="ar-SA"/>
        </w:rPr>
        <w:t xml:space="preserve"> IC, Hilton RM, </w:t>
      </w:r>
      <w:proofErr w:type="spellStart"/>
      <w:r w:rsidRPr="002E4D3A">
        <w:rPr>
          <w:rFonts w:ascii="Book Antiqua" w:eastAsia="宋体" w:hAnsi="Book Antiqua" w:cs="宋体"/>
          <w:sz w:val="24"/>
          <w:szCs w:val="24"/>
          <w:lang w:eastAsia="zh-CN" w:bidi="ar-SA"/>
        </w:rPr>
        <w:t>Koffman</w:t>
      </w:r>
      <w:proofErr w:type="spellEnd"/>
      <w:r w:rsidRPr="002E4D3A">
        <w:rPr>
          <w:rFonts w:ascii="Book Antiqua" w:eastAsia="宋体" w:hAnsi="Book Antiqua" w:cs="宋体"/>
          <w:sz w:val="24"/>
          <w:szCs w:val="24"/>
          <w:lang w:eastAsia="zh-CN" w:bidi="ar-SA"/>
        </w:rPr>
        <w:t xml:space="preserve"> CG, Fogelman I, Sacks SH. Late low-dose steroid withdrawal in renal transplant recipients increases bone formation and bone mineral density. </w:t>
      </w:r>
      <w:r w:rsidRPr="002E4D3A">
        <w:rPr>
          <w:rFonts w:ascii="Book Antiqua" w:eastAsia="宋体" w:hAnsi="Book Antiqua" w:cs="宋体"/>
          <w:i/>
          <w:iCs/>
          <w:sz w:val="24"/>
          <w:szCs w:val="24"/>
          <w:lang w:eastAsia="zh-CN" w:bidi="ar-SA"/>
        </w:rPr>
        <w:t>Am J Transplant</w:t>
      </w:r>
      <w:r w:rsidRPr="002E4D3A">
        <w:rPr>
          <w:rFonts w:ascii="Book Antiqua" w:eastAsia="宋体" w:hAnsi="Book Antiqua" w:cs="宋体"/>
          <w:sz w:val="24"/>
          <w:szCs w:val="24"/>
          <w:lang w:eastAsia="zh-CN" w:bidi="ar-SA"/>
        </w:rPr>
        <w:t xml:space="preserve"> 2006; </w:t>
      </w:r>
      <w:r w:rsidRPr="002E4D3A">
        <w:rPr>
          <w:rFonts w:ascii="Book Antiqua" w:eastAsia="宋体" w:hAnsi="Book Antiqua" w:cs="宋体"/>
          <w:b/>
          <w:bCs/>
          <w:sz w:val="24"/>
          <w:szCs w:val="24"/>
          <w:lang w:eastAsia="zh-CN" w:bidi="ar-SA"/>
        </w:rPr>
        <w:t>6</w:t>
      </w:r>
      <w:r w:rsidRPr="002E4D3A">
        <w:rPr>
          <w:rFonts w:ascii="Book Antiqua" w:eastAsia="宋体" w:hAnsi="Book Antiqua" w:cs="宋体"/>
          <w:sz w:val="24"/>
          <w:szCs w:val="24"/>
          <w:lang w:eastAsia="zh-CN" w:bidi="ar-SA"/>
        </w:rPr>
        <w:t>: 2929-2936 [PMID: 17061994 DOI: 10.1111/j.1600-6143.2006.01557.x]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101 </w:t>
      </w:r>
      <w:proofErr w:type="spellStart"/>
      <w:r w:rsidRPr="002E4D3A">
        <w:rPr>
          <w:rFonts w:ascii="Book Antiqua" w:eastAsia="宋体" w:hAnsi="Book Antiqua" w:cs="宋体"/>
          <w:b/>
          <w:bCs/>
          <w:sz w:val="24"/>
          <w:szCs w:val="24"/>
          <w:lang w:eastAsia="zh-CN" w:bidi="ar-SA"/>
        </w:rPr>
        <w:t>Ing</w:t>
      </w:r>
      <w:proofErr w:type="spellEnd"/>
      <w:r w:rsidRPr="002E4D3A">
        <w:rPr>
          <w:rFonts w:ascii="Book Antiqua" w:eastAsia="宋体" w:hAnsi="Book Antiqua" w:cs="宋体"/>
          <w:b/>
          <w:bCs/>
          <w:sz w:val="24"/>
          <w:szCs w:val="24"/>
          <w:lang w:eastAsia="zh-CN" w:bidi="ar-SA"/>
        </w:rPr>
        <w:t xml:space="preserve"> SW</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Sinnott</w:t>
      </w:r>
      <w:proofErr w:type="spellEnd"/>
      <w:r w:rsidRPr="002E4D3A">
        <w:rPr>
          <w:rFonts w:ascii="Book Antiqua" w:eastAsia="宋体" w:hAnsi="Book Antiqua" w:cs="宋体"/>
          <w:sz w:val="24"/>
          <w:szCs w:val="24"/>
          <w:lang w:eastAsia="zh-CN" w:bidi="ar-SA"/>
        </w:rPr>
        <w:t xml:space="preserve"> LT, </w:t>
      </w:r>
      <w:proofErr w:type="spellStart"/>
      <w:r w:rsidRPr="002E4D3A">
        <w:rPr>
          <w:rFonts w:ascii="Book Antiqua" w:eastAsia="宋体" w:hAnsi="Book Antiqua" w:cs="宋体"/>
          <w:sz w:val="24"/>
          <w:szCs w:val="24"/>
          <w:lang w:eastAsia="zh-CN" w:bidi="ar-SA"/>
        </w:rPr>
        <w:t>Donepudi</w:t>
      </w:r>
      <w:proofErr w:type="spellEnd"/>
      <w:r w:rsidRPr="002E4D3A">
        <w:rPr>
          <w:rFonts w:ascii="Book Antiqua" w:eastAsia="宋体" w:hAnsi="Book Antiqua" w:cs="宋体"/>
          <w:sz w:val="24"/>
          <w:szCs w:val="24"/>
          <w:lang w:eastAsia="zh-CN" w:bidi="ar-SA"/>
        </w:rPr>
        <w:t xml:space="preserve"> S, Davies EA, Pelletier RP, Lane NE. Change in bone mineral density at one year following glucocorticoid withdrawal in kidney transplant recipients.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Transplant</w:t>
      </w:r>
      <w:r w:rsidRPr="002E4D3A">
        <w:rPr>
          <w:rFonts w:ascii="Book Antiqua" w:eastAsia="宋体" w:hAnsi="Book Antiqua" w:cs="宋体"/>
          <w:sz w:val="24"/>
          <w:szCs w:val="24"/>
          <w:lang w:eastAsia="zh-CN" w:bidi="ar-SA"/>
        </w:rPr>
        <w:t xml:space="preserve"> </w:t>
      </w:r>
      <w:r w:rsidR="008B48E6">
        <w:rPr>
          <w:rFonts w:ascii="Book Antiqua" w:eastAsia="宋体" w:hAnsi="Book Antiqua" w:cs="宋体"/>
          <w:sz w:val="24"/>
          <w:szCs w:val="24"/>
          <w:lang w:eastAsia="zh-CN" w:bidi="ar-SA"/>
        </w:rPr>
        <w:t>2011</w:t>
      </w:r>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b/>
          <w:bCs/>
          <w:sz w:val="24"/>
          <w:szCs w:val="24"/>
          <w:lang w:eastAsia="zh-CN" w:bidi="ar-SA"/>
        </w:rPr>
        <w:t>25</w:t>
      </w:r>
      <w:r w:rsidRPr="002E4D3A">
        <w:rPr>
          <w:rFonts w:ascii="Book Antiqua" w:eastAsia="宋体" w:hAnsi="Book Antiqua" w:cs="宋体"/>
          <w:sz w:val="24"/>
          <w:szCs w:val="24"/>
          <w:lang w:eastAsia="zh-CN" w:bidi="ar-SA"/>
        </w:rPr>
        <w:t>: E113-E123 [PMID: 20961333 DOI: 10.1111/j.1399-0012.2010.01344.x]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102 </w:t>
      </w:r>
      <w:proofErr w:type="spellStart"/>
      <w:r w:rsidRPr="002E4D3A">
        <w:rPr>
          <w:rFonts w:ascii="Book Antiqua" w:eastAsia="宋体" w:hAnsi="Book Antiqua" w:cs="宋体"/>
          <w:b/>
          <w:bCs/>
          <w:sz w:val="24"/>
          <w:szCs w:val="24"/>
          <w:lang w:eastAsia="zh-CN" w:bidi="ar-SA"/>
        </w:rPr>
        <w:t>Iyer</w:t>
      </w:r>
      <w:proofErr w:type="spellEnd"/>
      <w:r w:rsidRPr="002E4D3A">
        <w:rPr>
          <w:rFonts w:ascii="Book Antiqua" w:eastAsia="宋体" w:hAnsi="Book Antiqua" w:cs="宋体"/>
          <w:b/>
          <w:bCs/>
          <w:sz w:val="24"/>
          <w:szCs w:val="24"/>
          <w:lang w:eastAsia="zh-CN" w:bidi="ar-SA"/>
        </w:rPr>
        <w:t xml:space="preserve"> SP</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Nikkel</w:t>
      </w:r>
      <w:proofErr w:type="spellEnd"/>
      <w:r w:rsidRPr="002E4D3A">
        <w:rPr>
          <w:rFonts w:ascii="Book Antiqua" w:eastAsia="宋体" w:hAnsi="Book Antiqua" w:cs="宋体"/>
          <w:sz w:val="24"/>
          <w:szCs w:val="24"/>
          <w:lang w:eastAsia="zh-CN" w:bidi="ar-SA"/>
        </w:rPr>
        <w:t xml:space="preserve"> LE, </w:t>
      </w:r>
      <w:proofErr w:type="spellStart"/>
      <w:r w:rsidRPr="002E4D3A">
        <w:rPr>
          <w:rFonts w:ascii="Book Antiqua" w:eastAsia="宋体" w:hAnsi="Book Antiqua" w:cs="宋体"/>
          <w:sz w:val="24"/>
          <w:szCs w:val="24"/>
          <w:lang w:eastAsia="zh-CN" w:bidi="ar-SA"/>
        </w:rPr>
        <w:t>Nishiyama</w:t>
      </w:r>
      <w:proofErr w:type="spellEnd"/>
      <w:r w:rsidRPr="002E4D3A">
        <w:rPr>
          <w:rFonts w:ascii="Book Antiqua" w:eastAsia="宋体" w:hAnsi="Book Antiqua" w:cs="宋体"/>
          <w:sz w:val="24"/>
          <w:szCs w:val="24"/>
          <w:lang w:eastAsia="zh-CN" w:bidi="ar-SA"/>
        </w:rPr>
        <w:t xml:space="preserve"> KK, </w:t>
      </w:r>
      <w:proofErr w:type="spellStart"/>
      <w:r w:rsidRPr="002E4D3A">
        <w:rPr>
          <w:rFonts w:ascii="Book Antiqua" w:eastAsia="宋体" w:hAnsi="Book Antiqua" w:cs="宋体"/>
          <w:sz w:val="24"/>
          <w:szCs w:val="24"/>
          <w:lang w:eastAsia="zh-CN" w:bidi="ar-SA"/>
        </w:rPr>
        <w:t>Dworakowski</w:t>
      </w:r>
      <w:proofErr w:type="spellEnd"/>
      <w:r w:rsidRPr="002E4D3A">
        <w:rPr>
          <w:rFonts w:ascii="Book Antiqua" w:eastAsia="宋体" w:hAnsi="Book Antiqua" w:cs="宋体"/>
          <w:sz w:val="24"/>
          <w:szCs w:val="24"/>
          <w:lang w:eastAsia="zh-CN" w:bidi="ar-SA"/>
        </w:rPr>
        <w:t xml:space="preserve"> E, </w:t>
      </w:r>
      <w:proofErr w:type="spellStart"/>
      <w:r w:rsidRPr="002E4D3A">
        <w:rPr>
          <w:rFonts w:ascii="Book Antiqua" w:eastAsia="宋体" w:hAnsi="Book Antiqua" w:cs="宋体"/>
          <w:sz w:val="24"/>
          <w:szCs w:val="24"/>
          <w:lang w:eastAsia="zh-CN" w:bidi="ar-SA"/>
        </w:rPr>
        <w:t>Cremers</w:t>
      </w:r>
      <w:proofErr w:type="spellEnd"/>
      <w:r w:rsidRPr="002E4D3A">
        <w:rPr>
          <w:rFonts w:ascii="Book Antiqua" w:eastAsia="宋体" w:hAnsi="Book Antiqua" w:cs="宋体"/>
          <w:sz w:val="24"/>
          <w:szCs w:val="24"/>
          <w:lang w:eastAsia="zh-CN" w:bidi="ar-SA"/>
        </w:rPr>
        <w:t xml:space="preserve"> S, Zhang C, McMahon DJ, </w:t>
      </w:r>
      <w:proofErr w:type="spellStart"/>
      <w:r w:rsidRPr="002E4D3A">
        <w:rPr>
          <w:rFonts w:ascii="Book Antiqua" w:eastAsia="宋体" w:hAnsi="Book Antiqua" w:cs="宋体"/>
          <w:sz w:val="24"/>
          <w:szCs w:val="24"/>
          <w:lang w:eastAsia="zh-CN" w:bidi="ar-SA"/>
        </w:rPr>
        <w:t>Boutroy</w:t>
      </w:r>
      <w:proofErr w:type="spellEnd"/>
      <w:r w:rsidRPr="002E4D3A">
        <w:rPr>
          <w:rFonts w:ascii="Book Antiqua" w:eastAsia="宋体" w:hAnsi="Book Antiqua" w:cs="宋体"/>
          <w:sz w:val="24"/>
          <w:szCs w:val="24"/>
          <w:lang w:eastAsia="zh-CN" w:bidi="ar-SA"/>
        </w:rPr>
        <w:t xml:space="preserve"> S, Liu XS, Ratner LE, Cohen DJ, </w:t>
      </w:r>
      <w:proofErr w:type="spellStart"/>
      <w:r w:rsidRPr="002E4D3A">
        <w:rPr>
          <w:rFonts w:ascii="Book Antiqua" w:eastAsia="宋体" w:hAnsi="Book Antiqua" w:cs="宋体"/>
          <w:sz w:val="24"/>
          <w:szCs w:val="24"/>
          <w:lang w:eastAsia="zh-CN" w:bidi="ar-SA"/>
        </w:rPr>
        <w:t>Guo</w:t>
      </w:r>
      <w:proofErr w:type="spellEnd"/>
      <w:r w:rsidRPr="002E4D3A">
        <w:rPr>
          <w:rFonts w:ascii="Book Antiqua" w:eastAsia="宋体" w:hAnsi="Book Antiqua" w:cs="宋体"/>
          <w:sz w:val="24"/>
          <w:szCs w:val="24"/>
          <w:lang w:eastAsia="zh-CN" w:bidi="ar-SA"/>
        </w:rPr>
        <w:t xml:space="preserve"> XE, Shane E, Nickolas TL. Kidney transplantation with early corticosteroid withdrawal: paradoxical effects </w:t>
      </w:r>
      <w:r w:rsidRPr="002E4D3A">
        <w:rPr>
          <w:rFonts w:ascii="Book Antiqua" w:eastAsia="宋体" w:hAnsi="Book Antiqua" w:cs="宋体"/>
          <w:sz w:val="24"/>
          <w:szCs w:val="24"/>
          <w:lang w:eastAsia="zh-CN" w:bidi="ar-SA"/>
        </w:rPr>
        <w:lastRenderedPageBreak/>
        <w:t xml:space="preserve">at the central and peripheral skeleton. </w:t>
      </w:r>
      <w:r w:rsidRPr="002E4D3A">
        <w:rPr>
          <w:rFonts w:ascii="Book Antiqua" w:eastAsia="宋体" w:hAnsi="Book Antiqua" w:cs="宋体"/>
          <w:i/>
          <w:iCs/>
          <w:sz w:val="24"/>
          <w:szCs w:val="24"/>
          <w:lang w:eastAsia="zh-CN" w:bidi="ar-SA"/>
        </w:rPr>
        <w:t xml:space="preserve">J Am </w:t>
      </w:r>
      <w:proofErr w:type="spellStart"/>
      <w:r w:rsidRPr="002E4D3A">
        <w:rPr>
          <w:rFonts w:ascii="Book Antiqua" w:eastAsia="宋体" w:hAnsi="Book Antiqua" w:cs="宋体"/>
          <w:i/>
          <w:iCs/>
          <w:sz w:val="24"/>
          <w:szCs w:val="24"/>
          <w:lang w:eastAsia="zh-CN" w:bidi="ar-SA"/>
        </w:rPr>
        <w:t>Soc</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sz w:val="24"/>
          <w:szCs w:val="24"/>
          <w:lang w:eastAsia="zh-CN" w:bidi="ar-SA"/>
        </w:rPr>
        <w:t xml:space="preserve"> 2014; </w:t>
      </w:r>
      <w:r w:rsidRPr="002E4D3A">
        <w:rPr>
          <w:rFonts w:ascii="Book Antiqua" w:eastAsia="宋体" w:hAnsi="Book Antiqua" w:cs="宋体"/>
          <w:b/>
          <w:bCs/>
          <w:sz w:val="24"/>
          <w:szCs w:val="24"/>
          <w:lang w:eastAsia="zh-CN" w:bidi="ar-SA"/>
        </w:rPr>
        <w:t>25</w:t>
      </w:r>
      <w:r w:rsidRPr="002E4D3A">
        <w:rPr>
          <w:rFonts w:ascii="Book Antiqua" w:eastAsia="宋体" w:hAnsi="Book Antiqua" w:cs="宋体"/>
          <w:sz w:val="24"/>
          <w:szCs w:val="24"/>
          <w:lang w:eastAsia="zh-CN" w:bidi="ar-SA"/>
        </w:rPr>
        <w:t>: 1331-1341 [PMID: 24511131 DOI: 10.1681/ASN.2013080851]</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103 </w:t>
      </w:r>
      <w:proofErr w:type="spellStart"/>
      <w:r w:rsidRPr="002E4D3A">
        <w:rPr>
          <w:rFonts w:ascii="Book Antiqua" w:eastAsia="宋体" w:hAnsi="Book Antiqua" w:cs="宋体"/>
          <w:b/>
          <w:bCs/>
          <w:sz w:val="24"/>
          <w:szCs w:val="24"/>
          <w:lang w:eastAsia="zh-CN" w:bidi="ar-SA"/>
        </w:rPr>
        <w:t>Nikkel</w:t>
      </w:r>
      <w:proofErr w:type="spellEnd"/>
      <w:r w:rsidRPr="002E4D3A">
        <w:rPr>
          <w:rFonts w:ascii="Book Antiqua" w:eastAsia="宋体" w:hAnsi="Book Antiqua" w:cs="宋体"/>
          <w:b/>
          <w:bCs/>
          <w:sz w:val="24"/>
          <w:szCs w:val="24"/>
          <w:lang w:eastAsia="zh-CN" w:bidi="ar-SA"/>
        </w:rPr>
        <w:t xml:space="preserve"> LE</w:t>
      </w:r>
      <w:r w:rsidRPr="002E4D3A">
        <w:rPr>
          <w:rFonts w:ascii="Book Antiqua" w:eastAsia="宋体" w:hAnsi="Book Antiqua" w:cs="宋体"/>
          <w:sz w:val="24"/>
          <w:szCs w:val="24"/>
          <w:lang w:eastAsia="zh-CN" w:bidi="ar-SA"/>
        </w:rPr>
        <w:t xml:space="preserve">, Mohan S, Zhang A, McMahon DJ, </w:t>
      </w:r>
      <w:proofErr w:type="spellStart"/>
      <w:r w:rsidRPr="002E4D3A">
        <w:rPr>
          <w:rFonts w:ascii="Book Antiqua" w:eastAsia="宋体" w:hAnsi="Book Antiqua" w:cs="宋体"/>
          <w:sz w:val="24"/>
          <w:szCs w:val="24"/>
          <w:lang w:eastAsia="zh-CN" w:bidi="ar-SA"/>
        </w:rPr>
        <w:t>Boutroy</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Dube</w:t>
      </w:r>
      <w:proofErr w:type="spellEnd"/>
      <w:r w:rsidRPr="002E4D3A">
        <w:rPr>
          <w:rFonts w:ascii="Book Antiqua" w:eastAsia="宋体" w:hAnsi="Book Antiqua" w:cs="宋体"/>
          <w:sz w:val="24"/>
          <w:szCs w:val="24"/>
          <w:lang w:eastAsia="zh-CN" w:bidi="ar-SA"/>
        </w:rPr>
        <w:t xml:space="preserve"> G, </w:t>
      </w:r>
      <w:proofErr w:type="spellStart"/>
      <w:r w:rsidRPr="002E4D3A">
        <w:rPr>
          <w:rFonts w:ascii="Book Antiqua" w:eastAsia="宋体" w:hAnsi="Book Antiqua" w:cs="宋体"/>
          <w:sz w:val="24"/>
          <w:szCs w:val="24"/>
          <w:lang w:eastAsia="zh-CN" w:bidi="ar-SA"/>
        </w:rPr>
        <w:t>Tanriover</w:t>
      </w:r>
      <w:proofErr w:type="spellEnd"/>
      <w:r w:rsidRPr="002E4D3A">
        <w:rPr>
          <w:rFonts w:ascii="Book Antiqua" w:eastAsia="宋体" w:hAnsi="Book Antiqua" w:cs="宋体"/>
          <w:sz w:val="24"/>
          <w:szCs w:val="24"/>
          <w:lang w:eastAsia="zh-CN" w:bidi="ar-SA"/>
        </w:rPr>
        <w:t xml:space="preserve"> B, Cohen D, Ratner L, </w:t>
      </w:r>
      <w:proofErr w:type="spellStart"/>
      <w:r w:rsidRPr="002E4D3A">
        <w:rPr>
          <w:rFonts w:ascii="Book Antiqua" w:eastAsia="宋体" w:hAnsi="Book Antiqua" w:cs="宋体"/>
          <w:sz w:val="24"/>
          <w:szCs w:val="24"/>
          <w:lang w:eastAsia="zh-CN" w:bidi="ar-SA"/>
        </w:rPr>
        <w:t>Hollenbeak</w:t>
      </w:r>
      <w:proofErr w:type="spellEnd"/>
      <w:r w:rsidRPr="002E4D3A">
        <w:rPr>
          <w:rFonts w:ascii="Book Antiqua" w:eastAsia="宋体" w:hAnsi="Book Antiqua" w:cs="宋体"/>
          <w:sz w:val="24"/>
          <w:szCs w:val="24"/>
          <w:lang w:eastAsia="zh-CN" w:bidi="ar-SA"/>
        </w:rPr>
        <w:t xml:space="preserve"> CS, Leonard MB, Shane E, Nickolas TL. Reduced fracture risk with early corticosteroid withdrawal after kidney transplant. </w:t>
      </w:r>
      <w:r w:rsidRPr="002E4D3A">
        <w:rPr>
          <w:rFonts w:ascii="Book Antiqua" w:eastAsia="宋体" w:hAnsi="Book Antiqua" w:cs="宋体"/>
          <w:i/>
          <w:iCs/>
          <w:sz w:val="24"/>
          <w:szCs w:val="24"/>
          <w:lang w:eastAsia="zh-CN" w:bidi="ar-SA"/>
        </w:rPr>
        <w:t>Am J Transplant</w:t>
      </w:r>
      <w:r w:rsidRPr="002E4D3A">
        <w:rPr>
          <w:rFonts w:ascii="Book Antiqua" w:eastAsia="宋体" w:hAnsi="Book Antiqua" w:cs="宋体"/>
          <w:sz w:val="24"/>
          <w:szCs w:val="24"/>
          <w:lang w:eastAsia="zh-CN" w:bidi="ar-SA"/>
        </w:rPr>
        <w:t xml:space="preserve"> 2012; </w:t>
      </w:r>
      <w:r w:rsidRPr="002E4D3A">
        <w:rPr>
          <w:rFonts w:ascii="Book Antiqua" w:eastAsia="宋体" w:hAnsi="Book Antiqua" w:cs="宋体"/>
          <w:b/>
          <w:bCs/>
          <w:sz w:val="24"/>
          <w:szCs w:val="24"/>
          <w:lang w:eastAsia="zh-CN" w:bidi="ar-SA"/>
        </w:rPr>
        <w:t>12</w:t>
      </w:r>
      <w:r w:rsidRPr="002E4D3A">
        <w:rPr>
          <w:rFonts w:ascii="Book Antiqua" w:eastAsia="宋体" w:hAnsi="Book Antiqua" w:cs="宋体"/>
          <w:sz w:val="24"/>
          <w:szCs w:val="24"/>
          <w:lang w:eastAsia="zh-CN" w:bidi="ar-SA"/>
        </w:rPr>
        <w:t>: 649-659 [PMID: 22151430 DOI: 10.1111/j.1600-6143.2011.03872.x]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104 </w:t>
      </w:r>
      <w:r w:rsidRPr="002E4D3A">
        <w:rPr>
          <w:rFonts w:ascii="Book Antiqua" w:eastAsia="宋体" w:hAnsi="Book Antiqua" w:cs="宋体"/>
          <w:b/>
          <w:bCs/>
          <w:sz w:val="24"/>
          <w:szCs w:val="24"/>
          <w:lang w:eastAsia="zh-CN" w:bidi="ar-SA"/>
        </w:rPr>
        <w:t>Barros X</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Fuster</w:t>
      </w:r>
      <w:proofErr w:type="spellEnd"/>
      <w:r w:rsidRPr="002E4D3A">
        <w:rPr>
          <w:rFonts w:ascii="Book Antiqua" w:eastAsia="宋体" w:hAnsi="Book Antiqua" w:cs="宋体"/>
          <w:sz w:val="24"/>
          <w:szCs w:val="24"/>
          <w:lang w:eastAsia="zh-CN" w:bidi="ar-SA"/>
        </w:rPr>
        <w:t xml:space="preserve"> D, </w:t>
      </w:r>
      <w:proofErr w:type="spellStart"/>
      <w:r w:rsidRPr="002E4D3A">
        <w:rPr>
          <w:rFonts w:ascii="Book Antiqua" w:eastAsia="宋体" w:hAnsi="Book Antiqua" w:cs="宋体"/>
          <w:sz w:val="24"/>
          <w:szCs w:val="24"/>
          <w:lang w:eastAsia="zh-CN" w:bidi="ar-SA"/>
        </w:rPr>
        <w:t>Paschoalin</w:t>
      </w:r>
      <w:proofErr w:type="spellEnd"/>
      <w:r w:rsidRPr="002E4D3A">
        <w:rPr>
          <w:rFonts w:ascii="Book Antiqua" w:eastAsia="宋体" w:hAnsi="Book Antiqua" w:cs="宋体"/>
          <w:sz w:val="24"/>
          <w:szCs w:val="24"/>
          <w:lang w:eastAsia="zh-CN" w:bidi="ar-SA"/>
        </w:rPr>
        <w:t xml:space="preserve"> R, Oppenheimer F, </w:t>
      </w:r>
      <w:proofErr w:type="spellStart"/>
      <w:r w:rsidRPr="002E4D3A">
        <w:rPr>
          <w:rFonts w:ascii="Book Antiqua" w:eastAsia="宋体" w:hAnsi="Book Antiqua" w:cs="宋体"/>
          <w:sz w:val="24"/>
          <w:szCs w:val="24"/>
          <w:lang w:eastAsia="zh-CN" w:bidi="ar-SA"/>
        </w:rPr>
        <w:t>Rubello</w:t>
      </w:r>
      <w:proofErr w:type="spellEnd"/>
      <w:r w:rsidRPr="002E4D3A">
        <w:rPr>
          <w:rFonts w:ascii="Book Antiqua" w:eastAsia="宋体" w:hAnsi="Book Antiqua" w:cs="宋体"/>
          <w:sz w:val="24"/>
          <w:szCs w:val="24"/>
          <w:lang w:eastAsia="zh-CN" w:bidi="ar-SA"/>
        </w:rPr>
        <w:t xml:space="preserve"> D, </w:t>
      </w:r>
      <w:proofErr w:type="spellStart"/>
      <w:r w:rsidRPr="002E4D3A">
        <w:rPr>
          <w:rFonts w:ascii="Book Antiqua" w:eastAsia="宋体" w:hAnsi="Book Antiqua" w:cs="宋体"/>
          <w:sz w:val="24"/>
          <w:szCs w:val="24"/>
          <w:lang w:eastAsia="zh-CN" w:bidi="ar-SA"/>
        </w:rPr>
        <w:t>Perlaza</w:t>
      </w:r>
      <w:proofErr w:type="spellEnd"/>
      <w:r w:rsidRPr="002E4D3A">
        <w:rPr>
          <w:rFonts w:ascii="Book Antiqua" w:eastAsia="宋体" w:hAnsi="Book Antiqua" w:cs="宋体"/>
          <w:sz w:val="24"/>
          <w:szCs w:val="24"/>
          <w:lang w:eastAsia="zh-CN" w:bidi="ar-SA"/>
        </w:rPr>
        <w:t xml:space="preserve"> P, Pons F, </w:t>
      </w:r>
      <w:proofErr w:type="spellStart"/>
      <w:r w:rsidRPr="002E4D3A">
        <w:rPr>
          <w:rFonts w:ascii="Book Antiqua" w:eastAsia="宋体" w:hAnsi="Book Antiqua" w:cs="宋体"/>
          <w:sz w:val="24"/>
          <w:szCs w:val="24"/>
          <w:lang w:eastAsia="zh-CN" w:bidi="ar-SA"/>
        </w:rPr>
        <w:t>Torregrosa</w:t>
      </w:r>
      <w:proofErr w:type="spellEnd"/>
      <w:r w:rsidRPr="002E4D3A">
        <w:rPr>
          <w:rFonts w:ascii="Book Antiqua" w:eastAsia="宋体" w:hAnsi="Book Antiqua" w:cs="宋体"/>
          <w:sz w:val="24"/>
          <w:szCs w:val="24"/>
          <w:lang w:eastAsia="zh-CN" w:bidi="ar-SA"/>
        </w:rPr>
        <w:t xml:space="preserve"> JV. Changes in bone mineral metabolism parameters, including FGF23, after discontinuing </w:t>
      </w:r>
      <w:proofErr w:type="spellStart"/>
      <w:r w:rsidRPr="002E4D3A">
        <w:rPr>
          <w:rFonts w:ascii="Book Antiqua" w:eastAsia="宋体" w:hAnsi="Book Antiqua" w:cs="宋体"/>
          <w:sz w:val="24"/>
          <w:szCs w:val="24"/>
          <w:lang w:eastAsia="zh-CN" w:bidi="ar-SA"/>
        </w:rPr>
        <w:t>cinacalcet</w:t>
      </w:r>
      <w:proofErr w:type="spellEnd"/>
      <w:r w:rsidRPr="002E4D3A">
        <w:rPr>
          <w:rFonts w:ascii="Book Antiqua" w:eastAsia="宋体" w:hAnsi="Book Antiqua" w:cs="宋体"/>
          <w:sz w:val="24"/>
          <w:szCs w:val="24"/>
          <w:lang w:eastAsia="zh-CN" w:bidi="ar-SA"/>
        </w:rPr>
        <w:t xml:space="preserve"> at kidney transplantation. </w:t>
      </w:r>
      <w:r w:rsidRPr="002E4D3A">
        <w:rPr>
          <w:rFonts w:ascii="Book Antiqua" w:eastAsia="宋体" w:hAnsi="Book Antiqua" w:cs="宋体"/>
          <w:i/>
          <w:iCs/>
          <w:sz w:val="24"/>
          <w:szCs w:val="24"/>
          <w:lang w:eastAsia="zh-CN" w:bidi="ar-SA"/>
        </w:rPr>
        <w:t>Endocrine</w:t>
      </w:r>
      <w:r w:rsidRPr="002E4D3A">
        <w:rPr>
          <w:rFonts w:ascii="Book Antiqua" w:eastAsia="宋体" w:hAnsi="Book Antiqua" w:cs="宋体"/>
          <w:sz w:val="24"/>
          <w:szCs w:val="24"/>
          <w:lang w:eastAsia="zh-CN" w:bidi="ar-SA"/>
        </w:rPr>
        <w:t xml:space="preserve"> 2015; </w:t>
      </w:r>
      <w:r w:rsidRPr="002E4D3A">
        <w:rPr>
          <w:rFonts w:ascii="Book Antiqua" w:eastAsia="宋体" w:hAnsi="Book Antiqua" w:cs="宋体"/>
          <w:b/>
          <w:bCs/>
          <w:sz w:val="24"/>
          <w:szCs w:val="24"/>
          <w:lang w:eastAsia="zh-CN" w:bidi="ar-SA"/>
        </w:rPr>
        <w:t>49</w:t>
      </w:r>
      <w:r w:rsidRPr="002E4D3A">
        <w:rPr>
          <w:rFonts w:ascii="Book Antiqua" w:eastAsia="宋体" w:hAnsi="Book Antiqua" w:cs="宋体"/>
          <w:sz w:val="24"/>
          <w:szCs w:val="24"/>
          <w:lang w:eastAsia="zh-CN" w:bidi="ar-SA"/>
        </w:rPr>
        <w:t>: 267-273 [PMID: 25154517 DOI: 10.1007/s12020-014-0400-1]</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105 </w:t>
      </w:r>
      <w:proofErr w:type="spellStart"/>
      <w:r w:rsidRPr="002E4D3A">
        <w:rPr>
          <w:rFonts w:ascii="Book Antiqua" w:eastAsia="宋体" w:hAnsi="Book Antiqua" w:cs="宋体"/>
          <w:b/>
          <w:bCs/>
          <w:sz w:val="24"/>
          <w:szCs w:val="24"/>
          <w:lang w:eastAsia="zh-CN" w:bidi="ar-SA"/>
        </w:rPr>
        <w:t>Szwarc</w:t>
      </w:r>
      <w:proofErr w:type="spellEnd"/>
      <w:r w:rsidRPr="002E4D3A">
        <w:rPr>
          <w:rFonts w:ascii="Book Antiqua" w:eastAsia="宋体" w:hAnsi="Book Antiqua" w:cs="宋体"/>
          <w:b/>
          <w:bCs/>
          <w:sz w:val="24"/>
          <w:szCs w:val="24"/>
          <w:lang w:eastAsia="zh-CN" w:bidi="ar-SA"/>
        </w:rPr>
        <w:t xml:space="preserve"> I</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Argilés</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Garrigue</w:t>
      </w:r>
      <w:proofErr w:type="spellEnd"/>
      <w:r w:rsidRPr="002E4D3A">
        <w:rPr>
          <w:rFonts w:ascii="Book Antiqua" w:eastAsia="宋体" w:hAnsi="Book Antiqua" w:cs="宋体"/>
          <w:sz w:val="24"/>
          <w:szCs w:val="24"/>
          <w:lang w:eastAsia="zh-CN" w:bidi="ar-SA"/>
        </w:rPr>
        <w:t xml:space="preserve"> V, </w:t>
      </w:r>
      <w:proofErr w:type="spellStart"/>
      <w:r w:rsidRPr="002E4D3A">
        <w:rPr>
          <w:rFonts w:ascii="Book Antiqua" w:eastAsia="宋体" w:hAnsi="Book Antiqua" w:cs="宋体"/>
          <w:sz w:val="24"/>
          <w:szCs w:val="24"/>
          <w:lang w:eastAsia="zh-CN" w:bidi="ar-SA"/>
        </w:rPr>
        <w:t>Delmas</w:t>
      </w:r>
      <w:proofErr w:type="spellEnd"/>
      <w:r w:rsidRPr="002E4D3A">
        <w:rPr>
          <w:rFonts w:ascii="Book Antiqua" w:eastAsia="宋体" w:hAnsi="Book Antiqua" w:cs="宋体"/>
          <w:sz w:val="24"/>
          <w:szCs w:val="24"/>
          <w:lang w:eastAsia="zh-CN" w:bidi="ar-SA"/>
        </w:rPr>
        <w:t xml:space="preserve"> S, Chong G, </w:t>
      </w:r>
      <w:proofErr w:type="spellStart"/>
      <w:r w:rsidRPr="002E4D3A">
        <w:rPr>
          <w:rFonts w:ascii="Book Antiqua" w:eastAsia="宋体" w:hAnsi="Book Antiqua" w:cs="宋体"/>
          <w:sz w:val="24"/>
          <w:szCs w:val="24"/>
          <w:lang w:eastAsia="zh-CN" w:bidi="ar-SA"/>
        </w:rPr>
        <w:t>Deleuze</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Mourad</w:t>
      </w:r>
      <w:proofErr w:type="spellEnd"/>
      <w:r w:rsidRPr="002E4D3A">
        <w:rPr>
          <w:rFonts w:ascii="Book Antiqua" w:eastAsia="宋体" w:hAnsi="Book Antiqua" w:cs="宋体"/>
          <w:sz w:val="24"/>
          <w:szCs w:val="24"/>
          <w:lang w:eastAsia="zh-CN" w:bidi="ar-SA"/>
        </w:rPr>
        <w:t xml:space="preserve"> G. </w:t>
      </w:r>
      <w:proofErr w:type="spellStart"/>
      <w:r w:rsidRPr="002E4D3A">
        <w:rPr>
          <w:rFonts w:ascii="Book Antiqua" w:eastAsia="宋体" w:hAnsi="Book Antiqua" w:cs="宋体"/>
          <w:sz w:val="24"/>
          <w:szCs w:val="24"/>
          <w:lang w:eastAsia="zh-CN" w:bidi="ar-SA"/>
        </w:rPr>
        <w:t>Cinacalcet</w:t>
      </w:r>
      <w:proofErr w:type="spellEnd"/>
      <w:r w:rsidRPr="002E4D3A">
        <w:rPr>
          <w:rFonts w:ascii="Book Antiqua" w:eastAsia="宋体" w:hAnsi="Book Antiqua" w:cs="宋体"/>
          <w:sz w:val="24"/>
          <w:szCs w:val="24"/>
          <w:lang w:eastAsia="zh-CN" w:bidi="ar-SA"/>
        </w:rPr>
        <w:t xml:space="preserve"> chloride is efficient and safe in renal transplant recipients with </w:t>
      </w:r>
      <w:proofErr w:type="spellStart"/>
      <w:r w:rsidRPr="002E4D3A">
        <w:rPr>
          <w:rFonts w:ascii="Book Antiqua" w:eastAsia="宋体" w:hAnsi="Book Antiqua" w:cs="宋体"/>
          <w:sz w:val="24"/>
          <w:szCs w:val="24"/>
          <w:lang w:eastAsia="zh-CN" w:bidi="ar-SA"/>
        </w:rPr>
        <w:t>posttransplant</w:t>
      </w:r>
      <w:proofErr w:type="spellEnd"/>
      <w:r w:rsidRPr="002E4D3A">
        <w:rPr>
          <w:rFonts w:ascii="Book Antiqua" w:eastAsia="宋体" w:hAnsi="Book Antiqua" w:cs="宋体"/>
          <w:sz w:val="24"/>
          <w:szCs w:val="24"/>
          <w:lang w:eastAsia="zh-CN" w:bidi="ar-SA"/>
        </w:rPr>
        <w:t xml:space="preserve"> hyperparathyroidism. </w:t>
      </w:r>
      <w:r w:rsidRPr="002E4D3A">
        <w:rPr>
          <w:rFonts w:ascii="Book Antiqua" w:eastAsia="宋体" w:hAnsi="Book Antiqua" w:cs="宋体"/>
          <w:i/>
          <w:iCs/>
          <w:sz w:val="24"/>
          <w:szCs w:val="24"/>
          <w:lang w:eastAsia="zh-CN" w:bidi="ar-SA"/>
        </w:rPr>
        <w:t>Transplantation</w:t>
      </w:r>
      <w:r w:rsidRPr="002E4D3A">
        <w:rPr>
          <w:rFonts w:ascii="Book Antiqua" w:eastAsia="宋体" w:hAnsi="Book Antiqua" w:cs="宋体"/>
          <w:sz w:val="24"/>
          <w:szCs w:val="24"/>
          <w:lang w:eastAsia="zh-CN" w:bidi="ar-SA"/>
        </w:rPr>
        <w:t xml:space="preserve"> 2006; </w:t>
      </w:r>
      <w:r w:rsidRPr="002E4D3A">
        <w:rPr>
          <w:rFonts w:ascii="Book Antiqua" w:eastAsia="宋体" w:hAnsi="Book Antiqua" w:cs="宋体"/>
          <w:b/>
          <w:bCs/>
          <w:sz w:val="24"/>
          <w:szCs w:val="24"/>
          <w:lang w:eastAsia="zh-CN" w:bidi="ar-SA"/>
        </w:rPr>
        <w:t>82</w:t>
      </w:r>
      <w:r w:rsidRPr="002E4D3A">
        <w:rPr>
          <w:rFonts w:ascii="Book Antiqua" w:eastAsia="宋体" w:hAnsi="Book Antiqua" w:cs="宋体"/>
          <w:sz w:val="24"/>
          <w:szCs w:val="24"/>
          <w:lang w:eastAsia="zh-CN" w:bidi="ar-SA"/>
        </w:rPr>
        <w:t>: 675-680 [PMID: 16969292 DOI: 10.1097/01.tp.0000232452.80018.ad]</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106 </w:t>
      </w:r>
      <w:r w:rsidRPr="002E4D3A">
        <w:rPr>
          <w:rFonts w:ascii="Book Antiqua" w:eastAsia="宋体" w:hAnsi="Book Antiqua" w:cs="宋体"/>
          <w:b/>
          <w:bCs/>
          <w:sz w:val="24"/>
          <w:szCs w:val="24"/>
          <w:lang w:eastAsia="zh-CN" w:bidi="ar-SA"/>
        </w:rPr>
        <w:t>Serra AL</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Savoca</w:t>
      </w:r>
      <w:proofErr w:type="spellEnd"/>
      <w:r w:rsidRPr="002E4D3A">
        <w:rPr>
          <w:rFonts w:ascii="Book Antiqua" w:eastAsia="宋体" w:hAnsi="Book Antiqua" w:cs="宋体"/>
          <w:sz w:val="24"/>
          <w:szCs w:val="24"/>
          <w:lang w:eastAsia="zh-CN" w:bidi="ar-SA"/>
        </w:rPr>
        <w:t xml:space="preserve"> R, Huber AR, </w:t>
      </w:r>
      <w:proofErr w:type="spellStart"/>
      <w:r w:rsidRPr="002E4D3A">
        <w:rPr>
          <w:rFonts w:ascii="Book Antiqua" w:eastAsia="宋体" w:hAnsi="Book Antiqua" w:cs="宋体"/>
          <w:sz w:val="24"/>
          <w:szCs w:val="24"/>
          <w:lang w:eastAsia="zh-CN" w:bidi="ar-SA"/>
        </w:rPr>
        <w:t>Hepp</w:t>
      </w:r>
      <w:proofErr w:type="spellEnd"/>
      <w:r w:rsidRPr="002E4D3A">
        <w:rPr>
          <w:rFonts w:ascii="Book Antiqua" w:eastAsia="宋体" w:hAnsi="Book Antiqua" w:cs="宋体"/>
          <w:sz w:val="24"/>
          <w:szCs w:val="24"/>
          <w:lang w:eastAsia="zh-CN" w:bidi="ar-SA"/>
        </w:rPr>
        <w:t xml:space="preserve"> U, </w:t>
      </w:r>
      <w:proofErr w:type="spellStart"/>
      <w:r w:rsidRPr="002E4D3A">
        <w:rPr>
          <w:rFonts w:ascii="Book Antiqua" w:eastAsia="宋体" w:hAnsi="Book Antiqua" w:cs="宋体"/>
          <w:sz w:val="24"/>
          <w:szCs w:val="24"/>
          <w:lang w:eastAsia="zh-CN" w:bidi="ar-SA"/>
        </w:rPr>
        <w:t>Delsignore</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Hersberger</w:t>
      </w:r>
      <w:proofErr w:type="spellEnd"/>
      <w:r w:rsidRPr="002E4D3A">
        <w:rPr>
          <w:rFonts w:ascii="Book Antiqua" w:eastAsia="宋体" w:hAnsi="Book Antiqua" w:cs="宋体"/>
          <w:sz w:val="24"/>
          <w:szCs w:val="24"/>
          <w:lang w:eastAsia="zh-CN" w:bidi="ar-SA"/>
        </w:rPr>
        <w:t xml:space="preserve"> M, </w:t>
      </w:r>
      <w:proofErr w:type="spellStart"/>
      <w:r w:rsidRPr="002E4D3A">
        <w:rPr>
          <w:rFonts w:ascii="Book Antiqua" w:eastAsia="宋体" w:hAnsi="Book Antiqua" w:cs="宋体"/>
          <w:sz w:val="24"/>
          <w:szCs w:val="24"/>
          <w:lang w:eastAsia="zh-CN" w:bidi="ar-SA"/>
        </w:rPr>
        <w:t>Wüthrich</w:t>
      </w:r>
      <w:proofErr w:type="spellEnd"/>
      <w:r w:rsidRPr="002E4D3A">
        <w:rPr>
          <w:rFonts w:ascii="Book Antiqua" w:eastAsia="宋体" w:hAnsi="Book Antiqua" w:cs="宋体"/>
          <w:sz w:val="24"/>
          <w:szCs w:val="24"/>
          <w:lang w:eastAsia="zh-CN" w:bidi="ar-SA"/>
        </w:rPr>
        <w:t xml:space="preserve"> RP. </w:t>
      </w:r>
      <w:proofErr w:type="gramStart"/>
      <w:r w:rsidRPr="002E4D3A">
        <w:rPr>
          <w:rFonts w:ascii="Book Antiqua" w:eastAsia="宋体" w:hAnsi="Book Antiqua" w:cs="宋体"/>
          <w:sz w:val="24"/>
          <w:szCs w:val="24"/>
          <w:lang w:eastAsia="zh-CN" w:bidi="ar-SA"/>
        </w:rPr>
        <w:t xml:space="preserve">Effective control of persistent hyperparathyroidism with </w:t>
      </w:r>
      <w:proofErr w:type="spellStart"/>
      <w:r w:rsidRPr="002E4D3A">
        <w:rPr>
          <w:rFonts w:ascii="Book Antiqua" w:eastAsia="宋体" w:hAnsi="Book Antiqua" w:cs="宋体"/>
          <w:sz w:val="24"/>
          <w:szCs w:val="24"/>
          <w:lang w:eastAsia="zh-CN" w:bidi="ar-SA"/>
        </w:rPr>
        <w:t>cinacalcet</w:t>
      </w:r>
      <w:proofErr w:type="spellEnd"/>
      <w:r w:rsidRPr="002E4D3A">
        <w:rPr>
          <w:rFonts w:ascii="Book Antiqua" w:eastAsia="宋体" w:hAnsi="Book Antiqua" w:cs="宋体"/>
          <w:sz w:val="24"/>
          <w:szCs w:val="24"/>
          <w:lang w:eastAsia="zh-CN" w:bidi="ar-SA"/>
        </w:rPr>
        <w:t xml:space="preserve"> in renal allograft recipients.</w:t>
      </w:r>
      <w:proofErr w:type="gramEnd"/>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Nephrol</w:t>
      </w:r>
      <w:proofErr w:type="spellEnd"/>
      <w:r w:rsidRPr="002E4D3A">
        <w:rPr>
          <w:rFonts w:ascii="Book Antiqua" w:eastAsia="宋体" w:hAnsi="Book Antiqua" w:cs="宋体"/>
          <w:i/>
          <w:iCs/>
          <w:sz w:val="24"/>
          <w:szCs w:val="24"/>
          <w:lang w:eastAsia="zh-CN" w:bidi="ar-SA"/>
        </w:rPr>
        <w:t xml:space="preserve"> Dial Transplant</w:t>
      </w:r>
      <w:r w:rsidRPr="002E4D3A">
        <w:rPr>
          <w:rFonts w:ascii="Book Antiqua" w:eastAsia="宋体" w:hAnsi="Book Antiqua" w:cs="宋体"/>
          <w:sz w:val="24"/>
          <w:szCs w:val="24"/>
          <w:lang w:eastAsia="zh-CN" w:bidi="ar-SA"/>
        </w:rPr>
        <w:t xml:space="preserve"> 2007; </w:t>
      </w:r>
      <w:r w:rsidRPr="002E4D3A">
        <w:rPr>
          <w:rFonts w:ascii="Book Antiqua" w:eastAsia="宋体" w:hAnsi="Book Antiqua" w:cs="宋体"/>
          <w:b/>
          <w:bCs/>
          <w:sz w:val="24"/>
          <w:szCs w:val="24"/>
          <w:lang w:eastAsia="zh-CN" w:bidi="ar-SA"/>
        </w:rPr>
        <w:t>22</w:t>
      </w:r>
      <w:r w:rsidRPr="002E4D3A">
        <w:rPr>
          <w:rFonts w:ascii="Book Antiqua" w:eastAsia="宋体" w:hAnsi="Book Antiqua" w:cs="宋体"/>
          <w:sz w:val="24"/>
          <w:szCs w:val="24"/>
          <w:lang w:eastAsia="zh-CN" w:bidi="ar-SA"/>
        </w:rPr>
        <w:t>: 577-583 [PMID: 17005527 DOI: 10.1093/</w:t>
      </w:r>
      <w:proofErr w:type="spellStart"/>
      <w:r w:rsidRPr="002E4D3A">
        <w:rPr>
          <w:rFonts w:ascii="Book Antiqua" w:eastAsia="宋体" w:hAnsi="Book Antiqua" w:cs="宋体"/>
          <w:sz w:val="24"/>
          <w:szCs w:val="24"/>
          <w:lang w:eastAsia="zh-CN" w:bidi="ar-SA"/>
        </w:rPr>
        <w:t>ndt</w:t>
      </w:r>
      <w:proofErr w:type="spellEnd"/>
      <w:r w:rsidRPr="002E4D3A">
        <w:rPr>
          <w:rFonts w:ascii="Book Antiqua" w:eastAsia="宋体" w:hAnsi="Book Antiqua" w:cs="宋体"/>
          <w:sz w:val="24"/>
          <w:szCs w:val="24"/>
          <w:lang w:eastAsia="zh-CN" w:bidi="ar-SA"/>
        </w:rPr>
        <w:t>/gfl560]</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107 </w:t>
      </w:r>
      <w:r w:rsidRPr="002E4D3A">
        <w:rPr>
          <w:rFonts w:ascii="Book Antiqua" w:eastAsia="宋体" w:hAnsi="Book Antiqua" w:cs="宋体"/>
          <w:b/>
          <w:bCs/>
          <w:sz w:val="24"/>
          <w:szCs w:val="24"/>
          <w:lang w:eastAsia="zh-CN" w:bidi="ar-SA"/>
        </w:rPr>
        <w:t>Cohen JB</w:t>
      </w:r>
      <w:r w:rsidRPr="002E4D3A">
        <w:rPr>
          <w:rFonts w:ascii="Book Antiqua" w:eastAsia="宋体" w:hAnsi="Book Antiqua" w:cs="宋体"/>
          <w:sz w:val="24"/>
          <w:szCs w:val="24"/>
          <w:lang w:eastAsia="zh-CN" w:bidi="ar-SA"/>
        </w:rPr>
        <w:t xml:space="preserve">, Gordon CE, Balk EM, Francis JM. </w:t>
      </w:r>
      <w:proofErr w:type="spellStart"/>
      <w:r w:rsidRPr="002E4D3A">
        <w:rPr>
          <w:rFonts w:ascii="Book Antiqua" w:eastAsia="宋体" w:hAnsi="Book Antiqua" w:cs="宋体"/>
          <w:sz w:val="24"/>
          <w:szCs w:val="24"/>
          <w:lang w:eastAsia="zh-CN" w:bidi="ar-SA"/>
        </w:rPr>
        <w:t>Cinacalcet</w:t>
      </w:r>
      <w:proofErr w:type="spellEnd"/>
      <w:r w:rsidRPr="002E4D3A">
        <w:rPr>
          <w:rFonts w:ascii="Book Antiqua" w:eastAsia="宋体" w:hAnsi="Book Antiqua" w:cs="宋体"/>
          <w:sz w:val="24"/>
          <w:szCs w:val="24"/>
          <w:lang w:eastAsia="zh-CN" w:bidi="ar-SA"/>
        </w:rPr>
        <w:t xml:space="preserve"> for the treatment of hyperparathyroidism in kidney transplant recipients: a systematic review and meta-analysis. </w:t>
      </w:r>
      <w:r w:rsidRPr="002E4D3A">
        <w:rPr>
          <w:rFonts w:ascii="Book Antiqua" w:eastAsia="宋体" w:hAnsi="Book Antiqua" w:cs="宋体"/>
          <w:i/>
          <w:iCs/>
          <w:sz w:val="24"/>
          <w:szCs w:val="24"/>
          <w:lang w:eastAsia="zh-CN" w:bidi="ar-SA"/>
        </w:rPr>
        <w:t>Transplantation</w:t>
      </w:r>
      <w:r w:rsidRPr="002E4D3A">
        <w:rPr>
          <w:rFonts w:ascii="Book Antiqua" w:eastAsia="宋体" w:hAnsi="Book Antiqua" w:cs="宋体"/>
          <w:sz w:val="24"/>
          <w:szCs w:val="24"/>
          <w:lang w:eastAsia="zh-CN" w:bidi="ar-SA"/>
        </w:rPr>
        <w:t xml:space="preserve"> 2012; </w:t>
      </w:r>
      <w:r w:rsidRPr="002E4D3A">
        <w:rPr>
          <w:rFonts w:ascii="Book Antiqua" w:eastAsia="宋体" w:hAnsi="Book Antiqua" w:cs="宋体"/>
          <w:b/>
          <w:bCs/>
          <w:sz w:val="24"/>
          <w:szCs w:val="24"/>
          <w:lang w:eastAsia="zh-CN" w:bidi="ar-SA"/>
        </w:rPr>
        <w:t>94</w:t>
      </w:r>
      <w:r w:rsidRPr="002E4D3A">
        <w:rPr>
          <w:rFonts w:ascii="Book Antiqua" w:eastAsia="宋体" w:hAnsi="Book Antiqua" w:cs="宋体"/>
          <w:sz w:val="24"/>
          <w:szCs w:val="24"/>
          <w:lang w:eastAsia="zh-CN" w:bidi="ar-SA"/>
        </w:rPr>
        <w:t>: 1041-1048 [PMID: 23069843 DOI: 10.1097/TP.0b013e31826c3968]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108 </w:t>
      </w:r>
      <w:proofErr w:type="spellStart"/>
      <w:r w:rsidRPr="002E4D3A">
        <w:rPr>
          <w:rFonts w:ascii="Book Antiqua" w:eastAsia="宋体" w:hAnsi="Book Antiqua" w:cs="宋体"/>
          <w:b/>
          <w:bCs/>
          <w:sz w:val="24"/>
          <w:szCs w:val="24"/>
          <w:lang w:eastAsia="zh-CN" w:bidi="ar-SA"/>
        </w:rPr>
        <w:t>Evenepoel</w:t>
      </w:r>
      <w:proofErr w:type="spellEnd"/>
      <w:r w:rsidRPr="002E4D3A">
        <w:rPr>
          <w:rFonts w:ascii="Book Antiqua" w:eastAsia="宋体" w:hAnsi="Book Antiqua" w:cs="宋体"/>
          <w:b/>
          <w:bCs/>
          <w:sz w:val="24"/>
          <w:szCs w:val="24"/>
          <w:lang w:eastAsia="zh-CN" w:bidi="ar-SA"/>
        </w:rPr>
        <w:t xml:space="preserve"> P</w:t>
      </w:r>
      <w:r w:rsidRPr="002E4D3A">
        <w:rPr>
          <w:rFonts w:ascii="Book Antiqua" w:eastAsia="宋体" w:hAnsi="Book Antiqua" w:cs="宋体"/>
          <w:sz w:val="24"/>
          <w:szCs w:val="24"/>
          <w:lang w:eastAsia="zh-CN" w:bidi="ar-SA"/>
        </w:rPr>
        <w:t xml:space="preserve">, Cooper K, </w:t>
      </w:r>
      <w:proofErr w:type="spellStart"/>
      <w:r w:rsidRPr="002E4D3A">
        <w:rPr>
          <w:rFonts w:ascii="Book Antiqua" w:eastAsia="宋体" w:hAnsi="Book Antiqua" w:cs="宋体"/>
          <w:sz w:val="24"/>
          <w:szCs w:val="24"/>
          <w:lang w:eastAsia="zh-CN" w:bidi="ar-SA"/>
        </w:rPr>
        <w:t>Holdaas</w:t>
      </w:r>
      <w:proofErr w:type="spellEnd"/>
      <w:r w:rsidRPr="002E4D3A">
        <w:rPr>
          <w:rFonts w:ascii="Book Antiqua" w:eastAsia="宋体" w:hAnsi="Book Antiqua" w:cs="宋体"/>
          <w:sz w:val="24"/>
          <w:szCs w:val="24"/>
          <w:lang w:eastAsia="zh-CN" w:bidi="ar-SA"/>
        </w:rPr>
        <w:t xml:space="preserve"> H, </w:t>
      </w:r>
      <w:proofErr w:type="spellStart"/>
      <w:r w:rsidRPr="002E4D3A">
        <w:rPr>
          <w:rFonts w:ascii="Book Antiqua" w:eastAsia="宋体" w:hAnsi="Book Antiqua" w:cs="宋体"/>
          <w:sz w:val="24"/>
          <w:szCs w:val="24"/>
          <w:lang w:eastAsia="zh-CN" w:bidi="ar-SA"/>
        </w:rPr>
        <w:t>Messa</w:t>
      </w:r>
      <w:proofErr w:type="spellEnd"/>
      <w:r w:rsidRPr="002E4D3A">
        <w:rPr>
          <w:rFonts w:ascii="Book Antiqua" w:eastAsia="宋体" w:hAnsi="Book Antiqua" w:cs="宋体"/>
          <w:sz w:val="24"/>
          <w:szCs w:val="24"/>
          <w:lang w:eastAsia="zh-CN" w:bidi="ar-SA"/>
        </w:rPr>
        <w:t xml:space="preserve"> P, </w:t>
      </w:r>
      <w:proofErr w:type="spellStart"/>
      <w:r w:rsidRPr="002E4D3A">
        <w:rPr>
          <w:rFonts w:ascii="Book Antiqua" w:eastAsia="宋体" w:hAnsi="Book Antiqua" w:cs="宋体"/>
          <w:sz w:val="24"/>
          <w:szCs w:val="24"/>
          <w:lang w:eastAsia="zh-CN" w:bidi="ar-SA"/>
        </w:rPr>
        <w:t>Mourad</w:t>
      </w:r>
      <w:proofErr w:type="spellEnd"/>
      <w:r w:rsidRPr="002E4D3A">
        <w:rPr>
          <w:rFonts w:ascii="Book Antiqua" w:eastAsia="宋体" w:hAnsi="Book Antiqua" w:cs="宋体"/>
          <w:sz w:val="24"/>
          <w:szCs w:val="24"/>
          <w:lang w:eastAsia="zh-CN" w:bidi="ar-SA"/>
        </w:rPr>
        <w:t xml:space="preserve"> G, </w:t>
      </w:r>
      <w:proofErr w:type="spellStart"/>
      <w:r w:rsidRPr="002E4D3A">
        <w:rPr>
          <w:rFonts w:ascii="Book Antiqua" w:eastAsia="宋体" w:hAnsi="Book Antiqua" w:cs="宋体"/>
          <w:sz w:val="24"/>
          <w:szCs w:val="24"/>
          <w:lang w:eastAsia="zh-CN" w:bidi="ar-SA"/>
        </w:rPr>
        <w:t>Olgaard</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Rutkowski</w:t>
      </w:r>
      <w:proofErr w:type="spellEnd"/>
      <w:r w:rsidRPr="002E4D3A">
        <w:rPr>
          <w:rFonts w:ascii="Book Antiqua" w:eastAsia="宋体" w:hAnsi="Book Antiqua" w:cs="宋体"/>
          <w:sz w:val="24"/>
          <w:szCs w:val="24"/>
          <w:lang w:eastAsia="zh-CN" w:bidi="ar-SA"/>
        </w:rPr>
        <w:t xml:space="preserve"> B, Schaefer H, Deng H, </w:t>
      </w:r>
      <w:proofErr w:type="spellStart"/>
      <w:r w:rsidRPr="002E4D3A">
        <w:rPr>
          <w:rFonts w:ascii="Book Antiqua" w:eastAsia="宋体" w:hAnsi="Book Antiqua" w:cs="宋体"/>
          <w:sz w:val="24"/>
          <w:szCs w:val="24"/>
          <w:lang w:eastAsia="zh-CN" w:bidi="ar-SA"/>
        </w:rPr>
        <w:t>Torregrosa</w:t>
      </w:r>
      <w:proofErr w:type="spellEnd"/>
      <w:r w:rsidRPr="002E4D3A">
        <w:rPr>
          <w:rFonts w:ascii="Book Antiqua" w:eastAsia="宋体" w:hAnsi="Book Antiqua" w:cs="宋体"/>
          <w:sz w:val="24"/>
          <w:szCs w:val="24"/>
          <w:lang w:eastAsia="zh-CN" w:bidi="ar-SA"/>
        </w:rPr>
        <w:t xml:space="preserve"> JV, </w:t>
      </w:r>
      <w:proofErr w:type="spellStart"/>
      <w:r w:rsidRPr="002E4D3A">
        <w:rPr>
          <w:rFonts w:ascii="Book Antiqua" w:eastAsia="宋体" w:hAnsi="Book Antiqua" w:cs="宋体"/>
          <w:sz w:val="24"/>
          <w:szCs w:val="24"/>
          <w:lang w:eastAsia="zh-CN" w:bidi="ar-SA"/>
        </w:rPr>
        <w:t>Wuthrich</w:t>
      </w:r>
      <w:proofErr w:type="spellEnd"/>
      <w:r w:rsidRPr="002E4D3A">
        <w:rPr>
          <w:rFonts w:ascii="Book Antiqua" w:eastAsia="宋体" w:hAnsi="Book Antiqua" w:cs="宋体"/>
          <w:sz w:val="24"/>
          <w:szCs w:val="24"/>
          <w:lang w:eastAsia="zh-CN" w:bidi="ar-SA"/>
        </w:rPr>
        <w:t xml:space="preserve"> RP, </w:t>
      </w:r>
      <w:proofErr w:type="spellStart"/>
      <w:r w:rsidRPr="002E4D3A">
        <w:rPr>
          <w:rFonts w:ascii="Book Antiqua" w:eastAsia="宋体" w:hAnsi="Book Antiqua" w:cs="宋体"/>
          <w:sz w:val="24"/>
          <w:szCs w:val="24"/>
          <w:lang w:eastAsia="zh-CN" w:bidi="ar-SA"/>
        </w:rPr>
        <w:t>Yue</w:t>
      </w:r>
      <w:proofErr w:type="spellEnd"/>
      <w:r w:rsidRPr="002E4D3A">
        <w:rPr>
          <w:rFonts w:ascii="Book Antiqua" w:eastAsia="宋体" w:hAnsi="Book Antiqua" w:cs="宋体"/>
          <w:sz w:val="24"/>
          <w:szCs w:val="24"/>
          <w:lang w:eastAsia="zh-CN" w:bidi="ar-SA"/>
        </w:rPr>
        <w:t xml:space="preserve"> S. </w:t>
      </w:r>
      <w:proofErr w:type="gramStart"/>
      <w:r w:rsidRPr="002E4D3A">
        <w:rPr>
          <w:rFonts w:ascii="Book Antiqua" w:eastAsia="宋体" w:hAnsi="Book Antiqua" w:cs="宋体"/>
          <w:sz w:val="24"/>
          <w:szCs w:val="24"/>
          <w:lang w:eastAsia="zh-CN" w:bidi="ar-SA"/>
        </w:rPr>
        <w:t xml:space="preserve">A randomized study evaluating </w:t>
      </w:r>
      <w:proofErr w:type="spellStart"/>
      <w:r w:rsidRPr="002E4D3A">
        <w:rPr>
          <w:rFonts w:ascii="Book Antiqua" w:eastAsia="宋体" w:hAnsi="Book Antiqua" w:cs="宋体"/>
          <w:sz w:val="24"/>
          <w:szCs w:val="24"/>
          <w:lang w:eastAsia="zh-CN" w:bidi="ar-SA"/>
        </w:rPr>
        <w:t>cinacalcet</w:t>
      </w:r>
      <w:proofErr w:type="spellEnd"/>
      <w:r w:rsidRPr="002E4D3A">
        <w:rPr>
          <w:rFonts w:ascii="Book Antiqua" w:eastAsia="宋体" w:hAnsi="Book Antiqua" w:cs="宋体"/>
          <w:sz w:val="24"/>
          <w:szCs w:val="24"/>
          <w:lang w:eastAsia="zh-CN" w:bidi="ar-SA"/>
        </w:rPr>
        <w:t xml:space="preserve"> to treat </w:t>
      </w:r>
      <w:proofErr w:type="spellStart"/>
      <w:r w:rsidRPr="002E4D3A">
        <w:rPr>
          <w:rFonts w:ascii="Book Antiqua" w:eastAsia="宋体" w:hAnsi="Book Antiqua" w:cs="宋体"/>
          <w:sz w:val="24"/>
          <w:szCs w:val="24"/>
          <w:lang w:eastAsia="zh-CN" w:bidi="ar-SA"/>
        </w:rPr>
        <w:t>hypercalcemia</w:t>
      </w:r>
      <w:proofErr w:type="spellEnd"/>
      <w:r w:rsidRPr="002E4D3A">
        <w:rPr>
          <w:rFonts w:ascii="Book Antiqua" w:eastAsia="宋体" w:hAnsi="Book Antiqua" w:cs="宋体"/>
          <w:sz w:val="24"/>
          <w:szCs w:val="24"/>
          <w:lang w:eastAsia="zh-CN" w:bidi="ar-SA"/>
        </w:rPr>
        <w:t xml:space="preserve"> in renal transplant recipients with persistent hyperparathyroidism.</w:t>
      </w:r>
      <w:proofErr w:type="gramEnd"/>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i/>
          <w:iCs/>
          <w:sz w:val="24"/>
          <w:szCs w:val="24"/>
          <w:lang w:eastAsia="zh-CN" w:bidi="ar-SA"/>
        </w:rPr>
        <w:t>Am J Transplant</w:t>
      </w:r>
      <w:r w:rsidRPr="002E4D3A">
        <w:rPr>
          <w:rFonts w:ascii="Book Antiqua" w:eastAsia="宋体" w:hAnsi="Book Antiqua" w:cs="宋体"/>
          <w:sz w:val="24"/>
          <w:szCs w:val="24"/>
          <w:lang w:eastAsia="zh-CN" w:bidi="ar-SA"/>
        </w:rPr>
        <w:t xml:space="preserve"> 2014; </w:t>
      </w:r>
      <w:r w:rsidRPr="002E4D3A">
        <w:rPr>
          <w:rFonts w:ascii="Book Antiqua" w:eastAsia="宋体" w:hAnsi="Book Antiqua" w:cs="宋体"/>
          <w:b/>
          <w:bCs/>
          <w:sz w:val="24"/>
          <w:szCs w:val="24"/>
          <w:lang w:eastAsia="zh-CN" w:bidi="ar-SA"/>
        </w:rPr>
        <w:t>14</w:t>
      </w:r>
      <w:r w:rsidRPr="002E4D3A">
        <w:rPr>
          <w:rFonts w:ascii="Book Antiqua" w:eastAsia="宋体" w:hAnsi="Book Antiqua" w:cs="宋体"/>
          <w:sz w:val="24"/>
          <w:szCs w:val="24"/>
          <w:lang w:eastAsia="zh-CN" w:bidi="ar-SA"/>
        </w:rPr>
        <w:t>: 2545-2555 [PMID: 25225081 DOI: 10.1111/ajt.12911]</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109 </w:t>
      </w:r>
      <w:proofErr w:type="spellStart"/>
      <w:r w:rsidRPr="002E4D3A">
        <w:rPr>
          <w:rFonts w:ascii="Book Antiqua" w:eastAsia="宋体" w:hAnsi="Book Antiqua" w:cs="宋体"/>
          <w:b/>
          <w:bCs/>
          <w:sz w:val="24"/>
          <w:szCs w:val="24"/>
          <w:lang w:eastAsia="zh-CN" w:bidi="ar-SA"/>
        </w:rPr>
        <w:t>Torregrosa</w:t>
      </w:r>
      <w:proofErr w:type="spellEnd"/>
      <w:r w:rsidRPr="002E4D3A">
        <w:rPr>
          <w:rFonts w:ascii="Book Antiqua" w:eastAsia="宋体" w:hAnsi="Book Antiqua" w:cs="宋体"/>
          <w:b/>
          <w:bCs/>
          <w:sz w:val="24"/>
          <w:szCs w:val="24"/>
          <w:lang w:eastAsia="zh-CN" w:bidi="ar-SA"/>
        </w:rPr>
        <w:t xml:space="preserve"> JV</w:t>
      </w:r>
      <w:r w:rsidRPr="002E4D3A">
        <w:rPr>
          <w:rFonts w:ascii="Book Antiqua" w:eastAsia="宋体" w:hAnsi="Book Antiqua" w:cs="宋体"/>
          <w:sz w:val="24"/>
          <w:szCs w:val="24"/>
          <w:lang w:eastAsia="zh-CN" w:bidi="ar-SA"/>
        </w:rPr>
        <w:t xml:space="preserve">, Morales E, </w:t>
      </w:r>
      <w:proofErr w:type="spellStart"/>
      <w:r w:rsidRPr="002E4D3A">
        <w:rPr>
          <w:rFonts w:ascii="Book Antiqua" w:eastAsia="宋体" w:hAnsi="Book Antiqua" w:cs="宋体"/>
          <w:sz w:val="24"/>
          <w:szCs w:val="24"/>
          <w:lang w:eastAsia="zh-CN" w:bidi="ar-SA"/>
        </w:rPr>
        <w:t>Díaz</w:t>
      </w:r>
      <w:proofErr w:type="spellEnd"/>
      <w:r w:rsidRPr="002E4D3A">
        <w:rPr>
          <w:rFonts w:ascii="Book Antiqua" w:eastAsia="宋体" w:hAnsi="Book Antiqua" w:cs="宋体"/>
          <w:sz w:val="24"/>
          <w:szCs w:val="24"/>
          <w:lang w:eastAsia="zh-CN" w:bidi="ar-SA"/>
        </w:rPr>
        <w:t xml:space="preserve"> JM, </w:t>
      </w:r>
      <w:proofErr w:type="spellStart"/>
      <w:r w:rsidRPr="002E4D3A">
        <w:rPr>
          <w:rFonts w:ascii="Book Antiqua" w:eastAsia="宋体" w:hAnsi="Book Antiqua" w:cs="宋体"/>
          <w:sz w:val="24"/>
          <w:szCs w:val="24"/>
          <w:lang w:eastAsia="zh-CN" w:bidi="ar-SA"/>
        </w:rPr>
        <w:t>Crespo</w:t>
      </w:r>
      <w:proofErr w:type="spellEnd"/>
      <w:r w:rsidRPr="002E4D3A">
        <w:rPr>
          <w:rFonts w:ascii="Book Antiqua" w:eastAsia="宋体" w:hAnsi="Book Antiqua" w:cs="宋体"/>
          <w:sz w:val="24"/>
          <w:szCs w:val="24"/>
          <w:lang w:eastAsia="zh-CN" w:bidi="ar-SA"/>
        </w:rPr>
        <w:t xml:space="preserve"> J, Bravo J, Gómez G, </w:t>
      </w:r>
      <w:proofErr w:type="spellStart"/>
      <w:r w:rsidRPr="002E4D3A">
        <w:rPr>
          <w:rFonts w:ascii="Book Antiqua" w:eastAsia="宋体" w:hAnsi="Book Antiqua" w:cs="宋体"/>
          <w:sz w:val="24"/>
          <w:szCs w:val="24"/>
          <w:lang w:eastAsia="zh-CN" w:bidi="ar-SA"/>
        </w:rPr>
        <w:t>Gentil</w:t>
      </w:r>
      <w:proofErr w:type="spellEnd"/>
      <w:r w:rsidRPr="002E4D3A">
        <w:rPr>
          <w:rFonts w:ascii="Book Antiqua" w:eastAsia="宋体" w:hAnsi="Book Antiqua" w:cs="宋体"/>
          <w:sz w:val="24"/>
          <w:szCs w:val="24"/>
          <w:lang w:eastAsia="zh-CN" w:bidi="ar-SA"/>
        </w:rPr>
        <w:t xml:space="preserve"> MÁ, Rodríguez </w:t>
      </w:r>
      <w:proofErr w:type="spellStart"/>
      <w:r w:rsidRPr="002E4D3A">
        <w:rPr>
          <w:rFonts w:ascii="Book Antiqua" w:eastAsia="宋体" w:hAnsi="Book Antiqua" w:cs="宋体"/>
          <w:sz w:val="24"/>
          <w:szCs w:val="24"/>
          <w:lang w:eastAsia="zh-CN" w:bidi="ar-SA"/>
        </w:rPr>
        <w:t>Benot</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García</w:t>
      </w:r>
      <w:proofErr w:type="spellEnd"/>
      <w:r w:rsidRPr="002E4D3A">
        <w:rPr>
          <w:rFonts w:ascii="Book Antiqua" w:eastAsia="宋体" w:hAnsi="Book Antiqua" w:cs="宋体"/>
          <w:sz w:val="24"/>
          <w:szCs w:val="24"/>
          <w:lang w:eastAsia="zh-CN" w:bidi="ar-SA"/>
        </w:rPr>
        <w:t xml:space="preserve"> MR, Jiménez VL, Gutiérrez </w:t>
      </w:r>
      <w:proofErr w:type="spellStart"/>
      <w:r w:rsidRPr="002E4D3A">
        <w:rPr>
          <w:rFonts w:ascii="Book Antiqua" w:eastAsia="宋体" w:hAnsi="Book Antiqua" w:cs="宋体"/>
          <w:sz w:val="24"/>
          <w:szCs w:val="24"/>
          <w:lang w:eastAsia="zh-CN" w:bidi="ar-SA"/>
        </w:rPr>
        <w:t>Dalmau</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Jimeno</w:t>
      </w:r>
      <w:proofErr w:type="spellEnd"/>
      <w:r w:rsidRPr="002E4D3A">
        <w:rPr>
          <w:rFonts w:ascii="Book Antiqua" w:eastAsia="宋体" w:hAnsi="Book Antiqua" w:cs="宋体"/>
          <w:sz w:val="24"/>
          <w:szCs w:val="24"/>
          <w:lang w:eastAsia="zh-CN" w:bidi="ar-SA"/>
        </w:rPr>
        <w:t xml:space="preserve"> L, </w:t>
      </w:r>
      <w:proofErr w:type="spellStart"/>
      <w:r w:rsidRPr="002E4D3A">
        <w:rPr>
          <w:rFonts w:ascii="Book Antiqua" w:eastAsia="宋体" w:hAnsi="Book Antiqua" w:cs="宋体"/>
          <w:sz w:val="24"/>
          <w:szCs w:val="24"/>
          <w:lang w:eastAsia="zh-CN" w:bidi="ar-SA"/>
        </w:rPr>
        <w:t>Sáez</w:t>
      </w:r>
      <w:proofErr w:type="spellEnd"/>
      <w:r w:rsidRPr="002E4D3A">
        <w:rPr>
          <w:rFonts w:ascii="Book Antiqua" w:eastAsia="宋体" w:hAnsi="Book Antiqua" w:cs="宋体"/>
          <w:sz w:val="24"/>
          <w:szCs w:val="24"/>
          <w:lang w:eastAsia="zh-CN" w:bidi="ar-SA"/>
        </w:rPr>
        <w:t xml:space="preserve"> MJ, Romero R, Gómez </w:t>
      </w:r>
      <w:proofErr w:type="spellStart"/>
      <w:r w:rsidRPr="002E4D3A">
        <w:rPr>
          <w:rFonts w:ascii="Book Antiqua" w:eastAsia="宋体" w:hAnsi="Book Antiqua" w:cs="宋体"/>
          <w:sz w:val="24"/>
          <w:szCs w:val="24"/>
          <w:lang w:eastAsia="zh-CN" w:bidi="ar-SA"/>
        </w:rPr>
        <w:t>Alamillo</w:t>
      </w:r>
      <w:proofErr w:type="spellEnd"/>
      <w:r w:rsidRPr="002E4D3A">
        <w:rPr>
          <w:rFonts w:ascii="Book Antiqua" w:eastAsia="宋体" w:hAnsi="Book Antiqua" w:cs="宋体"/>
          <w:sz w:val="24"/>
          <w:szCs w:val="24"/>
          <w:lang w:eastAsia="zh-CN" w:bidi="ar-SA"/>
        </w:rPr>
        <w:t xml:space="preserve"> C. </w:t>
      </w:r>
      <w:proofErr w:type="spellStart"/>
      <w:r w:rsidRPr="002E4D3A">
        <w:rPr>
          <w:rFonts w:ascii="Book Antiqua" w:eastAsia="宋体" w:hAnsi="Book Antiqua" w:cs="宋体"/>
          <w:sz w:val="24"/>
          <w:szCs w:val="24"/>
          <w:lang w:eastAsia="zh-CN" w:bidi="ar-SA"/>
        </w:rPr>
        <w:t>Cinacalcet</w:t>
      </w:r>
      <w:proofErr w:type="spellEnd"/>
      <w:r w:rsidRPr="002E4D3A">
        <w:rPr>
          <w:rFonts w:ascii="Book Antiqua" w:eastAsia="宋体" w:hAnsi="Book Antiqua" w:cs="宋体"/>
          <w:sz w:val="24"/>
          <w:szCs w:val="24"/>
          <w:lang w:eastAsia="zh-CN" w:bidi="ar-SA"/>
        </w:rPr>
        <w:t xml:space="preserve"> for </w:t>
      </w:r>
      <w:proofErr w:type="spellStart"/>
      <w:r w:rsidRPr="002E4D3A">
        <w:rPr>
          <w:rFonts w:ascii="Book Antiqua" w:eastAsia="宋体" w:hAnsi="Book Antiqua" w:cs="宋体"/>
          <w:sz w:val="24"/>
          <w:szCs w:val="24"/>
          <w:lang w:eastAsia="zh-CN" w:bidi="ar-SA"/>
        </w:rPr>
        <w:t>hypercalcaemic</w:t>
      </w:r>
      <w:proofErr w:type="spellEnd"/>
      <w:r w:rsidRPr="002E4D3A">
        <w:rPr>
          <w:rFonts w:ascii="Book Antiqua" w:eastAsia="宋体" w:hAnsi="Book Antiqua" w:cs="宋体"/>
          <w:sz w:val="24"/>
          <w:szCs w:val="24"/>
          <w:lang w:eastAsia="zh-CN" w:bidi="ar-SA"/>
        </w:rPr>
        <w:t xml:space="preserve"> secondary hyperparathyroidism after renal transplantation: a </w:t>
      </w:r>
      <w:proofErr w:type="spellStart"/>
      <w:r w:rsidRPr="002E4D3A">
        <w:rPr>
          <w:rFonts w:ascii="Book Antiqua" w:eastAsia="宋体" w:hAnsi="Book Antiqua" w:cs="宋体"/>
          <w:sz w:val="24"/>
          <w:szCs w:val="24"/>
          <w:lang w:eastAsia="zh-CN" w:bidi="ar-SA"/>
        </w:rPr>
        <w:t>multicentre</w:t>
      </w:r>
      <w:proofErr w:type="spellEnd"/>
      <w:r w:rsidRPr="002E4D3A">
        <w:rPr>
          <w:rFonts w:ascii="Book Antiqua" w:eastAsia="宋体" w:hAnsi="Book Antiqua" w:cs="宋体"/>
          <w:sz w:val="24"/>
          <w:szCs w:val="24"/>
          <w:lang w:eastAsia="zh-CN" w:bidi="ar-SA"/>
        </w:rPr>
        <w:t xml:space="preserve">, retrospective, 3-year study. </w:t>
      </w:r>
      <w:r w:rsidRPr="002E4D3A">
        <w:rPr>
          <w:rFonts w:ascii="Book Antiqua" w:eastAsia="宋体" w:hAnsi="Book Antiqua" w:cs="宋体"/>
          <w:i/>
          <w:iCs/>
          <w:sz w:val="24"/>
          <w:szCs w:val="24"/>
          <w:lang w:eastAsia="zh-CN" w:bidi="ar-SA"/>
        </w:rPr>
        <w:t xml:space="preserve">Nephrology </w:t>
      </w:r>
      <w:r w:rsidRPr="002E4D3A">
        <w:rPr>
          <w:rFonts w:ascii="Book Antiqua" w:eastAsia="宋体" w:hAnsi="Book Antiqua" w:cs="宋体"/>
          <w:iCs/>
          <w:sz w:val="24"/>
          <w:szCs w:val="24"/>
          <w:lang w:eastAsia="zh-CN" w:bidi="ar-SA"/>
        </w:rPr>
        <w:t>(Carlton)</w:t>
      </w:r>
      <w:r w:rsidRPr="002E4D3A">
        <w:rPr>
          <w:rFonts w:ascii="Book Antiqua" w:eastAsia="宋体" w:hAnsi="Book Antiqua" w:cs="宋体"/>
          <w:sz w:val="24"/>
          <w:szCs w:val="24"/>
          <w:lang w:eastAsia="zh-CN" w:bidi="ar-SA"/>
        </w:rPr>
        <w:t xml:space="preserve"> 2014; </w:t>
      </w:r>
      <w:r w:rsidRPr="002E4D3A">
        <w:rPr>
          <w:rFonts w:ascii="Book Antiqua" w:eastAsia="宋体" w:hAnsi="Book Antiqua" w:cs="宋体"/>
          <w:b/>
          <w:bCs/>
          <w:sz w:val="24"/>
          <w:szCs w:val="24"/>
          <w:lang w:eastAsia="zh-CN" w:bidi="ar-SA"/>
        </w:rPr>
        <w:t>19</w:t>
      </w:r>
      <w:r w:rsidRPr="002E4D3A">
        <w:rPr>
          <w:rFonts w:ascii="Book Antiqua" w:eastAsia="宋体" w:hAnsi="Book Antiqua" w:cs="宋体"/>
          <w:sz w:val="24"/>
          <w:szCs w:val="24"/>
          <w:lang w:eastAsia="zh-CN" w:bidi="ar-SA"/>
        </w:rPr>
        <w:t>: 84-93 [PMID: 24428216 DOI: 10.1111/nep.12186]</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lastRenderedPageBreak/>
        <w:t xml:space="preserve">110 </w:t>
      </w:r>
      <w:proofErr w:type="spellStart"/>
      <w:r w:rsidRPr="002E4D3A">
        <w:rPr>
          <w:rFonts w:ascii="Book Antiqua" w:eastAsia="宋体" w:hAnsi="Book Antiqua" w:cs="宋体"/>
          <w:b/>
          <w:bCs/>
          <w:sz w:val="24"/>
          <w:szCs w:val="24"/>
          <w:lang w:eastAsia="zh-CN" w:bidi="ar-SA"/>
        </w:rPr>
        <w:t>Zitt</w:t>
      </w:r>
      <w:proofErr w:type="spellEnd"/>
      <w:r w:rsidRPr="002E4D3A">
        <w:rPr>
          <w:rFonts w:ascii="Book Antiqua" w:eastAsia="宋体" w:hAnsi="Book Antiqua" w:cs="宋体"/>
          <w:b/>
          <w:bCs/>
          <w:sz w:val="24"/>
          <w:szCs w:val="24"/>
          <w:lang w:eastAsia="zh-CN" w:bidi="ar-SA"/>
        </w:rPr>
        <w:t xml:space="preserve"> E</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Woess</w:t>
      </w:r>
      <w:proofErr w:type="spellEnd"/>
      <w:r w:rsidRPr="002E4D3A">
        <w:rPr>
          <w:rFonts w:ascii="Book Antiqua" w:eastAsia="宋体" w:hAnsi="Book Antiqua" w:cs="宋体"/>
          <w:sz w:val="24"/>
          <w:szCs w:val="24"/>
          <w:lang w:eastAsia="zh-CN" w:bidi="ar-SA"/>
        </w:rPr>
        <w:t xml:space="preserve"> E, Mayer G, </w:t>
      </w:r>
      <w:proofErr w:type="spellStart"/>
      <w:r w:rsidRPr="002E4D3A">
        <w:rPr>
          <w:rFonts w:ascii="Book Antiqua" w:eastAsia="宋体" w:hAnsi="Book Antiqua" w:cs="宋体"/>
          <w:sz w:val="24"/>
          <w:szCs w:val="24"/>
          <w:lang w:eastAsia="zh-CN" w:bidi="ar-SA"/>
        </w:rPr>
        <w:t>Lhotta</w:t>
      </w:r>
      <w:proofErr w:type="spellEnd"/>
      <w:r w:rsidRPr="002E4D3A">
        <w:rPr>
          <w:rFonts w:ascii="Book Antiqua" w:eastAsia="宋体" w:hAnsi="Book Antiqua" w:cs="宋体"/>
          <w:sz w:val="24"/>
          <w:szCs w:val="24"/>
          <w:lang w:eastAsia="zh-CN" w:bidi="ar-SA"/>
        </w:rPr>
        <w:t xml:space="preserve"> K. Effect of </w:t>
      </w:r>
      <w:proofErr w:type="spellStart"/>
      <w:r w:rsidRPr="002E4D3A">
        <w:rPr>
          <w:rFonts w:ascii="Book Antiqua" w:eastAsia="宋体" w:hAnsi="Book Antiqua" w:cs="宋体"/>
          <w:sz w:val="24"/>
          <w:szCs w:val="24"/>
          <w:lang w:eastAsia="zh-CN" w:bidi="ar-SA"/>
        </w:rPr>
        <w:t>cinacalcet</w:t>
      </w:r>
      <w:proofErr w:type="spellEnd"/>
      <w:r w:rsidRPr="002E4D3A">
        <w:rPr>
          <w:rFonts w:ascii="Book Antiqua" w:eastAsia="宋体" w:hAnsi="Book Antiqua" w:cs="宋体"/>
          <w:sz w:val="24"/>
          <w:szCs w:val="24"/>
          <w:lang w:eastAsia="zh-CN" w:bidi="ar-SA"/>
        </w:rPr>
        <w:t xml:space="preserve"> on renal electrolyte handling and systemic arterial blood pressure in kidney transplant patients with persistent hyperparathyroidism. </w:t>
      </w:r>
      <w:r w:rsidRPr="002E4D3A">
        <w:rPr>
          <w:rFonts w:ascii="Book Antiqua" w:eastAsia="宋体" w:hAnsi="Book Antiqua" w:cs="宋体"/>
          <w:i/>
          <w:iCs/>
          <w:sz w:val="24"/>
          <w:szCs w:val="24"/>
          <w:lang w:eastAsia="zh-CN" w:bidi="ar-SA"/>
        </w:rPr>
        <w:t>Transplantation</w:t>
      </w:r>
      <w:r w:rsidRPr="002E4D3A">
        <w:rPr>
          <w:rFonts w:ascii="Book Antiqua" w:eastAsia="宋体" w:hAnsi="Book Antiqua" w:cs="宋体"/>
          <w:sz w:val="24"/>
          <w:szCs w:val="24"/>
          <w:lang w:eastAsia="zh-CN" w:bidi="ar-SA"/>
        </w:rPr>
        <w:t xml:space="preserve"> 2011; </w:t>
      </w:r>
      <w:r w:rsidRPr="002E4D3A">
        <w:rPr>
          <w:rFonts w:ascii="Book Antiqua" w:eastAsia="宋体" w:hAnsi="Book Antiqua" w:cs="宋体"/>
          <w:b/>
          <w:bCs/>
          <w:sz w:val="24"/>
          <w:szCs w:val="24"/>
          <w:lang w:eastAsia="zh-CN" w:bidi="ar-SA"/>
        </w:rPr>
        <w:t>92</w:t>
      </w:r>
      <w:r w:rsidRPr="002E4D3A">
        <w:rPr>
          <w:rFonts w:ascii="Book Antiqua" w:eastAsia="宋体" w:hAnsi="Book Antiqua" w:cs="宋体"/>
          <w:sz w:val="24"/>
          <w:szCs w:val="24"/>
          <w:lang w:eastAsia="zh-CN" w:bidi="ar-SA"/>
        </w:rPr>
        <w:t>: 883-889 [PMID: 21876476 DOI: 10.1097/TP.0b013e31822d87e8]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111 </w:t>
      </w:r>
      <w:proofErr w:type="spellStart"/>
      <w:r w:rsidRPr="002E4D3A">
        <w:rPr>
          <w:rFonts w:ascii="Book Antiqua" w:eastAsia="宋体" w:hAnsi="Book Antiqua" w:cs="宋体"/>
          <w:b/>
          <w:bCs/>
          <w:sz w:val="24"/>
          <w:szCs w:val="24"/>
          <w:lang w:eastAsia="zh-CN" w:bidi="ar-SA"/>
        </w:rPr>
        <w:t>Seager</w:t>
      </w:r>
      <w:proofErr w:type="spellEnd"/>
      <w:r w:rsidRPr="002E4D3A">
        <w:rPr>
          <w:rFonts w:ascii="Book Antiqua" w:eastAsia="宋体" w:hAnsi="Book Antiqua" w:cs="宋体"/>
          <w:b/>
          <w:bCs/>
          <w:sz w:val="24"/>
          <w:szCs w:val="24"/>
          <w:lang w:eastAsia="zh-CN" w:bidi="ar-SA"/>
        </w:rPr>
        <w:t xml:space="preserve"> CM</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Srinivas</w:t>
      </w:r>
      <w:proofErr w:type="spellEnd"/>
      <w:r w:rsidRPr="002E4D3A">
        <w:rPr>
          <w:rFonts w:ascii="Book Antiqua" w:eastAsia="宋体" w:hAnsi="Book Antiqua" w:cs="宋体"/>
          <w:sz w:val="24"/>
          <w:szCs w:val="24"/>
          <w:lang w:eastAsia="zh-CN" w:bidi="ar-SA"/>
        </w:rPr>
        <w:t xml:space="preserve"> TR, </w:t>
      </w:r>
      <w:proofErr w:type="spellStart"/>
      <w:r w:rsidRPr="002E4D3A">
        <w:rPr>
          <w:rFonts w:ascii="Book Antiqua" w:eastAsia="宋体" w:hAnsi="Book Antiqua" w:cs="宋体"/>
          <w:sz w:val="24"/>
          <w:szCs w:val="24"/>
          <w:lang w:eastAsia="zh-CN" w:bidi="ar-SA"/>
        </w:rPr>
        <w:t>Flechner</w:t>
      </w:r>
      <w:proofErr w:type="spellEnd"/>
      <w:r w:rsidRPr="002E4D3A">
        <w:rPr>
          <w:rFonts w:ascii="Book Antiqua" w:eastAsia="宋体" w:hAnsi="Book Antiqua" w:cs="宋体"/>
          <w:sz w:val="24"/>
          <w:szCs w:val="24"/>
          <w:lang w:eastAsia="zh-CN" w:bidi="ar-SA"/>
        </w:rPr>
        <w:t xml:space="preserve"> SM. Development of nephrolithiasis in a renal transplant patient during treatment with </w:t>
      </w:r>
      <w:proofErr w:type="spellStart"/>
      <w:r w:rsidRPr="002E4D3A">
        <w:rPr>
          <w:rFonts w:ascii="Book Antiqua" w:eastAsia="宋体" w:hAnsi="Book Antiqua" w:cs="宋体"/>
          <w:sz w:val="24"/>
          <w:szCs w:val="24"/>
          <w:lang w:eastAsia="zh-CN" w:bidi="ar-SA"/>
        </w:rPr>
        <w:t>Cinacalcet</w:t>
      </w:r>
      <w:proofErr w:type="spellEnd"/>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i/>
          <w:iCs/>
          <w:sz w:val="24"/>
          <w:szCs w:val="24"/>
          <w:lang w:eastAsia="zh-CN" w:bidi="ar-SA"/>
        </w:rPr>
        <w:t>Ann Transplant</w:t>
      </w:r>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18</w:t>
      </w:r>
      <w:r w:rsidRPr="002E4D3A">
        <w:rPr>
          <w:rFonts w:ascii="Book Antiqua" w:eastAsia="宋体" w:hAnsi="Book Antiqua" w:cs="宋体"/>
          <w:sz w:val="24"/>
          <w:szCs w:val="24"/>
          <w:lang w:eastAsia="zh-CN" w:bidi="ar-SA"/>
        </w:rPr>
        <w:t>: 31-35 [PMID: 23792498 DOI: 10.12659/AOT.883809]</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112 </w:t>
      </w:r>
      <w:proofErr w:type="spellStart"/>
      <w:r w:rsidRPr="002E4D3A">
        <w:rPr>
          <w:rFonts w:ascii="Book Antiqua" w:eastAsia="宋体" w:hAnsi="Book Antiqua" w:cs="宋体"/>
          <w:b/>
          <w:bCs/>
          <w:sz w:val="24"/>
          <w:szCs w:val="24"/>
          <w:lang w:eastAsia="zh-CN" w:bidi="ar-SA"/>
        </w:rPr>
        <w:t>Thiem</w:t>
      </w:r>
      <w:proofErr w:type="spellEnd"/>
      <w:r w:rsidRPr="002E4D3A">
        <w:rPr>
          <w:rFonts w:ascii="Book Antiqua" w:eastAsia="宋体" w:hAnsi="Book Antiqua" w:cs="宋体"/>
          <w:b/>
          <w:bCs/>
          <w:sz w:val="24"/>
          <w:szCs w:val="24"/>
          <w:lang w:eastAsia="zh-CN" w:bidi="ar-SA"/>
        </w:rPr>
        <w:t xml:space="preserve"> U</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Gessl</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Borchhardt</w:t>
      </w:r>
      <w:proofErr w:type="spellEnd"/>
      <w:r w:rsidRPr="002E4D3A">
        <w:rPr>
          <w:rFonts w:ascii="Book Antiqua" w:eastAsia="宋体" w:hAnsi="Book Antiqua" w:cs="宋体"/>
          <w:sz w:val="24"/>
          <w:szCs w:val="24"/>
          <w:lang w:eastAsia="zh-CN" w:bidi="ar-SA"/>
        </w:rPr>
        <w:t xml:space="preserve"> K. Long-term clinical practice experience with </w:t>
      </w:r>
      <w:proofErr w:type="spellStart"/>
      <w:r w:rsidRPr="002E4D3A">
        <w:rPr>
          <w:rFonts w:ascii="Book Antiqua" w:eastAsia="宋体" w:hAnsi="Book Antiqua" w:cs="宋体"/>
          <w:sz w:val="24"/>
          <w:szCs w:val="24"/>
          <w:lang w:eastAsia="zh-CN" w:bidi="ar-SA"/>
        </w:rPr>
        <w:t>cinacalcet</w:t>
      </w:r>
      <w:proofErr w:type="spellEnd"/>
      <w:r w:rsidRPr="002E4D3A">
        <w:rPr>
          <w:rFonts w:ascii="Book Antiqua" w:eastAsia="宋体" w:hAnsi="Book Antiqua" w:cs="宋体"/>
          <w:sz w:val="24"/>
          <w:szCs w:val="24"/>
          <w:lang w:eastAsia="zh-CN" w:bidi="ar-SA"/>
        </w:rPr>
        <w:t xml:space="preserve"> for treatment of </w:t>
      </w:r>
      <w:proofErr w:type="spellStart"/>
      <w:r w:rsidRPr="002E4D3A">
        <w:rPr>
          <w:rFonts w:ascii="Book Antiqua" w:eastAsia="宋体" w:hAnsi="Book Antiqua" w:cs="宋体"/>
          <w:sz w:val="24"/>
          <w:szCs w:val="24"/>
          <w:lang w:eastAsia="zh-CN" w:bidi="ar-SA"/>
        </w:rPr>
        <w:t>hypercalcemic</w:t>
      </w:r>
      <w:proofErr w:type="spellEnd"/>
      <w:r w:rsidRPr="002E4D3A">
        <w:rPr>
          <w:rFonts w:ascii="Book Antiqua" w:eastAsia="宋体" w:hAnsi="Book Antiqua" w:cs="宋体"/>
          <w:sz w:val="24"/>
          <w:szCs w:val="24"/>
          <w:lang w:eastAsia="zh-CN" w:bidi="ar-SA"/>
        </w:rPr>
        <w:t xml:space="preserve"> hyperparathyroidism after kidney transplantation. </w:t>
      </w:r>
      <w:r w:rsidRPr="002E4D3A">
        <w:rPr>
          <w:rFonts w:ascii="Book Antiqua" w:eastAsia="宋体" w:hAnsi="Book Antiqua" w:cs="宋体"/>
          <w:i/>
          <w:iCs/>
          <w:sz w:val="24"/>
          <w:szCs w:val="24"/>
          <w:lang w:eastAsia="zh-CN" w:bidi="ar-SA"/>
        </w:rPr>
        <w:t xml:space="preserve">Biomed Res </w:t>
      </w:r>
      <w:proofErr w:type="spellStart"/>
      <w:r w:rsidRPr="002E4D3A">
        <w:rPr>
          <w:rFonts w:ascii="Book Antiqua" w:eastAsia="宋体" w:hAnsi="Book Antiqua" w:cs="宋体"/>
          <w:i/>
          <w:iCs/>
          <w:sz w:val="24"/>
          <w:szCs w:val="24"/>
          <w:lang w:eastAsia="zh-CN" w:bidi="ar-SA"/>
        </w:rPr>
        <w:t>Int</w:t>
      </w:r>
      <w:proofErr w:type="spellEnd"/>
      <w:r w:rsidRPr="002E4D3A">
        <w:rPr>
          <w:rFonts w:ascii="Book Antiqua" w:eastAsia="宋体" w:hAnsi="Book Antiqua" w:cs="宋体"/>
          <w:sz w:val="24"/>
          <w:szCs w:val="24"/>
          <w:lang w:eastAsia="zh-CN" w:bidi="ar-SA"/>
        </w:rPr>
        <w:t xml:space="preserve"> 2015; </w:t>
      </w:r>
      <w:r w:rsidRPr="002E4D3A">
        <w:rPr>
          <w:rFonts w:ascii="Book Antiqua" w:eastAsia="宋体" w:hAnsi="Book Antiqua" w:cs="宋体"/>
          <w:b/>
          <w:bCs/>
          <w:sz w:val="24"/>
          <w:szCs w:val="24"/>
          <w:lang w:eastAsia="zh-CN" w:bidi="ar-SA"/>
        </w:rPr>
        <w:t>2015</w:t>
      </w:r>
      <w:r w:rsidRPr="002E4D3A">
        <w:rPr>
          <w:rFonts w:ascii="Book Antiqua" w:eastAsia="宋体" w:hAnsi="Book Antiqua" w:cs="宋体"/>
          <w:sz w:val="24"/>
          <w:szCs w:val="24"/>
          <w:lang w:eastAsia="zh-CN" w:bidi="ar-SA"/>
        </w:rPr>
        <w:t>: 292654 [PMID: 25861621 DOI: 10.1155/2015/292654]</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113 </w:t>
      </w:r>
      <w:r w:rsidRPr="002E4D3A">
        <w:rPr>
          <w:rFonts w:ascii="Book Antiqua" w:eastAsia="宋体" w:hAnsi="Book Antiqua" w:cs="宋体"/>
          <w:b/>
          <w:bCs/>
          <w:sz w:val="24"/>
          <w:szCs w:val="24"/>
          <w:lang w:eastAsia="zh-CN" w:bidi="ar-SA"/>
        </w:rPr>
        <w:t>Park JH</w:t>
      </w:r>
      <w:r w:rsidRPr="002E4D3A">
        <w:rPr>
          <w:rFonts w:ascii="Book Antiqua" w:eastAsia="宋体" w:hAnsi="Book Antiqua" w:cs="宋体"/>
          <w:sz w:val="24"/>
          <w:szCs w:val="24"/>
          <w:lang w:eastAsia="zh-CN" w:bidi="ar-SA"/>
        </w:rPr>
        <w:t xml:space="preserve">, Kang SW, </w:t>
      </w:r>
      <w:proofErr w:type="spellStart"/>
      <w:r w:rsidRPr="002E4D3A">
        <w:rPr>
          <w:rFonts w:ascii="Book Antiqua" w:eastAsia="宋体" w:hAnsi="Book Antiqua" w:cs="宋体"/>
          <w:sz w:val="24"/>
          <w:szCs w:val="24"/>
          <w:lang w:eastAsia="zh-CN" w:bidi="ar-SA"/>
        </w:rPr>
        <w:t>Jeong</w:t>
      </w:r>
      <w:proofErr w:type="spellEnd"/>
      <w:r w:rsidRPr="002E4D3A">
        <w:rPr>
          <w:rFonts w:ascii="Book Antiqua" w:eastAsia="宋体" w:hAnsi="Book Antiqua" w:cs="宋体"/>
          <w:sz w:val="24"/>
          <w:szCs w:val="24"/>
          <w:lang w:eastAsia="zh-CN" w:bidi="ar-SA"/>
        </w:rPr>
        <w:t xml:space="preserve"> JJ, Nam KH, Chang HS, Chung WY, Park CS. Surgical treatment of tertiary hyperparathyroidism after renal transplantation: a 31-year experience in a single institution. </w:t>
      </w:r>
      <w:proofErr w:type="spellStart"/>
      <w:r w:rsidRPr="002E4D3A">
        <w:rPr>
          <w:rFonts w:ascii="Book Antiqua" w:eastAsia="宋体" w:hAnsi="Book Antiqua" w:cs="宋体"/>
          <w:i/>
          <w:iCs/>
          <w:sz w:val="24"/>
          <w:szCs w:val="24"/>
          <w:lang w:eastAsia="zh-CN" w:bidi="ar-SA"/>
        </w:rPr>
        <w:t>Endocr</w:t>
      </w:r>
      <w:proofErr w:type="spellEnd"/>
      <w:r w:rsidRPr="002E4D3A">
        <w:rPr>
          <w:rFonts w:ascii="Book Antiqua" w:eastAsia="宋体" w:hAnsi="Book Antiqua" w:cs="宋体"/>
          <w:i/>
          <w:iCs/>
          <w:sz w:val="24"/>
          <w:szCs w:val="24"/>
          <w:lang w:eastAsia="zh-CN" w:bidi="ar-SA"/>
        </w:rPr>
        <w:t xml:space="preserve"> J</w:t>
      </w:r>
      <w:r w:rsidRPr="002E4D3A">
        <w:rPr>
          <w:rFonts w:ascii="Book Antiqua" w:eastAsia="宋体" w:hAnsi="Book Antiqua" w:cs="宋体"/>
          <w:sz w:val="24"/>
          <w:szCs w:val="24"/>
          <w:lang w:eastAsia="zh-CN" w:bidi="ar-SA"/>
        </w:rPr>
        <w:t xml:space="preserve"> 2011; </w:t>
      </w:r>
      <w:r w:rsidRPr="002E4D3A">
        <w:rPr>
          <w:rFonts w:ascii="Book Antiqua" w:eastAsia="宋体" w:hAnsi="Book Antiqua" w:cs="宋体"/>
          <w:b/>
          <w:bCs/>
          <w:sz w:val="24"/>
          <w:szCs w:val="24"/>
          <w:lang w:eastAsia="zh-CN" w:bidi="ar-SA"/>
        </w:rPr>
        <w:t>58</w:t>
      </w:r>
      <w:r w:rsidRPr="002E4D3A">
        <w:rPr>
          <w:rFonts w:ascii="Book Antiqua" w:eastAsia="宋体" w:hAnsi="Book Antiqua" w:cs="宋体"/>
          <w:sz w:val="24"/>
          <w:szCs w:val="24"/>
          <w:lang w:eastAsia="zh-CN" w:bidi="ar-SA"/>
        </w:rPr>
        <w:t>: 827-833 [PMID: 21804261]</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114 </w:t>
      </w:r>
      <w:r w:rsidRPr="002E4D3A">
        <w:rPr>
          <w:rFonts w:ascii="Book Antiqua" w:eastAsia="宋体" w:hAnsi="Book Antiqua" w:cs="宋体"/>
          <w:b/>
          <w:bCs/>
          <w:sz w:val="24"/>
          <w:szCs w:val="24"/>
          <w:lang w:eastAsia="zh-CN" w:bidi="ar-SA"/>
        </w:rPr>
        <w:t>Dewberry LK</w:t>
      </w:r>
      <w:r w:rsidRPr="002E4D3A">
        <w:rPr>
          <w:rFonts w:ascii="Book Antiqua" w:eastAsia="宋体" w:hAnsi="Book Antiqua" w:cs="宋体"/>
          <w:sz w:val="24"/>
          <w:szCs w:val="24"/>
          <w:lang w:eastAsia="zh-CN" w:bidi="ar-SA"/>
        </w:rPr>
        <w:t xml:space="preserve">, Weber C, Sharma J. Near total </w:t>
      </w:r>
      <w:proofErr w:type="spellStart"/>
      <w:r w:rsidRPr="002E4D3A">
        <w:rPr>
          <w:rFonts w:ascii="Book Antiqua" w:eastAsia="宋体" w:hAnsi="Book Antiqua" w:cs="宋体"/>
          <w:sz w:val="24"/>
          <w:szCs w:val="24"/>
          <w:lang w:eastAsia="zh-CN" w:bidi="ar-SA"/>
        </w:rPr>
        <w:t>parathyroidectomy</w:t>
      </w:r>
      <w:proofErr w:type="spellEnd"/>
      <w:r w:rsidRPr="002E4D3A">
        <w:rPr>
          <w:rFonts w:ascii="Book Antiqua" w:eastAsia="宋体" w:hAnsi="Book Antiqua" w:cs="宋体"/>
          <w:sz w:val="24"/>
          <w:szCs w:val="24"/>
          <w:lang w:eastAsia="zh-CN" w:bidi="ar-SA"/>
        </w:rPr>
        <w:t xml:space="preserve"> is effective therapy for tertiary hyperparathyroidism. </w:t>
      </w:r>
      <w:r w:rsidRPr="002E4D3A">
        <w:rPr>
          <w:rFonts w:ascii="Book Antiqua" w:eastAsia="宋体" w:hAnsi="Book Antiqua" w:cs="宋体"/>
          <w:i/>
          <w:iCs/>
          <w:sz w:val="24"/>
          <w:szCs w:val="24"/>
          <w:lang w:eastAsia="zh-CN" w:bidi="ar-SA"/>
        </w:rPr>
        <w:t xml:space="preserve">Am </w:t>
      </w:r>
      <w:proofErr w:type="spellStart"/>
      <w:r w:rsidRPr="002E4D3A">
        <w:rPr>
          <w:rFonts w:ascii="Book Antiqua" w:eastAsia="宋体" w:hAnsi="Book Antiqua" w:cs="宋体"/>
          <w:i/>
          <w:iCs/>
          <w:sz w:val="24"/>
          <w:szCs w:val="24"/>
          <w:lang w:eastAsia="zh-CN" w:bidi="ar-SA"/>
        </w:rPr>
        <w:t>Surg</w:t>
      </w:r>
      <w:proofErr w:type="spellEnd"/>
      <w:r w:rsidRPr="002E4D3A">
        <w:rPr>
          <w:rFonts w:ascii="Book Antiqua" w:eastAsia="宋体" w:hAnsi="Book Antiqua" w:cs="宋体"/>
          <w:sz w:val="24"/>
          <w:szCs w:val="24"/>
          <w:lang w:eastAsia="zh-CN" w:bidi="ar-SA"/>
        </w:rPr>
        <w:t xml:space="preserve"> 2014; </w:t>
      </w:r>
      <w:r w:rsidRPr="002E4D3A">
        <w:rPr>
          <w:rFonts w:ascii="Book Antiqua" w:eastAsia="宋体" w:hAnsi="Book Antiqua" w:cs="宋体"/>
          <w:b/>
          <w:bCs/>
          <w:sz w:val="24"/>
          <w:szCs w:val="24"/>
          <w:lang w:eastAsia="zh-CN" w:bidi="ar-SA"/>
        </w:rPr>
        <w:t>80</w:t>
      </w:r>
      <w:r w:rsidRPr="002E4D3A">
        <w:rPr>
          <w:rFonts w:ascii="Book Antiqua" w:eastAsia="宋体" w:hAnsi="Book Antiqua" w:cs="宋体"/>
          <w:sz w:val="24"/>
          <w:szCs w:val="24"/>
          <w:lang w:eastAsia="zh-CN" w:bidi="ar-SA"/>
        </w:rPr>
        <w:t>: 646-651 [PMID: 24987894]</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115 </w:t>
      </w:r>
      <w:r w:rsidRPr="002E4D3A">
        <w:rPr>
          <w:rFonts w:ascii="Book Antiqua" w:eastAsia="宋体" w:hAnsi="Book Antiqua" w:cs="宋体"/>
          <w:b/>
          <w:bCs/>
          <w:sz w:val="24"/>
          <w:szCs w:val="24"/>
          <w:lang w:eastAsia="zh-CN" w:bidi="ar-SA"/>
        </w:rPr>
        <w:t>Parikh S</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Nagaraja</w:t>
      </w:r>
      <w:proofErr w:type="spellEnd"/>
      <w:r w:rsidRPr="002E4D3A">
        <w:rPr>
          <w:rFonts w:ascii="Book Antiqua" w:eastAsia="宋体" w:hAnsi="Book Antiqua" w:cs="宋体"/>
          <w:sz w:val="24"/>
          <w:szCs w:val="24"/>
          <w:lang w:eastAsia="zh-CN" w:bidi="ar-SA"/>
        </w:rPr>
        <w:t xml:space="preserve"> H, </w:t>
      </w:r>
      <w:proofErr w:type="spellStart"/>
      <w:r w:rsidRPr="002E4D3A">
        <w:rPr>
          <w:rFonts w:ascii="Book Antiqua" w:eastAsia="宋体" w:hAnsi="Book Antiqua" w:cs="宋体"/>
          <w:sz w:val="24"/>
          <w:szCs w:val="24"/>
          <w:lang w:eastAsia="zh-CN" w:bidi="ar-SA"/>
        </w:rPr>
        <w:t>Agarwal</w:t>
      </w:r>
      <w:proofErr w:type="spellEnd"/>
      <w:r w:rsidRPr="002E4D3A">
        <w:rPr>
          <w:rFonts w:ascii="Book Antiqua" w:eastAsia="宋体" w:hAnsi="Book Antiqua" w:cs="宋体"/>
          <w:sz w:val="24"/>
          <w:szCs w:val="24"/>
          <w:lang w:eastAsia="zh-CN" w:bidi="ar-SA"/>
        </w:rPr>
        <w:t xml:space="preserve"> A, </w:t>
      </w:r>
      <w:proofErr w:type="spellStart"/>
      <w:r w:rsidRPr="002E4D3A">
        <w:rPr>
          <w:rFonts w:ascii="Book Antiqua" w:eastAsia="宋体" w:hAnsi="Book Antiqua" w:cs="宋体"/>
          <w:sz w:val="24"/>
          <w:szCs w:val="24"/>
          <w:lang w:eastAsia="zh-CN" w:bidi="ar-SA"/>
        </w:rPr>
        <w:t>Samavedi</w:t>
      </w:r>
      <w:proofErr w:type="spellEnd"/>
      <w:r w:rsidRPr="002E4D3A">
        <w:rPr>
          <w:rFonts w:ascii="Book Antiqua" w:eastAsia="宋体" w:hAnsi="Book Antiqua" w:cs="宋体"/>
          <w:sz w:val="24"/>
          <w:szCs w:val="24"/>
          <w:lang w:eastAsia="zh-CN" w:bidi="ar-SA"/>
        </w:rPr>
        <w:t xml:space="preserve"> S, Von </w:t>
      </w:r>
      <w:proofErr w:type="spellStart"/>
      <w:r w:rsidRPr="002E4D3A">
        <w:rPr>
          <w:rFonts w:ascii="Book Antiqua" w:eastAsia="宋体" w:hAnsi="Book Antiqua" w:cs="宋体"/>
          <w:sz w:val="24"/>
          <w:szCs w:val="24"/>
          <w:lang w:eastAsia="zh-CN" w:bidi="ar-SA"/>
        </w:rPr>
        <w:t>Visger</w:t>
      </w:r>
      <w:proofErr w:type="spellEnd"/>
      <w:r w:rsidRPr="002E4D3A">
        <w:rPr>
          <w:rFonts w:ascii="Book Antiqua" w:eastAsia="宋体" w:hAnsi="Book Antiqua" w:cs="宋体"/>
          <w:sz w:val="24"/>
          <w:szCs w:val="24"/>
          <w:lang w:eastAsia="zh-CN" w:bidi="ar-SA"/>
        </w:rPr>
        <w:t xml:space="preserve"> J, </w:t>
      </w:r>
      <w:proofErr w:type="spellStart"/>
      <w:r w:rsidRPr="002E4D3A">
        <w:rPr>
          <w:rFonts w:ascii="Book Antiqua" w:eastAsia="宋体" w:hAnsi="Book Antiqua" w:cs="宋体"/>
          <w:sz w:val="24"/>
          <w:szCs w:val="24"/>
          <w:lang w:eastAsia="zh-CN" w:bidi="ar-SA"/>
        </w:rPr>
        <w:t>Nori</w:t>
      </w:r>
      <w:proofErr w:type="spellEnd"/>
      <w:r w:rsidRPr="002E4D3A">
        <w:rPr>
          <w:rFonts w:ascii="Book Antiqua" w:eastAsia="宋体" w:hAnsi="Book Antiqua" w:cs="宋体"/>
          <w:sz w:val="24"/>
          <w:szCs w:val="24"/>
          <w:lang w:eastAsia="zh-CN" w:bidi="ar-SA"/>
        </w:rPr>
        <w:t xml:space="preserve"> U, </w:t>
      </w:r>
      <w:proofErr w:type="spellStart"/>
      <w:r w:rsidRPr="002E4D3A">
        <w:rPr>
          <w:rFonts w:ascii="Book Antiqua" w:eastAsia="宋体" w:hAnsi="Book Antiqua" w:cs="宋体"/>
          <w:sz w:val="24"/>
          <w:szCs w:val="24"/>
          <w:lang w:eastAsia="zh-CN" w:bidi="ar-SA"/>
        </w:rPr>
        <w:t>Andreoni</w:t>
      </w:r>
      <w:proofErr w:type="spellEnd"/>
      <w:r w:rsidRPr="002E4D3A">
        <w:rPr>
          <w:rFonts w:ascii="Book Antiqua" w:eastAsia="宋体" w:hAnsi="Book Antiqua" w:cs="宋体"/>
          <w:sz w:val="24"/>
          <w:szCs w:val="24"/>
          <w:lang w:eastAsia="zh-CN" w:bidi="ar-SA"/>
        </w:rPr>
        <w:t xml:space="preserve"> K, </w:t>
      </w:r>
      <w:proofErr w:type="spellStart"/>
      <w:r w:rsidRPr="002E4D3A">
        <w:rPr>
          <w:rFonts w:ascii="Book Antiqua" w:eastAsia="宋体" w:hAnsi="Book Antiqua" w:cs="宋体"/>
          <w:sz w:val="24"/>
          <w:szCs w:val="24"/>
          <w:lang w:eastAsia="zh-CN" w:bidi="ar-SA"/>
        </w:rPr>
        <w:t>Pesavento</w:t>
      </w:r>
      <w:proofErr w:type="spellEnd"/>
      <w:r w:rsidRPr="002E4D3A">
        <w:rPr>
          <w:rFonts w:ascii="Book Antiqua" w:eastAsia="宋体" w:hAnsi="Book Antiqua" w:cs="宋体"/>
          <w:sz w:val="24"/>
          <w:szCs w:val="24"/>
          <w:lang w:eastAsia="zh-CN" w:bidi="ar-SA"/>
        </w:rPr>
        <w:t xml:space="preserve"> T, Singh N. Impact of post-kidney transplant </w:t>
      </w:r>
      <w:proofErr w:type="spellStart"/>
      <w:r w:rsidRPr="002E4D3A">
        <w:rPr>
          <w:rFonts w:ascii="Book Antiqua" w:eastAsia="宋体" w:hAnsi="Book Antiqua" w:cs="宋体"/>
          <w:sz w:val="24"/>
          <w:szCs w:val="24"/>
          <w:lang w:eastAsia="zh-CN" w:bidi="ar-SA"/>
        </w:rPr>
        <w:t>parathyroidectomy</w:t>
      </w:r>
      <w:proofErr w:type="spellEnd"/>
      <w:r w:rsidRPr="002E4D3A">
        <w:rPr>
          <w:rFonts w:ascii="Book Antiqua" w:eastAsia="宋体" w:hAnsi="Book Antiqua" w:cs="宋体"/>
          <w:sz w:val="24"/>
          <w:szCs w:val="24"/>
          <w:lang w:eastAsia="zh-CN" w:bidi="ar-SA"/>
        </w:rPr>
        <w:t xml:space="preserve"> on allograft function. </w:t>
      </w:r>
      <w:proofErr w:type="spellStart"/>
      <w:r w:rsidRPr="002E4D3A">
        <w:rPr>
          <w:rFonts w:ascii="Book Antiqua" w:eastAsia="宋体" w:hAnsi="Book Antiqua" w:cs="宋体"/>
          <w:i/>
          <w:iCs/>
          <w:sz w:val="24"/>
          <w:szCs w:val="24"/>
          <w:lang w:eastAsia="zh-CN" w:bidi="ar-SA"/>
        </w:rPr>
        <w:t>Clin</w:t>
      </w:r>
      <w:proofErr w:type="spellEnd"/>
      <w:r w:rsidRPr="002E4D3A">
        <w:rPr>
          <w:rFonts w:ascii="Book Antiqua" w:eastAsia="宋体" w:hAnsi="Book Antiqua" w:cs="宋体"/>
          <w:i/>
          <w:iCs/>
          <w:sz w:val="24"/>
          <w:szCs w:val="24"/>
          <w:lang w:eastAsia="zh-CN" w:bidi="ar-SA"/>
        </w:rPr>
        <w:t xml:space="preserve"> Transplant</w:t>
      </w:r>
      <w:r w:rsidRPr="002E4D3A">
        <w:rPr>
          <w:rFonts w:ascii="Book Antiqua" w:eastAsia="宋体" w:hAnsi="Book Antiqua" w:cs="宋体"/>
          <w:sz w:val="24"/>
          <w:szCs w:val="24"/>
          <w:lang w:eastAsia="zh-CN" w:bidi="ar-SA"/>
        </w:rPr>
        <w:t xml:space="preserve"> </w:t>
      </w:r>
      <w:r w:rsidR="008B48E6">
        <w:rPr>
          <w:rFonts w:ascii="Book Antiqua" w:eastAsia="宋体" w:hAnsi="Book Antiqua" w:cs="宋体"/>
          <w:sz w:val="24"/>
          <w:szCs w:val="24"/>
          <w:lang w:eastAsia="zh-CN" w:bidi="ar-SA"/>
        </w:rPr>
        <w:t>2013</w:t>
      </w:r>
      <w:r w:rsidRPr="002E4D3A">
        <w:rPr>
          <w:rFonts w:ascii="Book Antiqua" w:eastAsia="宋体" w:hAnsi="Book Antiqua" w:cs="宋体"/>
          <w:sz w:val="24"/>
          <w:szCs w:val="24"/>
          <w:lang w:eastAsia="zh-CN" w:bidi="ar-SA"/>
        </w:rPr>
        <w:t xml:space="preserve">; </w:t>
      </w:r>
      <w:r w:rsidRPr="002E4D3A">
        <w:rPr>
          <w:rFonts w:ascii="Book Antiqua" w:eastAsia="宋体" w:hAnsi="Book Antiqua" w:cs="宋体"/>
          <w:b/>
          <w:bCs/>
          <w:sz w:val="24"/>
          <w:szCs w:val="24"/>
          <w:lang w:eastAsia="zh-CN" w:bidi="ar-SA"/>
        </w:rPr>
        <w:t>27</w:t>
      </w:r>
      <w:r w:rsidRPr="002E4D3A">
        <w:rPr>
          <w:rFonts w:ascii="Book Antiqua" w:eastAsia="宋体" w:hAnsi="Book Antiqua" w:cs="宋体"/>
          <w:sz w:val="24"/>
          <w:szCs w:val="24"/>
          <w:lang w:eastAsia="zh-CN" w:bidi="ar-SA"/>
        </w:rPr>
        <w:t>: 397-402 [PMID: 23448282 DOI: 10.1111/ctr.12099]</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116 </w:t>
      </w:r>
      <w:proofErr w:type="spellStart"/>
      <w:r w:rsidRPr="002E4D3A">
        <w:rPr>
          <w:rFonts w:ascii="Book Antiqua" w:eastAsia="宋体" w:hAnsi="Book Antiqua" w:cs="宋体"/>
          <w:b/>
          <w:bCs/>
          <w:sz w:val="24"/>
          <w:szCs w:val="24"/>
          <w:lang w:eastAsia="zh-CN" w:bidi="ar-SA"/>
        </w:rPr>
        <w:t>Jeon</w:t>
      </w:r>
      <w:proofErr w:type="spellEnd"/>
      <w:r w:rsidRPr="002E4D3A">
        <w:rPr>
          <w:rFonts w:ascii="Book Antiqua" w:eastAsia="宋体" w:hAnsi="Book Antiqua" w:cs="宋体"/>
          <w:b/>
          <w:bCs/>
          <w:sz w:val="24"/>
          <w:szCs w:val="24"/>
          <w:lang w:eastAsia="zh-CN" w:bidi="ar-SA"/>
        </w:rPr>
        <w:t xml:space="preserve"> HJ</w:t>
      </w:r>
      <w:r w:rsidRPr="002E4D3A">
        <w:rPr>
          <w:rFonts w:ascii="Book Antiqua" w:eastAsia="宋体" w:hAnsi="Book Antiqua" w:cs="宋体"/>
          <w:sz w:val="24"/>
          <w:szCs w:val="24"/>
          <w:lang w:eastAsia="zh-CN" w:bidi="ar-SA"/>
        </w:rPr>
        <w:t xml:space="preserve">, Kim YJ, Kwon HY, Koo TY, </w:t>
      </w:r>
      <w:proofErr w:type="spellStart"/>
      <w:r w:rsidRPr="002E4D3A">
        <w:rPr>
          <w:rFonts w:ascii="Book Antiqua" w:eastAsia="宋体" w:hAnsi="Book Antiqua" w:cs="宋体"/>
          <w:sz w:val="24"/>
          <w:szCs w:val="24"/>
          <w:lang w:eastAsia="zh-CN" w:bidi="ar-SA"/>
        </w:rPr>
        <w:t>Baek</w:t>
      </w:r>
      <w:proofErr w:type="spellEnd"/>
      <w:r w:rsidRPr="002E4D3A">
        <w:rPr>
          <w:rFonts w:ascii="Book Antiqua" w:eastAsia="宋体" w:hAnsi="Book Antiqua" w:cs="宋体"/>
          <w:sz w:val="24"/>
          <w:szCs w:val="24"/>
          <w:lang w:eastAsia="zh-CN" w:bidi="ar-SA"/>
        </w:rPr>
        <w:t xml:space="preserve"> SH, Kim HJ, Huh WS, Huh KH, Kim MS, Kim YS, Park SK, </w:t>
      </w:r>
      <w:proofErr w:type="spellStart"/>
      <w:r w:rsidRPr="002E4D3A">
        <w:rPr>
          <w:rFonts w:ascii="Book Antiqua" w:eastAsia="宋体" w:hAnsi="Book Antiqua" w:cs="宋体"/>
          <w:sz w:val="24"/>
          <w:szCs w:val="24"/>
          <w:lang w:eastAsia="zh-CN" w:bidi="ar-SA"/>
        </w:rPr>
        <w:t>Ahn</w:t>
      </w:r>
      <w:proofErr w:type="spellEnd"/>
      <w:r w:rsidRPr="002E4D3A">
        <w:rPr>
          <w:rFonts w:ascii="Book Antiqua" w:eastAsia="宋体" w:hAnsi="Book Antiqua" w:cs="宋体"/>
          <w:sz w:val="24"/>
          <w:szCs w:val="24"/>
          <w:lang w:eastAsia="zh-CN" w:bidi="ar-SA"/>
        </w:rPr>
        <w:t xml:space="preserve"> C, Yang J. Impact of </w:t>
      </w:r>
      <w:proofErr w:type="spellStart"/>
      <w:r w:rsidRPr="002E4D3A">
        <w:rPr>
          <w:rFonts w:ascii="Book Antiqua" w:eastAsia="宋体" w:hAnsi="Book Antiqua" w:cs="宋体"/>
          <w:sz w:val="24"/>
          <w:szCs w:val="24"/>
          <w:lang w:eastAsia="zh-CN" w:bidi="ar-SA"/>
        </w:rPr>
        <w:t>parathyroidectomy</w:t>
      </w:r>
      <w:proofErr w:type="spellEnd"/>
      <w:r w:rsidRPr="002E4D3A">
        <w:rPr>
          <w:rFonts w:ascii="Book Antiqua" w:eastAsia="宋体" w:hAnsi="Book Antiqua" w:cs="宋体"/>
          <w:sz w:val="24"/>
          <w:szCs w:val="24"/>
          <w:lang w:eastAsia="zh-CN" w:bidi="ar-SA"/>
        </w:rPr>
        <w:t xml:space="preserve"> on allograft outcomes in kidney transplantation. </w:t>
      </w:r>
      <w:proofErr w:type="spellStart"/>
      <w:r w:rsidRPr="002E4D3A">
        <w:rPr>
          <w:rFonts w:ascii="Book Antiqua" w:eastAsia="宋体" w:hAnsi="Book Antiqua" w:cs="宋体"/>
          <w:i/>
          <w:iCs/>
          <w:sz w:val="24"/>
          <w:szCs w:val="24"/>
          <w:lang w:eastAsia="zh-CN" w:bidi="ar-SA"/>
        </w:rPr>
        <w:t>Transpl</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Int</w:t>
      </w:r>
      <w:proofErr w:type="spellEnd"/>
      <w:r w:rsidRPr="002E4D3A">
        <w:rPr>
          <w:rFonts w:ascii="Book Antiqua" w:eastAsia="宋体" w:hAnsi="Book Antiqua" w:cs="宋体"/>
          <w:sz w:val="24"/>
          <w:szCs w:val="24"/>
          <w:lang w:eastAsia="zh-CN" w:bidi="ar-SA"/>
        </w:rPr>
        <w:t xml:space="preserve"> 2012; </w:t>
      </w:r>
      <w:r w:rsidRPr="002E4D3A">
        <w:rPr>
          <w:rFonts w:ascii="Book Antiqua" w:eastAsia="宋体" w:hAnsi="Book Antiqua" w:cs="宋体"/>
          <w:b/>
          <w:bCs/>
          <w:sz w:val="24"/>
          <w:szCs w:val="24"/>
          <w:lang w:eastAsia="zh-CN" w:bidi="ar-SA"/>
        </w:rPr>
        <w:t>25</w:t>
      </w:r>
      <w:r w:rsidRPr="002E4D3A">
        <w:rPr>
          <w:rFonts w:ascii="Book Antiqua" w:eastAsia="宋体" w:hAnsi="Book Antiqua" w:cs="宋体"/>
          <w:sz w:val="24"/>
          <w:szCs w:val="24"/>
          <w:lang w:eastAsia="zh-CN" w:bidi="ar-SA"/>
        </w:rPr>
        <w:t>: 1248-1256 [PMID: 23020185 DOI: 10.1111/j.1432-2277.2012.01564.x]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117 </w:t>
      </w:r>
      <w:proofErr w:type="spellStart"/>
      <w:r w:rsidRPr="002E4D3A">
        <w:rPr>
          <w:rFonts w:ascii="Book Antiqua" w:eastAsia="宋体" w:hAnsi="Book Antiqua" w:cs="宋体"/>
          <w:b/>
          <w:bCs/>
          <w:sz w:val="24"/>
          <w:szCs w:val="24"/>
          <w:lang w:eastAsia="zh-CN" w:bidi="ar-SA"/>
        </w:rPr>
        <w:t>Jäger</w:t>
      </w:r>
      <w:proofErr w:type="spellEnd"/>
      <w:r w:rsidRPr="002E4D3A">
        <w:rPr>
          <w:rFonts w:ascii="Book Antiqua" w:eastAsia="宋体" w:hAnsi="Book Antiqua" w:cs="宋体"/>
          <w:b/>
          <w:bCs/>
          <w:sz w:val="24"/>
          <w:szCs w:val="24"/>
          <w:lang w:eastAsia="zh-CN" w:bidi="ar-SA"/>
        </w:rPr>
        <w:t xml:space="preserve"> MD</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Emmanouilidis</w:t>
      </w:r>
      <w:proofErr w:type="spellEnd"/>
      <w:r w:rsidRPr="002E4D3A">
        <w:rPr>
          <w:rFonts w:ascii="Book Antiqua" w:eastAsia="宋体" w:hAnsi="Book Antiqua" w:cs="宋体"/>
          <w:sz w:val="24"/>
          <w:szCs w:val="24"/>
          <w:lang w:eastAsia="zh-CN" w:bidi="ar-SA"/>
        </w:rPr>
        <w:t xml:space="preserve"> N, </w:t>
      </w:r>
      <w:proofErr w:type="spellStart"/>
      <w:r w:rsidRPr="002E4D3A">
        <w:rPr>
          <w:rFonts w:ascii="Book Antiqua" w:eastAsia="宋体" w:hAnsi="Book Antiqua" w:cs="宋体"/>
          <w:sz w:val="24"/>
          <w:szCs w:val="24"/>
          <w:lang w:eastAsia="zh-CN" w:bidi="ar-SA"/>
        </w:rPr>
        <w:t>Jackobs</w:t>
      </w:r>
      <w:proofErr w:type="spellEnd"/>
      <w:r w:rsidRPr="002E4D3A">
        <w:rPr>
          <w:rFonts w:ascii="Book Antiqua" w:eastAsia="宋体" w:hAnsi="Book Antiqua" w:cs="宋体"/>
          <w:sz w:val="24"/>
          <w:szCs w:val="24"/>
          <w:lang w:eastAsia="zh-CN" w:bidi="ar-SA"/>
        </w:rPr>
        <w:t xml:space="preserve"> S, </w:t>
      </w:r>
      <w:proofErr w:type="spellStart"/>
      <w:r w:rsidRPr="002E4D3A">
        <w:rPr>
          <w:rFonts w:ascii="Book Antiqua" w:eastAsia="宋体" w:hAnsi="Book Antiqua" w:cs="宋体"/>
          <w:sz w:val="24"/>
          <w:szCs w:val="24"/>
          <w:lang w:eastAsia="zh-CN" w:bidi="ar-SA"/>
        </w:rPr>
        <w:t>Kespohl</w:t>
      </w:r>
      <w:proofErr w:type="spellEnd"/>
      <w:r w:rsidRPr="002E4D3A">
        <w:rPr>
          <w:rFonts w:ascii="Book Antiqua" w:eastAsia="宋体" w:hAnsi="Book Antiqua" w:cs="宋体"/>
          <w:sz w:val="24"/>
          <w:szCs w:val="24"/>
          <w:lang w:eastAsia="zh-CN" w:bidi="ar-SA"/>
        </w:rPr>
        <w:t xml:space="preserve"> H, </w:t>
      </w:r>
      <w:proofErr w:type="spellStart"/>
      <w:r w:rsidRPr="002E4D3A">
        <w:rPr>
          <w:rFonts w:ascii="Book Antiqua" w:eastAsia="宋体" w:hAnsi="Book Antiqua" w:cs="宋体"/>
          <w:sz w:val="24"/>
          <w:szCs w:val="24"/>
          <w:lang w:eastAsia="zh-CN" w:bidi="ar-SA"/>
        </w:rPr>
        <w:t>Hett</w:t>
      </w:r>
      <w:proofErr w:type="spellEnd"/>
      <w:r w:rsidRPr="002E4D3A">
        <w:rPr>
          <w:rFonts w:ascii="Book Antiqua" w:eastAsia="宋体" w:hAnsi="Book Antiqua" w:cs="宋体"/>
          <w:sz w:val="24"/>
          <w:szCs w:val="24"/>
          <w:lang w:eastAsia="zh-CN" w:bidi="ar-SA"/>
        </w:rPr>
        <w:t xml:space="preserve"> J, </w:t>
      </w:r>
      <w:proofErr w:type="spellStart"/>
      <w:r w:rsidRPr="002E4D3A">
        <w:rPr>
          <w:rFonts w:ascii="Book Antiqua" w:eastAsia="宋体" w:hAnsi="Book Antiqua" w:cs="宋体"/>
          <w:sz w:val="24"/>
          <w:szCs w:val="24"/>
          <w:lang w:eastAsia="zh-CN" w:bidi="ar-SA"/>
        </w:rPr>
        <w:t>Musatkin</w:t>
      </w:r>
      <w:proofErr w:type="spellEnd"/>
      <w:r w:rsidRPr="002E4D3A">
        <w:rPr>
          <w:rFonts w:ascii="Book Antiqua" w:eastAsia="宋体" w:hAnsi="Book Antiqua" w:cs="宋体"/>
          <w:sz w:val="24"/>
          <w:szCs w:val="24"/>
          <w:lang w:eastAsia="zh-CN" w:bidi="ar-SA"/>
        </w:rPr>
        <w:t xml:space="preserve"> D, </w:t>
      </w:r>
      <w:proofErr w:type="spellStart"/>
      <w:r w:rsidRPr="002E4D3A">
        <w:rPr>
          <w:rFonts w:ascii="Book Antiqua" w:eastAsia="宋体" w:hAnsi="Book Antiqua" w:cs="宋体"/>
          <w:sz w:val="24"/>
          <w:szCs w:val="24"/>
          <w:lang w:eastAsia="zh-CN" w:bidi="ar-SA"/>
        </w:rPr>
        <w:t>Tränkenschuh</w:t>
      </w:r>
      <w:proofErr w:type="spellEnd"/>
      <w:r w:rsidRPr="002E4D3A">
        <w:rPr>
          <w:rFonts w:ascii="Book Antiqua" w:eastAsia="宋体" w:hAnsi="Book Antiqua" w:cs="宋体"/>
          <w:sz w:val="24"/>
          <w:szCs w:val="24"/>
          <w:lang w:eastAsia="zh-CN" w:bidi="ar-SA"/>
        </w:rPr>
        <w:t xml:space="preserve"> W, </w:t>
      </w:r>
      <w:proofErr w:type="spellStart"/>
      <w:r w:rsidRPr="002E4D3A">
        <w:rPr>
          <w:rFonts w:ascii="Book Antiqua" w:eastAsia="宋体" w:hAnsi="Book Antiqua" w:cs="宋体"/>
          <w:sz w:val="24"/>
          <w:szCs w:val="24"/>
          <w:lang w:eastAsia="zh-CN" w:bidi="ar-SA"/>
        </w:rPr>
        <w:t>Schrem</w:t>
      </w:r>
      <w:proofErr w:type="spellEnd"/>
      <w:r w:rsidRPr="002E4D3A">
        <w:rPr>
          <w:rFonts w:ascii="Book Antiqua" w:eastAsia="宋体" w:hAnsi="Book Antiqua" w:cs="宋体"/>
          <w:sz w:val="24"/>
          <w:szCs w:val="24"/>
          <w:lang w:eastAsia="zh-CN" w:bidi="ar-SA"/>
        </w:rPr>
        <w:t xml:space="preserve"> H, </w:t>
      </w:r>
      <w:proofErr w:type="spellStart"/>
      <w:r w:rsidRPr="002E4D3A">
        <w:rPr>
          <w:rFonts w:ascii="Book Antiqua" w:eastAsia="宋体" w:hAnsi="Book Antiqua" w:cs="宋体"/>
          <w:sz w:val="24"/>
          <w:szCs w:val="24"/>
          <w:lang w:eastAsia="zh-CN" w:bidi="ar-SA"/>
        </w:rPr>
        <w:t>Klempnauer</w:t>
      </w:r>
      <w:proofErr w:type="spellEnd"/>
      <w:r w:rsidRPr="002E4D3A">
        <w:rPr>
          <w:rFonts w:ascii="Book Antiqua" w:eastAsia="宋体" w:hAnsi="Book Antiqua" w:cs="宋体"/>
          <w:sz w:val="24"/>
          <w:szCs w:val="24"/>
          <w:lang w:eastAsia="zh-CN" w:bidi="ar-SA"/>
        </w:rPr>
        <w:t xml:space="preserve"> J, </w:t>
      </w:r>
      <w:proofErr w:type="spellStart"/>
      <w:r w:rsidRPr="002E4D3A">
        <w:rPr>
          <w:rFonts w:ascii="Book Antiqua" w:eastAsia="宋体" w:hAnsi="Book Antiqua" w:cs="宋体"/>
          <w:sz w:val="24"/>
          <w:szCs w:val="24"/>
          <w:lang w:eastAsia="zh-CN" w:bidi="ar-SA"/>
        </w:rPr>
        <w:t>Scheumann</w:t>
      </w:r>
      <w:proofErr w:type="spellEnd"/>
      <w:r w:rsidRPr="002E4D3A">
        <w:rPr>
          <w:rFonts w:ascii="Book Antiqua" w:eastAsia="宋体" w:hAnsi="Book Antiqua" w:cs="宋体"/>
          <w:sz w:val="24"/>
          <w:szCs w:val="24"/>
          <w:lang w:eastAsia="zh-CN" w:bidi="ar-SA"/>
        </w:rPr>
        <w:t xml:space="preserve"> GF. Presence of small parathyroid glands in renal transplant patients supports less-than-total </w:t>
      </w:r>
      <w:proofErr w:type="spellStart"/>
      <w:r w:rsidRPr="002E4D3A">
        <w:rPr>
          <w:rFonts w:ascii="Book Antiqua" w:eastAsia="宋体" w:hAnsi="Book Antiqua" w:cs="宋体"/>
          <w:sz w:val="24"/>
          <w:szCs w:val="24"/>
          <w:lang w:eastAsia="zh-CN" w:bidi="ar-SA"/>
        </w:rPr>
        <w:t>parathyroidectomy</w:t>
      </w:r>
      <w:proofErr w:type="spellEnd"/>
      <w:r w:rsidRPr="002E4D3A">
        <w:rPr>
          <w:rFonts w:ascii="Book Antiqua" w:eastAsia="宋体" w:hAnsi="Book Antiqua" w:cs="宋体"/>
          <w:sz w:val="24"/>
          <w:szCs w:val="24"/>
          <w:lang w:eastAsia="zh-CN" w:bidi="ar-SA"/>
        </w:rPr>
        <w:t xml:space="preserve"> to treat </w:t>
      </w:r>
      <w:proofErr w:type="spellStart"/>
      <w:r w:rsidRPr="002E4D3A">
        <w:rPr>
          <w:rFonts w:ascii="Book Antiqua" w:eastAsia="宋体" w:hAnsi="Book Antiqua" w:cs="宋体"/>
          <w:sz w:val="24"/>
          <w:szCs w:val="24"/>
          <w:lang w:eastAsia="zh-CN" w:bidi="ar-SA"/>
        </w:rPr>
        <w:t>hypercalcemic</w:t>
      </w:r>
      <w:proofErr w:type="spellEnd"/>
      <w:r w:rsidRPr="002E4D3A">
        <w:rPr>
          <w:rFonts w:ascii="Book Antiqua" w:eastAsia="宋体" w:hAnsi="Book Antiqua" w:cs="宋体"/>
          <w:sz w:val="24"/>
          <w:szCs w:val="24"/>
          <w:lang w:eastAsia="zh-CN" w:bidi="ar-SA"/>
        </w:rPr>
        <w:t xml:space="preserve"> hyperparathyroidism. </w:t>
      </w:r>
      <w:r w:rsidRPr="002E4D3A">
        <w:rPr>
          <w:rFonts w:ascii="Book Antiqua" w:eastAsia="宋体" w:hAnsi="Book Antiqua" w:cs="宋体"/>
          <w:i/>
          <w:iCs/>
          <w:sz w:val="24"/>
          <w:szCs w:val="24"/>
          <w:lang w:eastAsia="zh-CN" w:bidi="ar-SA"/>
        </w:rPr>
        <w:t>Surgery</w:t>
      </w:r>
      <w:r w:rsidRPr="002E4D3A">
        <w:rPr>
          <w:rFonts w:ascii="Book Antiqua" w:eastAsia="宋体" w:hAnsi="Book Antiqua" w:cs="宋体"/>
          <w:sz w:val="24"/>
          <w:szCs w:val="24"/>
          <w:lang w:eastAsia="zh-CN" w:bidi="ar-SA"/>
        </w:rPr>
        <w:t xml:space="preserve"> 2014; </w:t>
      </w:r>
      <w:r w:rsidRPr="002E4D3A">
        <w:rPr>
          <w:rFonts w:ascii="Book Antiqua" w:eastAsia="宋体" w:hAnsi="Book Antiqua" w:cs="宋体"/>
          <w:b/>
          <w:bCs/>
          <w:sz w:val="24"/>
          <w:szCs w:val="24"/>
          <w:lang w:eastAsia="zh-CN" w:bidi="ar-SA"/>
        </w:rPr>
        <w:t>155</w:t>
      </w:r>
      <w:r w:rsidRPr="002E4D3A">
        <w:rPr>
          <w:rFonts w:ascii="Book Antiqua" w:eastAsia="宋体" w:hAnsi="Book Antiqua" w:cs="宋体"/>
          <w:sz w:val="24"/>
          <w:szCs w:val="24"/>
          <w:lang w:eastAsia="zh-CN" w:bidi="ar-SA"/>
        </w:rPr>
        <w:t>: 22-32 [PMID: 24621404 DOI: 10.1016/j.surg.2013.06.011]</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proofErr w:type="gramStart"/>
      <w:r w:rsidRPr="002E4D3A">
        <w:rPr>
          <w:rFonts w:ascii="Book Antiqua" w:eastAsia="宋体" w:hAnsi="Book Antiqua" w:cs="宋体"/>
          <w:sz w:val="24"/>
          <w:szCs w:val="24"/>
          <w:lang w:eastAsia="zh-CN" w:bidi="ar-SA"/>
        </w:rPr>
        <w:lastRenderedPageBreak/>
        <w:t xml:space="preserve">118 </w:t>
      </w:r>
      <w:proofErr w:type="spellStart"/>
      <w:r w:rsidRPr="002E4D3A">
        <w:rPr>
          <w:rFonts w:ascii="Book Antiqua" w:eastAsia="宋体" w:hAnsi="Book Antiqua" w:cs="宋体"/>
          <w:b/>
          <w:bCs/>
          <w:sz w:val="24"/>
          <w:szCs w:val="24"/>
          <w:lang w:eastAsia="zh-CN" w:bidi="ar-SA"/>
        </w:rPr>
        <w:t>Torregrosa</w:t>
      </w:r>
      <w:proofErr w:type="spellEnd"/>
      <w:r w:rsidRPr="002E4D3A">
        <w:rPr>
          <w:rFonts w:ascii="Book Antiqua" w:eastAsia="宋体" w:hAnsi="Book Antiqua" w:cs="宋体"/>
          <w:b/>
          <w:bCs/>
          <w:sz w:val="24"/>
          <w:szCs w:val="24"/>
          <w:lang w:eastAsia="zh-CN" w:bidi="ar-SA"/>
        </w:rPr>
        <w:t xml:space="preserve"> JV</w:t>
      </w:r>
      <w:r w:rsidRPr="002E4D3A">
        <w:rPr>
          <w:rFonts w:ascii="Book Antiqua" w:eastAsia="宋体" w:hAnsi="Book Antiqua" w:cs="宋体"/>
          <w:sz w:val="24"/>
          <w:szCs w:val="24"/>
          <w:lang w:eastAsia="zh-CN" w:bidi="ar-SA"/>
        </w:rPr>
        <w:t xml:space="preserve">, Barros X. Management of </w:t>
      </w:r>
      <w:proofErr w:type="spellStart"/>
      <w:r w:rsidRPr="002E4D3A">
        <w:rPr>
          <w:rFonts w:ascii="Book Antiqua" w:eastAsia="宋体" w:hAnsi="Book Antiqua" w:cs="宋体"/>
          <w:sz w:val="24"/>
          <w:szCs w:val="24"/>
          <w:lang w:eastAsia="zh-CN" w:bidi="ar-SA"/>
        </w:rPr>
        <w:t>hypercalcemia</w:t>
      </w:r>
      <w:proofErr w:type="spellEnd"/>
      <w:r w:rsidRPr="002E4D3A">
        <w:rPr>
          <w:rFonts w:ascii="Book Antiqua" w:eastAsia="宋体" w:hAnsi="Book Antiqua" w:cs="宋体"/>
          <w:sz w:val="24"/>
          <w:szCs w:val="24"/>
          <w:lang w:eastAsia="zh-CN" w:bidi="ar-SA"/>
        </w:rPr>
        <w:t xml:space="preserve"> after renal transplantation.</w:t>
      </w:r>
      <w:proofErr w:type="gramEnd"/>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i/>
          <w:iCs/>
          <w:sz w:val="24"/>
          <w:szCs w:val="24"/>
          <w:lang w:eastAsia="zh-CN" w:bidi="ar-SA"/>
        </w:rPr>
        <w:t>Nefrologia</w:t>
      </w:r>
      <w:proofErr w:type="spellEnd"/>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33</w:t>
      </w:r>
      <w:r w:rsidRPr="002E4D3A">
        <w:rPr>
          <w:rFonts w:ascii="Book Antiqua" w:eastAsia="宋体" w:hAnsi="Book Antiqua" w:cs="宋体"/>
          <w:sz w:val="24"/>
          <w:szCs w:val="24"/>
          <w:lang w:eastAsia="zh-CN" w:bidi="ar-SA"/>
        </w:rPr>
        <w:t>: 751-757 [PMID: 24241361 DOI: 10.3265/Nefrologia.pre2013.Aug.11888]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119 </w:t>
      </w:r>
      <w:proofErr w:type="spellStart"/>
      <w:r w:rsidRPr="002E4D3A">
        <w:rPr>
          <w:rFonts w:ascii="Book Antiqua" w:eastAsia="宋体" w:hAnsi="Book Antiqua" w:cs="宋体"/>
          <w:b/>
          <w:bCs/>
          <w:sz w:val="24"/>
          <w:szCs w:val="24"/>
          <w:lang w:eastAsia="zh-CN" w:bidi="ar-SA"/>
        </w:rPr>
        <w:t>Alshayeb</w:t>
      </w:r>
      <w:proofErr w:type="spellEnd"/>
      <w:r w:rsidRPr="002E4D3A">
        <w:rPr>
          <w:rFonts w:ascii="Book Antiqua" w:eastAsia="宋体" w:hAnsi="Book Antiqua" w:cs="宋体"/>
          <w:b/>
          <w:bCs/>
          <w:sz w:val="24"/>
          <w:szCs w:val="24"/>
          <w:lang w:eastAsia="zh-CN" w:bidi="ar-SA"/>
        </w:rPr>
        <w:t xml:space="preserve"> HM</w:t>
      </w:r>
      <w:r w:rsidRPr="002E4D3A">
        <w:rPr>
          <w:rFonts w:ascii="Book Antiqua" w:eastAsia="宋体" w:hAnsi="Book Antiqua" w:cs="宋体"/>
          <w:sz w:val="24"/>
          <w:szCs w:val="24"/>
          <w:lang w:eastAsia="zh-CN" w:bidi="ar-SA"/>
        </w:rPr>
        <w:t xml:space="preserve">, Josephson MA, Sprague SM. CKD-mineral and bone disorder management in kidney transplant recipients. </w:t>
      </w:r>
      <w:r w:rsidRPr="002E4D3A">
        <w:rPr>
          <w:rFonts w:ascii="Book Antiqua" w:eastAsia="宋体" w:hAnsi="Book Antiqua" w:cs="宋体"/>
          <w:i/>
          <w:iCs/>
          <w:sz w:val="24"/>
          <w:szCs w:val="24"/>
          <w:lang w:eastAsia="zh-CN" w:bidi="ar-SA"/>
        </w:rPr>
        <w:t>Am J Kidney Dis</w:t>
      </w:r>
      <w:r w:rsidRPr="002E4D3A">
        <w:rPr>
          <w:rFonts w:ascii="Book Antiqua" w:eastAsia="宋体" w:hAnsi="Book Antiqua" w:cs="宋体"/>
          <w:sz w:val="24"/>
          <w:szCs w:val="24"/>
          <w:lang w:eastAsia="zh-CN" w:bidi="ar-SA"/>
        </w:rPr>
        <w:t xml:space="preserve"> 2013; </w:t>
      </w:r>
      <w:r w:rsidRPr="002E4D3A">
        <w:rPr>
          <w:rFonts w:ascii="Book Antiqua" w:eastAsia="宋体" w:hAnsi="Book Antiqua" w:cs="宋体"/>
          <w:b/>
          <w:bCs/>
          <w:sz w:val="24"/>
          <w:szCs w:val="24"/>
          <w:lang w:eastAsia="zh-CN" w:bidi="ar-SA"/>
        </w:rPr>
        <w:t>61</w:t>
      </w:r>
      <w:r w:rsidRPr="002E4D3A">
        <w:rPr>
          <w:rFonts w:ascii="Book Antiqua" w:eastAsia="宋体" w:hAnsi="Book Antiqua" w:cs="宋体"/>
          <w:sz w:val="24"/>
          <w:szCs w:val="24"/>
          <w:lang w:eastAsia="zh-CN" w:bidi="ar-SA"/>
        </w:rPr>
        <w:t>: 310-325 [PMID: 23102732 DOI: 10.1053/j.ajkd.2012.07.022]</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120 </w:t>
      </w:r>
      <w:proofErr w:type="spellStart"/>
      <w:r w:rsidRPr="002E4D3A">
        <w:rPr>
          <w:rFonts w:ascii="Book Antiqua" w:eastAsia="宋体" w:hAnsi="Book Antiqua" w:cs="宋体"/>
          <w:b/>
          <w:bCs/>
          <w:sz w:val="24"/>
          <w:szCs w:val="24"/>
          <w:lang w:eastAsia="zh-CN" w:bidi="ar-SA"/>
        </w:rPr>
        <w:t>Nogueira</w:t>
      </w:r>
      <w:proofErr w:type="spellEnd"/>
      <w:r w:rsidRPr="002E4D3A">
        <w:rPr>
          <w:rFonts w:ascii="Book Antiqua" w:eastAsia="宋体" w:hAnsi="Book Antiqua" w:cs="宋体"/>
          <w:b/>
          <w:bCs/>
          <w:sz w:val="24"/>
          <w:szCs w:val="24"/>
          <w:lang w:eastAsia="zh-CN" w:bidi="ar-SA"/>
        </w:rPr>
        <w:t xml:space="preserve"> EL</w:t>
      </w:r>
      <w:r w:rsidRPr="002E4D3A">
        <w:rPr>
          <w:rFonts w:ascii="Book Antiqua" w:eastAsia="宋体" w:hAnsi="Book Antiqua" w:cs="宋体"/>
          <w:sz w:val="24"/>
          <w:szCs w:val="24"/>
          <w:lang w:eastAsia="zh-CN" w:bidi="ar-SA"/>
        </w:rPr>
        <w:t>, Costa AC, Santana A, Guerra JO, Silva S, Mil-</w:t>
      </w:r>
      <w:proofErr w:type="spellStart"/>
      <w:r w:rsidRPr="002E4D3A">
        <w:rPr>
          <w:rFonts w:ascii="Book Antiqua" w:eastAsia="宋体" w:hAnsi="Book Antiqua" w:cs="宋体"/>
          <w:sz w:val="24"/>
          <w:szCs w:val="24"/>
          <w:lang w:eastAsia="zh-CN" w:bidi="ar-SA"/>
        </w:rPr>
        <w:t>Homens</w:t>
      </w:r>
      <w:proofErr w:type="spellEnd"/>
      <w:r w:rsidRPr="002E4D3A">
        <w:rPr>
          <w:rFonts w:ascii="Book Antiqua" w:eastAsia="宋体" w:hAnsi="Book Antiqua" w:cs="宋体"/>
          <w:sz w:val="24"/>
          <w:szCs w:val="24"/>
          <w:lang w:eastAsia="zh-CN" w:bidi="ar-SA"/>
        </w:rPr>
        <w:t xml:space="preserve"> C, Costa AG. </w:t>
      </w:r>
      <w:proofErr w:type="spellStart"/>
      <w:r w:rsidRPr="002E4D3A">
        <w:rPr>
          <w:rFonts w:ascii="Book Antiqua" w:eastAsia="宋体" w:hAnsi="Book Antiqua" w:cs="宋体"/>
          <w:sz w:val="24"/>
          <w:szCs w:val="24"/>
          <w:lang w:eastAsia="zh-CN" w:bidi="ar-SA"/>
        </w:rPr>
        <w:t>Teriparatide</w:t>
      </w:r>
      <w:proofErr w:type="spellEnd"/>
      <w:r w:rsidRPr="002E4D3A">
        <w:rPr>
          <w:rFonts w:ascii="Book Antiqua" w:eastAsia="宋体" w:hAnsi="Book Antiqua" w:cs="宋体"/>
          <w:sz w:val="24"/>
          <w:szCs w:val="24"/>
          <w:lang w:eastAsia="zh-CN" w:bidi="ar-SA"/>
        </w:rPr>
        <w:t xml:space="preserve"> efficacy in the treatment of severe </w:t>
      </w:r>
      <w:proofErr w:type="spellStart"/>
      <w:r w:rsidRPr="002E4D3A">
        <w:rPr>
          <w:rFonts w:ascii="Book Antiqua" w:eastAsia="宋体" w:hAnsi="Book Antiqua" w:cs="宋体"/>
          <w:sz w:val="24"/>
          <w:szCs w:val="24"/>
          <w:lang w:eastAsia="zh-CN" w:bidi="ar-SA"/>
        </w:rPr>
        <w:t>hypocalcemia</w:t>
      </w:r>
      <w:proofErr w:type="spellEnd"/>
      <w:r w:rsidRPr="002E4D3A">
        <w:rPr>
          <w:rFonts w:ascii="Book Antiqua" w:eastAsia="宋体" w:hAnsi="Book Antiqua" w:cs="宋体"/>
          <w:sz w:val="24"/>
          <w:szCs w:val="24"/>
          <w:lang w:eastAsia="zh-CN" w:bidi="ar-SA"/>
        </w:rPr>
        <w:t xml:space="preserve"> after kidney transplantation in </w:t>
      </w:r>
      <w:proofErr w:type="spellStart"/>
      <w:r w:rsidRPr="002E4D3A">
        <w:rPr>
          <w:rFonts w:ascii="Book Antiqua" w:eastAsia="宋体" w:hAnsi="Book Antiqua" w:cs="宋体"/>
          <w:sz w:val="24"/>
          <w:szCs w:val="24"/>
          <w:lang w:eastAsia="zh-CN" w:bidi="ar-SA"/>
        </w:rPr>
        <w:t>parathyroidectomized</w:t>
      </w:r>
      <w:proofErr w:type="spellEnd"/>
      <w:r w:rsidRPr="002E4D3A">
        <w:rPr>
          <w:rFonts w:ascii="Book Antiqua" w:eastAsia="宋体" w:hAnsi="Book Antiqua" w:cs="宋体"/>
          <w:sz w:val="24"/>
          <w:szCs w:val="24"/>
          <w:lang w:eastAsia="zh-CN" w:bidi="ar-SA"/>
        </w:rPr>
        <w:t xml:space="preserve"> patients: a series of five case reports. </w:t>
      </w:r>
      <w:r w:rsidRPr="002E4D3A">
        <w:rPr>
          <w:rFonts w:ascii="Book Antiqua" w:eastAsia="宋体" w:hAnsi="Book Antiqua" w:cs="宋体"/>
          <w:i/>
          <w:iCs/>
          <w:sz w:val="24"/>
          <w:szCs w:val="24"/>
          <w:lang w:eastAsia="zh-CN" w:bidi="ar-SA"/>
        </w:rPr>
        <w:t>Transplantation</w:t>
      </w:r>
      <w:r w:rsidRPr="002E4D3A">
        <w:rPr>
          <w:rFonts w:ascii="Book Antiqua" w:eastAsia="宋体" w:hAnsi="Book Antiqua" w:cs="宋体"/>
          <w:sz w:val="24"/>
          <w:szCs w:val="24"/>
          <w:lang w:eastAsia="zh-CN" w:bidi="ar-SA"/>
        </w:rPr>
        <w:t xml:space="preserve"> 2011; </w:t>
      </w:r>
      <w:r w:rsidRPr="002E4D3A">
        <w:rPr>
          <w:rFonts w:ascii="Book Antiqua" w:eastAsia="宋体" w:hAnsi="Book Antiqua" w:cs="宋体"/>
          <w:b/>
          <w:bCs/>
          <w:sz w:val="24"/>
          <w:szCs w:val="24"/>
          <w:lang w:eastAsia="zh-CN" w:bidi="ar-SA"/>
        </w:rPr>
        <w:t>92</w:t>
      </w:r>
      <w:r w:rsidRPr="002E4D3A">
        <w:rPr>
          <w:rFonts w:ascii="Book Antiqua" w:eastAsia="宋体" w:hAnsi="Book Antiqua" w:cs="宋体"/>
          <w:sz w:val="24"/>
          <w:szCs w:val="24"/>
          <w:lang w:eastAsia="zh-CN" w:bidi="ar-SA"/>
        </w:rPr>
        <w:t>: 316-320 [PMID: 21694663 DOI: 10.1097/TP.0b013e3182247b98]</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121 </w:t>
      </w:r>
      <w:r w:rsidRPr="002E4D3A">
        <w:rPr>
          <w:rFonts w:ascii="Book Antiqua" w:eastAsia="宋体" w:hAnsi="Book Antiqua" w:cs="宋体"/>
          <w:b/>
          <w:bCs/>
          <w:sz w:val="24"/>
          <w:szCs w:val="24"/>
          <w:lang w:eastAsia="zh-CN" w:bidi="ar-SA"/>
        </w:rPr>
        <w:t>Schneider R</w:t>
      </w:r>
      <w:r w:rsidRPr="002E4D3A">
        <w:rPr>
          <w:rFonts w:ascii="Book Antiqua" w:eastAsia="宋体" w:hAnsi="Book Antiqua" w:cs="宋体"/>
          <w:sz w:val="24"/>
          <w:szCs w:val="24"/>
          <w:lang w:eastAsia="zh-CN" w:bidi="ar-SA"/>
        </w:rPr>
        <w:t xml:space="preserve">, </w:t>
      </w:r>
      <w:proofErr w:type="spellStart"/>
      <w:r w:rsidRPr="002E4D3A">
        <w:rPr>
          <w:rFonts w:ascii="Book Antiqua" w:eastAsia="宋体" w:hAnsi="Book Antiqua" w:cs="宋体"/>
          <w:sz w:val="24"/>
          <w:szCs w:val="24"/>
          <w:lang w:eastAsia="zh-CN" w:bidi="ar-SA"/>
        </w:rPr>
        <w:t>Ramaswamy</w:t>
      </w:r>
      <w:proofErr w:type="spellEnd"/>
      <w:r w:rsidRPr="002E4D3A">
        <w:rPr>
          <w:rFonts w:ascii="Book Antiqua" w:eastAsia="宋体" w:hAnsi="Book Antiqua" w:cs="宋体"/>
          <w:sz w:val="24"/>
          <w:szCs w:val="24"/>
          <w:lang w:eastAsia="zh-CN" w:bidi="ar-SA"/>
        </w:rPr>
        <w:t xml:space="preserve"> A, Slater EP, </w:t>
      </w:r>
      <w:proofErr w:type="spellStart"/>
      <w:r w:rsidRPr="002E4D3A">
        <w:rPr>
          <w:rFonts w:ascii="Book Antiqua" w:eastAsia="宋体" w:hAnsi="Book Antiqua" w:cs="宋体"/>
          <w:sz w:val="24"/>
          <w:szCs w:val="24"/>
          <w:lang w:eastAsia="zh-CN" w:bidi="ar-SA"/>
        </w:rPr>
        <w:t>Bartsch</w:t>
      </w:r>
      <w:proofErr w:type="spellEnd"/>
      <w:r w:rsidRPr="002E4D3A">
        <w:rPr>
          <w:rFonts w:ascii="Book Antiqua" w:eastAsia="宋体" w:hAnsi="Book Antiqua" w:cs="宋体"/>
          <w:sz w:val="24"/>
          <w:szCs w:val="24"/>
          <w:lang w:eastAsia="zh-CN" w:bidi="ar-SA"/>
        </w:rPr>
        <w:t xml:space="preserve"> DK, Schlosser K. Cryopreservation of parathyroid tissue after parathyroid surgery for renal hyperparathyroidism: does it really make sense? </w:t>
      </w:r>
      <w:r w:rsidRPr="002E4D3A">
        <w:rPr>
          <w:rFonts w:ascii="Book Antiqua" w:eastAsia="宋体" w:hAnsi="Book Antiqua" w:cs="宋体"/>
          <w:i/>
          <w:iCs/>
          <w:sz w:val="24"/>
          <w:szCs w:val="24"/>
          <w:lang w:eastAsia="zh-CN" w:bidi="ar-SA"/>
        </w:rPr>
        <w:t xml:space="preserve">World J </w:t>
      </w:r>
      <w:proofErr w:type="spellStart"/>
      <w:r w:rsidRPr="002E4D3A">
        <w:rPr>
          <w:rFonts w:ascii="Book Antiqua" w:eastAsia="宋体" w:hAnsi="Book Antiqua" w:cs="宋体"/>
          <w:i/>
          <w:iCs/>
          <w:sz w:val="24"/>
          <w:szCs w:val="24"/>
          <w:lang w:eastAsia="zh-CN" w:bidi="ar-SA"/>
        </w:rPr>
        <w:t>Surg</w:t>
      </w:r>
      <w:proofErr w:type="spellEnd"/>
      <w:r w:rsidRPr="002E4D3A">
        <w:rPr>
          <w:rFonts w:ascii="Book Antiqua" w:eastAsia="宋体" w:hAnsi="Book Antiqua" w:cs="宋体"/>
          <w:sz w:val="24"/>
          <w:szCs w:val="24"/>
          <w:lang w:eastAsia="zh-CN" w:bidi="ar-SA"/>
        </w:rPr>
        <w:t xml:space="preserve"> 2012; </w:t>
      </w:r>
      <w:r w:rsidRPr="002E4D3A">
        <w:rPr>
          <w:rFonts w:ascii="Book Antiqua" w:eastAsia="宋体" w:hAnsi="Book Antiqua" w:cs="宋体"/>
          <w:b/>
          <w:bCs/>
          <w:sz w:val="24"/>
          <w:szCs w:val="24"/>
          <w:lang w:eastAsia="zh-CN" w:bidi="ar-SA"/>
        </w:rPr>
        <w:t>36</w:t>
      </w:r>
      <w:r w:rsidRPr="002E4D3A">
        <w:rPr>
          <w:rFonts w:ascii="Book Antiqua" w:eastAsia="宋体" w:hAnsi="Book Antiqua" w:cs="宋体"/>
          <w:sz w:val="24"/>
          <w:szCs w:val="24"/>
          <w:lang w:eastAsia="zh-CN" w:bidi="ar-SA"/>
        </w:rPr>
        <w:t>: 2598-2604 [PMID: 22851148 DOI: 10.1007/s00268-012-1730-x]</w:t>
      </w:r>
    </w:p>
    <w:p w:rsidR="002E4D3A" w:rsidRPr="002E4D3A" w:rsidRDefault="002E4D3A" w:rsidP="002E4D3A">
      <w:pPr>
        <w:spacing w:after="0" w:line="360" w:lineRule="auto"/>
        <w:jc w:val="both"/>
        <w:rPr>
          <w:rFonts w:ascii="Book Antiqua" w:eastAsia="宋体" w:hAnsi="Book Antiqua" w:cs="宋体"/>
          <w:sz w:val="24"/>
          <w:szCs w:val="24"/>
          <w:lang w:eastAsia="zh-CN" w:bidi="ar-SA"/>
        </w:rPr>
      </w:pPr>
      <w:r w:rsidRPr="002E4D3A">
        <w:rPr>
          <w:rFonts w:ascii="Book Antiqua" w:eastAsia="宋体" w:hAnsi="Book Antiqua" w:cs="宋体"/>
          <w:sz w:val="24"/>
          <w:szCs w:val="24"/>
          <w:lang w:eastAsia="zh-CN" w:bidi="ar-SA"/>
        </w:rPr>
        <w:t xml:space="preserve">122 </w:t>
      </w:r>
      <w:proofErr w:type="spellStart"/>
      <w:r w:rsidRPr="002E4D3A">
        <w:rPr>
          <w:rFonts w:ascii="Book Antiqua" w:eastAsia="宋体" w:hAnsi="Book Antiqua" w:cs="宋体"/>
          <w:b/>
          <w:bCs/>
          <w:sz w:val="24"/>
          <w:szCs w:val="24"/>
          <w:lang w:eastAsia="zh-CN" w:bidi="ar-SA"/>
        </w:rPr>
        <w:t>Giulianotti</w:t>
      </w:r>
      <w:proofErr w:type="spellEnd"/>
      <w:r w:rsidRPr="002E4D3A">
        <w:rPr>
          <w:rFonts w:ascii="Book Antiqua" w:eastAsia="宋体" w:hAnsi="Book Antiqua" w:cs="宋体"/>
          <w:b/>
          <w:bCs/>
          <w:sz w:val="24"/>
          <w:szCs w:val="24"/>
          <w:lang w:eastAsia="zh-CN" w:bidi="ar-SA"/>
        </w:rPr>
        <w:t xml:space="preserve"> PC</w:t>
      </w:r>
      <w:r w:rsidRPr="002E4D3A">
        <w:rPr>
          <w:rFonts w:ascii="Book Antiqua" w:eastAsia="宋体" w:hAnsi="Book Antiqua" w:cs="宋体"/>
          <w:sz w:val="24"/>
          <w:szCs w:val="24"/>
          <w:lang w:eastAsia="zh-CN" w:bidi="ar-SA"/>
        </w:rPr>
        <w:t xml:space="preserve">, D'Amico G, </w:t>
      </w:r>
      <w:proofErr w:type="spellStart"/>
      <w:r w:rsidRPr="002E4D3A">
        <w:rPr>
          <w:rFonts w:ascii="Book Antiqua" w:eastAsia="宋体" w:hAnsi="Book Antiqua" w:cs="宋体"/>
          <w:sz w:val="24"/>
          <w:szCs w:val="24"/>
          <w:lang w:eastAsia="zh-CN" w:bidi="ar-SA"/>
        </w:rPr>
        <w:t>Tzvetanov</w:t>
      </w:r>
      <w:proofErr w:type="spellEnd"/>
      <w:r w:rsidRPr="002E4D3A">
        <w:rPr>
          <w:rFonts w:ascii="Book Antiqua" w:eastAsia="宋体" w:hAnsi="Book Antiqua" w:cs="宋体"/>
          <w:sz w:val="24"/>
          <w:szCs w:val="24"/>
          <w:lang w:eastAsia="zh-CN" w:bidi="ar-SA"/>
        </w:rPr>
        <w:t xml:space="preserve"> I, Benedetti E. Living donor parathyroid </w:t>
      </w:r>
      <w:proofErr w:type="spellStart"/>
      <w:r w:rsidRPr="002E4D3A">
        <w:rPr>
          <w:rFonts w:ascii="Book Antiqua" w:eastAsia="宋体" w:hAnsi="Book Antiqua" w:cs="宋体"/>
          <w:sz w:val="24"/>
          <w:szCs w:val="24"/>
          <w:lang w:eastAsia="zh-CN" w:bidi="ar-SA"/>
        </w:rPr>
        <w:t>allotransplantation</w:t>
      </w:r>
      <w:proofErr w:type="spellEnd"/>
      <w:r w:rsidRPr="002E4D3A">
        <w:rPr>
          <w:rFonts w:ascii="Book Antiqua" w:eastAsia="宋体" w:hAnsi="Book Antiqua" w:cs="宋体"/>
          <w:sz w:val="24"/>
          <w:szCs w:val="24"/>
          <w:lang w:eastAsia="zh-CN" w:bidi="ar-SA"/>
        </w:rPr>
        <w:t xml:space="preserve"> with robotic </w:t>
      </w:r>
      <w:proofErr w:type="spellStart"/>
      <w:r w:rsidRPr="002E4D3A">
        <w:rPr>
          <w:rFonts w:ascii="Book Antiqua" w:eastAsia="宋体" w:hAnsi="Book Antiqua" w:cs="宋体"/>
          <w:sz w:val="24"/>
          <w:szCs w:val="24"/>
          <w:lang w:eastAsia="zh-CN" w:bidi="ar-SA"/>
        </w:rPr>
        <w:t>transaxillary</w:t>
      </w:r>
      <w:proofErr w:type="spellEnd"/>
      <w:r w:rsidRPr="002E4D3A">
        <w:rPr>
          <w:rFonts w:ascii="Book Antiqua" w:eastAsia="宋体" w:hAnsi="Book Antiqua" w:cs="宋体"/>
          <w:sz w:val="24"/>
          <w:szCs w:val="24"/>
          <w:lang w:eastAsia="zh-CN" w:bidi="ar-SA"/>
        </w:rPr>
        <w:t xml:space="preserve"> procurement in a kidney transplant recipient. </w:t>
      </w:r>
      <w:proofErr w:type="spellStart"/>
      <w:r w:rsidRPr="002E4D3A">
        <w:rPr>
          <w:rFonts w:ascii="Book Antiqua" w:eastAsia="宋体" w:hAnsi="Book Antiqua" w:cs="宋体"/>
          <w:i/>
          <w:iCs/>
          <w:sz w:val="24"/>
          <w:szCs w:val="24"/>
          <w:lang w:eastAsia="zh-CN" w:bidi="ar-SA"/>
        </w:rPr>
        <w:t>Transpl</w:t>
      </w:r>
      <w:proofErr w:type="spellEnd"/>
      <w:r w:rsidRPr="002E4D3A">
        <w:rPr>
          <w:rFonts w:ascii="Book Antiqua" w:eastAsia="宋体" w:hAnsi="Book Antiqua" w:cs="宋体"/>
          <w:i/>
          <w:iCs/>
          <w:sz w:val="24"/>
          <w:szCs w:val="24"/>
          <w:lang w:eastAsia="zh-CN" w:bidi="ar-SA"/>
        </w:rPr>
        <w:t xml:space="preserve"> </w:t>
      </w:r>
      <w:proofErr w:type="spellStart"/>
      <w:r w:rsidRPr="002E4D3A">
        <w:rPr>
          <w:rFonts w:ascii="Book Antiqua" w:eastAsia="宋体" w:hAnsi="Book Antiqua" w:cs="宋体"/>
          <w:i/>
          <w:iCs/>
          <w:sz w:val="24"/>
          <w:szCs w:val="24"/>
          <w:lang w:eastAsia="zh-CN" w:bidi="ar-SA"/>
        </w:rPr>
        <w:t>Int</w:t>
      </w:r>
      <w:proofErr w:type="spellEnd"/>
      <w:r w:rsidRPr="002E4D3A">
        <w:rPr>
          <w:rFonts w:ascii="Book Antiqua" w:eastAsia="宋体" w:hAnsi="Book Antiqua" w:cs="宋体"/>
          <w:sz w:val="24"/>
          <w:szCs w:val="24"/>
          <w:lang w:eastAsia="zh-CN" w:bidi="ar-SA"/>
        </w:rPr>
        <w:t xml:space="preserve"> 2014; </w:t>
      </w:r>
      <w:r w:rsidRPr="002E4D3A">
        <w:rPr>
          <w:rFonts w:ascii="Book Antiqua" w:eastAsia="宋体" w:hAnsi="Book Antiqua" w:cs="宋体"/>
          <w:b/>
          <w:bCs/>
          <w:sz w:val="24"/>
          <w:szCs w:val="24"/>
          <w:lang w:eastAsia="zh-CN" w:bidi="ar-SA"/>
        </w:rPr>
        <w:t>27</w:t>
      </w:r>
      <w:r w:rsidRPr="002E4D3A">
        <w:rPr>
          <w:rFonts w:ascii="Book Antiqua" w:eastAsia="宋体" w:hAnsi="Book Antiqua" w:cs="宋体"/>
          <w:sz w:val="24"/>
          <w:szCs w:val="24"/>
          <w:lang w:eastAsia="zh-CN" w:bidi="ar-SA"/>
        </w:rPr>
        <w:t>: e43-e45 [PMID: 24438470 DOI: 10.1111/tri.12269]</w:t>
      </w:r>
    </w:p>
    <w:p w:rsidR="00734438" w:rsidRPr="002E4D3A" w:rsidRDefault="00734438" w:rsidP="002E4D3A">
      <w:pPr>
        <w:spacing w:after="0" w:line="360" w:lineRule="auto"/>
        <w:jc w:val="both"/>
        <w:rPr>
          <w:rFonts w:ascii="Book Antiqua" w:hAnsi="Book Antiqua"/>
          <w:sz w:val="24"/>
          <w:szCs w:val="24"/>
          <w:lang w:eastAsia="zh-CN"/>
        </w:rPr>
      </w:pPr>
    </w:p>
    <w:p w:rsidR="0062294E" w:rsidRPr="008B48E6" w:rsidRDefault="00734438" w:rsidP="008B48E6">
      <w:pPr>
        <w:spacing w:after="0" w:line="360" w:lineRule="auto"/>
        <w:jc w:val="right"/>
        <w:rPr>
          <w:rFonts w:ascii="Book Antiqua" w:hAnsi="Book Antiqua"/>
          <w:b/>
          <w:sz w:val="24"/>
          <w:szCs w:val="24"/>
          <w:lang w:eastAsia="zh-CN"/>
        </w:rPr>
      </w:pPr>
      <w:r w:rsidRPr="008B48E6">
        <w:rPr>
          <w:rFonts w:ascii="Book Antiqua" w:hAnsi="Book Antiqua"/>
          <w:b/>
          <w:sz w:val="24"/>
          <w:szCs w:val="24"/>
        </w:rPr>
        <w:t xml:space="preserve">P-Reviewer: </w:t>
      </w:r>
      <w:proofErr w:type="spellStart"/>
      <w:r w:rsidRPr="008B48E6">
        <w:rPr>
          <w:rFonts w:ascii="Book Antiqua" w:hAnsi="Book Antiqua" w:cs="Tahoma"/>
          <w:sz w:val="24"/>
          <w:szCs w:val="24"/>
        </w:rPr>
        <w:t>Ohashi</w:t>
      </w:r>
      <w:proofErr w:type="spellEnd"/>
      <w:r w:rsidRPr="008B48E6">
        <w:rPr>
          <w:rFonts w:ascii="Book Antiqua" w:hAnsi="Book Antiqua" w:cs="Tahoma"/>
          <w:sz w:val="24"/>
          <w:szCs w:val="24"/>
          <w:lang w:eastAsia="zh-CN"/>
        </w:rPr>
        <w:t xml:space="preserve"> N, </w:t>
      </w:r>
      <w:proofErr w:type="spellStart"/>
      <w:r w:rsidRPr="008B48E6">
        <w:rPr>
          <w:rFonts w:ascii="Book Antiqua" w:hAnsi="Book Antiqua" w:cs="Tahoma"/>
          <w:sz w:val="24"/>
          <w:szCs w:val="24"/>
        </w:rPr>
        <w:t>Stavroulopoulos</w:t>
      </w:r>
      <w:proofErr w:type="spellEnd"/>
      <w:r w:rsidRPr="008B48E6">
        <w:rPr>
          <w:rFonts w:ascii="Book Antiqua" w:hAnsi="Book Antiqua" w:cs="Tahoma"/>
          <w:sz w:val="24"/>
          <w:szCs w:val="24"/>
          <w:lang w:eastAsia="zh-CN"/>
        </w:rPr>
        <w:t xml:space="preserve"> A </w:t>
      </w:r>
      <w:r w:rsidRPr="008B48E6">
        <w:rPr>
          <w:rFonts w:ascii="Book Antiqua" w:hAnsi="Book Antiqua"/>
          <w:b/>
          <w:sz w:val="24"/>
          <w:szCs w:val="24"/>
        </w:rPr>
        <w:t xml:space="preserve">S-Editor: </w:t>
      </w:r>
      <w:proofErr w:type="spellStart"/>
      <w:r w:rsidRPr="008B48E6">
        <w:rPr>
          <w:rFonts w:ascii="Book Antiqua" w:hAnsi="Book Antiqua"/>
          <w:sz w:val="24"/>
          <w:szCs w:val="24"/>
        </w:rPr>
        <w:t>Ji</w:t>
      </w:r>
      <w:proofErr w:type="spellEnd"/>
      <w:r w:rsidRPr="008B48E6">
        <w:rPr>
          <w:rFonts w:ascii="Book Antiqua" w:hAnsi="Book Antiqua"/>
          <w:sz w:val="24"/>
          <w:szCs w:val="24"/>
        </w:rPr>
        <w:t xml:space="preserve"> FF</w:t>
      </w:r>
      <w:r w:rsidRPr="008B48E6">
        <w:rPr>
          <w:rFonts w:ascii="Book Antiqua" w:hAnsi="Book Antiqua"/>
          <w:b/>
          <w:sz w:val="24"/>
          <w:szCs w:val="24"/>
        </w:rPr>
        <w:t xml:space="preserve"> L-Editor: E-Editor:</w:t>
      </w:r>
    </w:p>
    <w:p w:rsidR="001D5CF1" w:rsidRDefault="001D5CF1">
      <w:pPr>
        <w:rPr>
          <w:rFonts w:ascii="Book Antiqua" w:hAnsi="Book Antiqua"/>
          <w:b/>
          <w:sz w:val="24"/>
          <w:szCs w:val="24"/>
          <w:lang w:eastAsia="zh-CN"/>
        </w:rPr>
      </w:pPr>
      <w:r>
        <w:rPr>
          <w:rFonts w:ascii="Book Antiqua" w:hAnsi="Book Antiqua"/>
          <w:b/>
          <w:sz w:val="24"/>
          <w:szCs w:val="24"/>
          <w:lang w:eastAsia="zh-CN"/>
        </w:rPr>
        <w:br w:type="page"/>
      </w:r>
    </w:p>
    <w:p w:rsidR="00F55DEB" w:rsidRDefault="00F55DEB" w:rsidP="00493B84">
      <w:pPr>
        <w:spacing w:after="0" w:line="360" w:lineRule="auto"/>
        <w:jc w:val="both"/>
        <w:rPr>
          <w:rFonts w:ascii="Book Antiqua" w:hAnsi="Book Antiqua"/>
          <w:b/>
          <w:sz w:val="24"/>
          <w:szCs w:val="24"/>
          <w:lang w:eastAsia="zh-CN"/>
        </w:rPr>
      </w:pPr>
    </w:p>
    <w:p w:rsidR="00503791" w:rsidRPr="00503791" w:rsidRDefault="00DD5B9A" w:rsidP="00493B84">
      <w:pPr>
        <w:spacing w:after="0" w:line="360" w:lineRule="auto"/>
        <w:jc w:val="both"/>
        <w:rPr>
          <w:rFonts w:ascii="Book Antiqua" w:hAnsi="Book Antiqua"/>
          <w:b/>
          <w:sz w:val="24"/>
          <w:szCs w:val="24"/>
          <w:lang w:eastAsia="zh-CN"/>
        </w:rPr>
      </w:pPr>
      <w:r>
        <w:rPr>
          <w:rFonts w:ascii="Book Antiqua" w:hAnsi="Book Antiqua"/>
          <w:b/>
          <w:noProof/>
          <w:sz w:val="24"/>
          <w:szCs w:val="24"/>
          <w:lang w:bidi="ar-SA"/>
        </w:rPr>
        <w:drawing>
          <wp:inline distT="0" distB="0" distL="0" distR="0">
            <wp:extent cx="5657850" cy="4413250"/>
            <wp:effectExtent l="0" t="0" r="0" b="0"/>
            <wp:docPr id="1" name="图片 3" descr="说明: E:\待检测\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E:\待检测\fi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4413250"/>
                    </a:xfrm>
                    <a:prstGeom prst="rect">
                      <a:avLst/>
                    </a:prstGeom>
                    <a:noFill/>
                    <a:ln>
                      <a:noFill/>
                    </a:ln>
                  </pic:spPr>
                </pic:pic>
              </a:graphicData>
            </a:graphic>
          </wp:inline>
        </w:drawing>
      </w:r>
    </w:p>
    <w:p w:rsidR="000B2A84" w:rsidRDefault="000B2A84" w:rsidP="00493B84">
      <w:pPr>
        <w:spacing w:after="0" w:line="360" w:lineRule="auto"/>
        <w:jc w:val="both"/>
        <w:rPr>
          <w:rFonts w:ascii="Book Antiqua" w:hAnsi="Book Antiqua"/>
          <w:b/>
          <w:sz w:val="24"/>
          <w:szCs w:val="24"/>
          <w:lang w:eastAsia="zh-CN"/>
        </w:rPr>
      </w:pPr>
    </w:p>
    <w:p w:rsidR="00503791" w:rsidRPr="001D5CF1" w:rsidRDefault="001D5CF1" w:rsidP="00F55DEB">
      <w:pPr>
        <w:spacing w:after="0" w:line="360" w:lineRule="auto"/>
        <w:jc w:val="both"/>
        <w:rPr>
          <w:rFonts w:ascii="Book Antiqua" w:hAnsi="Book Antiqua"/>
          <w:b/>
          <w:sz w:val="24"/>
          <w:szCs w:val="24"/>
          <w:lang w:eastAsia="zh-CN"/>
        </w:rPr>
      </w:pPr>
      <w:r w:rsidRPr="001957BE">
        <w:rPr>
          <w:rFonts w:ascii="Book Antiqua" w:hAnsi="Book Antiqua"/>
          <w:b/>
          <w:sz w:val="24"/>
          <w:szCs w:val="24"/>
          <w:lang w:eastAsia="zh-CN"/>
        </w:rPr>
        <w:t>Figure 1</w:t>
      </w:r>
      <w:r w:rsidR="00503791" w:rsidRPr="001957BE">
        <w:rPr>
          <w:rFonts w:ascii="Book Antiqua" w:hAnsi="Book Antiqua"/>
          <w:b/>
          <w:bCs/>
          <w:sz w:val="24"/>
          <w:szCs w:val="24"/>
          <w:lang w:eastAsia="zh-CN"/>
        </w:rPr>
        <w:t xml:space="preserve"> </w:t>
      </w:r>
      <w:r w:rsidRPr="001957BE">
        <w:rPr>
          <w:rFonts w:ascii="Book Antiqua" w:hAnsi="Book Antiqua"/>
          <w:b/>
          <w:bCs/>
          <w:sz w:val="24"/>
          <w:szCs w:val="24"/>
          <w:lang w:eastAsia="zh-CN"/>
        </w:rPr>
        <w:t>S</w:t>
      </w:r>
      <w:r w:rsidR="00503791" w:rsidRPr="001957BE">
        <w:rPr>
          <w:rFonts w:ascii="Book Antiqua" w:hAnsi="Book Antiqua"/>
          <w:b/>
          <w:bCs/>
          <w:sz w:val="24"/>
          <w:szCs w:val="24"/>
          <w:lang w:eastAsia="zh-CN"/>
        </w:rPr>
        <w:t xml:space="preserve">erum calcium (mean ± SD) </w:t>
      </w:r>
      <w:r w:rsidRPr="001957BE">
        <w:rPr>
          <w:rFonts w:ascii="Book Antiqua" w:hAnsi="Book Antiqua"/>
          <w:b/>
          <w:bCs/>
          <w:sz w:val="24"/>
          <w:szCs w:val="24"/>
          <w:lang w:eastAsia="zh-CN"/>
        </w:rPr>
        <w:t xml:space="preserve">(A) </w:t>
      </w:r>
      <w:r w:rsidR="00503791" w:rsidRPr="001957BE">
        <w:rPr>
          <w:rFonts w:ascii="Book Antiqua" w:hAnsi="Book Antiqua"/>
          <w:b/>
          <w:bCs/>
          <w:sz w:val="24"/>
          <w:szCs w:val="24"/>
          <w:lang w:eastAsia="zh-CN"/>
        </w:rPr>
        <w:t>and serum phosphate (mean ± SD)</w:t>
      </w:r>
      <w:r w:rsidRPr="001957BE">
        <w:rPr>
          <w:rFonts w:ascii="Book Antiqua" w:hAnsi="Book Antiqua"/>
          <w:b/>
          <w:bCs/>
          <w:sz w:val="24"/>
          <w:szCs w:val="24"/>
          <w:lang w:eastAsia="zh-CN"/>
        </w:rPr>
        <w:t xml:space="preserve"> (B)</w:t>
      </w:r>
      <w:r w:rsidR="00503791" w:rsidRPr="001957BE">
        <w:rPr>
          <w:rFonts w:ascii="Book Antiqua" w:hAnsi="Book Antiqua"/>
          <w:b/>
          <w:bCs/>
          <w:sz w:val="24"/>
          <w:szCs w:val="24"/>
          <w:lang w:eastAsia="zh-CN"/>
        </w:rPr>
        <w:t xml:space="preserve"> in </w:t>
      </w:r>
      <w:r w:rsidR="001957BE" w:rsidRPr="001957BE">
        <w:rPr>
          <w:rFonts w:ascii="Book Antiqua" w:hAnsi="Book Antiqua"/>
          <w:b/>
          <w:sz w:val="24"/>
          <w:szCs w:val="24"/>
        </w:rPr>
        <w:t>chronic kidney disease</w:t>
      </w:r>
      <w:r w:rsidR="00503791" w:rsidRPr="001957BE">
        <w:rPr>
          <w:rFonts w:ascii="Book Antiqua" w:hAnsi="Book Antiqua"/>
          <w:b/>
          <w:bCs/>
          <w:sz w:val="24"/>
          <w:szCs w:val="24"/>
          <w:lang w:eastAsia="zh-CN"/>
        </w:rPr>
        <w:t xml:space="preserve"> patients and </w:t>
      </w:r>
      <w:r w:rsidR="001957BE" w:rsidRPr="001957BE">
        <w:rPr>
          <w:rFonts w:ascii="Book Antiqua" w:hAnsi="Book Antiqua"/>
          <w:b/>
          <w:sz w:val="24"/>
          <w:szCs w:val="24"/>
        </w:rPr>
        <w:t>kidney transplant</w:t>
      </w:r>
      <w:r w:rsidR="00503791" w:rsidRPr="001957BE">
        <w:rPr>
          <w:rFonts w:ascii="Book Antiqua" w:hAnsi="Book Antiqua"/>
          <w:b/>
          <w:bCs/>
          <w:sz w:val="24"/>
          <w:szCs w:val="24"/>
          <w:lang w:eastAsia="zh-CN"/>
        </w:rPr>
        <w:t xml:space="preserve"> recipients according to </w:t>
      </w:r>
      <w:r w:rsidR="001957BE" w:rsidRPr="001957BE">
        <w:rPr>
          <w:rFonts w:ascii="Book Antiqua" w:hAnsi="Book Antiqua"/>
          <w:b/>
          <w:sz w:val="24"/>
          <w:szCs w:val="24"/>
        </w:rPr>
        <w:t>chronic kidney disease</w:t>
      </w:r>
      <w:r w:rsidR="00503791" w:rsidRPr="001957BE">
        <w:rPr>
          <w:rFonts w:ascii="Book Antiqua" w:hAnsi="Book Antiqua"/>
          <w:b/>
          <w:bCs/>
          <w:sz w:val="24"/>
          <w:szCs w:val="24"/>
          <w:lang w:eastAsia="zh-CN"/>
        </w:rPr>
        <w:t xml:space="preserve"> stages</w:t>
      </w:r>
      <w:r w:rsidR="001957BE" w:rsidRPr="001957BE">
        <w:rPr>
          <w:rFonts w:ascii="Book Antiqua" w:hAnsi="Book Antiqua"/>
          <w:b/>
          <w:bCs/>
          <w:sz w:val="24"/>
          <w:szCs w:val="24"/>
          <w:lang w:eastAsia="zh-CN"/>
        </w:rPr>
        <w:t>,</w:t>
      </w:r>
      <w:r w:rsidR="00503791" w:rsidRPr="001957BE">
        <w:rPr>
          <w:rFonts w:ascii="Book Antiqua" w:hAnsi="Book Antiqua"/>
          <w:b/>
          <w:bCs/>
          <w:sz w:val="24"/>
          <w:szCs w:val="24"/>
          <w:lang w:eastAsia="zh-CN"/>
        </w:rPr>
        <w:t xml:space="preserve"> Intact </w:t>
      </w:r>
      <w:r w:rsidR="001957BE" w:rsidRPr="001957BE">
        <w:rPr>
          <w:rFonts w:ascii="Book Antiqua" w:hAnsi="Book Antiqua"/>
          <w:b/>
          <w:sz w:val="24"/>
          <w:szCs w:val="24"/>
        </w:rPr>
        <w:t>parathyroid hormone</w:t>
      </w:r>
      <w:r w:rsidR="00503791" w:rsidRPr="001957BE">
        <w:rPr>
          <w:rFonts w:ascii="Book Antiqua" w:hAnsi="Book Antiqua"/>
          <w:b/>
          <w:bCs/>
          <w:sz w:val="24"/>
          <w:szCs w:val="24"/>
          <w:lang w:eastAsia="zh-CN"/>
        </w:rPr>
        <w:t xml:space="preserve"> levels </w:t>
      </w:r>
      <w:r w:rsidR="001957BE" w:rsidRPr="001957BE">
        <w:rPr>
          <w:rFonts w:ascii="Book Antiqua" w:hAnsi="Book Antiqua"/>
          <w:b/>
          <w:bCs/>
          <w:sz w:val="24"/>
          <w:szCs w:val="24"/>
          <w:lang w:eastAsia="zh-CN"/>
        </w:rPr>
        <w:t>[</w:t>
      </w:r>
      <w:r w:rsidR="00503791" w:rsidRPr="001957BE">
        <w:rPr>
          <w:rFonts w:ascii="Book Antiqua" w:hAnsi="Book Antiqua"/>
          <w:b/>
          <w:bCs/>
          <w:sz w:val="24"/>
          <w:szCs w:val="24"/>
          <w:lang w:eastAsia="zh-CN"/>
        </w:rPr>
        <w:t>median (IQR)</w:t>
      </w:r>
      <w:r w:rsidR="001957BE" w:rsidRPr="001957BE">
        <w:rPr>
          <w:rFonts w:ascii="Book Antiqua" w:hAnsi="Book Antiqua"/>
          <w:b/>
          <w:bCs/>
          <w:sz w:val="24"/>
          <w:szCs w:val="24"/>
          <w:lang w:eastAsia="zh-CN"/>
        </w:rPr>
        <w:t>]</w:t>
      </w:r>
      <w:r w:rsidR="00503791" w:rsidRPr="001957BE">
        <w:rPr>
          <w:rFonts w:ascii="Book Antiqua" w:hAnsi="Book Antiqua"/>
          <w:b/>
          <w:bCs/>
          <w:sz w:val="24"/>
          <w:szCs w:val="24"/>
          <w:lang w:eastAsia="zh-CN"/>
        </w:rPr>
        <w:t xml:space="preserve"> in </w:t>
      </w:r>
      <w:r w:rsidR="001957BE" w:rsidRPr="001957BE">
        <w:rPr>
          <w:rFonts w:ascii="Book Antiqua" w:hAnsi="Book Antiqua"/>
          <w:b/>
          <w:sz w:val="24"/>
          <w:szCs w:val="24"/>
        </w:rPr>
        <w:t>chronic kidney disease</w:t>
      </w:r>
      <w:r w:rsidR="00503791" w:rsidRPr="001957BE">
        <w:rPr>
          <w:rFonts w:ascii="Book Antiqua" w:hAnsi="Book Antiqua"/>
          <w:b/>
          <w:bCs/>
          <w:sz w:val="24"/>
          <w:szCs w:val="24"/>
          <w:lang w:eastAsia="zh-CN"/>
        </w:rPr>
        <w:t xml:space="preserve"> patients and </w:t>
      </w:r>
      <w:r w:rsidR="001957BE" w:rsidRPr="001957BE">
        <w:rPr>
          <w:rFonts w:ascii="Book Antiqua" w:hAnsi="Book Antiqua"/>
          <w:b/>
          <w:sz w:val="24"/>
          <w:szCs w:val="24"/>
        </w:rPr>
        <w:t>kidney transplant</w:t>
      </w:r>
      <w:r w:rsidR="00503791" w:rsidRPr="001957BE">
        <w:rPr>
          <w:rFonts w:ascii="Book Antiqua" w:hAnsi="Book Antiqua"/>
          <w:b/>
          <w:bCs/>
          <w:sz w:val="24"/>
          <w:szCs w:val="24"/>
          <w:lang w:eastAsia="zh-CN"/>
        </w:rPr>
        <w:t xml:space="preserve"> recipients according to CKD stages</w:t>
      </w:r>
      <w:r w:rsidR="00503791" w:rsidRPr="001957BE">
        <w:rPr>
          <w:rFonts w:ascii="Book Antiqua" w:hAnsi="Book Antiqua"/>
          <w:b/>
          <w:bCs/>
          <w:sz w:val="24"/>
          <w:szCs w:val="24"/>
          <w:vertAlign w:val="superscript"/>
          <w:lang w:eastAsia="zh-CN"/>
        </w:rPr>
        <w:sym w:font="Symbol" w:char="F05B"/>
      </w:r>
      <w:r w:rsidR="00503791" w:rsidRPr="001957BE">
        <w:rPr>
          <w:rFonts w:ascii="Book Antiqua" w:hAnsi="Book Antiqua"/>
          <w:b/>
          <w:bCs/>
          <w:sz w:val="24"/>
          <w:szCs w:val="24"/>
          <w:vertAlign w:val="superscript"/>
          <w:lang w:eastAsia="zh-CN"/>
        </w:rPr>
        <w:t>8</w:t>
      </w:r>
      <w:r w:rsidR="00503791" w:rsidRPr="001957BE">
        <w:rPr>
          <w:rFonts w:ascii="Book Antiqua" w:hAnsi="Book Antiqua"/>
          <w:b/>
          <w:bCs/>
          <w:sz w:val="24"/>
          <w:szCs w:val="24"/>
          <w:vertAlign w:val="superscript"/>
          <w:lang w:eastAsia="zh-CN"/>
        </w:rPr>
        <w:sym w:font="Symbol" w:char="F05D"/>
      </w:r>
      <w:r w:rsidR="001957BE" w:rsidRPr="001957BE">
        <w:rPr>
          <w:rFonts w:ascii="Book Antiqua" w:hAnsi="Book Antiqua"/>
          <w:b/>
          <w:bCs/>
          <w:sz w:val="24"/>
          <w:szCs w:val="24"/>
          <w:vertAlign w:val="superscript"/>
          <w:lang w:eastAsia="zh-CN"/>
        </w:rPr>
        <w:t xml:space="preserve"> </w:t>
      </w:r>
      <w:r w:rsidR="001957BE" w:rsidRPr="001957BE">
        <w:rPr>
          <w:rFonts w:ascii="Book Antiqua" w:hAnsi="Book Antiqua"/>
          <w:b/>
          <w:bCs/>
          <w:sz w:val="24"/>
          <w:szCs w:val="24"/>
          <w:lang w:eastAsia="zh-CN"/>
        </w:rPr>
        <w:t>(C)</w:t>
      </w:r>
      <w:r w:rsidR="00503791" w:rsidRPr="001957BE">
        <w:rPr>
          <w:rFonts w:ascii="Book Antiqua" w:hAnsi="Book Antiqua"/>
          <w:b/>
          <w:bCs/>
          <w:sz w:val="24"/>
          <w:szCs w:val="24"/>
          <w:lang w:eastAsia="zh-CN"/>
        </w:rPr>
        <w:t>.</w:t>
      </w:r>
      <w:r w:rsidR="00503791" w:rsidRPr="00503791">
        <w:rPr>
          <w:rFonts w:ascii="Book Antiqua" w:hAnsi="Book Antiqua"/>
          <w:bCs/>
          <w:sz w:val="24"/>
          <w:szCs w:val="24"/>
          <w:lang w:eastAsia="zh-CN"/>
        </w:rPr>
        <w:t xml:space="preserve"> </w:t>
      </w:r>
      <w:proofErr w:type="spellStart"/>
      <w:proofErr w:type="gramStart"/>
      <w:r>
        <w:rPr>
          <w:rFonts w:ascii="Book Antiqua" w:hAnsi="Book Antiqua"/>
          <w:bCs/>
          <w:sz w:val="24"/>
          <w:szCs w:val="24"/>
          <w:vertAlign w:val="superscript"/>
          <w:lang w:eastAsia="zh-CN"/>
        </w:rPr>
        <w:t>a</w:t>
      </w:r>
      <w:r w:rsidR="00503791" w:rsidRPr="00503791">
        <w:rPr>
          <w:rFonts w:ascii="Book Antiqua" w:hAnsi="Book Antiqua"/>
          <w:bCs/>
          <w:i/>
          <w:iCs/>
          <w:sz w:val="24"/>
          <w:szCs w:val="24"/>
          <w:lang w:eastAsia="zh-CN"/>
        </w:rPr>
        <w:t>P</w:t>
      </w:r>
      <w:proofErr w:type="spellEnd"/>
      <w:proofErr w:type="gramEnd"/>
      <w:r>
        <w:rPr>
          <w:rFonts w:ascii="Book Antiqua" w:hAnsi="Book Antiqua"/>
          <w:bCs/>
          <w:i/>
          <w:iCs/>
          <w:sz w:val="24"/>
          <w:szCs w:val="24"/>
          <w:lang w:eastAsia="zh-CN"/>
        </w:rPr>
        <w:t xml:space="preserve"> </w:t>
      </w:r>
      <w:r>
        <w:rPr>
          <w:rFonts w:ascii="Book Antiqua" w:hAnsi="Book Antiqua"/>
          <w:bCs/>
          <w:sz w:val="24"/>
          <w:szCs w:val="24"/>
          <w:lang w:eastAsia="zh-CN"/>
        </w:rPr>
        <w:t xml:space="preserve">&lt; 0.05 </w:t>
      </w:r>
      <w:proofErr w:type="spellStart"/>
      <w:r w:rsidRPr="001D5CF1">
        <w:rPr>
          <w:rFonts w:ascii="Book Antiqua" w:hAnsi="Book Antiqua"/>
          <w:bCs/>
          <w:i/>
          <w:sz w:val="24"/>
          <w:szCs w:val="24"/>
          <w:lang w:eastAsia="zh-CN"/>
        </w:rPr>
        <w:t>vs</w:t>
      </w:r>
      <w:proofErr w:type="spellEnd"/>
      <w:r w:rsidR="00503791" w:rsidRPr="00503791">
        <w:rPr>
          <w:rFonts w:ascii="Book Antiqua" w:hAnsi="Book Antiqua"/>
          <w:bCs/>
          <w:sz w:val="24"/>
          <w:szCs w:val="24"/>
          <w:lang w:eastAsia="zh-CN"/>
        </w:rPr>
        <w:t xml:space="preserve"> CKD, </w:t>
      </w:r>
      <w:proofErr w:type="spellStart"/>
      <w:r>
        <w:rPr>
          <w:rFonts w:ascii="Book Antiqua" w:hAnsi="Book Antiqua"/>
          <w:bCs/>
          <w:sz w:val="24"/>
          <w:szCs w:val="24"/>
          <w:vertAlign w:val="superscript"/>
          <w:lang w:eastAsia="zh-CN"/>
        </w:rPr>
        <w:t>b</w:t>
      </w:r>
      <w:r w:rsidR="00503791" w:rsidRPr="001D5CF1">
        <w:rPr>
          <w:rFonts w:ascii="Book Antiqua" w:hAnsi="Book Antiqua"/>
          <w:bCs/>
          <w:i/>
          <w:sz w:val="24"/>
          <w:szCs w:val="24"/>
          <w:lang w:eastAsia="zh-CN"/>
        </w:rPr>
        <w:t>P</w:t>
      </w:r>
      <w:proofErr w:type="spellEnd"/>
      <w:r>
        <w:rPr>
          <w:rFonts w:ascii="Book Antiqua" w:hAnsi="Book Antiqua"/>
          <w:bCs/>
          <w:sz w:val="24"/>
          <w:szCs w:val="24"/>
          <w:lang w:eastAsia="zh-CN"/>
        </w:rPr>
        <w:t xml:space="preserve"> </w:t>
      </w:r>
      <w:r w:rsidR="00503791" w:rsidRPr="00503791">
        <w:rPr>
          <w:rFonts w:ascii="Book Antiqua" w:hAnsi="Book Antiqua"/>
          <w:bCs/>
          <w:sz w:val="24"/>
          <w:szCs w:val="24"/>
          <w:lang w:eastAsia="zh-CN"/>
        </w:rPr>
        <w:t>&lt;</w:t>
      </w:r>
      <w:r>
        <w:rPr>
          <w:rFonts w:ascii="Book Antiqua" w:hAnsi="Book Antiqua"/>
          <w:bCs/>
          <w:sz w:val="24"/>
          <w:szCs w:val="24"/>
          <w:lang w:eastAsia="zh-CN"/>
        </w:rPr>
        <w:t xml:space="preserve"> 0.001 </w:t>
      </w:r>
      <w:proofErr w:type="spellStart"/>
      <w:r w:rsidRPr="001D5CF1">
        <w:rPr>
          <w:rFonts w:ascii="Book Antiqua" w:hAnsi="Book Antiqua"/>
          <w:bCs/>
          <w:i/>
          <w:sz w:val="24"/>
          <w:szCs w:val="24"/>
          <w:lang w:eastAsia="zh-CN"/>
        </w:rPr>
        <w:t>vs</w:t>
      </w:r>
      <w:proofErr w:type="spellEnd"/>
      <w:r w:rsidR="00503791" w:rsidRPr="00503791">
        <w:rPr>
          <w:rFonts w:ascii="Book Antiqua" w:hAnsi="Book Antiqua"/>
          <w:bCs/>
          <w:sz w:val="24"/>
          <w:szCs w:val="24"/>
          <w:lang w:eastAsia="zh-CN"/>
        </w:rPr>
        <w:t xml:space="preserve"> CKD</w:t>
      </w:r>
      <w:r>
        <w:rPr>
          <w:rFonts w:ascii="Book Antiqua" w:hAnsi="Book Antiqua"/>
          <w:bCs/>
          <w:sz w:val="24"/>
          <w:szCs w:val="24"/>
          <w:lang w:eastAsia="zh-CN"/>
        </w:rPr>
        <w:t>.</w:t>
      </w:r>
      <w:r w:rsidR="001957BE">
        <w:rPr>
          <w:rFonts w:ascii="Book Antiqua" w:hAnsi="Book Antiqua"/>
          <w:bCs/>
          <w:sz w:val="24"/>
          <w:szCs w:val="24"/>
          <w:lang w:eastAsia="zh-CN"/>
        </w:rPr>
        <w:t xml:space="preserve"> CKD: </w:t>
      </w:r>
      <w:r w:rsidR="001957BE" w:rsidRPr="00AB6C30">
        <w:rPr>
          <w:rFonts w:ascii="Book Antiqua" w:hAnsi="Book Antiqua"/>
          <w:sz w:val="24"/>
          <w:szCs w:val="24"/>
        </w:rPr>
        <w:t>Chronic kidney disease</w:t>
      </w:r>
      <w:r w:rsidR="001957BE">
        <w:rPr>
          <w:rFonts w:ascii="Book Antiqua" w:hAnsi="Book Antiqua"/>
          <w:sz w:val="24"/>
          <w:szCs w:val="24"/>
          <w:lang w:eastAsia="zh-CN"/>
        </w:rPr>
        <w:t>.</w:t>
      </w:r>
    </w:p>
    <w:p w:rsidR="00503791" w:rsidRDefault="00503791">
      <w:pPr>
        <w:rPr>
          <w:rFonts w:ascii="Book Antiqua" w:hAnsi="Book Antiqua"/>
          <w:b/>
          <w:sz w:val="24"/>
          <w:szCs w:val="24"/>
          <w:cs/>
          <w:lang w:eastAsia="zh-CN"/>
        </w:rPr>
      </w:pPr>
      <w:r>
        <w:rPr>
          <w:rFonts w:ascii="Book Antiqua" w:hAnsi="Book Antiqua"/>
          <w:b/>
          <w:sz w:val="24"/>
          <w:szCs w:val="24"/>
          <w:cs/>
          <w:lang w:eastAsia="zh-CN"/>
        </w:rPr>
        <w:br w:type="page"/>
      </w:r>
    </w:p>
    <w:p w:rsidR="00F55DEB" w:rsidRDefault="00F55DEB" w:rsidP="000B2A84">
      <w:pPr>
        <w:spacing w:after="0" w:line="360" w:lineRule="auto"/>
        <w:jc w:val="both"/>
        <w:rPr>
          <w:rFonts w:ascii="Book Antiqua" w:hAnsi="Book Antiqua"/>
          <w:b/>
          <w:sz w:val="24"/>
          <w:szCs w:val="24"/>
          <w:lang w:eastAsia="zh-CN"/>
        </w:rPr>
      </w:pPr>
    </w:p>
    <w:p w:rsidR="00F55DEB" w:rsidRDefault="00DD5B9A" w:rsidP="00F55DEB">
      <w:pPr>
        <w:spacing w:after="120" w:line="360" w:lineRule="auto"/>
        <w:jc w:val="both"/>
        <w:rPr>
          <w:rFonts w:ascii="Book Antiqua" w:hAnsi="Book Antiqua"/>
          <w:b/>
          <w:bCs/>
          <w:sz w:val="24"/>
          <w:szCs w:val="24"/>
          <w:lang w:eastAsia="zh-CN"/>
        </w:rPr>
      </w:pPr>
      <w:r>
        <w:rPr>
          <w:rFonts w:ascii="Book Antiqua" w:hAnsi="Book Antiqua"/>
          <w:b/>
          <w:noProof/>
          <w:sz w:val="24"/>
          <w:szCs w:val="24"/>
          <w:lang w:bidi="ar-SA"/>
        </w:rPr>
        <w:drawing>
          <wp:inline distT="0" distB="0" distL="0" distR="0">
            <wp:extent cx="5664200" cy="2076450"/>
            <wp:effectExtent l="0" t="0" r="0" b="0"/>
            <wp:docPr id="2" name="图片 4" descr="说明: E:\待检测\F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E:\待检测\FIG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2076450"/>
                    </a:xfrm>
                    <a:prstGeom prst="rect">
                      <a:avLst/>
                    </a:prstGeom>
                    <a:noFill/>
                    <a:ln>
                      <a:noFill/>
                    </a:ln>
                  </pic:spPr>
                </pic:pic>
              </a:graphicData>
            </a:graphic>
          </wp:inline>
        </w:drawing>
      </w:r>
    </w:p>
    <w:p w:rsidR="00503791" w:rsidRPr="00587F43" w:rsidRDefault="00587F43" w:rsidP="00F55DEB">
      <w:pPr>
        <w:spacing w:after="120" w:line="360" w:lineRule="auto"/>
        <w:jc w:val="both"/>
        <w:rPr>
          <w:rFonts w:ascii="Book Antiqua" w:hAnsi="Book Antiqua"/>
          <w:b/>
          <w:bCs/>
          <w:sz w:val="24"/>
          <w:szCs w:val="24"/>
          <w:lang w:val="en-GB" w:eastAsia="zh-CN"/>
        </w:rPr>
      </w:pPr>
      <w:r w:rsidRPr="00587F43">
        <w:rPr>
          <w:rFonts w:ascii="Book Antiqua" w:hAnsi="Book Antiqua"/>
          <w:b/>
          <w:bCs/>
          <w:sz w:val="24"/>
          <w:szCs w:val="24"/>
          <w:lang w:eastAsia="zh-CN"/>
        </w:rPr>
        <w:t>Figure 2</w:t>
      </w:r>
      <w:r w:rsidR="00503791" w:rsidRPr="00587F43">
        <w:rPr>
          <w:rFonts w:ascii="Book Antiqua" w:hAnsi="Book Antiqua"/>
          <w:b/>
          <w:bCs/>
          <w:sz w:val="24"/>
          <w:szCs w:val="24"/>
          <w:lang w:eastAsia="zh-CN"/>
        </w:rPr>
        <w:t xml:space="preserve"> Total vascular calcification scores of </w:t>
      </w:r>
      <w:r w:rsidRPr="00587F43">
        <w:rPr>
          <w:rFonts w:ascii="Book Antiqua" w:hAnsi="Book Antiqua"/>
          <w:b/>
          <w:sz w:val="24"/>
          <w:szCs w:val="24"/>
        </w:rPr>
        <w:t>chronic kidney disease</w:t>
      </w:r>
      <w:r w:rsidR="00503791" w:rsidRPr="00587F43">
        <w:rPr>
          <w:rFonts w:ascii="Book Antiqua" w:hAnsi="Book Antiqua"/>
          <w:b/>
          <w:bCs/>
          <w:sz w:val="24"/>
          <w:szCs w:val="24"/>
          <w:lang w:eastAsia="zh-CN"/>
        </w:rPr>
        <w:t xml:space="preserve"> stages 5D patients and </w:t>
      </w:r>
      <w:r w:rsidRPr="00587F43">
        <w:rPr>
          <w:rFonts w:ascii="Book Antiqua" w:hAnsi="Book Antiqua"/>
          <w:b/>
          <w:bCs/>
          <w:sz w:val="24"/>
          <w:szCs w:val="24"/>
          <w:lang w:eastAsia="zh-CN"/>
        </w:rPr>
        <w:t>kidney transplant</w:t>
      </w:r>
      <w:r w:rsidR="00503791" w:rsidRPr="00587F43">
        <w:rPr>
          <w:rFonts w:ascii="Book Antiqua" w:hAnsi="Book Antiqua"/>
          <w:b/>
          <w:bCs/>
          <w:sz w:val="24"/>
          <w:szCs w:val="24"/>
          <w:lang w:eastAsia="zh-CN"/>
        </w:rPr>
        <w:t xml:space="preserve"> recipients categorized according to </w:t>
      </w:r>
      <w:r w:rsidRPr="00587F43">
        <w:rPr>
          <w:rFonts w:ascii="Book Antiqua" w:hAnsi="Book Antiqua"/>
          <w:b/>
          <w:bCs/>
          <w:sz w:val="24"/>
          <w:szCs w:val="24"/>
          <w:lang w:eastAsia="zh-CN"/>
        </w:rPr>
        <w:t>(A</w:t>
      </w:r>
      <w:r w:rsidR="00503791" w:rsidRPr="00587F43">
        <w:rPr>
          <w:rFonts w:ascii="Book Antiqua" w:hAnsi="Book Antiqua"/>
          <w:b/>
          <w:bCs/>
          <w:sz w:val="24"/>
          <w:szCs w:val="24"/>
          <w:lang w:eastAsia="zh-CN"/>
        </w:rPr>
        <w:t xml:space="preserve">) dialysis vintage </w:t>
      </w:r>
      <w:r w:rsidRPr="00587F43">
        <w:rPr>
          <w:rFonts w:ascii="Book Antiqua" w:hAnsi="Book Antiqua"/>
          <w:b/>
          <w:bCs/>
          <w:sz w:val="24"/>
          <w:szCs w:val="24"/>
          <w:lang w:eastAsia="zh-CN"/>
        </w:rPr>
        <w:t>(B) kidney transplant</w:t>
      </w:r>
      <w:r w:rsidR="00503791" w:rsidRPr="00587F43">
        <w:rPr>
          <w:rFonts w:ascii="Book Antiqua" w:hAnsi="Book Antiqua"/>
          <w:b/>
          <w:bCs/>
          <w:sz w:val="24"/>
          <w:szCs w:val="24"/>
          <w:lang w:eastAsia="zh-CN"/>
        </w:rPr>
        <w:t xml:space="preserve"> vintage. </w:t>
      </w:r>
      <w:r w:rsidR="00503791" w:rsidRPr="00503791">
        <w:rPr>
          <w:rFonts w:ascii="Book Antiqua" w:hAnsi="Book Antiqua"/>
          <w:bCs/>
          <w:sz w:val="24"/>
          <w:szCs w:val="24"/>
          <w:lang w:eastAsia="zh-CN"/>
        </w:rPr>
        <w:t>Total VC scores are expressed as mean</w:t>
      </w:r>
      <w:r w:rsidR="0016477F">
        <w:rPr>
          <w:rFonts w:ascii="Book Antiqua" w:hAnsi="Book Antiqua"/>
          <w:bCs/>
          <w:sz w:val="24"/>
          <w:szCs w:val="24"/>
          <w:lang w:eastAsia="zh-CN"/>
        </w:rPr>
        <w:t xml:space="preserve"> </w:t>
      </w:r>
      <w:r w:rsidR="00503791" w:rsidRPr="00503791">
        <w:rPr>
          <w:rFonts w:ascii="Book Antiqua" w:hAnsi="Book Antiqua"/>
          <w:bCs/>
          <w:sz w:val="24"/>
          <w:szCs w:val="24"/>
          <w:lang w:eastAsia="zh-CN"/>
        </w:rPr>
        <w:t>±</w:t>
      </w:r>
      <w:r w:rsidR="0016477F">
        <w:rPr>
          <w:rFonts w:ascii="Book Antiqua" w:hAnsi="Book Antiqua"/>
          <w:bCs/>
          <w:sz w:val="24"/>
          <w:szCs w:val="24"/>
          <w:lang w:eastAsia="zh-CN"/>
        </w:rPr>
        <w:t xml:space="preserve"> </w:t>
      </w:r>
      <w:r w:rsidR="00503791" w:rsidRPr="00503791">
        <w:rPr>
          <w:rFonts w:ascii="Book Antiqua" w:hAnsi="Book Antiqua"/>
          <w:bCs/>
          <w:sz w:val="24"/>
          <w:szCs w:val="24"/>
          <w:lang w:eastAsia="zh-CN"/>
        </w:rPr>
        <w:t>SE</w:t>
      </w:r>
      <w:r w:rsidR="00503791" w:rsidRPr="00503791">
        <w:rPr>
          <w:rFonts w:ascii="Book Antiqua" w:hAnsi="Book Antiqua"/>
          <w:bCs/>
          <w:sz w:val="24"/>
          <w:szCs w:val="24"/>
          <w:vertAlign w:val="superscript"/>
          <w:lang w:eastAsia="zh-CN"/>
        </w:rPr>
        <w:sym w:font="Symbol" w:char="F05B"/>
      </w:r>
      <w:r w:rsidR="00503791" w:rsidRPr="00503791">
        <w:rPr>
          <w:rFonts w:ascii="Book Antiqua" w:hAnsi="Book Antiqua"/>
          <w:bCs/>
          <w:sz w:val="24"/>
          <w:szCs w:val="24"/>
          <w:vertAlign w:val="superscript"/>
          <w:lang w:eastAsia="zh-CN"/>
        </w:rPr>
        <w:t>60</w:t>
      </w:r>
      <w:r w:rsidR="00503791" w:rsidRPr="00503791">
        <w:rPr>
          <w:rFonts w:ascii="Book Antiqua" w:hAnsi="Book Antiqua"/>
          <w:bCs/>
          <w:sz w:val="24"/>
          <w:szCs w:val="24"/>
          <w:vertAlign w:val="superscript"/>
          <w:lang w:eastAsia="zh-CN"/>
        </w:rPr>
        <w:sym w:font="Symbol" w:char="F05D"/>
      </w:r>
      <w:r w:rsidR="00503791" w:rsidRPr="00503791">
        <w:rPr>
          <w:rFonts w:ascii="Book Antiqua" w:hAnsi="Book Antiqua"/>
          <w:bCs/>
          <w:sz w:val="24"/>
          <w:szCs w:val="24"/>
          <w:lang w:eastAsia="zh-CN"/>
        </w:rPr>
        <w:t xml:space="preserve">. </w:t>
      </w:r>
      <w:proofErr w:type="spellStart"/>
      <w:proofErr w:type="gramStart"/>
      <w:r w:rsidR="0016477F">
        <w:rPr>
          <w:rFonts w:ascii="Book Antiqua" w:hAnsi="Book Antiqua"/>
          <w:bCs/>
          <w:sz w:val="24"/>
          <w:szCs w:val="24"/>
          <w:vertAlign w:val="superscript"/>
          <w:lang w:eastAsia="zh-CN"/>
        </w:rPr>
        <w:t>a</w:t>
      </w:r>
      <w:r w:rsidR="00503791" w:rsidRPr="00503791">
        <w:rPr>
          <w:rFonts w:ascii="Book Antiqua" w:hAnsi="Book Antiqua"/>
          <w:bCs/>
          <w:i/>
          <w:iCs/>
          <w:sz w:val="24"/>
          <w:szCs w:val="24"/>
          <w:lang w:eastAsia="zh-CN"/>
        </w:rPr>
        <w:t>P</w:t>
      </w:r>
      <w:proofErr w:type="spellEnd"/>
      <w:proofErr w:type="gramEnd"/>
      <w:r w:rsidR="0016477F">
        <w:rPr>
          <w:rFonts w:ascii="Book Antiqua" w:hAnsi="Book Antiqua"/>
          <w:bCs/>
          <w:i/>
          <w:iCs/>
          <w:sz w:val="24"/>
          <w:szCs w:val="24"/>
          <w:lang w:eastAsia="zh-CN"/>
        </w:rPr>
        <w:t xml:space="preserve"> </w:t>
      </w:r>
      <w:r w:rsidR="00503791" w:rsidRPr="00503791">
        <w:rPr>
          <w:rFonts w:ascii="Book Antiqua" w:hAnsi="Book Antiqua"/>
          <w:bCs/>
          <w:sz w:val="24"/>
          <w:szCs w:val="24"/>
          <w:lang w:eastAsia="zh-CN"/>
        </w:rPr>
        <w:t>&lt;</w:t>
      </w:r>
      <w:r w:rsidR="0016477F">
        <w:rPr>
          <w:rFonts w:ascii="Book Antiqua" w:hAnsi="Book Antiqua"/>
          <w:bCs/>
          <w:sz w:val="24"/>
          <w:szCs w:val="24"/>
          <w:lang w:eastAsia="zh-CN"/>
        </w:rPr>
        <w:t xml:space="preserve"> 0.05 </w:t>
      </w:r>
      <w:proofErr w:type="spellStart"/>
      <w:r w:rsidR="0016477F" w:rsidRPr="0016477F">
        <w:rPr>
          <w:rFonts w:ascii="Book Antiqua" w:hAnsi="Book Antiqua"/>
          <w:bCs/>
          <w:i/>
          <w:sz w:val="24"/>
          <w:szCs w:val="24"/>
          <w:lang w:eastAsia="zh-CN"/>
        </w:rPr>
        <w:t>vs</w:t>
      </w:r>
      <w:proofErr w:type="spellEnd"/>
      <w:r w:rsidR="00503791" w:rsidRPr="00503791">
        <w:rPr>
          <w:rFonts w:ascii="Book Antiqua" w:hAnsi="Book Antiqua"/>
          <w:bCs/>
          <w:sz w:val="24"/>
          <w:szCs w:val="24"/>
          <w:lang w:eastAsia="zh-CN"/>
        </w:rPr>
        <w:t xml:space="preserve"> CKD</w:t>
      </w:r>
      <w:r>
        <w:rPr>
          <w:rFonts w:ascii="Book Antiqua" w:hAnsi="Book Antiqua"/>
          <w:bCs/>
          <w:sz w:val="24"/>
          <w:szCs w:val="24"/>
          <w:lang w:eastAsia="zh-CN"/>
        </w:rPr>
        <w:t xml:space="preserve">. </w:t>
      </w:r>
      <w:r w:rsidRPr="00503791">
        <w:rPr>
          <w:rFonts w:ascii="Book Antiqua" w:hAnsi="Book Antiqua"/>
          <w:bCs/>
          <w:sz w:val="24"/>
          <w:szCs w:val="24"/>
          <w:lang w:eastAsia="zh-CN"/>
        </w:rPr>
        <w:t>VC</w:t>
      </w:r>
      <w:r>
        <w:rPr>
          <w:rFonts w:ascii="Book Antiqua" w:hAnsi="Book Antiqua"/>
          <w:bCs/>
          <w:sz w:val="24"/>
          <w:szCs w:val="24"/>
          <w:lang w:eastAsia="zh-CN"/>
        </w:rPr>
        <w:t xml:space="preserve">: </w:t>
      </w:r>
      <w:r w:rsidR="0016477F" w:rsidRPr="00503791">
        <w:rPr>
          <w:rFonts w:ascii="Book Antiqua" w:hAnsi="Book Antiqua"/>
          <w:bCs/>
          <w:sz w:val="24"/>
          <w:szCs w:val="24"/>
          <w:lang w:eastAsia="zh-CN"/>
        </w:rPr>
        <w:t>V</w:t>
      </w:r>
      <w:r w:rsidRPr="00503791">
        <w:rPr>
          <w:rFonts w:ascii="Book Antiqua" w:hAnsi="Book Antiqua"/>
          <w:bCs/>
          <w:sz w:val="24"/>
          <w:szCs w:val="24"/>
          <w:lang w:eastAsia="zh-CN"/>
        </w:rPr>
        <w:t>ascular calcification</w:t>
      </w:r>
      <w:r>
        <w:rPr>
          <w:rFonts w:ascii="Book Antiqua" w:hAnsi="Book Antiqua"/>
          <w:bCs/>
          <w:sz w:val="24"/>
          <w:szCs w:val="24"/>
          <w:lang w:eastAsia="zh-CN"/>
        </w:rPr>
        <w:t xml:space="preserve">; </w:t>
      </w:r>
      <w:r w:rsidRPr="00503791">
        <w:rPr>
          <w:rFonts w:ascii="Book Antiqua" w:hAnsi="Book Antiqua"/>
          <w:bCs/>
          <w:sz w:val="24"/>
          <w:szCs w:val="24"/>
          <w:lang w:eastAsia="zh-CN"/>
        </w:rPr>
        <w:t>KT</w:t>
      </w:r>
      <w:r>
        <w:rPr>
          <w:rFonts w:ascii="Book Antiqua" w:hAnsi="Book Antiqua"/>
          <w:bCs/>
          <w:sz w:val="24"/>
          <w:szCs w:val="24"/>
          <w:lang w:eastAsia="zh-CN"/>
        </w:rPr>
        <w:t xml:space="preserve">: </w:t>
      </w:r>
      <w:r w:rsidR="0016477F" w:rsidRPr="00503791">
        <w:rPr>
          <w:rFonts w:ascii="Book Antiqua" w:hAnsi="Book Antiqua"/>
          <w:bCs/>
          <w:sz w:val="24"/>
          <w:szCs w:val="24"/>
          <w:lang w:eastAsia="zh-CN"/>
        </w:rPr>
        <w:t>K</w:t>
      </w:r>
      <w:r w:rsidRPr="00503791">
        <w:rPr>
          <w:rFonts w:ascii="Book Antiqua" w:hAnsi="Book Antiqua"/>
          <w:bCs/>
          <w:sz w:val="24"/>
          <w:szCs w:val="24"/>
          <w:lang w:eastAsia="zh-CN"/>
        </w:rPr>
        <w:t>idney transplant</w:t>
      </w:r>
      <w:r>
        <w:rPr>
          <w:rFonts w:ascii="Book Antiqua" w:hAnsi="Book Antiqua"/>
          <w:bCs/>
          <w:sz w:val="24"/>
          <w:szCs w:val="24"/>
          <w:lang w:eastAsia="zh-CN"/>
        </w:rPr>
        <w:t xml:space="preserve">; CKD: </w:t>
      </w:r>
      <w:r w:rsidRPr="00AB6C30">
        <w:rPr>
          <w:rFonts w:ascii="Book Antiqua" w:hAnsi="Book Antiqua"/>
          <w:sz w:val="24"/>
          <w:szCs w:val="24"/>
        </w:rPr>
        <w:t>Chronic kidney disease</w:t>
      </w:r>
      <w:r>
        <w:rPr>
          <w:rFonts w:ascii="Book Antiqua" w:hAnsi="Book Antiqua"/>
          <w:sz w:val="24"/>
          <w:szCs w:val="24"/>
          <w:lang w:eastAsia="zh-CN"/>
        </w:rPr>
        <w:t>.</w:t>
      </w:r>
    </w:p>
    <w:p w:rsidR="000B2A84" w:rsidRPr="00C6799A" w:rsidRDefault="000B2A84" w:rsidP="00C6799A">
      <w:pPr>
        <w:rPr>
          <w:rFonts w:ascii="Book Antiqua" w:hAnsi="Book Antiqua"/>
          <w:b/>
          <w:sz w:val="24"/>
          <w:szCs w:val="24"/>
          <w:lang w:eastAsia="zh-CN"/>
        </w:rPr>
      </w:pPr>
    </w:p>
    <w:sectPr w:rsidR="000B2A84" w:rsidRPr="00C6799A" w:rsidSect="00BE3A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12" w:rsidRDefault="00A22112" w:rsidP="00C152C6">
      <w:pPr>
        <w:spacing w:after="0" w:line="240" w:lineRule="auto"/>
      </w:pPr>
      <w:r>
        <w:separator/>
      </w:r>
    </w:p>
  </w:endnote>
  <w:endnote w:type="continuationSeparator" w:id="0">
    <w:p w:rsidR="00A22112" w:rsidRDefault="00A22112" w:rsidP="00C1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12" w:rsidRDefault="00A22112" w:rsidP="00C152C6">
      <w:pPr>
        <w:spacing w:after="0" w:line="240" w:lineRule="auto"/>
      </w:pPr>
      <w:r>
        <w:separator/>
      </w:r>
    </w:p>
  </w:footnote>
  <w:footnote w:type="continuationSeparator" w:id="0">
    <w:p w:rsidR="00A22112" w:rsidRDefault="00A22112" w:rsidP="00C15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166161"/>
    <w:rsid w:val="00003F3C"/>
    <w:rsid w:val="00005268"/>
    <w:rsid w:val="00026BBD"/>
    <w:rsid w:val="0003357F"/>
    <w:rsid w:val="00060FB9"/>
    <w:rsid w:val="0009278E"/>
    <w:rsid w:val="000B13D8"/>
    <w:rsid w:val="000B2A84"/>
    <w:rsid w:val="00156458"/>
    <w:rsid w:val="00160B7D"/>
    <w:rsid w:val="0016477F"/>
    <w:rsid w:val="00166161"/>
    <w:rsid w:val="00180C76"/>
    <w:rsid w:val="00187491"/>
    <w:rsid w:val="0019366C"/>
    <w:rsid w:val="001957BE"/>
    <w:rsid w:val="001C6489"/>
    <w:rsid w:val="001D5CF1"/>
    <w:rsid w:val="00230A54"/>
    <w:rsid w:val="00287688"/>
    <w:rsid w:val="002D3D10"/>
    <w:rsid w:val="002E4D3A"/>
    <w:rsid w:val="003654A0"/>
    <w:rsid w:val="003B2B17"/>
    <w:rsid w:val="003F7082"/>
    <w:rsid w:val="00411275"/>
    <w:rsid w:val="00423CDD"/>
    <w:rsid w:val="004375D2"/>
    <w:rsid w:val="00437EC3"/>
    <w:rsid w:val="00455B4D"/>
    <w:rsid w:val="00477D17"/>
    <w:rsid w:val="0048144C"/>
    <w:rsid w:val="00493B84"/>
    <w:rsid w:val="004C03DF"/>
    <w:rsid w:val="00503791"/>
    <w:rsid w:val="00524507"/>
    <w:rsid w:val="00552E69"/>
    <w:rsid w:val="00563F21"/>
    <w:rsid w:val="00566058"/>
    <w:rsid w:val="005775E5"/>
    <w:rsid w:val="00584728"/>
    <w:rsid w:val="005872CB"/>
    <w:rsid w:val="00587F43"/>
    <w:rsid w:val="005C4C19"/>
    <w:rsid w:val="005F7DFA"/>
    <w:rsid w:val="006165FF"/>
    <w:rsid w:val="0062294E"/>
    <w:rsid w:val="006B2130"/>
    <w:rsid w:val="006F5A00"/>
    <w:rsid w:val="00710CBD"/>
    <w:rsid w:val="00732637"/>
    <w:rsid w:val="00734438"/>
    <w:rsid w:val="007B7131"/>
    <w:rsid w:val="007E1FB2"/>
    <w:rsid w:val="00843801"/>
    <w:rsid w:val="008A1289"/>
    <w:rsid w:val="008B48E6"/>
    <w:rsid w:val="008D05B8"/>
    <w:rsid w:val="00974065"/>
    <w:rsid w:val="009A1D41"/>
    <w:rsid w:val="009B1091"/>
    <w:rsid w:val="009D49FA"/>
    <w:rsid w:val="009E6A08"/>
    <w:rsid w:val="009E6ECC"/>
    <w:rsid w:val="009F5418"/>
    <w:rsid w:val="00A04718"/>
    <w:rsid w:val="00A07D5F"/>
    <w:rsid w:val="00A22112"/>
    <w:rsid w:val="00A434B3"/>
    <w:rsid w:val="00A450EF"/>
    <w:rsid w:val="00A5584C"/>
    <w:rsid w:val="00A636DE"/>
    <w:rsid w:val="00AA32DC"/>
    <w:rsid w:val="00AB6C30"/>
    <w:rsid w:val="00B03800"/>
    <w:rsid w:val="00B1057D"/>
    <w:rsid w:val="00B2642C"/>
    <w:rsid w:val="00B31D7B"/>
    <w:rsid w:val="00B71BC7"/>
    <w:rsid w:val="00B9014C"/>
    <w:rsid w:val="00BA1A1F"/>
    <w:rsid w:val="00BC50AE"/>
    <w:rsid w:val="00BE3AF1"/>
    <w:rsid w:val="00C152C6"/>
    <w:rsid w:val="00C25914"/>
    <w:rsid w:val="00C26ED5"/>
    <w:rsid w:val="00C36A9F"/>
    <w:rsid w:val="00C36E7C"/>
    <w:rsid w:val="00C41050"/>
    <w:rsid w:val="00C5565F"/>
    <w:rsid w:val="00C655F9"/>
    <w:rsid w:val="00C6799A"/>
    <w:rsid w:val="00C67B4C"/>
    <w:rsid w:val="00CA245E"/>
    <w:rsid w:val="00CD46C3"/>
    <w:rsid w:val="00CF47E4"/>
    <w:rsid w:val="00D37D7C"/>
    <w:rsid w:val="00D40C12"/>
    <w:rsid w:val="00D546C0"/>
    <w:rsid w:val="00D87FD9"/>
    <w:rsid w:val="00D9766B"/>
    <w:rsid w:val="00DD5B9A"/>
    <w:rsid w:val="00E61DA5"/>
    <w:rsid w:val="00EB32E0"/>
    <w:rsid w:val="00F55DEB"/>
    <w:rsid w:val="00F659C0"/>
    <w:rsid w:val="00FA394A"/>
    <w:rsid w:val="00FC5A1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161"/>
    <w:rPr>
      <w:rFonts w:cs="Cordia New"/>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6616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locked/>
    <w:rsid w:val="00166161"/>
    <w:rPr>
      <w:rFonts w:ascii="Calibri" w:hAnsi="Calibri" w:cs="Cordia New"/>
      <w:noProof/>
      <w:lang w:val="en-US"/>
    </w:rPr>
  </w:style>
  <w:style w:type="paragraph" w:customStyle="1" w:styleId="EndNoteBibliography">
    <w:name w:val="EndNote Bibliography"/>
    <w:basedOn w:val="Normal"/>
    <w:link w:val="EndNoteBibliographyChar"/>
    <w:rsid w:val="00166161"/>
    <w:pPr>
      <w:spacing w:line="240" w:lineRule="auto"/>
    </w:pPr>
    <w:rPr>
      <w:rFonts w:ascii="Calibri" w:hAnsi="Calibri"/>
      <w:noProof/>
    </w:rPr>
  </w:style>
  <w:style w:type="character" w:customStyle="1" w:styleId="EndNoteBibliographyChar">
    <w:name w:val="EndNote Bibliography Char"/>
    <w:basedOn w:val="DefaultParagraphFont"/>
    <w:link w:val="EndNoteBibliography"/>
    <w:locked/>
    <w:rsid w:val="00166161"/>
    <w:rPr>
      <w:rFonts w:ascii="Calibri" w:hAnsi="Calibri" w:cs="Cordia New"/>
      <w:noProof/>
      <w:lang w:val="en-US"/>
    </w:rPr>
  </w:style>
  <w:style w:type="character" w:styleId="Hyperlink">
    <w:name w:val="Hyperlink"/>
    <w:basedOn w:val="DefaultParagraphFont"/>
    <w:uiPriority w:val="99"/>
    <w:unhideWhenUsed/>
    <w:rsid w:val="00166161"/>
    <w:rPr>
      <w:rFonts w:cs="Times New Roman"/>
      <w:color w:val="0563C1" w:themeColor="hyperlink"/>
      <w:u w:val="single"/>
      <w:lang w:bidi="th-TH"/>
    </w:rPr>
  </w:style>
  <w:style w:type="character" w:customStyle="1" w:styleId="apple-converted-space">
    <w:name w:val="apple-converted-space"/>
    <w:basedOn w:val="DefaultParagraphFont"/>
    <w:rsid w:val="00166161"/>
    <w:rPr>
      <w:rFonts w:cs="Times New Roman"/>
      <w:lang w:bidi="th-TH"/>
    </w:rPr>
  </w:style>
  <w:style w:type="character" w:styleId="CommentReference">
    <w:name w:val="annotation reference"/>
    <w:basedOn w:val="DefaultParagraphFont"/>
    <w:uiPriority w:val="99"/>
    <w:semiHidden/>
    <w:unhideWhenUsed/>
    <w:rsid w:val="000B2A84"/>
    <w:rPr>
      <w:rFonts w:cs="Times New Roman"/>
      <w:sz w:val="21"/>
      <w:szCs w:val="21"/>
    </w:rPr>
  </w:style>
  <w:style w:type="paragraph" w:styleId="CommentText">
    <w:name w:val="annotation text"/>
    <w:basedOn w:val="Normal"/>
    <w:link w:val="CommentTextChar"/>
    <w:uiPriority w:val="99"/>
    <w:semiHidden/>
    <w:unhideWhenUsed/>
    <w:rsid w:val="000B2A84"/>
  </w:style>
  <w:style w:type="character" w:customStyle="1" w:styleId="CommentTextChar">
    <w:name w:val="Comment Text Char"/>
    <w:basedOn w:val="DefaultParagraphFont"/>
    <w:link w:val="CommentText"/>
    <w:uiPriority w:val="99"/>
    <w:semiHidden/>
    <w:locked/>
    <w:rsid w:val="000B2A84"/>
    <w:rPr>
      <w:rFonts w:cs="Cordia New"/>
      <w:sz w:val="28"/>
      <w:szCs w:val="28"/>
      <w:lang w:val="en-US" w:eastAsia="x-none" w:bidi="th-TH"/>
    </w:rPr>
  </w:style>
  <w:style w:type="paragraph" w:styleId="BalloonText">
    <w:name w:val="Balloon Text"/>
    <w:basedOn w:val="Normal"/>
    <w:link w:val="BalloonTextChar"/>
    <w:uiPriority w:val="99"/>
    <w:semiHidden/>
    <w:unhideWhenUsed/>
    <w:rsid w:val="000B2A84"/>
    <w:pPr>
      <w:spacing w:after="0" w:line="240" w:lineRule="auto"/>
    </w:pPr>
    <w:rPr>
      <w:sz w:val="18"/>
      <w:szCs w:val="22"/>
    </w:rPr>
  </w:style>
  <w:style w:type="character" w:customStyle="1" w:styleId="BalloonTextChar">
    <w:name w:val="Balloon Text Char"/>
    <w:basedOn w:val="DefaultParagraphFont"/>
    <w:link w:val="BalloonText"/>
    <w:uiPriority w:val="99"/>
    <w:semiHidden/>
    <w:locked/>
    <w:rsid w:val="000B2A84"/>
    <w:rPr>
      <w:rFonts w:cs="Cordia New"/>
      <w:sz w:val="18"/>
      <w:lang w:val="en-US" w:eastAsia="x-none" w:bidi="th-TH"/>
    </w:rPr>
  </w:style>
  <w:style w:type="paragraph" w:styleId="CommentSubject">
    <w:name w:val="annotation subject"/>
    <w:basedOn w:val="CommentText"/>
    <w:next w:val="CommentText"/>
    <w:link w:val="CommentSubjectChar"/>
    <w:uiPriority w:val="99"/>
    <w:semiHidden/>
    <w:unhideWhenUsed/>
    <w:rsid w:val="000B2A84"/>
    <w:rPr>
      <w:b/>
      <w:bCs/>
    </w:rPr>
  </w:style>
  <w:style w:type="character" w:customStyle="1" w:styleId="CommentSubjectChar">
    <w:name w:val="Comment Subject Char"/>
    <w:basedOn w:val="CommentTextChar"/>
    <w:link w:val="CommentSubject"/>
    <w:uiPriority w:val="99"/>
    <w:semiHidden/>
    <w:locked/>
    <w:rsid w:val="000B2A84"/>
    <w:rPr>
      <w:rFonts w:cs="Cordia New"/>
      <w:b/>
      <w:bCs/>
      <w:sz w:val="28"/>
      <w:szCs w:val="28"/>
      <w:lang w:val="en-US" w:eastAsia="x-none" w:bidi="th-TH"/>
    </w:rPr>
  </w:style>
  <w:style w:type="paragraph" w:styleId="Header">
    <w:name w:val="header"/>
    <w:basedOn w:val="Normal"/>
    <w:link w:val="HeaderChar"/>
    <w:uiPriority w:val="99"/>
    <w:unhideWhenUsed/>
    <w:rsid w:val="00C152C6"/>
    <w:pPr>
      <w:pBdr>
        <w:bottom w:val="single" w:sz="6" w:space="1" w:color="auto"/>
      </w:pBdr>
      <w:tabs>
        <w:tab w:val="center" w:pos="4153"/>
        <w:tab w:val="right" w:pos="8306"/>
      </w:tabs>
      <w:snapToGrid w:val="0"/>
      <w:spacing w:line="240" w:lineRule="auto"/>
      <w:jc w:val="center"/>
    </w:pPr>
    <w:rPr>
      <w:sz w:val="18"/>
      <w:szCs w:val="22"/>
    </w:rPr>
  </w:style>
  <w:style w:type="character" w:customStyle="1" w:styleId="HeaderChar">
    <w:name w:val="Header Char"/>
    <w:basedOn w:val="DefaultParagraphFont"/>
    <w:link w:val="Header"/>
    <w:uiPriority w:val="99"/>
    <w:rsid w:val="00C152C6"/>
    <w:rPr>
      <w:rFonts w:cs="Cordia New"/>
      <w:sz w:val="18"/>
      <w:lang w:val="en-US" w:bidi="th-TH"/>
    </w:rPr>
  </w:style>
  <w:style w:type="paragraph" w:styleId="Footer">
    <w:name w:val="footer"/>
    <w:basedOn w:val="Normal"/>
    <w:link w:val="FooterChar"/>
    <w:uiPriority w:val="99"/>
    <w:unhideWhenUsed/>
    <w:rsid w:val="00C152C6"/>
    <w:pPr>
      <w:tabs>
        <w:tab w:val="center" w:pos="4153"/>
        <w:tab w:val="right" w:pos="8306"/>
      </w:tabs>
      <w:snapToGrid w:val="0"/>
      <w:spacing w:line="240" w:lineRule="auto"/>
    </w:pPr>
    <w:rPr>
      <w:sz w:val="18"/>
      <w:szCs w:val="22"/>
    </w:rPr>
  </w:style>
  <w:style w:type="character" w:customStyle="1" w:styleId="FooterChar">
    <w:name w:val="Footer Char"/>
    <w:basedOn w:val="DefaultParagraphFont"/>
    <w:link w:val="Footer"/>
    <w:uiPriority w:val="99"/>
    <w:rsid w:val="00C152C6"/>
    <w:rPr>
      <w:rFonts w:cs="Cordia New"/>
      <w:sz w:val="18"/>
      <w:lang w:val="en-US" w:bidi="th-TH"/>
    </w:rPr>
  </w:style>
  <w:style w:type="character" w:styleId="Emphasis">
    <w:name w:val="Emphasis"/>
    <w:qFormat/>
    <w:rsid w:val="00C655F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161"/>
    <w:rPr>
      <w:rFonts w:cs="Cordia New"/>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6616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locked/>
    <w:rsid w:val="00166161"/>
    <w:rPr>
      <w:rFonts w:ascii="Calibri" w:hAnsi="Calibri" w:cs="Cordia New"/>
      <w:noProof/>
      <w:lang w:val="en-US"/>
    </w:rPr>
  </w:style>
  <w:style w:type="paragraph" w:customStyle="1" w:styleId="EndNoteBibliography">
    <w:name w:val="EndNote Bibliography"/>
    <w:basedOn w:val="Normal"/>
    <w:link w:val="EndNoteBibliographyChar"/>
    <w:rsid w:val="00166161"/>
    <w:pPr>
      <w:spacing w:line="240" w:lineRule="auto"/>
    </w:pPr>
    <w:rPr>
      <w:rFonts w:ascii="Calibri" w:hAnsi="Calibri"/>
      <w:noProof/>
    </w:rPr>
  </w:style>
  <w:style w:type="character" w:customStyle="1" w:styleId="EndNoteBibliographyChar">
    <w:name w:val="EndNote Bibliography Char"/>
    <w:basedOn w:val="DefaultParagraphFont"/>
    <w:link w:val="EndNoteBibliography"/>
    <w:locked/>
    <w:rsid w:val="00166161"/>
    <w:rPr>
      <w:rFonts w:ascii="Calibri" w:hAnsi="Calibri" w:cs="Cordia New"/>
      <w:noProof/>
      <w:lang w:val="en-US"/>
    </w:rPr>
  </w:style>
  <w:style w:type="character" w:styleId="Hyperlink">
    <w:name w:val="Hyperlink"/>
    <w:basedOn w:val="DefaultParagraphFont"/>
    <w:uiPriority w:val="99"/>
    <w:unhideWhenUsed/>
    <w:rsid w:val="00166161"/>
    <w:rPr>
      <w:rFonts w:cs="Times New Roman"/>
      <w:color w:val="0563C1" w:themeColor="hyperlink"/>
      <w:u w:val="single"/>
      <w:lang w:bidi="th-TH"/>
    </w:rPr>
  </w:style>
  <w:style w:type="character" w:customStyle="1" w:styleId="apple-converted-space">
    <w:name w:val="apple-converted-space"/>
    <w:basedOn w:val="DefaultParagraphFont"/>
    <w:rsid w:val="00166161"/>
    <w:rPr>
      <w:rFonts w:cs="Times New Roman"/>
      <w:lang w:bidi="th-TH"/>
    </w:rPr>
  </w:style>
  <w:style w:type="character" w:styleId="CommentReference">
    <w:name w:val="annotation reference"/>
    <w:basedOn w:val="DefaultParagraphFont"/>
    <w:uiPriority w:val="99"/>
    <w:semiHidden/>
    <w:unhideWhenUsed/>
    <w:rsid w:val="000B2A84"/>
    <w:rPr>
      <w:rFonts w:cs="Times New Roman"/>
      <w:sz w:val="21"/>
      <w:szCs w:val="21"/>
    </w:rPr>
  </w:style>
  <w:style w:type="paragraph" w:styleId="CommentText">
    <w:name w:val="annotation text"/>
    <w:basedOn w:val="Normal"/>
    <w:link w:val="CommentTextChar"/>
    <w:uiPriority w:val="99"/>
    <w:semiHidden/>
    <w:unhideWhenUsed/>
    <w:rsid w:val="000B2A84"/>
  </w:style>
  <w:style w:type="character" w:customStyle="1" w:styleId="CommentTextChar">
    <w:name w:val="Comment Text Char"/>
    <w:basedOn w:val="DefaultParagraphFont"/>
    <w:link w:val="CommentText"/>
    <w:uiPriority w:val="99"/>
    <w:semiHidden/>
    <w:locked/>
    <w:rsid w:val="000B2A84"/>
    <w:rPr>
      <w:rFonts w:cs="Cordia New"/>
      <w:sz w:val="28"/>
      <w:szCs w:val="28"/>
      <w:lang w:val="en-US" w:eastAsia="x-none" w:bidi="th-TH"/>
    </w:rPr>
  </w:style>
  <w:style w:type="paragraph" w:styleId="BalloonText">
    <w:name w:val="Balloon Text"/>
    <w:basedOn w:val="Normal"/>
    <w:link w:val="BalloonTextChar"/>
    <w:uiPriority w:val="99"/>
    <w:semiHidden/>
    <w:unhideWhenUsed/>
    <w:rsid w:val="000B2A84"/>
    <w:pPr>
      <w:spacing w:after="0" w:line="240" w:lineRule="auto"/>
    </w:pPr>
    <w:rPr>
      <w:sz w:val="18"/>
      <w:szCs w:val="22"/>
    </w:rPr>
  </w:style>
  <w:style w:type="character" w:customStyle="1" w:styleId="BalloonTextChar">
    <w:name w:val="Balloon Text Char"/>
    <w:basedOn w:val="DefaultParagraphFont"/>
    <w:link w:val="BalloonText"/>
    <w:uiPriority w:val="99"/>
    <w:semiHidden/>
    <w:locked/>
    <w:rsid w:val="000B2A84"/>
    <w:rPr>
      <w:rFonts w:cs="Cordia New"/>
      <w:sz w:val="18"/>
      <w:lang w:val="en-US" w:eastAsia="x-none" w:bidi="th-TH"/>
    </w:rPr>
  </w:style>
  <w:style w:type="paragraph" w:styleId="CommentSubject">
    <w:name w:val="annotation subject"/>
    <w:basedOn w:val="CommentText"/>
    <w:next w:val="CommentText"/>
    <w:link w:val="CommentSubjectChar"/>
    <w:uiPriority w:val="99"/>
    <w:semiHidden/>
    <w:unhideWhenUsed/>
    <w:rsid w:val="000B2A84"/>
    <w:rPr>
      <w:b/>
      <w:bCs/>
    </w:rPr>
  </w:style>
  <w:style w:type="character" w:customStyle="1" w:styleId="CommentSubjectChar">
    <w:name w:val="Comment Subject Char"/>
    <w:basedOn w:val="CommentTextChar"/>
    <w:link w:val="CommentSubject"/>
    <w:uiPriority w:val="99"/>
    <w:semiHidden/>
    <w:locked/>
    <w:rsid w:val="000B2A84"/>
    <w:rPr>
      <w:rFonts w:cs="Cordia New"/>
      <w:b/>
      <w:bCs/>
      <w:sz w:val="28"/>
      <w:szCs w:val="28"/>
      <w:lang w:val="en-US" w:eastAsia="x-none" w:bidi="th-TH"/>
    </w:rPr>
  </w:style>
  <w:style w:type="paragraph" w:styleId="Header">
    <w:name w:val="header"/>
    <w:basedOn w:val="Normal"/>
    <w:link w:val="HeaderChar"/>
    <w:uiPriority w:val="99"/>
    <w:unhideWhenUsed/>
    <w:rsid w:val="00C152C6"/>
    <w:pPr>
      <w:pBdr>
        <w:bottom w:val="single" w:sz="6" w:space="1" w:color="auto"/>
      </w:pBdr>
      <w:tabs>
        <w:tab w:val="center" w:pos="4153"/>
        <w:tab w:val="right" w:pos="8306"/>
      </w:tabs>
      <w:snapToGrid w:val="0"/>
      <w:spacing w:line="240" w:lineRule="auto"/>
      <w:jc w:val="center"/>
    </w:pPr>
    <w:rPr>
      <w:sz w:val="18"/>
      <w:szCs w:val="22"/>
    </w:rPr>
  </w:style>
  <w:style w:type="character" w:customStyle="1" w:styleId="HeaderChar">
    <w:name w:val="Header Char"/>
    <w:basedOn w:val="DefaultParagraphFont"/>
    <w:link w:val="Header"/>
    <w:uiPriority w:val="99"/>
    <w:rsid w:val="00C152C6"/>
    <w:rPr>
      <w:rFonts w:cs="Cordia New"/>
      <w:sz w:val="18"/>
      <w:lang w:val="en-US" w:bidi="th-TH"/>
    </w:rPr>
  </w:style>
  <w:style w:type="paragraph" w:styleId="Footer">
    <w:name w:val="footer"/>
    <w:basedOn w:val="Normal"/>
    <w:link w:val="FooterChar"/>
    <w:uiPriority w:val="99"/>
    <w:unhideWhenUsed/>
    <w:rsid w:val="00C152C6"/>
    <w:pPr>
      <w:tabs>
        <w:tab w:val="center" w:pos="4153"/>
        <w:tab w:val="right" w:pos="8306"/>
      </w:tabs>
      <w:snapToGrid w:val="0"/>
      <w:spacing w:line="240" w:lineRule="auto"/>
    </w:pPr>
    <w:rPr>
      <w:sz w:val="18"/>
      <w:szCs w:val="22"/>
    </w:rPr>
  </w:style>
  <w:style w:type="character" w:customStyle="1" w:styleId="FooterChar">
    <w:name w:val="Footer Char"/>
    <w:basedOn w:val="DefaultParagraphFont"/>
    <w:link w:val="Footer"/>
    <w:uiPriority w:val="99"/>
    <w:rsid w:val="00C152C6"/>
    <w:rPr>
      <w:rFonts w:cs="Cordia New"/>
      <w:sz w:val="18"/>
      <w:lang w:val="en-US" w:bidi="th-TH"/>
    </w:rPr>
  </w:style>
  <w:style w:type="character" w:styleId="Emphasis">
    <w:name w:val="Emphasis"/>
    <w:qFormat/>
    <w:rsid w:val="00C655F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62367">
      <w:marLeft w:val="0"/>
      <w:marRight w:val="0"/>
      <w:marTop w:val="0"/>
      <w:marBottom w:val="0"/>
      <w:divBdr>
        <w:top w:val="none" w:sz="0" w:space="0" w:color="auto"/>
        <w:left w:val="none" w:sz="0" w:space="0" w:color="auto"/>
        <w:bottom w:val="none" w:sz="0" w:space="0" w:color="auto"/>
        <w:right w:val="none" w:sz="0" w:space="0" w:color="auto"/>
      </w:divBdr>
      <w:divsChild>
        <w:div w:id="1636762424">
          <w:marLeft w:val="0"/>
          <w:marRight w:val="0"/>
          <w:marTop w:val="0"/>
          <w:marBottom w:val="0"/>
          <w:divBdr>
            <w:top w:val="none" w:sz="0" w:space="0" w:color="auto"/>
            <w:left w:val="none" w:sz="0" w:space="0" w:color="auto"/>
            <w:bottom w:val="none" w:sz="0" w:space="0" w:color="auto"/>
            <w:right w:val="none" w:sz="0" w:space="0" w:color="auto"/>
          </w:divBdr>
          <w:divsChild>
            <w:div w:id="1636762303">
              <w:marLeft w:val="0"/>
              <w:marRight w:val="0"/>
              <w:marTop w:val="0"/>
              <w:marBottom w:val="0"/>
              <w:divBdr>
                <w:top w:val="none" w:sz="0" w:space="0" w:color="auto"/>
                <w:left w:val="none" w:sz="0" w:space="0" w:color="auto"/>
                <w:bottom w:val="none" w:sz="0" w:space="0" w:color="auto"/>
                <w:right w:val="none" w:sz="0" w:space="0" w:color="auto"/>
              </w:divBdr>
            </w:div>
            <w:div w:id="1636762304">
              <w:marLeft w:val="0"/>
              <w:marRight w:val="0"/>
              <w:marTop w:val="0"/>
              <w:marBottom w:val="0"/>
              <w:divBdr>
                <w:top w:val="none" w:sz="0" w:space="0" w:color="auto"/>
                <w:left w:val="none" w:sz="0" w:space="0" w:color="auto"/>
                <w:bottom w:val="none" w:sz="0" w:space="0" w:color="auto"/>
                <w:right w:val="none" w:sz="0" w:space="0" w:color="auto"/>
              </w:divBdr>
            </w:div>
            <w:div w:id="1636762305">
              <w:marLeft w:val="0"/>
              <w:marRight w:val="0"/>
              <w:marTop w:val="0"/>
              <w:marBottom w:val="0"/>
              <w:divBdr>
                <w:top w:val="none" w:sz="0" w:space="0" w:color="auto"/>
                <w:left w:val="none" w:sz="0" w:space="0" w:color="auto"/>
                <w:bottom w:val="none" w:sz="0" w:space="0" w:color="auto"/>
                <w:right w:val="none" w:sz="0" w:space="0" w:color="auto"/>
              </w:divBdr>
            </w:div>
            <w:div w:id="1636762306">
              <w:marLeft w:val="0"/>
              <w:marRight w:val="0"/>
              <w:marTop w:val="0"/>
              <w:marBottom w:val="0"/>
              <w:divBdr>
                <w:top w:val="none" w:sz="0" w:space="0" w:color="auto"/>
                <w:left w:val="none" w:sz="0" w:space="0" w:color="auto"/>
                <w:bottom w:val="none" w:sz="0" w:space="0" w:color="auto"/>
                <w:right w:val="none" w:sz="0" w:space="0" w:color="auto"/>
              </w:divBdr>
            </w:div>
            <w:div w:id="1636762307">
              <w:marLeft w:val="0"/>
              <w:marRight w:val="0"/>
              <w:marTop w:val="0"/>
              <w:marBottom w:val="0"/>
              <w:divBdr>
                <w:top w:val="none" w:sz="0" w:space="0" w:color="auto"/>
                <w:left w:val="none" w:sz="0" w:space="0" w:color="auto"/>
                <w:bottom w:val="none" w:sz="0" w:space="0" w:color="auto"/>
                <w:right w:val="none" w:sz="0" w:space="0" w:color="auto"/>
              </w:divBdr>
            </w:div>
            <w:div w:id="1636762308">
              <w:marLeft w:val="0"/>
              <w:marRight w:val="0"/>
              <w:marTop w:val="0"/>
              <w:marBottom w:val="0"/>
              <w:divBdr>
                <w:top w:val="none" w:sz="0" w:space="0" w:color="auto"/>
                <w:left w:val="none" w:sz="0" w:space="0" w:color="auto"/>
                <w:bottom w:val="none" w:sz="0" w:space="0" w:color="auto"/>
                <w:right w:val="none" w:sz="0" w:space="0" w:color="auto"/>
              </w:divBdr>
            </w:div>
            <w:div w:id="1636762309">
              <w:marLeft w:val="0"/>
              <w:marRight w:val="0"/>
              <w:marTop w:val="0"/>
              <w:marBottom w:val="0"/>
              <w:divBdr>
                <w:top w:val="none" w:sz="0" w:space="0" w:color="auto"/>
                <w:left w:val="none" w:sz="0" w:space="0" w:color="auto"/>
                <w:bottom w:val="none" w:sz="0" w:space="0" w:color="auto"/>
                <w:right w:val="none" w:sz="0" w:space="0" w:color="auto"/>
              </w:divBdr>
            </w:div>
            <w:div w:id="1636762310">
              <w:marLeft w:val="0"/>
              <w:marRight w:val="0"/>
              <w:marTop w:val="0"/>
              <w:marBottom w:val="0"/>
              <w:divBdr>
                <w:top w:val="none" w:sz="0" w:space="0" w:color="auto"/>
                <w:left w:val="none" w:sz="0" w:space="0" w:color="auto"/>
                <w:bottom w:val="none" w:sz="0" w:space="0" w:color="auto"/>
                <w:right w:val="none" w:sz="0" w:space="0" w:color="auto"/>
              </w:divBdr>
            </w:div>
            <w:div w:id="1636762311">
              <w:marLeft w:val="0"/>
              <w:marRight w:val="0"/>
              <w:marTop w:val="0"/>
              <w:marBottom w:val="0"/>
              <w:divBdr>
                <w:top w:val="none" w:sz="0" w:space="0" w:color="auto"/>
                <w:left w:val="none" w:sz="0" w:space="0" w:color="auto"/>
                <w:bottom w:val="none" w:sz="0" w:space="0" w:color="auto"/>
                <w:right w:val="none" w:sz="0" w:space="0" w:color="auto"/>
              </w:divBdr>
            </w:div>
            <w:div w:id="1636762312">
              <w:marLeft w:val="0"/>
              <w:marRight w:val="0"/>
              <w:marTop w:val="0"/>
              <w:marBottom w:val="0"/>
              <w:divBdr>
                <w:top w:val="none" w:sz="0" w:space="0" w:color="auto"/>
                <w:left w:val="none" w:sz="0" w:space="0" w:color="auto"/>
                <w:bottom w:val="none" w:sz="0" w:space="0" w:color="auto"/>
                <w:right w:val="none" w:sz="0" w:space="0" w:color="auto"/>
              </w:divBdr>
            </w:div>
            <w:div w:id="1636762313">
              <w:marLeft w:val="0"/>
              <w:marRight w:val="0"/>
              <w:marTop w:val="0"/>
              <w:marBottom w:val="0"/>
              <w:divBdr>
                <w:top w:val="none" w:sz="0" w:space="0" w:color="auto"/>
                <w:left w:val="none" w:sz="0" w:space="0" w:color="auto"/>
                <w:bottom w:val="none" w:sz="0" w:space="0" w:color="auto"/>
                <w:right w:val="none" w:sz="0" w:space="0" w:color="auto"/>
              </w:divBdr>
            </w:div>
            <w:div w:id="1636762314">
              <w:marLeft w:val="0"/>
              <w:marRight w:val="0"/>
              <w:marTop w:val="0"/>
              <w:marBottom w:val="0"/>
              <w:divBdr>
                <w:top w:val="none" w:sz="0" w:space="0" w:color="auto"/>
                <w:left w:val="none" w:sz="0" w:space="0" w:color="auto"/>
                <w:bottom w:val="none" w:sz="0" w:space="0" w:color="auto"/>
                <w:right w:val="none" w:sz="0" w:space="0" w:color="auto"/>
              </w:divBdr>
            </w:div>
            <w:div w:id="1636762315">
              <w:marLeft w:val="0"/>
              <w:marRight w:val="0"/>
              <w:marTop w:val="0"/>
              <w:marBottom w:val="0"/>
              <w:divBdr>
                <w:top w:val="none" w:sz="0" w:space="0" w:color="auto"/>
                <w:left w:val="none" w:sz="0" w:space="0" w:color="auto"/>
                <w:bottom w:val="none" w:sz="0" w:space="0" w:color="auto"/>
                <w:right w:val="none" w:sz="0" w:space="0" w:color="auto"/>
              </w:divBdr>
            </w:div>
            <w:div w:id="1636762316">
              <w:marLeft w:val="0"/>
              <w:marRight w:val="0"/>
              <w:marTop w:val="0"/>
              <w:marBottom w:val="0"/>
              <w:divBdr>
                <w:top w:val="none" w:sz="0" w:space="0" w:color="auto"/>
                <w:left w:val="none" w:sz="0" w:space="0" w:color="auto"/>
                <w:bottom w:val="none" w:sz="0" w:space="0" w:color="auto"/>
                <w:right w:val="none" w:sz="0" w:space="0" w:color="auto"/>
              </w:divBdr>
            </w:div>
            <w:div w:id="1636762317">
              <w:marLeft w:val="0"/>
              <w:marRight w:val="0"/>
              <w:marTop w:val="0"/>
              <w:marBottom w:val="0"/>
              <w:divBdr>
                <w:top w:val="none" w:sz="0" w:space="0" w:color="auto"/>
                <w:left w:val="none" w:sz="0" w:space="0" w:color="auto"/>
                <w:bottom w:val="none" w:sz="0" w:space="0" w:color="auto"/>
                <w:right w:val="none" w:sz="0" w:space="0" w:color="auto"/>
              </w:divBdr>
            </w:div>
            <w:div w:id="1636762318">
              <w:marLeft w:val="0"/>
              <w:marRight w:val="0"/>
              <w:marTop w:val="0"/>
              <w:marBottom w:val="0"/>
              <w:divBdr>
                <w:top w:val="none" w:sz="0" w:space="0" w:color="auto"/>
                <w:left w:val="none" w:sz="0" w:space="0" w:color="auto"/>
                <w:bottom w:val="none" w:sz="0" w:space="0" w:color="auto"/>
                <w:right w:val="none" w:sz="0" w:space="0" w:color="auto"/>
              </w:divBdr>
            </w:div>
            <w:div w:id="1636762319">
              <w:marLeft w:val="0"/>
              <w:marRight w:val="0"/>
              <w:marTop w:val="0"/>
              <w:marBottom w:val="0"/>
              <w:divBdr>
                <w:top w:val="none" w:sz="0" w:space="0" w:color="auto"/>
                <w:left w:val="none" w:sz="0" w:space="0" w:color="auto"/>
                <w:bottom w:val="none" w:sz="0" w:space="0" w:color="auto"/>
                <w:right w:val="none" w:sz="0" w:space="0" w:color="auto"/>
              </w:divBdr>
            </w:div>
            <w:div w:id="1636762320">
              <w:marLeft w:val="0"/>
              <w:marRight w:val="0"/>
              <w:marTop w:val="0"/>
              <w:marBottom w:val="0"/>
              <w:divBdr>
                <w:top w:val="none" w:sz="0" w:space="0" w:color="auto"/>
                <w:left w:val="none" w:sz="0" w:space="0" w:color="auto"/>
                <w:bottom w:val="none" w:sz="0" w:space="0" w:color="auto"/>
                <w:right w:val="none" w:sz="0" w:space="0" w:color="auto"/>
              </w:divBdr>
            </w:div>
            <w:div w:id="1636762321">
              <w:marLeft w:val="0"/>
              <w:marRight w:val="0"/>
              <w:marTop w:val="0"/>
              <w:marBottom w:val="0"/>
              <w:divBdr>
                <w:top w:val="none" w:sz="0" w:space="0" w:color="auto"/>
                <w:left w:val="none" w:sz="0" w:space="0" w:color="auto"/>
                <w:bottom w:val="none" w:sz="0" w:space="0" w:color="auto"/>
                <w:right w:val="none" w:sz="0" w:space="0" w:color="auto"/>
              </w:divBdr>
            </w:div>
            <w:div w:id="1636762322">
              <w:marLeft w:val="0"/>
              <w:marRight w:val="0"/>
              <w:marTop w:val="0"/>
              <w:marBottom w:val="0"/>
              <w:divBdr>
                <w:top w:val="none" w:sz="0" w:space="0" w:color="auto"/>
                <w:left w:val="none" w:sz="0" w:space="0" w:color="auto"/>
                <w:bottom w:val="none" w:sz="0" w:space="0" w:color="auto"/>
                <w:right w:val="none" w:sz="0" w:space="0" w:color="auto"/>
              </w:divBdr>
            </w:div>
            <w:div w:id="1636762323">
              <w:marLeft w:val="0"/>
              <w:marRight w:val="0"/>
              <w:marTop w:val="0"/>
              <w:marBottom w:val="0"/>
              <w:divBdr>
                <w:top w:val="none" w:sz="0" w:space="0" w:color="auto"/>
                <w:left w:val="none" w:sz="0" w:space="0" w:color="auto"/>
                <w:bottom w:val="none" w:sz="0" w:space="0" w:color="auto"/>
                <w:right w:val="none" w:sz="0" w:space="0" w:color="auto"/>
              </w:divBdr>
            </w:div>
            <w:div w:id="1636762324">
              <w:marLeft w:val="0"/>
              <w:marRight w:val="0"/>
              <w:marTop w:val="0"/>
              <w:marBottom w:val="0"/>
              <w:divBdr>
                <w:top w:val="none" w:sz="0" w:space="0" w:color="auto"/>
                <w:left w:val="none" w:sz="0" w:space="0" w:color="auto"/>
                <w:bottom w:val="none" w:sz="0" w:space="0" w:color="auto"/>
                <w:right w:val="none" w:sz="0" w:space="0" w:color="auto"/>
              </w:divBdr>
            </w:div>
            <w:div w:id="1636762325">
              <w:marLeft w:val="0"/>
              <w:marRight w:val="0"/>
              <w:marTop w:val="0"/>
              <w:marBottom w:val="0"/>
              <w:divBdr>
                <w:top w:val="none" w:sz="0" w:space="0" w:color="auto"/>
                <w:left w:val="none" w:sz="0" w:space="0" w:color="auto"/>
                <w:bottom w:val="none" w:sz="0" w:space="0" w:color="auto"/>
                <w:right w:val="none" w:sz="0" w:space="0" w:color="auto"/>
              </w:divBdr>
            </w:div>
            <w:div w:id="1636762326">
              <w:marLeft w:val="0"/>
              <w:marRight w:val="0"/>
              <w:marTop w:val="0"/>
              <w:marBottom w:val="0"/>
              <w:divBdr>
                <w:top w:val="none" w:sz="0" w:space="0" w:color="auto"/>
                <w:left w:val="none" w:sz="0" w:space="0" w:color="auto"/>
                <w:bottom w:val="none" w:sz="0" w:space="0" w:color="auto"/>
                <w:right w:val="none" w:sz="0" w:space="0" w:color="auto"/>
              </w:divBdr>
            </w:div>
            <w:div w:id="1636762327">
              <w:marLeft w:val="0"/>
              <w:marRight w:val="0"/>
              <w:marTop w:val="0"/>
              <w:marBottom w:val="0"/>
              <w:divBdr>
                <w:top w:val="none" w:sz="0" w:space="0" w:color="auto"/>
                <w:left w:val="none" w:sz="0" w:space="0" w:color="auto"/>
                <w:bottom w:val="none" w:sz="0" w:space="0" w:color="auto"/>
                <w:right w:val="none" w:sz="0" w:space="0" w:color="auto"/>
              </w:divBdr>
            </w:div>
            <w:div w:id="1636762328">
              <w:marLeft w:val="0"/>
              <w:marRight w:val="0"/>
              <w:marTop w:val="0"/>
              <w:marBottom w:val="0"/>
              <w:divBdr>
                <w:top w:val="none" w:sz="0" w:space="0" w:color="auto"/>
                <w:left w:val="none" w:sz="0" w:space="0" w:color="auto"/>
                <w:bottom w:val="none" w:sz="0" w:space="0" w:color="auto"/>
                <w:right w:val="none" w:sz="0" w:space="0" w:color="auto"/>
              </w:divBdr>
            </w:div>
            <w:div w:id="1636762329">
              <w:marLeft w:val="0"/>
              <w:marRight w:val="0"/>
              <w:marTop w:val="0"/>
              <w:marBottom w:val="0"/>
              <w:divBdr>
                <w:top w:val="none" w:sz="0" w:space="0" w:color="auto"/>
                <w:left w:val="none" w:sz="0" w:space="0" w:color="auto"/>
                <w:bottom w:val="none" w:sz="0" w:space="0" w:color="auto"/>
                <w:right w:val="none" w:sz="0" w:space="0" w:color="auto"/>
              </w:divBdr>
            </w:div>
            <w:div w:id="1636762330">
              <w:marLeft w:val="0"/>
              <w:marRight w:val="0"/>
              <w:marTop w:val="0"/>
              <w:marBottom w:val="0"/>
              <w:divBdr>
                <w:top w:val="none" w:sz="0" w:space="0" w:color="auto"/>
                <w:left w:val="none" w:sz="0" w:space="0" w:color="auto"/>
                <w:bottom w:val="none" w:sz="0" w:space="0" w:color="auto"/>
                <w:right w:val="none" w:sz="0" w:space="0" w:color="auto"/>
              </w:divBdr>
            </w:div>
            <w:div w:id="1636762331">
              <w:marLeft w:val="0"/>
              <w:marRight w:val="0"/>
              <w:marTop w:val="0"/>
              <w:marBottom w:val="0"/>
              <w:divBdr>
                <w:top w:val="none" w:sz="0" w:space="0" w:color="auto"/>
                <w:left w:val="none" w:sz="0" w:space="0" w:color="auto"/>
                <w:bottom w:val="none" w:sz="0" w:space="0" w:color="auto"/>
                <w:right w:val="none" w:sz="0" w:space="0" w:color="auto"/>
              </w:divBdr>
            </w:div>
            <w:div w:id="1636762332">
              <w:marLeft w:val="0"/>
              <w:marRight w:val="0"/>
              <w:marTop w:val="0"/>
              <w:marBottom w:val="0"/>
              <w:divBdr>
                <w:top w:val="none" w:sz="0" w:space="0" w:color="auto"/>
                <w:left w:val="none" w:sz="0" w:space="0" w:color="auto"/>
                <w:bottom w:val="none" w:sz="0" w:space="0" w:color="auto"/>
                <w:right w:val="none" w:sz="0" w:space="0" w:color="auto"/>
              </w:divBdr>
            </w:div>
            <w:div w:id="1636762333">
              <w:marLeft w:val="0"/>
              <w:marRight w:val="0"/>
              <w:marTop w:val="0"/>
              <w:marBottom w:val="0"/>
              <w:divBdr>
                <w:top w:val="none" w:sz="0" w:space="0" w:color="auto"/>
                <w:left w:val="none" w:sz="0" w:space="0" w:color="auto"/>
                <w:bottom w:val="none" w:sz="0" w:space="0" w:color="auto"/>
                <w:right w:val="none" w:sz="0" w:space="0" w:color="auto"/>
              </w:divBdr>
            </w:div>
            <w:div w:id="1636762334">
              <w:marLeft w:val="0"/>
              <w:marRight w:val="0"/>
              <w:marTop w:val="0"/>
              <w:marBottom w:val="0"/>
              <w:divBdr>
                <w:top w:val="none" w:sz="0" w:space="0" w:color="auto"/>
                <w:left w:val="none" w:sz="0" w:space="0" w:color="auto"/>
                <w:bottom w:val="none" w:sz="0" w:space="0" w:color="auto"/>
                <w:right w:val="none" w:sz="0" w:space="0" w:color="auto"/>
              </w:divBdr>
            </w:div>
            <w:div w:id="1636762335">
              <w:marLeft w:val="0"/>
              <w:marRight w:val="0"/>
              <w:marTop w:val="0"/>
              <w:marBottom w:val="0"/>
              <w:divBdr>
                <w:top w:val="none" w:sz="0" w:space="0" w:color="auto"/>
                <w:left w:val="none" w:sz="0" w:space="0" w:color="auto"/>
                <w:bottom w:val="none" w:sz="0" w:space="0" w:color="auto"/>
                <w:right w:val="none" w:sz="0" w:space="0" w:color="auto"/>
              </w:divBdr>
            </w:div>
            <w:div w:id="1636762336">
              <w:marLeft w:val="0"/>
              <w:marRight w:val="0"/>
              <w:marTop w:val="0"/>
              <w:marBottom w:val="0"/>
              <w:divBdr>
                <w:top w:val="none" w:sz="0" w:space="0" w:color="auto"/>
                <w:left w:val="none" w:sz="0" w:space="0" w:color="auto"/>
                <w:bottom w:val="none" w:sz="0" w:space="0" w:color="auto"/>
                <w:right w:val="none" w:sz="0" w:space="0" w:color="auto"/>
              </w:divBdr>
            </w:div>
            <w:div w:id="1636762337">
              <w:marLeft w:val="0"/>
              <w:marRight w:val="0"/>
              <w:marTop w:val="0"/>
              <w:marBottom w:val="0"/>
              <w:divBdr>
                <w:top w:val="none" w:sz="0" w:space="0" w:color="auto"/>
                <w:left w:val="none" w:sz="0" w:space="0" w:color="auto"/>
                <w:bottom w:val="none" w:sz="0" w:space="0" w:color="auto"/>
                <w:right w:val="none" w:sz="0" w:space="0" w:color="auto"/>
              </w:divBdr>
            </w:div>
            <w:div w:id="1636762338">
              <w:marLeft w:val="0"/>
              <w:marRight w:val="0"/>
              <w:marTop w:val="0"/>
              <w:marBottom w:val="0"/>
              <w:divBdr>
                <w:top w:val="none" w:sz="0" w:space="0" w:color="auto"/>
                <w:left w:val="none" w:sz="0" w:space="0" w:color="auto"/>
                <w:bottom w:val="none" w:sz="0" w:space="0" w:color="auto"/>
                <w:right w:val="none" w:sz="0" w:space="0" w:color="auto"/>
              </w:divBdr>
            </w:div>
            <w:div w:id="1636762339">
              <w:marLeft w:val="0"/>
              <w:marRight w:val="0"/>
              <w:marTop w:val="0"/>
              <w:marBottom w:val="0"/>
              <w:divBdr>
                <w:top w:val="none" w:sz="0" w:space="0" w:color="auto"/>
                <w:left w:val="none" w:sz="0" w:space="0" w:color="auto"/>
                <w:bottom w:val="none" w:sz="0" w:space="0" w:color="auto"/>
                <w:right w:val="none" w:sz="0" w:space="0" w:color="auto"/>
              </w:divBdr>
            </w:div>
            <w:div w:id="1636762340">
              <w:marLeft w:val="0"/>
              <w:marRight w:val="0"/>
              <w:marTop w:val="0"/>
              <w:marBottom w:val="0"/>
              <w:divBdr>
                <w:top w:val="none" w:sz="0" w:space="0" w:color="auto"/>
                <w:left w:val="none" w:sz="0" w:space="0" w:color="auto"/>
                <w:bottom w:val="none" w:sz="0" w:space="0" w:color="auto"/>
                <w:right w:val="none" w:sz="0" w:space="0" w:color="auto"/>
              </w:divBdr>
            </w:div>
            <w:div w:id="1636762341">
              <w:marLeft w:val="0"/>
              <w:marRight w:val="0"/>
              <w:marTop w:val="0"/>
              <w:marBottom w:val="0"/>
              <w:divBdr>
                <w:top w:val="none" w:sz="0" w:space="0" w:color="auto"/>
                <w:left w:val="none" w:sz="0" w:space="0" w:color="auto"/>
                <w:bottom w:val="none" w:sz="0" w:space="0" w:color="auto"/>
                <w:right w:val="none" w:sz="0" w:space="0" w:color="auto"/>
              </w:divBdr>
            </w:div>
            <w:div w:id="1636762342">
              <w:marLeft w:val="0"/>
              <w:marRight w:val="0"/>
              <w:marTop w:val="0"/>
              <w:marBottom w:val="0"/>
              <w:divBdr>
                <w:top w:val="none" w:sz="0" w:space="0" w:color="auto"/>
                <w:left w:val="none" w:sz="0" w:space="0" w:color="auto"/>
                <w:bottom w:val="none" w:sz="0" w:space="0" w:color="auto"/>
                <w:right w:val="none" w:sz="0" w:space="0" w:color="auto"/>
              </w:divBdr>
            </w:div>
            <w:div w:id="1636762343">
              <w:marLeft w:val="0"/>
              <w:marRight w:val="0"/>
              <w:marTop w:val="0"/>
              <w:marBottom w:val="0"/>
              <w:divBdr>
                <w:top w:val="none" w:sz="0" w:space="0" w:color="auto"/>
                <w:left w:val="none" w:sz="0" w:space="0" w:color="auto"/>
                <w:bottom w:val="none" w:sz="0" w:space="0" w:color="auto"/>
                <w:right w:val="none" w:sz="0" w:space="0" w:color="auto"/>
              </w:divBdr>
            </w:div>
            <w:div w:id="1636762344">
              <w:marLeft w:val="0"/>
              <w:marRight w:val="0"/>
              <w:marTop w:val="0"/>
              <w:marBottom w:val="0"/>
              <w:divBdr>
                <w:top w:val="none" w:sz="0" w:space="0" w:color="auto"/>
                <w:left w:val="none" w:sz="0" w:space="0" w:color="auto"/>
                <w:bottom w:val="none" w:sz="0" w:space="0" w:color="auto"/>
                <w:right w:val="none" w:sz="0" w:space="0" w:color="auto"/>
              </w:divBdr>
            </w:div>
            <w:div w:id="1636762345">
              <w:marLeft w:val="0"/>
              <w:marRight w:val="0"/>
              <w:marTop w:val="0"/>
              <w:marBottom w:val="0"/>
              <w:divBdr>
                <w:top w:val="none" w:sz="0" w:space="0" w:color="auto"/>
                <w:left w:val="none" w:sz="0" w:space="0" w:color="auto"/>
                <w:bottom w:val="none" w:sz="0" w:space="0" w:color="auto"/>
                <w:right w:val="none" w:sz="0" w:space="0" w:color="auto"/>
              </w:divBdr>
            </w:div>
            <w:div w:id="1636762346">
              <w:marLeft w:val="0"/>
              <w:marRight w:val="0"/>
              <w:marTop w:val="0"/>
              <w:marBottom w:val="0"/>
              <w:divBdr>
                <w:top w:val="none" w:sz="0" w:space="0" w:color="auto"/>
                <w:left w:val="none" w:sz="0" w:space="0" w:color="auto"/>
                <w:bottom w:val="none" w:sz="0" w:space="0" w:color="auto"/>
                <w:right w:val="none" w:sz="0" w:space="0" w:color="auto"/>
              </w:divBdr>
            </w:div>
            <w:div w:id="1636762347">
              <w:marLeft w:val="0"/>
              <w:marRight w:val="0"/>
              <w:marTop w:val="0"/>
              <w:marBottom w:val="0"/>
              <w:divBdr>
                <w:top w:val="none" w:sz="0" w:space="0" w:color="auto"/>
                <w:left w:val="none" w:sz="0" w:space="0" w:color="auto"/>
                <w:bottom w:val="none" w:sz="0" w:space="0" w:color="auto"/>
                <w:right w:val="none" w:sz="0" w:space="0" w:color="auto"/>
              </w:divBdr>
            </w:div>
            <w:div w:id="1636762348">
              <w:marLeft w:val="0"/>
              <w:marRight w:val="0"/>
              <w:marTop w:val="0"/>
              <w:marBottom w:val="0"/>
              <w:divBdr>
                <w:top w:val="none" w:sz="0" w:space="0" w:color="auto"/>
                <w:left w:val="none" w:sz="0" w:space="0" w:color="auto"/>
                <w:bottom w:val="none" w:sz="0" w:space="0" w:color="auto"/>
                <w:right w:val="none" w:sz="0" w:space="0" w:color="auto"/>
              </w:divBdr>
            </w:div>
            <w:div w:id="1636762349">
              <w:marLeft w:val="0"/>
              <w:marRight w:val="0"/>
              <w:marTop w:val="0"/>
              <w:marBottom w:val="0"/>
              <w:divBdr>
                <w:top w:val="none" w:sz="0" w:space="0" w:color="auto"/>
                <w:left w:val="none" w:sz="0" w:space="0" w:color="auto"/>
                <w:bottom w:val="none" w:sz="0" w:space="0" w:color="auto"/>
                <w:right w:val="none" w:sz="0" w:space="0" w:color="auto"/>
              </w:divBdr>
            </w:div>
            <w:div w:id="1636762350">
              <w:marLeft w:val="0"/>
              <w:marRight w:val="0"/>
              <w:marTop w:val="0"/>
              <w:marBottom w:val="0"/>
              <w:divBdr>
                <w:top w:val="none" w:sz="0" w:space="0" w:color="auto"/>
                <w:left w:val="none" w:sz="0" w:space="0" w:color="auto"/>
                <w:bottom w:val="none" w:sz="0" w:space="0" w:color="auto"/>
                <w:right w:val="none" w:sz="0" w:space="0" w:color="auto"/>
              </w:divBdr>
            </w:div>
            <w:div w:id="1636762351">
              <w:marLeft w:val="0"/>
              <w:marRight w:val="0"/>
              <w:marTop w:val="0"/>
              <w:marBottom w:val="0"/>
              <w:divBdr>
                <w:top w:val="none" w:sz="0" w:space="0" w:color="auto"/>
                <w:left w:val="none" w:sz="0" w:space="0" w:color="auto"/>
                <w:bottom w:val="none" w:sz="0" w:space="0" w:color="auto"/>
                <w:right w:val="none" w:sz="0" w:space="0" w:color="auto"/>
              </w:divBdr>
            </w:div>
            <w:div w:id="1636762352">
              <w:marLeft w:val="0"/>
              <w:marRight w:val="0"/>
              <w:marTop w:val="0"/>
              <w:marBottom w:val="0"/>
              <w:divBdr>
                <w:top w:val="none" w:sz="0" w:space="0" w:color="auto"/>
                <w:left w:val="none" w:sz="0" w:space="0" w:color="auto"/>
                <w:bottom w:val="none" w:sz="0" w:space="0" w:color="auto"/>
                <w:right w:val="none" w:sz="0" w:space="0" w:color="auto"/>
              </w:divBdr>
            </w:div>
            <w:div w:id="1636762353">
              <w:marLeft w:val="0"/>
              <w:marRight w:val="0"/>
              <w:marTop w:val="0"/>
              <w:marBottom w:val="0"/>
              <w:divBdr>
                <w:top w:val="none" w:sz="0" w:space="0" w:color="auto"/>
                <w:left w:val="none" w:sz="0" w:space="0" w:color="auto"/>
                <w:bottom w:val="none" w:sz="0" w:space="0" w:color="auto"/>
                <w:right w:val="none" w:sz="0" w:space="0" w:color="auto"/>
              </w:divBdr>
            </w:div>
            <w:div w:id="1636762354">
              <w:marLeft w:val="0"/>
              <w:marRight w:val="0"/>
              <w:marTop w:val="0"/>
              <w:marBottom w:val="0"/>
              <w:divBdr>
                <w:top w:val="none" w:sz="0" w:space="0" w:color="auto"/>
                <w:left w:val="none" w:sz="0" w:space="0" w:color="auto"/>
                <w:bottom w:val="none" w:sz="0" w:space="0" w:color="auto"/>
                <w:right w:val="none" w:sz="0" w:space="0" w:color="auto"/>
              </w:divBdr>
            </w:div>
            <w:div w:id="1636762355">
              <w:marLeft w:val="0"/>
              <w:marRight w:val="0"/>
              <w:marTop w:val="0"/>
              <w:marBottom w:val="0"/>
              <w:divBdr>
                <w:top w:val="none" w:sz="0" w:space="0" w:color="auto"/>
                <w:left w:val="none" w:sz="0" w:space="0" w:color="auto"/>
                <w:bottom w:val="none" w:sz="0" w:space="0" w:color="auto"/>
                <w:right w:val="none" w:sz="0" w:space="0" w:color="auto"/>
              </w:divBdr>
            </w:div>
            <w:div w:id="1636762356">
              <w:marLeft w:val="0"/>
              <w:marRight w:val="0"/>
              <w:marTop w:val="0"/>
              <w:marBottom w:val="0"/>
              <w:divBdr>
                <w:top w:val="none" w:sz="0" w:space="0" w:color="auto"/>
                <w:left w:val="none" w:sz="0" w:space="0" w:color="auto"/>
                <w:bottom w:val="none" w:sz="0" w:space="0" w:color="auto"/>
                <w:right w:val="none" w:sz="0" w:space="0" w:color="auto"/>
              </w:divBdr>
            </w:div>
            <w:div w:id="1636762357">
              <w:marLeft w:val="0"/>
              <w:marRight w:val="0"/>
              <w:marTop w:val="0"/>
              <w:marBottom w:val="0"/>
              <w:divBdr>
                <w:top w:val="none" w:sz="0" w:space="0" w:color="auto"/>
                <w:left w:val="none" w:sz="0" w:space="0" w:color="auto"/>
                <w:bottom w:val="none" w:sz="0" w:space="0" w:color="auto"/>
                <w:right w:val="none" w:sz="0" w:space="0" w:color="auto"/>
              </w:divBdr>
            </w:div>
            <w:div w:id="1636762358">
              <w:marLeft w:val="0"/>
              <w:marRight w:val="0"/>
              <w:marTop w:val="0"/>
              <w:marBottom w:val="0"/>
              <w:divBdr>
                <w:top w:val="none" w:sz="0" w:space="0" w:color="auto"/>
                <w:left w:val="none" w:sz="0" w:space="0" w:color="auto"/>
                <w:bottom w:val="none" w:sz="0" w:space="0" w:color="auto"/>
                <w:right w:val="none" w:sz="0" w:space="0" w:color="auto"/>
              </w:divBdr>
            </w:div>
            <w:div w:id="1636762359">
              <w:marLeft w:val="0"/>
              <w:marRight w:val="0"/>
              <w:marTop w:val="0"/>
              <w:marBottom w:val="0"/>
              <w:divBdr>
                <w:top w:val="none" w:sz="0" w:space="0" w:color="auto"/>
                <w:left w:val="none" w:sz="0" w:space="0" w:color="auto"/>
                <w:bottom w:val="none" w:sz="0" w:space="0" w:color="auto"/>
                <w:right w:val="none" w:sz="0" w:space="0" w:color="auto"/>
              </w:divBdr>
            </w:div>
            <w:div w:id="1636762360">
              <w:marLeft w:val="0"/>
              <w:marRight w:val="0"/>
              <w:marTop w:val="0"/>
              <w:marBottom w:val="0"/>
              <w:divBdr>
                <w:top w:val="none" w:sz="0" w:space="0" w:color="auto"/>
                <w:left w:val="none" w:sz="0" w:space="0" w:color="auto"/>
                <w:bottom w:val="none" w:sz="0" w:space="0" w:color="auto"/>
                <w:right w:val="none" w:sz="0" w:space="0" w:color="auto"/>
              </w:divBdr>
            </w:div>
            <w:div w:id="1636762361">
              <w:marLeft w:val="0"/>
              <w:marRight w:val="0"/>
              <w:marTop w:val="0"/>
              <w:marBottom w:val="0"/>
              <w:divBdr>
                <w:top w:val="none" w:sz="0" w:space="0" w:color="auto"/>
                <w:left w:val="none" w:sz="0" w:space="0" w:color="auto"/>
                <w:bottom w:val="none" w:sz="0" w:space="0" w:color="auto"/>
                <w:right w:val="none" w:sz="0" w:space="0" w:color="auto"/>
              </w:divBdr>
            </w:div>
            <w:div w:id="1636762362">
              <w:marLeft w:val="0"/>
              <w:marRight w:val="0"/>
              <w:marTop w:val="0"/>
              <w:marBottom w:val="0"/>
              <w:divBdr>
                <w:top w:val="none" w:sz="0" w:space="0" w:color="auto"/>
                <w:left w:val="none" w:sz="0" w:space="0" w:color="auto"/>
                <w:bottom w:val="none" w:sz="0" w:space="0" w:color="auto"/>
                <w:right w:val="none" w:sz="0" w:space="0" w:color="auto"/>
              </w:divBdr>
            </w:div>
            <w:div w:id="1636762363">
              <w:marLeft w:val="0"/>
              <w:marRight w:val="0"/>
              <w:marTop w:val="0"/>
              <w:marBottom w:val="0"/>
              <w:divBdr>
                <w:top w:val="none" w:sz="0" w:space="0" w:color="auto"/>
                <w:left w:val="none" w:sz="0" w:space="0" w:color="auto"/>
                <w:bottom w:val="none" w:sz="0" w:space="0" w:color="auto"/>
                <w:right w:val="none" w:sz="0" w:space="0" w:color="auto"/>
              </w:divBdr>
            </w:div>
            <w:div w:id="1636762364">
              <w:marLeft w:val="0"/>
              <w:marRight w:val="0"/>
              <w:marTop w:val="0"/>
              <w:marBottom w:val="0"/>
              <w:divBdr>
                <w:top w:val="none" w:sz="0" w:space="0" w:color="auto"/>
                <w:left w:val="none" w:sz="0" w:space="0" w:color="auto"/>
                <w:bottom w:val="none" w:sz="0" w:space="0" w:color="auto"/>
                <w:right w:val="none" w:sz="0" w:space="0" w:color="auto"/>
              </w:divBdr>
            </w:div>
            <w:div w:id="1636762365">
              <w:marLeft w:val="0"/>
              <w:marRight w:val="0"/>
              <w:marTop w:val="0"/>
              <w:marBottom w:val="0"/>
              <w:divBdr>
                <w:top w:val="none" w:sz="0" w:space="0" w:color="auto"/>
                <w:left w:val="none" w:sz="0" w:space="0" w:color="auto"/>
                <w:bottom w:val="none" w:sz="0" w:space="0" w:color="auto"/>
                <w:right w:val="none" w:sz="0" w:space="0" w:color="auto"/>
              </w:divBdr>
            </w:div>
            <w:div w:id="1636762366">
              <w:marLeft w:val="0"/>
              <w:marRight w:val="0"/>
              <w:marTop w:val="0"/>
              <w:marBottom w:val="0"/>
              <w:divBdr>
                <w:top w:val="none" w:sz="0" w:space="0" w:color="auto"/>
                <w:left w:val="none" w:sz="0" w:space="0" w:color="auto"/>
                <w:bottom w:val="none" w:sz="0" w:space="0" w:color="auto"/>
                <w:right w:val="none" w:sz="0" w:space="0" w:color="auto"/>
              </w:divBdr>
            </w:div>
            <w:div w:id="1636762368">
              <w:marLeft w:val="0"/>
              <w:marRight w:val="0"/>
              <w:marTop w:val="0"/>
              <w:marBottom w:val="0"/>
              <w:divBdr>
                <w:top w:val="none" w:sz="0" w:space="0" w:color="auto"/>
                <w:left w:val="none" w:sz="0" w:space="0" w:color="auto"/>
                <w:bottom w:val="none" w:sz="0" w:space="0" w:color="auto"/>
                <w:right w:val="none" w:sz="0" w:space="0" w:color="auto"/>
              </w:divBdr>
            </w:div>
            <w:div w:id="1636762369">
              <w:marLeft w:val="0"/>
              <w:marRight w:val="0"/>
              <w:marTop w:val="0"/>
              <w:marBottom w:val="0"/>
              <w:divBdr>
                <w:top w:val="none" w:sz="0" w:space="0" w:color="auto"/>
                <w:left w:val="none" w:sz="0" w:space="0" w:color="auto"/>
                <w:bottom w:val="none" w:sz="0" w:space="0" w:color="auto"/>
                <w:right w:val="none" w:sz="0" w:space="0" w:color="auto"/>
              </w:divBdr>
            </w:div>
            <w:div w:id="1636762370">
              <w:marLeft w:val="0"/>
              <w:marRight w:val="0"/>
              <w:marTop w:val="0"/>
              <w:marBottom w:val="0"/>
              <w:divBdr>
                <w:top w:val="none" w:sz="0" w:space="0" w:color="auto"/>
                <w:left w:val="none" w:sz="0" w:space="0" w:color="auto"/>
                <w:bottom w:val="none" w:sz="0" w:space="0" w:color="auto"/>
                <w:right w:val="none" w:sz="0" w:space="0" w:color="auto"/>
              </w:divBdr>
            </w:div>
            <w:div w:id="1636762371">
              <w:marLeft w:val="0"/>
              <w:marRight w:val="0"/>
              <w:marTop w:val="0"/>
              <w:marBottom w:val="0"/>
              <w:divBdr>
                <w:top w:val="none" w:sz="0" w:space="0" w:color="auto"/>
                <w:left w:val="none" w:sz="0" w:space="0" w:color="auto"/>
                <w:bottom w:val="none" w:sz="0" w:space="0" w:color="auto"/>
                <w:right w:val="none" w:sz="0" w:space="0" w:color="auto"/>
              </w:divBdr>
            </w:div>
            <w:div w:id="1636762372">
              <w:marLeft w:val="0"/>
              <w:marRight w:val="0"/>
              <w:marTop w:val="0"/>
              <w:marBottom w:val="0"/>
              <w:divBdr>
                <w:top w:val="none" w:sz="0" w:space="0" w:color="auto"/>
                <w:left w:val="none" w:sz="0" w:space="0" w:color="auto"/>
                <w:bottom w:val="none" w:sz="0" w:space="0" w:color="auto"/>
                <w:right w:val="none" w:sz="0" w:space="0" w:color="auto"/>
              </w:divBdr>
            </w:div>
            <w:div w:id="1636762373">
              <w:marLeft w:val="0"/>
              <w:marRight w:val="0"/>
              <w:marTop w:val="0"/>
              <w:marBottom w:val="0"/>
              <w:divBdr>
                <w:top w:val="none" w:sz="0" w:space="0" w:color="auto"/>
                <w:left w:val="none" w:sz="0" w:space="0" w:color="auto"/>
                <w:bottom w:val="none" w:sz="0" w:space="0" w:color="auto"/>
                <w:right w:val="none" w:sz="0" w:space="0" w:color="auto"/>
              </w:divBdr>
            </w:div>
            <w:div w:id="1636762374">
              <w:marLeft w:val="0"/>
              <w:marRight w:val="0"/>
              <w:marTop w:val="0"/>
              <w:marBottom w:val="0"/>
              <w:divBdr>
                <w:top w:val="none" w:sz="0" w:space="0" w:color="auto"/>
                <w:left w:val="none" w:sz="0" w:space="0" w:color="auto"/>
                <w:bottom w:val="none" w:sz="0" w:space="0" w:color="auto"/>
                <w:right w:val="none" w:sz="0" w:space="0" w:color="auto"/>
              </w:divBdr>
            </w:div>
            <w:div w:id="1636762375">
              <w:marLeft w:val="0"/>
              <w:marRight w:val="0"/>
              <w:marTop w:val="0"/>
              <w:marBottom w:val="0"/>
              <w:divBdr>
                <w:top w:val="none" w:sz="0" w:space="0" w:color="auto"/>
                <w:left w:val="none" w:sz="0" w:space="0" w:color="auto"/>
                <w:bottom w:val="none" w:sz="0" w:space="0" w:color="auto"/>
                <w:right w:val="none" w:sz="0" w:space="0" w:color="auto"/>
              </w:divBdr>
            </w:div>
            <w:div w:id="1636762376">
              <w:marLeft w:val="0"/>
              <w:marRight w:val="0"/>
              <w:marTop w:val="0"/>
              <w:marBottom w:val="0"/>
              <w:divBdr>
                <w:top w:val="none" w:sz="0" w:space="0" w:color="auto"/>
                <w:left w:val="none" w:sz="0" w:space="0" w:color="auto"/>
                <w:bottom w:val="none" w:sz="0" w:space="0" w:color="auto"/>
                <w:right w:val="none" w:sz="0" w:space="0" w:color="auto"/>
              </w:divBdr>
            </w:div>
            <w:div w:id="1636762377">
              <w:marLeft w:val="0"/>
              <w:marRight w:val="0"/>
              <w:marTop w:val="0"/>
              <w:marBottom w:val="0"/>
              <w:divBdr>
                <w:top w:val="none" w:sz="0" w:space="0" w:color="auto"/>
                <w:left w:val="none" w:sz="0" w:space="0" w:color="auto"/>
                <w:bottom w:val="none" w:sz="0" w:space="0" w:color="auto"/>
                <w:right w:val="none" w:sz="0" w:space="0" w:color="auto"/>
              </w:divBdr>
            </w:div>
            <w:div w:id="1636762378">
              <w:marLeft w:val="0"/>
              <w:marRight w:val="0"/>
              <w:marTop w:val="0"/>
              <w:marBottom w:val="0"/>
              <w:divBdr>
                <w:top w:val="none" w:sz="0" w:space="0" w:color="auto"/>
                <w:left w:val="none" w:sz="0" w:space="0" w:color="auto"/>
                <w:bottom w:val="none" w:sz="0" w:space="0" w:color="auto"/>
                <w:right w:val="none" w:sz="0" w:space="0" w:color="auto"/>
              </w:divBdr>
            </w:div>
            <w:div w:id="1636762379">
              <w:marLeft w:val="0"/>
              <w:marRight w:val="0"/>
              <w:marTop w:val="0"/>
              <w:marBottom w:val="0"/>
              <w:divBdr>
                <w:top w:val="none" w:sz="0" w:space="0" w:color="auto"/>
                <w:left w:val="none" w:sz="0" w:space="0" w:color="auto"/>
                <w:bottom w:val="none" w:sz="0" w:space="0" w:color="auto"/>
                <w:right w:val="none" w:sz="0" w:space="0" w:color="auto"/>
              </w:divBdr>
            </w:div>
            <w:div w:id="1636762380">
              <w:marLeft w:val="0"/>
              <w:marRight w:val="0"/>
              <w:marTop w:val="0"/>
              <w:marBottom w:val="0"/>
              <w:divBdr>
                <w:top w:val="none" w:sz="0" w:space="0" w:color="auto"/>
                <w:left w:val="none" w:sz="0" w:space="0" w:color="auto"/>
                <w:bottom w:val="none" w:sz="0" w:space="0" w:color="auto"/>
                <w:right w:val="none" w:sz="0" w:space="0" w:color="auto"/>
              </w:divBdr>
            </w:div>
            <w:div w:id="1636762381">
              <w:marLeft w:val="0"/>
              <w:marRight w:val="0"/>
              <w:marTop w:val="0"/>
              <w:marBottom w:val="0"/>
              <w:divBdr>
                <w:top w:val="none" w:sz="0" w:space="0" w:color="auto"/>
                <w:left w:val="none" w:sz="0" w:space="0" w:color="auto"/>
                <w:bottom w:val="none" w:sz="0" w:space="0" w:color="auto"/>
                <w:right w:val="none" w:sz="0" w:space="0" w:color="auto"/>
              </w:divBdr>
            </w:div>
            <w:div w:id="1636762382">
              <w:marLeft w:val="0"/>
              <w:marRight w:val="0"/>
              <w:marTop w:val="0"/>
              <w:marBottom w:val="0"/>
              <w:divBdr>
                <w:top w:val="none" w:sz="0" w:space="0" w:color="auto"/>
                <w:left w:val="none" w:sz="0" w:space="0" w:color="auto"/>
                <w:bottom w:val="none" w:sz="0" w:space="0" w:color="auto"/>
                <w:right w:val="none" w:sz="0" w:space="0" w:color="auto"/>
              </w:divBdr>
            </w:div>
            <w:div w:id="1636762383">
              <w:marLeft w:val="0"/>
              <w:marRight w:val="0"/>
              <w:marTop w:val="0"/>
              <w:marBottom w:val="0"/>
              <w:divBdr>
                <w:top w:val="none" w:sz="0" w:space="0" w:color="auto"/>
                <w:left w:val="none" w:sz="0" w:space="0" w:color="auto"/>
                <w:bottom w:val="none" w:sz="0" w:space="0" w:color="auto"/>
                <w:right w:val="none" w:sz="0" w:space="0" w:color="auto"/>
              </w:divBdr>
            </w:div>
            <w:div w:id="1636762384">
              <w:marLeft w:val="0"/>
              <w:marRight w:val="0"/>
              <w:marTop w:val="0"/>
              <w:marBottom w:val="0"/>
              <w:divBdr>
                <w:top w:val="none" w:sz="0" w:space="0" w:color="auto"/>
                <w:left w:val="none" w:sz="0" w:space="0" w:color="auto"/>
                <w:bottom w:val="none" w:sz="0" w:space="0" w:color="auto"/>
                <w:right w:val="none" w:sz="0" w:space="0" w:color="auto"/>
              </w:divBdr>
            </w:div>
            <w:div w:id="1636762385">
              <w:marLeft w:val="0"/>
              <w:marRight w:val="0"/>
              <w:marTop w:val="0"/>
              <w:marBottom w:val="0"/>
              <w:divBdr>
                <w:top w:val="none" w:sz="0" w:space="0" w:color="auto"/>
                <w:left w:val="none" w:sz="0" w:space="0" w:color="auto"/>
                <w:bottom w:val="none" w:sz="0" w:space="0" w:color="auto"/>
                <w:right w:val="none" w:sz="0" w:space="0" w:color="auto"/>
              </w:divBdr>
            </w:div>
            <w:div w:id="1636762386">
              <w:marLeft w:val="0"/>
              <w:marRight w:val="0"/>
              <w:marTop w:val="0"/>
              <w:marBottom w:val="0"/>
              <w:divBdr>
                <w:top w:val="none" w:sz="0" w:space="0" w:color="auto"/>
                <w:left w:val="none" w:sz="0" w:space="0" w:color="auto"/>
                <w:bottom w:val="none" w:sz="0" w:space="0" w:color="auto"/>
                <w:right w:val="none" w:sz="0" w:space="0" w:color="auto"/>
              </w:divBdr>
            </w:div>
            <w:div w:id="1636762387">
              <w:marLeft w:val="0"/>
              <w:marRight w:val="0"/>
              <w:marTop w:val="0"/>
              <w:marBottom w:val="0"/>
              <w:divBdr>
                <w:top w:val="none" w:sz="0" w:space="0" w:color="auto"/>
                <w:left w:val="none" w:sz="0" w:space="0" w:color="auto"/>
                <w:bottom w:val="none" w:sz="0" w:space="0" w:color="auto"/>
                <w:right w:val="none" w:sz="0" w:space="0" w:color="auto"/>
              </w:divBdr>
            </w:div>
            <w:div w:id="1636762388">
              <w:marLeft w:val="0"/>
              <w:marRight w:val="0"/>
              <w:marTop w:val="0"/>
              <w:marBottom w:val="0"/>
              <w:divBdr>
                <w:top w:val="none" w:sz="0" w:space="0" w:color="auto"/>
                <w:left w:val="none" w:sz="0" w:space="0" w:color="auto"/>
                <w:bottom w:val="none" w:sz="0" w:space="0" w:color="auto"/>
                <w:right w:val="none" w:sz="0" w:space="0" w:color="auto"/>
              </w:divBdr>
            </w:div>
            <w:div w:id="1636762389">
              <w:marLeft w:val="0"/>
              <w:marRight w:val="0"/>
              <w:marTop w:val="0"/>
              <w:marBottom w:val="0"/>
              <w:divBdr>
                <w:top w:val="none" w:sz="0" w:space="0" w:color="auto"/>
                <w:left w:val="none" w:sz="0" w:space="0" w:color="auto"/>
                <w:bottom w:val="none" w:sz="0" w:space="0" w:color="auto"/>
                <w:right w:val="none" w:sz="0" w:space="0" w:color="auto"/>
              </w:divBdr>
            </w:div>
            <w:div w:id="1636762390">
              <w:marLeft w:val="0"/>
              <w:marRight w:val="0"/>
              <w:marTop w:val="0"/>
              <w:marBottom w:val="0"/>
              <w:divBdr>
                <w:top w:val="none" w:sz="0" w:space="0" w:color="auto"/>
                <w:left w:val="none" w:sz="0" w:space="0" w:color="auto"/>
                <w:bottom w:val="none" w:sz="0" w:space="0" w:color="auto"/>
                <w:right w:val="none" w:sz="0" w:space="0" w:color="auto"/>
              </w:divBdr>
            </w:div>
            <w:div w:id="1636762391">
              <w:marLeft w:val="0"/>
              <w:marRight w:val="0"/>
              <w:marTop w:val="0"/>
              <w:marBottom w:val="0"/>
              <w:divBdr>
                <w:top w:val="none" w:sz="0" w:space="0" w:color="auto"/>
                <w:left w:val="none" w:sz="0" w:space="0" w:color="auto"/>
                <w:bottom w:val="none" w:sz="0" w:space="0" w:color="auto"/>
                <w:right w:val="none" w:sz="0" w:space="0" w:color="auto"/>
              </w:divBdr>
            </w:div>
            <w:div w:id="1636762392">
              <w:marLeft w:val="0"/>
              <w:marRight w:val="0"/>
              <w:marTop w:val="0"/>
              <w:marBottom w:val="0"/>
              <w:divBdr>
                <w:top w:val="none" w:sz="0" w:space="0" w:color="auto"/>
                <w:left w:val="none" w:sz="0" w:space="0" w:color="auto"/>
                <w:bottom w:val="none" w:sz="0" w:space="0" w:color="auto"/>
                <w:right w:val="none" w:sz="0" w:space="0" w:color="auto"/>
              </w:divBdr>
            </w:div>
            <w:div w:id="1636762393">
              <w:marLeft w:val="0"/>
              <w:marRight w:val="0"/>
              <w:marTop w:val="0"/>
              <w:marBottom w:val="0"/>
              <w:divBdr>
                <w:top w:val="none" w:sz="0" w:space="0" w:color="auto"/>
                <w:left w:val="none" w:sz="0" w:space="0" w:color="auto"/>
                <w:bottom w:val="none" w:sz="0" w:space="0" w:color="auto"/>
                <w:right w:val="none" w:sz="0" w:space="0" w:color="auto"/>
              </w:divBdr>
            </w:div>
            <w:div w:id="1636762394">
              <w:marLeft w:val="0"/>
              <w:marRight w:val="0"/>
              <w:marTop w:val="0"/>
              <w:marBottom w:val="0"/>
              <w:divBdr>
                <w:top w:val="none" w:sz="0" w:space="0" w:color="auto"/>
                <w:left w:val="none" w:sz="0" w:space="0" w:color="auto"/>
                <w:bottom w:val="none" w:sz="0" w:space="0" w:color="auto"/>
                <w:right w:val="none" w:sz="0" w:space="0" w:color="auto"/>
              </w:divBdr>
            </w:div>
            <w:div w:id="1636762395">
              <w:marLeft w:val="0"/>
              <w:marRight w:val="0"/>
              <w:marTop w:val="0"/>
              <w:marBottom w:val="0"/>
              <w:divBdr>
                <w:top w:val="none" w:sz="0" w:space="0" w:color="auto"/>
                <w:left w:val="none" w:sz="0" w:space="0" w:color="auto"/>
                <w:bottom w:val="none" w:sz="0" w:space="0" w:color="auto"/>
                <w:right w:val="none" w:sz="0" w:space="0" w:color="auto"/>
              </w:divBdr>
            </w:div>
            <w:div w:id="1636762396">
              <w:marLeft w:val="0"/>
              <w:marRight w:val="0"/>
              <w:marTop w:val="0"/>
              <w:marBottom w:val="0"/>
              <w:divBdr>
                <w:top w:val="none" w:sz="0" w:space="0" w:color="auto"/>
                <w:left w:val="none" w:sz="0" w:space="0" w:color="auto"/>
                <w:bottom w:val="none" w:sz="0" w:space="0" w:color="auto"/>
                <w:right w:val="none" w:sz="0" w:space="0" w:color="auto"/>
              </w:divBdr>
            </w:div>
            <w:div w:id="1636762397">
              <w:marLeft w:val="0"/>
              <w:marRight w:val="0"/>
              <w:marTop w:val="0"/>
              <w:marBottom w:val="0"/>
              <w:divBdr>
                <w:top w:val="none" w:sz="0" w:space="0" w:color="auto"/>
                <w:left w:val="none" w:sz="0" w:space="0" w:color="auto"/>
                <w:bottom w:val="none" w:sz="0" w:space="0" w:color="auto"/>
                <w:right w:val="none" w:sz="0" w:space="0" w:color="auto"/>
              </w:divBdr>
            </w:div>
            <w:div w:id="1636762398">
              <w:marLeft w:val="0"/>
              <w:marRight w:val="0"/>
              <w:marTop w:val="0"/>
              <w:marBottom w:val="0"/>
              <w:divBdr>
                <w:top w:val="none" w:sz="0" w:space="0" w:color="auto"/>
                <w:left w:val="none" w:sz="0" w:space="0" w:color="auto"/>
                <w:bottom w:val="none" w:sz="0" w:space="0" w:color="auto"/>
                <w:right w:val="none" w:sz="0" w:space="0" w:color="auto"/>
              </w:divBdr>
            </w:div>
            <w:div w:id="1636762399">
              <w:marLeft w:val="0"/>
              <w:marRight w:val="0"/>
              <w:marTop w:val="0"/>
              <w:marBottom w:val="0"/>
              <w:divBdr>
                <w:top w:val="none" w:sz="0" w:space="0" w:color="auto"/>
                <w:left w:val="none" w:sz="0" w:space="0" w:color="auto"/>
                <w:bottom w:val="none" w:sz="0" w:space="0" w:color="auto"/>
                <w:right w:val="none" w:sz="0" w:space="0" w:color="auto"/>
              </w:divBdr>
            </w:div>
            <w:div w:id="1636762400">
              <w:marLeft w:val="0"/>
              <w:marRight w:val="0"/>
              <w:marTop w:val="0"/>
              <w:marBottom w:val="0"/>
              <w:divBdr>
                <w:top w:val="none" w:sz="0" w:space="0" w:color="auto"/>
                <w:left w:val="none" w:sz="0" w:space="0" w:color="auto"/>
                <w:bottom w:val="none" w:sz="0" w:space="0" w:color="auto"/>
                <w:right w:val="none" w:sz="0" w:space="0" w:color="auto"/>
              </w:divBdr>
            </w:div>
            <w:div w:id="1636762401">
              <w:marLeft w:val="0"/>
              <w:marRight w:val="0"/>
              <w:marTop w:val="0"/>
              <w:marBottom w:val="0"/>
              <w:divBdr>
                <w:top w:val="none" w:sz="0" w:space="0" w:color="auto"/>
                <w:left w:val="none" w:sz="0" w:space="0" w:color="auto"/>
                <w:bottom w:val="none" w:sz="0" w:space="0" w:color="auto"/>
                <w:right w:val="none" w:sz="0" w:space="0" w:color="auto"/>
              </w:divBdr>
            </w:div>
            <w:div w:id="1636762402">
              <w:marLeft w:val="0"/>
              <w:marRight w:val="0"/>
              <w:marTop w:val="0"/>
              <w:marBottom w:val="0"/>
              <w:divBdr>
                <w:top w:val="none" w:sz="0" w:space="0" w:color="auto"/>
                <w:left w:val="none" w:sz="0" w:space="0" w:color="auto"/>
                <w:bottom w:val="none" w:sz="0" w:space="0" w:color="auto"/>
                <w:right w:val="none" w:sz="0" w:space="0" w:color="auto"/>
              </w:divBdr>
            </w:div>
            <w:div w:id="1636762403">
              <w:marLeft w:val="0"/>
              <w:marRight w:val="0"/>
              <w:marTop w:val="0"/>
              <w:marBottom w:val="0"/>
              <w:divBdr>
                <w:top w:val="none" w:sz="0" w:space="0" w:color="auto"/>
                <w:left w:val="none" w:sz="0" w:space="0" w:color="auto"/>
                <w:bottom w:val="none" w:sz="0" w:space="0" w:color="auto"/>
                <w:right w:val="none" w:sz="0" w:space="0" w:color="auto"/>
              </w:divBdr>
            </w:div>
            <w:div w:id="1636762404">
              <w:marLeft w:val="0"/>
              <w:marRight w:val="0"/>
              <w:marTop w:val="0"/>
              <w:marBottom w:val="0"/>
              <w:divBdr>
                <w:top w:val="none" w:sz="0" w:space="0" w:color="auto"/>
                <w:left w:val="none" w:sz="0" w:space="0" w:color="auto"/>
                <w:bottom w:val="none" w:sz="0" w:space="0" w:color="auto"/>
                <w:right w:val="none" w:sz="0" w:space="0" w:color="auto"/>
              </w:divBdr>
            </w:div>
            <w:div w:id="1636762405">
              <w:marLeft w:val="0"/>
              <w:marRight w:val="0"/>
              <w:marTop w:val="0"/>
              <w:marBottom w:val="0"/>
              <w:divBdr>
                <w:top w:val="none" w:sz="0" w:space="0" w:color="auto"/>
                <w:left w:val="none" w:sz="0" w:space="0" w:color="auto"/>
                <w:bottom w:val="none" w:sz="0" w:space="0" w:color="auto"/>
                <w:right w:val="none" w:sz="0" w:space="0" w:color="auto"/>
              </w:divBdr>
            </w:div>
            <w:div w:id="1636762406">
              <w:marLeft w:val="0"/>
              <w:marRight w:val="0"/>
              <w:marTop w:val="0"/>
              <w:marBottom w:val="0"/>
              <w:divBdr>
                <w:top w:val="none" w:sz="0" w:space="0" w:color="auto"/>
                <w:left w:val="none" w:sz="0" w:space="0" w:color="auto"/>
                <w:bottom w:val="none" w:sz="0" w:space="0" w:color="auto"/>
                <w:right w:val="none" w:sz="0" w:space="0" w:color="auto"/>
              </w:divBdr>
            </w:div>
            <w:div w:id="1636762407">
              <w:marLeft w:val="0"/>
              <w:marRight w:val="0"/>
              <w:marTop w:val="0"/>
              <w:marBottom w:val="0"/>
              <w:divBdr>
                <w:top w:val="none" w:sz="0" w:space="0" w:color="auto"/>
                <w:left w:val="none" w:sz="0" w:space="0" w:color="auto"/>
                <w:bottom w:val="none" w:sz="0" w:space="0" w:color="auto"/>
                <w:right w:val="none" w:sz="0" w:space="0" w:color="auto"/>
              </w:divBdr>
            </w:div>
            <w:div w:id="1636762408">
              <w:marLeft w:val="0"/>
              <w:marRight w:val="0"/>
              <w:marTop w:val="0"/>
              <w:marBottom w:val="0"/>
              <w:divBdr>
                <w:top w:val="none" w:sz="0" w:space="0" w:color="auto"/>
                <w:left w:val="none" w:sz="0" w:space="0" w:color="auto"/>
                <w:bottom w:val="none" w:sz="0" w:space="0" w:color="auto"/>
                <w:right w:val="none" w:sz="0" w:space="0" w:color="auto"/>
              </w:divBdr>
            </w:div>
            <w:div w:id="1636762409">
              <w:marLeft w:val="0"/>
              <w:marRight w:val="0"/>
              <w:marTop w:val="0"/>
              <w:marBottom w:val="0"/>
              <w:divBdr>
                <w:top w:val="none" w:sz="0" w:space="0" w:color="auto"/>
                <w:left w:val="none" w:sz="0" w:space="0" w:color="auto"/>
                <w:bottom w:val="none" w:sz="0" w:space="0" w:color="auto"/>
                <w:right w:val="none" w:sz="0" w:space="0" w:color="auto"/>
              </w:divBdr>
            </w:div>
            <w:div w:id="1636762410">
              <w:marLeft w:val="0"/>
              <w:marRight w:val="0"/>
              <w:marTop w:val="0"/>
              <w:marBottom w:val="0"/>
              <w:divBdr>
                <w:top w:val="none" w:sz="0" w:space="0" w:color="auto"/>
                <w:left w:val="none" w:sz="0" w:space="0" w:color="auto"/>
                <w:bottom w:val="none" w:sz="0" w:space="0" w:color="auto"/>
                <w:right w:val="none" w:sz="0" w:space="0" w:color="auto"/>
              </w:divBdr>
            </w:div>
            <w:div w:id="1636762411">
              <w:marLeft w:val="0"/>
              <w:marRight w:val="0"/>
              <w:marTop w:val="0"/>
              <w:marBottom w:val="0"/>
              <w:divBdr>
                <w:top w:val="none" w:sz="0" w:space="0" w:color="auto"/>
                <w:left w:val="none" w:sz="0" w:space="0" w:color="auto"/>
                <w:bottom w:val="none" w:sz="0" w:space="0" w:color="auto"/>
                <w:right w:val="none" w:sz="0" w:space="0" w:color="auto"/>
              </w:divBdr>
            </w:div>
            <w:div w:id="1636762412">
              <w:marLeft w:val="0"/>
              <w:marRight w:val="0"/>
              <w:marTop w:val="0"/>
              <w:marBottom w:val="0"/>
              <w:divBdr>
                <w:top w:val="none" w:sz="0" w:space="0" w:color="auto"/>
                <w:left w:val="none" w:sz="0" w:space="0" w:color="auto"/>
                <w:bottom w:val="none" w:sz="0" w:space="0" w:color="auto"/>
                <w:right w:val="none" w:sz="0" w:space="0" w:color="auto"/>
              </w:divBdr>
            </w:div>
            <w:div w:id="1636762413">
              <w:marLeft w:val="0"/>
              <w:marRight w:val="0"/>
              <w:marTop w:val="0"/>
              <w:marBottom w:val="0"/>
              <w:divBdr>
                <w:top w:val="none" w:sz="0" w:space="0" w:color="auto"/>
                <w:left w:val="none" w:sz="0" w:space="0" w:color="auto"/>
                <w:bottom w:val="none" w:sz="0" w:space="0" w:color="auto"/>
                <w:right w:val="none" w:sz="0" w:space="0" w:color="auto"/>
              </w:divBdr>
            </w:div>
            <w:div w:id="1636762414">
              <w:marLeft w:val="0"/>
              <w:marRight w:val="0"/>
              <w:marTop w:val="0"/>
              <w:marBottom w:val="0"/>
              <w:divBdr>
                <w:top w:val="none" w:sz="0" w:space="0" w:color="auto"/>
                <w:left w:val="none" w:sz="0" w:space="0" w:color="auto"/>
                <w:bottom w:val="none" w:sz="0" w:space="0" w:color="auto"/>
                <w:right w:val="none" w:sz="0" w:space="0" w:color="auto"/>
              </w:divBdr>
            </w:div>
            <w:div w:id="1636762415">
              <w:marLeft w:val="0"/>
              <w:marRight w:val="0"/>
              <w:marTop w:val="0"/>
              <w:marBottom w:val="0"/>
              <w:divBdr>
                <w:top w:val="none" w:sz="0" w:space="0" w:color="auto"/>
                <w:left w:val="none" w:sz="0" w:space="0" w:color="auto"/>
                <w:bottom w:val="none" w:sz="0" w:space="0" w:color="auto"/>
                <w:right w:val="none" w:sz="0" w:space="0" w:color="auto"/>
              </w:divBdr>
            </w:div>
            <w:div w:id="1636762416">
              <w:marLeft w:val="0"/>
              <w:marRight w:val="0"/>
              <w:marTop w:val="0"/>
              <w:marBottom w:val="0"/>
              <w:divBdr>
                <w:top w:val="none" w:sz="0" w:space="0" w:color="auto"/>
                <w:left w:val="none" w:sz="0" w:space="0" w:color="auto"/>
                <w:bottom w:val="none" w:sz="0" w:space="0" w:color="auto"/>
                <w:right w:val="none" w:sz="0" w:space="0" w:color="auto"/>
              </w:divBdr>
            </w:div>
            <w:div w:id="1636762417">
              <w:marLeft w:val="0"/>
              <w:marRight w:val="0"/>
              <w:marTop w:val="0"/>
              <w:marBottom w:val="0"/>
              <w:divBdr>
                <w:top w:val="none" w:sz="0" w:space="0" w:color="auto"/>
                <w:left w:val="none" w:sz="0" w:space="0" w:color="auto"/>
                <w:bottom w:val="none" w:sz="0" w:space="0" w:color="auto"/>
                <w:right w:val="none" w:sz="0" w:space="0" w:color="auto"/>
              </w:divBdr>
            </w:div>
            <w:div w:id="1636762418">
              <w:marLeft w:val="0"/>
              <w:marRight w:val="0"/>
              <w:marTop w:val="0"/>
              <w:marBottom w:val="0"/>
              <w:divBdr>
                <w:top w:val="none" w:sz="0" w:space="0" w:color="auto"/>
                <w:left w:val="none" w:sz="0" w:space="0" w:color="auto"/>
                <w:bottom w:val="none" w:sz="0" w:space="0" w:color="auto"/>
                <w:right w:val="none" w:sz="0" w:space="0" w:color="auto"/>
              </w:divBdr>
            </w:div>
            <w:div w:id="1636762419">
              <w:marLeft w:val="0"/>
              <w:marRight w:val="0"/>
              <w:marTop w:val="0"/>
              <w:marBottom w:val="0"/>
              <w:divBdr>
                <w:top w:val="none" w:sz="0" w:space="0" w:color="auto"/>
                <w:left w:val="none" w:sz="0" w:space="0" w:color="auto"/>
                <w:bottom w:val="none" w:sz="0" w:space="0" w:color="auto"/>
                <w:right w:val="none" w:sz="0" w:space="0" w:color="auto"/>
              </w:divBdr>
            </w:div>
            <w:div w:id="1636762420">
              <w:marLeft w:val="0"/>
              <w:marRight w:val="0"/>
              <w:marTop w:val="0"/>
              <w:marBottom w:val="0"/>
              <w:divBdr>
                <w:top w:val="none" w:sz="0" w:space="0" w:color="auto"/>
                <w:left w:val="none" w:sz="0" w:space="0" w:color="auto"/>
                <w:bottom w:val="none" w:sz="0" w:space="0" w:color="auto"/>
                <w:right w:val="none" w:sz="0" w:space="0" w:color="auto"/>
              </w:divBdr>
            </w:div>
            <w:div w:id="1636762421">
              <w:marLeft w:val="0"/>
              <w:marRight w:val="0"/>
              <w:marTop w:val="0"/>
              <w:marBottom w:val="0"/>
              <w:divBdr>
                <w:top w:val="none" w:sz="0" w:space="0" w:color="auto"/>
                <w:left w:val="none" w:sz="0" w:space="0" w:color="auto"/>
                <w:bottom w:val="none" w:sz="0" w:space="0" w:color="auto"/>
                <w:right w:val="none" w:sz="0" w:space="0" w:color="auto"/>
              </w:divBdr>
            </w:div>
            <w:div w:id="1636762422">
              <w:marLeft w:val="0"/>
              <w:marRight w:val="0"/>
              <w:marTop w:val="0"/>
              <w:marBottom w:val="0"/>
              <w:divBdr>
                <w:top w:val="none" w:sz="0" w:space="0" w:color="auto"/>
                <w:left w:val="none" w:sz="0" w:space="0" w:color="auto"/>
                <w:bottom w:val="none" w:sz="0" w:space="0" w:color="auto"/>
                <w:right w:val="none" w:sz="0" w:space="0" w:color="auto"/>
              </w:divBdr>
            </w:div>
            <w:div w:id="1636762423">
              <w:marLeft w:val="0"/>
              <w:marRight w:val="0"/>
              <w:marTop w:val="0"/>
              <w:marBottom w:val="0"/>
              <w:divBdr>
                <w:top w:val="none" w:sz="0" w:space="0" w:color="auto"/>
                <w:left w:val="none" w:sz="0" w:space="0" w:color="auto"/>
                <w:bottom w:val="none" w:sz="0" w:space="0" w:color="auto"/>
                <w:right w:val="none" w:sz="0" w:space="0" w:color="auto"/>
              </w:divBdr>
            </w:div>
            <w:div w:id="1636762425">
              <w:marLeft w:val="0"/>
              <w:marRight w:val="0"/>
              <w:marTop w:val="0"/>
              <w:marBottom w:val="0"/>
              <w:divBdr>
                <w:top w:val="none" w:sz="0" w:space="0" w:color="auto"/>
                <w:left w:val="none" w:sz="0" w:space="0" w:color="auto"/>
                <w:bottom w:val="none" w:sz="0" w:space="0" w:color="auto"/>
                <w:right w:val="none" w:sz="0" w:space="0" w:color="auto"/>
              </w:divBdr>
            </w:div>
            <w:div w:id="16367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427">
      <w:marLeft w:val="0"/>
      <w:marRight w:val="0"/>
      <w:marTop w:val="0"/>
      <w:marBottom w:val="0"/>
      <w:divBdr>
        <w:top w:val="none" w:sz="0" w:space="0" w:color="auto"/>
        <w:left w:val="none" w:sz="0" w:space="0" w:color="auto"/>
        <w:bottom w:val="none" w:sz="0" w:space="0" w:color="auto"/>
        <w:right w:val="none" w:sz="0" w:space="0" w:color="auto"/>
      </w:divBdr>
    </w:div>
    <w:div w:id="1636762428">
      <w:marLeft w:val="0"/>
      <w:marRight w:val="0"/>
      <w:marTop w:val="0"/>
      <w:marBottom w:val="0"/>
      <w:divBdr>
        <w:top w:val="none" w:sz="0" w:space="0" w:color="auto"/>
        <w:left w:val="none" w:sz="0" w:space="0" w:color="auto"/>
        <w:bottom w:val="none" w:sz="0" w:space="0" w:color="auto"/>
        <w:right w:val="none" w:sz="0" w:space="0" w:color="auto"/>
      </w:divBdr>
    </w:div>
    <w:div w:id="16367624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sineemd@hotmail.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10625</Words>
  <Characters>60567</Characters>
  <Application>Microsoft Macintosh Word</Application>
  <DocSecurity>0</DocSecurity>
  <Lines>504</Lines>
  <Paragraphs>142</Paragraphs>
  <ScaleCrop>false</ScaleCrop>
  <Company>微软中国</Company>
  <LinksUpToDate>false</LinksUpToDate>
  <CharactersWithSpaces>71050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Sinee Disthabanchong</dc:creator>
  <cp:lastModifiedBy>Na Ma</cp:lastModifiedBy>
  <cp:revision>2</cp:revision>
  <dcterms:created xsi:type="dcterms:W3CDTF">2015-10-25T22:40:00Z</dcterms:created>
  <dcterms:modified xsi:type="dcterms:W3CDTF">2015-10-25T22:40:00Z</dcterms:modified>
</cp:coreProperties>
</file>