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t xml:space="preserve">Name of Journal: </w:t>
      </w:r>
      <w:r w:rsidRPr="001E29B5">
        <w:rPr>
          <w:rFonts w:ascii="Book Antiqua" w:hAnsi="Book Antiqua"/>
          <w:b/>
          <w:i/>
          <w:sz w:val="24"/>
          <w:szCs w:val="24"/>
        </w:rPr>
        <w:t>World Journal of Radiology</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t>ESPS Manuscript NO: 20922</w:t>
      </w:r>
    </w:p>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color w:val="000000"/>
          <w:sz w:val="24"/>
          <w:szCs w:val="24"/>
        </w:rPr>
        <w:t>Manuscript Type:</w:t>
      </w:r>
      <w:r w:rsidRPr="001E29B5">
        <w:rPr>
          <w:rFonts w:ascii="Book Antiqua" w:hAnsi="Book Antiqua"/>
          <w:b/>
          <w:sz w:val="24"/>
          <w:szCs w:val="24"/>
        </w:rPr>
        <w:t xml:space="preserve"> Original Article</w:t>
      </w:r>
    </w:p>
    <w:p w:rsidR="00E8308C" w:rsidRPr="001E29B5" w:rsidRDefault="00E8308C" w:rsidP="00036E8E">
      <w:pPr>
        <w:spacing w:after="0" w:line="360" w:lineRule="auto"/>
        <w:jc w:val="both"/>
        <w:rPr>
          <w:rFonts w:ascii="Book Antiqua" w:hAnsi="Book Antiqua"/>
          <w:b/>
          <w:i/>
          <w:sz w:val="24"/>
          <w:szCs w:val="24"/>
          <w:lang w:eastAsia="zh-CN"/>
        </w:rPr>
      </w:pPr>
    </w:p>
    <w:p w:rsidR="00E8308C" w:rsidRPr="001E29B5" w:rsidRDefault="00E8308C" w:rsidP="00036E8E">
      <w:pPr>
        <w:spacing w:after="0" w:line="360" w:lineRule="auto"/>
        <w:jc w:val="both"/>
        <w:rPr>
          <w:rFonts w:ascii="Book Antiqua" w:hAnsi="Book Antiqua"/>
          <w:b/>
          <w:i/>
          <w:sz w:val="24"/>
          <w:szCs w:val="24"/>
        </w:rPr>
      </w:pPr>
      <w:r w:rsidRPr="001E29B5">
        <w:rPr>
          <w:rFonts w:ascii="Book Antiqua" w:hAnsi="Book Antiqua"/>
          <w:b/>
          <w:i/>
          <w:sz w:val="24"/>
          <w:szCs w:val="24"/>
        </w:rPr>
        <w:t>Basic Study</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t>Renal ablation using magnetic resonance-guided high intensity focused ultrasound: Magnetic resonance imaging and histopathology assessment</w:t>
      </w:r>
    </w:p>
    <w:p w:rsidR="00E8308C" w:rsidRPr="001E29B5" w:rsidRDefault="00E8308C" w:rsidP="00036E8E">
      <w:pPr>
        <w:pStyle w:val="NoSpacing"/>
        <w:tabs>
          <w:tab w:val="left" w:pos="-1710"/>
        </w:tabs>
        <w:spacing w:line="360" w:lineRule="auto"/>
        <w:jc w:val="both"/>
        <w:rPr>
          <w:rFonts w:ascii="Book Antiqua" w:hAnsi="Book Antiqua"/>
          <w:sz w:val="24"/>
          <w:szCs w:val="24"/>
          <w:lang w:eastAsia="zh-CN"/>
        </w:rPr>
      </w:pPr>
    </w:p>
    <w:p w:rsidR="00E8308C" w:rsidRPr="001E29B5" w:rsidRDefault="00E8308C" w:rsidP="00036E8E">
      <w:pPr>
        <w:pStyle w:val="NoSpacing"/>
        <w:tabs>
          <w:tab w:val="left" w:pos="-1710"/>
        </w:tabs>
        <w:spacing w:line="360" w:lineRule="auto"/>
        <w:jc w:val="both"/>
        <w:rPr>
          <w:rFonts w:ascii="Book Antiqua" w:hAnsi="Book Antiqua"/>
          <w:sz w:val="24"/>
          <w:szCs w:val="24"/>
          <w:lang w:eastAsia="zh-CN"/>
        </w:rPr>
      </w:pPr>
      <w:r w:rsidRPr="001E29B5">
        <w:rPr>
          <w:rFonts w:ascii="Book Antiqua" w:hAnsi="Book Antiqua"/>
          <w:sz w:val="24"/>
          <w:szCs w:val="24"/>
        </w:rPr>
        <w:t xml:space="preserve">Saeed </w:t>
      </w:r>
      <w:r w:rsidRPr="001E29B5">
        <w:rPr>
          <w:rFonts w:ascii="Book Antiqua" w:hAnsi="Book Antiqua"/>
          <w:sz w:val="24"/>
          <w:szCs w:val="24"/>
          <w:lang w:eastAsia="zh-CN"/>
        </w:rPr>
        <w:t xml:space="preserve">M </w:t>
      </w:r>
      <w:r w:rsidRPr="001E29B5">
        <w:rPr>
          <w:rFonts w:ascii="Book Antiqua" w:hAnsi="Book Antiqua"/>
          <w:i/>
          <w:sz w:val="24"/>
          <w:szCs w:val="24"/>
          <w:lang w:eastAsia="zh-CN"/>
        </w:rPr>
        <w:t>et al</w:t>
      </w:r>
      <w:r w:rsidRPr="001E29B5">
        <w:rPr>
          <w:rFonts w:ascii="Book Antiqua" w:hAnsi="Book Antiqua"/>
          <w:sz w:val="24"/>
          <w:szCs w:val="24"/>
          <w:lang w:eastAsia="zh-CN"/>
        </w:rPr>
        <w:t xml:space="preserve">. </w:t>
      </w:r>
      <w:r w:rsidRPr="001E29B5">
        <w:rPr>
          <w:rFonts w:ascii="Book Antiqua" w:hAnsi="Book Antiqua"/>
          <w:sz w:val="24"/>
          <w:szCs w:val="24"/>
        </w:rPr>
        <w:t>Renal ablation using MR-guided HIFU</w:t>
      </w:r>
    </w:p>
    <w:p w:rsidR="00E8308C" w:rsidRPr="001E29B5" w:rsidRDefault="00E8308C" w:rsidP="00036E8E">
      <w:pPr>
        <w:pStyle w:val="NoSpacing"/>
        <w:tabs>
          <w:tab w:val="left" w:pos="-1710"/>
        </w:tabs>
        <w:spacing w:line="360" w:lineRule="auto"/>
        <w:jc w:val="both"/>
        <w:rPr>
          <w:rFonts w:ascii="Book Antiqua" w:hAnsi="Book Antiqua"/>
          <w:sz w:val="24"/>
          <w:szCs w:val="24"/>
          <w:lang w:eastAsia="zh-CN"/>
        </w:rPr>
      </w:pPr>
    </w:p>
    <w:p w:rsidR="00E8308C" w:rsidRPr="001E29B5" w:rsidRDefault="00E8308C" w:rsidP="00036E8E">
      <w:pPr>
        <w:pStyle w:val="NoSpacing"/>
        <w:tabs>
          <w:tab w:val="left" w:pos="-1710"/>
        </w:tabs>
        <w:spacing w:line="360" w:lineRule="auto"/>
        <w:jc w:val="both"/>
        <w:rPr>
          <w:rFonts w:ascii="Book Antiqua" w:hAnsi="Book Antiqua"/>
          <w:b/>
          <w:sz w:val="24"/>
          <w:szCs w:val="24"/>
        </w:rPr>
      </w:pPr>
      <w:r w:rsidRPr="001E29B5">
        <w:rPr>
          <w:rFonts w:ascii="Book Antiqua" w:hAnsi="Book Antiqua"/>
          <w:b/>
          <w:sz w:val="24"/>
          <w:szCs w:val="24"/>
        </w:rPr>
        <w:t>Maythem Saeed, Roland Krug, Loi Do, Steven W Hetts, Mark W Wilson</w:t>
      </w:r>
    </w:p>
    <w:p w:rsidR="00E8308C" w:rsidRPr="001E29B5" w:rsidRDefault="00E8308C" w:rsidP="00036E8E">
      <w:pPr>
        <w:pStyle w:val="NoSpacing"/>
        <w:tabs>
          <w:tab w:val="left" w:pos="-1710"/>
        </w:tabs>
        <w:spacing w:line="360" w:lineRule="auto"/>
        <w:jc w:val="both"/>
        <w:rPr>
          <w:rFonts w:ascii="Book Antiqua" w:hAnsi="Book Antiqua"/>
          <w:sz w:val="24"/>
          <w:szCs w:val="24"/>
          <w:lang w:eastAsia="zh-CN"/>
        </w:rPr>
      </w:pPr>
    </w:p>
    <w:p w:rsidR="00E8308C" w:rsidRPr="001E29B5" w:rsidRDefault="00E8308C" w:rsidP="00036E8E">
      <w:pPr>
        <w:pStyle w:val="NoSpacing"/>
        <w:tabs>
          <w:tab w:val="left" w:pos="-1710"/>
        </w:tabs>
        <w:spacing w:line="360" w:lineRule="auto"/>
        <w:jc w:val="both"/>
        <w:rPr>
          <w:rFonts w:ascii="Book Antiqua" w:hAnsi="Book Antiqua"/>
          <w:sz w:val="24"/>
          <w:szCs w:val="24"/>
          <w:lang w:eastAsia="zh-CN"/>
        </w:rPr>
      </w:pPr>
      <w:r w:rsidRPr="001E29B5">
        <w:rPr>
          <w:rFonts w:ascii="Book Antiqua" w:hAnsi="Book Antiqua"/>
          <w:b/>
          <w:sz w:val="24"/>
          <w:szCs w:val="24"/>
        </w:rPr>
        <w:t>Maythem Saeed, Roland Krug, Loi Do, Steven W Hetts, Mark W Wilson</w:t>
      </w:r>
      <w:r w:rsidRPr="001E29B5">
        <w:rPr>
          <w:rFonts w:ascii="Book Antiqua" w:hAnsi="Book Antiqua"/>
          <w:b/>
          <w:sz w:val="24"/>
          <w:szCs w:val="24"/>
          <w:lang w:eastAsia="zh-CN"/>
        </w:rPr>
        <w:t>,</w:t>
      </w:r>
      <w:r w:rsidRPr="001E29B5">
        <w:rPr>
          <w:rFonts w:ascii="Book Antiqua" w:hAnsi="Book Antiqua"/>
          <w:sz w:val="24"/>
          <w:szCs w:val="24"/>
        </w:rPr>
        <w:t xml:space="preserve"> Department of Radiology and Biomedical Imaging, School of Medicine</w:t>
      </w:r>
      <w:r w:rsidRPr="001E29B5">
        <w:rPr>
          <w:rFonts w:ascii="Book Antiqua" w:hAnsi="Book Antiqua"/>
          <w:sz w:val="24"/>
          <w:szCs w:val="24"/>
          <w:lang w:eastAsia="zh-CN"/>
        </w:rPr>
        <w:t>,</w:t>
      </w:r>
      <w:r w:rsidRPr="001E29B5">
        <w:rPr>
          <w:rFonts w:ascii="Book Antiqua" w:hAnsi="Book Antiqua"/>
          <w:b/>
          <w:sz w:val="24"/>
          <w:szCs w:val="24"/>
          <w:lang w:eastAsia="zh-CN"/>
        </w:rPr>
        <w:t xml:space="preserve"> </w:t>
      </w:r>
      <w:r w:rsidRPr="001E29B5">
        <w:rPr>
          <w:rFonts w:ascii="Book Antiqua" w:hAnsi="Book Antiqua"/>
          <w:sz w:val="24"/>
          <w:szCs w:val="24"/>
        </w:rPr>
        <w:t>University of California San Francisco, San Francisco,</w:t>
      </w:r>
      <w:r>
        <w:rPr>
          <w:rFonts w:ascii="Book Antiqua" w:hAnsi="Book Antiqua"/>
          <w:sz w:val="24"/>
          <w:szCs w:val="24"/>
          <w:lang w:eastAsia="zh-CN"/>
        </w:rPr>
        <w:t xml:space="preserve"> </w:t>
      </w:r>
      <w:r w:rsidRPr="001E29B5">
        <w:rPr>
          <w:rFonts w:ascii="Book Antiqua" w:hAnsi="Book Antiqua"/>
          <w:sz w:val="24"/>
          <w:szCs w:val="24"/>
        </w:rPr>
        <w:t>CA 94107-5705</w:t>
      </w:r>
      <w:r w:rsidRPr="001E29B5">
        <w:rPr>
          <w:rFonts w:ascii="Book Antiqua" w:hAnsi="Book Antiqua"/>
          <w:sz w:val="24"/>
          <w:szCs w:val="24"/>
          <w:lang w:eastAsia="zh-CN"/>
        </w:rPr>
        <w:t xml:space="preserve">, </w:t>
      </w:r>
      <w:r w:rsidRPr="001E29B5">
        <w:rPr>
          <w:rFonts w:ascii="Book Antiqua" w:hAnsi="Book Antiqua"/>
          <w:sz w:val="24"/>
          <w:szCs w:val="24"/>
        </w:rPr>
        <w:t>United States</w:t>
      </w:r>
    </w:p>
    <w:p w:rsidR="00E8308C" w:rsidRPr="001E29B5" w:rsidRDefault="00E8308C" w:rsidP="00036E8E">
      <w:pPr>
        <w:widowControl w:val="0"/>
        <w:tabs>
          <w:tab w:val="left" w:pos="-1710"/>
        </w:tabs>
        <w:autoSpaceDE w:val="0"/>
        <w:autoSpaceDN w:val="0"/>
        <w:adjustRightInd w:val="0"/>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t>Author contributions:</w:t>
      </w:r>
      <w:r w:rsidRPr="001E29B5">
        <w:rPr>
          <w:rFonts w:ascii="Book Antiqua" w:hAnsi="Book Antiqua"/>
          <w:b/>
          <w:sz w:val="24"/>
          <w:szCs w:val="24"/>
          <w:lang w:eastAsia="zh-CN"/>
        </w:rPr>
        <w:t xml:space="preserve"> </w:t>
      </w:r>
      <w:r w:rsidRPr="001E29B5">
        <w:rPr>
          <w:rFonts w:ascii="Book Antiqua" w:hAnsi="Book Antiqua"/>
          <w:sz w:val="24"/>
          <w:szCs w:val="24"/>
          <w:lang w:eastAsia="zh-CN"/>
        </w:rPr>
        <w:t>Saeed M designed the study, performed the experiments, analyzed MR images/histology and wrote the manuscript; Krug R performed the ablation and MR imaging and involved in manuscript editing; Do L achieved and analyzed the images, prepared the figures and involved in manuscript editing; Hetts SW and Wilson MW provided vital advices and were also involved in manuscript editing.</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bCs/>
          <w:iCs/>
          <w:sz w:val="24"/>
          <w:szCs w:val="24"/>
          <w:lang w:eastAsia="zh-CN"/>
        </w:rPr>
      </w:pPr>
      <w:r w:rsidRPr="001E29B5">
        <w:rPr>
          <w:rFonts w:ascii="Book Antiqua" w:hAnsi="Book Antiqua"/>
          <w:b/>
          <w:sz w:val="24"/>
          <w:szCs w:val="24"/>
        </w:rPr>
        <w:t>Institutional review board statement:</w:t>
      </w:r>
      <w:r w:rsidRPr="001E29B5">
        <w:rPr>
          <w:rFonts w:ascii="Book Antiqua" w:hAnsi="Book Antiqua"/>
          <w:b/>
          <w:sz w:val="24"/>
          <w:szCs w:val="24"/>
          <w:lang w:eastAsia="zh-CN"/>
        </w:rPr>
        <w:t xml:space="preserve"> </w:t>
      </w:r>
      <w:r w:rsidRPr="001E29B5">
        <w:rPr>
          <w:rFonts w:ascii="Book Antiqua" w:hAnsi="Book Antiqua"/>
          <w:bCs/>
          <w:iCs/>
          <w:sz w:val="24"/>
          <w:szCs w:val="24"/>
        </w:rPr>
        <w:t>Departmental Scientific Merit Approval</w:t>
      </w:r>
      <w:r w:rsidRPr="001E29B5">
        <w:rPr>
          <w:rFonts w:ascii="Book Antiqua" w:hAnsi="Book Antiqua"/>
          <w:bCs/>
          <w:iCs/>
          <w:sz w:val="24"/>
          <w:szCs w:val="24"/>
          <w:lang w:eastAsia="zh-CN"/>
        </w:rPr>
        <w:t>.</w:t>
      </w:r>
    </w:p>
    <w:p w:rsidR="00E8308C" w:rsidRPr="001E29B5" w:rsidRDefault="00E8308C" w:rsidP="00036E8E">
      <w:pPr>
        <w:spacing w:after="0" w:line="360" w:lineRule="auto"/>
        <w:jc w:val="both"/>
        <w:rPr>
          <w:rFonts w:ascii="Book Antiqua" w:hAnsi="Book Antiqua"/>
          <w:b/>
          <w:sz w:val="24"/>
          <w:szCs w:val="24"/>
          <w:lang w:eastAsia="zh-CN"/>
        </w:rPr>
      </w:pPr>
    </w:p>
    <w:p w:rsidR="00E8308C" w:rsidRPr="001E29B5" w:rsidRDefault="00E8308C" w:rsidP="00036E8E">
      <w:pPr>
        <w:tabs>
          <w:tab w:val="left" w:pos="-1710"/>
        </w:tabs>
        <w:spacing w:after="0" w:line="360" w:lineRule="auto"/>
        <w:jc w:val="both"/>
        <w:rPr>
          <w:rFonts w:ascii="Book Antiqua" w:hAnsi="Book Antiqua"/>
          <w:sz w:val="24"/>
          <w:szCs w:val="24"/>
          <w:lang w:eastAsia="zh-CN"/>
        </w:rPr>
      </w:pPr>
      <w:r w:rsidRPr="001E29B5">
        <w:rPr>
          <w:rFonts w:ascii="Book Antiqua" w:hAnsi="Book Antiqua"/>
          <w:b/>
          <w:sz w:val="24"/>
          <w:szCs w:val="24"/>
        </w:rPr>
        <w:t>Institutional animal care and use committee statement</w:t>
      </w:r>
      <w:r w:rsidRPr="001E29B5">
        <w:rPr>
          <w:rFonts w:ascii="Book Antiqua" w:hAnsi="Book Antiqua"/>
          <w:b/>
          <w:sz w:val="24"/>
          <w:szCs w:val="24"/>
          <w:lang w:eastAsia="zh-CN"/>
        </w:rPr>
        <w:t>:</w:t>
      </w:r>
      <w:r w:rsidRPr="001E29B5">
        <w:rPr>
          <w:rFonts w:ascii="Book Antiqua" w:hAnsi="Book Antiqua"/>
          <w:bCs/>
          <w:iCs/>
          <w:sz w:val="24"/>
          <w:szCs w:val="24"/>
        </w:rPr>
        <w:t xml:space="preserve"> </w:t>
      </w:r>
      <w:r w:rsidRPr="001E29B5">
        <w:rPr>
          <w:rFonts w:ascii="Book Antiqua" w:hAnsi="Book Antiqua"/>
          <w:sz w:val="24"/>
          <w:szCs w:val="24"/>
          <w:lang w:eastAsia="zh-CN"/>
        </w:rPr>
        <w:t>This study received approval from Institutional Animal Care and Use Committee.</w:t>
      </w:r>
    </w:p>
    <w:p w:rsidR="00E8308C" w:rsidRPr="001E29B5" w:rsidRDefault="00E8308C" w:rsidP="00036E8E">
      <w:pPr>
        <w:autoSpaceDE w:val="0"/>
        <w:autoSpaceDN w:val="0"/>
        <w:adjustRightInd w:val="0"/>
        <w:spacing w:after="0" w:line="360" w:lineRule="auto"/>
        <w:jc w:val="both"/>
        <w:rPr>
          <w:rFonts w:ascii="Book Antiqua" w:hAnsi="Book Antiqua"/>
          <w:b/>
          <w:bCs/>
          <w:iCs/>
          <w:sz w:val="24"/>
          <w:szCs w:val="24"/>
          <w:lang w:eastAsia="zh-CN"/>
        </w:rPr>
      </w:pP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Conflict-of-interest statement:</w:t>
      </w:r>
      <w:r w:rsidRPr="001E29B5">
        <w:rPr>
          <w:rFonts w:ascii="Book Antiqua" w:hAnsi="Book Antiqua"/>
          <w:b/>
          <w:sz w:val="24"/>
          <w:szCs w:val="24"/>
          <w:lang w:eastAsia="zh-CN"/>
        </w:rPr>
        <w:t xml:space="preserve"> </w:t>
      </w:r>
      <w:r w:rsidRPr="001E29B5">
        <w:rPr>
          <w:rFonts w:ascii="Book Antiqua" w:hAnsi="Book Antiqua"/>
          <w:sz w:val="24"/>
          <w:szCs w:val="24"/>
        </w:rPr>
        <w:t>All investigators have no conflict-of-interest.</w:t>
      </w:r>
    </w:p>
    <w:p w:rsidR="00E8308C" w:rsidRPr="001E29B5" w:rsidRDefault="00E8308C" w:rsidP="00036E8E">
      <w:pPr>
        <w:autoSpaceDE w:val="0"/>
        <w:autoSpaceDN w:val="0"/>
        <w:adjustRightInd w:val="0"/>
        <w:spacing w:after="0" w:line="360" w:lineRule="auto"/>
        <w:jc w:val="both"/>
        <w:rPr>
          <w:rFonts w:ascii="Book Antiqua" w:hAnsi="Book Antiqua" w:cs="TimesNewRomanPS-BoldItalicMT"/>
          <w:b/>
          <w:bCs/>
          <w:iCs/>
          <w:sz w:val="24"/>
          <w:szCs w:val="24"/>
          <w:lang w:eastAsia="zh-CN"/>
        </w:rPr>
      </w:pPr>
    </w:p>
    <w:p w:rsidR="00E8308C" w:rsidRPr="001E29B5" w:rsidRDefault="00E8308C" w:rsidP="00036E8E">
      <w:pPr>
        <w:spacing w:after="0" w:line="360" w:lineRule="auto"/>
        <w:jc w:val="both"/>
        <w:rPr>
          <w:rFonts w:ascii="Book Antiqua" w:hAnsi="Book Antiqua" w:cs="TimesNewRomanPS-BoldItalicMT"/>
          <w:bCs/>
          <w:iCs/>
          <w:sz w:val="24"/>
          <w:szCs w:val="24"/>
          <w:lang w:eastAsia="zh-CN"/>
        </w:rPr>
      </w:pPr>
      <w:r w:rsidRPr="001E29B5">
        <w:rPr>
          <w:rFonts w:ascii="Book Antiqua" w:hAnsi="Book Antiqua"/>
          <w:b/>
          <w:sz w:val="24"/>
          <w:szCs w:val="24"/>
        </w:rPr>
        <w:lastRenderedPageBreak/>
        <w:t>Data sharing statement:</w:t>
      </w:r>
      <w:r w:rsidRPr="001E29B5">
        <w:rPr>
          <w:rFonts w:ascii="Book Antiqua" w:hAnsi="Book Antiqua"/>
          <w:b/>
          <w:sz w:val="24"/>
          <w:szCs w:val="24"/>
          <w:lang w:eastAsia="zh-CN"/>
        </w:rPr>
        <w:t xml:space="preserve"> </w:t>
      </w:r>
      <w:r w:rsidRPr="001E29B5">
        <w:rPr>
          <w:rFonts w:ascii="Book Antiqua" w:hAnsi="Book Antiqua" w:cs="TimesNewRomanPS-BoldItalicMT"/>
          <w:bCs/>
          <w:iCs/>
          <w:sz w:val="24"/>
          <w:szCs w:val="24"/>
        </w:rPr>
        <w:t>The authors are solely responsible for the data.</w:t>
      </w:r>
    </w:p>
    <w:p w:rsidR="00E8308C" w:rsidRPr="001E29B5" w:rsidRDefault="00E8308C" w:rsidP="00036E8E">
      <w:pPr>
        <w:spacing w:after="0" w:line="360" w:lineRule="auto"/>
        <w:jc w:val="both"/>
        <w:rPr>
          <w:rFonts w:ascii="Book Antiqua" w:hAnsi="Book Antiqua" w:cs="TimesNewRomanPS-BoldItalicMT"/>
          <w:bCs/>
          <w:iCs/>
          <w:sz w:val="24"/>
          <w:szCs w:val="24"/>
          <w:lang w:eastAsia="zh-CN"/>
        </w:rPr>
      </w:pPr>
    </w:p>
    <w:p w:rsidR="00E8308C" w:rsidRPr="001E29B5" w:rsidRDefault="00E8308C" w:rsidP="00036E8E">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1E29B5">
        <w:rPr>
          <w:rFonts w:ascii="Book Antiqua" w:hAnsi="Book Antiqua"/>
          <w:b/>
          <w:sz w:val="24"/>
          <w:szCs w:val="24"/>
        </w:rPr>
        <w:t xml:space="preserve">Open-Access: </w:t>
      </w:r>
      <w:r w:rsidRPr="001E29B5">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9863C8">
      <w:pPr>
        <w:spacing w:after="0" w:line="360" w:lineRule="auto"/>
        <w:ind w:rightChars="50" w:right="110"/>
        <w:jc w:val="both"/>
        <w:rPr>
          <w:rFonts w:ascii="Book Antiqua" w:hAnsi="Book Antiqua" w:cs="Arial"/>
          <w:b/>
          <w:bCs/>
          <w:sz w:val="24"/>
          <w:szCs w:val="24"/>
        </w:rPr>
      </w:pPr>
      <w:r w:rsidRPr="001E29B5">
        <w:rPr>
          <w:rFonts w:ascii="Book Antiqua" w:hAnsi="Book Antiqua"/>
          <w:b/>
          <w:sz w:val="24"/>
          <w:szCs w:val="24"/>
        </w:rPr>
        <w:t>Correspondence to:</w:t>
      </w:r>
      <w:r w:rsidRPr="001E29B5">
        <w:rPr>
          <w:rFonts w:ascii="Book Antiqua" w:hAnsi="Book Antiqua" w:cs="Arial"/>
          <w:b/>
          <w:bCs/>
          <w:sz w:val="24"/>
          <w:szCs w:val="24"/>
          <w:lang w:eastAsia="zh-CN"/>
        </w:rPr>
        <w:t xml:space="preserve"> </w:t>
      </w:r>
      <w:r w:rsidRPr="001E29B5">
        <w:rPr>
          <w:rFonts w:ascii="Book Antiqua" w:hAnsi="Book Antiqua"/>
          <w:b/>
          <w:sz w:val="24"/>
          <w:szCs w:val="24"/>
        </w:rPr>
        <w:t>Maythem Saeed,</w:t>
      </w:r>
      <w:r w:rsidRPr="001E29B5">
        <w:rPr>
          <w:rFonts w:ascii="Book Antiqua" w:hAnsi="Book Antiqua"/>
          <w:b/>
          <w:sz w:val="24"/>
          <w:szCs w:val="24"/>
          <w:lang w:eastAsia="zh-CN"/>
        </w:rPr>
        <w:t xml:space="preserve"> PhD, </w:t>
      </w:r>
      <w:r w:rsidRPr="001E29B5">
        <w:rPr>
          <w:rFonts w:ascii="Book Antiqua" w:hAnsi="Book Antiqua"/>
          <w:b/>
          <w:sz w:val="24"/>
          <w:szCs w:val="24"/>
        </w:rPr>
        <w:t>Professor</w:t>
      </w:r>
      <w:r w:rsidRPr="001E29B5">
        <w:rPr>
          <w:rFonts w:ascii="Book Antiqua" w:hAnsi="Book Antiqua"/>
          <w:b/>
          <w:sz w:val="24"/>
          <w:szCs w:val="24"/>
          <w:lang w:eastAsia="zh-CN"/>
        </w:rPr>
        <w:t xml:space="preserve">, </w:t>
      </w:r>
      <w:r w:rsidRPr="001E29B5">
        <w:rPr>
          <w:rFonts w:ascii="Book Antiqua" w:hAnsi="Book Antiqua"/>
          <w:sz w:val="24"/>
          <w:szCs w:val="24"/>
        </w:rPr>
        <w:t>Department of Radiology and Biomedical Imaging</w:t>
      </w:r>
      <w:r w:rsidRPr="001E29B5">
        <w:rPr>
          <w:rFonts w:ascii="Book Antiqua" w:hAnsi="Book Antiqua"/>
          <w:sz w:val="24"/>
          <w:szCs w:val="24"/>
          <w:lang w:eastAsia="zh-CN"/>
        </w:rPr>
        <w:t xml:space="preserve">, </w:t>
      </w:r>
      <w:r w:rsidRPr="001E29B5">
        <w:rPr>
          <w:rFonts w:ascii="Book Antiqua" w:hAnsi="Book Antiqua"/>
          <w:sz w:val="24"/>
          <w:szCs w:val="24"/>
        </w:rPr>
        <w:t>School of Medicine</w:t>
      </w:r>
      <w:r w:rsidRPr="001E29B5">
        <w:rPr>
          <w:rFonts w:ascii="Book Antiqua" w:hAnsi="Book Antiqua"/>
          <w:sz w:val="24"/>
          <w:szCs w:val="24"/>
          <w:lang w:eastAsia="zh-CN"/>
        </w:rPr>
        <w:t>,</w:t>
      </w:r>
      <w:r w:rsidRPr="001E29B5">
        <w:rPr>
          <w:rFonts w:ascii="Book Antiqua" w:hAnsi="Book Antiqua"/>
          <w:b/>
          <w:sz w:val="24"/>
          <w:szCs w:val="24"/>
          <w:lang w:eastAsia="zh-CN"/>
        </w:rPr>
        <w:t xml:space="preserve"> </w:t>
      </w:r>
      <w:r w:rsidRPr="001E29B5">
        <w:rPr>
          <w:rFonts w:ascii="Book Antiqua" w:hAnsi="Book Antiqua"/>
          <w:sz w:val="24"/>
          <w:szCs w:val="24"/>
        </w:rPr>
        <w:t>University of California San Francisco</w:t>
      </w:r>
      <w:r w:rsidRPr="001E29B5">
        <w:rPr>
          <w:rFonts w:ascii="Book Antiqua" w:hAnsi="Book Antiqua"/>
          <w:sz w:val="24"/>
          <w:szCs w:val="24"/>
          <w:lang w:eastAsia="zh-CN"/>
        </w:rPr>
        <w:t xml:space="preserve">, </w:t>
      </w:r>
      <w:r w:rsidRPr="001E29B5">
        <w:rPr>
          <w:rFonts w:ascii="Book Antiqua" w:hAnsi="Book Antiqua"/>
          <w:sz w:val="24"/>
          <w:szCs w:val="24"/>
        </w:rPr>
        <w:t>185 Berry Street, Suite 350, Campus Box 0946</w:t>
      </w:r>
      <w:r w:rsidRPr="001E29B5">
        <w:rPr>
          <w:rFonts w:ascii="Book Antiqua" w:hAnsi="Book Antiqua"/>
          <w:sz w:val="24"/>
          <w:szCs w:val="24"/>
          <w:lang w:eastAsia="zh-CN"/>
        </w:rPr>
        <w:t xml:space="preserve">, </w:t>
      </w:r>
      <w:r w:rsidRPr="001E29B5">
        <w:rPr>
          <w:rFonts w:ascii="Book Antiqua" w:hAnsi="Book Antiqua"/>
          <w:sz w:val="24"/>
          <w:szCs w:val="24"/>
        </w:rPr>
        <w:t>San Francisco, CA 94107-5705</w:t>
      </w:r>
      <w:r w:rsidRPr="001E29B5">
        <w:rPr>
          <w:rFonts w:ascii="Book Antiqua" w:hAnsi="Book Antiqua"/>
          <w:sz w:val="24"/>
          <w:szCs w:val="24"/>
          <w:lang w:eastAsia="zh-CN"/>
        </w:rPr>
        <w:t>,</w:t>
      </w:r>
      <w:r w:rsidRPr="001E29B5">
        <w:rPr>
          <w:rFonts w:ascii="Book Antiqua" w:hAnsi="Book Antiqua"/>
          <w:sz w:val="24"/>
          <w:szCs w:val="24"/>
        </w:rPr>
        <w:t xml:space="preserve"> United States</w:t>
      </w:r>
      <w:r w:rsidRPr="001E29B5">
        <w:rPr>
          <w:rFonts w:ascii="Book Antiqua" w:hAnsi="Book Antiqua"/>
          <w:sz w:val="24"/>
          <w:szCs w:val="24"/>
          <w:lang w:eastAsia="zh-CN"/>
        </w:rPr>
        <w:t>.</w:t>
      </w:r>
      <w:r w:rsidRPr="001E29B5">
        <w:rPr>
          <w:rFonts w:ascii="Book Antiqua" w:hAnsi="Book Antiqua"/>
          <w:sz w:val="24"/>
          <w:szCs w:val="24"/>
        </w:rPr>
        <w:t xml:space="preserve"> msaeed@</w:t>
      </w:r>
      <w:r w:rsidR="009863C8" w:rsidRPr="001E29B5">
        <w:rPr>
          <w:rFonts w:ascii="Book Antiqua" w:hAnsi="Book Antiqua"/>
          <w:sz w:val="24"/>
          <w:szCs w:val="24"/>
        </w:rPr>
        <w:t>ucsf.edu</w:t>
      </w:r>
    </w:p>
    <w:p w:rsidR="00E8308C" w:rsidRPr="001E29B5" w:rsidRDefault="00E8308C" w:rsidP="00036E8E">
      <w:pPr>
        <w:widowControl w:val="0"/>
        <w:tabs>
          <w:tab w:val="left" w:pos="-1710"/>
        </w:tabs>
        <w:autoSpaceDE w:val="0"/>
        <w:autoSpaceDN w:val="0"/>
        <w:adjustRightInd w:val="0"/>
        <w:spacing w:after="0" w:line="360" w:lineRule="auto"/>
        <w:jc w:val="both"/>
        <w:rPr>
          <w:rFonts w:ascii="Book Antiqua" w:hAnsi="Book Antiqua"/>
          <w:sz w:val="24"/>
          <w:szCs w:val="24"/>
          <w:lang w:eastAsia="zh-CN"/>
        </w:rPr>
      </w:pPr>
      <w:r w:rsidRPr="001E29B5">
        <w:rPr>
          <w:rFonts w:ascii="Book Antiqua" w:hAnsi="Book Antiqua"/>
          <w:b/>
          <w:sz w:val="24"/>
          <w:szCs w:val="24"/>
          <w:lang w:eastAsia="zh-CN"/>
        </w:rPr>
        <w:t>Tele</w:t>
      </w:r>
      <w:r w:rsidRPr="001E29B5">
        <w:rPr>
          <w:rFonts w:ascii="Book Antiqua" w:hAnsi="Book Antiqua"/>
          <w:b/>
          <w:sz w:val="24"/>
          <w:szCs w:val="24"/>
        </w:rPr>
        <w:t xml:space="preserve">phone: </w:t>
      </w:r>
      <w:r w:rsidRPr="001E29B5">
        <w:rPr>
          <w:rFonts w:ascii="Book Antiqua" w:hAnsi="Book Antiqua"/>
          <w:sz w:val="24"/>
          <w:szCs w:val="24"/>
          <w:lang w:eastAsia="zh-CN"/>
        </w:rPr>
        <w:t>+1-</w:t>
      </w:r>
      <w:r w:rsidRPr="001E29B5">
        <w:rPr>
          <w:rFonts w:ascii="Book Antiqua" w:hAnsi="Book Antiqua"/>
          <w:sz w:val="24"/>
          <w:szCs w:val="24"/>
        </w:rPr>
        <w:t>415-5146221</w:t>
      </w:r>
    </w:p>
    <w:p w:rsidR="00E8308C" w:rsidRPr="001E29B5" w:rsidRDefault="00E8308C" w:rsidP="00036E8E">
      <w:pPr>
        <w:widowControl w:val="0"/>
        <w:tabs>
          <w:tab w:val="left" w:pos="-1710"/>
        </w:tabs>
        <w:autoSpaceDE w:val="0"/>
        <w:autoSpaceDN w:val="0"/>
        <w:adjustRightInd w:val="0"/>
        <w:spacing w:after="0" w:line="360" w:lineRule="auto"/>
        <w:jc w:val="both"/>
        <w:rPr>
          <w:rFonts w:ascii="Book Antiqua" w:hAnsi="Book Antiqua"/>
          <w:sz w:val="24"/>
          <w:szCs w:val="24"/>
          <w:lang w:eastAsia="zh-CN"/>
        </w:rPr>
      </w:pPr>
      <w:r w:rsidRPr="001E29B5">
        <w:rPr>
          <w:rFonts w:ascii="Book Antiqua" w:hAnsi="Book Antiqua"/>
          <w:b/>
          <w:sz w:val="24"/>
          <w:szCs w:val="24"/>
        </w:rPr>
        <w:t>Fax</w:t>
      </w:r>
      <w:r w:rsidRPr="001E29B5">
        <w:rPr>
          <w:rFonts w:ascii="Book Antiqua" w:hAnsi="Book Antiqua"/>
          <w:b/>
          <w:sz w:val="24"/>
          <w:szCs w:val="24"/>
          <w:lang w:eastAsia="zh-CN"/>
        </w:rPr>
        <w:t>:</w:t>
      </w:r>
      <w:r w:rsidRPr="001E29B5">
        <w:rPr>
          <w:rFonts w:ascii="Book Antiqua" w:hAnsi="Book Antiqua"/>
          <w:sz w:val="24"/>
          <w:szCs w:val="24"/>
        </w:rPr>
        <w:t xml:space="preserve"> </w:t>
      </w:r>
      <w:r w:rsidRPr="001E29B5">
        <w:rPr>
          <w:rFonts w:ascii="Book Antiqua" w:hAnsi="Book Antiqua"/>
          <w:sz w:val="24"/>
          <w:szCs w:val="24"/>
          <w:lang w:eastAsia="zh-CN"/>
        </w:rPr>
        <w:t>+1-</w:t>
      </w:r>
      <w:r w:rsidRPr="001E29B5">
        <w:rPr>
          <w:rFonts w:ascii="Book Antiqua" w:hAnsi="Book Antiqua"/>
          <w:sz w:val="24"/>
          <w:szCs w:val="24"/>
        </w:rPr>
        <w:t>415-3539423</w:t>
      </w:r>
    </w:p>
    <w:p w:rsidR="00E8308C" w:rsidRPr="001E29B5" w:rsidRDefault="00E8308C" w:rsidP="00036E8E">
      <w:pPr>
        <w:widowControl w:val="0"/>
        <w:tabs>
          <w:tab w:val="left" w:pos="-1710"/>
        </w:tabs>
        <w:autoSpaceDE w:val="0"/>
        <w:autoSpaceDN w:val="0"/>
        <w:adjustRightInd w:val="0"/>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 xml:space="preserve">Received: </w:t>
      </w:r>
      <w:r w:rsidRPr="001E29B5">
        <w:rPr>
          <w:rFonts w:ascii="Book Antiqua" w:hAnsi="Book Antiqua"/>
          <w:sz w:val="24"/>
          <w:szCs w:val="24"/>
          <w:lang w:eastAsia="zh-CN"/>
        </w:rPr>
        <w:t>June 26, 2015</w:t>
      </w:r>
    </w:p>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Peer-review started:</w:t>
      </w:r>
      <w:r w:rsidRPr="001E29B5">
        <w:rPr>
          <w:rFonts w:ascii="Book Antiqua" w:hAnsi="Book Antiqua"/>
          <w:b/>
          <w:sz w:val="24"/>
          <w:szCs w:val="24"/>
          <w:lang w:eastAsia="zh-CN"/>
        </w:rPr>
        <w:t xml:space="preserve"> </w:t>
      </w:r>
      <w:r w:rsidRPr="001E29B5">
        <w:rPr>
          <w:rFonts w:ascii="Book Antiqua" w:hAnsi="Book Antiqua"/>
          <w:sz w:val="24"/>
          <w:szCs w:val="24"/>
          <w:lang w:eastAsia="zh-CN"/>
        </w:rPr>
        <w:t>July 7, 2015</w:t>
      </w:r>
    </w:p>
    <w:p w:rsidR="00E8308C" w:rsidRPr="001E29B5" w:rsidRDefault="00E8308C" w:rsidP="00036E8E">
      <w:pPr>
        <w:spacing w:after="0" w:line="360" w:lineRule="auto"/>
        <w:rPr>
          <w:rFonts w:ascii="Book Antiqua" w:hAnsi="Book Antiqua"/>
          <w:sz w:val="24"/>
          <w:szCs w:val="24"/>
          <w:lang w:eastAsia="zh-CN"/>
        </w:rPr>
      </w:pPr>
      <w:r w:rsidRPr="001E29B5">
        <w:rPr>
          <w:rFonts w:ascii="Book Antiqua" w:hAnsi="Book Antiqua"/>
          <w:b/>
          <w:sz w:val="24"/>
          <w:szCs w:val="24"/>
        </w:rPr>
        <w:t>First decision:</w:t>
      </w:r>
      <w:r w:rsidRPr="001E29B5">
        <w:rPr>
          <w:rFonts w:ascii="Book Antiqua" w:hAnsi="Book Antiqua"/>
          <w:b/>
          <w:sz w:val="24"/>
          <w:szCs w:val="24"/>
          <w:lang w:eastAsia="zh-CN"/>
        </w:rPr>
        <w:t xml:space="preserve"> </w:t>
      </w:r>
      <w:r w:rsidRPr="001E29B5">
        <w:rPr>
          <w:rFonts w:ascii="Book Antiqua" w:hAnsi="Book Antiqua"/>
          <w:sz w:val="24"/>
          <w:szCs w:val="24"/>
        </w:rPr>
        <w:t>September</w:t>
      </w:r>
      <w:r w:rsidRPr="001E29B5">
        <w:rPr>
          <w:rFonts w:ascii="Book Antiqua" w:hAnsi="Book Antiqua"/>
          <w:sz w:val="24"/>
          <w:szCs w:val="24"/>
          <w:lang w:eastAsia="zh-CN"/>
        </w:rPr>
        <w:t xml:space="preserve"> 11, 2015</w:t>
      </w:r>
    </w:p>
    <w:p w:rsidR="00E8308C" w:rsidRPr="001E29B5" w:rsidRDefault="00E8308C" w:rsidP="00036E8E">
      <w:pPr>
        <w:spacing w:after="0" w:line="360" w:lineRule="auto"/>
        <w:rPr>
          <w:rFonts w:ascii="Book Antiqua" w:hAnsi="Book Antiqua"/>
          <w:sz w:val="24"/>
          <w:szCs w:val="24"/>
          <w:lang w:eastAsia="zh-CN"/>
        </w:rPr>
      </w:pPr>
      <w:r w:rsidRPr="001E29B5">
        <w:rPr>
          <w:rFonts w:ascii="Book Antiqua" w:hAnsi="Book Antiqua"/>
          <w:b/>
          <w:sz w:val="24"/>
          <w:szCs w:val="24"/>
        </w:rPr>
        <w:t xml:space="preserve">Revised: </w:t>
      </w:r>
      <w:r w:rsidRPr="001E29B5">
        <w:rPr>
          <w:rFonts w:ascii="Book Antiqua" w:hAnsi="Book Antiqua"/>
          <w:sz w:val="24"/>
          <w:szCs w:val="24"/>
        </w:rPr>
        <w:t>October</w:t>
      </w:r>
      <w:r w:rsidRPr="001E29B5">
        <w:rPr>
          <w:rFonts w:ascii="Book Antiqua" w:hAnsi="Book Antiqua"/>
          <w:sz w:val="24"/>
          <w:szCs w:val="24"/>
          <w:lang w:eastAsia="zh-CN"/>
        </w:rPr>
        <w:t xml:space="preserve"> 23, 2015</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t xml:space="preserve">Accepted: </w:t>
      </w:r>
      <w:r w:rsidR="00031A47" w:rsidRPr="00031A47">
        <w:rPr>
          <w:rFonts w:ascii="Book Antiqua" w:hAnsi="Book Antiqua"/>
          <w:sz w:val="24"/>
          <w:szCs w:val="24"/>
        </w:rPr>
        <w:t>November 13, 2015</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t>Article in press:</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t xml:space="preserve">Published online: </w:t>
      </w:r>
    </w:p>
    <w:p w:rsidR="00E8308C" w:rsidRPr="001E29B5" w:rsidRDefault="00E8308C" w:rsidP="00036E8E">
      <w:pPr>
        <w:tabs>
          <w:tab w:val="left" w:pos="-1710"/>
        </w:tabs>
        <w:spacing w:after="0" w:line="360" w:lineRule="auto"/>
        <w:jc w:val="both"/>
        <w:rPr>
          <w:rFonts w:ascii="Book Antiqua" w:hAnsi="Book Antiqua"/>
          <w:b/>
          <w:sz w:val="24"/>
          <w:szCs w:val="24"/>
          <w:lang w:eastAsia="zh-CN"/>
        </w:rPr>
      </w:pPr>
    </w:p>
    <w:p w:rsidR="00E8308C" w:rsidRPr="001E29B5" w:rsidRDefault="00E8308C" w:rsidP="00036E8E">
      <w:pPr>
        <w:spacing w:after="0" w:line="360" w:lineRule="auto"/>
        <w:jc w:val="both"/>
        <w:rPr>
          <w:rFonts w:ascii="Book Antiqua" w:hAnsi="Book Antiqua"/>
          <w:b/>
          <w:color w:val="000000"/>
          <w:sz w:val="24"/>
          <w:szCs w:val="24"/>
        </w:rPr>
      </w:pPr>
      <w:bookmarkStart w:id="4" w:name="OLE_LINK4"/>
      <w:bookmarkStart w:id="5" w:name="OLE_LINK5"/>
      <w:r w:rsidRPr="001E29B5">
        <w:rPr>
          <w:rFonts w:ascii="Book Antiqua" w:hAnsi="Book Antiqua"/>
          <w:b/>
          <w:color w:val="000000"/>
          <w:sz w:val="24"/>
          <w:szCs w:val="24"/>
        </w:rPr>
        <w:t xml:space="preserve"> </w:t>
      </w:r>
      <w:bookmarkEnd w:id="4"/>
      <w:bookmarkEnd w:id="5"/>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color w:val="000000"/>
          <w:sz w:val="24"/>
          <w:szCs w:val="24"/>
        </w:rPr>
        <w:br w:type="page"/>
      </w:r>
      <w:r w:rsidRPr="001E29B5">
        <w:rPr>
          <w:rFonts w:ascii="Book Antiqua" w:hAnsi="Book Antiqua"/>
          <w:b/>
          <w:sz w:val="24"/>
          <w:szCs w:val="24"/>
        </w:rPr>
        <w:lastRenderedPageBreak/>
        <w:t>Abstract</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lang w:val="en-GB"/>
        </w:rPr>
        <w:t>AIM:</w:t>
      </w:r>
      <w:r w:rsidRPr="001E29B5">
        <w:rPr>
          <w:rFonts w:ascii="Book Antiqua" w:hAnsi="Book Antiqua"/>
          <w:b/>
          <w:sz w:val="24"/>
          <w:szCs w:val="24"/>
          <w:lang w:val="en-GB" w:eastAsia="zh-CN"/>
        </w:rPr>
        <w:t xml:space="preserve"> </w:t>
      </w:r>
      <w:r w:rsidRPr="001E29B5">
        <w:rPr>
          <w:rFonts w:ascii="Book Antiqua" w:hAnsi="Book Antiqua"/>
          <w:sz w:val="24"/>
          <w:szCs w:val="24"/>
        </w:rPr>
        <w:t xml:space="preserve">To use magnetic resonance guided high intensity focused ultrasound (MRg- HIFU), magnetic resonance imaging </w:t>
      </w:r>
      <w:r w:rsidRPr="001E29B5">
        <w:rPr>
          <w:rFonts w:ascii="Book Antiqua" w:hAnsi="Book Antiqua"/>
          <w:sz w:val="24"/>
          <w:szCs w:val="24"/>
          <w:lang w:eastAsia="zh-CN"/>
        </w:rPr>
        <w:t>(</w:t>
      </w:r>
      <w:r w:rsidRPr="001E29B5">
        <w:rPr>
          <w:rFonts w:ascii="Book Antiqua" w:hAnsi="Book Antiqua"/>
          <w:sz w:val="24"/>
          <w:szCs w:val="24"/>
        </w:rPr>
        <w:t>MRI</w:t>
      </w:r>
      <w:r w:rsidRPr="001E29B5">
        <w:rPr>
          <w:rFonts w:ascii="Book Antiqua" w:hAnsi="Book Antiqua"/>
          <w:sz w:val="24"/>
          <w:szCs w:val="24"/>
          <w:lang w:eastAsia="zh-CN"/>
        </w:rPr>
        <w:t>)</w:t>
      </w:r>
      <w:r w:rsidRPr="001E29B5">
        <w:rPr>
          <w:rFonts w:ascii="Book Antiqua" w:hAnsi="Book Antiqua"/>
          <w:sz w:val="24"/>
          <w:szCs w:val="24"/>
        </w:rPr>
        <w:t xml:space="preserve"> and histopathology for noninvasively ablating, quantifying and characterizing ablated renal tissue. </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lang w:val="en-GB"/>
        </w:rPr>
        <w:t>METHODS:</w:t>
      </w:r>
      <w:r w:rsidRPr="001E29B5">
        <w:rPr>
          <w:rFonts w:ascii="Book Antiqua" w:hAnsi="Book Antiqua"/>
          <w:b/>
          <w:sz w:val="24"/>
          <w:szCs w:val="24"/>
          <w:lang w:val="en-GB" w:eastAsia="zh-CN"/>
        </w:rPr>
        <w:t xml:space="preserve"> </w:t>
      </w:r>
      <w:r w:rsidRPr="001E29B5">
        <w:rPr>
          <w:rFonts w:ascii="Book Antiqua" w:hAnsi="Book Antiqua"/>
          <w:sz w:val="24"/>
          <w:szCs w:val="24"/>
        </w:rPr>
        <w:t>Six anesthetized/mechanically-ventilated pigs underwent single/double renal sonication (</w:t>
      </w:r>
      <w:r w:rsidRPr="001E29B5">
        <w:rPr>
          <w:rFonts w:ascii="Book Antiqua" w:hAnsi="Book Antiqua"/>
          <w:i/>
          <w:sz w:val="24"/>
          <w:szCs w:val="24"/>
        </w:rPr>
        <w:t>n</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 xml:space="preserve">24) using a 3T-MRg-HIFU (1.1MHz frequency and 3000J-4400J energies). T2-weighted fast spin echo (T2-W), perfusion saturation recovery gradient echo and contrast enhanced (CE) T1-weighted (T1-W) sequences were used for treatment planning, temperature monitoring, lesion visualization, characterization and quantification, respectively. Histopathology was conducted in excised kidneys to quantify and characterize cellular and vascular changes. Paired Student’s </w:t>
      </w:r>
      <w:r w:rsidRPr="001E29B5">
        <w:rPr>
          <w:rFonts w:ascii="Book Antiqua" w:hAnsi="Book Antiqua"/>
          <w:i/>
          <w:sz w:val="24"/>
          <w:szCs w:val="24"/>
        </w:rPr>
        <w:t>t</w:t>
      </w:r>
      <w:r w:rsidRPr="001E29B5">
        <w:rPr>
          <w:rFonts w:ascii="Book Antiqua" w:hAnsi="Book Antiqua"/>
          <w:sz w:val="24"/>
          <w:szCs w:val="24"/>
        </w:rPr>
        <w:t xml:space="preserve">-test was used and a </w:t>
      </w:r>
      <w:r w:rsidRPr="001E29B5">
        <w:rPr>
          <w:rFonts w:ascii="Book Antiqua" w:hAnsi="Book Antiqua"/>
          <w:i/>
          <w:sz w:val="24"/>
          <w:szCs w:val="24"/>
        </w:rPr>
        <w:t>P</w:t>
      </w:r>
      <w:r w:rsidRPr="001E29B5">
        <w:rPr>
          <w:rFonts w:ascii="Book Antiqua" w:hAnsi="Book Antiqua"/>
          <w:sz w:val="24"/>
          <w:szCs w:val="24"/>
        </w:rPr>
        <w:t>-value &lt;</w:t>
      </w:r>
      <w:r w:rsidRPr="001E29B5">
        <w:rPr>
          <w:rFonts w:ascii="Book Antiqua" w:hAnsi="Book Antiqua"/>
          <w:sz w:val="24"/>
          <w:szCs w:val="24"/>
          <w:lang w:eastAsia="zh-CN"/>
        </w:rPr>
        <w:t xml:space="preserve"> </w:t>
      </w:r>
      <w:r w:rsidRPr="001E29B5">
        <w:rPr>
          <w:rFonts w:ascii="Book Antiqua" w:hAnsi="Book Antiqua"/>
          <w:sz w:val="24"/>
          <w:szCs w:val="24"/>
        </w:rPr>
        <w:t>0.05 was considered statistically significant.</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lang w:val="en-GB"/>
        </w:rPr>
        <w:t>RESULTS:</w:t>
      </w:r>
      <w:r w:rsidRPr="001E29B5">
        <w:rPr>
          <w:rFonts w:ascii="Book Antiqua" w:hAnsi="Book Antiqua"/>
          <w:b/>
          <w:sz w:val="24"/>
          <w:szCs w:val="24"/>
          <w:lang w:val="en-GB" w:eastAsia="zh-CN"/>
        </w:rPr>
        <w:t xml:space="preserve"> </w:t>
      </w:r>
      <w:r w:rsidRPr="001E29B5">
        <w:rPr>
          <w:rFonts w:ascii="Book Antiqua" w:hAnsi="Book Antiqua"/>
          <w:sz w:val="24"/>
          <w:szCs w:val="24"/>
        </w:rPr>
        <w:t xml:space="preserve">Ablated renal parenchyma could not be differentiated from normal parenchyma on T2-W or non-CE T1-W sequences. Ablated renal lesions were visible as hypoenhanced regions on perfusion and CE T1-W MRI sequences, suggesting perfusion deficits and necrosis. Volumes of ablated parenchyma on CE T1-W images </w:t>
      </w:r>
      <w:r w:rsidRPr="001E29B5">
        <w:rPr>
          <w:rFonts w:ascii="Book Antiqua" w:hAnsi="Book Antiqua"/>
          <w:i/>
          <w:sz w:val="24"/>
          <w:szCs w:val="24"/>
        </w:rPr>
        <w:t>in vivo</w:t>
      </w:r>
      <w:r w:rsidRPr="001E29B5">
        <w:rPr>
          <w:rFonts w:ascii="Book Antiqua" w:hAnsi="Book Antiqua"/>
          <w:sz w:val="24"/>
          <w:szCs w:val="24"/>
        </w:rPr>
        <w:t xml:space="preserve"> (0.12-0.36 cm</w:t>
      </w:r>
      <w:r w:rsidRPr="001E29B5">
        <w:rPr>
          <w:rFonts w:ascii="Book Antiqua" w:hAnsi="Book Antiqua"/>
          <w:sz w:val="24"/>
          <w:szCs w:val="24"/>
          <w:vertAlign w:val="superscript"/>
        </w:rPr>
        <w:t>3</w:t>
      </w:r>
      <w:r w:rsidRPr="001E29B5">
        <w:rPr>
          <w:rFonts w:ascii="Book Antiqua" w:hAnsi="Book Antiqua"/>
          <w:sz w:val="24"/>
          <w:szCs w:val="24"/>
        </w:rPr>
        <w:t xml:space="preserve"> for single sonication 3000J, 0.50-0.84 cm</w:t>
      </w:r>
      <w:r w:rsidRPr="001E29B5">
        <w:rPr>
          <w:rFonts w:ascii="Book Antiqua" w:hAnsi="Book Antiqua"/>
          <w:sz w:val="24"/>
          <w:szCs w:val="24"/>
          <w:vertAlign w:val="superscript"/>
        </w:rPr>
        <w:t>3</w:t>
      </w:r>
      <w:r w:rsidRPr="001E29B5">
        <w:rPr>
          <w:rFonts w:ascii="Book Antiqua" w:hAnsi="Book Antiqua"/>
          <w:sz w:val="24"/>
          <w:szCs w:val="24"/>
        </w:rPr>
        <w:t>, for double 3000J, 0.75-0.78 cm</w:t>
      </w:r>
      <w:r w:rsidRPr="001E29B5">
        <w:rPr>
          <w:rFonts w:ascii="Book Antiqua" w:hAnsi="Book Antiqua"/>
          <w:sz w:val="24"/>
          <w:szCs w:val="24"/>
          <w:vertAlign w:val="superscript"/>
        </w:rPr>
        <w:t>3</w:t>
      </w:r>
      <w:r w:rsidRPr="001E29B5">
        <w:rPr>
          <w:rFonts w:ascii="Book Antiqua" w:hAnsi="Book Antiqua"/>
          <w:sz w:val="24"/>
          <w:szCs w:val="24"/>
        </w:rPr>
        <w:t xml:space="preserve"> for single 4400J and 0.12-2.65 cm</w:t>
      </w:r>
      <w:r w:rsidRPr="001E29B5">
        <w:rPr>
          <w:rFonts w:ascii="Book Antiqua" w:hAnsi="Book Antiqua"/>
          <w:sz w:val="24"/>
          <w:szCs w:val="24"/>
          <w:vertAlign w:val="superscript"/>
        </w:rPr>
        <w:t>3</w:t>
      </w:r>
      <w:r w:rsidRPr="001E29B5">
        <w:rPr>
          <w:rFonts w:ascii="Book Antiqua" w:hAnsi="Book Antiqua"/>
          <w:sz w:val="24"/>
          <w:szCs w:val="24"/>
        </w:rPr>
        <w:t xml:space="preserve"> for double 4400J) and at postmortem (0.23-0.52 cm</w:t>
      </w:r>
      <w:r w:rsidRPr="001E29B5">
        <w:rPr>
          <w:rFonts w:ascii="Book Antiqua" w:hAnsi="Book Antiqua"/>
          <w:sz w:val="24"/>
          <w:szCs w:val="24"/>
          <w:vertAlign w:val="superscript"/>
        </w:rPr>
        <w:t>3</w:t>
      </w:r>
      <w:r w:rsidRPr="001E29B5">
        <w:rPr>
          <w:rFonts w:ascii="Book Antiqua" w:hAnsi="Book Antiqua"/>
          <w:sz w:val="24"/>
          <w:szCs w:val="24"/>
        </w:rPr>
        <w:t>, 0.25-0.82 cm</w:t>
      </w:r>
      <w:r w:rsidRPr="001E29B5">
        <w:rPr>
          <w:rFonts w:ascii="Book Antiqua" w:hAnsi="Book Antiqua"/>
          <w:sz w:val="24"/>
          <w:szCs w:val="24"/>
          <w:vertAlign w:val="superscript"/>
        </w:rPr>
        <w:t>3</w:t>
      </w:r>
      <w:r w:rsidRPr="001E29B5">
        <w:rPr>
          <w:rFonts w:ascii="Book Antiqua" w:hAnsi="Book Antiqua"/>
          <w:sz w:val="24"/>
          <w:szCs w:val="24"/>
        </w:rPr>
        <w:t>, 0.45-0.68 cm</w:t>
      </w:r>
      <w:r w:rsidRPr="001E29B5">
        <w:rPr>
          <w:rFonts w:ascii="Book Antiqua" w:hAnsi="Book Antiqua"/>
          <w:sz w:val="24"/>
          <w:szCs w:val="24"/>
          <w:vertAlign w:val="superscript"/>
        </w:rPr>
        <w:t>3</w:t>
      </w:r>
      <w:r w:rsidRPr="001E29B5">
        <w:rPr>
          <w:rFonts w:ascii="Book Antiqua" w:hAnsi="Book Antiqua"/>
          <w:sz w:val="24"/>
          <w:szCs w:val="24"/>
        </w:rPr>
        <w:t xml:space="preserve"> and 0.29-1.80 cm</w:t>
      </w:r>
      <w:r w:rsidRPr="001E29B5">
        <w:rPr>
          <w:rFonts w:ascii="Book Antiqua" w:hAnsi="Book Antiqua"/>
          <w:sz w:val="24"/>
          <w:szCs w:val="24"/>
          <w:vertAlign w:val="superscript"/>
        </w:rPr>
        <w:t>3</w:t>
      </w:r>
      <w:r w:rsidRPr="001E29B5">
        <w:rPr>
          <w:rFonts w:ascii="Book Antiqua" w:hAnsi="Book Antiqua"/>
          <w:sz w:val="24"/>
          <w:szCs w:val="24"/>
        </w:rPr>
        <w:t>, respectively) were comparable. The ablated volumes on 3000J and 4400J double sonication were significantly larger than single (</w:t>
      </w:r>
      <w:r w:rsidRPr="001E29B5">
        <w:rPr>
          <w:rFonts w:ascii="Book Antiqua" w:hAnsi="Book Antiqua"/>
          <w:i/>
          <w:sz w:val="24"/>
          <w:szCs w:val="24"/>
        </w:rPr>
        <w:t>P</w:t>
      </w:r>
      <w:r w:rsidRPr="001E29B5">
        <w:rPr>
          <w:rFonts w:ascii="Book Antiqua" w:hAnsi="Book Antiqua"/>
          <w:i/>
          <w:sz w:val="24"/>
          <w:szCs w:val="24"/>
          <w:lang w:eastAsia="zh-CN"/>
        </w:rPr>
        <w:t xml:space="preserve"> </w:t>
      </w:r>
      <w:r w:rsidRPr="001E29B5">
        <w:rPr>
          <w:rFonts w:ascii="Book Antiqua" w:hAnsi="Book Antiqua"/>
          <w:sz w:val="24"/>
          <w:szCs w:val="24"/>
        </w:rPr>
        <w:t>&lt;</w:t>
      </w:r>
      <w:r w:rsidRPr="001E29B5">
        <w:rPr>
          <w:rFonts w:ascii="Book Antiqua" w:hAnsi="Book Antiqua"/>
          <w:sz w:val="24"/>
          <w:szCs w:val="24"/>
          <w:lang w:eastAsia="zh-CN"/>
        </w:rPr>
        <w:t xml:space="preserve"> </w:t>
      </w:r>
      <w:r w:rsidRPr="001E29B5">
        <w:rPr>
          <w:rFonts w:ascii="Book Antiqua" w:hAnsi="Book Antiqua"/>
          <w:sz w:val="24"/>
          <w:szCs w:val="24"/>
        </w:rPr>
        <w:t>0.01), thus, the volume and depth of ablated tissue depends on the applied energy and number of sonication. Macroscopic and microscopic examinations confirmed the locations and presence of coagulation necrosis, vascular damage and interstitial hemorrhage, respectively.</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bCs/>
          <w:sz w:val="24"/>
          <w:szCs w:val="24"/>
        </w:rPr>
        <w:t>CONCLUSION:</w:t>
      </w:r>
      <w:r w:rsidRPr="001E29B5">
        <w:rPr>
          <w:rFonts w:ascii="Book Antiqua" w:hAnsi="Book Antiqua"/>
          <w:b/>
          <w:bCs/>
          <w:sz w:val="24"/>
          <w:szCs w:val="24"/>
          <w:lang w:eastAsia="zh-CN"/>
        </w:rPr>
        <w:t xml:space="preserve"> </w:t>
      </w:r>
      <w:r w:rsidRPr="001E29B5">
        <w:rPr>
          <w:rFonts w:ascii="Book Antiqua" w:hAnsi="Book Antiqua"/>
          <w:sz w:val="24"/>
          <w:szCs w:val="24"/>
        </w:rPr>
        <w:t xml:space="preserve">Contrast enhanced MRI provides assessment of MRg-HIFU renal ablation. Histopathology demonstrated coagulation necrosis, vascular damage and confirmed the volume of damage seen on MRI. </w:t>
      </w:r>
    </w:p>
    <w:p w:rsidR="00E8308C" w:rsidRPr="001E29B5" w:rsidRDefault="00E8308C" w:rsidP="00036E8E">
      <w:pPr>
        <w:spacing w:after="0" w:line="360" w:lineRule="auto"/>
        <w:jc w:val="both"/>
        <w:rPr>
          <w:rFonts w:ascii="Book Antiqua" w:hAnsi="Book Antiqua"/>
          <w:b/>
          <w:sz w:val="24"/>
          <w:szCs w:val="24"/>
        </w:rPr>
      </w:pP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Key</w:t>
      </w:r>
      <w:r w:rsidRPr="001E29B5">
        <w:rPr>
          <w:rFonts w:ascii="Book Antiqua" w:hAnsi="Book Antiqua"/>
          <w:b/>
          <w:sz w:val="24"/>
          <w:szCs w:val="24"/>
          <w:lang w:eastAsia="zh-CN"/>
        </w:rPr>
        <w:t xml:space="preserve"> </w:t>
      </w:r>
      <w:r w:rsidRPr="001E29B5">
        <w:rPr>
          <w:rFonts w:ascii="Book Antiqua" w:hAnsi="Book Antiqua"/>
          <w:b/>
          <w:sz w:val="24"/>
          <w:szCs w:val="24"/>
        </w:rPr>
        <w:t>words:</w:t>
      </w:r>
      <w:r w:rsidRPr="001E29B5">
        <w:rPr>
          <w:rFonts w:ascii="Book Antiqua" w:hAnsi="Book Antiqua"/>
          <w:sz w:val="24"/>
          <w:szCs w:val="24"/>
        </w:rPr>
        <w:t xml:space="preserve"> Magnetic resonance-guided high intensity focused ultrasound</w:t>
      </w:r>
      <w:r w:rsidRPr="001E29B5">
        <w:rPr>
          <w:rFonts w:ascii="Book Antiqua" w:hAnsi="Book Antiqua"/>
          <w:sz w:val="24"/>
          <w:szCs w:val="24"/>
          <w:lang w:eastAsia="zh-CN"/>
        </w:rPr>
        <w:t>;</w:t>
      </w:r>
      <w:r w:rsidRPr="001E29B5">
        <w:rPr>
          <w:rFonts w:ascii="Book Antiqua" w:hAnsi="Book Antiqua"/>
          <w:sz w:val="24"/>
          <w:szCs w:val="24"/>
        </w:rPr>
        <w:t xml:space="preserve"> Renal ablation</w:t>
      </w:r>
      <w:r w:rsidRPr="001E29B5">
        <w:rPr>
          <w:rFonts w:ascii="Book Antiqua" w:hAnsi="Book Antiqua"/>
          <w:sz w:val="24"/>
          <w:szCs w:val="24"/>
          <w:lang w:eastAsia="zh-CN"/>
        </w:rPr>
        <w:t>;</w:t>
      </w:r>
      <w:r w:rsidRPr="001E29B5">
        <w:rPr>
          <w:rFonts w:ascii="Book Antiqua" w:hAnsi="Book Antiqua"/>
          <w:sz w:val="24"/>
          <w:szCs w:val="24"/>
        </w:rPr>
        <w:t xml:space="preserve"> Magnetic resonance imaging</w:t>
      </w:r>
      <w:r w:rsidRPr="001E29B5">
        <w:rPr>
          <w:rFonts w:ascii="Book Antiqua" w:hAnsi="Book Antiqua"/>
          <w:sz w:val="24"/>
          <w:szCs w:val="24"/>
          <w:lang w:eastAsia="zh-CN"/>
        </w:rPr>
        <w:t>;</w:t>
      </w:r>
      <w:r w:rsidRPr="001E29B5">
        <w:rPr>
          <w:rFonts w:ascii="Book Antiqua" w:hAnsi="Book Antiqua"/>
          <w:sz w:val="24"/>
          <w:szCs w:val="24"/>
        </w:rPr>
        <w:t xml:space="preserve"> Microscopy</w:t>
      </w:r>
      <w:r w:rsidRPr="001E29B5">
        <w:rPr>
          <w:rFonts w:ascii="Book Antiqua" w:hAnsi="Book Antiqua"/>
          <w:sz w:val="24"/>
          <w:szCs w:val="24"/>
          <w:lang w:eastAsia="zh-CN"/>
        </w:rPr>
        <w:t>;</w:t>
      </w:r>
      <w:r w:rsidRPr="001E29B5">
        <w:rPr>
          <w:rFonts w:ascii="Book Antiqua" w:hAnsi="Book Antiqua"/>
          <w:sz w:val="24"/>
          <w:szCs w:val="24"/>
        </w:rPr>
        <w:t xml:space="preserve"> High intensity focused ultrasound</w:t>
      </w:r>
    </w:p>
    <w:p w:rsidR="00E8308C" w:rsidRPr="001E29B5" w:rsidRDefault="00E8308C" w:rsidP="00036E8E">
      <w:pPr>
        <w:spacing w:after="0" w:line="360" w:lineRule="auto"/>
        <w:jc w:val="both"/>
        <w:rPr>
          <w:rFonts w:ascii="Book Antiqua" w:hAnsi="Book Antiqua"/>
          <w:b/>
          <w:sz w:val="24"/>
          <w:szCs w:val="24"/>
          <w:lang w:eastAsia="zh-CN"/>
        </w:rPr>
      </w:pPr>
    </w:p>
    <w:p w:rsidR="00E8308C" w:rsidRPr="001E29B5" w:rsidRDefault="00E8308C" w:rsidP="00036E8E">
      <w:pPr>
        <w:snapToGrid w:val="0"/>
        <w:spacing w:after="0" w:line="360" w:lineRule="auto"/>
        <w:jc w:val="both"/>
        <w:rPr>
          <w:rFonts w:ascii="Book Antiqua" w:hAnsi="Book Antiqua"/>
          <w:sz w:val="24"/>
          <w:szCs w:val="24"/>
        </w:rPr>
      </w:pPr>
      <w:r w:rsidRPr="001E29B5">
        <w:rPr>
          <w:rFonts w:ascii="Book Antiqua" w:hAnsi="Book Antiqua"/>
          <w:sz w:val="24"/>
          <w:szCs w:val="24"/>
        </w:rPr>
        <w:t xml:space="preserve">© </w:t>
      </w:r>
      <w:r w:rsidRPr="001E29B5">
        <w:rPr>
          <w:rFonts w:ascii="Book Antiqua" w:hAnsi="Book Antiqua"/>
          <w:b/>
          <w:sz w:val="24"/>
          <w:szCs w:val="24"/>
        </w:rPr>
        <w:t>The Author(s) 2015</w:t>
      </w:r>
      <w:r w:rsidRPr="001E29B5">
        <w:rPr>
          <w:rFonts w:ascii="Book Antiqua" w:hAnsi="Book Antiqua"/>
          <w:sz w:val="24"/>
          <w:szCs w:val="24"/>
        </w:rPr>
        <w:t>. Published by Baishideng Publishing Group Inc. All rights reserved.</w:t>
      </w:r>
    </w:p>
    <w:p w:rsidR="00E8308C" w:rsidRPr="001E29B5" w:rsidRDefault="00E8308C" w:rsidP="00036E8E">
      <w:pPr>
        <w:spacing w:after="0" w:line="360" w:lineRule="auto"/>
        <w:jc w:val="both"/>
        <w:rPr>
          <w:rFonts w:ascii="Book Antiqua" w:hAnsi="Book Antiqua"/>
          <w:b/>
          <w:sz w:val="24"/>
          <w:szCs w:val="24"/>
          <w:lang w:eastAsia="zh-CN"/>
        </w:rPr>
      </w:pP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 xml:space="preserve">Core tip: </w:t>
      </w:r>
      <w:r w:rsidRPr="001E29B5">
        <w:rPr>
          <w:rFonts w:ascii="Book Antiqua" w:hAnsi="Book Antiqua"/>
          <w:sz w:val="24"/>
          <w:szCs w:val="24"/>
        </w:rPr>
        <w:t xml:space="preserve">Renal carcinoma constitutes the majority of kidney malignancies. The gold standard procedure for treatment of renal carcinoma remains surgical excision. However, in a large number of patients, surgical excision is precluded by increased perioperative risk due to medical comorbidities. Recent innovations in the field of thermal ablation procedures and real-time imaging have accelerated the development of magnetic resonance-guided high intensity focused ultrasound (MRg-HIFU). This study showed that contrast enhanced magnetic resonance imaging </w:t>
      </w:r>
      <w:r w:rsidRPr="001E29B5">
        <w:rPr>
          <w:rFonts w:ascii="Book Antiqua" w:hAnsi="Book Antiqua"/>
          <w:sz w:val="24"/>
          <w:szCs w:val="24"/>
          <w:lang w:eastAsia="zh-CN"/>
        </w:rPr>
        <w:t>(</w:t>
      </w:r>
      <w:r w:rsidRPr="001E29B5">
        <w:rPr>
          <w:rFonts w:ascii="Book Antiqua" w:hAnsi="Book Antiqua"/>
          <w:sz w:val="24"/>
          <w:szCs w:val="24"/>
        </w:rPr>
        <w:t>MRI</w:t>
      </w:r>
      <w:r w:rsidRPr="001E29B5">
        <w:rPr>
          <w:rFonts w:ascii="Book Antiqua" w:hAnsi="Book Antiqua"/>
          <w:sz w:val="24"/>
          <w:szCs w:val="24"/>
          <w:lang w:eastAsia="zh-CN"/>
        </w:rPr>
        <w:t>)</w:t>
      </w:r>
      <w:r w:rsidRPr="001E29B5">
        <w:rPr>
          <w:rFonts w:ascii="Book Antiqua" w:hAnsi="Book Antiqua"/>
          <w:sz w:val="24"/>
          <w:szCs w:val="24"/>
        </w:rPr>
        <w:t xml:space="preserve"> provides good assessment of renal ablation created noninvasively by MRg-HIFU. The volume and depth of ablated tissue depends on the applied energy and number of sonications. Histopathology demonstrated coagulation necrosis and vascular damage in the ablated tissue and confirmed the volume of damage seen on contrast enhanced MRI.</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Saeed M, Krug R, Do L, Hetts SW, Wilsom MW</w:t>
      </w:r>
      <w:r w:rsidRPr="001E29B5">
        <w:rPr>
          <w:rFonts w:ascii="Book Antiqua" w:hAnsi="Book Antiqua"/>
          <w:sz w:val="24"/>
          <w:szCs w:val="24"/>
          <w:lang w:eastAsia="zh-CN"/>
        </w:rPr>
        <w:t xml:space="preserve">. </w:t>
      </w:r>
      <w:r w:rsidRPr="001E29B5">
        <w:rPr>
          <w:rFonts w:ascii="Book Antiqua" w:hAnsi="Book Antiqua"/>
          <w:sz w:val="24"/>
          <w:szCs w:val="24"/>
        </w:rPr>
        <w:t>Renal ablation using magnetic resonance-guided high intensity focused ultrasound: Magnetic resonance imaging and histopathology assessment</w:t>
      </w:r>
      <w:r w:rsidRPr="001E29B5">
        <w:rPr>
          <w:rFonts w:ascii="Book Antiqua" w:hAnsi="Book Antiqua"/>
          <w:sz w:val="24"/>
          <w:szCs w:val="24"/>
          <w:lang w:eastAsia="zh-CN"/>
        </w:rPr>
        <w:t xml:space="preserve">. </w:t>
      </w:r>
      <w:r w:rsidRPr="001E29B5">
        <w:rPr>
          <w:rFonts w:ascii="Book Antiqua" w:hAnsi="Book Antiqua"/>
          <w:i/>
          <w:iCs/>
          <w:sz w:val="24"/>
          <w:szCs w:val="24"/>
        </w:rPr>
        <w:t>World J Radiol</w:t>
      </w:r>
      <w:r w:rsidRPr="001E29B5">
        <w:rPr>
          <w:rFonts w:ascii="Book Antiqua" w:hAnsi="Book Antiqua"/>
          <w:i/>
          <w:iCs/>
          <w:sz w:val="24"/>
          <w:szCs w:val="24"/>
          <w:lang w:eastAsia="zh-CN"/>
        </w:rPr>
        <w:t xml:space="preserve"> </w:t>
      </w:r>
      <w:r w:rsidRPr="001E29B5">
        <w:rPr>
          <w:rFonts w:ascii="Book Antiqua" w:hAnsi="Book Antiqua"/>
          <w:iCs/>
          <w:sz w:val="24"/>
          <w:szCs w:val="24"/>
          <w:lang w:eastAsia="zh-CN"/>
        </w:rPr>
        <w:t>2015; In press</w:t>
      </w: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br w:type="page"/>
      </w:r>
      <w:r w:rsidRPr="001E29B5">
        <w:rPr>
          <w:rFonts w:ascii="Book Antiqua" w:hAnsi="Book Antiqua"/>
          <w:b/>
          <w:sz w:val="24"/>
          <w:szCs w:val="24"/>
        </w:rPr>
        <w:lastRenderedPageBreak/>
        <w:t>INTRODUCTION</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The number of renal cell carcinoma cases increases with approximately 65000 new cases diagnosed each year in the United States</w:t>
      </w:r>
      <w:r w:rsidRPr="001E29B5">
        <w:rPr>
          <w:rFonts w:ascii="Book Antiqua" w:hAnsi="Book Antiqua"/>
          <w:sz w:val="24"/>
          <w:szCs w:val="24"/>
          <w:vertAlign w:val="superscript"/>
        </w:rPr>
        <w:t>[1]</w:t>
      </w:r>
      <w:r w:rsidRPr="001E29B5">
        <w:rPr>
          <w:rFonts w:ascii="Book Antiqua" w:hAnsi="Book Antiqua"/>
          <w:sz w:val="24"/>
          <w:szCs w:val="24"/>
        </w:rPr>
        <w:t>. The increased use of high-resolution diagnostic imaging has led to the serendipitous detection of small renal tumors in asymptomatic patients with small masses of renal carcinoma</w:t>
      </w:r>
      <w:r w:rsidRPr="001E29B5">
        <w:rPr>
          <w:rFonts w:ascii="Book Antiqua" w:hAnsi="Book Antiqua"/>
          <w:sz w:val="24"/>
          <w:szCs w:val="24"/>
          <w:vertAlign w:val="superscript"/>
        </w:rPr>
        <w:t>[2,3]</w:t>
      </w:r>
      <w:r w:rsidRPr="001E29B5">
        <w:rPr>
          <w:rFonts w:ascii="Book Antiqua" w:hAnsi="Book Antiqua"/>
          <w:sz w:val="24"/>
          <w:szCs w:val="24"/>
        </w:rPr>
        <w:t>. The gold standard procedure for treatment of localized renal carcinoma remains surgical excision. However, in a large number of patients, surgical excision is precluded by increased perioperative risk due to medical comorbidities</w:t>
      </w:r>
      <w:r w:rsidRPr="001E29B5">
        <w:rPr>
          <w:rFonts w:ascii="Book Antiqua" w:hAnsi="Book Antiqua"/>
          <w:sz w:val="24"/>
          <w:szCs w:val="24"/>
          <w:vertAlign w:val="superscript"/>
        </w:rPr>
        <w:t>[4,5]</w:t>
      </w:r>
      <w:r w:rsidRPr="001E29B5">
        <w:rPr>
          <w:rFonts w:ascii="Book Antiqua" w:hAnsi="Book Antiqua"/>
          <w:sz w:val="24"/>
          <w:szCs w:val="24"/>
        </w:rPr>
        <w:t xml:space="preserve">. In early 1990, radiofrequency ablation has emerged as a treatment option for this population, with the aim of achieving local oncologic control in a nephron-sparing manner while avoiding the potential morbidity associated with surgical extirpation and general anesthesia. Ritchie </w:t>
      </w:r>
      <w:r w:rsidRPr="001E29B5">
        <w:rPr>
          <w:rFonts w:ascii="Book Antiqua" w:hAnsi="Book Antiqua"/>
          <w:i/>
          <w:sz w:val="24"/>
          <w:szCs w:val="24"/>
        </w:rPr>
        <w:t>et al</w:t>
      </w:r>
      <w:r w:rsidRPr="001E29B5">
        <w:rPr>
          <w:rFonts w:ascii="Book Antiqua" w:hAnsi="Book Antiqua"/>
          <w:sz w:val="24"/>
          <w:szCs w:val="24"/>
          <w:vertAlign w:val="superscript"/>
        </w:rPr>
        <w:t>[6]</w:t>
      </w:r>
      <w:r w:rsidRPr="001E29B5">
        <w:rPr>
          <w:rFonts w:ascii="Book Antiqua" w:hAnsi="Book Antiqua"/>
          <w:sz w:val="24"/>
          <w:szCs w:val="24"/>
        </w:rPr>
        <w:t xml:space="preserve"> showed that magnetic resonance guided high intensity focused ultrasound (MRg-HIFU) was effective in two-thirds of the renal cell carcinoma cases. They suggested that advancement in ablation speed, respiratory navigation and treatment monitoring will improve outcomes and accurate histological analyses are essential in determining treatment efficacy. Innovations in the field of thermal ablation procedures and imaging in the last decade have accelerated the development of MRg-HIFU</w:t>
      </w:r>
      <w:r w:rsidRPr="001E29B5">
        <w:rPr>
          <w:rFonts w:ascii="Book Antiqua" w:hAnsi="Book Antiqua"/>
          <w:sz w:val="24"/>
          <w:szCs w:val="24"/>
          <w:vertAlign w:val="superscript"/>
        </w:rPr>
        <w:t>[7]</w:t>
      </w:r>
      <w:r w:rsidRPr="001E29B5">
        <w:rPr>
          <w:rFonts w:ascii="Book Antiqua" w:hAnsi="Book Antiqua"/>
          <w:sz w:val="24"/>
          <w:szCs w:val="24"/>
        </w:rPr>
        <w:t>.</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There are great differences in heat sensitivity between different cell types and tissues. In order to exploit the use of hyperthermia in the clinic, investigators need a better understanding of heating effects on various cell types and tissues</w:t>
      </w:r>
      <w:r w:rsidRPr="001E29B5">
        <w:rPr>
          <w:rFonts w:ascii="Book Antiqua" w:hAnsi="Book Antiqua"/>
          <w:sz w:val="24"/>
          <w:szCs w:val="24"/>
          <w:vertAlign w:val="superscript"/>
        </w:rPr>
        <w:t>[8]</w:t>
      </w:r>
      <w:r w:rsidRPr="001E29B5">
        <w:rPr>
          <w:rFonts w:ascii="Book Antiqua" w:hAnsi="Book Antiqua"/>
          <w:sz w:val="24"/>
          <w:szCs w:val="24"/>
        </w:rPr>
        <w:t>. MRg-HIFU has been used for treating uterine fibroids</w:t>
      </w:r>
      <w:r w:rsidRPr="001E29B5">
        <w:rPr>
          <w:rFonts w:ascii="Book Antiqua" w:hAnsi="Book Antiqua"/>
          <w:sz w:val="24"/>
          <w:szCs w:val="24"/>
          <w:vertAlign w:val="superscript"/>
        </w:rPr>
        <w:t>[9,10]</w:t>
      </w:r>
      <w:r w:rsidRPr="001E29B5">
        <w:rPr>
          <w:rFonts w:ascii="Book Antiqua" w:hAnsi="Book Antiqua"/>
          <w:sz w:val="24"/>
          <w:szCs w:val="24"/>
        </w:rPr>
        <w:t>, palliation of bone metastases</w:t>
      </w:r>
      <w:r w:rsidRPr="001E29B5">
        <w:rPr>
          <w:rFonts w:ascii="Book Antiqua" w:hAnsi="Book Antiqua"/>
          <w:sz w:val="24"/>
          <w:szCs w:val="24"/>
          <w:vertAlign w:val="superscript"/>
        </w:rPr>
        <w:t>[11]</w:t>
      </w:r>
      <w:r w:rsidRPr="001E29B5">
        <w:rPr>
          <w:rFonts w:ascii="Book Antiqua" w:hAnsi="Book Antiqua"/>
          <w:sz w:val="24"/>
          <w:szCs w:val="24"/>
        </w:rPr>
        <w:t>, ablation in the brain tumor through the skull</w:t>
      </w:r>
      <w:r w:rsidRPr="001E29B5">
        <w:rPr>
          <w:rFonts w:ascii="Book Antiqua" w:hAnsi="Book Antiqua"/>
          <w:sz w:val="24"/>
          <w:szCs w:val="24"/>
          <w:vertAlign w:val="superscript"/>
        </w:rPr>
        <w:t>[12]</w:t>
      </w:r>
      <w:r w:rsidRPr="001E29B5">
        <w:rPr>
          <w:rFonts w:ascii="Book Antiqua" w:hAnsi="Book Antiqua"/>
          <w:sz w:val="24"/>
          <w:szCs w:val="24"/>
        </w:rPr>
        <w:t>, breast cancer</w:t>
      </w:r>
      <w:r w:rsidRPr="001E29B5">
        <w:rPr>
          <w:rFonts w:ascii="Book Antiqua" w:hAnsi="Book Antiqua"/>
          <w:sz w:val="24"/>
          <w:szCs w:val="24"/>
          <w:vertAlign w:val="superscript"/>
        </w:rPr>
        <w:t>[13,14]</w:t>
      </w:r>
      <w:r w:rsidRPr="001E29B5">
        <w:rPr>
          <w:rFonts w:ascii="Book Antiqua" w:hAnsi="Book Antiqua"/>
          <w:sz w:val="24"/>
          <w:szCs w:val="24"/>
        </w:rPr>
        <w:t>, prostate</w:t>
      </w:r>
      <w:r w:rsidRPr="001E29B5">
        <w:rPr>
          <w:rFonts w:ascii="Book Antiqua" w:hAnsi="Book Antiqua"/>
          <w:sz w:val="24"/>
          <w:szCs w:val="24"/>
          <w:vertAlign w:val="superscript"/>
        </w:rPr>
        <w:t>[15]</w:t>
      </w:r>
      <w:r w:rsidRPr="001E29B5">
        <w:rPr>
          <w:rFonts w:ascii="Book Antiqua" w:hAnsi="Book Antiqua"/>
          <w:sz w:val="24"/>
          <w:szCs w:val="24"/>
        </w:rPr>
        <w:t xml:space="preserve"> and hepatocellular carcinoma</w:t>
      </w:r>
      <w:r w:rsidRPr="001E29B5">
        <w:rPr>
          <w:rFonts w:ascii="Book Antiqua" w:hAnsi="Book Antiqua"/>
          <w:sz w:val="24"/>
          <w:szCs w:val="24"/>
          <w:vertAlign w:val="superscript"/>
        </w:rPr>
        <w:t>[16]</w:t>
      </w:r>
      <w:r w:rsidRPr="001E29B5">
        <w:rPr>
          <w:rFonts w:ascii="Book Antiqua" w:hAnsi="Book Antiqua"/>
          <w:sz w:val="24"/>
          <w:szCs w:val="24"/>
        </w:rPr>
        <w:t>. The safety and feasibility of using extracorporeal HIFU in treating patients with kidney tumor has been demonstrated</w:t>
      </w:r>
      <w:r w:rsidRPr="001E29B5">
        <w:rPr>
          <w:rFonts w:ascii="Book Antiqua" w:hAnsi="Book Antiqua"/>
          <w:sz w:val="24"/>
          <w:szCs w:val="24"/>
          <w:vertAlign w:val="superscript"/>
        </w:rPr>
        <w:t>[17,18]</w:t>
      </w:r>
      <w:r w:rsidRPr="001E29B5">
        <w:rPr>
          <w:rFonts w:ascii="Book Antiqua" w:hAnsi="Book Antiqua"/>
          <w:sz w:val="24"/>
          <w:szCs w:val="24"/>
        </w:rPr>
        <w:t xml:space="preserve">. The objective of this study was to use magnetic resonance imaging </w:t>
      </w:r>
      <w:r w:rsidRPr="001E29B5">
        <w:rPr>
          <w:rFonts w:ascii="Book Antiqua" w:hAnsi="Book Antiqua"/>
          <w:sz w:val="24"/>
          <w:szCs w:val="24"/>
          <w:lang w:eastAsia="zh-CN"/>
        </w:rPr>
        <w:t>(</w:t>
      </w:r>
      <w:r w:rsidRPr="001E29B5">
        <w:rPr>
          <w:rFonts w:ascii="Book Antiqua" w:hAnsi="Book Antiqua"/>
          <w:sz w:val="24"/>
          <w:szCs w:val="24"/>
        </w:rPr>
        <w:t>MRI</w:t>
      </w:r>
      <w:r w:rsidRPr="001E29B5">
        <w:rPr>
          <w:rFonts w:ascii="Book Antiqua" w:hAnsi="Book Antiqua"/>
          <w:sz w:val="24"/>
          <w:szCs w:val="24"/>
          <w:lang w:eastAsia="zh-CN"/>
        </w:rPr>
        <w:t>)</w:t>
      </w:r>
      <w:r w:rsidRPr="001E29B5">
        <w:rPr>
          <w:rFonts w:ascii="Book Antiqua" w:hAnsi="Book Antiqua"/>
          <w:sz w:val="24"/>
          <w:szCs w:val="24"/>
        </w:rPr>
        <w:t xml:space="preserve"> and histopathology for assessing non-tumor renal ablation in swine model created by MRg-HIFU.</w:t>
      </w:r>
    </w:p>
    <w:p w:rsidR="00E8308C" w:rsidRPr="001E29B5" w:rsidRDefault="00E8308C" w:rsidP="00036E8E">
      <w:pPr>
        <w:autoSpaceDE w:val="0"/>
        <w:autoSpaceDN w:val="0"/>
        <w:adjustRightInd w:val="0"/>
        <w:snapToGrid w:val="0"/>
        <w:spacing w:after="0" w:line="360" w:lineRule="auto"/>
        <w:jc w:val="both"/>
        <w:rPr>
          <w:rFonts w:ascii="Book Antiqua" w:hAnsi="Book Antiqua"/>
          <w:b/>
          <w:sz w:val="24"/>
          <w:szCs w:val="24"/>
          <w:lang w:val="en-GB"/>
        </w:rPr>
      </w:pPr>
      <w:r w:rsidRPr="001E29B5">
        <w:rPr>
          <w:rFonts w:ascii="Book Antiqua" w:hAnsi="Book Antiqua"/>
          <w:sz w:val="24"/>
          <w:szCs w:val="24"/>
        </w:rPr>
        <w:br w:type="page"/>
      </w:r>
      <w:r w:rsidRPr="001E29B5">
        <w:rPr>
          <w:rFonts w:ascii="Book Antiqua" w:hAnsi="Book Antiqua"/>
          <w:b/>
          <w:sz w:val="24"/>
          <w:szCs w:val="24"/>
          <w:lang w:val="en-GB"/>
        </w:rPr>
        <w:lastRenderedPageBreak/>
        <w:t>MATERIALS AND METHODS</w:t>
      </w:r>
    </w:p>
    <w:p w:rsidR="00E8308C" w:rsidRPr="001E29B5" w:rsidRDefault="00E8308C" w:rsidP="00036E8E">
      <w:pPr>
        <w:spacing w:after="0" w:line="360" w:lineRule="auto"/>
        <w:jc w:val="both"/>
        <w:rPr>
          <w:rFonts w:ascii="Book Antiqua" w:hAnsi="Book Antiqua"/>
          <w:b/>
          <w:i/>
          <w:sz w:val="24"/>
          <w:szCs w:val="24"/>
        </w:rPr>
      </w:pPr>
      <w:r w:rsidRPr="001E29B5">
        <w:rPr>
          <w:rFonts w:ascii="Book Antiqua" w:hAnsi="Book Antiqua"/>
          <w:b/>
          <w:i/>
          <w:sz w:val="24"/>
          <w:szCs w:val="24"/>
        </w:rPr>
        <w:t>Animal model</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This investigation conformed to National Institutes of Health guidelines for the care and use of laboratory animals and was approved by the Institutional Animal Care and Use Committee. Six farm pigs (mean weight 31.0</w:t>
      </w:r>
      <w:r w:rsidRPr="001E29B5">
        <w:rPr>
          <w:rFonts w:ascii="MS Gothic" w:eastAsia="MS Gothic" w:hAnsi="MS Gothic" w:cs="MS Gothic" w:hint="eastAsia"/>
          <w:sz w:val="24"/>
          <w:szCs w:val="24"/>
        </w:rPr>
        <w:t> </w:t>
      </w:r>
      <w:r w:rsidRPr="001E29B5">
        <w:rPr>
          <w:rFonts w:ascii="Book Antiqua" w:hAnsi="Book Antiqua"/>
          <w:sz w:val="24"/>
          <w:szCs w:val="24"/>
        </w:rPr>
        <w:t>±</w:t>
      </w:r>
      <w:r w:rsidRPr="001E29B5">
        <w:rPr>
          <w:rFonts w:ascii="MS Gothic" w:eastAsia="MS Gothic" w:hAnsi="MS Gothic" w:cs="MS Gothic" w:hint="eastAsia"/>
          <w:sz w:val="24"/>
          <w:szCs w:val="24"/>
        </w:rPr>
        <w:t> </w:t>
      </w:r>
      <w:r w:rsidRPr="001E29B5">
        <w:rPr>
          <w:rFonts w:ascii="Book Antiqua" w:hAnsi="Book Antiqua"/>
          <w:sz w:val="24"/>
          <w:szCs w:val="24"/>
        </w:rPr>
        <w:t>1.7 kg) (Pork Power Farms, Turlock, CA) were premedicated with 0.5 mg/kg acepromazine (Fort Dodge Animal Health, Fort Dodge, IA) and 25 mg/kg ketamine (Fort Dodge Animal Health). Animals were anesthetized with a mixture of isoflurane 2%</w:t>
      </w:r>
      <w:r w:rsidRPr="001E29B5">
        <w:rPr>
          <w:rFonts w:ascii="Book Antiqua" w:hAnsi="Book Antiqua"/>
          <w:sz w:val="24"/>
          <w:szCs w:val="24"/>
          <w:lang w:eastAsia="zh-CN"/>
        </w:rPr>
        <w:t>-</w:t>
      </w:r>
      <w:r w:rsidRPr="001E29B5">
        <w:rPr>
          <w:rFonts w:ascii="Book Antiqua" w:hAnsi="Book Antiqua"/>
          <w:sz w:val="24"/>
          <w:szCs w:val="24"/>
        </w:rPr>
        <w:t>5% (Abbot Lab., North Chicago, IL) and oxygen and mechanically ventilated. Saline (10 mL/kg</w:t>
      </w:r>
      <w:r w:rsidRPr="001E29B5">
        <w:rPr>
          <w:rFonts w:ascii="Book Antiqua" w:hAnsi="Book Antiqua"/>
          <w:sz w:val="24"/>
          <w:szCs w:val="24"/>
          <w:lang w:eastAsia="zh-CN"/>
        </w:rPr>
        <w:t xml:space="preserve"> per </w:t>
      </w:r>
      <w:r w:rsidRPr="001E29B5">
        <w:rPr>
          <w:rFonts w:ascii="Book Antiqua" w:hAnsi="Book Antiqua"/>
          <w:sz w:val="24"/>
          <w:szCs w:val="24"/>
        </w:rPr>
        <w:t>h</w:t>
      </w:r>
      <w:r w:rsidRPr="001E29B5">
        <w:rPr>
          <w:rFonts w:ascii="Book Antiqua" w:hAnsi="Book Antiqua"/>
          <w:sz w:val="24"/>
          <w:szCs w:val="24"/>
          <w:lang w:eastAsia="zh-CN"/>
        </w:rPr>
        <w:t>our</w:t>
      </w:r>
      <w:r w:rsidRPr="001E29B5">
        <w:rPr>
          <w:rFonts w:ascii="Book Antiqua" w:hAnsi="Book Antiqua"/>
          <w:sz w:val="24"/>
          <w:szCs w:val="24"/>
        </w:rPr>
        <w:t>) (Abbot Lab., North Chicago, IL) was IV infused. Heart rate, O2-saturation and core body temperature were monitored. Rocuronium bromide (Hospira Inc, Lake Forest, IL) was IV administered prior to ablation to minimize twitching and diaphragm motion during ablation.</w:t>
      </w:r>
    </w:p>
    <w:p w:rsidR="00E8308C" w:rsidRPr="001E29B5" w:rsidRDefault="00E8308C" w:rsidP="00036E8E">
      <w:pPr>
        <w:spacing w:after="0" w:line="360" w:lineRule="auto"/>
        <w:jc w:val="both"/>
        <w:rPr>
          <w:rFonts w:ascii="Book Antiqua" w:hAnsi="Book Antiqua"/>
          <w:b/>
          <w:sz w:val="24"/>
          <w:szCs w:val="24"/>
        </w:rPr>
      </w:pPr>
    </w:p>
    <w:p w:rsidR="00E8308C" w:rsidRPr="001E29B5" w:rsidRDefault="00E8308C" w:rsidP="00036E8E">
      <w:pPr>
        <w:spacing w:after="0" w:line="360" w:lineRule="auto"/>
        <w:jc w:val="both"/>
        <w:rPr>
          <w:rFonts w:ascii="Book Antiqua" w:hAnsi="Book Antiqua"/>
          <w:b/>
          <w:i/>
          <w:sz w:val="24"/>
          <w:szCs w:val="24"/>
        </w:rPr>
      </w:pPr>
      <w:r w:rsidRPr="001E29B5">
        <w:rPr>
          <w:rFonts w:ascii="Book Antiqua" w:hAnsi="Book Antiqua"/>
          <w:b/>
          <w:i/>
          <w:sz w:val="24"/>
          <w:szCs w:val="24"/>
        </w:rPr>
        <w:t>MRg-HIFU setting</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An MRg-HIFU system (ExAblate 2000, Insightec Ltd, Tirat Carmel, Israel) with a phased array transducer of 208 elements embedded in an MR table was used to create renal ablations. The table was connected to a 3T wide-bore MRI scanner (Discovery MR750w, GE, Milwaukee, WI). The back hair was shaved and closely examined for any defects or scars, which might impede the propagation of acoustic energy from the transducer. The pigs were then placed onto the scanner table in a supine position, inside a shallow bath filled with degassed water, so both non-tumor kidneys were centered above the transducer.</w:t>
      </w:r>
    </w:p>
    <w:p w:rsidR="00E8308C" w:rsidRPr="001E29B5" w:rsidRDefault="00E8308C" w:rsidP="009863C8">
      <w:pPr>
        <w:spacing w:after="0" w:line="360" w:lineRule="auto"/>
        <w:ind w:firstLineChars="100" w:firstLine="240"/>
        <w:jc w:val="both"/>
        <w:rPr>
          <w:rFonts w:ascii="Book Antiqua" w:hAnsi="Book Antiqua"/>
          <w:sz w:val="24"/>
          <w:szCs w:val="24"/>
          <w:vertAlign w:val="superscript"/>
        </w:rPr>
      </w:pPr>
      <w:r w:rsidRPr="001E29B5">
        <w:rPr>
          <w:rFonts w:ascii="Book Antiqua" w:hAnsi="Book Antiqua"/>
          <w:sz w:val="24"/>
          <w:szCs w:val="24"/>
        </w:rPr>
        <w:t>Increases in temperature were monitored using phase-differences in fast spoiled gradient-echo sequences (proton resonant frequency shift method) in renal parenchyma. A low-energy test sonication was performed in the para-vertebral muscles to confirm accuracy of the system set-up, calibrate the HIFU beam location and the path of the sound waves. All prescribed targets in the kidneys were 1</w:t>
      </w:r>
      <w:r w:rsidRPr="001E29B5">
        <w:rPr>
          <w:rFonts w:ascii="Book Antiqua" w:hAnsi="Book Antiqua"/>
          <w:sz w:val="24"/>
          <w:szCs w:val="24"/>
          <w:lang w:eastAsia="zh-CN"/>
        </w:rPr>
        <w:t xml:space="preserve"> </w:t>
      </w:r>
      <w:r w:rsidRPr="001E29B5">
        <w:rPr>
          <w:rFonts w:ascii="Book Antiqua" w:hAnsi="Book Antiqua"/>
          <w:sz w:val="24"/>
          <w:szCs w:val="24"/>
        </w:rPr>
        <w:t>cm of the proximal and distal poles based on sagittal plane (Fig</w:t>
      </w:r>
      <w:r w:rsidRPr="001E29B5">
        <w:rPr>
          <w:rFonts w:ascii="Book Antiqua" w:hAnsi="Book Antiqua"/>
          <w:sz w:val="24"/>
          <w:szCs w:val="24"/>
          <w:lang w:eastAsia="zh-CN"/>
        </w:rPr>
        <w:t>ure</w:t>
      </w:r>
      <w:r w:rsidRPr="001E29B5">
        <w:rPr>
          <w:rFonts w:ascii="Book Antiqua" w:hAnsi="Book Antiqua"/>
          <w:sz w:val="24"/>
          <w:szCs w:val="24"/>
        </w:rPr>
        <w:t xml:space="preserve"> </w:t>
      </w:r>
      <w:hyperlink r:id="rId8" w:anchor="jmri24451-fig-0001" w:tooltip="Link to figure" w:history="1">
        <w:r w:rsidRPr="001E29B5">
          <w:rPr>
            <w:rFonts w:ascii="Book Antiqua" w:hAnsi="Book Antiqua"/>
            <w:sz w:val="24"/>
            <w:szCs w:val="24"/>
          </w:rPr>
          <w:t>1</w:t>
        </w:r>
      </w:hyperlink>
      <w:r w:rsidRPr="001E29B5">
        <w:rPr>
          <w:rFonts w:ascii="Book Antiqua" w:hAnsi="Book Antiqua"/>
          <w:sz w:val="24"/>
          <w:szCs w:val="24"/>
        </w:rPr>
        <w:t>). A total of 24 lesions (4 per animal and 2 per kidney) were created at 2-3</w:t>
      </w:r>
      <w:r w:rsidRPr="001E29B5">
        <w:rPr>
          <w:rFonts w:ascii="Book Antiqua" w:hAnsi="Book Antiqua"/>
          <w:sz w:val="24"/>
          <w:szCs w:val="24"/>
          <w:lang w:eastAsia="zh-CN"/>
        </w:rPr>
        <w:t xml:space="preserve"> </w:t>
      </w:r>
      <w:r w:rsidRPr="001E29B5">
        <w:rPr>
          <w:rFonts w:ascii="Book Antiqua" w:hAnsi="Book Antiqua"/>
          <w:sz w:val="24"/>
          <w:szCs w:val="24"/>
        </w:rPr>
        <w:t xml:space="preserve">mm from the renal capsule. The energies used in this </w:t>
      </w:r>
      <w:r w:rsidRPr="001E29B5">
        <w:rPr>
          <w:rFonts w:ascii="Book Antiqua" w:hAnsi="Book Antiqua"/>
          <w:sz w:val="24"/>
          <w:szCs w:val="24"/>
        </w:rPr>
        <w:lastRenderedPageBreak/>
        <w:t>study were determined in a pilot study (</w:t>
      </w:r>
      <w:r w:rsidRPr="001E29B5">
        <w:rPr>
          <w:rFonts w:ascii="Book Antiqua" w:hAnsi="Book Antiqua"/>
          <w:i/>
          <w:sz w:val="24"/>
          <w:szCs w:val="24"/>
        </w:rPr>
        <w:t>n</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 pig), where lower energy (&lt;</w:t>
      </w:r>
      <w:r w:rsidRPr="001E29B5">
        <w:rPr>
          <w:rFonts w:ascii="Book Antiqua" w:hAnsi="Book Antiqua"/>
          <w:sz w:val="24"/>
          <w:szCs w:val="24"/>
          <w:lang w:eastAsia="zh-CN"/>
        </w:rPr>
        <w:t xml:space="preserve"> </w:t>
      </w:r>
      <w:r w:rsidRPr="001E29B5">
        <w:rPr>
          <w:rFonts w:ascii="Book Antiqua" w:hAnsi="Book Antiqua"/>
          <w:sz w:val="24"/>
          <w:szCs w:val="24"/>
        </w:rPr>
        <w:t>2000J) showed no visible renal ablation. The used focal spots were similar in size and geometry. In all animals one single sonication of 3000J at the upper (or proximal) pole of the right kidney and one single sonication of 4400J at the lower (or distal) pole of the right kidney were performed. Double sonication at the respective poles of the left kidney was performed. Unlike single sonication in the right kidney, each target in the left kidney was treated with double overlapping sonication of 3000J lasted for 30</w:t>
      </w:r>
      <w:r w:rsidRPr="001E29B5">
        <w:rPr>
          <w:rFonts w:ascii="Book Antiqua" w:hAnsi="Book Antiqua"/>
          <w:sz w:val="24"/>
          <w:szCs w:val="24"/>
          <w:lang w:eastAsia="zh-CN"/>
        </w:rPr>
        <w:t xml:space="preserve"> </w:t>
      </w:r>
      <w:r w:rsidRPr="001E29B5">
        <w:rPr>
          <w:rFonts w:ascii="Book Antiqua" w:hAnsi="Book Antiqua"/>
          <w:sz w:val="24"/>
          <w:szCs w:val="24"/>
        </w:rPr>
        <w:t>s or 4400J lasted for 40</w:t>
      </w:r>
      <w:r w:rsidRPr="001E29B5">
        <w:rPr>
          <w:rFonts w:ascii="Book Antiqua" w:hAnsi="Book Antiqua"/>
          <w:sz w:val="24"/>
          <w:szCs w:val="24"/>
          <w:lang w:eastAsia="zh-CN"/>
        </w:rPr>
        <w:t xml:space="preserve"> </w:t>
      </w:r>
      <w:r w:rsidRPr="001E29B5">
        <w:rPr>
          <w:rFonts w:ascii="Book Antiqua" w:hAnsi="Book Antiqua"/>
          <w:sz w:val="24"/>
          <w:szCs w:val="24"/>
        </w:rPr>
        <w:t>s (Fig</w:t>
      </w:r>
      <w:r w:rsidRPr="001E29B5">
        <w:rPr>
          <w:rFonts w:ascii="Book Antiqua" w:hAnsi="Book Antiqua"/>
          <w:sz w:val="24"/>
          <w:szCs w:val="24"/>
          <w:lang w:eastAsia="zh-CN"/>
        </w:rPr>
        <w:t>ure</w:t>
      </w:r>
      <w:r w:rsidRPr="001E29B5">
        <w:rPr>
          <w:rFonts w:ascii="Book Antiqua" w:hAnsi="Book Antiqua"/>
          <w:sz w:val="24"/>
          <w:szCs w:val="24"/>
        </w:rPr>
        <w:t xml:space="preserve"> </w:t>
      </w:r>
      <w:hyperlink r:id="rId9" w:anchor="jmri24451-fig-0001" w:tooltip="Link to figure" w:history="1">
        <w:r w:rsidRPr="001E29B5">
          <w:rPr>
            <w:rFonts w:ascii="Book Antiqua" w:hAnsi="Book Antiqua"/>
            <w:sz w:val="24"/>
            <w:szCs w:val="24"/>
          </w:rPr>
          <w:t>2</w:t>
        </w:r>
      </w:hyperlink>
      <w:r w:rsidRPr="001E29B5">
        <w:rPr>
          <w:rFonts w:ascii="Book Antiqua" w:hAnsi="Book Antiqua"/>
          <w:sz w:val="24"/>
          <w:szCs w:val="24"/>
        </w:rPr>
        <w:t>). In the double sonication, the second sonication was performed in the exact same location as the first. The frequency was constant (1.1 MHz) in all cases, but the cooling times between sonication were 90</w:t>
      </w:r>
      <w:r w:rsidRPr="001E29B5">
        <w:rPr>
          <w:rFonts w:ascii="Book Antiqua" w:hAnsi="Book Antiqua"/>
          <w:sz w:val="24"/>
          <w:szCs w:val="24"/>
          <w:lang w:eastAsia="zh-CN"/>
        </w:rPr>
        <w:t xml:space="preserve"> </w:t>
      </w:r>
      <w:r w:rsidRPr="001E29B5">
        <w:rPr>
          <w:rFonts w:ascii="Book Antiqua" w:hAnsi="Book Antiqua"/>
          <w:sz w:val="24"/>
          <w:szCs w:val="24"/>
        </w:rPr>
        <w:t>s and 132</w:t>
      </w:r>
      <w:r w:rsidRPr="001E29B5">
        <w:rPr>
          <w:rFonts w:ascii="Book Antiqua" w:hAnsi="Book Antiqua"/>
          <w:sz w:val="24"/>
          <w:szCs w:val="24"/>
          <w:lang w:eastAsia="zh-CN"/>
        </w:rPr>
        <w:t xml:space="preserve"> </w:t>
      </w:r>
      <w:r w:rsidRPr="001E29B5">
        <w:rPr>
          <w:rFonts w:ascii="Book Antiqua" w:hAnsi="Book Antiqua"/>
          <w:sz w:val="24"/>
          <w:szCs w:val="24"/>
        </w:rPr>
        <w:t>s for 3000J and 4400J, respectively. The cooling time was determined by the HIFU software and was sufficient to prevent thermal damage related to heat accumulation in non-targeted tissues. Relatively high energies (3000J to 4400J) and low power (100-110W) were needed to produce visible lesions compared with other soft tissue like in the pancreas (1000J and 500-1350W)</w:t>
      </w:r>
      <w:r w:rsidRPr="001E29B5">
        <w:rPr>
          <w:rFonts w:ascii="Book Antiqua" w:hAnsi="Book Antiqua"/>
          <w:sz w:val="24"/>
          <w:szCs w:val="24"/>
          <w:vertAlign w:val="superscript"/>
        </w:rPr>
        <w:t>[19]</w:t>
      </w:r>
      <w:r w:rsidRPr="001E29B5">
        <w:rPr>
          <w:rFonts w:ascii="Book Antiqua" w:hAnsi="Book Antiqua"/>
          <w:sz w:val="24"/>
          <w:szCs w:val="24"/>
        </w:rPr>
        <w:fldChar w:fldCharType="begin"/>
      </w:r>
      <w:r w:rsidRPr="001E29B5">
        <w:rPr>
          <w:rFonts w:ascii="Book Antiqua" w:hAnsi="Book Antiqua"/>
          <w:sz w:val="24"/>
          <w:szCs w:val="24"/>
        </w:rPr>
        <w:instrText xml:space="preserve"> ADDIN EN.CITE &lt;EndNote&gt;&lt;Cite&gt;&lt;Author&gt;Sofuni&lt;/Author&gt;&lt;Year&gt;2014&lt;/Year&gt;&lt;RecNum&gt;19959&lt;/RecNum&gt;&lt;DisplayText&gt;(19)&lt;/DisplayText&gt;&lt;record&gt;&lt;rec-number&gt;19959&lt;/rec-number&gt;&lt;foreign-keys&gt;&lt;key app="EN" db-id="awfx0t2elsee9beffwoppxxse5p2xeppdpvf"&gt;19959&lt;/key&gt;&lt;/foreign-keys&gt;&lt;ref-type name="Journal Article"&gt;17&lt;/ref-type&gt;&lt;contributors&gt;&lt;authors&gt;&lt;author&gt;Sofuni, A.&lt;/author&gt;&lt;author&gt;Moriyasu, F.&lt;/author&gt;&lt;author&gt;Sano, T.&lt;/author&gt;&lt;author&gt;Itokawa, F.&lt;/author&gt;&lt;author&gt;Tsuchiya, T.&lt;/author&gt;&lt;author&gt;Kurihara, T.&lt;/author&gt;&lt;author&gt;Ishii, K.&lt;/author&gt;&lt;author&gt;Tsuji, S.&lt;/author&gt;&lt;author&gt;Ikeuchi, N.&lt;/author&gt;&lt;author&gt;Tanaka, R.&lt;/author&gt;&lt;author&gt;Umeda, J.&lt;/author&gt;&lt;author&gt;Tonozuka, R.&lt;/author&gt;&lt;author&gt;Honjo, M.&lt;/author&gt;&lt;author&gt;Mukai, S.&lt;/author&gt;&lt;author&gt;Fujita, M.&lt;/author&gt;&lt;author&gt;Itoi, T.&lt;/author&gt;&lt;/authors&gt;&lt;/contributors&gt;&lt;auth-address&gt;Atsushi Sofuni, Fuminori Moriyasu, Takatomo Sano, Fumihide Itokawa, Takayoshi Tsuchiya, Toshio Kurihara, Kentaro Ishii, Syujiro Tsuji, Nobuhito Ikeuchi, Reina Tanaka, Junko Umeda, Ryosuke Tonozuka, Mitsuyoshi Honjo, Shuntaro Mukai, Mitsuru Fujita, Takao Itoi, Department of Gastroenterology and Hepatology, Tokyo Medical University, Tokyo 160-0023, Japan.&lt;/auth-address&gt;&lt;titles&gt;&lt;title&gt;Safety trial of high-intensity focused ultrasound therapy for pancreatic cancer&lt;/title&gt;&lt;secondary-title&gt;World J Gastroenterol&lt;/secondary-title&gt;&lt;alt-title&gt;World journal of gastroenterology : WJG&lt;/alt-title&gt;&lt;/titles&gt;&lt;pages&gt;9570-7&lt;/pages&gt;&lt;volume&gt;20&lt;/volume&gt;&lt;number&gt;28&lt;/number&gt;&lt;dates&gt;&lt;year&gt;2014&lt;/year&gt;&lt;pub-dates&gt;&lt;date&gt;Jul 28&lt;/date&gt;&lt;/pub-dates&gt;&lt;/dates&gt;&lt;isbn&gt;2219-2840 (Electronic)&amp;#xD;1007-9327 (Linking)&lt;/isbn&gt;&lt;accession-num&gt;25071354&lt;/accession-num&gt;&lt;urls&gt;&lt;related-urls&gt;&lt;url&gt;http://www.ncbi.nlm.nih.gov/pubmed/25071354&lt;/url&gt;&lt;/related-urls&gt;&lt;/urls&gt;&lt;custom2&gt;4110591&lt;/custom2&gt;&lt;electronic-resource-num&gt;10.3748/wjg.v20.i28.9570&lt;/electronic-resource-num&gt;&lt;/record&gt;&lt;/Cite&gt;&lt;/EndNote&gt;</w:instrText>
      </w:r>
      <w:r w:rsidRPr="001E29B5">
        <w:rPr>
          <w:rFonts w:ascii="Book Antiqua" w:hAnsi="Book Antiqua"/>
          <w:sz w:val="24"/>
          <w:szCs w:val="24"/>
        </w:rPr>
        <w:fldChar w:fldCharType="end"/>
      </w:r>
      <w:r w:rsidRPr="001E29B5">
        <w:rPr>
          <w:rFonts w:ascii="Book Antiqua" w:hAnsi="Book Antiqua"/>
          <w:sz w:val="24"/>
          <w:szCs w:val="24"/>
        </w:rPr>
        <w:t>.</w:t>
      </w:r>
    </w:p>
    <w:p w:rsidR="00E8308C" w:rsidRPr="001E29B5" w:rsidRDefault="00E8308C" w:rsidP="00036E8E">
      <w:pPr>
        <w:spacing w:after="0" w:line="360" w:lineRule="auto"/>
        <w:jc w:val="both"/>
        <w:rPr>
          <w:rFonts w:ascii="Book Antiqua" w:hAnsi="Book Antiqua"/>
          <w:b/>
          <w:sz w:val="24"/>
          <w:szCs w:val="24"/>
        </w:rPr>
      </w:pPr>
    </w:p>
    <w:p w:rsidR="00E8308C" w:rsidRPr="001E29B5" w:rsidRDefault="00E8308C" w:rsidP="00036E8E">
      <w:pPr>
        <w:spacing w:after="0" w:line="360" w:lineRule="auto"/>
        <w:jc w:val="both"/>
        <w:rPr>
          <w:rFonts w:ascii="Book Antiqua" w:hAnsi="Book Antiqua"/>
          <w:b/>
          <w:i/>
          <w:sz w:val="24"/>
          <w:szCs w:val="24"/>
        </w:rPr>
      </w:pPr>
      <w:r w:rsidRPr="001E29B5">
        <w:rPr>
          <w:rFonts w:ascii="Book Antiqua" w:hAnsi="Book Antiqua"/>
          <w:b/>
          <w:i/>
          <w:sz w:val="24"/>
          <w:szCs w:val="24"/>
        </w:rPr>
        <w:t>MR imaging and analysis</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 xml:space="preserve">The default body coil and a 64-channel receiver cardiac coil (GE Healthcare, Waukesha, WI) were used in the current study. Axial, coronal and sagittal planes to the kidney were acquired to verify proper position of the transducer and to plan the ablation treatment. Axial and sagittal T2-W fast spin echo </w:t>
      </w:r>
      <w:r w:rsidRPr="001E29B5">
        <w:rPr>
          <w:rFonts w:ascii="Book Antiqua" w:hAnsi="Book Antiqua"/>
          <w:sz w:val="24"/>
          <w:szCs w:val="24"/>
          <w:lang w:eastAsia="zh-CN"/>
        </w:rPr>
        <w:t>(</w:t>
      </w:r>
      <w:r w:rsidRPr="001E29B5">
        <w:rPr>
          <w:rFonts w:ascii="Book Antiqua" w:hAnsi="Book Antiqua"/>
          <w:sz w:val="24"/>
          <w:szCs w:val="24"/>
        </w:rPr>
        <w:t>FSE</w:t>
      </w:r>
      <w:r w:rsidRPr="001E29B5">
        <w:rPr>
          <w:rFonts w:ascii="Book Antiqua" w:hAnsi="Book Antiqua"/>
          <w:sz w:val="24"/>
          <w:szCs w:val="24"/>
          <w:lang w:eastAsia="zh-CN"/>
        </w:rPr>
        <w:t>)</w:t>
      </w:r>
      <w:r w:rsidRPr="001E29B5">
        <w:rPr>
          <w:rFonts w:ascii="Book Antiqua" w:hAnsi="Book Antiqua"/>
          <w:sz w:val="24"/>
          <w:szCs w:val="24"/>
        </w:rPr>
        <w:t xml:space="preserve"> (T2-W) sequence with fat saturation was used and the acquired images transferred to the HIFU software. MR thermometry was performed, using 3D segmented–EPI during each sonication with multiphase </w:t>
      </w:r>
      <w:r w:rsidR="009863C8">
        <w:rPr>
          <w:rFonts w:ascii="Book Antiqua" w:hAnsi="Book Antiqua"/>
          <w:sz w:val="24"/>
          <w:szCs w:val="24"/>
        </w:rPr>
        <w:t>multi-slice echo planar imaging</w:t>
      </w:r>
      <w:r w:rsidRPr="001E29B5">
        <w:rPr>
          <w:rFonts w:ascii="Book Antiqua" w:hAnsi="Book Antiqua"/>
          <w:sz w:val="24"/>
          <w:szCs w:val="24"/>
          <w:vertAlign w:val="superscript"/>
        </w:rPr>
        <w:t>[20,21]</w:t>
      </w:r>
      <w:r w:rsidRPr="001E29B5">
        <w:rPr>
          <w:rFonts w:ascii="Book Antiqua" w:hAnsi="Book Antiqua"/>
          <w:sz w:val="24"/>
          <w:szCs w:val="24"/>
        </w:rPr>
        <w:t xml:space="preserve">. </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 xml:space="preserve">Post-ablation imaging without contrast was performed 60 min after sonication and with contrast media after 90 min. Table 1 shows the used imaging sequences and their parameters. Two-dimensional T2-W, 2D CE T1-weighted (T1-W) FSE and 3D liver acquisition with volume acquisition (LAVA) images were performed before and after ablation. Signal intensity (SI) ratios (ablated lesion SI/normal parenchyma SI) on T2-W and non-enhanced T1-W images were determined to demonstrate the SI differences </w:t>
      </w:r>
      <w:r w:rsidRPr="001E29B5">
        <w:rPr>
          <w:rFonts w:ascii="Book Antiqua" w:hAnsi="Book Antiqua"/>
          <w:sz w:val="24"/>
          <w:szCs w:val="24"/>
        </w:rPr>
        <w:lastRenderedPageBreak/>
        <w:t>prior to contrast media administration. Furthermore, perfusion imaging was conducted during bolus injection of 0.2 mmol/kg Gd-DTPA (Bayer, Wayne, NJ). Saturation recovery gradient echo sequence was acquired after ablation to monitor regional perfusion in normal and ablated renal parenchyma. Imaging was performed before and during contrast injection. Regional signal intensity was monitored for 2</w:t>
      </w:r>
      <w:r w:rsidRPr="001E29B5">
        <w:rPr>
          <w:rFonts w:ascii="Book Antiqua" w:hAnsi="Book Antiqua"/>
          <w:sz w:val="24"/>
          <w:szCs w:val="24"/>
          <w:lang w:eastAsia="zh-CN"/>
        </w:rPr>
        <w:t xml:space="preserve"> </w:t>
      </w:r>
      <w:r w:rsidRPr="001E29B5">
        <w:rPr>
          <w:rFonts w:ascii="Book Antiqua" w:hAnsi="Book Antiqua"/>
          <w:sz w:val="24"/>
          <w:szCs w:val="24"/>
        </w:rPr>
        <w:t xml:space="preserve">min after bolus injection of MR contrast media. Signal intensities were measured in the aortic blood (arterial input function), ablated and normal renal parenchyma. </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 xml:space="preserve">Post-contrast administration, 2D CE T1-W and 3D LAVA images were repeated. LAVA is based on a 3 dimensional spoiled </w:t>
      </w:r>
      <w:hyperlink r:id="rId10" w:history="1">
        <w:r w:rsidRPr="001E29B5">
          <w:rPr>
            <w:rFonts w:ascii="Book Antiqua" w:hAnsi="Book Antiqua"/>
            <w:sz w:val="24"/>
            <w:szCs w:val="24"/>
          </w:rPr>
          <w:t>gradient echo</w:t>
        </w:r>
      </w:hyperlink>
      <w:r w:rsidRPr="001E29B5">
        <w:rPr>
          <w:rFonts w:ascii="Book Antiqua" w:hAnsi="Book Antiqua"/>
          <w:sz w:val="24"/>
          <w:szCs w:val="24"/>
        </w:rPr>
        <w:t xml:space="preserve"> </w:t>
      </w:r>
      <w:hyperlink r:id="rId11" w:history="1">
        <w:r w:rsidRPr="001E29B5">
          <w:rPr>
            <w:rFonts w:ascii="Book Antiqua" w:hAnsi="Book Antiqua"/>
            <w:sz w:val="24"/>
            <w:szCs w:val="24"/>
          </w:rPr>
          <w:t>pulse sequence</w:t>
        </w:r>
      </w:hyperlink>
      <w:r w:rsidRPr="001E29B5">
        <w:rPr>
          <w:rFonts w:ascii="Book Antiqua" w:hAnsi="Book Antiqua"/>
          <w:sz w:val="24"/>
          <w:szCs w:val="24"/>
        </w:rPr>
        <w:t>. The 3D volumes (cm</w:t>
      </w:r>
      <w:r w:rsidRPr="001E29B5">
        <w:rPr>
          <w:rFonts w:ascii="Book Antiqua" w:hAnsi="Book Antiqua"/>
          <w:sz w:val="24"/>
          <w:szCs w:val="24"/>
          <w:vertAlign w:val="superscript"/>
        </w:rPr>
        <w:t>3</w:t>
      </w:r>
      <w:r w:rsidRPr="001E29B5">
        <w:rPr>
          <w:rFonts w:ascii="Book Antiqua" w:hAnsi="Book Antiqua"/>
          <w:sz w:val="24"/>
          <w:szCs w:val="24"/>
        </w:rPr>
        <w:t>) of ablated renal parenchyma on only CE MRI (showed best delineation) were determined by multiplying the cranial-caudal, transverse and anterio-posterior lengths of each lesion and presented as means</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standard error of the means. On histopathology, each slice (both faces) was digitally photographed and weighed and the volumes (cm</w:t>
      </w:r>
      <w:r w:rsidRPr="001E29B5">
        <w:rPr>
          <w:rFonts w:ascii="Book Antiqua" w:hAnsi="Book Antiqua"/>
          <w:sz w:val="24"/>
          <w:szCs w:val="24"/>
          <w:vertAlign w:val="superscript"/>
        </w:rPr>
        <w:t>3</w:t>
      </w:r>
      <w:r w:rsidRPr="001E29B5">
        <w:rPr>
          <w:rFonts w:ascii="Book Antiqua" w:hAnsi="Book Antiqua"/>
          <w:sz w:val="24"/>
          <w:szCs w:val="24"/>
        </w:rPr>
        <w:t>) of ablated renal parenchyma were measured using planemetric method.</w:t>
      </w: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b/>
          <w:i/>
          <w:sz w:val="24"/>
          <w:szCs w:val="24"/>
        </w:rPr>
      </w:pPr>
      <w:r w:rsidRPr="001E29B5">
        <w:rPr>
          <w:rFonts w:ascii="Book Antiqua" w:hAnsi="Book Antiqua"/>
          <w:b/>
          <w:i/>
          <w:sz w:val="24"/>
          <w:szCs w:val="24"/>
        </w:rPr>
        <w:t xml:space="preserve">Histopathology </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 xml:space="preserve">The skin and tissues adjacent to the kidneys were macroscopically examined after each procedure. More than four hours after sonication the animals were heparinized, terminated and perfused </w:t>
      </w:r>
      <w:r w:rsidRPr="001E29B5">
        <w:rPr>
          <w:rFonts w:ascii="Book Antiqua" w:hAnsi="Book Antiqua"/>
          <w:i/>
          <w:sz w:val="24"/>
          <w:szCs w:val="24"/>
        </w:rPr>
        <w:t>in situ</w:t>
      </w:r>
      <w:r w:rsidRPr="001E29B5">
        <w:rPr>
          <w:rFonts w:ascii="Book Antiqua" w:hAnsi="Book Antiqua"/>
          <w:sz w:val="24"/>
          <w:szCs w:val="24"/>
        </w:rPr>
        <w:t xml:space="preserve"> with 4% formalin to ensure proper tissue fixation. At postmortem, both kidneys and surrounding organs were macroscopically examined </w:t>
      </w:r>
      <w:r w:rsidRPr="001E29B5">
        <w:rPr>
          <w:rFonts w:ascii="Book Antiqua" w:hAnsi="Book Antiqua"/>
          <w:i/>
          <w:sz w:val="24"/>
          <w:szCs w:val="24"/>
        </w:rPr>
        <w:t>in situ</w:t>
      </w:r>
      <w:r w:rsidRPr="001E29B5">
        <w:rPr>
          <w:rFonts w:ascii="Book Antiqua" w:hAnsi="Book Antiqua"/>
          <w:sz w:val="24"/>
          <w:szCs w:val="24"/>
        </w:rPr>
        <w:t>. The kidneys were excised, transversely sliced, examined and weighed then fixed in buffered formalin for 48</w:t>
      </w:r>
      <w:r w:rsidRPr="001E29B5">
        <w:rPr>
          <w:rFonts w:ascii="Book Antiqua" w:hAnsi="Book Antiqua"/>
          <w:sz w:val="24"/>
          <w:szCs w:val="24"/>
          <w:lang w:eastAsia="zh-CN"/>
        </w:rPr>
        <w:t xml:space="preserve"> </w:t>
      </w:r>
      <w:r w:rsidRPr="001E29B5">
        <w:rPr>
          <w:rFonts w:ascii="Book Antiqua" w:hAnsi="Book Antiqua"/>
          <w:sz w:val="24"/>
          <w:szCs w:val="24"/>
        </w:rPr>
        <w:t>h to delineate ablated lesions. The lesions were measured using planemetric method. For histopathology the slices from the ablated lesions were embedded in paraffin, sectioned (5</w:t>
      </w:r>
      <w:r w:rsidRPr="001E29B5">
        <w:rPr>
          <w:rFonts w:ascii="Book Antiqua" w:hAnsi="Book Antiqua"/>
          <w:sz w:val="24"/>
          <w:szCs w:val="24"/>
          <w:lang w:eastAsia="zh-CN"/>
        </w:rPr>
        <w:t xml:space="preserve"> </w:t>
      </w:r>
      <w:r w:rsidRPr="001E29B5">
        <w:rPr>
          <w:rFonts w:ascii="Book Antiqua" w:hAnsi="Book Antiqua"/>
          <w:sz w:val="24"/>
          <w:szCs w:val="24"/>
        </w:rPr>
        <w:sym w:font="Symbol" w:char="F06D"/>
      </w:r>
      <w:r w:rsidRPr="001E29B5">
        <w:rPr>
          <w:rFonts w:ascii="Book Antiqua" w:hAnsi="Book Antiqua"/>
          <w:sz w:val="24"/>
          <w:szCs w:val="24"/>
        </w:rPr>
        <w:t>m) and stained with hematoxylin-eosin (H</w:t>
      </w:r>
      <w:r w:rsidRPr="001E29B5">
        <w:rPr>
          <w:rFonts w:ascii="Book Antiqua" w:hAnsi="Book Antiqua"/>
          <w:sz w:val="24"/>
          <w:szCs w:val="24"/>
          <w:lang w:eastAsia="zh-CN"/>
        </w:rPr>
        <w:t xml:space="preserve"> and </w:t>
      </w:r>
      <w:r w:rsidRPr="001E29B5">
        <w:rPr>
          <w:rFonts w:ascii="Book Antiqua" w:hAnsi="Book Antiqua"/>
          <w:sz w:val="24"/>
          <w:szCs w:val="24"/>
        </w:rPr>
        <w:t>E) and examined microscopically.</w:t>
      </w: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pStyle w:val="NormalWeb"/>
        <w:spacing w:before="0" w:beforeAutospacing="0" w:after="0" w:afterAutospacing="0" w:line="360" w:lineRule="auto"/>
        <w:jc w:val="both"/>
        <w:rPr>
          <w:rFonts w:ascii="Book Antiqua" w:hAnsi="Book Antiqua"/>
          <w:b/>
          <w:i/>
        </w:rPr>
      </w:pPr>
      <w:bookmarkStart w:id="6" w:name="OLE_LINK10"/>
      <w:bookmarkStart w:id="7" w:name="OLE_LINK11"/>
      <w:r w:rsidRPr="001E29B5">
        <w:rPr>
          <w:rFonts w:ascii="Book Antiqua" w:hAnsi="Book Antiqua"/>
          <w:b/>
          <w:i/>
        </w:rPr>
        <w:t>Statistical analysis</w:t>
      </w:r>
    </w:p>
    <w:bookmarkEnd w:id="6"/>
    <w:bookmarkEnd w:id="7"/>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Paired Student</w:t>
      </w:r>
      <w:r w:rsidRPr="001E29B5">
        <w:rPr>
          <w:rFonts w:ascii="Book Antiqua" w:hAnsi="Book Antiqua"/>
          <w:i/>
          <w:sz w:val="24"/>
          <w:szCs w:val="24"/>
        </w:rPr>
        <w:t xml:space="preserve"> t</w:t>
      </w:r>
      <w:r w:rsidRPr="001E29B5">
        <w:rPr>
          <w:rFonts w:ascii="Book Antiqua" w:hAnsi="Book Antiqua"/>
          <w:sz w:val="24"/>
          <w:szCs w:val="24"/>
        </w:rPr>
        <w:t>-test was performed to compare lesion volumes after different sonication energies. Regional signal intensity on perfusion imaging and lesion masses were presented as means</w:t>
      </w:r>
      <w:r w:rsidRPr="001E29B5">
        <w:rPr>
          <w:rFonts w:ascii="MS Gothic" w:eastAsia="MS Gothic" w:hAnsi="MS Gothic" w:cs="MS Gothic" w:hint="eastAsia"/>
          <w:sz w:val="24"/>
          <w:szCs w:val="24"/>
        </w:rPr>
        <w:t> </w:t>
      </w:r>
      <w:r w:rsidRPr="001E29B5">
        <w:rPr>
          <w:rFonts w:ascii="Book Antiqua" w:hAnsi="Book Antiqua"/>
          <w:sz w:val="24"/>
          <w:szCs w:val="24"/>
        </w:rPr>
        <w:t>±</w:t>
      </w:r>
      <w:r w:rsidRPr="001E29B5">
        <w:rPr>
          <w:rFonts w:ascii="MS Gothic" w:eastAsia="MS Gothic" w:hAnsi="MS Gothic" w:cs="MS Gothic" w:hint="eastAsia"/>
          <w:sz w:val="24"/>
          <w:szCs w:val="24"/>
        </w:rPr>
        <w:t> </w:t>
      </w:r>
      <w:r w:rsidRPr="001E29B5">
        <w:rPr>
          <w:rFonts w:ascii="Book Antiqua" w:hAnsi="Book Antiqua"/>
          <w:sz w:val="24"/>
          <w:szCs w:val="24"/>
        </w:rPr>
        <w:t xml:space="preserve">standard error of the mean. Kruskal-Wallis test was used </w:t>
      </w:r>
      <w:r w:rsidRPr="001E29B5">
        <w:rPr>
          <w:rFonts w:ascii="Book Antiqua" w:hAnsi="Book Antiqua"/>
          <w:sz w:val="24"/>
          <w:szCs w:val="24"/>
        </w:rPr>
        <w:lastRenderedPageBreak/>
        <w:t xml:space="preserve">as a non-parametric test to compare the extents of ablated lesions measured on MRI and postmortem. The relationship between MRI </w:t>
      </w:r>
      <w:r w:rsidRPr="001E29B5">
        <w:rPr>
          <w:rFonts w:ascii="Book Antiqua" w:hAnsi="Book Antiqua"/>
          <w:i/>
          <w:sz w:val="24"/>
          <w:szCs w:val="24"/>
        </w:rPr>
        <w:t>in situ</w:t>
      </w:r>
      <w:r w:rsidRPr="001E29B5">
        <w:rPr>
          <w:rFonts w:ascii="Book Antiqua" w:hAnsi="Book Antiqua"/>
          <w:sz w:val="24"/>
          <w:szCs w:val="24"/>
        </w:rPr>
        <w:t xml:space="preserve"> and postmortem data was assessed using Pearson’s correlation coefficient. A </w:t>
      </w:r>
      <w:r w:rsidRPr="001E29B5">
        <w:rPr>
          <w:rFonts w:ascii="Book Antiqua" w:hAnsi="Book Antiqua"/>
          <w:i/>
          <w:sz w:val="24"/>
          <w:szCs w:val="24"/>
        </w:rPr>
        <w:t>P</w:t>
      </w:r>
      <w:r w:rsidRPr="001E29B5">
        <w:rPr>
          <w:rFonts w:ascii="Book Antiqua" w:hAnsi="Book Antiqua"/>
          <w:sz w:val="24"/>
          <w:szCs w:val="24"/>
        </w:rPr>
        <w:t xml:space="preserve"> value of less than 0.05 was considered statistically significant.</w:t>
      </w: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adjustRightInd w:val="0"/>
        <w:snapToGrid w:val="0"/>
        <w:spacing w:after="0" w:line="360" w:lineRule="auto"/>
        <w:jc w:val="both"/>
        <w:rPr>
          <w:rFonts w:ascii="Book Antiqua" w:hAnsi="Book Antiqua"/>
          <w:b/>
          <w:sz w:val="24"/>
          <w:szCs w:val="24"/>
        </w:rPr>
      </w:pPr>
      <w:r w:rsidRPr="001E29B5">
        <w:rPr>
          <w:rFonts w:ascii="Book Antiqua" w:hAnsi="Book Antiqua"/>
          <w:b/>
          <w:sz w:val="24"/>
          <w:szCs w:val="24"/>
        </w:rPr>
        <w:t>RESULTS</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 xml:space="preserve">MR imaging–guided </w:t>
      </w:r>
      <w:hyperlink r:id="rId12" w:history="1">
        <w:r w:rsidRPr="001E29B5">
          <w:rPr>
            <w:rFonts w:ascii="Book Antiqua" w:hAnsi="Book Antiqua"/>
            <w:sz w:val="24"/>
            <w:szCs w:val="24"/>
          </w:rPr>
          <w:t>HIFU</w:t>
        </w:r>
      </w:hyperlink>
      <w:r w:rsidRPr="001E29B5">
        <w:rPr>
          <w:rFonts w:ascii="Book Antiqua" w:hAnsi="Book Antiqua"/>
          <w:sz w:val="24"/>
          <w:szCs w:val="24"/>
        </w:rPr>
        <w:t xml:space="preserve"> was successfully used to create 24 focal renal lesions in 6 animals (4 per animal and 2 per kidney). The duration of renal planning and sonication was between 50-60</w:t>
      </w:r>
      <w:r w:rsidRPr="001E29B5">
        <w:rPr>
          <w:rFonts w:ascii="Book Antiqua" w:hAnsi="Book Antiqua"/>
          <w:sz w:val="24"/>
          <w:szCs w:val="24"/>
          <w:lang w:eastAsia="zh-CN"/>
        </w:rPr>
        <w:t xml:space="preserve"> </w:t>
      </w:r>
      <w:r w:rsidRPr="001E29B5">
        <w:rPr>
          <w:rFonts w:ascii="Book Antiqua" w:hAnsi="Book Antiqua"/>
          <w:sz w:val="24"/>
          <w:szCs w:val="24"/>
        </w:rPr>
        <w:t>min. The sonication caused no change in average core body temperature, heart rate or O2 saturation (Table 2). Breath-hold, with the use of muscle relaxant, rocuronium bromide, minimized muscle twitching and diaphragm movement motion during sonication and imaging. During ablation, the temperature rise (58-63</w:t>
      </w:r>
      <w:r w:rsidRPr="001E29B5">
        <w:rPr>
          <w:rFonts w:ascii="Book Antiqua" w:hAnsi="Book Antiqua"/>
          <w:sz w:val="24"/>
          <w:szCs w:val="24"/>
        </w:rPr>
        <w:sym w:font="Symbol" w:char="F0B0"/>
      </w:r>
      <w:r w:rsidRPr="001E29B5">
        <w:rPr>
          <w:rFonts w:ascii="Book Antiqua" w:hAnsi="Book Antiqua"/>
          <w:sz w:val="24"/>
          <w:szCs w:val="24"/>
        </w:rPr>
        <w:t>C) in the targeted region was monitored (Fig</w:t>
      </w:r>
      <w:r w:rsidRPr="001E29B5">
        <w:rPr>
          <w:rFonts w:ascii="Book Antiqua" w:hAnsi="Book Antiqua"/>
          <w:sz w:val="24"/>
          <w:szCs w:val="24"/>
          <w:lang w:eastAsia="zh-CN"/>
        </w:rPr>
        <w:t>ure</w:t>
      </w:r>
      <w:r w:rsidRPr="001E29B5">
        <w:rPr>
          <w:rFonts w:ascii="Book Antiqua" w:hAnsi="Book Antiqua"/>
          <w:sz w:val="24"/>
          <w:szCs w:val="24"/>
        </w:rPr>
        <w:t xml:space="preserve"> 1). </w:t>
      </w:r>
    </w:p>
    <w:p w:rsidR="00E8308C" w:rsidRPr="001E29B5" w:rsidRDefault="00E8308C" w:rsidP="00036E8E">
      <w:pPr>
        <w:spacing w:after="0" w:line="360" w:lineRule="auto"/>
        <w:jc w:val="both"/>
        <w:rPr>
          <w:rFonts w:ascii="Book Antiqua" w:hAnsi="Book Antiqua"/>
          <w:b/>
          <w:i/>
          <w:sz w:val="24"/>
          <w:szCs w:val="24"/>
        </w:rPr>
      </w:pPr>
    </w:p>
    <w:p w:rsidR="00E8308C" w:rsidRPr="001E29B5" w:rsidRDefault="00E8308C" w:rsidP="00036E8E">
      <w:pPr>
        <w:spacing w:after="0" w:line="360" w:lineRule="auto"/>
        <w:jc w:val="both"/>
        <w:rPr>
          <w:rFonts w:ascii="Book Antiqua" w:hAnsi="Book Antiqua"/>
          <w:i/>
          <w:sz w:val="24"/>
          <w:szCs w:val="24"/>
        </w:rPr>
      </w:pPr>
      <w:r w:rsidRPr="001E29B5">
        <w:rPr>
          <w:rFonts w:ascii="Book Antiqua" w:hAnsi="Book Antiqua"/>
          <w:b/>
          <w:i/>
          <w:sz w:val="24"/>
          <w:szCs w:val="24"/>
        </w:rPr>
        <w:t>MRI characterization and quantification</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The ablated lesions were not visible (isointense compared with surrounding renal parenchyma) on fat-suppressed T2-W and non-enhanced T1-W images. SI ratios on T2-W and non-enhanced T1-W images were 1.02</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0.02 and 1.03</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0.01, respectively, suggesting that there was no evidence of edema four hours after treatment.</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On the other hand, perfusion imaging during injection of Gd-DTPA demonstrated hypoperfused ablated lesions as wedged-shaped zones (Fig</w:t>
      </w:r>
      <w:r w:rsidRPr="001E29B5">
        <w:rPr>
          <w:rFonts w:ascii="Book Antiqua" w:hAnsi="Book Antiqua"/>
          <w:sz w:val="24"/>
          <w:szCs w:val="24"/>
          <w:lang w:eastAsia="zh-CN"/>
        </w:rPr>
        <w:t>ure</w:t>
      </w:r>
      <w:r w:rsidRPr="001E29B5">
        <w:rPr>
          <w:rFonts w:ascii="Book Antiqua" w:hAnsi="Book Antiqua"/>
          <w:sz w:val="24"/>
          <w:szCs w:val="24"/>
        </w:rPr>
        <w:t xml:space="preserve"> 3). The changes in SI as a function of time were demonstrated in aortic blood, normal and ablated renal parenchyma. The perfusion deficits persisted for 2</w:t>
      </w:r>
      <w:r w:rsidRPr="001E29B5">
        <w:rPr>
          <w:rFonts w:ascii="Book Antiqua" w:hAnsi="Book Antiqua"/>
          <w:sz w:val="24"/>
          <w:szCs w:val="24"/>
          <w:lang w:eastAsia="zh-CN"/>
        </w:rPr>
        <w:t xml:space="preserve"> </w:t>
      </w:r>
      <w:r w:rsidRPr="001E29B5">
        <w:rPr>
          <w:rFonts w:ascii="Book Antiqua" w:hAnsi="Book Antiqua"/>
          <w:sz w:val="24"/>
          <w:szCs w:val="24"/>
        </w:rPr>
        <w:t>min after contrast administration regardless of the sonication energies. Severe ischemia was observed in ablated lesions (Fig</w:t>
      </w:r>
      <w:r w:rsidRPr="001E29B5">
        <w:rPr>
          <w:rFonts w:ascii="Book Antiqua" w:hAnsi="Book Antiqua"/>
          <w:sz w:val="24"/>
          <w:szCs w:val="24"/>
          <w:lang w:eastAsia="zh-CN"/>
        </w:rPr>
        <w:t>ure</w:t>
      </w:r>
      <w:r w:rsidRPr="001E29B5">
        <w:rPr>
          <w:rFonts w:ascii="Book Antiqua" w:hAnsi="Book Antiqua"/>
          <w:sz w:val="24"/>
          <w:szCs w:val="24"/>
        </w:rPr>
        <w:t xml:space="preserve"> 4). We were unable to monitor the first passage indices (max upslope, max SI and time to the peak) of MR contrast media in the kidneys, because there was a trade-off between temporal resolution, spatial resolution and coverage related to the anatomical locations of the left and right kidneys and the lesions in a single kidney being created far from each other.</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lastRenderedPageBreak/>
        <w:t>Furthermore, 2D CE T1-W FSE and 3D LAVA demonstrated the locations of the lesions in the proximal and distal poles of the kidneys (Fig</w:t>
      </w:r>
      <w:r w:rsidRPr="001E29B5">
        <w:rPr>
          <w:rFonts w:ascii="Book Antiqua" w:hAnsi="Book Antiqua"/>
          <w:sz w:val="24"/>
          <w:szCs w:val="24"/>
          <w:lang w:eastAsia="zh-CN"/>
        </w:rPr>
        <w:t>ure</w:t>
      </w:r>
      <w:r w:rsidRPr="001E29B5">
        <w:rPr>
          <w:rFonts w:ascii="Book Antiqua" w:hAnsi="Book Antiqua"/>
          <w:sz w:val="24"/>
          <w:szCs w:val="24"/>
        </w:rPr>
        <w:t xml:space="preserve"> 5). The locations of lesions on these images matched lesions seen on perfusion MRI. Furthermore, both CE 2D T1-W FSE and 3D LAVA pulse sequences provided good contrast (T1 weighted). On both sequences, a thin hyperenhanced rim was visible around the ablated region on both MRI sequences. Figure 6 shows the wedged-shaped lesions on delayed CE 3D LAVA and 2D T1-W FSE images and macroscopic slices with close correspondence between ablated lesions </w:t>
      </w:r>
      <w:r w:rsidRPr="001E29B5">
        <w:rPr>
          <w:rFonts w:ascii="Book Antiqua" w:hAnsi="Book Antiqua"/>
          <w:i/>
          <w:sz w:val="24"/>
          <w:szCs w:val="24"/>
        </w:rPr>
        <w:t>in vivo</w:t>
      </w:r>
      <w:r w:rsidRPr="001E29B5">
        <w:rPr>
          <w:rFonts w:ascii="Book Antiqua" w:hAnsi="Book Antiqua"/>
          <w:sz w:val="24"/>
          <w:szCs w:val="24"/>
        </w:rPr>
        <w:t xml:space="preserve"> on MRI and </w:t>
      </w:r>
      <w:r w:rsidRPr="001E29B5">
        <w:rPr>
          <w:rFonts w:ascii="Book Antiqua" w:hAnsi="Book Antiqua"/>
          <w:i/>
          <w:sz w:val="24"/>
          <w:szCs w:val="24"/>
        </w:rPr>
        <w:t>in vitro</w:t>
      </w:r>
      <w:r w:rsidRPr="001E29B5">
        <w:rPr>
          <w:rFonts w:ascii="Book Antiqua" w:hAnsi="Book Antiqua"/>
          <w:sz w:val="24"/>
          <w:szCs w:val="24"/>
        </w:rPr>
        <w:t xml:space="preserve"> sections. </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The average of each lesion dimension and volumes as a function of energy (joules) and sonication number are summarized in Table 3. The lesion volumes within each of the energies varied between animals (0.12-0.36 cm</w:t>
      </w:r>
      <w:r w:rsidRPr="001E29B5">
        <w:rPr>
          <w:rFonts w:ascii="Book Antiqua" w:hAnsi="Book Antiqua"/>
          <w:sz w:val="24"/>
          <w:szCs w:val="24"/>
          <w:vertAlign w:val="superscript"/>
        </w:rPr>
        <w:t>3</w:t>
      </w:r>
      <w:r w:rsidRPr="001E29B5">
        <w:rPr>
          <w:rFonts w:ascii="Book Antiqua" w:hAnsi="Book Antiqua"/>
          <w:sz w:val="24"/>
          <w:szCs w:val="24"/>
        </w:rPr>
        <w:t xml:space="preserve"> for single sonication 3000J, 0.50-0.84 cm</w:t>
      </w:r>
      <w:r w:rsidRPr="001E29B5">
        <w:rPr>
          <w:rFonts w:ascii="Book Antiqua" w:hAnsi="Book Antiqua"/>
          <w:sz w:val="24"/>
          <w:szCs w:val="24"/>
          <w:vertAlign w:val="superscript"/>
        </w:rPr>
        <w:t>3</w:t>
      </w:r>
      <w:r w:rsidRPr="001E29B5">
        <w:rPr>
          <w:rFonts w:ascii="Book Antiqua" w:hAnsi="Book Antiqua"/>
          <w:sz w:val="24"/>
          <w:szCs w:val="24"/>
        </w:rPr>
        <w:t xml:space="preserve"> for double 3000J, 0.75-0.784 cm</w:t>
      </w:r>
      <w:r w:rsidRPr="001E29B5">
        <w:rPr>
          <w:rFonts w:ascii="Book Antiqua" w:hAnsi="Book Antiqua"/>
          <w:sz w:val="24"/>
          <w:szCs w:val="24"/>
          <w:vertAlign w:val="superscript"/>
        </w:rPr>
        <w:t>3</w:t>
      </w:r>
      <w:r w:rsidRPr="001E29B5">
        <w:rPr>
          <w:rFonts w:ascii="Book Antiqua" w:hAnsi="Book Antiqua"/>
          <w:sz w:val="24"/>
          <w:szCs w:val="24"/>
        </w:rPr>
        <w:t xml:space="preserve"> for single 4400J and 0.12-2.65 cm</w:t>
      </w:r>
      <w:r w:rsidRPr="001E29B5">
        <w:rPr>
          <w:rFonts w:ascii="Book Antiqua" w:hAnsi="Book Antiqua"/>
          <w:sz w:val="24"/>
          <w:szCs w:val="24"/>
          <w:vertAlign w:val="superscript"/>
        </w:rPr>
        <w:t>3</w:t>
      </w:r>
      <w:r w:rsidRPr="001E29B5">
        <w:rPr>
          <w:rFonts w:ascii="Book Antiqua" w:hAnsi="Book Antiqua"/>
          <w:sz w:val="24"/>
          <w:szCs w:val="24"/>
        </w:rPr>
        <w:t xml:space="preserve"> for double 4400J). The ablated volumes on 3000J and 4400J double sonication were significantly larger than single (</w:t>
      </w:r>
      <w:r w:rsidRPr="001E29B5">
        <w:rPr>
          <w:rFonts w:ascii="Book Antiqua" w:hAnsi="Book Antiqua"/>
          <w:i/>
          <w:sz w:val="24"/>
          <w:szCs w:val="24"/>
        </w:rPr>
        <w:t>P</w:t>
      </w:r>
      <w:r w:rsidRPr="001E29B5">
        <w:rPr>
          <w:rFonts w:ascii="Book Antiqua" w:hAnsi="Book Antiqua"/>
          <w:i/>
          <w:sz w:val="24"/>
          <w:szCs w:val="24"/>
          <w:lang w:eastAsia="zh-CN"/>
        </w:rPr>
        <w:t xml:space="preserve"> </w:t>
      </w:r>
      <w:r w:rsidRPr="001E29B5">
        <w:rPr>
          <w:rFonts w:ascii="Book Antiqua" w:hAnsi="Book Antiqua"/>
          <w:sz w:val="24"/>
          <w:szCs w:val="24"/>
        </w:rPr>
        <w:t>&lt;</w:t>
      </w:r>
      <w:r w:rsidRPr="001E29B5">
        <w:rPr>
          <w:rFonts w:ascii="Book Antiqua" w:hAnsi="Book Antiqua"/>
          <w:sz w:val="24"/>
          <w:szCs w:val="24"/>
          <w:lang w:eastAsia="zh-CN"/>
        </w:rPr>
        <w:t xml:space="preserve"> </w:t>
      </w:r>
      <w:r w:rsidRPr="001E29B5">
        <w:rPr>
          <w:rFonts w:ascii="Book Antiqua" w:hAnsi="Book Antiqua"/>
          <w:sz w:val="24"/>
          <w:szCs w:val="24"/>
        </w:rPr>
        <w:t>0.01). The ablated volumes on 4400J double sonication were significantly larger than 3000J double sonication (</w:t>
      </w:r>
      <w:r w:rsidRPr="001E29B5">
        <w:rPr>
          <w:rFonts w:ascii="Book Antiqua" w:hAnsi="Book Antiqua"/>
          <w:i/>
          <w:sz w:val="24"/>
          <w:szCs w:val="24"/>
        </w:rPr>
        <w:t>P</w:t>
      </w:r>
      <w:r w:rsidRPr="001E29B5">
        <w:rPr>
          <w:rFonts w:ascii="Book Antiqua" w:hAnsi="Book Antiqua"/>
          <w:i/>
          <w:sz w:val="24"/>
          <w:szCs w:val="24"/>
          <w:lang w:eastAsia="zh-CN"/>
        </w:rPr>
        <w:t xml:space="preserve"> </w:t>
      </w:r>
      <w:r w:rsidRPr="001E29B5">
        <w:rPr>
          <w:rFonts w:ascii="Book Antiqua" w:hAnsi="Book Antiqua"/>
          <w:sz w:val="24"/>
          <w:szCs w:val="24"/>
        </w:rPr>
        <w:t>&lt;</w:t>
      </w:r>
      <w:r w:rsidRPr="001E29B5">
        <w:rPr>
          <w:rFonts w:ascii="Book Antiqua" w:hAnsi="Book Antiqua"/>
          <w:sz w:val="24"/>
          <w:szCs w:val="24"/>
          <w:lang w:eastAsia="zh-CN"/>
        </w:rPr>
        <w:t xml:space="preserve"> </w:t>
      </w:r>
      <w:r w:rsidRPr="001E29B5">
        <w:rPr>
          <w:rFonts w:ascii="Book Antiqua" w:hAnsi="Book Antiqua"/>
          <w:sz w:val="24"/>
          <w:szCs w:val="24"/>
        </w:rPr>
        <w:t>0.01).</w:t>
      </w:r>
    </w:p>
    <w:p w:rsidR="00E8308C" w:rsidRPr="001E29B5" w:rsidRDefault="00E8308C" w:rsidP="009863C8">
      <w:pPr>
        <w:spacing w:after="0" w:line="360" w:lineRule="auto"/>
        <w:ind w:firstLineChars="100" w:firstLine="240"/>
        <w:jc w:val="both"/>
        <w:rPr>
          <w:rFonts w:ascii="Book Antiqua" w:hAnsi="Book Antiqua"/>
          <w:sz w:val="24"/>
          <w:szCs w:val="24"/>
          <w:lang w:eastAsia="zh-CN"/>
        </w:rPr>
      </w:pPr>
      <w:r w:rsidRPr="001E29B5">
        <w:rPr>
          <w:rFonts w:ascii="Book Antiqua" w:hAnsi="Book Antiqua"/>
          <w:sz w:val="24"/>
          <w:szCs w:val="24"/>
        </w:rPr>
        <w:t xml:space="preserve">On CE T1-W MRI, the transverse and anterio-posterior dimensions were significantly larger on double sonication (3000J or 4400J) compared with single. Cranial-caudal dimension was significantly larger on double 4400J compared with all other energies and number of sonication. Single sonication of 3000J compared with 4400J produced no significant difference. Paired Student’s </w:t>
      </w:r>
      <w:r w:rsidRPr="001E29B5">
        <w:rPr>
          <w:rFonts w:ascii="Book Antiqua" w:hAnsi="Book Antiqua"/>
          <w:i/>
          <w:sz w:val="24"/>
          <w:szCs w:val="24"/>
        </w:rPr>
        <w:t>t</w:t>
      </w:r>
      <w:r w:rsidRPr="001E29B5">
        <w:rPr>
          <w:rFonts w:ascii="Book Antiqua" w:hAnsi="Book Antiqua"/>
          <w:sz w:val="24"/>
          <w:szCs w:val="24"/>
        </w:rPr>
        <w:t xml:space="preserve">-test revealed no significant difference in the lesion volumes measured </w:t>
      </w:r>
      <w:r w:rsidRPr="001E29B5">
        <w:rPr>
          <w:rFonts w:ascii="Book Antiqua" w:hAnsi="Book Antiqua"/>
          <w:i/>
          <w:sz w:val="24"/>
          <w:szCs w:val="24"/>
        </w:rPr>
        <w:t>in situ</w:t>
      </w:r>
      <w:r w:rsidRPr="001E29B5">
        <w:rPr>
          <w:rFonts w:ascii="Book Antiqua" w:hAnsi="Book Antiqua"/>
          <w:sz w:val="24"/>
          <w:szCs w:val="24"/>
        </w:rPr>
        <w:t xml:space="preserve"> on MRI and postmortem (Table 3).</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i/>
          <w:sz w:val="24"/>
          <w:szCs w:val="24"/>
        </w:rPr>
      </w:pPr>
      <w:r w:rsidRPr="001E29B5">
        <w:rPr>
          <w:rFonts w:ascii="Book Antiqua" w:hAnsi="Book Antiqua"/>
          <w:b/>
          <w:i/>
          <w:sz w:val="24"/>
          <w:szCs w:val="24"/>
        </w:rPr>
        <w:t>Histopathology characterization and quantification</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At postmortem, minor skin burns were observed in two animals and one in the adjacent intestine at double 4400J energy. During postmortem laparotomy no bleeding was found in the peritoneal cavity. In the kidneys, the ablated lesions and surrounding hemorrhage were visible by the naked eye (Fig</w:t>
      </w:r>
      <w:r w:rsidRPr="001E29B5">
        <w:rPr>
          <w:rFonts w:ascii="Book Antiqua" w:hAnsi="Book Antiqua"/>
          <w:sz w:val="24"/>
          <w:szCs w:val="24"/>
          <w:lang w:eastAsia="zh-CN"/>
        </w:rPr>
        <w:t>ure</w:t>
      </w:r>
      <w:r w:rsidRPr="001E29B5">
        <w:rPr>
          <w:rFonts w:ascii="Book Antiqua" w:hAnsi="Book Antiqua"/>
          <w:sz w:val="24"/>
          <w:szCs w:val="24"/>
        </w:rPr>
        <w:t xml:space="preserve"> 2). Renal axial slices showed predominantly wedged-shaped confluent necrotic renal parenchyma (pale) surrounded by hemorrhagic zone (dark red) (Fig</w:t>
      </w:r>
      <w:r w:rsidRPr="001E29B5">
        <w:rPr>
          <w:rFonts w:ascii="Book Antiqua" w:hAnsi="Book Antiqua"/>
          <w:sz w:val="24"/>
          <w:szCs w:val="24"/>
          <w:lang w:eastAsia="zh-CN"/>
        </w:rPr>
        <w:t>ure</w:t>
      </w:r>
      <w:r w:rsidRPr="001E29B5">
        <w:rPr>
          <w:rFonts w:ascii="Book Antiqua" w:hAnsi="Book Antiqua"/>
          <w:sz w:val="24"/>
          <w:szCs w:val="24"/>
        </w:rPr>
        <w:t xml:space="preserve"> 6).</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lastRenderedPageBreak/>
        <w:t>Quantitative analysis of the volumes of ablated parenchyma revealed significant difference between double sonication at 3000J and 4400J and single. Single 3000J and 4400J sonication caused no significant difference in the volumes of ablated parenchyma (Table 3). The data indicate that two overlapping sonication of 4400J are required to produce large lesions &gt;</w:t>
      </w:r>
      <w:r w:rsidRPr="001E29B5">
        <w:rPr>
          <w:rFonts w:ascii="Book Antiqua" w:hAnsi="Book Antiqua"/>
          <w:sz w:val="24"/>
          <w:szCs w:val="24"/>
          <w:lang w:eastAsia="zh-CN"/>
        </w:rPr>
        <w:t xml:space="preserve"> </w:t>
      </w:r>
      <w:r w:rsidRPr="001E29B5">
        <w:rPr>
          <w:rFonts w:ascii="Book Antiqua" w:hAnsi="Book Antiqua"/>
          <w:sz w:val="24"/>
          <w:szCs w:val="24"/>
        </w:rPr>
        <w:t>1.4 cm</w:t>
      </w:r>
      <w:r w:rsidRPr="001E29B5">
        <w:rPr>
          <w:rFonts w:ascii="Book Antiqua" w:hAnsi="Book Antiqua"/>
          <w:sz w:val="24"/>
          <w:szCs w:val="24"/>
          <w:vertAlign w:val="superscript"/>
        </w:rPr>
        <w:t>3</w:t>
      </w:r>
      <w:r w:rsidRPr="001E29B5">
        <w:rPr>
          <w:rFonts w:ascii="Book Antiqua" w:hAnsi="Book Antiqua"/>
          <w:sz w:val="24"/>
          <w:szCs w:val="24"/>
        </w:rPr>
        <w:t>. The lesion volumes within each energies varied between animals (0.23-0.52 cm</w:t>
      </w:r>
      <w:r w:rsidRPr="001E29B5">
        <w:rPr>
          <w:rFonts w:ascii="Book Antiqua" w:hAnsi="Book Antiqua"/>
          <w:sz w:val="24"/>
          <w:szCs w:val="24"/>
          <w:vertAlign w:val="superscript"/>
        </w:rPr>
        <w:t>3</w:t>
      </w:r>
      <w:r w:rsidRPr="001E29B5">
        <w:rPr>
          <w:rFonts w:ascii="Book Antiqua" w:hAnsi="Book Antiqua"/>
          <w:sz w:val="24"/>
          <w:szCs w:val="24"/>
        </w:rPr>
        <w:t xml:space="preserve"> for single sonication 3000J, 0.25-0.82 cm</w:t>
      </w:r>
      <w:r w:rsidRPr="001E29B5">
        <w:rPr>
          <w:rFonts w:ascii="Book Antiqua" w:hAnsi="Book Antiqua"/>
          <w:sz w:val="24"/>
          <w:szCs w:val="24"/>
          <w:vertAlign w:val="superscript"/>
        </w:rPr>
        <w:t>3</w:t>
      </w:r>
      <w:r w:rsidRPr="001E29B5">
        <w:rPr>
          <w:rFonts w:ascii="Book Antiqua" w:hAnsi="Book Antiqua"/>
          <w:sz w:val="24"/>
          <w:szCs w:val="24"/>
        </w:rPr>
        <w:t xml:space="preserve"> for double 3000J, 0.45-0.68 cm</w:t>
      </w:r>
      <w:r w:rsidRPr="001E29B5">
        <w:rPr>
          <w:rFonts w:ascii="Book Antiqua" w:hAnsi="Book Antiqua"/>
          <w:sz w:val="24"/>
          <w:szCs w:val="24"/>
          <w:vertAlign w:val="superscript"/>
        </w:rPr>
        <w:t>3</w:t>
      </w:r>
      <w:r w:rsidRPr="001E29B5">
        <w:rPr>
          <w:rFonts w:ascii="Book Antiqua" w:hAnsi="Book Antiqua"/>
          <w:sz w:val="24"/>
          <w:szCs w:val="24"/>
        </w:rPr>
        <w:t xml:space="preserve"> for single 4400J and 0.29-1.80 cm</w:t>
      </w:r>
      <w:r w:rsidRPr="001E29B5">
        <w:rPr>
          <w:rFonts w:ascii="Book Antiqua" w:hAnsi="Book Antiqua"/>
          <w:sz w:val="24"/>
          <w:szCs w:val="24"/>
          <w:vertAlign w:val="superscript"/>
        </w:rPr>
        <w:t>3</w:t>
      </w:r>
      <w:r w:rsidRPr="001E29B5">
        <w:rPr>
          <w:rFonts w:ascii="Book Antiqua" w:hAnsi="Book Antiqua"/>
          <w:sz w:val="24"/>
          <w:szCs w:val="24"/>
        </w:rPr>
        <w:t xml:space="preserve"> for double 4400J. Pearson’s test showed close correlation between </w:t>
      </w:r>
      <w:r w:rsidRPr="001E29B5">
        <w:rPr>
          <w:rFonts w:ascii="Book Antiqua" w:hAnsi="Book Antiqua"/>
          <w:i/>
          <w:sz w:val="24"/>
          <w:szCs w:val="24"/>
        </w:rPr>
        <w:t>in situ</w:t>
      </w:r>
      <w:r w:rsidRPr="001E29B5">
        <w:rPr>
          <w:rFonts w:ascii="Book Antiqua" w:hAnsi="Book Antiqua"/>
          <w:sz w:val="24"/>
          <w:szCs w:val="24"/>
        </w:rPr>
        <w:t xml:space="preserve"> MRI and postmortem analysis of ablated parenchyma (r =</w:t>
      </w:r>
      <w:r w:rsidRPr="001E29B5">
        <w:rPr>
          <w:rFonts w:ascii="Book Antiqua" w:hAnsi="Book Antiqua"/>
          <w:sz w:val="24"/>
          <w:szCs w:val="24"/>
          <w:lang w:eastAsia="zh-CN"/>
        </w:rPr>
        <w:t xml:space="preserve"> </w:t>
      </w:r>
      <w:r w:rsidRPr="001E29B5">
        <w:rPr>
          <w:rFonts w:ascii="Book Antiqua" w:hAnsi="Book Antiqua"/>
          <w:sz w:val="24"/>
          <w:szCs w:val="24"/>
        </w:rPr>
        <w:t>0.98, y = -0.19</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 xml:space="preserve">0.13x, </w:t>
      </w:r>
      <w:r w:rsidRPr="001E29B5">
        <w:rPr>
          <w:rFonts w:ascii="Book Antiqua" w:hAnsi="Book Antiqua"/>
          <w:i/>
          <w:sz w:val="24"/>
          <w:szCs w:val="24"/>
        </w:rPr>
        <w:t>P</w:t>
      </w:r>
      <w:r w:rsidRPr="001E29B5">
        <w:rPr>
          <w:rFonts w:ascii="Book Antiqua" w:hAnsi="Book Antiqua"/>
          <w:i/>
          <w:sz w:val="24"/>
          <w:szCs w:val="24"/>
          <w:lang w:eastAsia="zh-CN"/>
        </w:rPr>
        <w:t xml:space="preserve"> </w:t>
      </w:r>
      <w:r w:rsidRPr="001E29B5">
        <w:rPr>
          <w:rFonts w:ascii="Book Antiqua" w:hAnsi="Book Antiqua"/>
          <w:sz w:val="24"/>
          <w:szCs w:val="24"/>
        </w:rPr>
        <w:t>&lt;</w:t>
      </w:r>
      <w:r w:rsidRPr="001E29B5">
        <w:rPr>
          <w:rFonts w:ascii="Book Antiqua" w:hAnsi="Book Antiqua"/>
          <w:sz w:val="24"/>
          <w:szCs w:val="24"/>
          <w:lang w:eastAsia="zh-CN"/>
        </w:rPr>
        <w:t xml:space="preserve"> </w:t>
      </w:r>
      <w:r w:rsidRPr="001E29B5">
        <w:rPr>
          <w:rFonts w:ascii="Book Antiqua" w:hAnsi="Book Antiqua"/>
          <w:sz w:val="24"/>
          <w:szCs w:val="24"/>
        </w:rPr>
        <w:t>0.001) (Fig</w:t>
      </w:r>
      <w:r w:rsidRPr="001E29B5">
        <w:rPr>
          <w:rFonts w:ascii="Book Antiqua" w:hAnsi="Book Antiqua"/>
          <w:sz w:val="24"/>
          <w:szCs w:val="24"/>
          <w:lang w:eastAsia="zh-CN"/>
        </w:rPr>
        <w:t>ure</w:t>
      </w:r>
      <w:r w:rsidRPr="001E29B5">
        <w:rPr>
          <w:rFonts w:ascii="Book Antiqua" w:hAnsi="Book Antiqua"/>
          <w:sz w:val="24"/>
          <w:szCs w:val="24"/>
        </w:rPr>
        <w:t xml:space="preserve"> 7).</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At the cellular level, ablated parenchyma showed necrotic cells in the core of the lesion, hemorrhage at the rim and vascular damage. The necrotic renal parenchyma was without nuclei, opaque and eosinophilic, due to the denaturation of proteins. Intracellular details were lost, which is typical of coagulation necrosis containing outlines of enucleated cells. No evidence of inflammation or peri-renal parenchyma injury was found (Fig</w:t>
      </w:r>
      <w:r w:rsidRPr="001E29B5">
        <w:rPr>
          <w:rFonts w:ascii="Book Antiqua" w:hAnsi="Book Antiqua"/>
          <w:sz w:val="24"/>
          <w:szCs w:val="24"/>
          <w:lang w:eastAsia="zh-CN"/>
        </w:rPr>
        <w:t>ure</w:t>
      </w:r>
      <w:r w:rsidRPr="001E29B5">
        <w:rPr>
          <w:rFonts w:ascii="Book Antiqua" w:hAnsi="Book Antiqua"/>
          <w:sz w:val="24"/>
          <w:szCs w:val="24"/>
        </w:rPr>
        <w:t xml:space="preserve"> 8).</w:t>
      </w: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tabs>
          <w:tab w:val="left" w:pos="1995"/>
        </w:tabs>
        <w:adjustRightInd w:val="0"/>
        <w:snapToGrid w:val="0"/>
        <w:spacing w:after="0" w:line="360" w:lineRule="auto"/>
        <w:jc w:val="both"/>
        <w:outlineLvl w:val="0"/>
        <w:rPr>
          <w:rFonts w:ascii="Book Antiqua" w:hAnsi="Book Antiqua"/>
          <w:sz w:val="24"/>
          <w:szCs w:val="24"/>
        </w:rPr>
      </w:pPr>
      <w:r w:rsidRPr="001E29B5">
        <w:rPr>
          <w:rFonts w:ascii="Book Antiqua" w:hAnsi="Book Antiqua"/>
          <w:b/>
          <w:sz w:val="24"/>
          <w:szCs w:val="24"/>
        </w:rPr>
        <w:t>DISCUSSION</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 xml:space="preserve">The major findings are that </w:t>
      </w:r>
      <w:r w:rsidRPr="001E29B5">
        <w:rPr>
          <w:rFonts w:ascii="Book Antiqua" w:hAnsi="Book Antiqua"/>
          <w:sz w:val="24"/>
          <w:szCs w:val="24"/>
          <w:lang w:eastAsia="zh-CN"/>
        </w:rPr>
        <w:t>(</w:t>
      </w:r>
      <w:r w:rsidRPr="001E29B5">
        <w:rPr>
          <w:rFonts w:ascii="Book Antiqua" w:hAnsi="Book Antiqua"/>
          <w:sz w:val="24"/>
          <w:szCs w:val="24"/>
        </w:rPr>
        <w:t>1) noninvasive MRI provided an instant sense of temperature elevation and quantification of renal ablated lesions demonstrated by focal perfusion deficits and necrosis in order to monitor the effects of a range of energies on MRg-HIFU</w:t>
      </w:r>
      <w:r w:rsidRPr="001E29B5">
        <w:rPr>
          <w:rFonts w:ascii="Book Antiqua" w:hAnsi="Book Antiqua"/>
          <w:sz w:val="24"/>
          <w:szCs w:val="24"/>
          <w:lang w:eastAsia="zh-CN"/>
        </w:rPr>
        <w:t>;</w:t>
      </w:r>
      <w:r w:rsidRPr="001E29B5">
        <w:rPr>
          <w:rFonts w:ascii="Book Antiqua" w:hAnsi="Book Antiqua"/>
          <w:sz w:val="24"/>
          <w:szCs w:val="24"/>
        </w:rPr>
        <w:t xml:space="preserve"> </w:t>
      </w:r>
      <w:r w:rsidRPr="001E29B5">
        <w:rPr>
          <w:rFonts w:ascii="Book Antiqua" w:hAnsi="Book Antiqua"/>
          <w:sz w:val="24"/>
          <w:szCs w:val="24"/>
          <w:lang w:eastAsia="zh-CN"/>
        </w:rPr>
        <w:t>(</w:t>
      </w:r>
      <w:r w:rsidRPr="001E29B5">
        <w:rPr>
          <w:rFonts w:ascii="Book Antiqua" w:hAnsi="Book Antiqua"/>
          <w:sz w:val="24"/>
          <w:szCs w:val="24"/>
        </w:rPr>
        <w:t>2) volumes of renal damage on MRg-HIFU are energy (Joules) dependent</w:t>
      </w:r>
      <w:r w:rsidRPr="001E29B5">
        <w:rPr>
          <w:rFonts w:ascii="Book Antiqua" w:hAnsi="Book Antiqua"/>
          <w:sz w:val="24"/>
          <w:szCs w:val="24"/>
          <w:lang w:eastAsia="zh-CN"/>
        </w:rPr>
        <w:t>;</w:t>
      </w:r>
      <w:r w:rsidRPr="001E29B5">
        <w:rPr>
          <w:rFonts w:ascii="Book Antiqua" w:hAnsi="Book Antiqua"/>
          <w:sz w:val="24"/>
          <w:szCs w:val="24"/>
        </w:rPr>
        <w:t xml:space="preserve"> </w:t>
      </w:r>
      <w:r w:rsidRPr="001E29B5">
        <w:rPr>
          <w:rFonts w:ascii="Book Antiqua" w:hAnsi="Book Antiqua"/>
          <w:sz w:val="24"/>
          <w:szCs w:val="24"/>
          <w:lang w:eastAsia="zh-CN"/>
        </w:rPr>
        <w:t>(</w:t>
      </w:r>
      <w:r w:rsidRPr="001E29B5">
        <w:rPr>
          <w:rFonts w:ascii="Book Antiqua" w:hAnsi="Book Antiqua"/>
          <w:sz w:val="24"/>
          <w:szCs w:val="24"/>
        </w:rPr>
        <w:t xml:space="preserve">3) lesion volumes measured </w:t>
      </w:r>
      <w:r w:rsidRPr="001E29B5">
        <w:rPr>
          <w:rFonts w:ascii="Book Antiqua" w:hAnsi="Book Antiqua"/>
          <w:i/>
          <w:sz w:val="24"/>
          <w:szCs w:val="24"/>
        </w:rPr>
        <w:t>in situ</w:t>
      </w:r>
      <w:r w:rsidRPr="001E29B5">
        <w:rPr>
          <w:rFonts w:ascii="Book Antiqua" w:hAnsi="Book Antiqua"/>
          <w:sz w:val="24"/>
          <w:szCs w:val="24"/>
        </w:rPr>
        <w:t xml:space="preserve"> on MRI and postmortem specimens showed good correlation, despite the difference in the methods of measurement</w:t>
      </w:r>
      <w:r w:rsidRPr="001E29B5">
        <w:rPr>
          <w:rFonts w:ascii="Book Antiqua" w:hAnsi="Book Antiqua"/>
          <w:sz w:val="24"/>
          <w:szCs w:val="24"/>
          <w:lang w:eastAsia="zh-CN"/>
        </w:rPr>
        <w:t>;</w:t>
      </w:r>
      <w:r w:rsidRPr="001E29B5">
        <w:rPr>
          <w:rFonts w:ascii="Book Antiqua" w:hAnsi="Book Antiqua"/>
          <w:sz w:val="24"/>
          <w:szCs w:val="24"/>
        </w:rPr>
        <w:t xml:space="preserve"> and </w:t>
      </w:r>
      <w:r w:rsidRPr="001E29B5">
        <w:rPr>
          <w:rFonts w:ascii="Book Antiqua" w:hAnsi="Book Antiqua"/>
          <w:sz w:val="24"/>
          <w:szCs w:val="24"/>
          <w:lang w:eastAsia="zh-CN"/>
        </w:rPr>
        <w:t>(</w:t>
      </w:r>
      <w:r w:rsidRPr="001E29B5">
        <w:rPr>
          <w:rFonts w:ascii="Book Antiqua" w:hAnsi="Book Antiqua"/>
          <w:sz w:val="24"/>
          <w:szCs w:val="24"/>
        </w:rPr>
        <w:t>4) macroscopic examination confirmed lesion location and wedged-shape necrosis, while microscopic examination revealed coagulation necrosis, microvascular damage and hemorrhage in the ablated target.</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We found that the best contrast between the ablated lesion and normal renal parenchyma is on perfusion, CE 2D T1-W FSE and CE 3D LAVA in a clinically feasible scan time. Although T2-W FSE provides better anatomical information within the kidney, the contrast between the lesion and normal renal parenchyma was poor on T2-</w:t>
      </w:r>
      <w:r w:rsidRPr="001E29B5">
        <w:rPr>
          <w:rFonts w:ascii="Book Antiqua" w:hAnsi="Book Antiqua"/>
          <w:sz w:val="24"/>
          <w:szCs w:val="24"/>
        </w:rPr>
        <w:lastRenderedPageBreak/>
        <w:t>W and non-enhanced T1-W images (1.02</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0.02 and 1.03</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0.01, respectively). The capsules were not visible on T2-W MRI to determine the degree of damage because of the use of fat saturation sequence, but microscopy confirmed the lack of damage in peri-renal renal parenchyma (Fig</w:t>
      </w:r>
      <w:r w:rsidRPr="001E29B5">
        <w:rPr>
          <w:rFonts w:ascii="Book Antiqua" w:hAnsi="Book Antiqua"/>
          <w:sz w:val="24"/>
          <w:szCs w:val="24"/>
          <w:lang w:eastAsia="zh-CN"/>
        </w:rPr>
        <w:t>ure</w:t>
      </w:r>
      <w:r w:rsidRPr="001E29B5">
        <w:rPr>
          <w:rFonts w:ascii="Book Antiqua" w:hAnsi="Book Antiqua"/>
          <w:sz w:val="24"/>
          <w:szCs w:val="24"/>
        </w:rPr>
        <w:t xml:space="preserve"> 8). Wile </w:t>
      </w:r>
      <w:r w:rsidRPr="001E29B5">
        <w:rPr>
          <w:rFonts w:ascii="Book Antiqua" w:hAnsi="Book Antiqua"/>
          <w:i/>
          <w:sz w:val="24"/>
          <w:szCs w:val="24"/>
        </w:rPr>
        <w:t>et al</w:t>
      </w:r>
      <w:r w:rsidRPr="001E29B5">
        <w:rPr>
          <w:rFonts w:ascii="Book Antiqua" w:hAnsi="Book Antiqua"/>
          <w:sz w:val="24"/>
          <w:szCs w:val="24"/>
          <w:vertAlign w:val="superscript"/>
        </w:rPr>
        <w:t>[22]</w:t>
      </w:r>
      <w:r w:rsidRPr="001E29B5">
        <w:rPr>
          <w:rFonts w:ascii="Book Antiqua" w:hAnsi="Book Antiqua"/>
          <w:sz w:val="24"/>
          <w:szCs w:val="24"/>
        </w:rPr>
        <w:t xml:space="preserve"> found that the ablated lesions become difficult to visualize on fat-suppressed T2-W, since the lesion is isointense relative to surrounding suppressed fat.</w:t>
      </w:r>
    </w:p>
    <w:p w:rsidR="00E8308C" w:rsidRPr="001E29B5" w:rsidRDefault="00E8308C" w:rsidP="009863C8">
      <w:pPr>
        <w:spacing w:after="0" w:line="360" w:lineRule="auto"/>
        <w:ind w:firstLineChars="100" w:firstLine="240"/>
        <w:jc w:val="both"/>
        <w:rPr>
          <w:rFonts w:ascii="Book Antiqua" w:hAnsi="Book Antiqua"/>
          <w:sz w:val="24"/>
          <w:szCs w:val="24"/>
          <w:vertAlign w:val="superscript"/>
        </w:rPr>
      </w:pPr>
      <w:r w:rsidRPr="001E29B5">
        <w:rPr>
          <w:rFonts w:ascii="Book Antiqua" w:hAnsi="Book Antiqua"/>
          <w:sz w:val="24"/>
          <w:szCs w:val="24"/>
        </w:rPr>
        <w:t>MRI and computed tomography (CT) play important roles in guiding renal tumor ablation</w:t>
      </w:r>
      <w:r w:rsidRPr="001E29B5">
        <w:rPr>
          <w:rFonts w:ascii="Book Antiqua" w:hAnsi="Book Antiqua"/>
          <w:sz w:val="24"/>
          <w:szCs w:val="24"/>
          <w:vertAlign w:val="superscript"/>
        </w:rPr>
        <w:t>[22]</w:t>
      </w:r>
      <w:r w:rsidRPr="001E29B5">
        <w:rPr>
          <w:rFonts w:ascii="Book Antiqua" w:hAnsi="Book Antiqua"/>
          <w:sz w:val="24"/>
          <w:szCs w:val="24"/>
        </w:rPr>
        <w:t>. However, CE CT was limited in detecting post-ablation (12 mo) lesions. Furthermore, given the need for ionizing radiation on CT, multiple ablation procedures and follow-up imaging, it is likely that MRI will assume an increased role in longitudinal monitoring after renal ablation</w:t>
      </w:r>
      <w:r w:rsidRPr="001E29B5">
        <w:rPr>
          <w:rFonts w:ascii="Book Antiqua" w:hAnsi="Book Antiqua"/>
          <w:sz w:val="24"/>
          <w:szCs w:val="24"/>
          <w:vertAlign w:val="superscript"/>
        </w:rPr>
        <w:t>[23]</w:t>
      </w:r>
      <w:r w:rsidRPr="001E29B5">
        <w:rPr>
          <w:rFonts w:ascii="Book Antiqua" w:hAnsi="Book Antiqua"/>
          <w:sz w:val="24"/>
          <w:szCs w:val="24"/>
        </w:rPr>
        <w:t>. The 3T MR-guided system satisfies the requirements of HIFU ablation by providing temperature mapping, high spatial resolution images of target soft tissues and perfusion data. It also provides better features, such as twice the SNR/CNR and uniform fat suppression compared with 1.5T system</w:t>
      </w:r>
      <w:r w:rsidRPr="001E29B5">
        <w:rPr>
          <w:rFonts w:ascii="Book Antiqua" w:hAnsi="Book Antiqua"/>
          <w:sz w:val="24"/>
          <w:szCs w:val="24"/>
          <w:vertAlign w:val="superscript"/>
        </w:rPr>
        <w:t>[24]</w:t>
      </w:r>
      <w:r w:rsidRPr="001E29B5">
        <w:rPr>
          <w:rFonts w:ascii="Book Antiqua" w:hAnsi="Book Antiqua"/>
          <w:sz w:val="24"/>
          <w:szCs w:val="24"/>
        </w:rPr>
        <w:t>.</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This noninvasive study used a 3T MR-guided HIFU and energies (Joules, InSightec) as units of ablation rather than power (Watts, Philips Systems) used in previous studies</w:t>
      </w:r>
      <w:r w:rsidRPr="001E29B5">
        <w:rPr>
          <w:rFonts w:ascii="Book Antiqua" w:hAnsi="Book Antiqua"/>
          <w:sz w:val="24"/>
          <w:szCs w:val="24"/>
          <w:vertAlign w:val="superscript"/>
        </w:rPr>
        <w:t>[25,26]</w:t>
      </w:r>
      <w:r w:rsidRPr="001E29B5">
        <w:rPr>
          <w:rFonts w:ascii="Book Antiqua" w:hAnsi="Book Antiqua"/>
          <w:sz w:val="24"/>
          <w:szCs w:val="24"/>
        </w:rPr>
        <w:t>. Recent experimental studies showed the effectiveness of both power (Watts) and energy (Joules) units in ablating tissues</w:t>
      </w:r>
      <w:r w:rsidRPr="001E29B5">
        <w:rPr>
          <w:rFonts w:ascii="Book Antiqua" w:hAnsi="Book Antiqua"/>
          <w:sz w:val="24"/>
          <w:szCs w:val="24"/>
          <w:vertAlign w:val="superscript"/>
        </w:rPr>
        <w:t>[20,21,25-27]</w:t>
      </w:r>
      <w:r w:rsidRPr="001E29B5">
        <w:rPr>
          <w:rFonts w:ascii="Book Antiqua" w:hAnsi="Book Antiqua"/>
          <w:sz w:val="24"/>
          <w:szCs w:val="24"/>
        </w:rPr>
        <w:t>. The relationship between energy dose and lesion depth must be considered</w:t>
      </w:r>
      <w:r w:rsidRPr="001E29B5">
        <w:rPr>
          <w:rFonts w:ascii="Book Antiqua" w:hAnsi="Book Antiqua"/>
          <w:sz w:val="24"/>
          <w:szCs w:val="24"/>
          <w:vertAlign w:val="superscript"/>
        </w:rPr>
        <w:t>[20,21]</w:t>
      </w:r>
      <w:r w:rsidRPr="001E29B5">
        <w:rPr>
          <w:rFonts w:ascii="Book Antiqua" w:hAnsi="Book Antiqua"/>
          <w:sz w:val="24"/>
          <w:szCs w:val="24"/>
        </w:rPr>
        <w:t>, especially in deep-seated tumors, because this relation depends on the type/density/size of targets and</w:t>
      </w:r>
      <w:r w:rsidRPr="001E29B5">
        <w:rPr>
          <w:rFonts w:ascii="Book Antiqua" w:hAnsi="Book Antiqua"/>
          <w:sz w:val="24"/>
          <w:szCs w:val="24"/>
          <w:lang w:eastAsia="zh-CN"/>
        </w:rPr>
        <w:t xml:space="preserve"> </w:t>
      </w:r>
      <w:r w:rsidRPr="001E29B5">
        <w:rPr>
          <w:rFonts w:ascii="Book Antiqua" w:hAnsi="Book Antiqua"/>
          <w:sz w:val="24"/>
          <w:szCs w:val="24"/>
        </w:rPr>
        <w:t>microenvironment factors, such as vascularity/perfusion. Other biologic factors, such as different organs or pathologies with variable structures and perfusions, may dictate the variable with greater utility in generating thermal lesions, thus further comparative studies are necessary.</w:t>
      </w:r>
    </w:p>
    <w:p w:rsidR="00E8308C" w:rsidRPr="001E29B5" w:rsidRDefault="00E8308C" w:rsidP="009863C8">
      <w:pPr>
        <w:spacing w:after="0" w:line="360" w:lineRule="auto"/>
        <w:ind w:firstLineChars="100" w:firstLine="240"/>
        <w:jc w:val="both"/>
        <w:rPr>
          <w:rFonts w:ascii="Book Antiqua" w:hAnsi="Book Antiqua"/>
          <w:sz w:val="24"/>
          <w:szCs w:val="24"/>
          <w:lang w:eastAsia="zh-CN"/>
        </w:rPr>
      </w:pPr>
      <w:r w:rsidRPr="001E29B5">
        <w:rPr>
          <w:rFonts w:ascii="Book Antiqua" w:hAnsi="Book Antiqua"/>
          <w:sz w:val="24"/>
          <w:szCs w:val="24"/>
        </w:rPr>
        <w:t xml:space="preserve">Our histological study indicated that not only renal parenchyma showed coagulation necrosis but also vessels were severely damaged by HIFU treatment. The damaged vessels with coagulated blood most likely played a critical role in abolishing blood perfusion. Wu </w:t>
      </w:r>
      <w:r w:rsidRPr="001E29B5">
        <w:rPr>
          <w:rFonts w:ascii="Book Antiqua" w:hAnsi="Book Antiqua"/>
          <w:i/>
          <w:sz w:val="24"/>
          <w:szCs w:val="24"/>
        </w:rPr>
        <w:t>et al</w:t>
      </w:r>
      <w:r w:rsidRPr="001E29B5">
        <w:rPr>
          <w:rFonts w:ascii="Book Antiqua" w:hAnsi="Book Antiqua"/>
          <w:sz w:val="24"/>
          <w:szCs w:val="24"/>
          <w:vertAlign w:val="superscript"/>
        </w:rPr>
        <w:t>[28]</w:t>
      </w:r>
      <w:r w:rsidRPr="001E29B5">
        <w:rPr>
          <w:rFonts w:ascii="Book Antiqua" w:hAnsi="Book Antiqua"/>
          <w:sz w:val="24"/>
          <w:szCs w:val="24"/>
        </w:rPr>
        <w:t xml:space="preserve"> suggested that the cause of perfusion deficits after MR-HIFU </w:t>
      </w:r>
      <w:r w:rsidRPr="001E29B5">
        <w:rPr>
          <w:rFonts w:ascii="Book Antiqua" w:hAnsi="Book Antiqua"/>
          <w:sz w:val="24"/>
          <w:szCs w:val="24"/>
        </w:rPr>
        <w:lastRenderedPageBreak/>
        <w:t xml:space="preserve">ablation is vascular damage, while Shaw </w:t>
      </w:r>
      <w:r w:rsidRPr="001E29B5">
        <w:rPr>
          <w:rFonts w:ascii="Book Antiqua" w:hAnsi="Book Antiqua"/>
          <w:i/>
          <w:sz w:val="24"/>
          <w:szCs w:val="24"/>
        </w:rPr>
        <w:t>et al</w:t>
      </w:r>
      <w:r w:rsidRPr="001E29B5">
        <w:rPr>
          <w:rFonts w:ascii="Book Antiqua" w:hAnsi="Book Antiqua"/>
          <w:sz w:val="24"/>
          <w:szCs w:val="24"/>
          <w:vertAlign w:val="superscript"/>
        </w:rPr>
        <w:t>[29]</w:t>
      </w:r>
      <w:r w:rsidRPr="001E29B5">
        <w:rPr>
          <w:rFonts w:ascii="Book Antiqua" w:hAnsi="Book Antiqua"/>
          <w:sz w:val="24"/>
          <w:szCs w:val="24"/>
        </w:rPr>
        <w:t xml:space="preserve"> presented an integrated multi-stage mechanism through which HIFU-mediated vascular occlusion could occur. </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b/>
          <w:i/>
          <w:sz w:val="24"/>
          <w:szCs w:val="24"/>
        </w:rPr>
      </w:pPr>
      <w:r w:rsidRPr="001E29B5">
        <w:rPr>
          <w:rFonts w:ascii="Book Antiqua" w:hAnsi="Book Antiqua"/>
          <w:b/>
          <w:i/>
          <w:sz w:val="24"/>
          <w:szCs w:val="24"/>
        </w:rPr>
        <w:t>Study limitations</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 xml:space="preserve">The main limitations of this feasibility study were: </w:t>
      </w:r>
      <w:r w:rsidRPr="001E29B5">
        <w:rPr>
          <w:rFonts w:ascii="Book Antiqua" w:hAnsi="Book Antiqua"/>
          <w:sz w:val="24"/>
          <w:szCs w:val="24"/>
          <w:lang w:eastAsia="zh-CN"/>
        </w:rPr>
        <w:t>(</w:t>
      </w:r>
      <w:r w:rsidRPr="001E29B5">
        <w:rPr>
          <w:rFonts w:ascii="Book Antiqua" w:hAnsi="Book Antiqua"/>
          <w:sz w:val="24"/>
          <w:szCs w:val="24"/>
        </w:rPr>
        <w:t xml:space="preserve">1) the use of non-tumor kidney model to determine the suitable energies, frequency and duration, which may have different acoustic response from the microenvironment of renal cell carcinoma tissue; </w:t>
      </w:r>
      <w:r w:rsidRPr="001E29B5">
        <w:rPr>
          <w:rFonts w:ascii="Book Antiqua" w:hAnsi="Book Antiqua"/>
          <w:sz w:val="24"/>
          <w:szCs w:val="24"/>
          <w:lang w:eastAsia="zh-CN"/>
        </w:rPr>
        <w:t>(</w:t>
      </w:r>
      <w:r w:rsidRPr="001E29B5">
        <w:rPr>
          <w:rFonts w:ascii="Book Antiqua" w:hAnsi="Book Antiqua"/>
          <w:sz w:val="24"/>
          <w:szCs w:val="24"/>
        </w:rPr>
        <w:t>2) the renal motion related to the breathing was not navigated, but minimized by a muscle relaxant and breath holding during sonication. The effects of respiratory motion, boney obstacles and/or shallow angle of focused spots on the variability of ablated volumes and depth cannot be excluded</w:t>
      </w:r>
      <w:r w:rsidRPr="001E29B5">
        <w:rPr>
          <w:rFonts w:ascii="Book Antiqua" w:hAnsi="Book Antiqua"/>
          <w:sz w:val="24"/>
          <w:szCs w:val="24"/>
          <w:lang w:eastAsia="zh-CN"/>
        </w:rPr>
        <w:t>;</w:t>
      </w:r>
      <w:r w:rsidRPr="001E29B5">
        <w:rPr>
          <w:rFonts w:ascii="Book Antiqua" w:hAnsi="Book Antiqua"/>
          <w:sz w:val="24"/>
          <w:szCs w:val="24"/>
        </w:rPr>
        <w:t xml:space="preserve"> and </w:t>
      </w:r>
      <w:r w:rsidRPr="001E29B5">
        <w:rPr>
          <w:rFonts w:ascii="Book Antiqua" w:hAnsi="Book Antiqua"/>
          <w:sz w:val="24"/>
          <w:szCs w:val="24"/>
          <w:lang w:eastAsia="zh-CN"/>
        </w:rPr>
        <w:t>(</w:t>
      </w:r>
      <w:r w:rsidRPr="001E29B5">
        <w:rPr>
          <w:rFonts w:ascii="Book Antiqua" w:hAnsi="Book Antiqua"/>
          <w:sz w:val="24"/>
          <w:szCs w:val="24"/>
        </w:rPr>
        <w:t>3) the used energy for the kidneys caused minor collateral damage in the skin, subcutaneous muscles and intestine in two animals. Similar cutaneous and subcutaneous tissue burning was previously observed in patients</w:t>
      </w:r>
      <w:r w:rsidRPr="001E29B5">
        <w:rPr>
          <w:rFonts w:ascii="Book Antiqua" w:hAnsi="Book Antiqua"/>
          <w:sz w:val="24"/>
          <w:szCs w:val="24"/>
          <w:vertAlign w:val="superscript"/>
        </w:rPr>
        <w:fldChar w:fldCharType="begin">
          <w:fldData xml:space="preserve">PEVuZE5vdGU+PENpdGU+PEF1dGhvcj5UcnVtbTwvQXV0aG9yPjxZZWFyPjIwMTM8L1llYXI+PFJl
Y051bT4xOTk2MDwvUmVjTnVtPjxEaXNwbGF5VGV4dD4oOSk8L0Rpc3BsYXlUZXh0PjxyZWNvcmQ+
PHJlYy1udW1iZXI+MTk5NjA8L3JlYy1udW1iZXI+PGZvcmVpZ24ta2V5cz48a2V5IGFwcD0iRU4i
IGRiLWlkPSJhd2Z4MHQyZWxzZWU5YmVmZndvcHB4eHNlNXAyeGVwcGRwdmYiPjE5OTYwPC9rZXk+
PC9mb3JlaWduLWtleXM+PHJlZi10eXBlIG5hbWU9IkpvdXJuYWwgQXJ0aWNsZSI+MTc8L3JlZi10
eXBlPjxjb250cmlidXRvcnM+PGF1dGhvcnM+PGF1dGhvcj5UcnVtbSwgQy4gRy48L2F1dGhvcj48
YXV0aG9yPlN0YWhsLCBSLjwvYXV0aG9yPjxhdXRob3I+Q2xldmVydCwgRC4gQS48L2F1dGhvcj48
YXV0aG9yPkhlcnpvZywgUC48L2F1dGhvcj48YXV0aG9yPk1pbmRqdWssIEkuPC9hdXRob3I+PGF1
dGhvcj5Lb3JucHJvYnN0LCBTLjwvYXV0aG9yPjxhdXRob3I+U2Nod2FyeiwgQy48L2F1dGhvcj48
YXV0aG9yPkhvZmZtYW5uLCBSLiBULjwvYXV0aG9yPjxhdXRob3I+UmVpc2VyLCBNLiBGLjwvYXV0
aG9yPjxhdXRob3I+TWF0emtvLCBNLjwvYXV0aG9yPjwvYXV0aG9ycz48L2NvbnRyaWJ1dG9ycz48
YXV0aC1hZGRyZXNzPkRlcGFydG1lbnQgb2YgQ2xpbmljYWwgUmFkaW9sb2d5LCBLbGluaWt1bSBk
ZXIgTHVkd2lnLU1heGltaWxpYW5zLVVuaXZlcnNpdGF0IE11bmNoZW4tR3Jvc3NoYWRlcm4sIE11
bmNoZW4sIEdlcm1hbnkuIGNocmlzdG9waC50cnVtbUBtZWQubG11LmRlPC9hdXRoLWFkZHJlc3M+
PHRpdGxlcz48dGl0bGU+TWFnbmV0aWMgcmVzb25hbmNlIGltYWdpbmctZ3VpZGVkIGZvY3VzZWQg
dWx0cmFzb3VuZCB0cmVhdG1lbnQgb2Ygc3ltcHRvbWF0aWMgdXRlcmluZSBmaWJyb2lkczogaW1w
YWN0IG9mIHRlY2hub2xvZ3kgYWR2YW5jZW1lbnQgb24gYWJsYXRpb24gdm9sdW1lcyBpbiAxMTUg
cGF0aWVudHM8L3RpdGxlPjxzZWNvbmRhcnktdGl0bGU+SW52ZXN0IFJhZGlvbDwvc2Vjb25kYXJ5
LXRpdGxlPjxhbHQtdGl0bGU+SW52ZXN0aWdhdGl2ZSByYWRpb2xvZ3k8L2FsdC10aXRsZT48L3Rp
dGxlcz48cGFnZXM+MzU5LTY1PC9wYWdlcz48dm9sdW1lPjQ4PC92b2x1bWU+PG51bWJlcj42PC9u
dW1iZXI+PGtleXdvcmRzPjxrZXl3b3JkPkFkdWx0PC9rZXl3b3JkPjxrZXl3b3JkPkZlbWFsZTwv
a2V5d29yZD48a2V5d29yZD5HZXJtYW55L2VwaWRlbWlvbG9neTwva2V5d29yZD48a2V5d29yZD5I
aWdoLUludGVuc2l0eSBGb2N1c2VkIFVsdHJhc291bmQgQWJsYXRpb24vKnN0YXRpc3RpY3MgJmFt
cDsgbnVtZXJpY2FsIGRhdGE8L2tleXdvcmQ+PGtleXdvcmQ+SHVtYW5zPC9rZXl3b3JkPjxrZXl3
b3JkPkludmVudGlvbnMvc3RhdGlzdGljcyAmYW1wOyBudW1lcmljYWwgZGF0YTwva2V5d29yZD48
a2V5d29yZD5MZWlvbXlvbWEvZXBpZGVtaW9sb2d5LypwYXRob2xvZ3kvKnN1cmdlcnk8L2tleXdv
cmQ+PGtleXdvcmQ+TWFnbmV0aWMgUmVzb25hbmNlIEltYWdpbmcvKnN0YXRpc3RpY3MgJmFtcDsg
bnVtZXJpY2FsIGRhdGE8L2tleXdvcmQ+PGtleXdvcmQ+TWlkZGxlIEFnZWQ8L2tleXdvcmQ+PGtl
eXdvcmQ+UHJldmFsZW5jZTwva2V5d29yZD48a2V5d29yZD5SZXRyb3NwZWN0aXZlIFN0dWRpZXM8
L2tleXdvcmQ+PGtleXdvcmQ+U3VyZ2VyeSwgQ29tcHV0ZXItQXNzaXN0ZWQvKnN0YXRpc3RpY3Mg
JmFtcDsgbnVtZXJpY2FsIGRhdGE8L2tleXdvcmQ+PGtleXdvcmQ+VHJlYXRtZW50IE91dGNvbWU8
L2tleXdvcmQ+PGtleXdvcmQ+VHVtb3IgQnVyZGVuPC9rZXl3b3JkPjxrZXl3b3JkPlV0ZXJpbmUg
TmVvcGxhc21zL2VwaWRlbWlvbG9neS8qcGF0aG9sb2d5LypzdXJnZXJ5PC9rZXl3b3JkPjwva2V5
d29yZHM+PGRhdGVzPjx5ZWFyPjIwMTM8L3llYXI+PHB1Yi1kYXRlcz48ZGF0ZT5KdW48L2RhdGU+
PC9wdWItZGF0ZXM+PC9kYXRlcz48aXNibj4xNTM2LTAyMTAgKEVsZWN0cm9uaWMpJiN4RDswMDIw
LTk5OTYgKExpbmtpbmcpPC9pc2JuPjxhY2Nlc3Npb24tbnVtPjIzMzg1Mzk2PC9hY2Nlc3Npb24t
bnVtPjx1cmxzPjxyZWxhdGVkLXVybHM+PHVybD5odHRwOi8vd3d3Lm5jYmkubmxtLm5paC5nb3Yv
cHVibWVkLzIzMzg1Mzk2PC91cmw+PC9yZWxhdGVkLXVybHM+PC91cmxzPjxlbGVjdHJvbmljLXJl
c291cmNlLW51bT4xMC4xMDk3L1JMSS4wYjAxM2UzMTgyODA2OTA0PC9lbGVjdHJvbmljLXJlc291
cmNlLW51bT48L3JlY29yZD48L0NpdGU+PC9FbmROb3RlPgAAZQBmAAAAaQAzADYAAABm
</w:fldData>
        </w:fldChar>
      </w:r>
      <w:r w:rsidRPr="001E29B5">
        <w:rPr>
          <w:rFonts w:ascii="Book Antiqua" w:hAnsi="Book Antiqua"/>
          <w:sz w:val="24"/>
          <w:szCs w:val="24"/>
          <w:vertAlign w:val="superscript"/>
        </w:rPr>
        <w:instrText xml:space="preserve"> ADDIN EN.CITE </w:instrText>
      </w:r>
      <w:r w:rsidRPr="001E29B5">
        <w:rPr>
          <w:rFonts w:ascii="Book Antiqua" w:hAnsi="Book Antiqua"/>
          <w:sz w:val="24"/>
          <w:szCs w:val="24"/>
          <w:vertAlign w:val="superscript"/>
        </w:rPr>
        <w:fldChar w:fldCharType="begin">
          <w:fldData xml:space="preserve">PEVuZE5vdGU+PENpdGU+PEF1dGhvcj5UcnVtbTwvQXV0aG9yPjxZZWFyPjIwMTM8L1llYXI+PFJl
Y051bT4xOTk2MDwvUmVjTnVtPjxEaXNwbGF5VGV4dD4oOSk8L0Rpc3BsYXlUZXh0PjxyZWNvcmQ+
PHJlYy1udW1iZXI+MTk5NjA8L3JlYy1udW1iZXI+PGZvcmVpZ24ta2V5cz48a2V5IGFwcD0iRU4i
IGRiLWlkPSJhd2Z4MHQyZWxzZWU5YmVmZndvcHB4eHNlNXAyeGVwcGRwdmYiPjE5OTYwPC9rZXk+
PC9mb3JlaWduLWtleXM+PHJlZi10eXBlIG5hbWU9IkpvdXJuYWwgQXJ0aWNsZSI+MTc8L3JlZi10
eXBlPjxjb250cmlidXRvcnM+PGF1dGhvcnM+PGF1dGhvcj5UcnVtbSwgQy4gRy48L2F1dGhvcj48
YXV0aG9yPlN0YWhsLCBSLjwvYXV0aG9yPjxhdXRob3I+Q2xldmVydCwgRC4gQS48L2F1dGhvcj48
YXV0aG9yPkhlcnpvZywgUC48L2F1dGhvcj48YXV0aG9yPk1pbmRqdWssIEkuPC9hdXRob3I+PGF1
dGhvcj5Lb3JucHJvYnN0LCBTLjwvYXV0aG9yPjxhdXRob3I+U2Nod2FyeiwgQy48L2F1dGhvcj48
YXV0aG9yPkhvZmZtYW5uLCBSLiBULjwvYXV0aG9yPjxhdXRob3I+UmVpc2VyLCBNLiBGLjwvYXV0
aG9yPjxhdXRob3I+TWF0emtvLCBNLjwvYXV0aG9yPjwvYXV0aG9ycz48L2NvbnRyaWJ1dG9ycz48
YXV0aC1hZGRyZXNzPkRlcGFydG1lbnQgb2YgQ2xpbmljYWwgUmFkaW9sb2d5LCBLbGluaWt1bSBk
ZXIgTHVkd2lnLU1heGltaWxpYW5zLVVuaXZlcnNpdGF0IE11bmNoZW4tR3Jvc3NoYWRlcm4sIE11
bmNoZW4sIEdlcm1hbnkuIGNocmlzdG9waC50cnVtbUBtZWQubG11LmRlPC9hdXRoLWFkZHJlc3M+
PHRpdGxlcz48dGl0bGU+TWFnbmV0aWMgcmVzb25hbmNlIGltYWdpbmctZ3VpZGVkIGZvY3VzZWQg
dWx0cmFzb3VuZCB0cmVhdG1lbnQgb2Ygc3ltcHRvbWF0aWMgdXRlcmluZSBmaWJyb2lkczogaW1w
YWN0IG9mIHRlY2hub2xvZ3kgYWR2YW5jZW1lbnQgb24gYWJsYXRpb24gdm9sdW1lcyBpbiAxMTUg
cGF0aWVudHM8L3RpdGxlPjxzZWNvbmRhcnktdGl0bGU+SW52ZXN0IFJhZGlvbDwvc2Vjb25kYXJ5
LXRpdGxlPjxhbHQtdGl0bGU+SW52ZXN0aWdhdGl2ZSByYWRpb2xvZ3k8L2FsdC10aXRsZT48L3Rp
dGxlcz48cGFnZXM+MzU5LTY1PC9wYWdlcz48dm9sdW1lPjQ4PC92b2x1bWU+PG51bWJlcj42PC9u
dW1iZXI+PGtleXdvcmRzPjxrZXl3b3JkPkFkdWx0PC9rZXl3b3JkPjxrZXl3b3JkPkZlbWFsZTwv
a2V5d29yZD48a2V5d29yZD5HZXJtYW55L2VwaWRlbWlvbG9neTwva2V5d29yZD48a2V5d29yZD5I
aWdoLUludGVuc2l0eSBGb2N1c2VkIFVsdHJhc291bmQgQWJsYXRpb24vKnN0YXRpc3RpY3MgJmFt
cDsgbnVtZXJpY2FsIGRhdGE8L2tleXdvcmQ+PGtleXdvcmQ+SHVtYW5zPC9rZXl3b3JkPjxrZXl3
b3JkPkludmVudGlvbnMvc3RhdGlzdGljcyAmYW1wOyBudW1lcmljYWwgZGF0YTwva2V5d29yZD48
a2V5d29yZD5MZWlvbXlvbWEvZXBpZGVtaW9sb2d5LypwYXRob2xvZ3kvKnN1cmdlcnk8L2tleXdv
cmQ+PGtleXdvcmQ+TWFnbmV0aWMgUmVzb25hbmNlIEltYWdpbmcvKnN0YXRpc3RpY3MgJmFtcDsg
bnVtZXJpY2FsIGRhdGE8L2tleXdvcmQ+PGtleXdvcmQ+TWlkZGxlIEFnZWQ8L2tleXdvcmQ+PGtl
eXdvcmQ+UHJldmFsZW5jZTwva2V5d29yZD48a2V5d29yZD5SZXRyb3NwZWN0aXZlIFN0dWRpZXM8
L2tleXdvcmQ+PGtleXdvcmQ+U3VyZ2VyeSwgQ29tcHV0ZXItQXNzaXN0ZWQvKnN0YXRpc3RpY3Mg
JmFtcDsgbnVtZXJpY2FsIGRhdGE8L2tleXdvcmQ+PGtleXdvcmQ+VHJlYXRtZW50IE91dGNvbWU8
L2tleXdvcmQ+PGtleXdvcmQ+VHVtb3IgQnVyZGVuPC9rZXl3b3JkPjxrZXl3b3JkPlV0ZXJpbmUg
TmVvcGxhc21zL2VwaWRlbWlvbG9neS8qcGF0aG9sb2d5LypzdXJnZXJ5PC9rZXl3b3JkPjwva2V5
d29yZHM+PGRhdGVzPjx5ZWFyPjIwMTM8L3llYXI+PHB1Yi1kYXRlcz48ZGF0ZT5KdW48L2RhdGU+
PC9wdWItZGF0ZXM+PC9kYXRlcz48aXNibj4xNTM2LTAyMTAgKEVsZWN0cm9uaWMpJiN4RDswMDIw
LTk5OTYgKExpbmtpbmcpPC9pc2JuPjxhY2Nlc3Npb24tbnVtPjIzMzg1Mzk2PC9hY2Nlc3Npb24t
bnVtPjx1cmxzPjxyZWxhdGVkLXVybHM+PHVybD5odHRwOi8vd3d3Lm5jYmkubmxtLm5paC5nb3Yv
cHVibWVkLzIzMzg1Mzk2PC91cmw+PC9yZWxhdGVkLXVybHM+PC91cmxzPjxlbGVjdHJvbmljLXJl
c291cmNlLW51bT4xMC4xMDk3L1JMSS4wYjAxM2UzMTgyODA2OTA0PC9lbGVjdHJvbmljLXJlc291
cmNlLW51bT48L3JlY29yZD48L0NpdGU+PC9FbmROb3RlPgAAcwBnAAAANP9y/1z/MwBz
</w:fldData>
        </w:fldChar>
      </w:r>
      <w:r w:rsidRPr="001E29B5">
        <w:rPr>
          <w:rFonts w:ascii="Book Antiqua" w:hAnsi="Book Antiqua"/>
          <w:sz w:val="24"/>
          <w:szCs w:val="24"/>
          <w:vertAlign w:val="superscript"/>
        </w:rPr>
        <w:instrText xml:space="preserve"> ADDIN EN.CITE.DATA </w:instrText>
      </w:r>
      <w:r w:rsidRPr="001E29B5">
        <w:rPr>
          <w:rFonts w:ascii="Book Antiqua" w:hAnsi="Book Antiqua"/>
          <w:sz w:val="24"/>
          <w:szCs w:val="24"/>
          <w:vertAlign w:val="superscript"/>
        </w:rPr>
      </w:r>
      <w:r w:rsidRPr="001E29B5">
        <w:rPr>
          <w:rFonts w:ascii="Book Antiqua" w:hAnsi="Book Antiqua"/>
          <w:sz w:val="24"/>
          <w:szCs w:val="24"/>
          <w:vertAlign w:val="superscript"/>
        </w:rPr>
        <w:fldChar w:fldCharType="end"/>
      </w:r>
      <w:r w:rsidRPr="001E29B5">
        <w:rPr>
          <w:rFonts w:ascii="Book Antiqua" w:hAnsi="Book Antiqua"/>
          <w:sz w:val="24"/>
          <w:szCs w:val="24"/>
          <w:vertAlign w:val="superscript"/>
        </w:rPr>
      </w:r>
      <w:r w:rsidRPr="001E29B5">
        <w:rPr>
          <w:rFonts w:ascii="Book Antiqua" w:hAnsi="Book Antiqua"/>
          <w:sz w:val="24"/>
          <w:szCs w:val="24"/>
          <w:vertAlign w:val="superscript"/>
        </w:rPr>
        <w:fldChar w:fldCharType="separate"/>
      </w:r>
      <w:r w:rsidRPr="001E29B5">
        <w:rPr>
          <w:rFonts w:ascii="Book Antiqua" w:hAnsi="Book Antiqua"/>
          <w:sz w:val="24"/>
          <w:szCs w:val="24"/>
          <w:vertAlign w:val="superscript"/>
        </w:rPr>
        <w:t>[</w:t>
      </w:r>
      <w:hyperlink w:anchor="_ENREF_9" w:tooltip="Trumm, 2013 #19960" w:history="1">
        <w:r w:rsidRPr="001E29B5">
          <w:rPr>
            <w:rFonts w:ascii="Book Antiqua" w:hAnsi="Book Antiqua"/>
            <w:sz w:val="24"/>
            <w:szCs w:val="24"/>
            <w:vertAlign w:val="superscript"/>
          </w:rPr>
          <w:t>9</w:t>
        </w:r>
      </w:hyperlink>
      <w:r w:rsidRPr="001E29B5">
        <w:rPr>
          <w:rFonts w:ascii="Book Antiqua" w:hAnsi="Book Antiqua"/>
          <w:sz w:val="24"/>
          <w:szCs w:val="24"/>
          <w:vertAlign w:val="superscript"/>
        </w:rPr>
        <w:t>]</w:t>
      </w:r>
      <w:r w:rsidRPr="001E29B5">
        <w:rPr>
          <w:rFonts w:ascii="Book Antiqua" w:hAnsi="Book Antiqua"/>
          <w:sz w:val="24"/>
          <w:szCs w:val="24"/>
          <w:vertAlign w:val="superscript"/>
        </w:rPr>
        <w:fldChar w:fldCharType="end"/>
      </w:r>
      <w:r w:rsidRPr="001E29B5">
        <w:rPr>
          <w:rFonts w:ascii="Book Antiqua" w:hAnsi="Book Antiqua"/>
          <w:sz w:val="24"/>
          <w:szCs w:val="24"/>
        </w:rPr>
        <w:t xml:space="preserve">. </w:t>
      </w:r>
    </w:p>
    <w:p w:rsidR="00E8308C" w:rsidRPr="001E29B5" w:rsidRDefault="00E8308C" w:rsidP="009863C8">
      <w:pPr>
        <w:spacing w:after="0" w:line="360" w:lineRule="auto"/>
        <w:ind w:firstLineChars="100" w:firstLine="240"/>
        <w:jc w:val="both"/>
        <w:rPr>
          <w:rFonts w:ascii="Book Antiqua" w:hAnsi="Book Antiqua"/>
          <w:sz w:val="24"/>
          <w:szCs w:val="24"/>
        </w:rPr>
      </w:pPr>
      <w:r w:rsidRPr="001E29B5">
        <w:rPr>
          <w:rFonts w:ascii="Book Antiqua" w:hAnsi="Book Antiqua"/>
          <w:sz w:val="24"/>
          <w:szCs w:val="24"/>
        </w:rPr>
        <w:t>In conclusion, this MRI and histopathology study provided good assessment of non-tumor renal ablation created by MRg-HIFU. The volume of renal damage is energy and number of sonication dependent on MRg-HIFU. Contrast enhanced MRI is a good tool for visualization and quantification of ablated tissues.</w:t>
      </w:r>
    </w:p>
    <w:p w:rsidR="00E8308C" w:rsidRDefault="00E8308C" w:rsidP="00036E8E">
      <w:pPr>
        <w:spacing w:after="0" w:line="360" w:lineRule="auto"/>
        <w:jc w:val="both"/>
        <w:rPr>
          <w:rFonts w:ascii="Book Antiqua" w:hAnsi="Book Antiqua"/>
          <w:sz w:val="24"/>
          <w:szCs w:val="24"/>
          <w:lang w:eastAsia="zh-CN"/>
        </w:rPr>
      </w:pPr>
    </w:p>
    <w:p w:rsidR="00E8308C" w:rsidRPr="001E29B5" w:rsidRDefault="00E8308C" w:rsidP="007B4566">
      <w:pPr>
        <w:tabs>
          <w:tab w:val="left" w:pos="-1710"/>
        </w:tabs>
        <w:spacing w:after="0" w:line="360" w:lineRule="auto"/>
        <w:jc w:val="both"/>
        <w:rPr>
          <w:rFonts w:ascii="Book Antiqua" w:hAnsi="Book Antiqua"/>
          <w:b/>
          <w:sz w:val="24"/>
          <w:szCs w:val="24"/>
          <w:lang w:eastAsia="zh-CN"/>
        </w:rPr>
      </w:pPr>
      <w:r w:rsidRPr="001E29B5">
        <w:rPr>
          <w:rFonts w:ascii="Book Antiqua" w:hAnsi="Book Antiqua"/>
          <w:b/>
          <w:sz w:val="24"/>
          <w:szCs w:val="24"/>
        </w:rPr>
        <w:t>ACKNOWLEDGEMENT</w:t>
      </w:r>
      <w:r w:rsidRPr="001E29B5">
        <w:rPr>
          <w:rFonts w:ascii="Book Antiqua" w:hAnsi="Book Antiqua"/>
          <w:b/>
          <w:sz w:val="24"/>
          <w:szCs w:val="24"/>
          <w:lang w:eastAsia="zh-CN"/>
        </w:rPr>
        <w:t>S</w:t>
      </w:r>
    </w:p>
    <w:p w:rsidR="00E8308C" w:rsidRPr="001E29B5" w:rsidRDefault="00E8308C" w:rsidP="007B4566">
      <w:pPr>
        <w:spacing w:after="0" w:line="360" w:lineRule="auto"/>
        <w:jc w:val="both"/>
        <w:rPr>
          <w:rFonts w:ascii="Book Antiqua" w:hAnsi="Book Antiqua"/>
          <w:sz w:val="24"/>
          <w:szCs w:val="24"/>
        </w:rPr>
      </w:pPr>
      <w:r w:rsidRPr="001E29B5">
        <w:rPr>
          <w:rFonts w:ascii="Book Antiqua" w:hAnsi="Book Antiqua"/>
          <w:sz w:val="24"/>
          <w:szCs w:val="24"/>
        </w:rPr>
        <w:t>We would like to thank Carol Stillson for her technical support in the experimentation.</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adjustRightInd w:val="0"/>
        <w:snapToGrid w:val="0"/>
        <w:spacing w:after="0" w:line="360" w:lineRule="auto"/>
        <w:jc w:val="both"/>
        <w:rPr>
          <w:rFonts w:ascii="Book Antiqua" w:hAnsi="Book Antiqua"/>
          <w:b/>
          <w:sz w:val="24"/>
          <w:szCs w:val="24"/>
        </w:rPr>
      </w:pPr>
      <w:r w:rsidRPr="001E29B5">
        <w:rPr>
          <w:rFonts w:ascii="Book Antiqua" w:hAnsi="Book Antiqua"/>
          <w:b/>
          <w:sz w:val="24"/>
          <w:szCs w:val="24"/>
        </w:rPr>
        <w:t>COMMENTS</w:t>
      </w:r>
    </w:p>
    <w:p w:rsidR="00E8308C" w:rsidRPr="001E29B5" w:rsidRDefault="00E8308C" w:rsidP="00036E8E">
      <w:pPr>
        <w:adjustRightInd w:val="0"/>
        <w:snapToGrid w:val="0"/>
        <w:spacing w:after="0" w:line="360" w:lineRule="auto"/>
        <w:jc w:val="both"/>
        <w:rPr>
          <w:rFonts w:ascii="Book Antiqua" w:hAnsi="Book Antiqua"/>
          <w:b/>
          <w:i/>
          <w:sz w:val="24"/>
          <w:szCs w:val="24"/>
        </w:rPr>
      </w:pPr>
      <w:r w:rsidRPr="001E29B5">
        <w:rPr>
          <w:rFonts w:ascii="Book Antiqua" w:hAnsi="Book Antiqua"/>
          <w:b/>
          <w:i/>
          <w:sz w:val="24"/>
          <w:szCs w:val="24"/>
        </w:rPr>
        <w:t>Background</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Renal carcinoma constitutes the majority of kidney malignancies. The increased use of high-resolution diagnostic imaging has led to the serendipitous detection of small renal tumors in asymptomatic patients with small masses of renal carcinoma. The gold standard procedure for treatment of localized renal carcinoma remains surgical excision, however, in a large number of patients, surgical excision is precluded by increased perioperative risk due to medical comorbidities</w:t>
      </w:r>
      <w:r w:rsidRPr="001E29B5">
        <w:rPr>
          <w:rFonts w:ascii="Book Antiqua" w:hAnsi="Book Antiqua"/>
          <w:sz w:val="24"/>
          <w:szCs w:val="24"/>
          <w:lang w:eastAsia="zh-CN"/>
        </w:rPr>
        <w:t>.</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autoSpaceDE w:val="0"/>
        <w:autoSpaceDN w:val="0"/>
        <w:adjustRightInd w:val="0"/>
        <w:snapToGrid w:val="0"/>
        <w:spacing w:after="0" w:line="360" w:lineRule="auto"/>
        <w:jc w:val="both"/>
        <w:rPr>
          <w:rFonts w:ascii="Book Antiqua" w:hAnsi="Book Antiqua"/>
          <w:b/>
          <w:i/>
          <w:sz w:val="24"/>
          <w:szCs w:val="24"/>
          <w:lang w:val="en-GB"/>
        </w:rPr>
      </w:pPr>
      <w:r w:rsidRPr="001E29B5">
        <w:rPr>
          <w:rFonts w:ascii="Book Antiqua" w:hAnsi="Book Antiqua"/>
          <w:b/>
          <w:i/>
          <w:sz w:val="24"/>
          <w:szCs w:val="24"/>
          <w:lang w:val="en-GB"/>
        </w:rPr>
        <w:t>Research frontiers</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The combination of 3T magnetic resonance imaging</w:t>
      </w:r>
      <w:r w:rsidRPr="001E29B5">
        <w:rPr>
          <w:rFonts w:ascii="Book Antiqua" w:hAnsi="Book Antiqua"/>
          <w:sz w:val="24"/>
          <w:szCs w:val="24"/>
          <w:lang w:eastAsia="zh-CN"/>
        </w:rPr>
        <w:t xml:space="preserve"> (MRI)</w:t>
      </w:r>
      <w:r w:rsidRPr="001E29B5">
        <w:rPr>
          <w:rFonts w:ascii="Book Antiqua" w:hAnsi="Book Antiqua"/>
          <w:sz w:val="24"/>
          <w:szCs w:val="24"/>
        </w:rPr>
        <w:t xml:space="preserve"> and MR-guided high intensity focused ultrasound </w:t>
      </w:r>
      <w:r w:rsidRPr="001E29B5">
        <w:rPr>
          <w:rFonts w:ascii="Book Antiqua" w:hAnsi="Book Antiqua"/>
          <w:sz w:val="24"/>
          <w:szCs w:val="24"/>
          <w:lang w:eastAsia="zh-CN"/>
        </w:rPr>
        <w:t>(</w:t>
      </w:r>
      <w:r w:rsidRPr="001E29B5">
        <w:rPr>
          <w:rFonts w:ascii="Book Antiqua" w:hAnsi="Book Antiqua"/>
          <w:sz w:val="24"/>
          <w:szCs w:val="24"/>
        </w:rPr>
        <w:t>MRg-HIFU</w:t>
      </w:r>
      <w:r w:rsidRPr="001E29B5">
        <w:rPr>
          <w:rFonts w:ascii="Book Antiqua" w:hAnsi="Book Antiqua"/>
          <w:sz w:val="24"/>
          <w:szCs w:val="24"/>
          <w:lang w:eastAsia="zh-CN"/>
        </w:rPr>
        <w:t>)</w:t>
      </w:r>
      <w:r w:rsidRPr="001E29B5">
        <w:rPr>
          <w:rFonts w:ascii="Book Antiqua" w:hAnsi="Book Antiqua"/>
          <w:sz w:val="24"/>
          <w:szCs w:val="24"/>
        </w:rPr>
        <w:t xml:space="preserve"> is suited for noninvasive renal and other tissues ablation. Ablated tissue is well defined on MRI and reflects macro and micro-anatomic changes observed at autopsy and microscopy. Furthermore, the volumes of ablated tissue measured on MRI after MRg-HIFU are energy (Joules) dependent and comparable with autopsy. </w:t>
      </w:r>
    </w:p>
    <w:p w:rsidR="00E8308C" w:rsidRPr="001E29B5" w:rsidRDefault="00E8308C" w:rsidP="00036E8E">
      <w:pPr>
        <w:spacing w:after="0" w:line="360" w:lineRule="auto"/>
        <w:jc w:val="both"/>
        <w:rPr>
          <w:rFonts w:ascii="Book Antiqua" w:hAnsi="Book Antiqua"/>
          <w:b/>
          <w:bCs/>
          <w:sz w:val="24"/>
          <w:szCs w:val="24"/>
          <w:lang w:eastAsia="zh-CN"/>
        </w:rPr>
      </w:pPr>
    </w:p>
    <w:p w:rsidR="00E8308C" w:rsidRPr="001E29B5" w:rsidRDefault="00E8308C" w:rsidP="00036E8E">
      <w:pPr>
        <w:adjustRightInd w:val="0"/>
        <w:snapToGrid w:val="0"/>
        <w:spacing w:after="0" w:line="360" w:lineRule="auto"/>
        <w:jc w:val="both"/>
        <w:rPr>
          <w:rFonts w:ascii="Book Antiqua" w:hAnsi="Book Antiqua"/>
          <w:b/>
          <w:i/>
          <w:sz w:val="24"/>
          <w:szCs w:val="24"/>
        </w:rPr>
      </w:pPr>
      <w:r w:rsidRPr="001E29B5">
        <w:rPr>
          <w:rFonts w:ascii="Book Antiqua" w:hAnsi="Book Antiqua"/>
          <w:b/>
          <w:i/>
          <w:sz w:val="24"/>
          <w:szCs w:val="24"/>
        </w:rPr>
        <w:t>Innovations and breakthroughs</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Radiofrequency ablation has emerged as a treatment option for renal carcinoma population, with the aim of achieving local oncologic control in a nephron-sparing manner, while avoiding the potential morbidity associated with surgical extirpation and general anesthesia. Innovations in the field of thermal ablation procedures and real-time imaging in the last decade have accelerated the development of non-invasive MRg-HIFU.</w:t>
      </w:r>
    </w:p>
    <w:p w:rsidR="00E8308C" w:rsidRPr="001E29B5" w:rsidRDefault="00E8308C" w:rsidP="00036E8E">
      <w:pPr>
        <w:adjustRightInd w:val="0"/>
        <w:snapToGrid w:val="0"/>
        <w:spacing w:after="0" w:line="360" w:lineRule="auto"/>
        <w:jc w:val="both"/>
        <w:rPr>
          <w:rFonts w:ascii="Book Antiqua" w:hAnsi="Book Antiqua"/>
          <w:b/>
          <w:i/>
          <w:sz w:val="24"/>
          <w:szCs w:val="24"/>
        </w:rPr>
      </w:pPr>
      <w:r w:rsidRPr="001E29B5">
        <w:rPr>
          <w:rFonts w:ascii="Book Antiqua" w:hAnsi="Book Antiqua" w:cs="Tahoma"/>
          <w:sz w:val="24"/>
          <w:szCs w:val="24"/>
        </w:rPr>
        <w:br/>
      </w:r>
      <w:r w:rsidRPr="001E29B5">
        <w:rPr>
          <w:rFonts w:ascii="Book Antiqua" w:hAnsi="Book Antiqua"/>
          <w:b/>
          <w:i/>
          <w:sz w:val="24"/>
          <w:szCs w:val="24"/>
        </w:rPr>
        <w:t>Applications</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Noninvasive MRg-HIFU with MR</w:t>
      </w:r>
      <w:r w:rsidRPr="001E29B5">
        <w:rPr>
          <w:rFonts w:ascii="Book Antiqua" w:hAnsi="Book Antiqua"/>
          <w:sz w:val="24"/>
          <w:szCs w:val="24"/>
          <w:lang w:eastAsia="zh-CN"/>
        </w:rPr>
        <w:t>I</w:t>
      </w:r>
      <w:r w:rsidRPr="001E29B5">
        <w:rPr>
          <w:rFonts w:ascii="Book Antiqua" w:hAnsi="Book Antiqua"/>
          <w:sz w:val="24"/>
          <w:szCs w:val="24"/>
        </w:rPr>
        <w:t xml:space="preserve"> may be utilized for diagnostic and therapeutic purposes in cases of renal masses. It reduces morbidity and health care cost. </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adjustRightInd w:val="0"/>
        <w:snapToGrid w:val="0"/>
        <w:spacing w:after="0" w:line="360" w:lineRule="auto"/>
        <w:jc w:val="both"/>
        <w:rPr>
          <w:rFonts w:ascii="Book Antiqua" w:hAnsi="Book Antiqua"/>
          <w:b/>
          <w:i/>
          <w:sz w:val="24"/>
          <w:szCs w:val="24"/>
          <w:lang w:val="en-GB"/>
        </w:rPr>
      </w:pPr>
      <w:r w:rsidRPr="001E29B5">
        <w:rPr>
          <w:rFonts w:ascii="Book Antiqua" w:hAnsi="Book Antiqua"/>
          <w:b/>
          <w:i/>
          <w:sz w:val="24"/>
          <w:szCs w:val="24"/>
          <w:lang w:val="en-GB"/>
        </w:rPr>
        <w:t>Terminology</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 xml:space="preserve">MRg-HIFU is a new noninvasive technique used for treating tumors. Currently, it is used for treating some cases of uterine fibroids, palliation of bone metastases, brain tumor through the skull, breast cancer, prostate and hepatocellular carcinoma. MRI is another noninvasive imaging technique that has the potential to detect and monitor tumor treatment. </w:t>
      </w:r>
    </w:p>
    <w:p w:rsidR="00E8308C" w:rsidRPr="001E29B5" w:rsidRDefault="00E8308C" w:rsidP="00036E8E">
      <w:pPr>
        <w:spacing w:after="0" w:line="360" w:lineRule="auto"/>
        <w:jc w:val="both"/>
        <w:rPr>
          <w:rFonts w:ascii="Book Antiqua" w:hAnsi="Book Antiqua" w:cs="Arial"/>
          <w:sz w:val="24"/>
          <w:szCs w:val="24"/>
          <w:lang w:eastAsia="zh-CN"/>
        </w:rPr>
      </w:pPr>
    </w:p>
    <w:p w:rsidR="00E8308C" w:rsidRPr="001E29B5" w:rsidRDefault="00E8308C" w:rsidP="00036E8E">
      <w:pPr>
        <w:adjustRightInd w:val="0"/>
        <w:snapToGrid w:val="0"/>
        <w:spacing w:after="0" w:line="360" w:lineRule="auto"/>
        <w:jc w:val="both"/>
        <w:rPr>
          <w:rFonts w:ascii="Book Antiqua" w:hAnsi="Book Antiqua"/>
          <w:b/>
          <w:i/>
          <w:sz w:val="24"/>
          <w:szCs w:val="24"/>
          <w:lang w:val="en-GB"/>
        </w:rPr>
      </w:pPr>
      <w:r w:rsidRPr="001E29B5">
        <w:rPr>
          <w:rFonts w:ascii="Book Antiqua" w:hAnsi="Book Antiqua"/>
          <w:b/>
          <w:i/>
          <w:sz w:val="24"/>
          <w:szCs w:val="24"/>
          <w:lang w:val="en-GB"/>
        </w:rPr>
        <w:t>Peer</w:t>
      </w:r>
      <w:r w:rsidRPr="001E29B5">
        <w:rPr>
          <w:rFonts w:ascii="Book Antiqua" w:hAnsi="Book Antiqua"/>
          <w:b/>
          <w:i/>
          <w:sz w:val="24"/>
          <w:szCs w:val="24"/>
          <w:lang w:val="en-GB" w:eastAsia="zh-CN"/>
        </w:rPr>
        <w:t>-</w:t>
      </w:r>
      <w:r w:rsidRPr="001E29B5">
        <w:rPr>
          <w:rFonts w:ascii="Book Antiqua" w:hAnsi="Book Antiqua"/>
          <w:b/>
          <w:i/>
          <w:sz w:val="24"/>
          <w:szCs w:val="24"/>
          <w:lang w:val="en-GB"/>
        </w:rPr>
        <w:t>review</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The study is well-performed and the results are interesting.</w:t>
      </w:r>
    </w:p>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br w:type="page"/>
      </w:r>
      <w:r w:rsidRPr="001E29B5">
        <w:rPr>
          <w:rFonts w:ascii="Book Antiqua" w:hAnsi="Book Antiqua"/>
          <w:b/>
          <w:sz w:val="24"/>
          <w:szCs w:val="24"/>
        </w:rPr>
        <w:lastRenderedPageBreak/>
        <w:t>REFERENCES</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1 </w:t>
      </w:r>
      <w:r w:rsidRPr="001E29B5">
        <w:rPr>
          <w:rFonts w:ascii="Book Antiqua" w:hAnsi="Book Antiqua" w:cs="宋体"/>
          <w:b/>
          <w:bCs/>
          <w:sz w:val="24"/>
          <w:szCs w:val="24"/>
        </w:rPr>
        <w:t>Siegel R</w:t>
      </w:r>
      <w:r w:rsidRPr="001E29B5">
        <w:rPr>
          <w:rFonts w:ascii="Book Antiqua" w:hAnsi="Book Antiqua" w:cs="宋体"/>
          <w:sz w:val="24"/>
          <w:szCs w:val="24"/>
        </w:rPr>
        <w:t>, Naishadham D, Jemal A. Cancer statistics, 2013. </w:t>
      </w:r>
      <w:r w:rsidRPr="001E29B5">
        <w:rPr>
          <w:rFonts w:ascii="Book Antiqua" w:hAnsi="Book Antiqua" w:cs="宋体"/>
          <w:i/>
          <w:iCs/>
          <w:sz w:val="24"/>
          <w:szCs w:val="24"/>
        </w:rPr>
        <w:t>CA Cancer J Clin</w:t>
      </w:r>
      <w:r w:rsidRPr="001E29B5">
        <w:rPr>
          <w:rFonts w:ascii="Book Antiqua" w:hAnsi="Book Antiqua" w:cs="宋体"/>
          <w:sz w:val="24"/>
          <w:szCs w:val="24"/>
        </w:rPr>
        <w:t> 2013; </w:t>
      </w:r>
      <w:r w:rsidRPr="001E29B5">
        <w:rPr>
          <w:rFonts w:ascii="Book Antiqua" w:hAnsi="Book Antiqua" w:cs="宋体"/>
          <w:b/>
          <w:bCs/>
          <w:sz w:val="24"/>
          <w:szCs w:val="24"/>
        </w:rPr>
        <w:t>63</w:t>
      </w:r>
      <w:r w:rsidRPr="001E29B5">
        <w:rPr>
          <w:rFonts w:ascii="Book Antiqua" w:hAnsi="Book Antiqua" w:cs="宋体"/>
          <w:sz w:val="24"/>
          <w:szCs w:val="24"/>
        </w:rPr>
        <w:t>: 11-30 [PMID: 23335087 DOI: 10.3322/caac.21166]</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2 </w:t>
      </w:r>
      <w:r w:rsidRPr="001E29B5">
        <w:rPr>
          <w:rFonts w:ascii="Book Antiqua" w:hAnsi="Book Antiqua" w:cs="宋体"/>
          <w:b/>
          <w:bCs/>
          <w:sz w:val="24"/>
          <w:szCs w:val="24"/>
        </w:rPr>
        <w:t>Campbell SC</w:t>
      </w:r>
      <w:r w:rsidRPr="001E29B5">
        <w:rPr>
          <w:rFonts w:ascii="Book Antiqua" w:hAnsi="Book Antiqua" w:cs="宋体"/>
          <w:sz w:val="24"/>
          <w:szCs w:val="24"/>
        </w:rPr>
        <w:t>, Novick AC, Belldegrun A, Blute ML, Chow GK, Derweesh IH, Faraday MM, Kaouk JH, Leveillee RJ, Matin SF, Russo P, Uzzo RG. Guideline for management of the clinical T1 renal mass. </w:t>
      </w:r>
      <w:r w:rsidRPr="001E29B5">
        <w:rPr>
          <w:rFonts w:ascii="Book Antiqua" w:hAnsi="Book Antiqua" w:cs="宋体"/>
          <w:i/>
          <w:iCs/>
          <w:sz w:val="24"/>
          <w:szCs w:val="24"/>
        </w:rPr>
        <w:t>J Urol</w:t>
      </w:r>
      <w:r w:rsidRPr="001E29B5">
        <w:rPr>
          <w:rFonts w:ascii="Book Antiqua" w:hAnsi="Book Antiqua" w:cs="宋体"/>
          <w:sz w:val="24"/>
          <w:szCs w:val="24"/>
        </w:rPr>
        <w:t> 2009; </w:t>
      </w:r>
      <w:r w:rsidRPr="001E29B5">
        <w:rPr>
          <w:rFonts w:ascii="Book Antiqua" w:hAnsi="Book Antiqua" w:cs="宋体"/>
          <w:b/>
          <w:bCs/>
          <w:sz w:val="24"/>
          <w:szCs w:val="24"/>
        </w:rPr>
        <w:t>182</w:t>
      </w:r>
      <w:r w:rsidRPr="001E29B5">
        <w:rPr>
          <w:rFonts w:ascii="Book Antiqua" w:hAnsi="Book Antiqua" w:cs="宋体"/>
          <w:sz w:val="24"/>
          <w:szCs w:val="24"/>
        </w:rPr>
        <w:t>: 1271-1279 [PMID: 19683266 DOI: 10.1016/j.juro.2009.07.004]</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3 </w:t>
      </w:r>
      <w:r w:rsidRPr="001E29B5">
        <w:rPr>
          <w:rFonts w:ascii="Book Antiqua" w:hAnsi="Book Antiqua" w:cs="宋体"/>
          <w:b/>
          <w:bCs/>
          <w:sz w:val="24"/>
          <w:szCs w:val="24"/>
        </w:rPr>
        <w:t>Ljungberg B</w:t>
      </w:r>
      <w:r w:rsidRPr="001E29B5">
        <w:rPr>
          <w:rFonts w:ascii="Book Antiqua" w:hAnsi="Book Antiqua" w:cs="宋体"/>
          <w:sz w:val="24"/>
          <w:szCs w:val="24"/>
        </w:rPr>
        <w:t>, Cowan NC, Hanbury DC, Hora M, Kuczyk MA, Merseburger AS, Patard JJ, Mulders PF, Sinescu IC. EAU guidelines on renal cell carcinoma: the 2010 update. </w:t>
      </w:r>
      <w:r w:rsidRPr="001E29B5">
        <w:rPr>
          <w:rFonts w:ascii="Book Antiqua" w:hAnsi="Book Antiqua" w:cs="宋体"/>
          <w:i/>
          <w:iCs/>
          <w:sz w:val="24"/>
          <w:szCs w:val="24"/>
        </w:rPr>
        <w:t>Eur Urol</w:t>
      </w:r>
      <w:r w:rsidRPr="001E29B5">
        <w:rPr>
          <w:rFonts w:ascii="Book Antiqua" w:hAnsi="Book Antiqua" w:cs="宋体"/>
          <w:sz w:val="24"/>
          <w:szCs w:val="24"/>
        </w:rPr>
        <w:t> 2010; </w:t>
      </w:r>
      <w:r w:rsidRPr="001E29B5">
        <w:rPr>
          <w:rFonts w:ascii="Book Antiqua" w:hAnsi="Book Antiqua" w:cs="宋体"/>
          <w:b/>
          <w:bCs/>
          <w:sz w:val="24"/>
          <w:szCs w:val="24"/>
        </w:rPr>
        <w:t>58</w:t>
      </w:r>
      <w:r w:rsidRPr="001E29B5">
        <w:rPr>
          <w:rFonts w:ascii="Book Antiqua" w:hAnsi="Book Antiqua" w:cs="宋体"/>
          <w:sz w:val="24"/>
          <w:szCs w:val="24"/>
        </w:rPr>
        <w:t>: 398-406 [PMID: 20633979 DOI: 10.1016/j.eururo.2010.06.032]</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4 </w:t>
      </w:r>
      <w:r w:rsidRPr="001E29B5">
        <w:rPr>
          <w:rFonts w:ascii="Book Antiqua" w:hAnsi="Book Antiqua" w:cs="宋体"/>
          <w:b/>
          <w:bCs/>
          <w:sz w:val="24"/>
          <w:szCs w:val="24"/>
        </w:rPr>
        <w:t>Huang WC</w:t>
      </w:r>
      <w:r w:rsidRPr="001E29B5">
        <w:rPr>
          <w:rFonts w:ascii="Book Antiqua" w:hAnsi="Book Antiqua" w:cs="宋体"/>
          <w:sz w:val="24"/>
          <w:szCs w:val="24"/>
        </w:rPr>
        <w:t>, Elkin EB, Levey AS, Jang TL, Russo P. Partial nephrectomy versus radical nephrectomy in patients with small renal tumors--is there a difference in mortality and cardiovascular outcomes? </w:t>
      </w:r>
      <w:r w:rsidRPr="001E29B5">
        <w:rPr>
          <w:rFonts w:ascii="Book Antiqua" w:hAnsi="Book Antiqua" w:cs="宋体"/>
          <w:i/>
          <w:iCs/>
          <w:sz w:val="24"/>
          <w:szCs w:val="24"/>
        </w:rPr>
        <w:t>J Urol</w:t>
      </w:r>
      <w:r w:rsidRPr="001E29B5">
        <w:rPr>
          <w:rFonts w:ascii="Book Antiqua" w:hAnsi="Book Antiqua" w:cs="宋体"/>
          <w:sz w:val="24"/>
          <w:szCs w:val="24"/>
        </w:rPr>
        <w:t> 2009; </w:t>
      </w:r>
      <w:r w:rsidRPr="001E29B5">
        <w:rPr>
          <w:rFonts w:ascii="Book Antiqua" w:hAnsi="Book Antiqua" w:cs="宋体"/>
          <w:b/>
          <w:bCs/>
          <w:sz w:val="24"/>
          <w:szCs w:val="24"/>
        </w:rPr>
        <w:t>181</w:t>
      </w:r>
      <w:r w:rsidRPr="001E29B5">
        <w:rPr>
          <w:rFonts w:ascii="Book Antiqua" w:hAnsi="Book Antiqua" w:cs="宋体"/>
          <w:sz w:val="24"/>
          <w:szCs w:val="24"/>
        </w:rPr>
        <w:t>: 55-61; discussion 61-62 [PMID: 19012918 DOI: 10.1016/j.juro.2008.09.017]</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5 </w:t>
      </w:r>
      <w:r w:rsidRPr="001E29B5">
        <w:rPr>
          <w:rFonts w:ascii="Book Antiqua" w:hAnsi="Book Antiqua" w:cs="宋体"/>
          <w:b/>
          <w:bCs/>
          <w:sz w:val="24"/>
          <w:szCs w:val="24"/>
        </w:rPr>
        <w:t>Miller DC</w:t>
      </w:r>
      <w:r w:rsidRPr="001E29B5">
        <w:rPr>
          <w:rFonts w:ascii="Book Antiqua" w:hAnsi="Book Antiqua" w:cs="宋体"/>
          <w:sz w:val="24"/>
          <w:szCs w:val="24"/>
        </w:rPr>
        <w:t xml:space="preserve">, Schonlau M, Litwin MS, Lai J, Saigal CS; </w:t>
      </w:r>
      <w:hyperlink r:id="rId13" w:history="1">
        <w:r w:rsidRPr="001E29B5">
          <w:rPr>
            <w:rFonts w:ascii="Book Antiqua" w:hAnsi="Book Antiqua" w:cs="宋体"/>
            <w:sz w:val="24"/>
            <w:szCs w:val="24"/>
          </w:rPr>
          <w:t>Urologic Diseases in America Project</w:t>
        </w:r>
      </w:hyperlink>
      <w:r w:rsidRPr="001E29B5">
        <w:rPr>
          <w:rFonts w:ascii="Book Antiqua" w:hAnsi="Book Antiqua" w:cs="宋体"/>
          <w:sz w:val="24"/>
          <w:szCs w:val="24"/>
        </w:rPr>
        <w:t>. Renal and cardiovascular morbidity after partial or radical nephrectomy. </w:t>
      </w:r>
      <w:r w:rsidRPr="001E29B5">
        <w:rPr>
          <w:rFonts w:ascii="Book Antiqua" w:hAnsi="Book Antiqua" w:cs="宋体"/>
          <w:i/>
          <w:iCs/>
          <w:sz w:val="24"/>
          <w:szCs w:val="24"/>
        </w:rPr>
        <w:t>Cancer</w:t>
      </w:r>
      <w:r w:rsidRPr="001E29B5">
        <w:rPr>
          <w:rFonts w:ascii="Book Antiqua" w:hAnsi="Book Antiqua" w:cs="宋体"/>
          <w:sz w:val="24"/>
          <w:szCs w:val="24"/>
        </w:rPr>
        <w:t> 2008; </w:t>
      </w:r>
      <w:r w:rsidRPr="001E29B5">
        <w:rPr>
          <w:rFonts w:ascii="Book Antiqua" w:hAnsi="Book Antiqua" w:cs="宋体"/>
          <w:b/>
          <w:bCs/>
          <w:sz w:val="24"/>
          <w:szCs w:val="24"/>
        </w:rPr>
        <w:t>112</w:t>
      </w:r>
      <w:r w:rsidRPr="001E29B5">
        <w:rPr>
          <w:rFonts w:ascii="Book Antiqua" w:hAnsi="Book Antiqua" w:cs="宋体"/>
          <w:sz w:val="24"/>
          <w:szCs w:val="24"/>
        </w:rPr>
        <w:t>: 511-520 [PMID: 18072263 DOI: 10.1002/cncr.23218]</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6 </w:t>
      </w:r>
      <w:r w:rsidRPr="001E29B5">
        <w:rPr>
          <w:rFonts w:ascii="Book Antiqua" w:hAnsi="Book Antiqua" w:cs="宋体"/>
          <w:b/>
          <w:bCs/>
          <w:sz w:val="24"/>
          <w:szCs w:val="24"/>
        </w:rPr>
        <w:t>Ritchie RW</w:t>
      </w:r>
      <w:r w:rsidRPr="001E29B5">
        <w:rPr>
          <w:rFonts w:ascii="Book Antiqua" w:hAnsi="Book Antiqua" w:cs="宋体"/>
          <w:sz w:val="24"/>
          <w:szCs w:val="24"/>
        </w:rPr>
        <w:t>, Leslie T, Phillips R, Wu F, Illing R, ter Haar G, Protheroe A, Cranston D. Extracorporeal high intensity focused ultrasound for renal tumours: a 3-year follow-up. </w:t>
      </w:r>
      <w:r w:rsidRPr="001E29B5">
        <w:rPr>
          <w:rFonts w:ascii="Book Antiqua" w:hAnsi="Book Antiqua" w:cs="宋体"/>
          <w:i/>
          <w:iCs/>
          <w:sz w:val="24"/>
          <w:szCs w:val="24"/>
        </w:rPr>
        <w:t>BJU Int</w:t>
      </w:r>
      <w:r w:rsidRPr="001E29B5">
        <w:rPr>
          <w:rFonts w:ascii="Book Antiqua" w:hAnsi="Book Antiqua" w:cs="宋体"/>
          <w:sz w:val="24"/>
          <w:szCs w:val="24"/>
        </w:rPr>
        <w:t> 2010; </w:t>
      </w:r>
      <w:r w:rsidRPr="001E29B5">
        <w:rPr>
          <w:rFonts w:ascii="Book Antiqua" w:hAnsi="Book Antiqua" w:cs="宋体"/>
          <w:b/>
          <w:bCs/>
          <w:sz w:val="24"/>
          <w:szCs w:val="24"/>
        </w:rPr>
        <w:t>106</w:t>
      </w:r>
      <w:r w:rsidRPr="001E29B5">
        <w:rPr>
          <w:rFonts w:ascii="Book Antiqua" w:hAnsi="Book Antiqua" w:cs="宋体"/>
          <w:sz w:val="24"/>
          <w:szCs w:val="24"/>
        </w:rPr>
        <w:t>: 1004-1009 [PMID: 20230379 DOI: 10.1111/j.1464-410X.2010.09289.x]</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7 </w:t>
      </w:r>
      <w:r w:rsidRPr="001E29B5">
        <w:rPr>
          <w:rFonts w:ascii="Book Antiqua" w:hAnsi="Book Antiqua" w:cs="宋体"/>
          <w:b/>
          <w:bCs/>
          <w:sz w:val="24"/>
          <w:szCs w:val="24"/>
        </w:rPr>
        <w:t>Hynynen K</w:t>
      </w:r>
      <w:r w:rsidRPr="001E29B5">
        <w:rPr>
          <w:rFonts w:ascii="Book Antiqua" w:hAnsi="Book Antiqua" w:cs="宋体"/>
          <w:sz w:val="24"/>
          <w:szCs w:val="24"/>
        </w:rPr>
        <w:t>, Freund WR, Cline HE, Chung AH, Watkins RD, Vetro JP, Jolesz FA. A clinical, noninvasive, MR imaging-monitored ultrasound surgery method. </w:t>
      </w:r>
      <w:r w:rsidRPr="001E29B5">
        <w:rPr>
          <w:rFonts w:ascii="Book Antiqua" w:hAnsi="Book Antiqua" w:cs="宋体"/>
          <w:i/>
          <w:iCs/>
          <w:sz w:val="24"/>
          <w:szCs w:val="24"/>
        </w:rPr>
        <w:t>Radiographics</w:t>
      </w:r>
      <w:r w:rsidRPr="001E29B5">
        <w:rPr>
          <w:rFonts w:ascii="Book Antiqua" w:hAnsi="Book Antiqua" w:cs="宋体"/>
          <w:sz w:val="24"/>
          <w:szCs w:val="24"/>
        </w:rPr>
        <w:t> 1996; </w:t>
      </w:r>
      <w:r w:rsidRPr="001E29B5">
        <w:rPr>
          <w:rFonts w:ascii="Book Antiqua" w:hAnsi="Book Antiqua" w:cs="宋体"/>
          <w:b/>
          <w:bCs/>
          <w:sz w:val="24"/>
          <w:szCs w:val="24"/>
        </w:rPr>
        <w:t>16</w:t>
      </w:r>
      <w:r w:rsidRPr="001E29B5">
        <w:rPr>
          <w:rFonts w:ascii="Book Antiqua" w:hAnsi="Book Antiqua" w:cs="宋体"/>
          <w:sz w:val="24"/>
          <w:szCs w:val="24"/>
        </w:rPr>
        <w:t>: 185-195 [PMID: 10946699]</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8 </w:t>
      </w:r>
      <w:r w:rsidRPr="001E29B5">
        <w:rPr>
          <w:rFonts w:ascii="Book Antiqua" w:hAnsi="Book Antiqua" w:cs="宋体"/>
          <w:b/>
          <w:bCs/>
          <w:sz w:val="24"/>
          <w:szCs w:val="24"/>
        </w:rPr>
        <w:t>Dewey WC</w:t>
      </w:r>
      <w:r w:rsidRPr="001E29B5">
        <w:rPr>
          <w:rFonts w:ascii="Book Antiqua" w:hAnsi="Book Antiqua" w:cs="宋体"/>
          <w:sz w:val="24"/>
          <w:szCs w:val="24"/>
        </w:rPr>
        <w:t>. Arrhenius relationships from the molecule and cell to the clinic. </w:t>
      </w:r>
      <w:r w:rsidRPr="001E29B5">
        <w:rPr>
          <w:rFonts w:ascii="Book Antiqua" w:hAnsi="Book Antiqua" w:cs="宋体"/>
          <w:i/>
          <w:iCs/>
          <w:sz w:val="24"/>
          <w:szCs w:val="24"/>
        </w:rPr>
        <w:t>Int J Hyperthermia</w:t>
      </w:r>
      <w:r w:rsidRPr="001E29B5">
        <w:rPr>
          <w:rFonts w:ascii="Book Antiqua" w:hAnsi="Book Antiqua" w:cs="宋体"/>
          <w:sz w:val="24"/>
          <w:szCs w:val="24"/>
        </w:rPr>
        <w:t> 2009; </w:t>
      </w:r>
      <w:r w:rsidRPr="001E29B5">
        <w:rPr>
          <w:rFonts w:ascii="Book Antiqua" w:hAnsi="Book Antiqua" w:cs="宋体"/>
          <w:b/>
          <w:bCs/>
          <w:sz w:val="24"/>
          <w:szCs w:val="24"/>
        </w:rPr>
        <w:t>25</w:t>
      </w:r>
      <w:r w:rsidRPr="001E29B5">
        <w:rPr>
          <w:rFonts w:ascii="Book Antiqua" w:hAnsi="Book Antiqua" w:cs="宋体"/>
          <w:sz w:val="24"/>
          <w:szCs w:val="24"/>
        </w:rPr>
        <w:t>: 3-20 [PMID: 19219695 DOI: 10.1080/02656730902747919]</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9 </w:t>
      </w:r>
      <w:r w:rsidRPr="001E29B5">
        <w:rPr>
          <w:rFonts w:ascii="Book Antiqua" w:hAnsi="Book Antiqua" w:cs="宋体"/>
          <w:b/>
          <w:bCs/>
          <w:sz w:val="24"/>
          <w:szCs w:val="24"/>
        </w:rPr>
        <w:t>Trumm CG</w:t>
      </w:r>
      <w:r w:rsidRPr="001E29B5">
        <w:rPr>
          <w:rFonts w:ascii="Book Antiqua" w:hAnsi="Book Antiqua" w:cs="宋体"/>
          <w:sz w:val="24"/>
          <w:szCs w:val="24"/>
        </w:rPr>
        <w:t xml:space="preserve">, Stahl R, Clevert DA, Herzog P, Mindjuk I, Kornprobst S, Schwarz C, Hoffmann RT, Reiser MF, Matzko M. Magnetic resonance imaging-guided focused ultrasound treatment of symptomatic uterine fibroids: impact of technology </w:t>
      </w:r>
      <w:r w:rsidRPr="001E29B5">
        <w:rPr>
          <w:rFonts w:ascii="Book Antiqua" w:hAnsi="Book Antiqua" w:cs="宋体"/>
          <w:sz w:val="24"/>
          <w:szCs w:val="24"/>
        </w:rPr>
        <w:lastRenderedPageBreak/>
        <w:t>advancement on ablation volumes in 115 patients. </w:t>
      </w:r>
      <w:r w:rsidRPr="001E29B5">
        <w:rPr>
          <w:rFonts w:ascii="Book Antiqua" w:hAnsi="Book Antiqua" w:cs="宋体"/>
          <w:i/>
          <w:iCs/>
          <w:sz w:val="24"/>
          <w:szCs w:val="24"/>
        </w:rPr>
        <w:t>Invest Radiol</w:t>
      </w:r>
      <w:r w:rsidRPr="001E29B5">
        <w:rPr>
          <w:rFonts w:ascii="Book Antiqua" w:hAnsi="Book Antiqua" w:cs="宋体"/>
          <w:sz w:val="24"/>
          <w:szCs w:val="24"/>
        </w:rPr>
        <w:t> 2013; </w:t>
      </w:r>
      <w:r w:rsidRPr="001E29B5">
        <w:rPr>
          <w:rFonts w:ascii="Book Antiqua" w:hAnsi="Book Antiqua" w:cs="宋体"/>
          <w:b/>
          <w:bCs/>
          <w:sz w:val="24"/>
          <w:szCs w:val="24"/>
        </w:rPr>
        <w:t>48</w:t>
      </w:r>
      <w:r w:rsidRPr="001E29B5">
        <w:rPr>
          <w:rFonts w:ascii="Book Antiqua" w:hAnsi="Book Antiqua" w:cs="宋体"/>
          <w:sz w:val="24"/>
          <w:szCs w:val="24"/>
        </w:rPr>
        <w:t>: 359-365 [PMID: 23385396 DOI: 10.1097/RLI.0b013e3182806904]</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10 </w:t>
      </w:r>
      <w:r w:rsidRPr="001E29B5">
        <w:rPr>
          <w:rFonts w:ascii="Book Antiqua" w:hAnsi="Book Antiqua" w:cs="宋体"/>
          <w:b/>
          <w:bCs/>
          <w:sz w:val="24"/>
          <w:szCs w:val="24"/>
        </w:rPr>
        <w:t>Voogt MJ</w:t>
      </w:r>
      <w:r w:rsidRPr="001E29B5">
        <w:rPr>
          <w:rFonts w:ascii="Book Antiqua" w:hAnsi="Book Antiqua" w:cs="宋体"/>
          <w:sz w:val="24"/>
          <w:szCs w:val="24"/>
        </w:rPr>
        <w:t>, Trillaud H, Kim YS, Mali WP, Barkhausen J, Bartels LW, Deckers R, Frulio N, Rhim H, Lim HK, Eckey T, Nieminen HJ, Mougenot C, Keserci B, Soini J, Vaara T, Köhler MO, Sokka S, van den Bosch MA. Volumetric feedback ablation of uterine fibroids using magnetic resonance-guided high intensity focused ultrasound therapy. </w:t>
      </w:r>
      <w:r w:rsidRPr="001E29B5">
        <w:rPr>
          <w:rFonts w:ascii="Book Antiqua" w:hAnsi="Book Antiqua" w:cs="宋体"/>
          <w:i/>
          <w:iCs/>
          <w:sz w:val="24"/>
          <w:szCs w:val="24"/>
        </w:rPr>
        <w:t>Eur Radiol</w:t>
      </w:r>
      <w:r w:rsidRPr="001E29B5">
        <w:rPr>
          <w:rFonts w:ascii="Book Antiqua" w:hAnsi="Book Antiqua" w:cs="宋体"/>
          <w:sz w:val="24"/>
          <w:szCs w:val="24"/>
        </w:rPr>
        <w:t> 2012; </w:t>
      </w:r>
      <w:r w:rsidRPr="001E29B5">
        <w:rPr>
          <w:rFonts w:ascii="Book Antiqua" w:hAnsi="Book Antiqua" w:cs="宋体"/>
          <w:b/>
          <w:bCs/>
          <w:sz w:val="24"/>
          <w:szCs w:val="24"/>
        </w:rPr>
        <w:t>22</w:t>
      </w:r>
      <w:r w:rsidRPr="001E29B5">
        <w:rPr>
          <w:rFonts w:ascii="Book Antiqua" w:hAnsi="Book Antiqua" w:cs="宋体"/>
          <w:sz w:val="24"/>
          <w:szCs w:val="24"/>
        </w:rPr>
        <w:t>: 411-417 [PMID: 21901565 DOI: 10.1007/s00330-011-2262-8]</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11 </w:t>
      </w:r>
      <w:r w:rsidRPr="001E29B5">
        <w:rPr>
          <w:rFonts w:ascii="Book Antiqua" w:hAnsi="Book Antiqua" w:cs="宋体"/>
          <w:b/>
          <w:bCs/>
          <w:sz w:val="24"/>
          <w:szCs w:val="24"/>
        </w:rPr>
        <w:t>Catane R</w:t>
      </w:r>
      <w:r w:rsidRPr="001E29B5">
        <w:rPr>
          <w:rFonts w:ascii="Book Antiqua" w:hAnsi="Book Antiqua" w:cs="宋体"/>
          <w:sz w:val="24"/>
          <w:szCs w:val="24"/>
        </w:rPr>
        <w:t>, Beck A, Inbar Y, Rabin T, Shabshin N, Hengst S, Pfeffer RM, Hanannel A, Dogadkin O, Liberman B, Kopelman D. MR-guided focused ultrasound surgery (MRgFUS) for the palliation of pain in patients with bone metastases--preliminary clinical experience. </w:t>
      </w:r>
      <w:r w:rsidRPr="001E29B5">
        <w:rPr>
          <w:rFonts w:ascii="Book Antiqua" w:hAnsi="Book Antiqua" w:cs="宋体"/>
          <w:i/>
          <w:iCs/>
          <w:sz w:val="24"/>
          <w:szCs w:val="24"/>
        </w:rPr>
        <w:t>Ann Oncol</w:t>
      </w:r>
      <w:r w:rsidRPr="001E29B5">
        <w:rPr>
          <w:rFonts w:ascii="Book Antiqua" w:hAnsi="Book Antiqua" w:cs="宋体"/>
          <w:sz w:val="24"/>
          <w:szCs w:val="24"/>
        </w:rPr>
        <w:t> 2007; </w:t>
      </w:r>
      <w:r w:rsidRPr="001E29B5">
        <w:rPr>
          <w:rFonts w:ascii="Book Antiqua" w:hAnsi="Book Antiqua" w:cs="宋体"/>
          <w:b/>
          <w:bCs/>
          <w:sz w:val="24"/>
          <w:szCs w:val="24"/>
        </w:rPr>
        <w:t>18</w:t>
      </w:r>
      <w:r w:rsidRPr="001E29B5">
        <w:rPr>
          <w:rFonts w:ascii="Book Antiqua" w:hAnsi="Book Antiqua" w:cs="宋体"/>
          <w:sz w:val="24"/>
          <w:szCs w:val="24"/>
        </w:rPr>
        <w:t>: 163-167 [PMID: 17030549 DOI: 10.1093/annonc/mdl335]</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12 </w:t>
      </w:r>
      <w:r w:rsidRPr="001E29B5">
        <w:rPr>
          <w:rFonts w:ascii="Book Antiqua" w:hAnsi="Book Antiqua" w:cs="宋体"/>
          <w:b/>
          <w:bCs/>
          <w:sz w:val="24"/>
          <w:szCs w:val="24"/>
        </w:rPr>
        <w:t>Hynynen K</w:t>
      </w:r>
      <w:r w:rsidRPr="001E29B5">
        <w:rPr>
          <w:rFonts w:ascii="Book Antiqua" w:hAnsi="Book Antiqua" w:cs="宋体"/>
          <w:sz w:val="24"/>
          <w:szCs w:val="24"/>
        </w:rPr>
        <w:t>, McDannold N, Clement G, Jolesz FA, Zadicario E, Killiany R, Moore T, Rosen D. Pre-clinical testing of a phased array ultrasound system for MRI-guided noninvasive surgery of the brain--a primate study. </w:t>
      </w:r>
      <w:r w:rsidRPr="001E29B5">
        <w:rPr>
          <w:rFonts w:ascii="Book Antiqua" w:hAnsi="Book Antiqua" w:cs="宋体"/>
          <w:i/>
          <w:iCs/>
          <w:sz w:val="24"/>
          <w:szCs w:val="24"/>
        </w:rPr>
        <w:t>Eur J Radiol</w:t>
      </w:r>
      <w:r w:rsidRPr="001E29B5">
        <w:rPr>
          <w:rFonts w:ascii="Book Antiqua" w:hAnsi="Book Antiqua" w:cs="宋体"/>
          <w:sz w:val="24"/>
          <w:szCs w:val="24"/>
        </w:rPr>
        <w:t> 2006; </w:t>
      </w:r>
      <w:r w:rsidRPr="001E29B5">
        <w:rPr>
          <w:rFonts w:ascii="Book Antiqua" w:hAnsi="Book Antiqua" w:cs="宋体"/>
          <w:b/>
          <w:bCs/>
          <w:sz w:val="24"/>
          <w:szCs w:val="24"/>
        </w:rPr>
        <w:t>59</w:t>
      </w:r>
      <w:r w:rsidRPr="001E29B5">
        <w:rPr>
          <w:rFonts w:ascii="Book Antiqua" w:hAnsi="Book Antiqua" w:cs="宋体"/>
          <w:sz w:val="24"/>
          <w:szCs w:val="24"/>
        </w:rPr>
        <w:t>: 149-156 [PMID: 16716552 DOI: 10.1016/j.ejrad.2006.04.007]</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13 </w:t>
      </w:r>
      <w:r w:rsidRPr="001E29B5">
        <w:rPr>
          <w:rFonts w:ascii="Book Antiqua" w:hAnsi="Book Antiqua" w:cs="宋体"/>
          <w:b/>
          <w:bCs/>
          <w:sz w:val="24"/>
          <w:szCs w:val="24"/>
        </w:rPr>
        <w:t>Zippel DB</w:t>
      </w:r>
      <w:r w:rsidRPr="001E29B5">
        <w:rPr>
          <w:rFonts w:ascii="Book Antiqua" w:hAnsi="Book Antiqua" w:cs="宋体"/>
          <w:sz w:val="24"/>
          <w:szCs w:val="24"/>
        </w:rPr>
        <w:t>, Papa MZ. The use of MR imaging guided focused ultrasound in breast cancer patients; a preliminary phase one study and review. </w:t>
      </w:r>
      <w:r w:rsidRPr="001E29B5">
        <w:rPr>
          <w:rFonts w:ascii="Book Antiqua" w:hAnsi="Book Antiqua" w:cs="宋体"/>
          <w:i/>
          <w:iCs/>
          <w:sz w:val="24"/>
          <w:szCs w:val="24"/>
        </w:rPr>
        <w:t>Breast Cancer</w:t>
      </w:r>
      <w:r w:rsidRPr="001E29B5">
        <w:rPr>
          <w:rFonts w:ascii="Book Antiqua" w:hAnsi="Book Antiqua" w:cs="宋体"/>
          <w:sz w:val="24"/>
          <w:szCs w:val="24"/>
        </w:rPr>
        <w:t> 2005; </w:t>
      </w:r>
      <w:r w:rsidRPr="001E29B5">
        <w:rPr>
          <w:rFonts w:ascii="Book Antiqua" w:hAnsi="Book Antiqua" w:cs="宋体"/>
          <w:b/>
          <w:bCs/>
          <w:sz w:val="24"/>
          <w:szCs w:val="24"/>
        </w:rPr>
        <w:t>12</w:t>
      </w:r>
      <w:r w:rsidRPr="001E29B5">
        <w:rPr>
          <w:rFonts w:ascii="Book Antiqua" w:hAnsi="Book Antiqua" w:cs="宋体"/>
          <w:sz w:val="24"/>
          <w:szCs w:val="24"/>
        </w:rPr>
        <w:t>: 32-38 [PMID: 15657521]</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14 </w:t>
      </w:r>
      <w:r w:rsidRPr="001E29B5">
        <w:rPr>
          <w:rFonts w:ascii="Book Antiqua" w:hAnsi="Book Antiqua" w:cs="宋体"/>
          <w:b/>
          <w:bCs/>
          <w:sz w:val="24"/>
          <w:szCs w:val="24"/>
        </w:rPr>
        <w:t>Wu F</w:t>
      </w:r>
      <w:r w:rsidRPr="001E29B5">
        <w:rPr>
          <w:rFonts w:ascii="Book Antiqua" w:hAnsi="Book Antiqua" w:cs="宋体"/>
          <w:sz w:val="24"/>
          <w:szCs w:val="24"/>
        </w:rPr>
        <w:t>, Wang ZB, Zhu H, Chen WZ, Zou JZ, Bai J, Li KQ, Jin CB, Xie FL, Su HB. Extracorporeal high intensity focused ultrasound treatment for patients with breast cancer. </w:t>
      </w:r>
      <w:r w:rsidRPr="001E29B5">
        <w:rPr>
          <w:rFonts w:ascii="Book Antiqua" w:hAnsi="Book Antiqua" w:cs="宋体"/>
          <w:i/>
          <w:iCs/>
          <w:sz w:val="24"/>
          <w:szCs w:val="24"/>
        </w:rPr>
        <w:t>Breast Cancer Res Treat</w:t>
      </w:r>
      <w:r w:rsidRPr="001E29B5">
        <w:rPr>
          <w:rFonts w:ascii="Book Antiqua" w:hAnsi="Book Antiqua" w:cs="宋体"/>
          <w:sz w:val="24"/>
          <w:szCs w:val="24"/>
        </w:rPr>
        <w:t> 2005; </w:t>
      </w:r>
      <w:r w:rsidRPr="001E29B5">
        <w:rPr>
          <w:rFonts w:ascii="Book Antiqua" w:hAnsi="Book Antiqua" w:cs="宋体"/>
          <w:b/>
          <w:bCs/>
          <w:sz w:val="24"/>
          <w:szCs w:val="24"/>
        </w:rPr>
        <w:t>92</w:t>
      </w:r>
      <w:r w:rsidRPr="001E29B5">
        <w:rPr>
          <w:rFonts w:ascii="Book Antiqua" w:hAnsi="Book Antiqua" w:cs="宋体"/>
          <w:sz w:val="24"/>
          <w:szCs w:val="24"/>
        </w:rPr>
        <w:t>: 51-60 [PMID: 15980991 DOI: 10.1007/s10549-004-5778-7]</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15 </w:t>
      </w:r>
      <w:r w:rsidRPr="001E29B5">
        <w:rPr>
          <w:rFonts w:ascii="Book Antiqua" w:hAnsi="Book Antiqua" w:cs="宋体"/>
          <w:b/>
          <w:bCs/>
          <w:sz w:val="24"/>
          <w:szCs w:val="24"/>
        </w:rPr>
        <w:t>Napoli A</w:t>
      </w:r>
      <w:r w:rsidRPr="001E29B5">
        <w:rPr>
          <w:rFonts w:ascii="Book Antiqua" w:hAnsi="Book Antiqua" w:cs="宋体"/>
          <w:sz w:val="24"/>
          <w:szCs w:val="24"/>
        </w:rPr>
        <w:t>, Anzidei M, Ciolina F, Marotta E, Cavallo Marincola B, Brachetti G, Di Mare L, Cartocci G, Boni F, Noce V, Bertaccini L, Catalano C. MR-guided high-intensity focused ultrasound: current status of an emerging technology. </w:t>
      </w:r>
      <w:r w:rsidRPr="001E29B5">
        <w:rPr>
          <w:rFonts w:ascii="Book Antiqua" w:hAnsi="Book Antiqua" w:cs="宋体"/>
          <w:i/>
          <w:iCs/>
          <w:sz w:val="24"/>
          <w:szCs w:val="24"/>
        </w:rPr>
        <w:t>Cardiovasc Intervent Radiol</w:t>
      </w:r>
      <w:r w:rsidRPr="001E29B5">
        <w:rPr>
          <w:rFonts w:ascii="Book Antiqua" w:hAnsi="Book Antiqua" w:cs="宋体"/>
          <w:sz w:val="24"/>
          <w:szCs w:val="24"/>
        </w:rPr>
        <w:t> 2013; </w:t>
      </w:r>
      <w:r w:rsidRPr="001E29B5">
        <w:rPr>
          <w:rFonts w:ascii="Book Antiqua" w:hAnsi="Book Antiqua" w:cs="宋体"/>
          <w:b/>
          <w:bCs/>
          <w:sz w:val="24"/>
          <w:szCs w:val="24"/>
        </w:rPr>
        <w:t>36</w:t>
      </w:r>
      <w:r w:rsidRPr="001E29B5">
        <w:rPr>
          <w:rFonts w:ascii="Book Antiqua" w:hAnsi="Book Antiqua" w:cs="宋体"/>
          <w:sz w:val="24"/>
          <w:szCs w:val="24"/>
        </w:rPr>
        <w:t>: 1190-1203 [PMID: 23474917 DOI: 10.1007/s00270-013-0592-4]</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16 </w:t>
      </w:r>
      <w:r w:rsidRPr="001E29B5">
        <w:rPr>
          <w:rFonts w:ascii="Book Antiqua" w:hAnsi="Book Antiqua" w:cs="宋体"/>
          <w:b/>
          <w:bCs/>
          <w:sz w:val="24"/>
          <w:szCs w:val="24"/>
        </w:rPr>
        <w:t>Okada A</w:t>
      </w:r>
      <w:r w:rsidRPr="001E29B5">
        <w:rPr>
          <w:rFonts w:ascii="Book Antiqua" w:hAnsi="Book Antiqua" w:cs="宋体"/>
          <w:sz w:val="24"/>
          <w:szCs w:val="24"/>
        </w:rPr>
        <w:t>, Murakami T, Mikami K, Onishi H, Tanigawa N, Marukawa T, Nakamura H. A case of hepatocellular carcinoma treated by MR-guided focused ultrasound ablation with respiratory gating. </w:t>
      </w:r>
      <w:r w:rsidRPr="001E29B5">
        <w:rPr>
          <w:rFonts w:ascii="Book Antiqua" w:hAnsi="Book Antiqua" w:cs="宋体"/>
          <w:i/>
          <w:iCs/>
          <w:sz w:val="24"/>
          <w:szCs w:val="24"/>
        </w:rPr>
        <w:t>Magn Reson Med Sci</w:t>
      </w:r>
      <w:r w:rsidRPr="001E29B5">
        <w:rPr>
          <w:rFonts w:ascii="Book Antiqua" w:hAnsi="Book Antiqua" w:cs="宋体"/>
          <w:sz w:val="24"/>
          <w:szCs w:val="24"/>
        </w:rPr>
        <w:t> 2006; </w:t>
      </w:r>
      <w:r w:rsidRPr="001E29B5">
        <w:rPr>
          <w:rFonts w:ascii="Book Antiqua" w:hAnsi="Book Antiqua" w:cs="宋体"/>
          <w:b/>
          <w:bCs/>
          <w:sz w:val="24"/>
          <w:szCs w:val="24"/>
        </w:rPr>
        <w:t>5</w:t>
      </w:r>
      <w:r w:rsidRPr="001E29B5">
        <w:rPr>
          <w:rFonts w:ascii="Book Antiqua" w:hAnsi="Book Antiqua" w:cs="宋体"/>
          <w:sz w:val="24"/>
          <w:szCs w:val="24"/>
        </w:rPr>
        <w:t>: 167-171 [PMID: 17139143]</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lastRenderedPageBreak/>
        <w:t>17 </w:t>
      </w:r>
      <w:r w:rsidRPr="001E29B5">
        <w:rPr>
          <w:rFonts w:ascii="Book Antiqua" w:hAnsi="Book Antiqua" w:cs="宋体"/>
          <w:b/>
          <w:bCs/>
          <w:sz w:val="24"/>
          <w:szCs w:val="24"/>
        </w:rPr>
        <w:t>Illing RO</w:t>
      </w:r>
      <w:r w:rsidRPr="001E29B5">
        <w:rPr>
          <w:rFonts w:ascii="Book Antiqua" w:hAnsi="Book Antiqua" w:cs="宋体"/>
          <w:sz w:val="24"/>
          <w:szCs w:val="24"/>
        </w:rPr>
        <w:t>, Kennedy JE, Wu F, ter Haar GR, Protheroe AS, Friend PJ, Gleeson FV, Cranston DW, Phillips RR, Middleton MR. The safety and feasibility of extracorporeal high-intensity focused ultrasound (HIFU) for the treatment of liver and kidney tumours in a Western population. </w:t>
      </w:r>
      <w:r w:rsidRPr="001E29B5">
        <w:rPr>
          <w:rFonts w:ascii="Book Antiqua" w:hAnsi="Book Antiqua" w:cs="宋体"/>
          <w:i/>
          <w:iCs/>
          <w:sz w:val="24"/>
          <w:szCs w:val="24"/>
        </w:rPr>
        <w:t>Br J Cancer</w:t>
      </w:r>
      <w:r w:rsidRPr="001E29B5">
        <w:rPr>
          <w:rFonts w:ascii="Book Antiqua" w:hAnsi="Book Antiqua" w:cs="宋体"/>
          <w:sz w:val="24"/>
          <w:szCs w:val="24"/>
        </w:rPr>
        <w:t> 2005; </w:t>
      </w:r>
      <w:r w:rsidRPr="001E29B5">
        <w:rPr>
          <w:rFonts w:ascii="Book Antiqua" w:hAnsi="Book Antiqua" w:cs="宋体"/>
          <w:b/>
          <w:bCs/>
          <w:sz w:val="24"/>
          <w:szCs w:val="24"/>
        </w:rPr>
        <w:t>93</w:t>
      </w:r>
      <w:r w:rsidRPr="001E29B5">
        <w:rPr>
          <w:rFonts w:ascii="Book Antiqua" w:hAnsi="Book Antiqua" w:cs="宋体"/>
          <w:sz w:val="24"/>
          <w:szCs w:val="24"/>
        </w:rPr>
        <w:t>: 890-895 [PMID: 16189519 DOI: 10.1038/sj.bjc.6602803]</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18 </w:t>
      </w:r>
      <w:r w:rsidRPr="001E29B5">
        <w:rPr>
          <w:rFonts w:ascii="Book Antiqua" w:hAnsi="Book Antiqua" w:cs="宋体"/>
          <w:b/>
          <w:bCs/>
          <w:sz w:val="24"/>
          <w:szCs w:val="24"/>
        </w:rPr>
        <w:t>Wu F</w:t>
      </w:r>
      <w:r w:rsidRPr="001E29B5">
        <w:rPr>
          <w:rFonts w:ascii="Book Antiqua" w:hAnsi="Book Antiqua" w:cs="宋体"/>
          <w:sz w:val="24"/>
          <w:szCs w:val="24"/>
        </w:rPr>
        <w:t>, Wang ZB, Chen WZ, Bai J, Zhu H, Qiao TY. Preliminary experience using high intensity focused ultrasound for the treatment of patients with advanced stage renal malignancy. </w:t>
      </w:r>
      <w:r w:rsidRPr="001E29B5">
        <w:rPr>
          <w:rFonts w:ascii="Book Antiqua" w:hAnsi="Book Antiqua" w:cs="宋体"/>
          <w:i/>
          <w:iCs/>
          <w:sz w:val="24"/>
          <w:szCs w:val="24"/>
        </w:rPr>
        <w:t>J Urol</w:t>
      </w:r>
      <w:r w:rsidRPr="001E29B5">
        <w:rPr>
          <w:rFonts w:ascii="Book Antiqua" w:hAnsi="Book Antiqua" w:cs="宋体"/>
          <w:sz w:val="24"/>
          <w:szCs w:val="24"/>
        </w:rPr>
        <w:t> 2003; </w:t>
      </w:r>
      <w:r w:rsidRPr="001E29B5">
        <w:rPr>
          <w:rFonts w:ascii="Book Antiqua" w:hAnsi="Book Antiqua" w:cs="宋体"/>
          <w:b/>
          <w:bCs/>
          <w:sz w:val="24"/>
          <w:szCs w:val="24"/>
        </w:rPr>
        <w:t>170</w:t>
      </w:r>
      <w:r w:rsidRPr="001E29B5">
        <w:rPr>
          <w:rFonts w:ascii="Book Antiqua" w:hAnsi="Book Antiqua" w:cs="宋体"/>
          <w:sz w:val="24"/>
          <w:szCs w:val="24"/>
        </w:rPr>
        <w:t>: 2237-2240 [PMID: 14634387]</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19 </w:t>
      </w:r>
      <w:r w:rsidRPr="001E29B5">
        <w:rPr>
          <w:rFonts w:ascii="Book Antiqua" w:hAnsi="Book Antiqua" w:cs="宋体"/>
          <w:b/>
          <w:bCs/>
          <w:sz w:val="24"/>
          <w:szCs w:val="24"/>
        </w:rPr>
        <w:t>Sofuni A</w:t>
      </w:r>
      <w:r w:rsidRPr="001E29B5">
        <w:rPr>
          <w:rFonts w:ascii="Book Antiqua" w:hAnsi="Book Antiqua" w:cs="宋体"/>
          <w:sz w:val="24"/>
          <w:szCs w:val="24"/>
        </w:rPr>
        <w:t>, Moriyasu F, Sano T, Itokawa F, Tsuchiya T, Kurihara T, Ishii K, Tsuji S, Ikeuchi N, Tanaka R, Umeda J, Tonozuka R, Honjo M, Mukai S, Fujita M, Itoi T. Safety trial of high-intensity focused ultrasound therapy for pancreatic cancer. </w:t>
      </w:r>
      <w:r w:rsidRPr="001E29B5">
        <w:rPr>
          <w:rFonts w:ascii="Book Antiqua" w:hAnsi="Book Antiqua" w:cs="宋体"/>
          <w:i/>
          <w:iCs/>
          <w:sz w:val="24"/>
          <w:szCs w:val="24"/>
        </w:rPr>
        <w:t>World J Gastroenterol</w:t>
      </w:r>
      <w:r w:rsidRPr="001E29B5">
        <w:rPr>
          <w:rFonts w:ascii="Book Antiqua" w:hAnsi="Book Antiqua" w:cs="宋体"/>
          <w:sz w:val="24"/>
          <w:szCs w:val="24"/>
        </w:rPr>
        <w:t> 2014; </w:t>
      </w:r>
      <w:r w:rsidRPr="001E29B5">
        <w:rPr>
          <w:rFonts w:ascii="Book Antiqua" w:hAnsi="Book Antiqua" w:cs="宋体"/>
          <w:b/>
          <w:bCs/>
          <w:sz w:val="24"/>
          <w:szCs w:val="24"/>
        </w:rPr>
        <w:t>20</w:t>
      </w:r>
      <w:r w:rsidRPr="001E29B5">
        <w:rPr>
          <w:rFonts w:ascii="Book Antiqua" w:hAnsi="Book Antiqua" w:cs="宋体"/>
          <w:sz w:val="24"/>
          <w:szCs w:val="24"/>
        </w:rPr>
        <w:t>: 9570-9577 [PMID: 25071354 DOI: 10.3748/wjg.v20.i28.9570]</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20 </w:t>
      </w:r>
      <w:r w:rsidRPr="001E29B5">
        <w:rPr>
          <w:rFonts w:ascii="Book Antiqua" w:hAnsi="Book Antiqua" w:cs="宋体"/>
          <w:b/>
          <w:bCs/>
          <w:sz w:val="24"/>
          <w:szCs w:val="24"/>
        </w:rPr>
        <w:t>Bucknor MD</w:t>
      </w:r>
      <w:r w:rsidRPr="001E29B5">
        <w:rPr>
          <w:rFonts w:ascii="Book Antiqua" w:hAnsi="Book Antiqua" w:cs="宋体"/>
          <w:sz w:val="24"/>
          <w:szCs w:val="24"/>
        </w:rPr>
        <w:t>, Rieke V, Do L, Majumdar S, Link TM, Saeed M. MRI-guided high-intensity focused ultrasound ablation of bone: evaluation of acute findings with MR and CT imaging in a swine model. </w:t>
      </w:r>
      <w:r w:rsidRPr="001E29B5">
        <w:rPr>
          <w:rFonts w:ascii="Book Antiqua" w:hAnsi="Book Antiqua" w:cs="宋体"/>
          <w:i/>
          <w:iCs/>
          <w:sz w:val="24"/>
          <w:szCs w:val="24"/>
        </w:rPr>
        <w:t>J Magn Reson Imaging</w:t>
      </w:r>
      <w:r w:rsidRPr="001E29B5">
        <w:rPr>
          <w:rFonts w:ascii="Book Antiqua" w:hAnsi="Book Antiqua" w:cs="宋体"/>
          <w:sz w:val="24"/>
          <w:szCs w:val="24"/>
        </w:rPr>
        <w:t> 2014; </w:t>
      </w:r>
      <w:r w:rsidRPr="001E29B5">
        <w:rPr>
          <w:rFonts w:ascii="Book Antiqua" w:hAnsi="Book Antiqua" w:cs="宋体"/>
          <w:b/>
          <w:bCs/>
          <w:sz w:val="24"/>
          <w:szCs w:val="24"/>
        </w:rPr>
        <w:t>40</w:t>
      </w:r>
      <w:r w:rsidRPr="001E29B5">
        <w:rPr>
          <w:rFonts w:ascii="Book Antiqua" w:hAnsi="Book Antiqua" w:cs="宋体"/>
          <w:sz w:val="24"/>
          <w:szCs w:val="24"/>
        </w:rPr>
        <w:t>: 1174-1180 [PMID: 24925593 DOI: 10.1002/jmri.24451]</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21 </w:t>
      </w:r>
      <w:r w:rsidRPr="001E29B5">
        <w:rPr>
          <w:rFonts w:ascii="Book Antiqua" w:hAnsi="Book Antiqua" w:cs="宋体"/>
          <w:b/>
          <w:bCs/>
          <w:sz w:val="24"/>
          <w:szCs w:val="24"/>
        </w:rPr>
        <w:t>Bucknor MD</w:t>
      </w:r>
      <w:r w:rsidRPr="001E29B5">
        <w:rPr>
          <w:rFonts w:ascii="Book Antiqua" w:hAnsi="Book Antiqua" w:cs="宋体"/>
          <w:sz w:val="24"/>
          <w:szCs w:val="24"/>
        </w:rPr>
        <w:t>, Rieke V, Seo Y, Horvai AE, Hawkins RA, Majumdar S, Link TM, Saeed M. Bone remodeling after MR imaging-guided high-intensity focused ultrasound ablation: evaluation with MR imaging, CT, Na(18)F-PET, and histopathologic examination in a swine model. </w:t>
      </w:r>
      <w:r w:rsidRPr="001E29B5">
        <w:rPr>
          <w:rFonts w:ascii="Book Antiqua" w:hAnsi="Book Antiqua" w:cs="宋体"/>
          <w:i/>
          <w:iCs/>
          <w:sz w:val="24"/>
          <w:szCs w:val="24"/>
        </w:rPr>
        <w:t>Radiology</w:t>
      </w:r>
      <w:r w:rsidRPr="001E29B5">
        <w:rPr>
          <w:rFonts w:ascii="Book Antiqua" w:hAnsi="Book Antiqua" w:cs="宋体"/>
          <w:sz w:val="24"/>
          <w:szCs w:val="24"/>
        </w:rPr>
        <w:t> 2015; </w:t>
      </w:r>
      <w:r w:rsidRPr="001E29B5">
        <w:rPr>
          <w:rFonts w:ascii="Book Antiqua" w:hAnsi="Book Antiqua" w:cs="宋体"/>
          <w:b/>
          <w:bCs/>
          <w:sz w:val="24"/>
          <w:szCs w:val="24"/>
        </w:rPr>
        <w:t>274</w:t>
      </w:r>
      <w:r w:rsidRPr="001E29B5">
        <w:rPr>
          <w:rFonts w:ascii="Book Antiqua" w:hAnsi="Book Antiqua" w:cs="宋体"/>
          <w:sz w:val="24"/>
          <w:szCs w:val="24"/>
        </w:rPr>
        <w:t>: 387-394 [PMID: 25302829 DOI: 10.1148/radiol.14132605]</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22 </w:t>
      </w:r>
      <w:r w:rsidRPr="001E29B5">
        <w:rPr>
          <w:rFonts w:ascii="Book Antiqua" w:hAnsi="Book Antiqua" w:cs="宋体"/>
          <w:b/>
          <w:bCs/>
          <w:sz w:val="24"/>
          <w:szCs w:val="24"/>
        </w:rPr>
        <w:t>Wile GE</w:t>
      </w:r>
      <w:r w:rsidRPr="001E29B5">
        <w:rPr>
          <w:rFonts w:ascii="Book Antiqua" w:hAnsi="Book Antiqua" w:cs="宋体"/>
          <w:sz w:val="24"/>
          <w:szCs w:val="24"/>
        </w:rPr>
        <w:t>, Leyendecker JR, Krehbiel KA, Dyer RB, Zagoria RJ. CT and MR imaging after imaging-guided thermal ablation of renal neoplasms. </w:t>
      </w:r>
      <w:r w:rsidRPr="001E29B5">
        <w:rPr>
          <w:rFonts w:ascii="Book Antiqua" w:hAnsi="Book Antiqua" w:cs="宋体"/>
          <w:i/>
          <w:iCs/>
          <w:sz w:val="24"/>
          <w:szCs w:val="24"/>
        </w:rPr>
        <w:t>Radiographics</w:t>
      </w:r>
      <w:r w:rsidRPr="001E29B5">
        <w:rPr>
          <w:rFonts w:ascii="Book Antiqua" w:hAnsi="Book Antiqua" w:cs="宋体"/>
          <w:sz w:val="24"/>
          <w:szCs w:val="24"/>
        </w:rPr>
        <w:t> 2007; </w:t>
      </w:r>
      <w:r w:rsidRPr="001E29B5">
        <w:rPr>
          <w:rFonts w:ascii="Book Antiqua" w:hAnsi="Book Antiqua" w:cs="宋体"/>
          <w:b/>
          <w:bCs/>
          <w:sz w:val="24"/>
          <w:szCs w:val="24"/>
        </w:rPr>
        <w:t>27</w:t>
      </w:r>
      <w:r w:rsidRPr="001E29B5">
        <w:rPr>
          <w:rFonts w:ascii="Book Antiqua" w:hAnsi="Book Antiqua" w:cs="宋体"/>
          <w:sz w:val="24"/>
          <w:szCs w:val="24"/>
        </w:rPr>
        <w:t>: 325-339; discussion 339-340 [PMID: 17374856]</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23 </w:t>
      </w:r>
      <w:r w:rsidRPr="001E29B5">
        <w:rPr>
          <w:rFonts w:ascii="Book Antiqua" w:hAnsi="Book Antiqua" w:cs="宋体"/>
          <w:b/>
          <w:bCs/>
          <w:sz w:val="24"/>
          <w:szCs w:val="24"/>
        </w:rPr>
        <w:t>Davenport MS</w:t>
      </w:r>
      <w:r w:rsidRPr="001E29B5">
        <w:rPr>
          <w:rFonts w:ascii="Book Antiqua" w:hAnsi="Book Antiqua" w:cs="宋体"/>
          <w:sz w:val="24"/>
          <w:szCs w:val="24"/>
        </w:rPr>
        <w:t>, Caoili EM, Cohan RH, Ellis JH, Higgins EJ, Willatt J, Fox GA. MRI and CT characteristics of successfully ablated renal masses: Imaging surveillance after radiofrequency ablation. </w:t>
      </w:r>
      <w:r w:rsidRPr="001E29B5">
        <w:rPr>
          <w:rFonts w:ascii="Book Antiqua" w:hAnsi="Book Antiqua" w:cs="宋体"/>
          <w:i/>
          <w:iCs/>
          <w:sz w:val="24"/>
          <w:szCs w:val="24"/>
        </w:rPr>
        <w:t>AJR Am J Roentgenol</w:t>
      </w:r>
      <w:r w:rsidRPr="001E29B5">
        <w:rPr>
          <w:rFonts w:ascii="Book Antiqua" w:hAnsi="Book Antiqua" w:cs="宋体"/>
          <w:sz w:val="24"/>
          <w:szCs w:val="24"/>
        </w:rPr>
        <w:t> 2009; </w:t>
      </w:r>
      <w:r w:rsidRPr="001E29B5">
        <w:rPr>
          <w:rFonts w:ascii="Book Antiqua" w:hAnsi="Book Antiqua" w:cs="宋体"/>
          <w:b/>
          <w:bCs/>
          <w:sz w:val="24"/>
          <w:szCs w:val="24"/>
        </w:rPr>
        <w:t>192</w:t>
      </w:r>
      <w:r w:rsidRPr="001E29B5">
        <w:rPr>
          <w:rFonts w:ascii="Book Antiqua" w:hAnsi="Book Antiqua" w:cs="宋体"/>
          <w:sz w:val="24"/>
          <w:szCs w:val="24"/>
        </w:rPr>
        <w:t>: 1571-1578 [PMID: 19457820 DOI: 10.2214/AJR.08.1303]</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24 </w:t>
      </w:r>
      <w:r w:rsidRPr="001E29B5">
        <w:rPr>
          <w:rFonts w:ascii="Book Antiqua" w:hAnsi="Book Antiqua" w:cs="宋体"/>
          <w:b/>
          <w:bCs/>
          <w:sz w:val="24"/>
          <w:szCs w:val="24"/>
        </w:rPr>
        <w:t>Fukatsu H</w:t>
      </w:r>
      <w:r w:rsidRPr="001E29B5">
        <w:rPr>
          <w:rFonts w:ascii="Book Antiqua" w:hAnsi="Book Antiqua" w:cs="宋体"/>
          <w:sz w:val="24"/>
          <w:szCs w:val="24"/>
        </w:rPr>
        <w:t>. 3T MR for clinical use: update. </w:t>
      </w:r>
      <w:r w:rsidRPr="001E29B5">
        <w:rPr>
          <w:rFonts w:ascii="Book Antiqua" w:hAnsi="Book Antiqua" w:cs="宋体"/>
          <w:i/>
          <w:iCs/>
          <w:sz w:val="24"/>
          <w:szCs w:val="24"/>
        </w:rPr>
        <w:t>Magn Reson Med Sci</w:t>
      </w:r>
      <w:r w:rsidRPr="001E29B5">
        <w:rPr>
          <w:rFonts w:ascii="Book Antiqua" w:hAnsi="Book Antiqua" w:cs="宋体"/>
          <w:sz w:val="24"/>
          <w:szCs w:val="24"/>
        </w:rPr>
        <w:t> 2003; </w:t>
      </w:r>
      <w:r w:rsidRPr="001E29B5">
        <w:rPr>
          <w:rFonts w:ascii="Book Antiqua" w:hAnsi="Book Antiqua" w:cs="宋体"/>
          <w:b/>
          <w:bCs/>
          <w:sz w:val="24"/>
          <w:szCs w:val="24"/>
        </w:rPr>
        <w:t>2</w:t>
      </w:r>
      <w:r w:rsidRPr="001E29B5">
        <w:rPr>
          <w:rFonts w:ascii="Book Antiqua" w:hAnsi="Book Antiqua" w:cs="宋体"/>
          <w:sz w:val="24"/>
          <w:szCs w:val="24"/>
        </w:rPr>
        <w:t>: 37-45 [PMID: 16210818]</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lastRenderedPageBreak/>
        <w:t>25 </w:t>
      </w:r>
      <w:r w:rsidRPr="001E29B5">
        <w:rPr>
          <w:rFonts w:ascii="Book Antiqua" w:hAnsi="Book Antiqua" w:cs="宋体"/>
          <w:b/>
          <w:bCs/>
          <w:sz w:val="24"/>
          <w:szCs w:val="24"/>
        </w:rPr>
        <w:t>Wijlemans JW</w:t>
      </w:r>
      <w:r w:rsidRPr="001E29B5">
        <w:rPr>
          <w:rFonts w:ascii="Book Antiqua" w:hAnsi="Book Antiqua" w:cs="宋体"/>
          <w:sz w:val="24"/>
          <w:szCs w:val="24"/>
        </w:rPr>
        <w:t>, de Greef M, Schubert G, Bartels LW, Moonen CT, van den Bosch MA, Ries M. A clinically feasible treatment protocol for magnetic resonance-guided high-intensity focused ultrasound ablation in the liver. </w:t>
      </w:r>
      <w:r w:rsidRPr="001E29B5">
        <w:rPr>
          <w:rFonts w:ascii="Book Antiqua" w:hAnsi="Book Antiqua" w:cs="宋体"/>
          <w:i/>
          <w:iCs/>
          <w:sz w:val="24"/>
          <w:szCs w:val="24"/>
        </w:rPr>
        <w:t>Invest Radiol</w:t>
      </w:r>
      <w:r w:rsidRPr="001E29B5">
        <w:rPr>
          <w:rFonts w:ascii="Book Antiqua" w:hAnsi="Book Antiqua" w:cs="宋体"/>
          <w:sz w:val="24"/>
          <w:szCs w:val="24"/>
        </w:rPr>
        <w:t> 2015; </w:t>
      </w:r>
      <w:r w:rsidRPr="001E29B5">
        <w:rPr>
          <w:rFonts w:ascii="Book Antiqua" w:hAnsi="Book Antiqua" w:cs="宋体"/>
          <w:b/>
          <w:bCs/>
          <w:sz w:val="24"/>
          <w:szCs w:val="24"/>
        </w:rPr>
        <w:t>50</w:t>
      </w:r>
      <w:r w:rsidRPr="001E29B5">
        <w:rPr>
          <w:rFonts w:ascii="Book Antiqua" w:hAnsi="Book Antiqua" w:cs="宋体"/>
          <w:sz w:val="24"/>
          <w:szCs w:val="24"/>
        </w:rPr>
        <w:t>: 24-31 [PMID: 25198833 DOI: 10.1097/RLI.0000000000000091]</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26 </w:t>
      </w:r>
      <w:r w:rsidRPr="001E29B5">
        <w:rPr>
          <w:rFonts w:ascii="Book Antiqua" w:hAnsi="Book Antiqua" w:cs="宋体"/>
          <w:b/>
          <w:bCs/>
          <w:sz w:val="24"/>
          <w:szCs w:val="24"/>
        </w:rPr>
        <w:t>Wijlemans JW</w:t>
      </w:r>
      <w:r w:rsidRPr="001E29B5">
        <w:rPr>
          <w:rFonts w:ascii="Book Antiqua" w:hAnsi="Book Antiqua" w:cs="宋体"/>
          <w:sz w:val="24"/>
          <w:szCs w:val="24"/>
        </w:rPr>
        <w:t>, Deckers R, van den Bosch MA, Seinstra BA, van Stralen M, van Diest PJ, Moonen CT, Bartels LW. Evolution of the ablation region after magnetic resonance-guided high-intensity focused ultrasound ablation in a Vx2 tumor model. </w:t>
      </w:r>
      <w:r w:rsidRPr="001E29B5">
        <w:rPr>
          <w:rFonts w:ascii="Book Antiqua" w:hAnsi="Book Antiqua" w:cs="宋体"/>
          <w:i/>
          <w:iCs/>
          <w:sz w:val="24"/>
          <w:szCs w:val="24"/>
        </w:rPr>
        <w:t>Invest Radiol</w:t>
      </w:r>
      <w:r w:rsidRPr="001E29B5">
        <w:rPr>
          <w:rFonts w:ascii="Book Antiqua" w:hAnsi="Book Antiqua" w:cs="宋体"/>
          <w:sz w:val="24"/>
          <w:szCs w:val="24"/>
        </w:rPr>
        <w:t> 2013; </w:t>
      </w:r>
      <w:r w:rsidRPr="001E29B5">
        <w:rPr>
          <w:rFonts w:ascii="Book Antiqua" w:hAnsi="Book Antiqua" w:cs="宋体"/>
          <w:b/>
          <w:bCs/>
          <w:sz w:val="24"/>
          <w:szCs w:val="24"/>
        </w:rPr>
        <w:t>48</w:t>
      </w:r>
      <w:r w:rsidRPr="001E29B5">
        <w:rPr>
          <w:rFonts w:ascii="Book Antiqua" w:hAnsi="Book Antiqua" w:cs="宋体"/>
          <w:sz w:val="24"/>
          <w:szCs w:val="24"/>
        </w:rPr>
        <w:t>: 381-386 [PMID: 23399810 DOI: 10.1097/RLI.0b013e3182820257]</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27 </w:t>
      </w:r>
      <w:r w:rsidRPr="001E29B5">
        <w:rPr>
          <w:rFonts w:ascii="Book Antiqua" w:hAnsi="Book Antiqua" w:cs="宋体"/>
          <w:b/>
          <w:bCs/>
          <w:sz w:val="24"/>
          <w:szCs w:val="24"/>
        </w:rPr>
        <w:t>Zibly Z</w:t>
      </w:r>
      <w:r w:rsidRPr="001E29B5">
        <w:rPr>
          <w:rFonts w:ascii="Book Antiqua" w:hAnsi="Book Antiqua" w:cs="宋体"/>
          <w:sz w:val="24"/>
          <w:szCs w:val="24"/>
        </w:rPr>
        <w:t>, Graves CA, Harnof S, Hadani M, Cohen ZR. Sonoablation and application of MRI guided focused ultrasound in a preclinical model. </w:t>
      </w:r>
      <w:r w:rsidRPr="001E29B5">
        <w:rPr>
          <w:rFonts w:ascii="Book Antiqua" w:hAnsi="Book Antiqua" w:cs="宋体"/>
          <w:i/>
          <w:iCs/>
          <w:sz w:val="24"/>
          <w:szCs w:val="24"/>
        </w:rPr>
        <w:t>J Clin Neurosci</w:t>
      </w:r>
      <w:r w:rsidRPr="001E29B5">
        <w:rPr>
          <w:rFonts w:ascii="Book Antiqua" w:hAnsi="Book Antiqua" w:cs="宋体"/>
          <w:sz w:val="24"/>
          <w:szCs w:val="24"/>
        </w:rPr>
        <w:t> 2014; </w:t>
      </w:r>
      <w:r w:rsidRPr="001E29B5">
        <w:rPr>
          <w:rFonts w:ascii="Book Antiqua" w:hAnsi="Book Antiqua" w:cs="宋体"/>
          <w:b/>
          <w:bCs/>
          <w:sz w:val="24"/>
          <w:szCs w:val="24"/>
        </w:rPr>
        <w:t>21</w:t>
      </w:r>
      <w:r w:rsidRPr="001E29B5">
        <w:rPr>
          <w:rFonts w:ascii="Book Antiqua" w:hAnsi="Book Antiqua" w:cs="宋体"/>
          <w:sz w:val="24"/>
          <w:szCs w:val="24"/>
        </w:rPr>
        <w:t>: 1808-1814 [PMID: 25012486 DOI: 10.1016/j.jocn.2014.04.008]</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28 </w:t>
      </w:r>
      <w:r w:rsidRPr="001E29B5">
        <w:rPr>
          <w:rFonts w:ascii="Book Antiqua" w:hAnsi="Book Antiqua" w:cs="宋体"/>
          <w:b/>
          <w:bCs/>
          <w:sz w:val="24"/>
          <w:szCs w:val="24"/>
        </w:rPr>
        <w:t>Wu F</w:t>
      </w:r>
      <w:r w:rsidRPr="001E29B5">
        <w:rPr>
          <w:rFonts w:ascii="Book Antiqua" w:hAnsi="Book Antiqua" w:cs="宋体"/>
          <w:sz w:val="24"/>
          <w:szCs w:val="24"/>
        </w:rPr>
        <w:t>, Chen WZ, Bai J, Zou JZ, Wang ZL, Zhu H, Wang ZB. Tumor vessel destruction resulting from high-intensity focused ultrasound in patients with solid malignancies. </w:t>
      </w:r>
      <w:r w:rsidRPr="001E29B5">
        <w:rPr>
          <w:rFonts w:ascii="Book Antiqua" w:hAnsi="Book Antiqua" w:cs="宋体"/>
          <w:i/>
          <w:iCs/>
          <w:sz w:val="24"/>
          <w:szCs w:val="24"/>
        </w:rPr>
        <w:t>Ultrasound Med Biol</w:t>
      </w:r>
      <w:r w:rsidRPr="001E29B5">
        <w:rPr>
          <w:rFonts w:ascii="Book Antiqua" w:hAnsi="Book Antiqua" w:cs="宋体"/>
          <w:sz w:val="24"/>
          <w:szCs w:val="24"/>
        </w:rPr>
        <w:t> 2002; </w:t>
      </w:r>
      <w:r w:rsidRPr="001E29B5">
        <w:rPr>
          <w:rFonts w:ascii="Book Antiqua" w:hAnsi="Book Antiqua" w:cs="宋体"/>
          <w:b/>
          <w:bCs/>
          <w:sz w:val="24"/>
          <w:szCs w:val="24"/>
        </w:rPr>
        <w:t>28</w:t>
      </w:r>
      <w:r w:rsidRPr="001E29B5">
        <w:rPr>
          <w:rFonts w:ascii="Book Antiqua" w:hAnsi="Book Antiqua" w:cs="宋体"/>
          <w:sz w:val="24"/>
          <w:szCs w:val="24"/>
        </w:rPr>
        <w:t>: 535-542 [PMID: 12049967 DOI: 10.1016/S0301-5629(01)00515-4]</w:t>
      </w:r>
    </w:p>
    <w:p w:rsidR="00E8308C" w:rsidRPr="001E29B5" w:rsidRDefault="00E8308C" w:rsidP="00036E8E">
      <w:pPr>
        <w:spacing w:after="0" w:line="360" w:lineRule="auto"/>
        <w:jc w:val="both"/>
        <w:rPr>
          <w:rFonts w:ascii="Book Antiqua" w:hAnsi="Book Antiqua" w:cs="宋体"/>
          <w:sz w:val="24"/>
          <w:szCs w:val="24"/>
        </w:rPr>
      </w:pPr>
      <w:r w:rsidRPr="001E29B5">
        <w:rPr>
          <w:rFonts w:ascii="Book Antiqua" w:hAnsi="Book Antiqua" w:cs="宋体"/>
          <w:sz w:val="24"/>
          <w:szCs w:val="24"/>
        </w:rPr>
        <w:t>29 </w:t>
      </w:r>
      <w:r w:rsidRPr="001E29B5">
        <w:rPr>
          <w:rFonts w:ascii="Book Antiqua" w:hAnsi="Book Antiqua" w:cs="宋体"/>
          <w:b/>
          <w:bCs/>
          <w:sz w:val="24"/>
          <w:szCs w:val="24"/>
        </w:rPr>
        <w:t>Shaw CJ</w:t>
      </w:r>
      <w:r w:rsidRPr="001E29B5">
        <w:rPr>
          <w:rFonts w:ascii="Book Antiqua" w:hAnsi="Book Antiqua" w:cs="宋体"/>
          <w:sz w:val="24"/>
          <w:szCs w:val="24"/>
        </w:rPr>
        <w:t>, ter Haar GR, Rivens IH, Giussani DA, Lees CC. Pathophysiological mechanisms of high-intensity focused ultrasound-mediated vascular occlusion and relevance to non-invasive fetal surgery. </w:t>
      </w:r>
      <w:r w:rsidRPr="001E29B5">
        <w:rPr>
          <w:rFonts w:ascii="Book Antiqua" w:hAnsi="Book Antiqua" w:cs="宋体"/>
          <w:i/>
          <w:iCs/>
          <w:sz w:val="24"/>
          <w:szCs w:val="24"/>
        </w:rPr>
        <w:t>J R Soc Interface</w:t>
      </w:r>
      <w:r w:rsidRPr="001E29B5">
        <w:rPr>
          <w:rFonts w:ascii="Book Antiqua" w:hAnsi="Book Antiqua" w:cs="宋体"/>
          <w:sz w:val="24"/>
          <w:szCs w:val="24"/>
        </w:rPr>
        <w:t> 2014; </w:t>
      </w:r>
      <w:r w:rsidRPr="001E29B5">
        <w:rPr>
          <w:rFonts w:ascii="Book Antiqua" w:hAnsi="Book Antiqua" w:cs="宋体"/>
          <w:b/>
          <w:bCs/>
          <w:sz w:val="24"/>
          <w:szCs w:val="24"/>
        </w:rPr>
        <w:t>11</w:t>
      </w:r>
      <w:r w:rsidRPr="001E29B5">
        <w:rPr>
          <w:rFonts w:ascii="Book Antiqua" w:hAnsi="Book Antiqua" w:cs="宋体"/>
          <w:sz w:val="24"/>
          <w:szCs w:val="24"/>
        </w:rPr>
        <w:t>: 20140029 [PMID: 24671935 DOI: 10.1098/rsif.2014.0029]</w:t>
      </w: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14337F">
      <w:pPr>
        <w:spacing w:after="0" w:line="360" w:lineRule="auto"/>
        <w:jc w:val="right"/>
        <w:rPr>
          <w:rFonts w:ascii="Book Antiqua" w:hAnsi="Book Antiqua"/>
          <w:color w:val="000000"/>
          <w:sz w:val="24"/>
          <w:szCs w:val="24"/>
        </w:rPr>
      </w:pPr>
      <w:bookmarkStart w:id="8" w:name="OLE_LINK22"/>
      <w:bookmarkStart w:id="9" w:name="OLE_LINK23"/>
      <w:r w:rsidRPr="001E29B5">
        <w:rPr>
          <w:rFonts w:ascii="Book Antiqua" w:hAnsi="Book Antiqua"/>
          <w:b/>
          <w:sz w:val="24"/>
          <w:szCs w:val="24"/>
        </w:rPr>
        <w:t>P- Reviewer:</w:t>
      </w:r>
      <w:r w:rsidRPr="001E29B5">
        <w:rPr>
          <w:rFonts w:ascii="Book Antiqua" w:hAnsi="Book Antiqua"/>
          <w:b/>
          <w:sz w:val="24"/>
          <w:szCs w:val="24"/>
          <w:lang w:eastAsia="zh-CN"/>
        </w:rPr>
        <w:t xml:space="preserve"> </w:t>
      </w:r>
      <w:r w:rsidRPr="001E29B5">
        <w:rPr>
          <w:rFonts w:ascii="Book Antiqua" w:hAnsi="Book Antiqua" w:cs="宋体"/>
          <w:sz w:val="24"/>
          <w:szCs w:val="24"/>
        </w:rPr>
        <w:t xml:space="preserve">Stavroulopoulos A   </w:t>
      </w:r>
      <w:r w:rsidRPr="001E29B5">
        <w:rPr>
          <w:rFonts w:ascii="Book Antiqua" w:hAnsi="Book Antiqua"/>
          <w:color w:val="000000"/>
          <w:sz w:val="24"/>
          <w:szCs w:val="24"/>
        </w:rPr>
        <w:t xml:space="preserve"> </w:t>
      </w:r>
      <w:r w:rsidRPr="001E29B5">
        <w:rPr>
          <w:rFonts w:ascii="Book Antiqua" w:hAnsi="Book Antiqua"/>
          <w:b/>
          <w:sz w:val="24"/>
          <w:szCs w:val="24"/>
        </w:rPr>
        <w:t>S- Editor:</w:t>
      </w:r>
      <w:r w:rsidRPr="001E29B5">
        <w:rPr>
          <w:rFonts w:ascii="Book Antiqua" w:hAnsi="Book Antiqua"/>
          <w:sz w:val="24"/>
          <w:szCs w:val="24"/>
        </w:rPr>
        <w:t xml:space="preserve"> Gong XM</w:t>
      </w:r>
    </w:p>
    <w:p w:rsidR="00E8308C" w:rsidRPr="001E29B5" w:rsidRDefault="00E8308C" w:rsidP="0014337F">
      <w:pPr>
        <w:spacing w:after="0" w:line="360" w:lineRule="auto"/>
        <w:jc w:val="right"/>
        <w:rPr>
          <w:rFonts w:ascii="Book Antiqua" w:hAnsi="Book Antiqua"/>
          <w:b/>
          <w:sz w:val="24"/>
          <w:szCs w:val="24"/>
        </w:rPr>
      </w:pPr>
      <w:r w:rsidRPr="001E29B5">
        <w:rPr>
          <w:rFonts w:ascii="Book Antiqua" w:hAnsi="Book Antiqua"/>
          <w:b/>
          <w:sz w:val="24"/>
          <w:szCs w:val="24"/>
        </w:rPr>
        <w:t xml:space="preserve"> L- Editor:</w:t>
      </w:r>
      <w:r w:rsidRPr="001E29B5">
        <w:rPr>
          <w:rFonts w:ascii="Book Antiqua" w:hAnsi="Book Antiqua"/>
          <w:sz w:val="24"/>
          <w:szCs w:val="24"/>
        </w:rPr>
        <w:t xml:space="preserve"> </w:t>
      </w:r>
      <w:r w:rsidRPr="001E29B5">
        <w:rPr>
          <w:rFonts w:ascii="Book Antiqua" w:hAnsi="Book Antiqua"/>
          <w:b/>
          <w:sz w:val="24"/>
          <w:szCs w:val="24"/>
        </w:rPr>
        <w:t>E- Editor:</w:t>
      </w:r>
    </w:p>
    <w:bookmarkEnd w:id="8"/>
    <w:bookmarkEnd w:id="9"/>
    <w:p w:rsidR="00E8308C" w:rsidRPr="001E29B5" w:rsidRDefault="00E8308C" w:rsidP="00036E8E">
      <w:pPr>
        <w:pStyle w:val="NormalWeb"/>
        <w:spacing w:before="0" w:beforeAutospacing="0" w:after="0" w:afterAutospacing="0" w:line="360" w:lineRule="auto"/>
        <w:jc w:val="both"/>
        <w:rPr>
          <w:rFonts w:ascii="Book Antiqua" w:hAnsi="Book Antiqua"/>
        </w:rPr>
      </w:pP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sz w:val="24"/>
          <w:szCs w:val="24"/>
        </w:rPr>
        <w:br w:type="page"/>
      </w:r>
      <w:r w:rsidR="00031A47">
        <w:rPr>
          <w:rFonts w:ascii="Book Antiqua" w:hAnsi="Book Antiqua"/>
          <w:b/>
          <w:noProof/>
          <w:sz w:val="24"/>
          <w:szCs w:val="24"/>
        </w:rPr>
        <w:lastRenderedPageBreak/>
        <w:drawing>
          <wp:inline distT="0" distB="0" distL="0" distR="0">
            <wp:extent cx="5947410" cy="3928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3928110"/>
                    </a:xfrm>
                    <a:prstGeom prst="rect">
                      <a:avLst/>
                    </a:prstGeom>
                    <a:noFill/>
                    <a:ln>
                      <a:noFill/>
                    </a:ln>
                  </pic:spPr>
                </pic:pic>
              </a:graphicData>
            </a:graphic>
          </wp:inline>
        </w:drawing>
      </w:r>
      <w:r w:rsidRPr="001E29B5">
        <w:rPr>
          <w:rFonts w:ascii="Book Antiqua" w:hAnsi="Book Antiqua"/>
          <w:b/>
          <w:sz w:val="24"/>
          <w:szCs w:val="24"/>
        </w:rPr>
        <w:t xml:space="preserve"> </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Figure 1</w:t>
      </w:r>
      <w:r w:rsidRPr="001E29B5">
        <w:rPr>
          <w:rFonts w:ascii="Book Antiqua" w:hAnsi="Book Antiqua"/>
          <w:sz w:val="24"/>
          <w:szCs w:val="24"/>
        </w:rPr>
        <w:t xml:space="preserve"> </w:t>
      </w:r>
      <w:r w:rsidRPr="001E29B5">
        <w:rPr>
          <w:rFonts w:ascii="Book Antiqua" w:hAnsi="Book Antiqua"/>
          <w:b/>
          <w:sz w:val="24"/>
          <w:szCs w:val="24"/>
        </w:rPr>
        <w:t>A localizer was performed to verify the position of the kidneys relative to the transducer.</w:t>
      </w:r>
      <w:r w:rsidRPr="001E29B5">
        <w:rPr>
          <w:rFonts w:ascii="Book Antiqua" w:hAnsi="Book Antiqua"/>
          <w:sz w:val="24"/>
          <w:szCs w:val="24"/>
        </w:rPr>
        <w:t xml:space="preserve"> Coronal T2-weighted </w:t>
      </w:r>
      <w:r w:rsidRPr="001E29B5">
        <w:rPr>
          <w:rFonts w:ascii="Book Antiqua" w:hAnsi="Book Antiqua"/>
          <w:sz w:val="24"/>
          <w:szCs w:val="24"/>
          <w:lang w:eastAsia="zh-CN"/>
        </w:rPr>
        <w:t>(</w:t>
      </w:r>
      <w:r w:rsidRPr="001E29B5">
        <w:rPr>
          <w:rFonts w:ascii="Book Antiqua" w:hAnsi="Book Antiqua"/>
          <w:sz w:val="24"/>
          <w:szCs w:val="24"/>
        </w:rPr>
        <w:t>T2-W</w:t>
      </w:r>
      <w:r w:rsidRPr="001E29B5">
        <w:rPr>
          <w:rFonts w:ascii="Book Antiqua" w:hAnsi="Book Antiqua"/>
          <w:sz w:val="24"/>
          <w:szCs w:val="24"/>
          <w:lang w:eastAsia="zh-CN"/>
        </w:rPr>
        <w:t>)</w:t>
      </w:r>
      <w:r w:rsidRPr="001E29B5">
        <w:rPr>
          <w:rFonts w:ascii="Book Antiqua" w:hAnsi="Book Antiqua"/>
          <w:sz w:val="24"/>
          <w:szCs w:val="24"/>
        </w:rPr>
        <w:t xml:space="preserve"> magnetic resonance images show the result of added T2-W treatment planning sequence, which was transferred to the high intensi</w:t>
      </w:r>
      <w:bookmarkStart w:id="10" w:name="_GoBack"/>
      <w:bookmarkEnd w:id="10"/>
      <w:r w:rsidRPr="001E29B5">
        <w:rPr>
          <w:rFonts w:ascii="Book Antiqua" w:hAnsi="Book Antiqua"/>
          <w:sz w:val="24"/>
          <w:szCs w:val="24"/>
        </w:rPr>
        <w:t>ty focused ultrasound software (left and center). The right plot shows the temperature rise during ablation in the renal parenchyma. The red temperature curve represents the maximum temperature measured at the point of focus, while the green curve represents the average temperature in the region of interest.</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br w:type="page"/>
      </w:r>
      <w:r w:rsidR="00031A47">
        <w:rPr>
          <w:rFonts w:ascii="Book Antiqua" w:hAnsi="Book Antiqua"/>
          <w:b/>
          <w:noProof/>
          <w:sz w:val="24"/>
          <w:szCs w:val="24"/>
        </w:rPr>
        <w:lastRenderedPageBreak/>
        <w:drawing>
          <wp:inline distT="0" distB="0" distL="0" distR="0">
            <wp:extent cx="5621655" cy="4380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655" cy="4380865"/>
                    </a:xfrm>
                    <a:prstGeom prst="rect">
                      <a:avLst/>
                    </a:prstGeom>
                    <a:noFill/>
                    <a:ln>
                      <a:noFill/>
                    </a:ln>
                  </pic:spPr>
                </pic:pic>
              </a:graphicData>
            </a:graphic>
          </wp:inline>
        </w:drawing>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Figure 2</w:t>
      </w:r>
      <w:r w:rsidRPr="001E29B5">
        <w:rPr>
          <w:rFonts w:ascii="Book Antiqua" w:hAnsi="Book Antiqua"/>
          <w:sz w:val="24"/>
          <w:szCs w:val="24"/>
        </w:rPr>
        <w:t xml:space="preserve"> </w:t>
      </w:r>
      <w:r w:rsidRPr="001E29B5">
        <w:rPr>
          <w:rFonts w:ascii="Book Antiqua" w:hAnsi="Book Antiqua"/>
          <w:b/>
          <w:sz w:val="24"/>
          <w:szCs w:val="24"/>
        </w:rPr>
        <w:t>Macroscopic dorsal lesions in the right (single sonication) and left (double sonication) kidney are shown after high intensity focused ultrasound.</w:t>
      </w:r>
      <w:r w:rsidRPr="001E29B5">
        <w:rPr>
          <w:rFonts w:ascii="Book Antiqua" w:hAnsi="Book Antiqua"/>
          <w:sz w:val="24"/>
          <w:szCs w:val="24"/>
        </w:rPr>
        <w:t xml:space="preserve"> Note the doughnut-shape hemorrhage (dark red) is surrounding coagulation necrosis (pale). Double sonication at 4400J produced larger lesions compared with the others.</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br w:type="page"/>
      </w:r>
      <w:r w:rsidR="00031A47">
        <w:rPr>
          <w:rFonts w:ascii="Book Antiqua" w:hAnsi="Book Antiqua"/>
          <w:b/>
          <w:noProof/>
          <w:sz w:val="24"/>
          <w:szCs w:val="24"/>
        </w:rPr>
        <w:lastRenderedPageBreak/>
        <w:drawing>
          <wp:inline distT="0" distB="0" distL="0" distR="0">
            <wp:extent cx="5931535" cy="387223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1535" cy="3872230"/>
                    </a:xfrm>
                    <a:prstGeom prst="rect">
                      <a:avLst/>
                    </a:prstGeom>
                    <a:noFill/>
                    <a:ln>
                      <a:noFill/>
                    </a:ln>
                  </pic:spPr>
                </pic:pic>
              </a:graphicData>
            </a:graphic>
          </wp:inline>
        </w:drawing>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Figure 3</w:t>
      </w:r>
      <w:r w:rsidRPr="001E29B5">
        <w:rPr>
          <w:rFonts w:ascii="Book Antiqua" w:hAnsi="Book Antiqua"/>
          <w:sz w:val="24"/>
          <w:szCs w:val="24"/>
        </w:rPr>
        <w:t xml:space="preserve"> </w:t>
      </w:r>
      <w:r w:rsidRPr="001E29B5">
        <w:rPr>
          <w:rFonts w:ascii="Book Antiqua" w:hAnsi="Book Antiqua"/>
          <w:b/>
          <w:sz w:val="24"/>
          <w:szCs w:val="24"/>
        </w:rPr>
        <w:t xml:space="preserve">Selected 2D perfusion magnetic resonance images acquired from two representative animals. </w:t>
      </w:r>
      <w:r w:rsidRPr="001E29B5">
        <w:rPr>
          <w:rFonts w:ascii="Book Antiqua" w:hAnsi="Book Antiqua"/>
          <w:sz w:val="24"/>
          <w:szCs w:val="24"/>
        </w:rPr>
        <w:t>The images show the arrival of Gd-DTPA bolus (A, D) in the aorta and 20-120</w:t>
      </w:r>
      <w:r w:rsidRPr="001E29B5">
        <w:rPr>
          <w:rFonts w:ascii="Book Antiqua" w:hAnsi="Book Antiqua"/>
          <w:sz w:val="24"/>
          <w:szCs w:val="24"/>
          <w:lang w:eastAsia="zh-CN"/>
        </w:rPr>
        <w:t xml:space="preserve"> </w:t>
      </w:r>
      <w:r w:rsidRPr="001E29B5">
        <w:rPr>
          <w:rFonts w:ascii="Book Antiqua" w:hAnsi="Book Antiqua"/>
          <w:sz w:val="24"/>
          <w:szCs w:val="24"/>
        </w:rPr>
        <w:t>s (B, E and C, F) in the kidneys. Arrows denote the hypoperfused ablated lesions.</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br w:type="page"/>
      </w:r>
      <w:r w:rsidR="00031A47">
        <w:rPr>
          <w:rFonts w:ascii="Book Antiqua" w:hAnsi="Book Antiqua"/>
          <w:b/>
          <w:noProof/>
          <w:sz w:val="24"/>
          <w:szCs w:val="24"/>
        </w:rPr>
        <w:lastRenderedPageBreak/>
        <w:drawing>
          <wp:inline distT="0" distB="0" distL="0" distR="0">
            <wp:extent cx="5192395" cy="4580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2395" cy="4580255"/>
                    </a:xfrm>
                    <a:prstGeom prst="rect">
                      <a:avLst/>
                    </a:prstGeom>
                    <a:noFill/>
                    <a:ln>
                      <a:noFill/>
                    </a:ln>
                  </pic:spPr>
                </pic:pic>
              </a:graphicData>
            </a:graphic>
          </wp:inline>
        </w:drawing>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Figure 4</w:t>
      </w:r>
      <w:r w:rsidRPr="001E29B5">
        <w:rPr>
          <w:rFonts w:ascii="Book Antiqua" w:hAnsi="Book Antiqua"/>
          <w:sz w:val="24"/>
          <w:szCs w:val="24"/>
        </w:rPr>
        <w:t xml:space="preserve"> </w:t>
      </w:r>
      <w:r w:rsidRPr="001E29B5">
        <w:rPr>
          <w:rFonts w:ascii="Book Antiqua" w:hAnsi="Book Antiqua"/>
          <w:b/>
          <w:sz w:val="24"/>
          <w:szCs w:val="24"/>
        </w:rPr>
        <w:t xml:space="preserve">2D magnetic resonance perfusion demonstrates severely hypoperfused ablated lesions after magnetic resonance-guided high intensity focused ultrasound compared to remote non-ablated tissue. </w:t>
      </w:r>
      <w:r w:rsidRPr="001E29B5">
        <w:rPr>
          <w:rFonts w:ascii="Book Antiqua" w:hAnsi="Book Antiqua"/>
          <w:sz w:val="24"/>
          <w:szCs w:val="24"/>
        </w:rPr>
        <w:t>Diamond</w:t>
      </w:r>
      <w:r w:rsidRPr="001E29B5">
        <w:rPr>
          <w:rFonts w:ascii="Book Antiqua" w:hAnsi="Book Antiqua"/>
          <w:sz w:val="24"/>
          <w:szCs w:val="24"/>
          <w:lang w:eastAsia="zh-CN"/>
        </w:rPr>
        <w:t>:</w:t>
      </w:r>
      <w:r w:rsidRPr="001E29B5">
        <w:rPr>
          <w:rFonts w:ascii="Book Antiqua" w:hAnsi="Book Antiqua"/>
          <w:sz w:val="24"/>
          <w:szCs w:val="24"/>
        </w:rPr>
        <w:t xml:space="preserve"> Aortic blood</w:t>
      </w:r>
      <w:r w:rsidRPr="001E29B5">
        <w:rPr>
          <w:rFonts w:ascii="Book Antiqua" w:hAnsi="Book Antiqua"/>
          <w:sz w:val="24"/>
          <w:szCs w:val="24"/>
          <w:lang w:eastAsia="zh-CN"/>
        </w:rPr>
        <w:t>;</w:t>
      </w:r>
      <w:r w:rsidRPr="001E29B5">
        <w:rPr>
          <w:rFonts w:ascii="Book Antiqua" w:hAnsi="Book Antiqua"/>
          <w:sz w:val="24"/>
          <w:szCs w:val="24"/>
        </w:rPr>
        <w:t xml:space="preserve"> Triangle</w:t>
      </w:r>
      <w:r w:rsidRPr="001E29B5">
        <w:rPr>
          <w:rFonts w:ascii="Book Antiqua" w:hAnsi="Book Antiqua"/>
          <w:sz w:val="24"/>
          <w:szCs w:val="24"/>
          <w:lang w:eastAsia="zh-CN"/>
        </w:rPr>
        <w:t>:</w:t>
      </w:r>
      <w:r w:rsidRPr="001E29B5">
        <w:rPr>
          <w:rFonts w:ascii="Book Antiqua" w:hAnsi="Book Antiqua"/>
          <w:sz w:val="24"/>
          <w:szCs w:val="24"/>
        </w:rPr>
        <w:t xml:space="preserve"> Viable renal tissue</w:t>
      </w:r>
      <w:r w:rsidRPr="001E29B5">
        <w:rPr>
          <w:rFonts w:ascii="Book Antiqua" w:hAnsi="Book Antiqua"/>
          <w:sz w:val="24"/>
          <w:szCs w:val="24"/>
          <w:lang w:eastAsia="zh-CN"/>
        </w:rPr>
        <w:t>;</w:t>
      </w:r>
      <w:r w:rsidRPr="001E29B5">
        <w:rPr>
          <w:rFonts w:ascii="Book Antiqua" w:hAnsi="Book Antiqua"/>
          <w:sz w:val="24"/>
          <w:szCs w:val="24"/>
        </w:rPr>
        <w:t xml:space="preserve"> Square</w:t>
      </w:r>
      <w:r w:rsidRPr="001E29B5">
        <w:rPr>
          <w:rFonts w:ascii="Book Antiqua" w:hAnsi="Book Antiqua"/>
          <w:sz w:val="24"/>
          <w:szCs w:val="24"/>
          <w:lang w:eastAsia="zh-CN"/>
        </w:rPr>
        <w:t>:</w:t>
      </w:r>
      <w:r w:rsidRPr="001E29B5">
        <w:rPr>
          <w:rFonts w:ascii="Book Antiqua" w:hAnsi="Book Antiqua"/>
          <w:sz w:val="24"/>
          <w:szCs w:val="24"/>
        </w:rPr>
        <w:t xml:space="preserve"> Ablated lesion</w:t>
      </w:r>
      <w:r>
        <w:rPr>
          <w:rFonts w:ascii="Book Antiqua" w:hAnsi="Book Antiqua"/>
          <w:sz w:val="24"/>
          <w:szCs w:val="24"/>
          <w:lang w:eastAsia="zh-CN"/>
        </w:rPr>
        <w:t>.</w:t>
      </w:r>
      <w:r w:rsidRPr="001E29B5">
        <w:rPr>
          <w:rFonts w:ascii="Book Antiqua" w:hAnsi="Book Antiqua"/>
          <w:sz w:val="24"/>
          <w:szCs w:val="24"/>
        </w:rPr>
        <w:t xml:space="preserve"> a.u.</w:t>
      </w:r>
      <w:r w:rsidRPr="001E29B5">
        <w:rPr>
          <w:rFonts w:ascii="Book Antiqua" w:hAnsi="Book Antiqua"/>
          <w:sz w:val="24"/>
          <w:szCs w:val="24"/>
          <w:lang w:eastAsia="zh-CN"/>
        </w:rPr>
        <w:t xml:space="preserve">: </w:t>
      </w:r>
      <w:r w:rsidRPr="001E29B5">
        <w:rPr>
          <w:rFonts w:ascii="Book Antiqua" w:hAnsi="Book Antiqua"/>
          <w:sz w:val="24"/>
          <w:szCs w:val="24"/>
        </w:rPr>
        <w:t>Arbitrary units.</w:t>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br w:type="page"/>
      </w:r>
      <w:r w:rsidR="00031A47">
        <w:rPr>
          <w:rFonts w:ascii="Book Antiqua" w:hAnsi="Book Antiqua"/>
          <w:b/>
          <w:noProof/>
          <w:sz w:val="24"/>
          <w:szCs w:val="24"/>
        </w:rPr>
        <w:lastRenderedPageBreak/>
        <w:drawing>
          <wp:inline distT="0" distB="0" distL="0" distR="0">
            <wp:extent cx="5908040" cy="5908040"/>
            <wp:effectExtent l="0" t="0" r="101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8040" cy="5908040"/>
                    </a:xfrm>
                    <a:prstGeom prst="rect">
                      <a:avLst/>
                    </a:prstGeom>
                    <a:noFill/>
                    <a:ln>
                      <a:noFill/>
                    </a:ln>
                  </pic:spPr>
                </pic:pic>
              </a:graphicData>
            </a:graphic>
          </wp:inline>
        </w:drawing>
      </w:r>
      <w:r w:rsidRPr="001E29B5">
        <w:rPr>
          <w:rFonts w:ascii="Book Antiqua" w:hAnsi="Book Antiqua"/>
          <w:b/>
          <w:sz w:val="24"/>
          <w:szCs w:val="24"/>
        </w:rPr>
        <w:t>Figure 5</w:t>
      </w:r>
      <w:r w:rsidRPr="001E29B5">
        <w:rPr>
          <w:rFonts w:ascii="Book Antiqua" w:hAnsi="Book Antiqua"/>
          <w:sz w:val="24"/>
          <w:szCs w:val="24"/>
        </w:rPr>
        <w:t xml:space="preserve"> </w:t>
      </w:r>
      <w:r w:rsidRPr="001E29B5">
        <w:rPr>
          <w:rFonts w:ascii="Book Antiqua" w:hAnsi="Book Antiqua"/>
          <w:b/>
          <w:sz w:val="24"/>
          <w:szCs w:val="24"/>
        </w:rPr>
        <w:t xml:space="preserve">Renal lesions on three magnetic resonance imaging views acquired 3 h after sonication using single 4400J (top row, animal 1) and double 4400J (bottom row, animal 2). </w:t>
      </w:r>
      <w:r w:rsidRPr="001E29B5">
        <w:rPr>
          <w:rFonts w:ascii="Book Antiqua" w:hAnsi="Book Antiqua"/>
          <w:sz w:val="24"/>
          <w:szCs w:val="24"/>
        </w:rPr>
        <w:t>The wedge-shape hypoenhanced lesions are seen on contrast enhanced T1-weighted fast spin echo images in sagittal (left images), coronal (center images) and axial (right images) views.</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br w:type="page"/>
      </w:r>
      <w:r w:rsidR="00031A47">
        <w:rPr>
          <w:rFonts w:ascii="Book Antiqua" w:hAnsi="Book Antiqua"/>
          <w:b/>
          <w:noProof/>
          <w:sz w:val="24"/>
          <w:szCs w:val="24"/>
        </w:rPr>
        <w:lastRenderedPageBreak/>
        <w:drawing>
          <wp:inline distT="0" distB="0" distL="0" distR="0">
            <wp:extent cx="5589905" cy="2162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9905" cy="2162810"/>
                    </a:xfrm>
                    <a:prstGeom prst="rect">
                      <a:avLst/>
                    </a:prstGeom>
                    <a:noFill/>
                    <a:ln>
                      <a:noFill/>
                    </a:ln>
                  </pic:spPr>
                </pic:pic>
              </a:graphicData>
            </a:graphic>
          </wp:inline>
        </w:drawing>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Figure 6</w:t>
      </w:r>
      <w:r w:rsidRPr="001E29B5">
        <w:rPr>
          <w:rFonts w:ascii="Book Antiqua" w:hAnsi="Book Antiqua"/>
          <w:sz w:val="24"/>
          <w:szCs w:val="24"/>
        </w:rPr>
        <w:t xml:space="preserve"> </w:t>
      </w:r>
      <w:r w:rsidRPr="001E29B5">
        <w:rPr>
          <w:rFonts w:ascii="Book Antiqua" w:hAnsi="Book Antiqua"/>
          <w:b/>
          <w:sz w:val="24"/>
          <w:szCs w:val="24"/>
        </w:rPr>
        <w:t xml:space="preserve">The wedge-shape lesions on contrast enhanced liver acquisitions with volume acquisition (left) and T1-weighted fast spin echo (center) images and gold-standard macroscopic slices (white arrows) from 2 animals (top and bottom rows). </w:t>
      </w:r>
      <w:r w:rsidRPr="001E29B5">
        <w:rPr>
          <w:rFonts w:ascii="Book Antiqua" w:hAnsi="Book Antiqua"/>
          <w:sz w:val="24"/>
          <w:szCs w:val="24"/>
        </w:rPr>
        <w:t xml:space="preserve">Note the close correspondence of ablated lesions </w:t>
      </w:r>
      <w:r w:rsidRPr="001E29B5">
        <w:rPr>
          <w:rFonts w:ascii="Book Antiqua" w:hAnsi="Book Antiqua"/>
          <w:i/>
          <w:sz w:val="24"/>
          <w:szCs w:val="24"/>
        </w:rPr>
        <w:t>in situ</w:t>
      </w:r>
      <w:r w:rsidRPr="001E29B5">
        <w:rPr>
          <w:rFonts w:ascii="Book Antiqua" w:hAnsi="Book Antiqua"/>
          <w:sz w:val="24"/>
          <w:szCs w:val="24"/>
        </w:rPr>
        <w:t xml:space="preserve"> and </w:t>
      </w:r>
      <w:r w:rsidRPr="001E29B5">
        <w:rPr>
          <w:rFonts w:ascii="Book Antiqua" w:hAnsi="Book Antiqua"/>
          <w:i/>
          <w:sz w:val="24"/>
          <w:szCs w:val="24"/>
        </w:rPr>
        <w:t>in vitro</w:t>
      </w:r>
      <w:r w:rsidRPr="001E29B5">
        <w:rPr>
          <w:rFonts w:ascii="Book Antiqua" w:hAnsi="Book Antiqua"/>
          <w:sz w:val="24"/>
          <w:szCs w:val="24"/>
        </w:rPr>
        <w:t>. Coagulation necrosis (white arrows) is surrounded by hemorrhagic zone (arrowheads) as shown macroscopically.</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br w:type="page"/>
      </w:r>
      <w:r w:rsidR="00031A47">
        <w:rPr>
          <w:rFonts w:ascii="Book Antiqua" w:hAnsi="Book Antiqua"/>
          <w:b/>
          <w:noProof/>
          <w:sz w:val="24"/>
          <w:szCs w:val="24"/>
        </w:rPr>
        <w:lastRenderedPageBreak/>
        <w:drawing>
          <wp:inline distT="0" distB="0" distL="0" distR="0">
            <wp:extent cx="5741035" cy="4651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035" cy="4651375"/>
                    </a:xfrm>
                    <a:prstGeom prst="rect">
                      <a:avLst/>
                    </a:prstGeom>
                    <a:noFill/>
                    <a:ln>
                      <a:noFill/>
                    </a:ln>
                  </pic:spPr>
                </pic:pic>
              </a:graphicData>
            </a:graphic>
          </wp:inline>
        </w:drawing>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Figure 7</w:t>
      </w:r>
      <w:r w:rsidRPr="001E29B5">
        <w:rPr>
          <w:rFonts w:ascii="Book Antiqua" w:hAnsi="Book Antiqua"/>
          <w:sz w:val="24"/>
          <w:szCs w:val="24"/>
        </w:rPr>
        <w:t xml:space="preserve"> </w:t>
      </w:r>
      <w:r w:rsidRPr="001E29B5">
        <w:rPr>
          <w:rFonts w:ascii="Book Antiqua" w:hAnsi="Book Antiqua"/>
          <w:b/>
          <w:sz w:val="24"/>
          <w:szCs w:val="24"/>
        </w:rPr>
        <w:t xml:space="preserve">A close correlation was found between </w:t>
      </w:r>
      <w:r w:rsidRPr="001E29B5">
        <w:rPr>
          <w:rFonts w:ascii="Book Antiqua" w:hAnsi="Book Antiqua"/>
          <w:b/>
          <w:i/>
          <w:sz w:val="24"/>
          <w:szCs w:val="24"/>
        </w:rPr>
        <w:t>in situ</w:t>
      </w:r>
      <w:r w:rsidRPr="001E29B5">
        <w:rPr>
          <w:rFonts w:ascii="Book Antiqua" w:hAnsi="Book Antiqua"/>
          <w:b/>
          <w:sz w:val="24"/>
          <w:szCs w:val="24"/>
        </w:rPr>
        <w:t xml:space="preserve"> magnetic resonance imaging and postmortem renal ablation volumes. </w:t>
      </w:r>
      <w:r w:rsidRPr="001E29B5">
        <w:rPr>
          <w:rFonts w:ascii="Book Antiqua" w:hAnsi="Book Antiqua"/>
          <w:sz w:val="24"/>
          <w:szCs w:val="24"/>
        </w:rPr>
        <w:t xml:space="preserve">The bars in the X- and Y-axes represent the standard error of the means. The ablated volumes after single sonication at 3000J and 4400J were not significantly different, while volumes at double sonications were significantly larger on both 4400J than 3000J. Furthermore, the effect of double sonications at 4400J was significantly larger than the other energies. </w:t>
      </w:r>
    </w:p>
    <w:p w:rsidR="00E8308C" w:rsidRPr="001E29B5" w:rsidRDefault="00E8308C" w:rsidP="00036E8E">
      <w:pPr>
        <w:spacing w:after="0" w:line="360" w:lineRule="auto"/>
        <w:jc w:val="both"/>
        <w:rPr>
          <w:rFonts w:ascii="Book Antiqua" w:hAnsi="Book Antiqua"/>
          <w:b/>
          <w:sz w:val="24"/>
          <w:szCs w:val="24"/>
        </w:rPr>
      </w:pPr>
      <w:r w:rsidRPr="001E29B5">
        <w:rPr>
          <w:rFonts w:ascii="Book Antiqua" w:hAnsi="Book Antiqua"/>
          <w:b/>
          <w:sz w:val="24"/>
          <w:szCs w:val="24"/>
        </w:rPr>
        <w:br w:type="page"/>
      </w:r>
      <w:r w:rsidR="00031A47">
        <w:rPr>
          <w:rFonts w:ascii="Book Antiqua" w:hAnsi="Book Antiqua"/>
          <w:b/>
          <w:noProof/>
          <w:sz w:val="24"/>
          <w:szCs w:val="24"/>
        </w:rPr>
        <w:lastRenderedPageBreak/>
        <w:drawing>
          <wp:inline distT="0" distB="0" distL="0" distR="0">
            <wp:extent cx="5836285" cy="440499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6285" cy="4404995"/>
                    </a:xfrm>
                    <a:prstGeom prst="rect">
                      <a:avLst/>
                    </a:prstGeom>
                    <a:noFill/>
                    <a:ln>
                      <a:noFill/>
                    </a:ln>
                  </pic:spPr>
                </pic:pic>
              </a:graphicData>
            </a:graphic>
          </wp:inline>
        </w:drawing>
      </w:r>
    </w:p>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Figure 8</w:t>
      </w:r>
      <w:r w:rsidRPr="001E29B5">
        <w:rPr>
          <w:rFonts w:ascii="Book Antiqua" w:hAnsi="Book Antiqua"/>
          <w:sz w:val="24"/>
          <w:szCs w:val="24"/>
        </w:rPr>
        <w:t xml:space="preserve"> </w:t>
      </w:r>
      <w:r w:rsidRPr="001E29B5">
        <w:rPr>
          <w:rFonts w:ascii="Book Antiqua" w:hAnsi="Book Antiqua"/>
          <w:b/>
          <w:sz w:val="24"/>
          <w:szCs w:val="24"/>
        </w:rPr>
        <w:t xml:space="preserve">Microscopic sections (hematoxylin-eosin) of a normal renal tissue (A, </w:t>
      </w:r>
      <w:r w:rsidRPr="001E29B5">
        <w:rPr>
          <w:rFonts w:ascii="Book Antiqua" w:hAnsi="Book Antiqua"/>
          <w:b/>
          <w:sz w:val="24"/>
          <w:szCs w:val="24"/>
          <w:lang w:eastAsia="zh-CN"/>
        </w:rPr>
        <w:t xml:space="preserve">× </w:t>
      </w:r>
      <w:r w:rsidRPr="001E29B5">
        <w:rPr>
          <w:rFonts w:ascii="Book Antiqua" w:hAnsi="Book Antiqua"/>
          <w:b/>
          <w:sz w:val="24"/>
          <w:szCs w:val="24"/>
        </w:rPr>
        <w:t xml:space="preserve">40), the territory of both ablated (pale) and normal renal tissue (B, </w:t>
      </w:r>
      <w:r w:rsidRPr="001E29B5">
        <w:rPr>
          <w:rFonts w:ascii="Book Antiqua" w:hAnsi="Book Antiqua"/>
          <w:b/>
          <w:sz w:val="24"/>
          <w:szCs w:val="24"/>
          <w:lang w:eastAsia="zh-CN"/>
        </w:rPr>
        <w:t xml:space="preserve">× </w:t>
      </w:r>
      <w:r w:rsidRPr="001E29B5">
        <w:rPr>
          <w:rFonts w:ascii="Book Antiqua" w:hAnsi="Book Antiqua"/>
          <w:b/>
          <w:sz w:val="24"/>
          <w:szCs w:val="24"/>
        </w:rPr>
        <w:t xml:space="preserve">10) and ablated lesion (C, </w:t>
      </w:r>
      <w:r w:rsidRPr="001E29B5">
        <w:rPr>
          <w:rFonts w:ascii="Book Antiqua" w:hAnsi="Book Antiqua"/>
          <w:b/>
          <w:sz w:val="24"/>
          <w:szCs w:val="24"/>
          <w:lang w:eastAsia="zh-CN"/>
        </w:rPr>
        <w:t xml:space="preserve">× </w:t>
      </w:r>
      <w:r w:rsidRPr="001E29B5">
        <w:rPr>
          <w:rFonts w:ascii="Book Antiqua" w:hAnsi="Book Antiqua"/>
          <w:b/>
          <w:sz w:val="24"/>
          <w:szCs w:val="24"/>
        </w:rPr>
        <w:t xml:space="preserve">40) with damaged nephrons in a haphazard array and hemorrhage (D, </w:t>
      </w:r>
      <w:r w:rsidRPr="001E29B5">
        <w:rPr>
          <w:rFonts w:ascii="Book Antiqua" w:hAnsi="Book Antiqua"/>
          <w:b/>
          <w:sz w:val="24"/>
          <w:szCs w:val="24"/>
          <w:lang w:eastAsia="zh-CN"/>
        </w:rPr>
        <w:t xml:space="preserve">× </w:t>
      </w:r>
      <w:r w:rsidRPr="001E29B5">
        <w:rPr>
          <w:rFonts w:ascii="Book Antiqua" w:hAnsi="Book Antiqua"/>
          <w:b/>
          <w:sz w:val="24"/>
          <w:szCs w:val="24"/>
        </w:rPr>
        <w:t xml:space="preserve">100). </w:t>
      </w:r>
      <w:r w:rsidRPr="001E29B5">
        <w:rPr>
          <w:rFonts w:ascii="Book Antiqua" w:hAnsi="Book Antiqua"/>
          <w:sz w:val="24"/>
          <w:szCs w:val="24"/>
        </w:rPr>
        <w:t>Note the close agreement in the triangular infarct territory on microscopy and microscopy lesions in Figure 6 and magnetic resonance imaging in Fig</w:t>
      </w:r>
      <w:r w:rsidRPr="001E29B5">
        <w:rPr>
          <w:rFonts w:ascii="Book Antiqua" w:hAnsi="Book Antiqua"/>
          <w:sz w:val="24"/>
          <w:szCs w:val="24"/>
          <w:lang w:eastAsia="zh-CN"/>
        </w:rPr>
        <w:t>ure</w:t>
      </w:r>
      <w:r w:rsidRPr="001E29B5">
        <w:rPr>
          <w:rFonts w:ascii="Book Antiqua" w:hAnsi="Book Antiqua"/>
          <w:sz w:val="24"/>
          <w:szCs w:val="24"/>
        </w:rPr>
        <w:t xml:space="preserve"> 6. There was no evidence of peri-renal tissue injury (B).</w:t>
      </w:r>
    </w:p>
    <w:p w:rsidR="00E8308C" w:rsidRPr="001E29B5" w:rsidRDefault="00E8308C" w:rsidP="00036E8E">
      <w:pPr>
        <w:spacing w:after="0" w:line="360" w:lineRule="auto"/>
        <w:jc w:val="both"/>
        <w:rPr>
          <w:rFonts w:ascii="Book Antiqua" w:hAnsi="Book Antiqua"/>
          <w:sz w:val="24"/>
          <w:szCs w:val="24"/>
          <w:lang w:eastAsia="zh-CN"/>
        </w:rPr>
        <w:sectPr w:rsidR="00E8308C" w:rsidRPr="001E29B5" w:rsidSect="001A13FB">
          <w:footerReference w:type="even" r:id="rId22"/>
          <w:footerReference w:type="default" r:id="rId23"/>
          <w:pgSz w:w="12240" w:h="15840"/>
          <w:pgMar w:top="1350" w:right="1440" w:bottom="1440" w:left="1440" w:header="720" w:footer="720" w:gutter="0"/>
          <w:cols w:space="720"/>
          <w:docGrid w:linePitch="360"/>
        </w:sectPr>
      </w:pPr>
    </w:p>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lastRenderedPageBreak/>
        <w:t>Table 1 Multiple magnetic resonance imaging sequences used for temperature monitoring, characterization and qu</w:t>
      </w:r>
      <w:r>
        <w:rPr>
          <w:rFonts w:ascii="Book Antiqua" w:hAnsi="Book Antiqua"/>
          <w:b/>
          <w:sz w:val="24"/>
          <w:szCs w:val="24"/>
        </w:rPr>
        <w:t>antification of ablated kidneys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790"/>
        <w:gridCol w:w="790"/>
        <w:gridCol w:w="790"/>
        <w:gridCol w:w="845"/>
        <w:gridCol w:w="1110"/>
        <w:gridCol w:w="1256"/>
        <w:gridCol w:w="1616"/>
        <w:gridCol w:w="815"/>
        <w:gridCol w:w="2053"/>
      </w:tblGrid>
      <w:tr w:rsidR="00E8308C" w:rsidRPr="001E29B5" w:rsidTr="00443671">
        <w:tc>
          <w:tcPr>
            <w:tcW w:w="1689" w:type="dxa"/>
            <w:shd w:val="clear" w:color="000000" w:fill="auto"/>
          </w:tcPr>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Pulse</w:t>
            </w:r>
            <w:r w:rsidRPr="001E29B5">
              <w:rPr>
                <w:rFonts w:ascii="Book Antiqua" w:hAnsi="Book Antiqua"/>
                <w:b/>
                <w:sz w:val="24"/>
                <w:szCs w:val="24"/>
                <w:lang w:eastAsia="zh-CN"/>
              </w:rPr>
              <w:t xml:space="preserve"> </w:t>
            </w:r>
            <w:r w:rsidRPr="001E29B5">
              <w:rPr>
                <w:rFonts w:ascii="Book Antiqua" w:hAnsi="Book Antiqua"/>
                <w:b/>
                <w:sz w:val="24"/>
                <w:szCs w:val="24"/>
              </w:rPr>
              <w:t>sequence</w:t>
            </w:r>
          </w:p>
        </w:tc>
        <w:tc>
          <w:tcPr>
            <w:tcW w:w="790"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TR</w:t>
            </w:r>
          </w:p>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(ms)</w:t>
            </w:r>
          </w:p>
        </w:tc>
        <w:tc>
          <w:tcPr>
            <w:tcW w:w="790"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TE</w:t>
            </w:r>
          </w:p>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(ms)</w:t>
            </w:r>
          </w:p>
        </w:tc>
        <w:tc>
          <w:tcPr>
            <w:tcW w:w="790" w:type="dxa"/>
            <w:shd w:val="clear" w:color="000000" w:fill="auto"/>
          </w:tcPr>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ETL</w:t>
            </w:r>
          </w:p>
        </w:tc>
        <w:tc>
          <w:tcPr>
            <w:tcW w:w="845"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rBW</w:t>
            </w:r>
          </w:p>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(kHz)</w:t>
            </w:r>
          </w:p>
        </w:tc>
        <w:tc>
          <w:tcPr>
            <w:tcW w:w="1110"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Flip angle</w:t>
            </w:r>
          </w:p>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(degree)</w:t>
            </w:r>
          </w:p>
        </w:tc>
        <w:tc>
          <w:tcPr>
            <w:tcW w:w="1256" w:type="dxa"/>
            <w:shd w:val="clear" w:color="000000" w:fill="auto"/>
          </w:tcPr>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Slice</w:t>
            </w:r>
            <w:r w:rsidRPr="001E29B5">
              <w:rPr>
                <w:rFonts w:ascii="Book Antiqua" w:hAnsi="Book Antiqua"/>
                <w:b/>
                <w:sz w:val="24"/>
                <w:szCs w:val="24"/>
                <w:lang w:eastAsia="zh-CN"/>
              </w:rPr>
              <w:t xml:space="preserve"> </w:t>
            </w:r>
            <w:r w:rsidRPr="001E29B5">
              <w:rPr>
                <w:rFonts w:ascii="Book Antiqua" w:hAnsi="Book Antiqua"/>
                <w:b/>
                <w:sz w:val="24"/>
                <w:szCs w:val="24"/>
              </w:rPr>
              <w:t>thickness</w:t>
            </w:r>
          </w:p>
        </w:tc>
        <w:tc>
          <w:tcPr>
            <w:tcW w:w="1616"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Matrix</w:t>
            </w:r>
            <w:r w:rsidRPr="001E29B5">
              <w:rPr>
                <w:rFonts w:ascii="Book Antiqua" w:hAnsi="Book Antiqua"/>
                <w:b/>
                <w:sz w:val="24"/>
                <w:szCs w:val="24"/>
                <w:lang w:eastAsia="zh-CN"/>
              </w:rPr>
              <w:t xml:space="preserve"> </w:t>
            </w:r>
            <w:r w:rsidRPr="001E29B5">
              <w:rPr>
                <w:rFonts w:ascii="Book Antiqua" w:hAnsi="Book Antiqua"/>
                <w:b/>
                <w:sz w:val="24"/>
                <w:szCs w:val="24"/>
              </w:rPr>
              <w:t>size</w:t>
            </w:r>
          </w:p>
        </w:tc>
        <w:tc>
          <w:tcPr>
            <w:tcW w:w="815" w:type="dxa"/>
            <w:shd w:val="clear" w:color="000000" w:fill="auto"/>
          </w:tcPr>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NEX</w:t>
            </w:r>
          </w:p>
        </w:tc>
        <w:tc>
          <w:tcPr>
            <w:tcW w:w="2053"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Acquisition</w:t>
            </w:r>
            <w:r w:rsidRPr="001E29B5">
              <w:rPr>
                <w:rFonts w:ascii="Book Antiqua" w:hAnsi="Book Antiqua"/>
                <w:b/>
                <w:sz w:val="24"/>
                <w:szCs w:val="24"/>
                <w:lang w:eastAsia="zh-CN"/>
              </w:rPr>
              <w:t xml:space="preserve"> </w:t>
            </w:r>
            <w:r w:rsidRPr="001E29B5">
              <w:rPr>
                <w:rFonts w:ascii="Book Antiqua" w:hAnsi="Book Antiqua"/>
                <w:b/>
                <w:sz w:val="24"/>
                <w:szCs w:val="24"/>
              </w:rPr>
              <w:t>time</w:t>
            </w:r>
          </w:p>
          <w:p w:rsidR="00E8308C" w:rsidRPr="001E29B5" w:rsidRDefault="00E8308C" w:rsidP="00036E8E">
            <w:pPr>
              <w:spacing w:after="0" w:line="360" w:lineRule="auto"/>
              <w:jc w:val="both"/>
              <w:rPr>
                <w:rFonts w:ascii="Book Antiqua" w:hAnsi="Book Antiqua"/>
                <w:b/>
                <w:sz w:val="24"/>
                <w:szCs w:val="24"/>
                <w:shd w:val="pct15" w:color="auto" w:fill="FFFFFF"/>
                <w:lang w:eastAsia="zh-CN"/>
              </w:rPr>
            </w:pPr>
            <w:r w:rsidRPr="001E29B5">
              <w:rPr>
                <w:rFonts w:ascii="Book Antiqua" w:hAnsi="Book Antiqua"/>
                <w:b/>
                <w:sz w:val="24"/>
                <w:szCs w:val="24"/>
              </w:rPr>
              <w:t>(s)</w:t>
            </w:r>
          </w:p>
        </w:tc>
      </w:tr>
      <w:tr w:rsidR="00E8308C" w:rsidRPr="001E29B5" w:rsidTr="00443671">
        <w:tc>
          <w:tcPr>
            <w:tcW w:w="1689"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T2-W</w:t>
            </w:r>
          </w:p>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Thermometry</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210</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18.3</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12</w:t>
            </w:r>
          </w:p>
        </w:tc>
        <w:tc>
          <w:tcPr>
            <w:tcW w:w="84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15.63</w:t>
            </w:r>
          </w:p>
        </w:tc>
        <w:tc>
          <w:tcPr>
            <w:tcW w:w="111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35</w:t>
            </w:r>
          </w:p>
        </w:tc>
        <w:tc>
          <w:tcPr>
            <w:tcW w:w="1256"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4</w:t>
            </w:r>
          </w:p>
        </w:tc>
        <w:tc>
          <w:tcPr>
            <w:tcW w:w="1616"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256</w:t>
            </w:r>
            <w:r w:rsidRPr="001E29B5">
              <w:rPr>
                <w:rFonts w:ascii="Book Antiqua" w:hAnsi="Book Antiqua"/>
                <w:sz w:val="24"/>
                <w:szCs w:val="24"/>
                <w:lang w:eastAsia="zh-CN"/>
              </w:rPr>
              <w:t xml:space="preserve"> × </w:t>
            </w:r>
            <w:r w:rsidRPr="001E29B5">
              <w:rPr>
                <w:rFonts w:ascii="Book Antiqua" w:hAnsi="Book Antiqua"/>
                <w:sz w:val="24"/>
                <w:szCs w:val="24"/>
              </w:rPr>
              <w:t>192</w:t>
            </w:r>
          </w:p>
        </w:tc>
        <w:tc>
          <w:tcPr>
            <w:tcW w:w="81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w:t>
            </w:r>
          </w:p>
        </w:tc>
        <w:tc>
          <w:tcPr>
            <w:tcW w:w="2053"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100</w:t>
            </w:r>
          </w:p>
        </w:tc>
      </w:tr>
      <w:tr w:rsidR="00E8308C" w:rsidRPr="001E29B5" w:rsidTr="00443671">
        <w:tc>
          <w:tcPr>
            <w:tcW w:w="1689"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2D T2-W FSE (pre and post</w:t>
            </w:r>
            <w:r w:rsidRPr="001E29B5">
              <w:rPr>
                <w:rFonts w:ascii="Book Antiqua" w:hAnsi="Book Antiqua"/>
                <w:sz w:val="24"/>
                <w:szCs w:val="24"/>
                <w:lang w:eastAsia="zh-CN"/>
              </w:rPr>
              <w:t xml:space="preserve"> </w:t>
            </w:r>
            <w:r w:rsidRPr="001E29B5">
              <w:rPr>
                <w:rFonts w:ascii="Book Antiqua" w:hAnsi="Book Antiqua"/>
                <w:sz w:val="24"/>
                <w:szCs w:val="24"/>
              </w:rPr>
              <w:t>ablation)</w:t>
            </w:r>
          </w:p>
          <w:p w:rsidR="00E8308C" w:rsidRPr="001E29B5" w:rsidRDefault="00E8308C" w:rsidP="00036E8E">
            <w:pPr>
              <w:spacing w:after="0" w:line="360" w:lineRule="auto"/>
              <w:jc w:val="both"/>
              <w:rPr>
                <w:rFonts w:ascii="Book Antiqua" w:hAnsi="Book Antiqua"/>
                <w:sz w:val="24"/>
                <w:szCs w:val="24"/>
                <w:shd w:val="pct15" w:color="auto" w:fill="FFFFFF"/>
                <w:lang w:eastAsia="zh-CN"/>
              </w:rPr>
            </w:pP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7300</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68</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12</w:t>
            </w:r>
          </w:p>
        </w:tc>
        <w:tc>
          <w:tcPr>
            <w:tcW w:w="84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15.63</w:t>
            </w:r>
          </w:p>
        </w:tc>
        <w:tc>
          <w:tcPr>
            <w:tcW w:w="111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11</w:t>
            </w:r>
          </w:p>
        </w:tc>
        <w:tc>
          <w:tcPr>
            <w:tcW w:w="1256"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4</w:t>
            </w:r>
          </w:p>
        </w:tc>
        <w:tc>
          <w:tcPr>
            <w:tcW w:w="1616"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256</w:t>
            </w:r>
            <w:r w:rsidRPr="001E29B5">
              <w:rPr>
                <w:rFonts w:ascii="Book Antiqua" w:hAnsi="Book Antiqua"/>
                <w:sz w:val="24"/>
                <w:szCs w:val="24"/>
                <w:lang w:eastAsia="zh-CN"/>
              </w:rPr>
              <w:t xml:space="preserve"> × </w:t>
            </w:r>
            <w:r w:rsidRPr="001E29B5">
              <w:rPr>
                <w:rFonts w:ascii="Book Antiqua" w:hAnsi="Book Antiqua"/>
                <w:sz w:val="24"/>
                <w:szCs w:val="24"/>
              </w:rPr>
              <w:t>192</w:t>
            </w:r>
          </w:p>
        </w:tc>
        <w:tc>
          <w:tcPr>
            <w:tcW w:w="81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w:t>
            </w:r>
          </w:p>
        </w:tc>
        <w:tc>
          <w:tcPr>
            <w:tcW w:w="2053"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400</w:t>
            </w:r>
          </w:p>
        </w:tc>
      </w:tr>
      <w:tr w:rsidR="00E8308C" w:rsidRPr="001E29B5" w:rsidTr="00443671">
        <w:tc>
          <w:tcPr>
            <w:tcW w:w="1689"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Perfusion</w:t>
            </w:r>
            <w:r w:rsidRPr="001E29B5">
              <w:rPr>
                <w:rFonts w:ascii="Book Antiqua" w:hAnsi="Book Antiqua"/>
                <w:sz w:val="24"/>
                <w:szCs w:val="24"/>
                <w:lang w:eastAsia="zh-CN"/>
              </w:rPr>
              <w:t xml:space="preserve"> </w:t>
            </w:r>
            <w:r w:rsidRPr="001E29B5">
              <w:rPr>
                <w:rFonts w:ascii="Book Antiqua" w:hAnsi="Book Antiqua"/>
                <w:sz w:val="24"/>
                <w:szCs w:val="24"/>
              </w:rPr>
              <w:t>(post ablation)</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3.7</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1.5</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NA</w:t>
            </w:r>
          </w:p>
        </w:tc>
        <w:tc>
          <w:tcPr>
            <w:tcW w:w="84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62.5</w:t>
            </w:r>
          </w:p>
        </w:tc>
        <w:tc>
          <w:tcPr>
            <w:tcW w:w="111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9</w:t>
            </w:r>
          </w:p>
        </w:tc>
        <w:tc>
          <w:tcPr>
            <w:tcW w:w="1256"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lang w:eastAsia="zh-CN"/>
              </w:rPr>
              <w:t>5</w:t>
            </w:r>
          </w:p>
        </w:tc>
        <w:tc>
          <w:tcPr>
            <w:tcW w:w="1616"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96</w:t>
            </w:r>
            <w:r w:rsidRPr="001E29B5">
              <w:rPr>
                <w:rFonts w:ascii="Book Antiqua" w:hAnsi="Book Antiqua"/>
                <w:sz w:val="24"/>
                <w:szCs w:val="24"/>
                <w:lang w:eastAsia="zh-CN"/>
              </w:rPr>
              <w:t xml:space="preserve"> × </w:t>
            </w:r>
            <w:r w:rsidRPr="001E29B5">
              <w:rPr>
                <w:rFonts w:ascii="Book Antiqua" w:hAnsi="Book Antiqua"/>
                <w:sz w:val="24"/>
                <w:szCs w:val="24"/>
              </w:rPr>
              <w:t>96</w:t>
            </w:r>
          </w:p>
        </w:tc>
        <w:tc>
          <w:tcPr>
            <w:tcW w:w="81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w:t>
            </w:r>
          </w:p>
        </w:tc>
        <w:tc>
          <w:tcPr>
            <w:tcW w:w="2053"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lang w:eastAsia="zh-CN"/>
              </w:rPr>
              <w:t>120</w:t>
            </w:r>
          </w:p>
        </w:tc>
      </w:tr>
      <w:tr w:rsidR="00E8308C" w:rsidRPr="001E29B5" w:rsidTr="00443671">
        <w:tc>
          <w:tcPr>
            <w:tcW w:w="1689"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2D T1-W FSE</w:t>
            </w:r>
            <w:r w:rsidRPr="001E29B5">
              <w:rPr>
                <w:rFonts w:ascii="Book Antiqua" w:hAnsi="Book Antiqua"/>
                <w:sz w:val="24"/>
                <w:szCs w:val="24"/>
                <w:lang w:eastAsia="zh-CN"/>
              </w:rPr>
              <w:t xml:space="preserve"> </w:t>
            </w:r>
            <w:r w:rsidRPr="001E29B5">
              <w:rPr>
                <w:rFonts w:ascii="Book Antiqua" w:hAnsi="Book Antiqua"/>
                <w:sz w:val="24"/>
                <w:szCs w:val="24"/>
              </w:rPr>
              <w:t>(pre and post</w:t>
            </w:r>
            <w:r w:rsidRPr="001E29B5">
              <w:rPr>
                <w:rFonts w:ascii="Book Antiqua" w:hAnsi="Book Antiqua"/>
                <w:sz w:val="24"/>
                <w:szCs w:val="24"/>
                <w:lang w:eastAsia="zh-CN"/>
              </w:rPr>
              <w:t xml:space="preserve"> </w:t>
            </w:r>
            <w:r w:rsidRPr="001E29B5">
              <w:rPr>
                <w:rFonts w:ascii="Book Antiqua" w:hAnsi="Book Antiqua"/>
                <w:sz w:val="24"/>
                <w:szCs w:val="24"/>
              </w:rPr>
              <w:t>ablation</w:t>
            </w:r>
            <w:r w:rsidRPr="001E29B5">
              <w:rPr>
                <w:rFonts w:ascii="Book Antiqua" w:hAnsi="Book Antiqua"/>
                <w:sz w:val="24"/>
                <w:szCs w:val="24"/>
                <w:vertAlign w:val="superscript"/>
                <w:lang w:eastAsia="zh-CN"/>
              </w:rPr>
              <w:t>1</w:t>
            </w:r>
            <w:r w:rsidRPr="001E29B5">
              <w:rPr>
                <w:rFonts w:ascii="Book Antiqua" w:hAnsi="Book Antiqua"/>
                <w:sz w:val="24"/>
                <w:szCs w:val="24"/>
              </w:rPr>
              <w:t>)</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985</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7.2</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w:t>
            </w:r>
          </w:p>
        </w:tc>
        <w:tc>
          <w:tcPr>
            <w:tcW w:w="84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31.25</w:t>
            </w:r>
          </w:p>
        </w:tc>
        <w:tc>
          <w:tcPr>
            <w:tcW w:w="1110" w:type="dxa"/>
            <w:shd w:val="clear" w:color="000000" w:fill="auto"/>
          </w:tcPr>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120</w:t>
            </w:r>
          </w:p>
        </w:tc>
        <w:tc>
          <w:tcPr>
            <w:tcW w:w="1256" w:type="dxa"/>
            <w:shd w:val="clear" w:color="000000" w:fill="auto"/>
          </w:tcPr>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5</w:t>
            </w:r>
          </w:p>
        </w:tc>
        <w:tc>
          <w:tcPr>
            <w:tcW w:w="1616" w:type="dxa"/>
            <w:shd w:val="clear" w:color="000000" w:fill="auto"/>
          </w:tcPr>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192</w:t>
            </w:r>
            <w:r w:rsidRPr="001E29B5">
              <w:rPr>
                <w:rFonts w:ascii="Book Antiqua" w:hAnsi="Book Antiqua"/>
                <w:sz w:val="24"/>
                <w:szCs w:val="24"/>
                <w:lang w:eastAsia="zh-CN"/>
              </w:rPr>
              <w:t xml:space="preserve"> × </w:t>
            </w:r>
            <w:r w:rsidRPr="001E29B5">
              <w:rPr>
                <w:rFonts w:ascii="Book Antiqua" w:hAnsi="Book Antiqua"/>
                <w:sz w:val="24"/>
                <w:szCs w:val="24"/>
              </w:rPr>
              <w:t>192</w:t>
            </w:r>
          </w:p>
        </w:tc>
        <w:tc>
          <w:tcPr>
            <w:tcW w:w="81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lang w:eastAsia="zh-CN"/>
              </w:rPr>
              <w:t>1</w:t>
            </w:r>
          </w:p>
        </w:tc>
        <w:tc>
          <w:tcPr>
            <w:tcW w:w="2053"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lang w:eastAsia="zh-CN"/>
              </w:rPr>
              <w:t>16</w:t>
            </w:r>
          </w:p>
        </w:tc>
      </w:tr>
      <w:tr w:rsidR="00E8308C" w:rsidRPr="001E29B5" w:rsidTr="00443671">
        <w:tc>
          <w:tcPr>
            <w:tcW w:w="1689" w:type="dxa"/>
            <w:shd w:val="clear" w:color="000000" w:fill="auto"/>
          </w:tcPr>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3D LAVA</w:t>
            </w:r>
            <w:r w:rsidRPr="001E29B5">
              <w:rPr>
                <w:rFonts w:ascii="Book Antiqua" w:hAnsi="Book Antiqua"/>
                <w:sz w:val="24"/>
                <w:szCs w:val="24"/>
                <w:lang w:eastAsia="zh-CN"/>
              </w:rPr>
              <w:t xml:space="preserve"> </w:t>
            </w:r>
            <w:r w:rsidRPr="001E29B5">
              <w:rPr>
                <w:rFonts w:ascii="Book Antiqua" w:hAnsi="Book Antiqua"/>
                <w:sz w:val="24"/>
                <w:szCs w:val="24"/>
              </w:rPr>
              <w:t>(pre and post</w:t>
            </w:r>
            <w:r w:rsidRPr="001E29B5">
              <w:rPr>
                <w:rFonts w:ascii="Book Antiqua" w:hAnsi="Book Antiqua"/>
                <w:sz w:val="24"/>
                <w:szCs w:val="24"/>
                <w:lang w:eastAsia="zh-CN"/>
              </w:rPr>
              <w:t xml:space="preserve"> </w:t>
            </w:r>
            <w:r w:rsidRPr="001E29B5">
              <w:rPr>
                <w:rFonts w:ascii="Book Antiqua" w:hAnsi="Book Antiqua"/>
                <w:sz w:val="24"/>
                <w:szCs w:val="24"/>
              </w:rPr>
              <w:t>ablation</w:t>
            </w:r>
            <w:r w:rsidRPr="001E29B5">
              <w:rPr>
                <w:rFonts w:ascii="Book Antiqua" w:hAnsi="Book Antiqua"/>
                <w:sz w:val="24"/>
                <w:szCs w:val="24"/>
                <w:vertAlign w:val="superscript"/>
                <w:lang w:eastAsia="zh-CN"/>
              </w:rPr>
              <w:t>1</w:t>
            </w:r>
            <w:r w:rsidRPr="001E29B5">
              <w:rPr>
                <w:rFonts w:ascii="Book Antiqua" w:hAnsi="Book Antiqua"/>
                <w:sz w:val="24"/>
                <w:szCs w:val="24"/>
              </w:rPr>
              <w:t>)</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3.9</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1.5</w:t>
            </w:r>
          </w:p>
        </w:tc>
        <w:tc>
          <w:tcPr>
            <w:tcW w:w="79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NA</w:t>
            </w:r>
          </w:p>
        </w:tc>
        <w:tc>
          <w:tcPr>
            <w:tcW w:w="845"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62.5</w:t>
            </w:r>
          </w:p>
        </w:tc>
        <w:tc>
          <w:tcPr>
            <w:tcW w:w="1110" w:type="dxa"/>
            <w:shd w:val="clear" w:color="000000" w:fill="auto"/>
          </w:tcPr>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15</w:t>
            </w:r>
          </w:p>
        </w:tc>
        <w:tc>
          <w:tcPr>
            <w:tcW w:w="1256" w:type="dxa"/>
            <w:shd w:val="clear" w:color="000000" w:fill="auto"/>
          </w:tcPr>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5</w:t>
            </w:r>
          </w:p>
        </w:tc>
        <w:tc>
          <w:tcPr>
            <w:tcW w:w="1616" w:type="dxa"/>
            <w:shd w:val="clear" w:color="000000" w:fill="auto"/>
          </w:tcPr>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192</w:t>
            </w:r>
            <w:r w:rsidRPr="001E29B5">
              <w:rPr>
                <w:rFonts w:ascii="Book Antiqua" w:hAnsi="Book Antiqua"/>
                <w:sz w:val="24"/>
                <w:szCs w:val="24"/>
                <w:lang w:eastAsia="zh-CN"/>
              </w:rPr>
              <w:t xml:space="preserve"> × </w:t>
            </w:r>
            <w:r w:rsidRPr="001E29B5">
              <w:rPr>
                <w:rFonts w:ascii="Book Antiqua" w:hAnsi="Book Antiqua"/>
                <w:sz w:val="24"/>
                <w:szCs w:val="24"/>
              </w:rPr>
              <w:t>192</w:t>
            </w:r>
          </w:p>
        </w:tc>
        <w:tc>
          <w:tcPr>
            <w:tcW w:w="815" w:type="dxa"/>
            <w:shd w:val="clear" w:color="000000" w:fill="auto"/>
          </w:tcPr>
          <w:p w:rsidR="00E8308C" w:rsidRPr="001E29B5" w:rsidRDefault="00E8308C" w:rsidP="00036E8E">
            <w:pPr>
              <w:spacing w:after="0" w:line="360" w:lineRule="auto"/>
              <w:jc w:val="both"/>
              <w:rPr>
                <w:rFonts w:ascii="Book Antiqua" w:hAnsi="Book Antiqua"/>
                <w:sz w:val="24"/>
                <w:szCs w:val="24"/>
                <w:shd w:val="pct15" w:color="auto" w:fill="FFFFFF"/>
                <w:lang w:eastAsia="zh-CN"/>
              </w:rPr>
            </w:pPr>
            <w:r w:rsidRPr="001E29B5">
              <w:rPr>
                <w:rFonts w:ascii="Book Antiqua" w:hAnsi="Book Antiqua"/>
                <w:sz w:val="24"/>
                <w:szCs w:val="24"/>
              </w:rPr>
              <w:t>3</w:t>
            </w:r>
          </w:p>
        </w:tc>
        <w:tc>
          <w:tcPr>
            <w:tcW w:w="2053"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240</w:t>
            </w:r>
          </w:p>
          <w:p w:rsidR="00E8308C" w:rsidRPr="001E29B5" w:rsidRDefault="00E8308C" w:rsidP="00036E8E">
            <w:pPr>
              <w:spacing w:after="0" w:line="360" w:lineRule="auto"/>
              <w:jc w:val="both"/>
              <w:rPr>
                <w:rFonts w:ascii="Book Antiqua" w:hAnsi="Book Antiqua"/>
                <w:sz w:val="24"/>
                <w:szCs w:val="24"/>
                <w:shd w:val="pct15" w:color="auto" w:fill="FFFFFF"/>
                <w:lang w:eastAsia="zh-CN"/>
              </w:rPr>
            </w:pPr>
          </w:p>
        </w:tc>
      </w:tr>
    </w:tbl>
    <w:p w:rsidR="00E8308C" w:rsidRPr="001E29B5" w:rsidRDefault="00E8308C" w:rsidP="00036E8E">
      <w:pPr>
        <w:spacing w:after="0" w:line="360" w:lineRule="auto"/>
        <w:jc w:val="both"/>
        <w:rPr>
          <w:rFonts w:ascii="Book Antiqua" w:hAnsi="Book Antiqua"/>
          <w:sz w:val="24"/>
          <w:szCs w:val="24"/>
          <w:lang w:eastAsia="zh-CN"/>
        </w:rPr>
      </w:pP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vertAlign w:val="superscript"/>
          <w:lang w:eastAsia="zh-CN"/>
        </w:rPr>
        <w:lastRenderedPageBreak/>
        <w:t>1</w:t>
      </w:r>
      <w:r w:rsidRPr="001E29B5">
        <w:rPr>
          <w:rFonts w:ascii="Book Antiqua" w:hAnsi="Book Antiqua"/>
          <w:sz w:val="24"/>
          <w:szCs w:val="24"/>
        </w:rPr>
        <w:t>Both 2-dimensional T1-weighted fast spin echo and 3-dimentional LAVA images. TR</w:t>
      </w:r>
      <w:r w:rsidRPr="001E29B5">
        <w:rPr>
          <w:rFonts w:ascii="Book Antiqua" w:hAnsi="Book Antiqua"/>
          <w:sz w:val="24"/>
          <w:szCs w:val="24"/>
          <w:lang w:eastAsia="zh-CN"/>
        </w:rPr>
        <w:t>:</w:t>
      </w:r>
      <w:r w:rsidRPr="001E29B5">
        <w:rPr>
          <w:rFonts w:ascii="Book Antiqua" w:hAnsi="Book Antiqua"/>
          <w:sz w:val="24"/>
          <w:szCs w:val="24"/>
        </w:rPr>
        <w:t xml:space="preserve"> Repetition time</w:t>
      </w:r>
      <w:r w:rsidRPr="001E29B5">
        <w:rPr>
          <w:rFonts w:ascii="Book Antiqua" w:hAnsi="Book Antiqua"/>
          <w:sz w:val="24"/>
          <w:szCs w:val="24"/>
          <w:lang w:eastAsia="zh-CN"/>
        </w:rPr>
        <w:t>;</w:t>
      </w:r>
      <w:r w:rsidRPr="001E29B5">
        <w:rPr>
          <w:rFonts w:ascii="Book Antiqua" w:hAnsi="Book Antiqua"/>
          <w:sz w:val="24"/>
          <w:szCs w:val="24"/>
        </w:rPr>
        <w:t xml:space="preserve"> TE</w:t>
      </w:r>
      <w:r w:rsidRPr="001E29B5">
        <w:rPr>
          <w:rFonts w:ascii="Book Antiqua" w:hAnsi="Book Antiqua"/>
          <w:sz w:val="24"/>
          <w:szCs w:val="24"/>
          <w:lang w:eastAsia="zh-CN"/>
        </w:rPr>
        <w:t>:</w:t>
      </w:r>
      <w:r w:rsidRPr="001E29B5">
        <w:rPr>
          <w:rFonts w:ascii="Book Antiqua" w:hAnsi="Book Antiqua"/>
          <w:sz w:val="24"/>
          <w:szCs w:val="24"/>
        </w:rPr>
        <w:t xml:space="preserve"> Echo time</w:t>
      </w:r>
      <w:r w:rsidRPr="001E29B5">
        <w:rPr>
          <w:rFonts w:ascii="Book Antiqua" w:hAnsi="Book Antiqua"/>
          <w:sz w:val="24"/>
          <w:szCs w:val="24"/>
          <w:lang w:eastAsia="zh-CN"/>
        </w:rPr>
        <w:t>;</w:t>
      </w:r>
      <w:r w:rsidRPr="001E29B5">
        <w:rPr>
          <w:rFonts w:ascii="Book Antiqua" w:hAnsi="Book Antiqua"/>
          <w:sz w:val="24"/>
          <w:szCs w:val="24"/>
        </w:rPr>
        <w:t xml:space="preserve"> ETL</w:t>
      </w:r>
      <w:r w:rsidRPr="001E29B5">
        <w:rPr>
          <w:rFonts w:ascii="Book Antiqua" w:hAnsi="Book Antiqua"/>
          <w:sz w:val="24"/>
          <w:szCs w:val="24"/>
          <w:lang w:eastAsia="zh-CN"/>
        </w:rPr>
        <w:t>:</w:t>
      </w:r>
      <w:r w:rsidRPr="001E29B5">
        <w:rPr>
          <w:rFonts w:ascii="Book Antiqua" w:hAnsi="Book Antiqua"/>
          <w:sz w:val="24"/>
          <w:szCs w:val="24"/>
        </w:rPr>
        <w:t xml:space="preserve"> Echo train length</w:t>
      </w:r>
      <w:r w:rsidRPr="001E29B5">
        <w:rPr>
          <w:rFonts w:ascii="Book Antiqua" w:hAnsi="Book Antiqua"/>
          <w:sz w:val="24"/>
          <w:szCs w:val="24"/>
          <w:lang w:eastAsia="zh-CN"/>
        </w:rPr>
        <w:t>;</w:t>
      </w:r>
      <w:r w:rsidRPr="001E29B5">
        <w:rPr>
          <w:rFonts w:ascii="Book Antiqua" w:hAnsi="Book Antiqua"/>
          <w:sz w:val="24"/>
          <w:szCs w:val="24"/>
        </w:rPr>
        <w:t xml:space="preserve"> rBW</w:t>
      </w:r>
      <w:r w:rsidRPr="001E29B5">
        <w:rPr>
          <w:rFonts w:ascii="Book Antiqua" w:hAnsi="Book Antiqua"/>
          <w:sz w:val="24"/>
          <w:szCs w:val="24"/>
          <w:lang w:eastAsia="zh-CN"/>
        </w:rPr>
        <w:t>:</w:t>
      </w:r>
      <w:r w:rsidRPr="001E29B5">
        <w:rPr>
          <w:rFonts w:ascii="Book Antiqua" w:hAnsi="Book Antiqua"/>
          <w:sz w:val="24"/>
          <w:szCs w:val="24"/>
        </w:rPr>
        <w:t xml:space="preserve"> Receiver bandwidth</w:t>
      </w:r>
      <w:r w:rsidRPr="001E29B5">
        <w:rPr>
          <w:rFonts w:ascii="Book Antiqua" w:hAnsi="Book Antiqua"/>
          <w:sz w:val="24"/>
          <w:szCs w:val="24"/>
          <w:lang w:eastAsia="zh-CN"/>
        </w:rPr>
        <w:t>;</w:t>
      </w:r>
      <w:r w:rsidRPr="001E29B5">
        <w:rPr>
          <w:rFonts w:ascii="Book Antiqua" w:hAnsi="Book Antiqua"/>
          <w:sz w:val="24"/>
          <w:szCs w:val="24"/>
        </w:rPr>
        <w:t xml:space="preserve"> NEX</w:t>
      </w:r>
      <w:r w:rsidRPr="001E29B5">
        <w:rPr>
          <w:rFonts w:ascii="Book Antiqua" w:hAnsi="Book Antiqua"/>
          <w:sz w:val="24"/>
          <w:szCs w:val="24"/>
          <w:lang w:eastAsia="zh-CN"/>
        </w:rPr>
        <w:t>:</w:t>
      </w:r>
      <w:r w:rsidRPr="001E29B5">
        <w:rPr>
          <w:rFonts w:ascii="Book Antiqua" w:hAnsi="Book Antiqua"/>
          <w:sz w:val="24"/>
          <w:szCs w:val="24"/>
        </w:rPr>
        <w:t xml:space="preserve"> Number of excitation per step</w:t>
      </w:r>
      <w:r w:rsidRPr="001E29B5">
        <w:rPr>
          <w:rFonts w:ascii="Book Antiqua" w:hAnsi="Book Antiqua"/>
          <w:sz w:val="24"/>
          <w:szCs w:val="24"/>
          <w:lang w:eastAsia="zh-CN"/>
        </w:rPr>
        <w:t xml:space="preserve">; </w:t>
      </w:r>
      <w:r w:rsidRPr="001E29B5">
        <w:rPr>
          <w:rFonts w:ascii="Book Antiqua" w:hAnsi="Book Antiqua"/>
          <w:sz w:val="24"/>
          <w:szCs w:val="24"/>
        </w:rPr>
        <w:t>LAVA</w:t>
      </w:r>
      <w:r w:rsidRPr="001E29B5">
        <w:rPr>
          <w:rFonts w:ascii="Book Antiqua" w:hAnsi="Book Antiqua"/>
          <w:sz w:val="24"/>
          <w:szCs w:val="24"/>
          <w:lang w:eastAsia="zh-CN"/>
        </w:rPr>
        <w:t xml:space="preserve">: </w:t>
      </w:r>
      <w:r w:rsidRPr="001E29B5">
        <w:rPr>
          <w:rFonts w:ascii="Book Antiqua" w:hAnsi="Book Antiqua"/>
          <w:sz w:val="24"/>
          <w:szCs w:val="24"/>
        </w:rPr>
        <w:t>Liver acquisitions with volume acquisition</w:t>
      </w:r>
      <w:r w:rsidRPr="001E29B5">
        <w:rPr>
          <w:rFonts w:ascii="Book Antiqua" w:hAnsi="Book Antiqua"/>
          <w:sz w:val="24"/>
          <w:szCs w:val="24"/>
          <w:lang w:eastAsia="zh-CN"/>
        </w:rPr>
        <w:t>.</w:t>
      </w: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sz w:val="24"/>
          <w:szCs w:val="24"/>
        </w:rPr>
        <w:br w:type="page"/>
      </w:r>
      <w:r w:rsidRPr="001E29B5">
        <w:rPr>
          <w:rFonts w:ascii="Book Antiqua" w:hAnsi="Book Antiqua"/>
          <w:b/>
          <w:sz w:val="24"/>
          <w:szCs w:val="24"/>
        </w:rPr>
        <w:lastRenderedPageBreak/>
        <w:t>Table 2</w:t>
      </w:r>
      <w:r w:rsidRPr="001E29B5">
        <w:rPr>
          <w:rFonts w:ascii="Book Antiqua" w:hAnsi="Book Antiqua"/>
          <w:sz w:val="24"/>
          <w:szCs w:val="24"/>
        </w:rPr>
        <w:t xml:space="preserve"> </w:t>
      </w:r>
      <w:r w:rsidRPr="001E29B5">
        <w:rPr>
          <w:rFonts w:ascii="Book Antiqua" w:hAnsi="Book Antiqua"/>
          <w:b/>
          <w:sz w:val="24"/>
          <w:szCs w:val="24"/>
        </w:rPr>
        <w:t>Regional, core body temperatures, heart rate and oxygen tension m</w:t>
      </w:r>
      <w:r>
        <w:rPr>
          <w:rFonts w:ascii="Book Antiqua" w:hAnsi="Book Antiqua"/>
          <w:b/>
          <w:sz w:val="24"/>
          <w:szCs w:val="24"/>
        </w:rPr>
        <w:t>onitored during each sonication</w:t>
      </w:r>
    </w:p>
    <w:p w:rsidR="00E8308C" w:rsidRPr="001E29B5" w:rsidRDefault="00E8308C" w:rsidP="00036E8E">
      <w:pPr>
        <w:spacing w:after="0" w:line="360" w:lineRule="auto"/>
        <w:jc w:val="both"/>
        <w:rPr>
          <w:rFonts w:ascii="Book Antiqua" w:hAnsi="Book Antiqua"/>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349"/>
        <w:gridCol w:w="2224"/>
        <w:gridCol w:w="2220"/>
        <w:gridCol w:w="2104"/>
        <w:gridCol w:w="2104"/>
      </w:tblGrid>
      <w:tr w:rsidR="00E8308C" w:rsidRPr="001E29B5" w:rsidTr="00443671">
        <w:tc>
          <w:tcPr>
            <w:tcW w:w="2266"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Energy dose</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(Joules)</w:t>
            </w:r>
          </w:p>
        </w:tc>
        <w:tc>
          <w:tcPr>
            <w:tcW w:w="2349"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Temp (max)</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w:t>
            </w:r>
            <w:r w:rsidRPr="001E29B5">
              <w:rPr>
                <w:rFonts w:ascii="Book Antiqua" w:hAnsi="Book Antiqua"/>
                <w:b/>
                <w:sz w:val="24"/>
                <w:szCs w:val="24"/>
              </w:rPr>
              <w:sym w:font="Symbol" w:char="F0B0"/>
            </w:r>
            <w:r w:rsidRPr="001E29B5">
              <w:rPr>
                <w:rFonts w:ascii="Book Antiqua" w:hAnsi="Book Antiqua"/>
                <w:b/>
                <w:sz w:val="24"/>
                <w:szCs w:val="24"/>
              </w:rPr>
              <w:t>C)</w:t>
            </w:r>
          </w:p>
        </w:tc>
        <w:tc>
          <w:tcPr>
            <w:tcW w:w="2224"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Temp (avg)</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w:t>
            </w:r>
            <w:r w:rsidRPr="001E29B5">
              <w:rPr>
                <w:rFonts w:ascii="Book Antiqua" w:hAnsi="Book Antiqua"/>
                <w:b/>
                <w:sz w:val="24"/>
                <w:szCs w:val="24"/>
              </w:rPr>
              <w:sym w:font="Symbol" w:char="F0B0"/>
            </w:r>
            <w:r w:rsidRPr="001E29B5">
              <w:rPr>
                <w:rFonts w:ascii="Book Antiqua" w:hAnsi="Book Antiqua"/>
                <w:b/>
                <w:sz w:val="24"/>
                <w:szCs w:val="24"/>
              </w:rPr>
              <w:t>C)</w:t>
            </w:r>
          </w:p>
        </w:tc>
        <w:tc>
          <w:tcPr>
            <w:tcW w:w="2220"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Core body temp</w:t>
            </w:r>
            <w:r w:rsidRPr="001E29B5">
              <w:rPr>
                <w:rFonts w:ascii="Book Antiqua" w:hAnsi="Book Antiqua"/>
                <w:b/>
                <w:sz w:val="24"/>
                <w:szCs w:val="24"/>
                <w:lang w:eastAsia="zh-CN"/>
              </w:rPr>
              <w:t>.</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w:t>
            </w:r>
            <w:r w:rsidRPr="001E29B5">
              <w:rPr>
                <w:rFonts w:ascii="Book Antiqua" w:hAnsi="Book Antiqua"/>
                <w:b/>
                <w:sz w:val="24"/>
                <w:szCs w:val="24"/>
              </w:rPr>
              <w:sym w:font="Symbol" w:char="F0B0"/>
            </w:r>
            <w:r w:rsidRPr="001E29B5">
              <w:rPr>
                <w:rFonts w:ascii="Book Antiqua" w:hAnsi="Book Antiqua"/>
                <w:b/>
                <w:sz w:val="24"/>
                <w:szCs w:val="24"/>
              </w:rPr>
              <w:t>C)</w:t>
            </w:r>
          </w:p>
        </w:tc>
        <w:tc>
          <w:tcPr>
            <w:tcW w:w="2104"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HR</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(bpm)</w:t>
            </w:r>
          </w:p>
        </w:tc>
        <w:tc>
          <w:tcPr>
            <w:tcW w:w="2104"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O2-saturation</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w:t>
            </w:r>
          </w:p>
        </w:tc>
      </w:tr>
      <w:tr w:rsidR="00E8308C" w:rsidRPr="001E29B5" w:rsidTr="00443671">
        <w:tc>
          <w:tcPr>
            <w:tcW w:w="2266"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Single 3000</w:t>
            </w:r>
          </w:p>
        </w:tc>
        <w:tc>
          <w:tcPr>
            <w:tcW w:w="2349"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57</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3</w:t>
            </w:r>
            <w:r w:rsidRPr="001E29B5">
              <w:rPr>
                <w:rFonts w:ascii="Book Antiqua" w:hAnsi="Book Antiqua"/>
                <w:sz w:val="24"/>
                <w:szCs w:val="24"/>
              </w:rPr>
              <w:tab/>
            </w:r>
          </w:p>
        </w:tc>
        <w:tc>
          <w:tcPr>
            <w:tcW w:w="222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56</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3</w:t>
            </w:r>
          </w:p>
        </w:tc>
        <w:tc>
          <w:tcPr>
            <w:tcW w:w="222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38.3</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0.6</w:t>
            </w:r>
          </w:p>
        </w:tc>
        <w:tc>
          <w:tcPr>
            <w:tcW w:w="210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89</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5</w:t>
            </w:r>
          </w:p>
        </w:tc>
        <w:tc>
          <w:tcPr>
            <w:tcW w:w="210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99</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w:t>
            </w:r>
          </w:p>
        </w:tc>
      </w:tr>
      <w:tr w:rsidR="00E8308C" w:rsidRPr="001E29B5" w:rsidTr="00443671">
        <w:tc>
          <w:tcPr>
            <w:tcW w:w="2266"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Double 3000</w:t>
            </w:r>
            <w:r w:rsidRPr="001E29B5">
              <w:rPr>
                <w:rFonts w:ascii="Book Antiqua" w:hAnsi="Book Antiqua"/>
                <w:b/>
                <w:sz w:val="24"/>
                <w:szCs w:val="24"/>
              </w:rPr>
              <w:tab/>
            </w:r>
          </w:p>
        </w:tc>
        <w:tc>
          <w:tcPr>
            <w:tcW w:w="2349"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61</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4</w:t>
            </w:r>
          </w:p>
        </w:tc>
        <w:tc>
          <w:tcPr>
            <w:tcW w:w="222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59</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4</w:t>
            </w:r>
            <w:r w:rsidRPr="001E29B5">
              <w:rPr>
                <w:rFonts w:ascii="Book Antiqua" w:hAnsi="Book Antiqua"/>
                <w:sz w:val="24"/>
                <w:szCs w:val="24"/>
              </w:rPr>
              <w:tab/>
            </w:r>
          </w:p>
        </w:tc>
        <w:tc>
          <w:tcPr>
            <w:tcW w:w="222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38.1</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w:t>
            </w:r>
            <w:r w:rsidRPr="001E29B5">
              <w:rPr>
                <w:rFonts w:ascii="Book Antiqua" w:hAnsi="Book Antiqua"/>
                <w:sz w:val="24"/>
                <w:szCs w:val="24"/>
                <w:lang w:eastAsia="zh-CN"/>
              </w:rPr>
              <w:t>.</w:t>
            </w:r>
            <w:r w:rsidRPr="001E29B5">
              <w:rPr>
                <w:rFonts w:ascii="Book Antiqua" w:hAnsi="Book Antiqua"/>
                <w:sz w:val="24"/>
                <w:szCs w:val="24"/>
              </w:rPr>
              <w:t>5</w:t>
            </w:r>
          </w:p>
        </w:tc>
        <w:tc>
          <w:tcPr>
            <w:tcW w:w="210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87</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4</w:t>
            </w:r>
            <w:r w:rsidRPr="001E29B5">
              <w:rPr>
                <w:rFonts w:ascii="Book Antiqua" w:hAnsi="Book Antiqua"/>
                <w:sz w:val="24"/>
                <w:szCs w:val="24"/>
              </w:rPr>
              <w:tab/>
            </w:r>
          </w:p>
        </w:tc>
        <w:tc>
          <w:tcPr>
            <w:tcW w:w="210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99</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w:t>
            </w:r>
          </w:p>
        </w:tc>
      </w:tr>
      <w:tr w:rsidR="00E8308C" w:rsidRPr="001E29B5" w:rsidTr="00443671">
        <w:tc>
          <w:tcPr>
            <w:tcW w:w="2266"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Single 4400</w:t>
            </w:r>
          </w:p>
        </w:tc>
        <w:tc>
          <w:tcPr>
            <w:tcW w:w="2349"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63</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6</w:t>
            </w:r>
          </w:p>
        </w:tc>
        <w:tc>
          <w:tcPr>
            <w:tcW w:w="222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61</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6</w:t>
            </w:r>
          </w:p>
        </w:tc>
        <w:tc>
          <w:tcPr>
            <w:tcW w:w="222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38.4</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0.4</w:t>
            </w:r>
          </w:p>
        </w:tc>
        <w:tc>
          <w:tcPr>
            <w:tcW w:w="210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86</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5</w:t>
            </w:r>
          </w:p>
        </w:tc>
        <w:tc>
          <w:tcPr>
            <w:tcW w:w="210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99</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w:t>
            </w:r>
          </w:p>
        </w:tc>
      </w:tr>
      <w:tr w:rsidR="00E8308C" w:rsidRPr="001E29B5" w:rsidTr="00443671">
        <w:tc>
          <w:tcPr>
            <w:tcW w:w="2266"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Double 4400</w:t>
            </w:r>
          </w:p>
        </w:tc>
        <w:tc>
          <w:tcPr>
            <w:tcW w:w="2349"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63</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4</w:t>
            </w:r>
          </w:p>
        </w:tc>
        <w:tc>
          <w:tcPr>
            <w:tcW w:w="222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62</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5</w:t>
            </w:r>
          </w:p>
        </w:tc>
        <w:tc>
          <w:tcPr>
            <w:tcW w:w="2220"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38.5</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0.3</w:t>
            </w:r>
          </w:p>
        </w:tc>
        <w:tc>
          <w:tcPr>
            <w:tcW w:w="210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88</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4</w:t>
            </w:r>
          </w:p>
        </w:tc>
        <w:tc>
          <w:tcPr>
            <w:tcW w:w="2104"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99</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w:t>
            </w:r>
          </w:p>
        </w:tc>
      </w:tr>
    </w:tbl>
    <w:p w:rsidR="00E8308C" w:rsidRPr="001E29B5" w:rsidRDefault="00E8308C" w:rsidP="00036E8E">
      <w:pPr>
        <w:spacing w:after="0" w:line="360" w:lineRule="auto"/>
        <w:jc w:val="both"/>
        <w:rPr>
          <w:rFonts w:ascii="Book Antiqua" w:hAnsi="Book Antiqua"/>
          <w:sz w:val="24"/>
          <w:szCs w:val="24"/>
        </w:rPr>
      </w:pP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bpm</w:t>
      </w:r>
      <w:r w:rsidRPr="001E29B5">
        <w:rPr>
          <w:rFonts w:ascii="Book Antiqua" w:hAnsi="Book Antiqua"/>
          <w:sz w:val="24"/>
          <w:szCs w:val="24"/>
          <w:lang w:eastAsia="zh-CN"/>
        </w:rPr>
        <w:t>:</w:t>
      </w:r>
      <w:r w:rsidRPr="001E29B5">
        <w:rPr>
          <w:rFonts w:ascii="Book Antiqua" w:hAnsi="Book Antiqua"/>
          <w:sz w:val="24"/>
          <w:szCs w:val="24"/>
        </w:rPr>
        <w:t xml:space="preserve"> Beat/min</w:t>
      </w:r>
      <w:r w:rsidRPr="001E29B5">
        <w:rPr>
          <w:rFonts w:ascii="Book Antiqua" w:hAnsi="Book Antiqua"/>
          <w:sz w:val="24"/>
          <w:szCs w:val="24"/>
          <w:lang w:eastAsia="zh-CN"/>
        </w:rPr>
        <w:t>.</w:t>
      </w:r>
      <w:r w:rsidRPr="001E29B5">
        <w:rPr>
          <w:rFonts w:ascii="Book Antiqua" w:hAnsi="Book Antiqua"/>
          <w:sz w:val="24"/>
          <w:szCs w:val="24"/>
        </w:rPr>
        <w:t xml:space="preserve"> O</w:t>
      </w:r>
      <w:r w:rsidRPr="001E29B5">
        <w:rPr>
          <w:rFonts w:ascii="Book Antiqua" w:hAnsi="Book Antiqua"/>
          <w:sz w:val="24"/>
          <w:szCs w:val="24"/>
          <w:vertAlign w:val="subscript"/>
        </w:rPr>
        <w:t>2</w:t>
      </w:r>
      <w:r w:rsidRPr="001E29B5">
        <w:rPr>
          <w:rFonts w:ascii="Book Antiqua" w:hAnsi="Book Antiqua"/>
          <w:sz w:val="24"/>
          <w:szCs w:val="24"/>
          <w:lang w:eastAsia="zh-CN"/>
        </w:rPr>
        <w:t>:</w:t>
      </w:r>
      <w:r w:rsidRPr="001E29B5">
        <w:rPr>
          <w:rFonts w:ascii="Book Antiqua" w:hAnsi="Book Antiqua"/>
          <w:sz w:val="24"/>
          <w:szCs w:val="24"/>
        </w:rPr>
        <w:t xml:space="preserve"> Oxygen</w:t>
      </w:r>
      <w:r w:rsidRPr="001E29B5">
        <w:rPr>
          <w:rFonts w:ascii="Book Antiqua" w:hAnsi="Book Antiqua"/>
          <w:sz w:val="24"/>
          <w:szCs w:val="24"/>
          <w:lang w:eastAsia="zh-CN"/>
        </w:rPr>
        <w:t xml:space="preserve">; </w:t>
      </w:r>
      <w:r w:rsidRPr="001E29B5">
        <w:rPr>
          <w:rFonts w:ascii="Book Antiqua" w:hAnsi="Book Antiqua"/>
          <w:sz w:val="24"/>
          <w:szCs w:val="24"/>
        </w:rPr>
        <w:t>HR</w:t>
      </w:r>
      <w:r w:rsidRPr="001E29B5">
        <w:rPr>
          <w:rFonts w:ascii="Book Antiqua" w:hAnsi="Book Antiqua"/>
          <w:sz w:val="24"/>
          <w:szCs w:val="24"/>
          <w:lang w:eastAsia="zh-CN"/>
        </w:rPr>
        <w:t>:</w:t>
      </w:r>
      <w:r w:rsidRPr="001E29B5">
        <w:rPr>
          <w:rFonts w:ascii="Book Antiqua" w:hAnsi="Book Antiqua"/>
          <w:sz w:val="24"/>
          <w:szCs w:val="24"/>
        </w:rPr>
        <w:t xml:space="preserve"> Heart rate</w:t>
      </w:r>
      <w:r w:rsidRPr="001E29B5">
        <w:rPr>
          <w:rFonts w:ascii="Book Antiqua" w:hAnsi="Book Antiqua"/>
          <w:sz w:val="24"/>
          <w:szCs w:val="24"/>
          <w:lang w:eastAsia="zh-CN"/>
        </w:rPr>
        <w:t>.</w:t>
      </w:r>
    </w:p>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sz w:val="24"/>
          <w:szCs w:val="24"/>
        </w:rPr>
        <w:br w:type="page"/>
      </w:r>
      <w:r w:rsidRPr="001E29B5">
        <w:rPr>
          <w:rFonts w:ascii="Book Antiqua" w:hAnsi="Book Antiqua"/>
          <w:b/>
          <w:sz w:val="24"/>
          <w:szCs w:val="24"/>
        </w:rPr>
        <w:lastRenderedPageBreak/>
        <w:t>Table 3</w:t>
      </w:r>
      <w:r w:rsidRPr="001E29B5">
        <w:rPr>
          <w:rFonts w:ascii="Book Antiqua" w:hAnsi="Book Antiqua"/>
          <w:b/>
          <w:sz w:val="24"/>
          <w:szCs w:val="24"/>
          <w:lang w:eastAsia="zh-CN"/>
        </w:rPr>
        <w:t xml:space="preserve"> </w:t>
      </w:r>
      <w:r w:rsidRPr="001E29B5">
        <w:rPr>
          <w:rFonts w:ascii="Book Antiqua" w:hAnsi="Book Antiqua"/>
          <w:b/>
          <w:sz w:val="24"/>
          <w:szCs w:val="24"/>
        </w:rPr>
        <w:t>Lesions dimensions and volumes using single and double overlappi</w:t>
      </w:r>
      <w:r>
        <w:rPr>
          <w:rFonts w:ascii="Book Antiqua" w:hAnsi="Book Antiqua"/>
          <w:b/>
          <w:sz w:val="24"/>
          <w:szCs w:val="24"/>
        </w:rPr>
        <w:t>ng rectangular focal sonication</w:t>
      </w:r>
    </w:p>
    <w:p w:rsidR="00E8308C" w:rsidRPr="001E29B5" w:rsidRDefault="00E8308C" w:rsidP="00036E8E">
      <w:pPr>
        <w:spacing w:after="0" w:line="360" w:lineRule="auto"/>
        <w:jc w:val="both"/>
        <w:rPr>
          <w:rFonts w:ascii="Book Antiqua" w:hAnsi="Book Antiqua"/>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211"/>
        <w:gridCol w:w="2211"/>
        <w:gridCol w:w="2211"/>
        <w:gridCol w:w="2211"/>
        <w:gridCol w:w="2212"/>
      </w:tblGrid>
      <w:tr w:rsidR="00E8308C" w:rsidRPr="001E29B5" w:rsidTr="00443671">
        <w:tc>
          <w:tcPr>
            <w:tcW w:w="2211"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Energy dose</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(Joules)</w:t>
            </w:r>
          </w:p>
        </w:tc>
        <w:tc>
          <w:tcPr>
            <w:tcW w:w="2211"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CC</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(mm)</w:t>
            </w:r>
          </w:p>
        </w:tc>
        <w:tc>
          <w:tcPr>
            <w:tcW w:w="2211"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Transverse</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(mm)</w:t>
            </w:r>
            <w:r w:rsidRPr="001E29B5">
              <w:rPr>
                <w:rFonts w:ascii="Book Antiqua" w:hAnsi="Book Antiqua"/>
                <w:b/>
                <w:sz w:val="24"/>
                <w:szCs w:val="24"/>
              </w:rPr>
              <w:tab/>
            </w:r>
          </w:p>
        </w:tc>
        <w:tc>
          <w:tcPr>
            <w:tcW w:w="2211"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AP</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(mm)</w:t>
            </w:r>
          </w:p>
        </w:tc>
        <w:tc>
          <w:tcPr>
            <w:tcW w:w="2211"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MRI volume</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(mm</w:t>
            </w:r>
            <w:r w:rsidRPr="001E29B5">
              <w:rPr>
                <w:rFonts w:ascii="Book Antiqua" w:hAnsi="Book Antiqua"/>
                <w:b/>
                <w:sz w:val="24"/>
                <w:szCs w:val="24"/>
                <w:vertAlign w:val="superscript"/>
              </w:rPr>
              <w:t>3</w:t>
            </w:r>
            <w:r w:rsidRPr="001E29B5">
              <w:rPr>
                <w:rFonts w:ascii="Book Antiqua" w:hAnsi="Book Antiqua"/>
                <w:b/>
                <w:sz w:val="24"/>
                <w:szCs w:val="24"/>
              </w:rPr>
              <w:t>)</w:t>
            </w:r>
          </w:p>
        </w:tc>
        <w:tc>
          <w:tcPr>
            <w:tcW w:w="2212" w:type="dxa"/>
            <w:shd w:val="clear" w:color="000000" w:fill="auto"/>
          </w:tcPr>
          <w:p w:rsidR="00E8308C" w:rsidRPr="001E29B5" w:rsidRDefault="00E8308C" w:rsidP="00036E8E">
            <w:pPr>
              <w:spacing w:after="0" w:line="360" w:lineRule="auto"/>
              <w:jc w:val="both"/>
              <w:rPr>
                <w:rFonts w:ascii="Book Antiqua" w:hAnsi="Book Antiqua"/>
                <w:b/>
                <w:sz w:val="24"/>
                <w:szCs w:val="24"/>
                <w:lang w:eastAsia="zh-CN"/>
              </w:rPr>
            </w:pPr>
            <w:r w:rsidRPr="001E29B5">
              <w:rPr>
                <w:rFonts w:ascii="Book Antiqua" w:hAnsi="Book Antiqua"/>
                <w:b/>
                <w:sz w:val="24"/>
                <w:szCs w:val="24"/>
              </w:rPr>
              <w:t>Postmortem volume</w:t>
            </w:r>
          </w:p>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b/>
                <w:sz w:val="24"/>
                <w:szCs w:val="24"/>
              </w:rPr>
              <w:t>(mm</w:t>
            </w:r>
            <w:r w:rsidRPr="001E29B5">
              <w:rPr>
                <w:rFonts w:ascii="Book Antiqua" w:hAnsi="Book Antiqua"/>
                <w:b/>
                <w:sz w:val="24"/>
                <w:szCs w:val="24"/>
                <w:vertAlign w:val="superscript"/>
              </w:rPr>
              <w:t>3</w:t>
            </w:r>
            <w:r w:rsidRPr="001E29B5">
              <w:rPr>
                <w:rFonts w:ascii="Book Antiqua" w:hAnsi="Book Antiqua"/>
                <w:b/>
                <w:sz w:val="24"/>
                <w:szCs w:val="24"/>
              </w:rPr>
              <w:t>)</w:t>
            </w:r>
            <w:r w:rsidRPr="001E29B5">
              <w:rPr>
                <w:rFonts w:ascii="Book Antiqua" w:hAnsi="Book Antiqua"/>
                <w:b/>
                <w:sz w:val="24"/>
                <w:szCs w:val="24"/>
              </w:rPr>
              <w:tab/>
            </w:r>
          </w:p>
        </w:tc>
      </w:tr>
      <w:tr w:rsidR="00E8308C" w:rsidRPr="001E29B5" w:rsidTr="00443671">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Single 3000</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7.3</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0.07</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7.8</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1.0</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5.6</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0.1</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317</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54</w:t>
            </w:r>
          </w:p>
        </w:tc>
        <w:tc>
          <w:tcPr>
            <w:tcW w:w="2212"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380</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111</w:t>
            </w:r>
          </w:p>
        </w:tc>
      </w:tr>
      <w:tr w:rsidR="00E8308C" w:rsidRPr="001E29B5" w:rsidTr="00443671">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Double 3000</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7.9</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1.1</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11.4</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1.6</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7.5</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0.7</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675</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41</w:t>
            </w:r>
            <w:r w:rsidRPr="001E29B5">
              <w:rPr>
                <w:rFonts w:ascii="Book Antiqua" w:hAnsi="Book Antiqua"/>
                <w:sz w:val="24"/>
                <w:szCs w:val="24"/>
                <w:vertAlign w:val="superscript"/>
              </w:rPr>
              <w:t>a,b</w:t>
            </w:r>
          </w:p>
        </w:tc>
        <w:tc>
          <w:tcPr>
            <w:tcW w:w="2212"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587</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28</w:t>
            </w:r>
            <w:r w:rsidRPr="001E29B5">
              <w:rPr>
                <w:rFonts w:ascii="Book Antiqua" w:hAnsi="Book Antiqua"/>
                <w:sz w:val="24"/>
                <w:szCs w:val="24"/>
                <w:vertAlign w:val="superscript"/>
              </w:rPr>
              <w:t>a</w:t>
            </w:r>
          </w:p>
        </w:tc>
      </w:tr>
      <w:tr w:rsidR="00E8308C" w:rsidRPr="001E29B5" w:rsidTr="00443671">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Single 4400</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7.5</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0.7</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7.8</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1.6</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5.6</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0.7</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354</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143</w:t>
            </w:r>
          </w:p>
        </w:tc>
        <w:tc>
          <w:tcPr>
            <w:tcW w:w="2212"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517</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52</w:t>
            </w:r>
          </w:p>
        </w:tc>
      </w:tr>
      <w:tr w:rsidR="00E8308C" w:rsidRPr="001E29B5" w:rsidTr="00443671">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b/>
                <w:sz w:val="24"/>
                <w:szCs w:val="24"/>
              </w:rPr>
              <w:t>Double 4400</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11.4</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1.7</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12.8</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3.0</w:t>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10</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1.4</w:t>
            </w:r>
            <w:r w:rsidRPr="001E29B5">
              <w:rPr>
                <w:rFonts w:ascii="Book Antiqua" w:hAnsi="Book Antiqua"/>
                <w:sz w:val="24"/>
                <w:szCs w:val="24"/>
              </w:rPr>
              <w:tab/>
            </w:r>
          </w:p>
        </w:tc>
        <w:tc>
          <w:tcPr>
            <w:tcW w:w="2211" w:type="dxa"/>
            <w:shd w:val="clear" w:color="000000" w:fill="auto"/>
          </w:tcPr>
          <w:p w:rsidR="00E8308C" w:rsidRPr="001E29B5" w:rsidRDefault="00E8308C" w:rsidP="00036E8E">
            <w:pPr>
              <w:spacing w:after="0" w:line="360" w:lineRule="auto"/>
              <w:jc w:val="both"/>
              <w:rPr>
                <w:rFonts w:ascii="Book Antiqua" w:hAnsi="Book Antiqua"/>
                <w:sz w:val="24"/>
                <w:szCs w:val="24"/>
              </w:rPr>
            </w:pPr>
            <w:r w:rsidRPr="001E29B5">
              <w:rPr>
                <w:rFonts w:ascii="Book Antiqua" w:hAnsi="Book Antiqua"/>
                <w:sz w:val="24"/>
                <w:szCs w:val="24"/>
              </w:rPr>
              <w:t>1450</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458</w:t>
            </w:r>
            <w:r w:rsidRPr="001E29B5">
              <w:rPr>
                <w:rFonts w:ascii="Book Antiqua" w:hAnsi="Book Antiqua"/>
                <w:sz w:val="24"/>
                <w:szCs w:val="24"/>
                <w:vertAlign w:val="superscript"/>
              </w:rPr>
              <w:t>a,c,d</w:t>
            </w:r>
          </w:p>
        </w:tc>
        <w:tc>
          <w:tcPr>
            <w:tcW w:w="2212" w:type="dxa"/>
            <w:shd w:val="clear" w:color="000000" w:fill="auto"/>
          </w:tcPr>
          <w:p w:rsidR="00E8308C" w:rsidRPr="001E29B5"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rPr>
              <w:t>1280</w:t>
            </w:r>
            <w:r w:rsidRPr="001E29B5">
              <w:rPr>
                <w:rFonts w:ascii="Book Antiqua" w:hAnsi="Book Antiqua"/>
                <w:sz w:val="24"/>
                <w:szCs w:val="24"/>
                <w:lang w:eastAsia="zh-CN"/>
              </w:rPr>
              <w:t xml:space="preserve"> </w:t>
            </w:r>
            <w:r w:rsidRPr="001E29B5">
              <w:rPr>
                <w:rFonts w:ascii="Book Antiqua" w:hAnsi="Book Antiqua"/>
                <w:sz w:val="24"/>
                <w:szCs w:val="24"/>
              </w:rPr>
              <w:t>±</w:t>
            </w:r>
            <w:r w:rsidRPr="001E29B5">
              <w:rPr>
                <w:rFonts w:ascii="Book Antiqua" w:hAnsi="Book Antiqua"/>
                <w:sz w:val="24"/>
                <w:szCs w:val="24"/>
                <w:lang w:eastAsia="zh-CN"/>
              </w:rPr>
              <w:t xml:space="preserve"> </w:t>
            </w:r>
            <w:r w:rsidRPr="001E29B5">
              <w:rPr>
                <w:rFonts w:ascii="Book Antiqua" w:hAnsi="Book Antiqua"/>
                <w:sz w:val="24"/>
                <w:szCs w:val="24"/>
              </w:rPr>
              <w:t>238</w:t>
            </w:r>
            <w:r w:rsidRPr="001E29B5">
              <w:rPr>
                <w:rFonts w:ascii="Book Antiqua" w:hAnsi="Book Antiqua"/>
                <w:sz w:val="24"/>
                <w:szCs w:val="24"/>
                <w:vertAlign w:val="superscript"/>
              </w:rPr>
              <w:t>a,c,d</w:t>
            </w:r>
          </w:p>
        </w:tc>
      </w:tr>
    </w:tbl>
    <w:p w:rsidR="00E8308C" w:rsidRPr="001E29B5" w:rsidRDefault="00E8308C" w:rsidP="00036E8E">
      <w:pPr>
        <w:spacing w:after="0" w:line="360" w:lineRule="auto"/>
        <w:jc w:val="both"/>
        <w:rPr>
          <w:rFonts w:ascii="Book Antiqua" w:hAnsi="Book Antiqua"/>
          <w:sz w:val="24"/>
          <w:szCs w:val="24"/>
        </w:rPr>
      </w:pPr>
    </w:p>
    <w:p w:rsidR="00E8308C" w:rsidRPr="00036E8E" w:rsidRDefault="00E8308C" w:rsidP="00036E8E">
      <w:pPr>
        <w:spacing w:after="0" w:line="360" w:lineRule="auto"/>
        <w:jc w:val="both"/>
        <w:rPr>
          <w:rFonts w:ascii="Book Antiqua" w:hAnsi="Book Antiqua"/>
          <w:sz w:val="24"/>
          <w:szCs w:val="24"/>
          <w:lang w:eastAsia="zh-CN"/>
        </w:rPr>
      </w:pPr>
      <w:r w:rsidRPr="001E29B5">
        <w:rPr>
          <w:rFonts w:ascii="Book Antiqua" w:hAnsi="Book Antiqua"/>
          <w:sz w:val="24"/>
          <w:szCs w:val="24"/>
          <w:vertAlign w:val="superscript"/>
        </w:rPr>
        <w:t>a</w:t>
      </w:r>
      <w:r w:rsidRPr="001E29B5">
        <w:rPr>
          <w:rFonts w:ascii="Book Antiqua" w:hAnsi="Book Antiqua"/>
          <w:i/>
          <w:sz w:val="24"/>
          <w:szCs w:val="24"/>
        </w:rPr>
        <w:t>P</w:t>
      </w:r>
      <w:r w:rsidRPr="001E29B5">
        <w:rPr>
          <w:rFonts w:ascii="Book Antiqua" w:hAnsi="Book Antiqua"/>
          <w:i/>
          <w:sz w:val="24"/>
          <w:szCs w:val="24"/>
          <w:lang w:eastAsia="zh-CN"/>
        </w:rPr>
        <w:t xml:space="preserve"> </w:t>
      </w:r>
      <w:r w:rsidRPr="001E29B5">
        <w:rPr>
          <w:rFonts w:ascii="Book Antiqua" w:hAnsi="Book Antiqua"/>
          <w:sz w:val="24"/>
          <w:szCs w:val="24"/>
        </w:rPr>
        <w:t>&lt;</w:t>
      </w:r>
      <w:r w:rsidRPr="001E29B5">
        <w:rPr>
          <w:rFonts w:ascii="Book Antiqua" w:hAnsi="Book Antiqua"/>
          <w:sz w:val="24"/>
          <w:szCs w:val="24"/>
          <w:lang w:eastAsia="zh-CN"/>
        </w:rPr>
        <w:t xml:space="preserve"> </w:t>
      </w:r>
      <w:r w:rsidRPr="001E29B5">
        <w:rPr>
          <w:rFonts w:ascii="Book Antiqua" w:hAnsi="Book Antiqua"/>
          <w:sz w:val="24"/>
          <w:szCs w:val="24"/>
        </w:rPr>
        <w:t>0.05 2</w:t>
      </w:r>
      <w:r w:rsidRPr="001E29B5">
        <w:rPr>
          <w:rFonts w:ascii="Book Antiqua" w:hAnsi="Book Antiqua"/>
          <w:sz w:val="24"/>
          <w:szCs w:val="24"/>
          <w:lang w:eastAsia="zh-CN"/>
        </w:rPr>
        <w:t xml:space="preserve"> × </w:t>
      </w:r>
      <w:r w:rsidRPr="001E29B5">
        <w:rPr>
          <w:rFonts w:ascii="Book Antiqua" w:hAnsi="Book Antiqua"/>
          <w:sz w:val="24"/>
          <w:szCs w:val="24"/>
        </w:rPr>
        <w:t xml:space="preserve">3000J overlapping sonication compared with single 3000J sonication, </w:t>
      </w:r>
      <w:r w:rsidRPr="001E29B5">
        <w:rPr>
          <w:rFonts w:ascii="Book Antiqua" w:hAnsi="Book Antiqua"/>
          <w:sz w:val="24"/>
          <w:szCs w:val="24"/>
          <w:vertAlign w:val="superscript"/>
        </w:rPr>
        <w:t>b</w:t>
      </w:r>
      <w:r w:rsidRPr="001E29B5">
        <w:rPr>
          <w:rFonts w:ascii="Book Antiqua" w:hAnsi="Book Antiqua"/>
          <w:i/>
          <w:sz w:val="24"/>
          <w:szCs w:val="24"/>
        </w:rPr>
        <w:t>P</w:t>
      </w:r>
      <w:r w:rsidRPr="001E29B5">
        <w:rPr>
          <w:rFonts w:ascii="Book Antiqua" w:hAnsi="Book Antiqua"/>
          <w:i/>
          <w:sz w:val="24"/>
          <w:szCs w:val="24"/>
          <w:lang w:eastAsia="zh-CN"/>
        </w:rPr>
        <w:t xml:space="preserve"> </w:t>
      </w:r>
      <w:r w:rsidRPr="001E29B5">
        <w:rPr>
          <w:rFonts w:ascii="Book Antiqua" w:hAnsi="Book Antiqua"/>
          <w:sz w:val="24"/>
          <w:szCs w:val="24"/>
        </w:rPr>
        <w:t>&lt;</w:t>
      </w:r>
      <w:r w:rsidRPr="001E29B5">
        <w:rPr>
          <w:rFonts w:ascii="Book Antiqua" w:hAnsi="Book Antiqua"/>
          <w:sz w:val="24"/>
          <w:szCs w:val="24"/>
          <w:lang w:eastAsia="zh-CN"/>
        </w:rPr>
        <w:t xml:space="preserve"> </w:t>
      </w:r>
      <w:r w:rsidRPr="001E29B5">
        <w:rPr>
          <w:rFonts w:ascii="Book Antiqua" w:hAnsi="Book Antiqua"/>
          <w:sz w:val="24"/>
          <w:szCs w:val="24"/>
        </w:rPr>
        <w:t>0.05 2</w:t>
      </w:r>
      <w:r w:rsidRPr="001E29B5">
        <w:rPr>
          <w:rFonts w:ascii="Book Antiqua" w:hAnsi="Book Antiqua"/>
          <w:sz w:val="24"/>
          <w:szCs w:val="24"/>
          <w:lang w:eastAsia="zh-CN"/>
        </w:rPr>
        <w:t xml:space="preserve"> × </w:t>
      </w:r>
      <w:r w:rsidRPr="001E29B5">
        <w:rPr>
          <w:rFonts w:ascii="Book Antiqua" w:hAnsi="Book Antiqua"/>
          <w:sz w:val="24"/>
          <w:szCs w:val="24"/>
        </w:rPr>
        <w:t xml:space="preserve">3000J overlapping sonication compared with single 4400J sonication, </w:t>
      </w:r>
      <w:r w:rsidRPr="001E29B5">
        <w:rPr>
          <w:rFonts w:ascii="Book Antiqua" w:hAnsi="Book Antiqua"/>
          <w:sz w:val="24"/>
          <w:szCs w:val="24"/>
          <w:vertAlign w:val="superscript"/>
        </w:rPr>
        <w:t>c</w:t>
      </w:r>
      <w:r w:rsidRPr="001E29B5">
        <w:rPr>
          <w:rFonts w:ascii="Book Antiqua" w:hAnsi="Book Antiqua"/>
          <w:i/>
          <w:sz w:val="24"/>
          <w:szCs w:val="24"/>
        </w:rPr>
        <w:t>P</w:t>
      </w:r>
      <w:r w:rsidRPr="001E29B5">
        <w:rPr>
          <w:rFonts w:ascii="Book Antiqua" w:hAnsi="Book Antiqua"/>
          <w:i/>
          <w:sz w:val="24"/>
          <w:szCs w:val="24"/>
          <w:lang w:eastAsia="zh-CN"/>
        </w:rPr>
        <w:t xml:space="preserve"> </w:t>
      </w:r>
      <w:r w:rsidRPr="001E29B5">
        <w:rPr>
          <w:rFonts w:ascii="Book Antiqua" w:hAnsi="Book Antiqua"/>
          <w:sz w:val="24"/>
          <w:szCs w:val="24"/>
        </w:rPr>
        <w:t>&lt;</w:t>
      </w:r>
      <w:r w:rsidRPr="001E29B5">
        <w:rPr>
          <w:rFonts w:ascii="Book Antiqua" w:hAnsi="Book Antiqua"/>
          <w:sz w:val="24"/>
          <w:szCs w:val="24"/>
          <w:lang w:eastAsia="zh-CN"/>
        </w:rPr>
        <w:t xml:space="preserve"> </w:t>
      </w:r>
      <w:r w:rsidRPr="001E29B5">
        <w:rPr>
          <w:rFonts w:ascii="Book Antiqua" w:hAnsi="Book Antiqua"/>
          <w:sz w:val="24"/>
          <w:szCs w:val="24"/>
        </w:rPr>
        <w:t>0.05 2</w:t>
      </w:r>
      <w:r w:rsidRPr="001E29B5">
        <w:rPr>
          <w:rFonts w:ascii="Book Antiqua" w:hAnsi="Book Antiqua"/>
          <w:sz w:val="24"/>
          <w:szCs w:val="24"/>
          <w:lang w:eastAsia="zh-CN"/>
        </w:rPr>
        <w:t xml:space="preserve"> × </w:t>
      </w:r>
      <w:r w:rsidRPr="001E29B5">
        <w:rPr>
          <w:rFonts w:ascii="Book Antiqua" w:hAnsi="Book Antiqua"/>
          <w:sz w:val="24"/>
          <w:szCs w:val="24"/>
        </w:rPr>
        <w:t xml:space="preserve">4000J sonication compared with single 3000J sonication and </w:t>
      </w:r>
      <w:r w:rsidRPr="001E29B5">
        <w:rPr>
          <w:rFonts w:ascii="Book Antiqua" w:hAnsi="Book Antiqua"/>
          <w:sz w:val="24"/>
          <w:szCs w:val="24"/>
          <w:vertAlign w:val="superscript"/>
        </w:rPr>
        <w:t>d</w:t>
      </w:r>
      <w:r w:rsidRPr="001E29B5">
        <w:rPr>
          <w:rFonts w:ascii="Book Antiqua" w:hAnsi="Book Antiqua"/>
          <w:i/>
          <w:sz w:val="24"/>
          <w:szCs w:val="24"/>
        </w:rPr>
        <w:t>P</w:t>
      </w:r>
      <w:r w:rsidRPr="001E29B5">
        <w:rPr>
          <w:rFonts w:ascii="Book Antiqua" w:hAnsi="Book Antiqua"/>
          <w:i/>
          <w:sz w:val="24"/>
          <w:szCs w:val="24"/>
          <w:lang w:eastAsia="zh-CN"/>
        </w:rPr>
        <w:t xml:space="preserve"> </w:t>
      </w:r>
      <w:r w:rsidRPr="001E29B5">
        <w:rPr>
          <w:rFonts w:ascii="Book Antiqua" w:hAnsi="Book Antiqua"/>
          <w:sz w:val="24"/>
          <w:szCs w:val="24"/>
        </w:rPr>
        <w:t>&lt;</w:t>
      </w:r>
      <w:r w:rsidRPr="001E29B5">
        <w:rPr>
          <w:rFonts w:ascii="Book Antiqua" w:hAnsi="Book Antiqua"/>
          <w:sz w:val="24"/>
          <w:szCs w:val="24"/>
          <w:lang w:eastAsia="zh-CN"/>
        </w:rPr>
        <w:t xml:space="preserve"> </w:t>
      </w:r>
      <w:r w:rsidRPr="001E29B5">
        <w:rPr>
          <w:rFonts w:ascii="Book Antiqua" w:hAnsi="Book Antiqua"/>
          <w:sz w:val="24"/>
          <w:szCs w:val="24"/>
        </w:rPr>
        <w:t>0.01 2</w:t>
      </w:r>
      <w:r w:rsidRPr="001E29B5">
        <w:rPr>
          <w:rFonts w:ascii="Book Antiqua" w:hAnsi="Book Antiqua"/>
          <w:sz w:val="24"/>
          <w:szCs w:val="24"/>
          <w:lang w:eastAsia="zh-CN"/>
        </w:rPr>
        <w:t xml:space="preserve"> × </w:t>
      </w:r>
      <w:r w:rsidRPr="001E29B5">
        <w:rPr>
          <w:rFonts w:ascii="Book Antiqua" w:hAnsi="Book Antiqua"/>
          <w:sz w:val="24"/>
          <w:szCs w:val="24"/>
        </w:rPr>
        <w:t>4000J overlapping sonication compared with 2</w:t>
      </w:r>
      <w:r w:rsidRPr="001E29B5">
        <w:rPr>
          <w:rFonts w:ascii="Book Antiqua" w:hAnsi="Book Antiqua"/>
          <w:sz w:val="24"/>
          <w:szCs w:val="24"/>
          <w:lang w:eastAsia="zh-CN"/>
        </w:rPr>
        <w:t xml:space="preserve"> × </w:t>
      </w:r>
      <w:r w:rsidRPr="001E29B5">
        <w:rPr>
          <w:rFonts w:ascii="Book Antiqua" w:hAnsi="Book Antiqua"/>
          <w:sz w:val="24"/>
          <w:szCs w:val="24"/>
        </w:rPr>
        <w:t>3000J overlapping  sonication. CC</w:t>
      </w:r>
      <w:r w:rsidRPr="001E29B5">
        <w:rPr>
          <w:rFonts w:ascii="Book Antiqua" w:hAnsi="Book Antiqua"/>
          <w:sz w:val="24"/>
          <w:szCs w:val="24"/>
          <w:lang w:eastAsia="zh-CN"/>
        </w:rPr>
        <w:t>:</w:t>
      </w:r>
      <w:r w:rsidRPr="001E29B5">
        <w:rPr>
          <w:rFonts w:ascii="Book Antiqua" w:hAnsi="Book Antiqua"/>
          <w:sz w:val="24"/>
          <w:szCs w:val="24"/>
        </w:rPr>
        <w:t xml:space="preserve"> Cranial-caudal</w:t>
      </w:r>
      <w:r w:rsidRPr="001E29B5">
        <w:rPr>
          <w:rFonts w:ascii="Book Antiqua" w:hAnsi="Book Antiqua"/>
          <w:sz w:val="24"/>
          <w:szCs w:val="24"/>
          <w:lang w:eastAsia="zh-CN"/>
        </w:rPr>
        <w:t>;</w:t>
      </w:r>
      <w:r w:rsidRPr="001E29B5">
        <w:rPr>
          <w:rFonts w:ascii="Book Antiqua" w:hAnsi="Book Antiqua"/>
          <w:sz w:val="24"/>
          <w:szCs w:val="24"/>
        </w:rPr>
        <w:t xml:space="preserve"> AP</w:t>
      </w:r>
      <w:r w:rsidRPr="001E29B5">
        <w:rPr>
          <w:rFonts w:ascii="Book Antiqua" w:hAnsi="Book Antiqua"/>
          <w:sz w:val="24"/>
          <w:szCs w:val="24"/>
          <w:lang w:eastAsia="zh-CN"/>
        </w:rPr>
        <w:t>:</w:t>
      </w:r>
      <w:r w:rsidRPr="001E29B5">
        <w:rPr>
          <w:rFonts w:ascii="Book Antiqua" w:hAnsi="Book Antiqua"/>
          <w:sz w:val="24"/>
          <w:szCs w:val="24"/>
        </w:rPr>
        <w:t xml:space="preserve"> Anterio-posterior</w:t>
      </w:r>
      <w:r w:rsidRPr="001E29B5">
        <w:rPr>
          <w:rFonts w:ascii="Book Antiqua" w:hAnsi="Book Antiqua"/>
          <w:sz w:val="24"/>
          <w:szCs w:val="24"/>
          <w:lang w:eastAsia="zh-CN"/>
        </w:rPr>
        <w:t>;</w:t>
      </w:r>
      <w:r w:rsidRPr="001E29B5">
        <w:rPr>
          <w:rFonts w:ascii="Book Antiqua" w:hAnsi="Book Antiqua"/>
          <w:sz w:val="24"/>
          <w:szCs w:val="24"/>
        </w:rPr>
        <w:t xml:space="preserve"> MRI</w:t>
      </w:r>
      <w:r w:rsidRPr="001E29B5">
        <w:rPr>
          <w:rFonts w:ascii="Book Antiqua" w:hAnsi="Book Antiqua"/>
          <w:sz w:val="24"/>
          <w:szCs w:val="24"/>
          <w:lang w:eastAsia="zh-CN"/>
        </w:rPr>
        <w:t xml:space="preserve">: </w:t>
      </w:r>
      <w:r w:rsidRPr="001E29B5">
        <w:rPr>
          <w:rFonts w:ascii="Book Antiqua" w:hAnsi="Book Antiqua"/>
          <w:sz w:val="24"/>
          <w:szCs w:val="24"/>
        </w:rPr>
        <w:t>Magnetic resonance imaging</w:t>
      </w:r>
      <w:r w:rsidRPr="001E29B5">
        <w:rPr>
          <w:rFonts w:ascii="Book Antiqua" w:hAnsi="Book Antiqua"/>
          <w:sz w:val="24"/>
          <w:szCs w:val="24"/>
          <w:lang w:eastAsia="zh-CN"/>
        </w:rPr>
        <w:t>.</w:t>
      </w:r>
    </w:p>
    <w:p w:rsidR="00E8308C" w:rsidRPr="00036E8E" w:rsidRDefault="00E8308C" w:rsidP="00036E8E">
      <w:pPr>
        <w:spacing w:after="0" w:line="360" w:lineRule="auto"/>
        <w:jc w:val="both"/>
        <w:rPr>
          <w:rFonts w:ascii="Book Antiqua" w:hAnsi="Book Antiqua"/>
          <w:sz w:val="24"/>
          <w:szCs w:val="24"/>
          <w:lang w:eastAsia="zh-CN"/>
        </w:rPr>
      </w:pPr>
    </w:p>
    <w:sectPr w:rsidR="00E8308C" w:rsidRPr="00036E8E" w:rsidSect="001303F4">
      <w:pgSz w:w="15840" w:h="12240" w:orient="landscape"/>
      <w:pgMar w:top="1440" w:right="1349"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1DC" w:rsidRDefault="00CF01DC" w:rsidP="00B01723">
      <w:pPr>
        <w:spacing w:after="0" w:line="240" w:lineRule="auto"/>
      </w:pPr>
      <w:r>
        <w:separator/>
      </w:r>
    </w:p>
  </w:endnote>
  <w:endnote w:type="continuationSeparator" w:id="0">
    <w:p w:rsidR="00CF01DC" w:rsidRDefault="00CF01DC" w:rsidP="00B01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entury">
    <w:panose1 w:val="020406040505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08C" w:rsidRDefault="00E8308C" w:rsidP="005C5B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308C" w:rsidRDefault="00E8308C" w:rsidP="00B01E1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08C" w:rsidRDefault="00E8308C" w:rsidP="005C5B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1A47">
      <w:rPr>
        <w:rStyle w:val="PageNumber"/>
        <w:noProof/>
      </w:rPr>
      <w:t>31</w:t>
    </w:r>
    <w:r>
      <w:rPr>
        <w:rStyle w:val="PageNumber"/>
      </w:rPr>
      <w:fldChar w:fldCharType="end"/>
    </w:r>
  </w:p>
  <w:p w:rsidR="00E8308C" w:rsidRDefault="00E8308C" w:rsidP="00B01E1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1DC" w:rsidRDefault="00CF01DC" w:rsidP="00B01723">
      <w:pPr>
        <w:spacing w:after="0" w:line="240" w:lineRule="auto"/>
      </w:pPr>
      <w:r>
        <w:separator/>
      </w:r>
    </w:p>
  </w:footnote>
  <w:footnote w:type="continuationSeparator" w:id="0">
    <w:p w:rsidR="00CF01DC" w:rsidRDefault="00CF01DC" w:rsidP="00B0172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5670"/>
    <w:multiLevelType w:val="multilevel"/>
    <w:tmpl w:val="B858BA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1B769E5"/>
    <w:multiLevelType w:val="hybridMultilevel"/>
    <w:tmpl w:val="ABBE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3A0B52"/>
    <w:multiLevelType w:val="hybridMultilevel"/>
    <w:tmpl w:val="0CE4DCF2"/>
    <w:lvl w:ilvl="0" w:tplc="B7A836CE">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3515CD"/>
    <w:multiLevelType w:val="hybridMultilevel"/>
    <w:tmpl w:val="2BEE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A83F6A"/>
    <w:multiLevelType w:val="hybridMultilevel"/>
    <w:tmpl w:val="0F1AA8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746F2549"/>
    <w:multiLevelType w:val="hybridMultilevel"/>
    <w:tmpl w:val="47B4494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Radi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wfx0t2elsee9beffwoppxxse5p2xeppdpvf&quot;&gt;Saeed References Final&lt;record-ids&gt;&lt;item&gt;19924&lt;/item&gt;&lt;item&gt;19925&lt;/item&gt;&lt;item&gt;19926&lt;/item&gt;&lt;item&gt;19927&lt;/item&gt;&lt;item&gt;19928&lt;/item&gt;&lt;item&gt;19932&lt;/item&gt;&lt;item&gt;19933&lt;/item&gt;&lt;item&gt;19938&lt;/item&gt;&lt;item&gt;19939&lt;/item&gt;&lt;item&gt;19940&lt;/item&gt;&lt;item&gt;19945&lt;/item&gt;&lt;item&gt;19946&lt;/item&gt;&lt;item&gt;19955&lt;/item&gt;&lt;item&gt;19956&lt;/item&gt;&lt;item&gt;19957&lt;/item&gt;&lt;item&gt;19958&lt;/item&gt;&lt;item&gt;19959&lt;/item&gt;&lt;item&gt;19960&lt;/item&gt;&lt;item&gt;19963&lt;/item&gt;&lt;item&gt;19964&lt;/item&gt;&lt;item&gt;19965&lt;/item&gt;&lt;item&gt;19966&lt;/item&gt;&lt;item&gt;19967&lt;/item&gt;&lt;item&gt;19979&lt;/item&gt;&lt;/record-ids&gt;&lt;/item&gt;&lt;/Libraries&gt;"/>
  </w:docVars>
  <w:rsids>
    <w:rsidRoot w:val="00D93E93"/>
    <w:rsid w:val="0000266F"/>
    <w:rsid w:val="00005424"/>
    <w:rsid w:val="00006E5D"/>
    <w:rsid w:val="000115C3"/>
    <w:rsid w:val="00012B0E"/>
    <w:rsid w:val="0001313F"/>
    <w:rsid w:val="00016D13"/>
    <w:rsid w:val="000243C1"/>
    <w:rsid w:val="00026AB4"/>
    <w:rsid w:val="00026B4D"/>
    <w:rsid w:val="00026B95"/>
    <w:rsid w:val="000275A4"/>
    <w:rsid w:val="00031A47"/>
    <w:rsid w:val="0003468D"/>
    <w:rsid w:val="000361D8"/>
    <w:rsid w:val="00036E8E"/>
    <w:rsid w:val="00037D48"/>
    <w:rsid w:val="000407AF"/>
    <w:rsid w:val="00040AE4"/>
    <w:rsid w:val="0004292B"/>
    <w:rsid w:val="00042DAA"/>
    <w:rsid w:val="000452E8"/>
    <w:rsid w:val="00045622"/>
    <w:rsid w:val="00046741"/>
    <w:rsid w:val="00051D78"/>
    <w:rsid w:val="00051E26"/>
    <w:rsid w:val="00054A60"/>
    <w:rsid w:val="00055D7C"/>
    <w:rsid w:val="00057177"/>
    <w:rsid w:val="000637B9"/>
    <w:rsid w:val="00067639"/>
    <w:rsid w:val="00071D52"/>
    <w:rsid w:val="00072681"/>
    <w:rsid w:val="000741D0"/>
    <w:rsid w:val="000743AA"/>
    <w:rsid w:val="000778E8"/>
    <w:rsid w:val="00081405"/>
    <w:rsid w:val="00081871"/>
    <w:rsid w:val="00084826"/>
    <w:rsid w:val="00086549"/>
    <w:rsid w:val="00086991"/>
    <w:rsid w:val="00091A59"/>
    <w:rsid w:val="00095CC7"/>
    <w:rsid w:val="000963EC"/>
    <w:rsid w:val="000A0BDD"/>
    <w:rsid w:val="000A182E"/>
    <w:rsid w:val="000A3EC4"/>
    <w:rsid w:val="000A641D"/>
    <w:rsid w:val="000A7690"/>
    <w:rsid w:val="000A794C"/>
    <w:rsid w:val="000B1558"/>
    <w:rsid w:val="000B2AB9"/>
    <w:rsid w:val="000B3349"/>
    <w:rsid w:val="000B39EE"/>
    <w:rsid w:val="000B6F89"/>
    <w:rsid w:val="000B7B57"/>
    <w:rsid w:val="000C0564"/>
    <w:rsid w:val="000C09E7"/>
    <w:rsid w:val="000C1E0B"/>
    <w:rsid w:val="000C2FA9"/>
    <w:rsid w:val="000C3CEB"/>
    <w:rsid w:val="000C41A6"/>
    <w:rsid w:val="000C4747"/>
    <w:rsid w:val="000C7C64"/>
    <w:rsid w:val="000D410F"/>
    <w:rsid w:val="000D5A58"/>
    <w:rsid w:val="000D7030"/>
    <w:rsid w:val="000D7932"/>
    <w:rsid w:val="000E3FD4"/>
    <w:rsid w:val="000E4C18"/>
    <w:rsid w:val="000E5892"/>
    <w:rsid w:val="000F2268"/>
    <w:rsid w:val="000F329B"/>
    <w:rsid w:val="000F4DAB"/>
    <w:rsid w:val="000F5629"/>
    <w:rsid w:val="000F66B4"/>
    <w:rsid w:val="001017F9"/>
    <w:rsid w:val="00101F9D"/>
    <w:rsid w:val="00102B44"/>
    <w:rsid w:val="00104FB1"/>
    <w:rsid w:val="00105452"/>
    <w:rsid w:val="00115238"/>
    <w:rsid w:val="00116FBF"/>
    <w:rsid w:val="00117759"/>
    <w:rsid w:val="001204F4"/>
    <w:rsid w:val="00120DE2"/>
    <w:rsid w:val="00121629"/>
    <w:rsid w:val="00123880"/>
    <w:rsid w:val="00123C69"/>
    <w:rsid w:val="00124507"/>
    <w:rsid w:val="0012489B"/>
    <w:rsid w:val="0012616F"/>
    <w:rsid w:val="001303F4"/>
    <w:rsid w:val="00136672"/>
    <w:rsid w:val="0013754B"/>
    <w:rsid w:val="00142956"/>
    <w:rsid w:val="00142BF4"/>
    <w:rsid w:val="00142EAE"/>
    <w:rsid w:val="0014337F"/>
    <w:rsid w:val="0014529C"/>
    <w:rsid w:val="00145EDF"/>
    <w:rsid w:val="0015000B"/>
    <w:rsid w:val="001509DC"/>
    <w:rsid w:val="0015149C"/>
    <w:rsid w:val="00151A29"/>
    <w:rsid w:val="00153FE1"/>
    <w:rsid w:val="00161040"/>
    <w:rsid w:val="0016218E"/>
    <w:rsid w:val="00165261"/>
    <w:rsid w:val="0017254E"/>
    <w:rsid w:val="0017588E"/>
    <w:rsid w:val="001765A2"/>
    <w:rsid w:val="00182294"/>
    <w:rsid w:val="0018687A"/>
    <w:rsid w:val="00187BE6"/>
    <w:rsid w:val="001906B4"/>
    <w:rsid w:val="00192408"/>
    <w:rsid w:val="00193B1E"/>
    <w:rsid w:val="00193D5F"/>
    <w:rsid w:val="0019462E"/>
    <w:rsid w:val="001A13FB"/>
    <w:rsid w:val="001A2733"/>
    <w:rsid w:val="001A29C0"/>
    <w:rsid w:val="001A5761"/>
    <w:rsid w:val="001A578B"/>
    <w:rsid w:val="001A74C3"/>
    <w:rsid w:val="001B17DD"/>
    <w:rsid w:val="001B1A8C"/>
    <w:rsid w:val="001B2186"/>
    <w:rsid w:val="001B2210"/>
    <w:rsid w:val="001B4A37"/>
    <w:rsid w:val="001B50D2"/>
    <w:rsid w:val="001B5527"/>
    <w:rsid w:val="001C074A"/>
    <w:rsid w:val="001D1A09"/>
    <w:rsid w:val="001D2330"/>
    <w:rsid w:val="001D28C1"/>
    <w:rsid w:val="001D5637"/>
    <w:rsid w:val="001D5D1A"/>
    <w:rsid w:val="001E1E90"/>
    <w:rsid w:val="001E29B5"/>
    <w:rsid w:val="001E3BB8"/>
    <w:rsid w:val="001E4FD2"/>
    <w:rsid w:val="001E774E"/>
    <w:rsid w:val="001E779D"/>
    <w:rsid w:val="001F002B"/>
    <w:rsid w:val="001F1625"/>
    <w:rsid w:val="001F248D"/>
    <w:rsid w:val="001F34F3"/>
    <w:rsid w:val="001F34FE"/>
    <w:rsid w:val="001F432F"/>
    <w:rsid w:val="00201E51"/>
    <w:rsid w:val="00205821"/>
    <w:rsid w:val="00206D34"/>
    <w:rsid w:val="002077BB"/>
    <w:rsid w:val="0021543E"/>
    <w:rsid w:val="00215B71"/>
    <w:rsid w:val="002205F9"/>
    <w:rsid w:val="00221083"/>
    <w:rsid w:val="002234E8"/>
    <w:rsid w:val="00223513"/>
    <w:rsid w:val="00223831"/>
    <w:rsid w:val="00224A05"/>
    <w:rsid w:val="00225AD6"/>
    <w:rsid w:val="0022643F"/>
    <w:rsid w:val="00226A63"/>
    <w:rsid w:val="00227EBD"/>
    <w:rsid w:val="0023117B"/>
    <w:rsid w:val="00232D1B"/>
    <w:rsid w:val="00235344"/>
    <w:rsid w:val="00241668"/>
    <w:rsid w:val="00241B7E"/>
    <w:rsid w:val="0024239F"/>
    <w:rsid w:val="002423E9"/>
    <w:rsid w:val="00243D69"/>
    <w:rsid w:val="0024462E"/>
    <w:rsid w:val="002453D8"/>
    <w:rsid w:val="00247332"/>
    <w:rsid w:val="002477B2"/>
    <w:rsid w:val="00251286"/>
    <w:rsid w:val="0025160B"/>
    <w:rsid w:val="00254DBC"/>
    <w:rsid w:val="002558CE"/>
    <w:rsid w:val="00255F01"/>
    <w:rsid w:val="002564FC"/>
    <w:rsid w:val="00261664"/>
    <w:rsid w:val="0026385E"/>
    <w:rsid w:val="00264C5C"/>
    <w:rsid w:val="00265B78"/>
    <w:rsid w:val="00273982"/>
    <w:rsid w:val="00273BEB"/>
    <w:rsid w:val="00275EE3"/>
    <w:rsid w:val="002773C6"/>
    <w:rsid w:val="0028287B"/>
    <w:rsid w:val="00284522"/>
    <w:rsid w:val="0028720B"/>
    <w:rsid w:val="00287B09"/>
    <w:rsid w:val="0029074A"/>
    <w:rsid w:val="00295D3A"/>
    <w:rsid w:val="00296244"/>
    <w:rsid w:val="002963B7"/>
    <w:rsid w:val="002A0BE5"/>
    <w:rsid w:val="002A2E56"/>
    <w:rsid w:val="002A2E8C"/>
    <w:rsid w:val="002A6E77"/>
    <w:rsid w:val="002A6ED7"/>
    <w:rsid w:val="002A729B"/>
    <w:rsid w:val="002B0941"/>
    <w:rsid w:val="002B5E16"/>
    <w:rsid w:val="002B67DD"/>
    <w:rsid w:val="002B75F8"/>
    <w:rsid w:val="002C080C"/>
    <w:rsid w:val="002C2B64"/>
    <w:rsid w:val="002C4DE8"/>
    <w:rsid w:val="002D1873"/>
    <w:rsid w:val="002D2807"/>
    <w:rsid w:val="002D6D52"/>
    <w:rsid w:val="002D7802"/>
    <w:rsid w:val="002E2B11"/>
    <w:rsid w:val="002E3222"/>
    <w:rsid w:val="002E7816"/>
    <w:rsid w:val="002F4057"/>
    <w:rsid w:val="002F4CFA"/>
    <w:rsid w:val="002F53A0"/>
    <w:rsid w:val="002F70CA"/>
    <w:rsid w:val="003009C5"/>
    <w:rsid w:val="00300A25"/>
    <w:rsid w:val="0030388A"/>
    <w:rsid w:val="00305E30"/>
    <w:rsid w:val="00306BEF"/>
    <w:rsid w:val="00307163"/>
    <w:rsid w:val="00310924"/>
    <w:rsid w:val="00312AC9"/>
    <w:rsid w:val="0031428C"/>
    <w:rsid w:val="00315624"/>
    <w:rsid w:val="00315BD3"/>
    <w:rsid w:val="00316FA2"/>
    <w:rsid w:val="003237DC"/>
    <w:rsid w:val="00323858"/>
    <w:rsid w:val="00327BBB"/>
    <w:rsid w:val="00330FBF"/>
    <w:rsid w:val="0033167D"/>
    <w:rsid w:val="00335CF7"/>
    <w:rsid w:val="00336419"/>
    <w:rsid w:val="003364FB"/>
    <w:rsid w:val="00336A2C"/>
    <w:rsid w:val="00336DB7"/>
    <w:rsid w:val="003407F7"/>
    <w:rsid w:val="00340E6E"/>
    <w:rsid w:val="0034159A"/>
    <w:rsid w:val="00341BDC"/>
    <w:rsid w:val="00343455"/>
    <w:rsid w:val="00343F99"/>
    <w:rsid w:val="00344CFB"/>
    <w:rsid w:val="00345089"/>
    <w:rsid w:val="00347127"/>
    <w:rsid w:val="003476A3"/>
    <w:rsid w:val="003504ED"/>
    <w:rsid w:val="00351CBC"/>
    <w:rsid w:val="00353929"/>
    <w:rsid w:val="003542A5"/>
    <w:rsid w:val="00356E37"/>
    <w:rsid w:val="00361ABE"/>
    <w:rsid w:val="00362045"/>
    <w:rsid w:val="003636B0"/>
    <w:rsid w:val="00363F14"/>
    <w:rsid w:val="003644DC"/>
    <w:rsid w:val="0036726E"/>
    <w:rsid w:val="003737E2"/>
    <w:rsid w:val="00375C17"/>
    <w:rsid w:val="003809C1"/>
    <w:rsid w:val="00383BAE"/>
    <w:rsid w:val="003946F4"/>
    <w:rsid w:val="00395EAE"/>
    <w:rsid w:val="00397584"/>
    <w:rsid w:val="003A0088"/>
    <w:rsid w:val="003A13C1"/>
    <w:rsid w:val="003A3DD7"/>
    <w:rsid w:val="003A6FF6"/>
    <w:rsid w:val="003A7891"/>
    <w:rsid w:val="003B00FD"/>
    <w:rsid w:val="003B237C"/>
    <w:rsid w:val="003B44DF"/>
    <w:rsid w:val="003B5579"/>
    <w:rsid w:val="003B6917"/>
    <w:rsid w:val="003B74C4"/>
    <w:rsid w:val="003C5F12"/>
    <w:rsid w:val="003C6B67"/>
    <w:rsid w:val="003C7B92"/>
    <w:rsid w:val="003C7D92"/>
    <w:rsid w:val="003C7F9D"/>
    <w:rsid w:val="003D01DE"/>
    <w:rsid w:val="003D21EC"/>
    <w:rsid w:val="003D3372"/>
    <w:rsid w:val="003D38D5"/>
    <w:rsid w:val="003D44F6"/>
    <w:rsid w:val="003D59B5"/>
    <w:rsid w:val="003D655C"/>
    <w:rsid w:val="003E2814"/>
    <w:rsid w:val="003E44AC"/>
    <w:rsid w:val="003F02A2"/>
    <w:rsid w:val="003F110F"/>
    <w:rsid w:val="003F3A51"/>
    <w:rsid w:val="003F4FCF"/>
    <w:rsid w:val="003F530C"/>
    <w:rsid w:val="003F684B"/>
    <w:rsid w:val="0040025A"/>
    <w:rsid w:val="00402986"/>
    <w:rsid w:val="00405232"/>
    <w:rsid w:val="0040538E"/>
    <w:rsid w:val="004053A2"/>
    <w:rsid w:val="00406D45"/>
    <w:rsid w:val="004070D4"/>
    <w:rsid w:val="00407D8F"/>
    <w:rsid w:val="00410D0D"/>
    <w:rsid w:val="00415BC5"/>
    <w:rsid w:val="00415FC8"/>
    <w:rsid w:val="004172F2"/>
    <w:rsid w:val="00417AB6"/>
    <w:rsid w:val="00421E60"/>
    <w:rsid w:val="00421E82"/>
    <w:rsid w:val="00422645"/>
    <w:rsid w:val="00433B76"/>
    <w:rsid w:val="00435D12"/>
    <w:rsid w:val="00436E54"/>
    <w:rsid w:val="004373E2"/>
    <w:rsid w:val="00440AB9"/>
    <w:rsid w:val="0044312B"/>
    <w:rsid w:val="0044344C"/>
    <w:rsid w:val="00443671"/>
    <w:rsid w:val="0044664A"/>
    <w:rsid w:val="00453009"/>
    <w:rsid w:val="0045628F"/>
    <w:rsid w:val="00457301"/>
    <w:rsid w:val="00463F76"/>
    <w:rsid w:val="00465211"/>
    <w:rsid w:val="00465375"/>
    <w:rsid w:val="00465CB0"/>
    <w:rsid w:val="00465CE5"/>
    <w:rsid w:val="00467908"/>
    <w:rsid w:val="00472D46"/>
    <w:rsid w:val="004764C0"/>
    <w:rsid w:val="00476B49"/>
    <w:rsid w:val="0048232B"/>
    <w:rsid w:val="00483E26"/>
    <w:rsid w:val="004852A0"/>
    <w:rsid w:val="004865B2"/>
    <w:rsid w:val="0048736D"/>
    <w:rsid w:val="00490D1D"/>
    <w:rsid w:val="00491895"/>
    <w:rsid w:val="00492BC5"/>
    <w:rsid w:val="00494A79"/>
    <w:rsid w:val="004A0D33"/>
    <w:rsid w:val="004A7762"/>
    <w:rsid w:val="004B175E"/>
    <w:rsid w:val="004B7FD3"/>
    <w:rsid w:val="004C0C08"/>
    <w:rsid w:val="004D4BF7"/>
    <w:rsid w:val="004E1E81"/>
    <w:rsid w:val="004E1EAF"/>
    <w:rsid w:val="004E25EB"/>
    <w:rsid w:val="004E2DA6"/>
    <w:rsid w:val="004E2E1C"/>
    <w:rsid w:val="004E346A"/>
    <w:rsid w:val="004F1223"/>
    <w:rsid w:val="004F130C"/>
    <w:rsid w:val="004F5D25"/>
    <w:rsid w:val="004F6588"/>
    <w:rsid w:val="00506B73"/>
    <w:rsid w:val="00507A31"/>
    <w:rsid w:val="00507BA7"/>
    <w:rsid w:val="005109BA"/>
    <w:rsid w:val="00511BE9"/>
    <w:rsid w:val="00513038"/>
    <w:rsid w:val="00514366"/>
    <w:rsid w:val="00514D98"/>
    <w:rsid w:val="00515AE6"/>
    <w:rsid w:val="00515D8D"/>
    <w:rsid w:val="00520815"/>
    <w:rsid w:val="005220A7"/>
    <w:rsid w:val="00525E83"/>
    <w:rsid w:val="00525FCD"/>
    <w:rsid w:val="005271BE"/>
    <w:rsid w:val="00527B06"/>
    <w:rsid w:val="00530DA5"/>
    <w:rsid w:val="00532753"/>
    <w:rsid w:val="00534D76"/>
    <w:rsid w:val="005365A1"/>
    <w:rsid w:val="00536951"/>
    <w:rsid w:val="005369F5"/>
    <w:rsid w:val="005409D3"/>
    <w:rsid w:val="00544287"/>
    <w:rsid w:val="00544C43"/>
    <w:rsid w:val="00546612"/>
    <w:rsid w:val="005466FB"/>
    <w:rsid w:val="0054701C"/>
    <w:rsid w:val="00547B05"/>
    <w:rsid w:val="005565CC"/>
    <w:rsid w:val="00557796"/>
    <w:rsid w:val="00562942"/>
    <w:rsid w:val="00571191"/>
    <w:rsid w:val="0057138F"/>
    <w:rsid w:val="005714A7"/>
    <w:rsid w:val="00573D23"/>
    <w:rsid w:val="00575174"/>
    <w:rsid w:val="00576E7F"/>
    <w:rsid w:val="005813EE"/>
    <w:rsid w:val="005845A4"/>
    <w:rsid w:val="00586061"/>
    <w:rsid w:val="00586533"/>
    <w:rsid w:val="005875EB"/>
    <w:rsid w:val="00587DC8"/>
    <w:rsid w:val="0059028C"/>
    <w:rsid w:val="00590883"/>
    <w:rsid w:val="0059282E"/>
    <w:rsid w:val="00593058"/>
    <w:rsid w:val="0059487B"/>
    <w:rsid w:val="00595138"/>
    <w:rsid w:val="00595705"/>
    <w:rsid w:val="00596662"/>
    <w:rsid w:val="0059717B"/>
    <w:rsid w:val="005A1650"/>
    <w:rsid w:val="005A604D"/>
    <w:rsid w:val="005B38B1"/>
    <w:rsid w:val="005B6437"/>
    <w:rsid w:val="005B6D5B"/>
    <w:rsid w:val="005B751B"/>
    <w:rsid w:val="005C0955"/>
    <w:rsid w:val="005C294E"/>
    <w:rsid w:val="005C5BAF"/>
    <w:rsid w:val="005C5C50"/>
    <w:rsid w:val="005D2282"/>
    <w:rsid w:val="005D260C"/>
    <w:rsid w:val="005D39CF"/>
    <w:rsid w:val="005D61B6"/>
    <w:rsid w:val="005E1971"/>
    <w:rsid w:val="005E4638"/>
    <w:rsid w:val="005F7DC3"/>
    <w:rsid w:val="0060058F"/>
    <w:rsid w:val="006022B5"/>
    <w:rsid w:val="0060772D"/>
    <w:rsid w:val="006104A7"/>
    <w:rsid w:val="00611EB5"/>
    <w:rsid w:val="006137D8"/>
    <w:rsid w:val="006158FB"/>
    <w:rsid w:val="006168BB"/>
    <w:rsid w:val="006210C7"/>
    <w:rsid w:val="00621917"/>
    <w:rsid w:val="00622366"/>
    <w:rsid w:val="00624DEB"/>
    <w:rsid w:val="0062651A"/>
    <w:rsid w:val="00626793"/>
    <w:rsid w:val="006309D9"/>
    <w:rsid w:val="00631741"/>
    <w:rsid w:val="00631C72"/>
    <w:rsid w:val="00633223"/>
    <w:rsid w:val="00635C66"/>
    <w:rsid w:val="00637439"/>
    <w:rsid w:val="00642378"/>
    <w:rsid w:val="00643ECD"/>
    <w:rsid w:val="0064706B"/>
    <w:rsid w:val="0065088D"/>
    <w:rsid w:val="00651F20"/>
    <w:rsid w:val="0065202A"/>
    <w:rsid w:val="00660A2B"/>
    <w:rsid w:val="00665CE1"/>
    <w:rsid w:val="006671B5"/>
    <w:rsid w:val="006740AC"/>
    <w:rsid w:val="00674F01"/>
    <w:rsid w:val="00675CE8"/>
    <w:rsid w:val="00675D8E"/>
    <w:rsid w:val="006807FE"/>
    <w:rsid w:val="00681D76"/>
    <w:rsid w:val="006828B7"/>
    <w:rsid w:val="0068376B"/>
    <w:rsid w:val="00683E25"/>
    <w:rsid w:val="0069054F"/>
    <w:rsid w:val="00691B73"/>
    <w:rsid w:val="00691BD1"/>
    <w:rsid w:val="006931D9"/>
    <w:rsid w:val="00693B0D"/>
    <w:rsid w:val="006943EF"/>
    <w:rsid w:val="00697151"/>
    <w:rsid w:val="006971B6"/>
    <w:rsid w:val="0069731C"/>
    <w:rsid w:val="006A03B4"/>
    <w:rsid w:val="006A408D"/>
    <w:rsid w:val="006A430B"/>
    <w:rsid w:val="006A5CDA"/>
    <w:rsid w:val="006A63FB"/>
    <w:rsid w:val="006B0DCB"/>
    <w:rsid w:val="006B177F"/>
    <w:rsid w:val="006B26DC"/>
    <w:rsid w:val="006B5160"/>
    <w:rsid w:val="006D05DE"/>
    <w:rsid w:val="006D089C"/>
    <w:rsid w:val="006D3E4C"/>
    <w:rsid w:val="006D566B"/>
    <w:rsid w:val="006D7E89"/>
    <w:rsid w:val="006E1491"/>
    <w:rsid w:val="006E227E"/>
    <w:rsid w:val="006E5608"/>
    <w:rsid w:val="006F027A"/>
    <w:rsid w:val="006F0CF6"/>
    <w:rsid w:val="006F1CDD"/>
    <w:rsid w:val="006F4509"/>
    <w:rsid w:val="006F5261"/>
    <w:rsid w:val="007010E6"/>
    <w:rsid w:val="0070747B"/>
    <w:rsid w:val="007076C0"/>
    <w:rsid w:val="00710E91"/>
    <w:rsid w:val="007119B9"/>
    <w:rsid w:val="00713052"/>
    <w:rsid w:val="00713952"/>
    <w:rsid w:val="00720257"/>
    <w:rsid w:val="0072362C"/>
    <w:rsid w:val="00723DCB"/>
    <w:rsid w:val="00726577"/>
    <w:rsid w:val="007266EE"/>
    <w:rsid w:val="0073060B"/>
    <w:rsid w:val="00734458"/>
    <w:rsid w:val="007354AF"/>
    <w:rsid w:val="00735B6C"/>
    <w:rsid w:val="0073714E"/>
    <w:rsid w:val="00740E78"/>
    <w:rsid w:val="00742FD6"/>
    <w:rsid w:val="00747491"/>
    <w:rsid w:val="007476F7"/>
    <w:rsid w:val="0075519C"/>
    <w:rsid w:val="00755D2B"/>
    <w:rsid w:val="0075607C"/>
    <w:rsid w:val="007567A0"/>
    <w:rsid w:val="00760763"/>
    <w:rsid w:val="00760AAB"/>
    <w:rsid w:val="00761AB8"/>
    <w:rsid w:val="00762D6C"/>
    <w:rsid w:val="00763EB7"/>
    <w:rsid w:val="00764AA4"/>
    <w:rsid w:val="00764DB2"/>
    <w:rsid w:val="007656EF"/>
    <w:rsid w:val="00773DAC"/>
    <w:rsid w:val="007748B6"/>
    <w:rsid w:val="007749A1"/>
    <w:rsid w:val="00776BA0"/>
    <w:rsid w:val="007771F5"/>
    <w:rsid w:val="00777BB2"/>
    <w:rsid w:val="00777D73"/>
    <w:rsid w:val="00780007"/>
    <w:rsid w:val="00780718"/>
    <w:rsid w:val="0078135E"/>
    <w:rsid w:val="00781FF5"/>
    <w:rsid w:val="00782503"/>
    <w:rsid w:val="0078297E"/>
    <w:rsid w:val="00782CEE"/>
    <w:rsid w:val="0078449A"/>
    <w:rsid w:val="00786C46"/>
    <w:rsid w:val="00786C9E"/>
    <w:rsid w:val="00792119"/>
    <w:rsid w:val="007921A9"/>
    <w:rsid w:val="007A13D0"/>
    <w:rsid w:val="007A18F6"/>
    <w:rsid w:val="007B0192"/>
    <w:rsid w:val="007B19FF"/>
    <w:rsid w:val="007B4566"/>
    <w:rsid w:val="007B7674"/>
    <w:rsid w:val="007C09FA"/>
    <w:rsid w:val="007C10B9"/>
    <w:rsid w:val="007C2612"/>
    <w:rsid w:val="007C466A"/>
    <w:rsid w:val="007C7449"/>
    <w:rsid w:val="007C75A8"/>
    <w:rsid w:val="007D0C56"/>
    <w:rsid w:val="007D3979"/>
    <w:rsid w:val="007D3BD4"/>
    <w:rsid w:val="007D3CAF"/>
    <w:rsid w:val="007D3CFE"/>
    <w:rsid w:val="007D41FD"/>
    <w:rsid w:val="007D47B6"/>
    <w:rsid w:val="007D709B"/>
    <w:rsid w:val="007D71A5"/>
    <w:rsid w:val="007E1587"/>
    <w:rsid w:val="007E2FD2"/>
    <w:rsid w:val="007E35FF"/>
    <w:rsid w:val="007F034C"/>
    <w:rsid w:val="007F3D53"/>
    <w:rsid w:val="007F5C0D"/>
    <w:rsid w:val="007F60D3"/>
    <w:rsid w:val="007F6454"/>
    <w:rsid w:val="007F7883"/>
    <w:rsid w:val="008004AE"/>
    <w:rsid w:val="00801D78"/>
    <w:rsid w:val="0080259C"/>
    <w:rsid w:val="0080611B"/>
    <w:rsid w:val="00806CE8"/>
    <w:rsid w:val="008077C7"/>
    <w:rsid w:val="008118D2"/>
    <w:rsid w:val="00813798"/>
    <w:rsid w:val="00813878"/>
    <w:rsid w:val="00813BD9"/>
    <w:rsid w:val="00815400"/>
    <w:rsid w:val="008177AE"/>
    <w:rsid w:val="00821F59"/>
    <w:rsid w:val="00823B6E"/>
    <w:rsid w:val="00825E5B"/>
    <w:rsid w:val="00830893"/>
    <w:rsid w:val="008338F9"/>
    <w:rsid w:val="00836FBD"/>
    <w:rsid w:val="008442A4"/>
    <w:rsid w:val="00845B25"/>
    <w:rsid w:val="008508D8"/>
    <w:rsid w:val="008511A2"/>
    <w:rsid w:val="00855D7B"/>
    <w:rsid w:val="0085790E"/>
    <w:rsid w:val="008624FA"/>
    <w:rsid w:val="008644D4"/>
    <w:rsid w:val="0086485F"/>
    <w:rsid w:val="008716E1"/>
    <w:rsid w:val="008747DE"/>
    <w:rsid w:val="00877B4C"/>
    <w:rsid w:val="00877CDA"/>
    <w:rsid w:val="00880AF4"/>
    <w:rsid w:val="0088217D"/>
    <w:rsid w:val="0088691C"/>
    <w:rsid w:val="008901AB"/>
    <w:rsid w:val="008901DC"/>
    <w:rsid w:val="008914FC"/>
    <w:rsid w:val="00894F61"/>
    <w:rsid w:val="008960CE"/>
    <w:rsid w:val="00896710"/>
    <w:rsid w:val="00896FAD"/>
    <w:rsid w:val="008A0E9A"/>
    <w:rsid w:val="008A496B"/>
    <w:rsid w:val="008A59F0"/>
    <w:rsid w:val="008A7880"/>
    <w:rsid w:val="008A7BFF"/>
    <w:rsid w:val="008B2FD7"/>
    <w:rsid w:val="008B37FE"/>
    <w:rsid w:val="008B56A4"/>
    <w:rsid w:val="008B57E6"/>
    <w:rsid w:val="008B5865"/>
    <w:rsid w:val="008C08D2"/>
    <w:rsid w:val="008D1924"/>
    <w:rsid w:val="008D4153"/>
    <w:rsid w:val="008D76B1"/>
    <w:rsid w:val="008E0857"/>
    <w:rsid w:val="008E41A5"/>
    <w:rsid w:val="008E7AA9"/>
    <w:rsid w:val="008F0280"/>
    <w:rsid w:val="008F11DB"/>
    <w:rsid w:val="008F7131"/>
    <w:rsid w:val="00902215"/>
    <w:rsid w:val="00902610"/>
    <w:rsid w:val="00902FF5"/>
    <w:rsid w:val="00903CB1"/>
    <w:rsid w:val="00906429"/>
    <w:rsid w:val="009072D9"/>
    <w:rsid w:val="009103D9"/>
    <w:rsid w:val="009131DD"/>
    <w:rsid w:val="00915844"/>
    <w:rsid w:val="009167D0"/>
    <w:rsid w:val="00917006"/>
    <w:rsid w:val="0092206B"/>
    <w:rsid w:val="009240B7"/>
    <w:rsid w:val="00927205"/>
    <w:rsid w:val="00927258"/>
    <w:rsid w:val="00927A30"/>
    <w:rsid w:val="00927B73"/>
    <w:rsid w:val="009313C3"/>
    <w:rsid w:val="00933938"/>
    <w:rsid w:val="009342C4"/>
    <w:rsid w:val="0093609F"/>
    <w:rsid w:val="00940B27"/>
    <w:rsid w:val="00942991"/>
    <w:rsid w:val="00943547"/>
    <w:rsid w:val="00944730"/>
    <w:rsid w:val="00946A65"/>
    <w:rsid w:val="00946EFD"/>
    <w:rsid w:val="0095080B"/>
    <w:rsid w:val="00950D1A"/>
    <w:rsid w:val="00951F25"/>
    <w:rsid w:val="009560D4"/>
    <w:rsid w:val="009561A1"/>
    <w:rsid w:val="00957954"/>
    <w:rsid w:val="00957C11"/>
    <w:rsid w:val="00963598"/>
    <w:rsid w:val="00964227"/>
    <w:rsid w:val="00967CD9"/>
    <w:rsid w:val="00973BD6"/>
    <w:rsid w:val="00974832"/>
    <w:rsid w:val="00981AAF"/>
    <w:rsid w:val="00982D0B"/>
    <w:rsid w:val="00983C4E"/>
    <w:rsid w:val="009863C8"/>
    <w:rsid w:val="00986941"/>
    <w:rsid w:val="009912C9"/>
    <w:rsid w:val="00994029"/>
    <w:rsid w:val="00994CA8"/>
    <w:rsid w:val="009971AF"/>
    <w:rsid w:val="009A0A31"/>
    <w:rsid w:val="009A21ED"/>
    <w:rsid w:val="009A3440"/>
    <w:rsid w:val="009B2F5E"/>
    <w:rsid w:val="009B61A5"/>
    <w:rsid w:val="009B7316"/>
    <w:rsid w:val="009C097C"/>
    <w:rsid w:val="009C2604"/>
    <w:rsid w:val="009C6573"/>
    <w:rsid w:val="009C691C"/>
    <w:rsid w:val="009C77BB"/>
    <w:rsid w:val="009D27BE"/>
    <w:rsid w:val="009D451E"/>
    <w:rsid w:val="009D5EAC"/>
    <w:rsid w:val="009D7879"/>
    <w:rsid w:val="009D7B11"/>
    <w:rsid w:val="009E0B80"/>
    <w:rsid w:val="009E280F"/>
    <w:rsid w:val="009E3874"/>
    <w:rsid w:val="009E57A7"/>
    <w:rsid w:val="009E696A"/>
    <w:rsid w:val="009F066B"/>
    <w:rsid w:val="009F359E"/>
    <w:rsid w:val="009F3713"/>
    <w:rsid w:val="009F5569"/>
    <w:rsid w:val="009F636D"/>
    <w:rsid w:val="009F6ECD"/>
    <w:rsid w:val="009F7193"/>
    <w:rsid w:val="00A03AAE"/>
    <w:rsid w:val="00A043A6"/>
    <w:rsid w:val="00A11B3C"/>
    <w:rsid w:val="00A15E47"/>
    <w:rsid w:val="00A22DD6"/>
    <w:rsid w:val="00A2557B"/>
    <w:rsid w:val="00A262F3"/>
    <w:rsid w:val="00A2759B"/>
    <w:rsid w:val="00A32F05"/>
    <w:rsid w:val="00A33171"/>
    <w:rsid w:val="00A338DD"/>
    <w:rsid w:val="00A408D5"/>
    <w:rsid w:val="00A410B1"/>
    <w:rsid w:val="00A43BEE"/>
    <w:rsid w:val="00A51B0F"/>
    <w:rsid w:val="00A526A6"/>
    <w:rsid w:val="00A550C1"/>
    <w:rsid w:val="00A6025B"/>
    <w:rsid w:val="00A60778"/>
    <w:rsid w:val="00A60C9B"/>
    <w:rsid w:val="00A6220B"/>
    <w:rsid w:val="00A6298C"/>
    <w:rsid w:val="00A63C36"/>
    <w:rsid w:val="00A63C47"/>
    <w:rsid w:val="00A64ECB"/>
    <w:rsid w:val="00A65287"/>
    <w:rsid w:val="00A65624"/>
    <w:rsid w:val="00A65CC8"/>
    <w:rsid w:val="00A66D0C"/>
    <w:rsid w:val="00A67DE4"/>
    <w:rsid w:val="00A72F34"/>
    <w:rsid w:val="00A731BE"/>
    <w:rsid w:val="00A742B0"/>
    <w:rsid w:val="00A7445A"/>
    <w:rsid w:val="00A74E7A"/>
    <w:rsid w:val="00A809EA"/>
    <w:rsid w:val="00A81241"/>
    <w:rsid w:val="00A81D3E"/>
    <w:rsid w:val="00A82709"/>
    <w:rsid w:val="00A828E9"/>
    <w:rsid w:val="00A850CF"/>
    <w:rsid w:val="00A8755F"/>
    <w:rsid w:val="00A87B3D"/>
    <w:rsid w:val="00A87DD3"/>
    <w:rsid w:val="00A91A18"/>
    <w:rsid w:val="00A92C04"/>
    <w:rsid w:val="00A93670"/>
    <w:rsid w:val="00A94738"/>
    <w:rsid w:val="00A95194"/>
    <w:rsid w:val="00A95AF8"/>
    <w:rsid w:val="00A95EA6"/>
    <w:rsid w:val="00A969AA"/>
    <w:rsid w:val="00A96AE8"/>
    <w:rsid w:val="00A97CF2"/>
    <w:rsid w:val="00AA0D71"/>
    <w:rsid w:val="00AA1723"/>
    <w:rsid w:val="00AA1B60"/>
    <w:rsid w:val="00AA3332"/>
    <w:rsid w:val="00AA451C"/>
    <w:rsid w:val="00AA467A"/>
    <w:rsid w:val="00AB0707"/>
    <w:rsid w:val="00AB4601"/>
    <w:rsid w:val="00AB52E7"/>
    <w:rsid w:val="00AB6A17"/>
    <w:rsid w:val="00AB7E59"/>
    <w:rsid w:val="00AC2190"/>
    <w:rsid w:val="00AC668A"/>
    <w:rsid w:val="00AC66A3"/>
    <w:rsid w:val="00AD14C4"/>
    <w:rsid w:val="00AD58DC"/>
    <w:rsid w:val="00AE1DB2"/>
    <w:rsid w:val="00AE1F6C"/>
    <w:rsid w:val="00AE3404"/>
    <w:rsid w:val="00AE3746"/>
    <w:rsid w:val="00AE37B5"/>
    <w:rsid w:val="00AE4391"/>
    <w:rsid w:val="00AE4578"/>
    <w:rsid w:val="00AE7FDB"/>
    <w:rsid w:val="00AF1696"/>
    <w:rsid w:val="00AF2E18"/>
    <w:rsid w:val="00AF31FC"/>
    <w:rsid w:val="00AF3D10"/>
    <w:rsid w:val="00AF42C4"/>
    <w:rsid w:val="00AF4889"/>
    <w:rsid w:val="00AF4FA0"/>
    <w:rsid w:val="00B01723"/>
    <w:rsid w:val="00B01E19"/>
    <w:rsid w:val="00B03731"/>
    <w:rsid w:val="00B03FD9"/>
    <w:rsid w:val="00B041DA"/>
    <w:rsid w:val="00B05217"/>
    <w:rsid w:val="00B054BE"/>
    <w:rsid w:val="00B116A9"/>
    <w:rsid w:val="00B13356"/>
    <w:rsid w:val="00B14595"/>
    <w:rsid w:val="00B17DD2"/>
    <w:rsid w:val="00B20B5B"/>
    <w:rsid w:val="00B21F83"/>
    <w:rsid w:val="00B220FF"/>
    <w:rsid w:val="00B24F36"/>
    <w:rsid w:val="00B25211"/>
    <w:rsid w:val="00B27DA0"/>
    <w:rsid w:val="00B306C9"/>
    <w:rsid w:val="00B3097A"/>
    <w:rsid w:val="00B32031"/>
    <w:rsid w:val="00B32E91"/>
    <w:rsid w:val="00B3507F"/>
    <w:rsid w:val="00B408F2"/>
    <w:rsid w:val="00B439F6"/>
    <w:rsid w:val="00B4422E"/>
    <w:rsid w:val="00B44F8C"/>
    <w:rsid w:val="00B46B32"/>
    <w:rsid w:val="00B470D8"/>
    <w:rsid w:val="00B52981"/>
    <w:rsid w:val="00B52CDC"/>
    <w:rsid w:val="00B52CF0"/>
    <w:rsid w:val="00B54D11"/>
    <w:rsid w:val="00B553D1"/>
    <w:rsid w:val="00B574E4"/>
    <w:rsid w:val="00B6081B"/>
    <w:rsid w:val="00B64B8D"/>
    <w:rsid w:val="00B651EB"/>
    <w:rsid w:val="00B6628C"/>
    <w:rsid w:val="00B66656"/>
    <w:rsid w:val="00B67A30"/>
    <w:rsid w:val="00B67F65"/>
    <w:rsid w:val="00B70198"/>
    <w:rsid w:val="00B711C2"/>
    <w:rsid w:val="00B74501"/>
    <w:rsid w:val="00B76B1F"/>
    <w:rsid w:val="00B76EFD"/>
    <w:rsid w:val="00B80CDB"/>
    <w:rsid w:val="00B81C06"/>
    <w:rsid w:val="00B828B1"/>
    <w:rsid w:val="00B8775C"/>
    <w:rsid w:val="00B91734"/>
    <w:rsid w:val="00B91D14"/>
    <w:rsid w:val="00B929E6"/>
    <w:rsid w:val="00B9434F"/>
    <w:rsid w:val="00B9526F"/>
    <w:rsid w:val="00B9607E"/>
    <w:rsid w:val="00B9698B"/>
    <w:rsid w:val="00B96D8B"/>
    <w:rsid w:val="00B9765F"/>
    <w:rsid w:val="00BA0D7B"/>
    <w:rsid w:val="00BA12FE"/>
    <w:rsid w:val="00BA1FE8"/>
    <w:rsid w:val="00BA25BA"/>
    <w:rsid w:val="00BA2D36"/>
    <w:rsid w:val="00BA31B3"/>
    <w:rsid w:val="00BA38DF"/>
    <w:rsid w:val="00BA4EE4"/>
    <w:rsid w:val="00BA7DCD"/>
    <w:rsid w:val="00BB49C7"/>
    <w:rsid w:val="00BC2EB8"/>
    <w:rsid w:val="00BD15B6"/>
    <w:rsid w:val="00BD2B4C"/>
    <w:rsid w:val="00BD38AD"/>
    <w:rsid w:val="00BD40B6"/>
    <w:rsid w:val="00BD4A4A"/>
    <w:rsid w:val="00BD6852"/>
    <w:rsid w:val="00BD7B95"/>
    <w:rsid w:val="00BE0E7C"/>
    <w:rsid w:val="00BE30FD"/>
    <w:rsid w:val="00BE4550"/>
    <w:rsid w:val="00BE65D0"/>
    <w:rsid w:val="00BF0BF8"/>
    <w:rsid w:val="00BF0E44"/>
    <w:rsid w:val="00BF0FC4"/>
    <w:rsid w:val="00BF225F"/>
    <w:rsid w:val="00BF2837"/>
    <w:rsid w:val="00BF2EAD"/>
    <w:rsid w:val="00BF3EBE"/>
    <w:rsid w:val="00BF46DC"/>
    <w:rsid w:val="00BF4994"/>
    <w:rsid w:val="00BF73AF"/>
    <w:rsid w:val="00C000FD"/>
    <w:rsid w:val="00C012FB"/>
    <w:rsid w:val="00C01A65"/>
    <w:rsid w:val="00C03B31"/>
    <w:rsid w:val="00C04775"/>
    <w:rsid w:val="00C05654"/>
    <w:rsid w:val="00C07F8B"/>
    <w:rsid w:val="00C11BEA"/>
    <w:rsid w:val="00C1207E"/>
    <w:rsid w:val="00C16B99"/>
    <w:rsid w:val="00C20687"/>
    <w:rsid w:val="00C24D6F"/>
    <w:rsid w:val="00C263C3"/>
    <w:rsid w:val="00C26698"/>
    <w:rsid w:val="00C26E3B"/>
    <w:rsid w:val="00C3032F"/>
    <w:rsid w:val="00C31766"/>
    <w:rsid w:val="00C341A0"/>
    <w:rsid w:val="00C3522C"/>
    <w:rsid w:val="00C41A85"/>
    <w:rsid w:val="00C428DE"/>
    <w:rsid w:val="00C43369"/>
    <w:rsid w:val="00C5743C"/>
    <w:rsid w:val="00C658BA"/>
    <w:rsid w:val="00C65C35"/>
    <w:rsid w:val="00C66C5B"/>
    <w:rsid w:val="00C66C5D"/>
    <w:rsid w:val="00C66FCC"/>
    <w:rsid w:val="00C674D5"/>
    <w:rsid w:val="00C728BB"/>
    <w:rsid w:val="00C83242"/>
    <w:rsid w:val="00C837D2"/>
    <w:rsid w:val="00C8554B"/>
    <w:rsid w:val="00C90467"/>
    <w:rsid w:val="00C916AA"/>
    <w:rsid w:val="00C928E9"/>
    <w:rsid w:val="00C92F1B"/>
    <w:rsid w:val="00C941C6"/>
    <w:rsid w:val="00C94978"/>
    <w:rsid w:val="00CA0C09"/>
    <w:rsid w:val="00CA30F6"/>
    <w:rsid w:val="00CB0473"/>
    <w:rsid w:val="00CB0D52"/>
    <w:rsid w:val="00CB37C0"/>
    <w:rsid w:val="00CB440A"/>
    <w:rsid w:val="00CB69AA"/>
    <w:rsid w:val="00CB7650"/>
    <w:rsid w:val="00CC0EDC"/>
    <w:rsid w:val="00CC1F35"/>
    <w:rsid w:val="00CC2C9F"/>
    <w:rsid w:val="00CC3282"/>
    <w:rsid w:val="00CC567C"/>
    <w:rsid w:val="00CC7F09"/>
    <w:rsid w:val="00CD5901"/>
    <w:rsid w:val="00CD6CD3"/>
    <w:rsid w:val="00CE2CD4"/>
    <w:rsid w:val="00CE40C0"/>
    <w:rsid w:val="00CE446F"/>
    <w:rsid w:val="00CE7396"/>
    <w:rsid w:val="00CF01DC"/>
    <w:rsid w:val="00CF036C"/>
    <w:rsid w:val="00CF0CA4"/>
    <w:rsid w:val="00CF114D"/>
    <w:rsid w:val="00CF351B"/>
    <w:rsid w:val="00CF56F1"/>
    <w:rsid w:val="00CF6109"/>
    <w:rsid w:val="00CF6A4F"/>
    <w:rsid w:val="00D0100E"/>
    <w:rsid w:val="00D02284"/>
    <w:rsid w:val="00D02B5E"/>
    <w:rsid w:val="00D06D1A"/>
    <w:rsid w:val="00D07996"/>
    <w:rsid w:val="00D07E45"/>
    <w:rsid w:val="00D1046C"/>
    <w:rsid w:val="00D105EE"/>
    <w:rsid w:val="00D11232"/>
    <w:rsid w:val="00D11CD4"/>
    <w:rsid w:val="00D17CDD"/>
    <w:rsid w:val="00D20B68"/>
    <w:rsid w:val="00D2263F"/>
    <w:rsid w:val="00D239D5"/>
    <w:rsid w:val="00D27790"/>
    <w:rsid w:val="00D27D17"/>
    <w:rsid w:val="00D31351"/>
    <w:rsid w:val="00D32351"/>
    <w:rsid w:val="00D33529"/>
    <w:rsid w:val="00D34BF8"/>
    <w:rsid w:val="00D3696F"/>
    <w:rsid w:val="00D40484"/>
    <w:rsid w:val="00D40C10"/>
    <w:rsid w:val="00D42172"/>
    <w:rsid w:val="00D422F1"/>
    <w:rsid w:val="00D531DB"/>
    <w:rsid w:val="00D54861"/>
    <w:rsid w:val="00D54EDE"/>
    <w:rsid w:val="00D5529A"/>
    <w:rsid w:val="00D57FCE"/>
    <w:rsid w:val="00D60154"/>
    <w:rsid w:val="00D615DE"/>
    <w:rsid w:val="00D62192"/>
    <w:rsid w:val="00D6718C"/>
    <w:rsid w:val="00D700E9"/>
    <w:rsid w:val="00D72245"/>
    <w:rsid w:val="00D723F9"/>
    <w:rsid w:val="00D75FC5"/>
    <w:rsid w:val="00D80DA1"/>
    <w:rsid w:val="00D813FC"/>
    <w:rsid w:val="00D8164C"/>
    <w:rsid w:val="00D81D08"/>
    <w:rsid w:val="00D85DFE"/>
    <w:rsid w:val="00D8704C"/>
    <w:rsid w:val="00D91DEC"/>
    <w:rsid w:val="00D92FAD"/>
    <w:rsid w:val="00D93E93"/>
    <w:rsid w:val="00D96A3C"/>
    <w:rsid w:val="00DA0FC5"/>
    <w:rsid w:val="00DA119F"/>
    <w:rsid w:val="00DA14D5"/>
    <w:rsid w:val="00DA43B4"/>
    <w:rsid w:val="00DA7BA0"/>
    <w:rsid w:val="00DA7E64"/>
    <w:rsid w:val="00DB21FB"/>
    <w:rsid w:val="00DB78FC"/>
    <w:rsid w:val="00DC23F0"/>
    <w:rsid w:val="00DC2A38"/>
    <w:rsid w:val="00DC3288"/>
    <w:rsid w:val="00DC3D2E"/>
    <w:rsid w:val="00DD3BC1"/>
    <w:rsid w:val="00DD4822"/>
    <w:rsid w:val="00DD5746"/>
    <w:rsid w:val="00DD664D"/>
    <w:rsid w:val="00DE3473"/>
    <w:rsid w:val="00DE62A7"/>
    <w:rsid w:val="00DE673A"/>
    <w:rsid w:val="00DE74F4"/>
    <w:rsid w:val="00DF292C"/>
    <w:rsid w:val="00DF2CA0"/>
    <w:rsid w:val="00DF4CC6"/>
    <w:rsid w:val="00DF5ECD"/>
    <w:rsid w:val="00DF7AA4"/>
    <w:rsid w:val="00E00CC3"/>
    <w:rsid w:val="00E01354"/>
    <w:rsid w:val="00E01C0E"/>
    <w:rsid w:val="00E044F3"/>
    <w:rsid w:val="00E04850"/>
    <w:rsid w:val="00E06447"/>
    <w:rsid w:val="00E0685B"/>
    <w:rsid w:val="00E102B7"/>
    <w:rsid w:val="00E1049E"/>
    <w:rsid w:val="00E12378"/>
    <w:rsid w:val="00E12825"/>
    <w:rsid w:val="00E1290D"/>
    <w:rsid w:val="00E129D4"/>
    <w:rsid w:val="00E14ADF"/>
    <w:rsid w:val="00E151B7"/>
    <w:rsid w:val="00E1577E"/>
    <w:rsid w:val="00E16900"/>
    <w:rsid w:val="00E1764E"/>
    <w:rsid w:val="00E23FA9"/>
    <w:rsid w:val="00E301E8"/>
    <w:rsid w:val="00E31F0C"/>
    <w:rsid w:val="00E33158"/>
    <w:rsid w:val="00E35380"/>
    <w:rsid w:val="00E37EE3"/>
    <w:rsid w:val="00E40E72"/>
    <w:rsid w:val="00E413AB"/>
    <w:rsid w:val="00E468E6"/>
    <w:rsid w:val="00E51E17"/>
    <w:rsid w:val="00E5746A"/>
    <w:rsid w:val="00E63D46"/>
    <w:rsid w:val="00E70C24"/>
    <w:rsid w:val="00E72616"/>
    <w:rsid w:val="00E733EF"/>
    <w:rsid w:val="00E73D4B"/>
    <w:rsid w:val="00E74742"/>
    <w:rsid w:val="00E76575"/>
    <w:rsid w:val="00E8308C"/>
    <w:rsid w:val="00E83C3C"/>
    <w:rsid w:val="00E85573"/>
    <w:rsid w:val="00E85E8F"/>
    <w:rsid w:val="00E865B6"/>
    <w:rsid w:val="00E86DD0"/>
    <w:rsid w:val="00E87C7F"/>
    <w:rsid w:val="00E90D03"/>
    <w:rsid w:val="00E91FA2"/>
    <w:rsid w:val="00E92221"/>
    <w:rsid w:val="00E93589"/>
    <w:rsid w:val="00E93AC0"/>
    <w:rsid w:val="00EA0875"/>
    <w:rsid w:val="00EA0B12"/>
    <w:rsid w:val="00EA0C88"/>
    <w:rsid w:val="00EA10E6"/>
    <w:rsid w:val="00EA65AA"/>
    <w:rsid w:val="00EA6698"/>
    <w:rsid w:val="00EA6B0F"/>
    <w:rsid w:val="00EB18BE"/>
    <w:rsid w:val="00EB225F"/>
    <w:rsid w:val="00EB245F"/>
    <w:rsid w:val="00EB3203"/>
    <w:rsid w:val="00EB3EBF"/>
    <w:rsid w:val="00EB473F"/>
    <w:rsid w:val="00EB5DBD"/>
    <w:rsid w:val="00EC0339"/>
    <w:rsid w:val="00EC0E02"/>
    <w:rsid w:val="00EC3069"/>
    <w:rsid w:val="00EC465C"/>
    <w:rsid w:val="00EC6CEE"/>
    <w:rsid w:val="00ED1693"/>
    <w:rsid w:val="00ED59EC"/>
    <w:rsid w:val="00EE0A9B"/>
    <w:rsid w:val="00EE10DA"/>
    <w:rsid w:val="00EE3631"/>
    <w:rsid w:val="00EE6BB7"/>
    <w:rsid w:val="00EF43EB"/>
    <w:rsid w:val="00EF45A3"/>
    <w:rsid w:val="00EF6218"/>
    <w:rsid w:val="00F0080A"/>
    <w:rsid w:val="00F02714"/>
    <w:rsid w:val="00F05959"/>
    <w:rsid w:val="00F07AA4"/>
    <w:rsid w:val="00F10C89"/>
    <w:rsid w:val="00F12D4C"/>
    <w:rsid w:val="00F12F5C"/>
    <w:rsid w:val="00F132AB"/>
    <w:rsid w:val="00F1388D"/>
    <w:rsid w:val="00F14EA8"/>
    <w:rsid w:val="00F15F5F"/>
    <w:rsid w:val="00F17294"/>
    <w:rsid w:val="00F20C2A"/>
    <w:rsid w:val="00F22DA3"/>
    <w:rsid w:val="00F2619C"/>
    <w:rsid w:val="00F30279"/>
    <w:rsid w:val="00F3167D"/>
    <w:rsid w:val="00F325BD"/>
    <w:rsid w:val="00F325DC"/>
    <w:rsid w:val="00F330B5"/>
    <w:rsid w:val="00F352D7"/>
    <w:rsid w:val="00F35BDC"/>
    <w:rsid w:val="00F367B1"/>
    <w:rsid w:val="00F40260"/>
    <w:rsid w:val="00F4253C"/>
    <w:rsid w:val="00F46DE8"/>
    <w:rsid w:val="00F46FC0"/>
    <w:rsid w:val="00F47D21"/>
    <w:rsid w:val="00F5190F"/>
    <w:rsid w:val="00F5401D"/>
    <w:rsid w:val="00F55210"/>
    <w:rsid w:val="00F555D2"/>
    <w:rsid w:val="00F55CC4"/>
    <w:rsid w:val="00F56E4F"/>
    <w:rsid w:val="00F57DF4"/>
    <w:rsid w:val="00F60EF2"/>
    <w:rsid w:val="00F61F85"/>
    <w:rsid w:val="00F62E78"/>
    <w:rsid w:val="00F63105"/>
    <w:rsid w:val="00F65E14"/>
    <w:rsid w:val="00F679F4"/>
    <w:rsid w:val="00F717E0"/>
    <w:rsid w:val="00F75A77"/>
    <w:rsid w:val="00F76951"/>
    <w:rsid w:val="00F81C72"/>
    <w:rsid w:val="00F85D87"/>
    <w:rsid w:val="00F86348"/>
    <w:rsid w:val="00F86EE9"/>
    <w:rsid w:val="00F8737E"/>
    <w:rsid w:val="00F93103"/>
    <w:rsid w:val="00F949F4"/>
    <w:rsid w:val="00F95943"/>
    <w:rsid w:val="00F9725A"/>
    <w:rsid w:val="00FA295E"/>
    <w:rsid w:val="00FA2E94"/>
    <w:rsid w:val="00FA3A8C"/>
    <w:rsid w:val="00FA6F4F"/>
    <w:rsid w:val="00FA731E"/>
    <w:rsid w:val="00FA79F1"/>
    <w:rsid w:val="00FB0613"/>
    <w:rsid w:val="00FB4AD3"/>
    <w:rsid w:val="00FB57FB"/>
    <w:rsid w:val="00FB5930"/>
    <w:rsid w:val="00FB6558"/>
    <w:rsid w:val="00FB7657"/>
    <w:rsid w:val="00FB76B4"/>
    <w:rsid w:val="00FC0303"/>
    <w:rsid w:val="00FC1EDA"/>
    <w:rsid w:val="00FC4ADD"/>
    <w:rsid w:val="00FC65C2"/>
    <w:rsid w:val="00FC73A5"/>
    <w:rsid w:val="00FD17DB"/>
    <w:rsid w:val="00FD57C5"/>
    <w:rsid w:val="00FD5C8C"/>
    <w:rsid w:val="00FD614A"/>
    <w:rsid w:val="00FD61F4"/>
    <w:rsid w:val="00FD754D"/>
    <w:rsid w:val="00FD76D8"/>
    <w:rsid w:val="00FE171B"/>
    <w:rsid w:val="00FE3CF1"/>
    <w:rsid w:val="00FE69FF"/>
    <w:rsid w:val="00FE6E64"/>
    <w:rsid w:val="00FF2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03"/>
    <w:pPr>
      <w:spacing w:after="200" w:line="276" w:lineRule="auto"/>
    </w:pPr>
    <w:rPr>
      <w:sz w:val="22"/>
      <w:szCs w:val="22"/>
      <w:lang w:eastAsia="en-US"/>
    </w:rPr>
  </w:style>
  <w:style w:type="paragraph" w:styleId="Heading3">
    <w:name w:val="heading 3"/>
    <w:basedOn w:val="Normal"/>
    <w:link w:val="Heading3Char"/>
    <w:uiPriority w:val="99"/>
    <w:qFormat/>
    <w:rsid w:val="00CC1F35"/>
    <w:pPr>
      <w:spacing w:before="100" w:beforeAutospacing="1" w:after="100" w:afterAutospacing="1" w:line="240" w:lineRule="auto"/>
      <w:outlineLvl w:val="2"/>
    </w:pPr>
    <w:rPr>
      <w:rFonts w:ascii="Times" w:hAnsi="Times"/>
      <w:b/>
      <w:bCs/>
      <w:sz w:val="27"/>
      <w:szCs w:val="27"/>
    </w:rPr>
  </w:style>
  <w:style w:type="paragraph" w:styleId="Heading4">
    <w:name w:val="heading 4"/>
    <w:basedOn w:val="Normal"/>
    <w:link w:val="Heading4Char"/>
    <w:uiPriority w:val="99"/>
    <w:qFormat/>
    <w:rsid w:val="00CC1F35"/>
    <w:pPr>
      <w:spacing w:before="100" w:beforeAutospacing="1" w:after="100" w:afterAutospacing="1" w:line="240" w:lineRule="auto"/>
      <w:outlineLvl w:val="3"/>
    </w:pPr>
    <w:rPr>
      <w:rFonts w:ascii="Times"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CC1F35"/>
    <w:rPr>
      <w:rFonts w:ascii="Times" w:hAnsi="Times" w:cs="Times New Roman"/>
      <w:b/>
      <w:bCs/>
      <w:sz w:val="27"/>
      <w:szCs w:val="27"/>
    </w:rPr>
  </w:style>
  <w:style w:type="character" w:customStyle="1" w:styleId="Heading4Char">
    <w:name w:val="Heading 4 Char"/>
    <w:link w:val="Heading4"/>
    <w:uiPriority w:val="99"/>
    <w:locked/>
    <w:rsid w:val="00CC1F35"/>
    <w:rPr>
      <w:rFonts w:ascii="Times" w:hAnsi="Times" w:cs="Times New Roman"/>
      <w:b/>
      <w:bCs/>
      <w:sz w:val="24"/>
      <w:szCs w:val="24"/>
    </w:rPr>
  </w:style>
  <w:style w:type="paragraph" w:styleId="ListParagraph">
    <w:name w:val="List Paragraph"/>
    <w:basedOn w:val="Normal"/>
    <w:uiPriority w:val="99"/>
    <w:qFormat/>
    <w:rsid w:val="00D93E93"/>
    <w:pPr>
      <w:ind w:left="720"/>
      <w:contextualSpacing/>
    </w:pPr>
  </w:style>
  <w:style w:type="paragraph" w:styleId="NoSpacing">
    <w:name w:val="No Spacing"/>
    <w:uiPriority w:val="99"/>
    <w:qFormat/>
    <w:rsid w:val="005B38B1"/>
    <w:rPr>
      <w:sz w:val="22"/>
      <w:szCs w:val="22"/>
      <w:lang w:eastAsia="en-US"/>
    </w:rPr>
  </w:style>
  <w:style w:type="paragraph" w:customStyle="1" w:styleId="svarticle">
    <w:name w:val="svarticle"/>
    <w:basedOn w:val="Normal"/>
    <w:uiPriority w:val="99"/>
    <w:rsid w:val="005B38B1"/>
    <w:pPr>
      <w:spacing w:before="100" w:beforeAutospacing="1" w:after="100" w:afterAutospacing="1" w:line="240" w:lineRule="auto"/>
    </w:pPr>
    <w:rPr>
      <w:rFonts w:ascii="Times" w:eastAsia="MS Mincho" w:hAnsi="Times"/>
      <w:sz w:val="20"/>
      <w:szCs w:val="20"/>
    </w:rPr>
  </w:style>
  <w:style w:type="paragraph" w:styleId="BalloonText">
    <w:name w:val="Balloon Text"/>
    <w:basedOn w:val="Normal"/>
    <w:link w:val="BalloonTextChar"/>
    <w:uiPriority w:val="99"/>
    <w:semiHidden/>
    <w:rsid w:val="00336A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36A2C"/>
    <w:rPr>
      <w:rFonts w:ascii="Tahoma" w:hAnsi="Tahoma" w:cs="Tahoma"/>
      <w:sz w:val="16"/>
      <w:szCs w:val="16"/>
    </w:rPr>
  </w:style>
  <w:style w:type="paragraph" w:styleId="Header">
    <w:name w:val="header"/>
    <w:basedOn w:val="Normal"/>
    <w:link w:val="HeaderChar"/>
    <w:uiPriority w:val="99"/>
    <w:rsid w:val="00B01723"/>
    <w:pPr>
      <w:tabs>
        <w:tab w:val="center" w:pos="4680"/>
        <w:tab w:val="right" w:pos="9360"/>
      </w:tabs>
      <w:spacing w:after="0" w:line="240" w:lineRule="auto"/>
    </w:pPr>
  </w:style>
  <w:style w:type="character" w:customStyle="1" w:styleId="HeaderChar">
    <w:name w:val="Header Char"/>
    <w:link w:val="Header"/>
    <w:uiPriority w:val="99"/>
    <w:locked/>
    <w:rsid w:val="00B01723"/>
    <w:rPr>
      <w:rFonts w:cs="Times New Roman"/>
    </w:rPr>
  </w:style>
  <w:style w:type="paragraph" w:styleId="Footer">
    <w:name w:val="footer"/>
    <w:basedOn w:val="Normal"/>
    <w:link w:val="FooterChar"/>
    <w:uiPriority w:val="99"/>
    <w:rsid w:val="00B01723"/>
    <w:pPr>
      <w:tabs>
        <w:tab w:val="center" w:pos="4680"/>
        <w:tab w:val="right" w:pos="9360"/>
      </w:tabs>
      <w:spacing w:after="0" w:line="240" w:lineRule="auto"/>
    </w:pPr>
  </w:style>
  <w:style w:type="character" w:customStyle="1" w:styleId="FooterChar">
    <w:name w:val="Footer Char"/>
    <w:link w:val="Footer"/>
    <w:uiPriority w:val="99"/>
    <w:locked/>
    <w:rsid w:val="00B01723"/>
    <w:rPr>
      <w:rFonts w:cs="Times New Roman"/>
    </w:rPr>
  </w:style>
  <w:style w:type="character" w:customStyle="1" w:styleId="cit-article-title">
    <w:name w:val="cit-article-title"/>
    <w:uiPriority w:val="99"/>
    <w:rsid w:val="00B01723"/>
    <w:rPr>
      <w:rFonts w:cs="Times New Roman"/>
    </w:rPr>
  </w:style>
  <w:style w:type="character" w:customStyle="1" w:styleId="cit-pub-date">
    <w:name w:val="cit-pub-date"/>
    <w:uiPriority w:val="99"/>
    <w:rsid w:val="00B01723"/>
    <w:rPr>
      <w:rFonts w:cs="Times New Roman"/>
    </w:rPr>
  </w:style>
  <w:style w:type="character" w:customStyle="1" w:styleId="cit-vol">
    <w:name w:val="cit-vol"/>
    <w:uiPriority w:val="99"/>
    <w:rsid w:val="00B01723"/>
    <w:rPr>
      <w:rFonts w:cs="Times New Roman"/>
    </w:rPr>
  </w:style>
  <w:style w:type="character" w:customStyle="1" w:styleId="cit-fpage">
    <w:name w:val="cit-fpage"/>
    <w:uiPriority w:val="99"/>
    <w:rsid w:val="00B01723"/>
    <w:rPr>
      <w:rFonts w:cs="Times New Roman"/>
    </w:rPr>
  </w:style>
  <w:style w:type="character" w:customStyle="1" w:styleId="cit-lpage">
    <w:name w:val="cit-lpage"/>
    <w:uiPriority w:val="99"/>
    <w:rsid w:val="00B01723"/>
    <w:rPr>
      <w:rFonts w:cs="Times New Roman"/>
    </w:rPr>
  </w:style>
  <w:style w:type="paragraph" w:styleId="NormalWeb">
    <w:name w:val="Normal (Web)"/>
    <w:basedOn w:val="Normal"/>
    <w:uiPriority w:val="99"/>
    <w:rsid w:val="0004292B"/>
    <w:pPr>
      <w:spacing w:before="100" w:beforeAutospacing="1" w:after="100" w:afterAutospacing="1" w:line="240" w:lineRule="auto"/>
    </w:pPr>
    <w:rPr>
      <w:rFonts w:ascii="Times New Roman" w:eastAsia="MS Mincho" w:hAnsi="Times New Roman"/>
      <w:sz w:val="24"/>
      <w:szCs w:val="24"/>
    </w:rPr>
  </w:style>
  <w:style w:type="character" w:customStyle="1" w:styleId="st">
    <w:name w:val="st"/>
    <w:uiPriority w:val="99"/>
    <w:rsid w:val="008A0E9A"/>
    <w:rPr>
      <w:rFonts w:cs="Times New Roman"/>
    </w:rPr>
  </w:style>
  <w:style w:type="character" w:styleId="Emphasis">
    <w:name w:val="Emphasis"/>
    <w:uiPriority w:val="99"/>
    <w:qFormat/>
    <w:rsid w:val="008A0E9A"/>
    <w:rPr>
      <w:rFonts w:cs="Times New Roman"/>
      <w:i/>
      <w:iCs/>
    </w:rPr>
  </w:style>
  <w:style w:type="character" w:styleId="Hyperlink">
    <w:name w:val="Hyperlink"/>
    <w:uiPriority w:val="99"/>
    <w:rsid w:val="007266EE"/>
    <w:rPr>
      <w:rFonts w:cs="Times New Roman"/>
      <w:color w:val="0000FF"/>
      <w:u w:val="single"/>
    </w:rPr>
  </w:style>
  <w:style w:type="character" w:styleId="HTMLCite">
    <w:name w:val="HTML Cite"/>
    <w:uiPriority w:val="99"/>
    <w:semiHidden/>
    <w:rsid w:val="00223513"/>
    <w:rPr>
      <w:rFonts w:cs="Times New Roman"/>
      <w:i/>
      <w:iCs/>
    </w:rPr>
  </w:style>
  <w:style w:type="character" w:customStyle="1" w:styleId="cit-source">
    <w:name w:val="cit-source"/>
    <w:uiPriority w:val="99"/>
    <w:rsid w:val="00223513"/>
    <w:rPr>
      <w:rFonts w:cs="Times New Roman"/>
    </w:rPr>
  </w:style>
  <w:style w:type="character" w:styleId="FollowedHyperlink">
    <w:name w:val="FollowedHyperlink"/>
    <w:uiPriority w:val="99"/>
    <w:semiHidden/>
    <w:rsid w:val="00F12F5C"/>
    <w:rPr>
      <w:rFonts w:cs="Times New Roman"/>
      <w:color w:val="800080"/>
      <w:u w:val="single"/>
    </w:rPr>
  </w:style>
  <w:style w:type="character" w:customStyle="1" w:styleId="reference-txt">
    <w:name w:val="reference-txt"/>
    <w:uiPriority w:val="99"/>
    <w:rsid w:val="00F12F5C"/>
    <w:rPr>
      <w:rFonts w:cs="Times New Roman"/>
    </w:rPr>
  </w:style>
  <w:style w:type="character" w:customStyle="1" w:styleId="contribution-title">
    <w:name w:val="contribution-title"/>
    <w:uiPriority w:val="99"/>
    <w:rsid w:val="00F12F5C"/>
    <w:rPr>
      <w:rFonts w:cs="Times New Roman"/>
    </w:rPr>
  </w:style>
  <w:style w:type="character" w:customStyle="1" w:styleId="reference-title">
    <w:name w:val="reference-title"/>
    <w:uiPriority w:val="99"/>
    <w:rsid w:val="00F12F5C"/>
    <w:rPr>
      <w:rFonts w:cs="Times New Roman"/>
    </w:rPr>
  </w:style>
  <w:style w:type="character" w:customStyle="1" w:styleId="label">
    <w:name w:val="label"/>
    <w:uiPriority w:val="99"/>
    <w:rsid w:val="00F12F5C"/>
    <w:rPr>
      <w:rFonts w:cs="Times New Roman"/>
    </w:rPr>
  </w:style>
  <w:style w:type="paragraph" w:styleId="z-TopofForm">
    <w:name w:val="HTML Top of Form"/>
    <w:basedOn w:val="Normal"/>
    <w:next w:val="Normal"/>
    <w:link w:val="z-TopofFormChar"/>
    <w:hidden/>
    <w:uiPriority w:val="99"/>
    <w:semiHidden/>
    <w:rsid w:val="0072362C"/>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link w:val="z-TopofForm"/>
    <w:uiPriority w:val="99"/>
    <w:semiHidden/>
    <w:locked/>
    <w:rsid w:val="0072362C"/>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72362C"/>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link w:val="z-BottomofForm"/>
    <w:uiPriority w:val="99"/>
    <w:semiHidden/>
    <w:locked/>
    <w:rsid w:val="0072362C"/>
    <w:rPr>
      <w:rFonts w:ascii="Arial" w:hAnsi="Arial" w:cs="Arial"/>
      <w:vanish/>
      <w:sz w:val="16"/>
      <w:szCs w:val="16"/>
    </w:rPr>
  </w:style>
  <w:style w:type="character" w:customStyle="1" w:styleId="figure">
    <w:name w:val="figure"/>
    <w:uiPriority w:val="99"/>
    <w:rsid w:val="0072362C"/>
    <w:rPr>
      <w:rFonts w:cs="Times New Roman"/>
    </w:rPr>
  </w:style>
  <w:style w:type="character" w:styleId="PageNumber">
    <w:name w:val="page number"/>
    <w:uiPriority w:val="99"/>
    <w:semiHidden/>
    <w:rsid w:val="00B01E19"/>
    <w:rPr>
      <w:rFonts w:cs="Times New Roman"/>
    </w:rPr>
  </w:style>
  <w:style w:type="character" w:customStyle="1" w:styleId="nlmgiven-names">
    <w:name w:val="nlm_given-names"/>
    <w:uiPriority w:val="99"/>
    <w:rsid w:val="009F636D"/>
    <w:rPr>
      <w:rFonts w:cs="Times New Roman"/>
    </w:rPr>
  </w:style>
  <w:style w:type="character" w:customStyle="1" w:styleId="nlmarticle-title">
    <w:name w:val="nlm_article-title"/>
    <w:uiPriority w:val="99"/>
    <w:rsid w:val="009F636D"/>
    <w:rPr>
      <w:rFonts w:cs="Times New Roman"/>
    </w:rPr>
  </w:style>
  <w:style w:type="character" w:customStyle="1" w:styleId="nlmyear">
    <w:name w:val="nlm_year"/>
    <w:uiPriority w:val="99"/>
    <w:rsid w:val="009F636D"/>
    <w:rPr>
      <w:rFonts w:cs="Times New Roman"/>
    </w:rPr>
  </w:style>
  <w:style w:type="character" w:customStyle="1" w:styleId="nlmfpage">
    <w:name w:val="nlm_fpage"/>
    <w:uiPriority w:val="99"/>
    <w:rsid w:val="009F636D"/>
    <w:rPr>
      <w:rFonts w:cs="Times New Roman"/>
    </w:rPr>
  </w:style>
  <w:style w:type="character" w:customStyle="1" w:styleId="nlmlpage">
    <w:name w:val="nlm_lpage"/>
    <w:uiPriority w:val="99"/>
    <w:rsid w:val="009F636D"/>
    <w:rPr>
      <w:rFonts w:cs="Times New Roman"/>
    </w:rPr>
  </w:style>
  <w:style w:type="character" w:customStyle="1" w:styleId="mixed-citation">
    <w:name w:val="mixed-citation"/>
    <w:uiPriority w:val="99"/>
    <w:rsid w:val="00A60778"/>
    <w:rPr>
      <w:rFonts w:cs="Times New Roman"/>
    </w:rPr>
  </w:style>
  <w:style w:type="character" w:customStyle="1" w:styleId="ref-journal">
    <w:name w:val="ref-journal"/>
    <w:uiPriority w:val="99"/>
    <w:rsid w:val="00A60778"/>
    <w:rPr>
      <w:rFonts w:cs="Times New Roman"/>
    </w:rPr>
  </w:style>
  <w:style w:type="character" w:customStyle="1" w:styleId="ref-vol">
    <w:name w:val="ref-vol"/>
    <w:uiPriority w:val="99"/>
    <w:rsid w:val="00A60778"/>
    <w:rPr>
      <w:rFonts w:cs="Times New Roman"/>
    </w:rPr>
  </w:style>
  <w:style w:type="table" w:styleId="TableGrid">
    <w:name w:val="Table Grid"/>
    <w:basedOn w:val="TableNormal"/>
    <w:uiPriority w:val="99"/>
    <w:rsid w:val="00ED16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1">
    <w:name w:val="date1"/>
    <w:uiPriority w:val="99"/>
    <w:rsid w:val="00E12825"/>
    <w:rPr>
      <w:rFonts w:cs="Times New Roman"/>
    </w:rPr>
  </w:style>
  <w:style w:type="character" w:customStyle="1" w:styleId="hvr">
    <w:name w:val="hvr"/>
    <w:uiPriority w:val="99"/>
    <w:rsid w:val="00310924"/>
    <w:rPr>
      <w:rFonts w:cs="Times New Roman"/>
    </w:rPr>
  </w:style>
  <w:style w:type="character" w:customStyle="1" w:styleId="ircsu">
    <w:name w:val="irc_su"/>
    <w:uiPriority w:val="99"/>
    <w:rsid w:val="00530DA5"/>
    <w:rPr>
      <w:rFonts w:cs="Times New Roman"/>
    </w:rPr>
  </w:style>
  <w:style w:type="character" w:customStyle="1" w:styleId="hit2">
    <w:name w:val="hit_2"/>
    <w:uiPriority w:val="99"/>
    <w:rsid w:val="0022643F"/>
    <w:rPr>
      <w:rFonts w:cs="Times New Roman"/>
    </w:rPr>
  </w:style>
  <w:style w:type="character" w:customStyle="1" w:styleId="current-selection">
    <w:name w:val="current-selection"/>
    <w:uiPriority w:val="99"/>
    <w:rsid w:val="00046741"/>
    <w:rPr>
      <w:rFonts w:cs="Times New Roman"/>
    </w:rPr>
  </w:style>
  <w:style w:type="character" w:customStyle="1" w:styleId="enhanced-reference">
    <w:name w:val="enhanced-reference"/>
    <w:uiPriority w:val="99"/>
    <w:rsid w:val="00046741"/>
    <w:rPr>
      <w:rFonts w:cs="Times New Roman"/>
    </w:rPr>
  </w:style>
  <w:style w:type="character" w:customStyle="1" w:styleId="ff2">
    <w:name w:val="ff2"/>
    <w:uiPriority w:val="99"/>
    <w:rsid w:val="00F30279"/>
    <w:rPr>
      <w:rFonts w:cs="Times New Roman"/>
    </w:rPr>
  </w:style>
  <w:style w:type="paragraph" w:customStyle="1" w:styleId="p0">
    <w:name w:val="p0"/>
    <w:basedOn w:val="Normal"/>
    <w:uiPriority w:val="99"/>
    <w:rsid w:val="004F5D25"/>
    <w:pPr>
      <w:spacing w:after="0" w:line="240" w:lineRule="atLeast"/>
    </w:pPr>
    <w:rPr>
      <w:rFonts w:ascii="Century" w:hAnsi="Century" w:cs="宋体"/>
      <w:sz w:val="21"/>
      <w:szCs w:val="21"/>
      <w:lang w:eastAsia="zh-CN"/>
    </w:rPr>
  </w:style>
  <w:style w:type="character" w:styleId="CommentReference">
    <w:name w:val="annotation reference"/>
    <w:uiPriority w:val="99"/>
    <w:semiHidden/>
    <w:rsid w:val="00226A63"/>
    <w:rPr>
      <w:rFonts w:cs="Times New Roman"/>
      <w:sz w:val="21"/>
      <w:szCs w:val="21"/>
    </w:rPr>
  </w:style>
  <w:style w:type="paragraph" w:styleId="CommentText">
    <w:name w:val="annotation text"/>
    <w:basedOn w:val="Normal"/>
    <w:link w:val="CommentTextChar"/>
    <w:uiPriority w:val="99"/>
    <w:semiHidden/>
    <w:rsid w:val="00226A63"/>
  </w:style>
  <w:style w:type="character" w:customStyle="1" w:styleId="CommentTextChar">
    <w:name w:val="Comment Text Char"/>
    <w:link w:val="CommentText"/>
    <w:uiPriority w:val="99"/>
    <w:semiHidden/>
    <w:locked/>
    <w:rsid w:val="00316FA2"/>
    <w:rPr>
      <w:rFonts w:cs="Times New Roman"/>
      <w:kern w:val="0"/>
      <w:sz w:val="22"/>
      <w:lang w:eastAsia="en-US"/>
    </w:rPr>
  </w:style>
  <w:style w:type="paragraph" w:styleId="CommentSubject">
    <w:name w:val="annotation subject"/>
    <w:basedOn w:val="CommentText"/>
    <w:next w:val="CommentText"/>
    <w:link w:val="CommentSubjectChar"/>
    <w:uiPriority w:val="99"/>
    <w:semiHidden/>
    <w:rsid w:val="00226A63"/>
    <w:rPr>
      <w:b/>
      <w:bCs/>
    </w:rPr>
  </w:style>
  <w:style w:type="character" w:customStyle="1" w:styleId="CommentSubjectChar">
    <w:name w:val="Comment Subject Char"/>
    <w:link w:val="CommentSubject"/>
    <w:uiPriority w:val="99"/>
    <w:semiHidden/>
    <w:locked/>
    <w:rsid w:val="00316FA2"/>
    <w:rPr>
      <w:rFonts w:cs="Times New Roman"/>
      <w:b/>
      <w:bCs/>
      <w:kern w:val="0"/>
      <w:sz w:val="22"/>
      <w:lang w:eastAsia="en-US"/>
    </w:rPr>
  </w:style>
  <w:style w:type="paragraph" w:customStyle="1" w:styleId="Default">
    <w:name w:val="Default"/>
    <w:uiPriority w:val="99"/>
    <w:rsid w:val="005E1971"/>
    <w:pPr>
      <w:widowControl w:val="0"/>
      <w:autoSpaceDE w:val="0"/>
      <w:autoSpaceDN w:val="0"/>
      <w:adjustRightInd w:val="0"/>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03"/>
    <w:pPr>
      <w:spacing w:after="200" w:line="276" w:lineRule="auto"/>
    </w:pPr>
    <w:rPr>
      <w:sz w:val="22"/>
      <w:szCs w:val="22"/>
      <w:lang w:eastAsia="en-US"/>
    </w:rPr>
  </w:style>
  <w:style w:type="paragraph" w:styleId="Heading3">
    <w:name w:val="heading 3"/>
    <w:basedOn w:val="Normal"/>
    <w:link w:val="Heading3Char"/>
    <w:uiPriority w:val="99"/>
    <w:qFormat/>
    <w:rsid w:val="00CC1F35"/>
    <w:pPr>
      <w:spacing w:before="100" w:beforeAutospacing="1" w:after="100" w:afterAutospacing="1" w:line="240" w:lineRule="auto"/>
      <w:outlineLvl w:val="2"/>
    </w:pPr>
    <w:rPr>
      <w:rFonts w:ascii="Times" w:hAnsi="Times"/>
      <w:b/>
      <w:bCs/>
      <w:sz w:val="27"/>
      <w:szCs w:val="27"/>
    </w:rPr>
  </w:style>
  <w:style w:type="paragraph" w:styleId="Heading4">
    <w:name w:val="heading 4"/>
    <w:basedOn w:val="Normal"/>
    <w:link w:val="Heading4Char"/>
    <w:uiPriority w:val="99"/>
    <w:qFormat/>
    <w:rsid w:val="00CC1F35"/>
    <w:pPr>
      <w:spacing w:before="100" w:beforeAutospacing="1" w:after="100" w:afterAutospacing="1" w:line="240" w:lineRule="auto"/>
      <w:outlineLvl w:val="3"/>
    </w:pPr>
    <w:rPr>
      <w:rFonts w:ascii="Times"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CC1F35"/>
    <w:rPr>
      <w:rFonts w:ascii="Times" w:hAnsi="Times" w:cs="Times New Roman"/>
      <w:b/>
      <w:bCs/>
      <w:sz w:val="27"/>
      <w:szCs w:val="27"/>
    </w:rPr>
  </w:style>
  <w:style w:type="character" w:customStyle="1" w:styleId="Heading4Char">
    <w:name w:val="Heading 4 Char"/>
    <w:link w:val="Heading4"/>
    <w:uiPriority w:val="99"/>
    <w:locked/>
    <w:rsid w:val="00CC1F35"/>
    <w:rPr>
      <w:rFonts w:ascii="Times" w:hAnsi="Times" w:cs="Times New Roman"/>
      <w:b/>
      <w:bCs/>
      <w:sz w:val="24"/>
      <w:szCs w:val="24"/>
    </w:rPr>
  </w:style>
  <w:style w:type="paragraph" w:styleId="ListParagraph">
    <w:name w:val="List Paragraph"/>
    <w:basedOn w:val="Normal"/>
    <w:uiPriority w:val="99"/>
    <w:qFormat/>
    <w:rsid w:val="00D93E93"/>
    <w:pPr>
      <w:ind w:left="720"/>
      <w:contextualSpacing/>
    </w:pPr>
  </w:style>
  <w:style w:type="paragraph" w:styleId="NoSpacing">
    <w:name w:val="No Spacing"/>
    <w:uiPriority w:val="99"/>
    <w:qFormat/>
    <w:rsid w:val="005B38B1"/>
    <w:rPr>
      <w:sz w:val="22"/>
      <w:szCs w:val="22"/>
      <w:lang w:eastAsia="en-US"/>
    </w:rPr>
  </w:style>
  <w:style w:type="paragraph" w:customStyle="1" w:styleId="svarticle">
    <w:name w:val="svarticle"/>
    <w:basedOn w:val="Normal"/>
    <w:uiPriority w:val="99"/>
    <w:rsid w:val="005B38B1"/>
    <w:pPr>
      <w:spacing w:before="100" w:beforeAutospacing="1" w:after="100" w:afterAutospacing="1" w:line="240" w:lineRule="auto"/>
    </w:pPr>
    <w:rPr>
      <w:rFonts w:ascii="Times" w:eastAsia="MS Mincho" w:hAnsi="Times"/>
      <w:sz w:val="20"/>
      <w:szCs w:val="20"/>
    </w:rPr>
  </w:style>
  <w:style w:type="paragraph" w:styleId="BalloonText">
    <w:name w:val="Balloon Text"/>
    <w:basedOn w:val="Normal"/>
    <w:link w:val="BalloonTextChar"/>
    <w:uiPriority w:val="99"/>
    <w:semiHidden/>
    <w:rsid w:val="00336A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36A2C"/>
    <w:rPr>
      <w:rFonts w:ascii="Tahoma" w:hAnsi="Tahoma" w:cs="Tahoma"/>
      <w:sz w:val="16"/>
      <w:szCs w:val="16"/>
    </w:rPr>
  </w:style>
  <w:style w:type="paragraph" w:styleId="Header">
    <w:name w:val="header"/>
    <w:basedOn w:val="Normal"/>
    <w:link w:val="HeaderChar"/>
    <w:uiPriority w:val="99"/>
    <w:rsid w:val="00B01723"/>
    <w:pPr>
      <w:tabs>
        <w:tab w:val="center" w:pos="4680"/>
        <w:tab w:val="right" w:pos="9360"/>
      </w:tabs>
      <w:spacing w:after="0" w:line="240" w:lineRule="auto"/>
    </w:pPr>
  </w:style>
  <w:style w:type="character" w:customStyle="1" w:styleId="HeaderChar">
    <w:name w:val="Header Char"/>
    <w:link w:val="Header"/>
    <w:uiPriority w:val="99"/>
    <w:locked/>
    <w:rsid w:val="00B01723"/>
    <w:rPr>
      <w:rFonts w:cs="Times New Roman"/>
    </w:rPr>
  </w:style>
  <w:style w:type="paragraph" w:styleId="Footer">
    <w:name w:val="footer"/>
    <w:basedOn w:val="Normal"/>
    <w:link w:val="FooterChar"/>
    <w:uiPriority w:val="99"/>
    <w:rsid w:val="00B01723"/>
    <w:pPr>
      <w:tabs>
        <w:tab w:val="center" w:pos="4680"/>
        <w:tab w:val="right" w:pos="9360"/>
      </w:tabs>
      <w:spacing w:after="0" w:line="240" w:lineRule="auto"/>
    </w:pPr>
  </w:style>
  <w:style w:type="character" w:customStyle="1" w:styleId="FooterChar">
    <w:name w:val="Footer Char"/>
    <w:link w:val="Footer"/>
    <w:uiPriority w:val="99"/>
    <w:locked/>
    <w:rsid w:val="00B01723"/>
    <w:rPr>
      <w:rFonts w:cs="Times New Roman"/>
    </w:rPr>
  </w:style>
  <w:style w:type="character" w:customStyle="1" w:styleId="cit-article-title">
    <w:name w:val="cit-article-title"/>
    <w:uiPriority w:val="99"/>
    <w:rsid w:val="00B01723"/>
    <w:rPr>
      <w:rFonts w:cs="Times New Roman"/>
    </w:rPr>
  </w:style>
  <w:style w:type="character" w:customStyle="1" w:styleId="cit-pub-date">
    <w:name w:val="cit-pub-date"/>
    <w:uiPriority w:val="99"/>
    <w:rsid w:val="00B01723"/>
    <w:rPr>
      <w:rFonts w:cs="Times New Roman"/>
    </w:rPr>
  </w:style>
  <w:style w:type="character" w:customStyle="1" w:styleId="cit-vol">
    <w:name w:val="cit-vol"/>
    <w:uiPriority w:val="99"/>
    <w:rsid w:val="00B01723"/>
    <w:rPr>
      <w:rFonts w:cs="Times New Roman"/>
    </w:rPr>
  </w:style>
  <w:style w:type="character" w:customStyle="1" w:styleId="cit-fpage">
    <w:name w:val="cit-fpage"/>
    <w:uiPriority w:val="99"/>
    <w:rsid w:val="00B01723"/>
    <w:rPr>
      <w:rFonts w:cs="Times New Roman"/>
    </w:rPr>
  </w:style>
  <w:style w:type="character" w:customStyle="1" w:styleId="cit-lpage">
    <w:name w:val="cit-lpage"/>
    <w:uiPriority w:val="99"/>
    <w:rsid w:val="00B01723"/>
    <w:rPr>
      <w:rFonts w:cs="Times New Roman"/>
    </w:rPr>
  </w:style>
  <w:style w:type="paragraph" w:styleId="NormalWeb">
    <w:name w:val="Normal (Web)"/>
    <w:basedOn w:val="Normal"/>
    <w:uiPriority w:val="99"/>
    <w:rsid w:val="0004292B"/>
    <w:pPr>
      <w:spacing w:before="100" w:beforeAutospacing="1" w:after="100" w:afterAutospacing="1" w:line="240" w:lineRule="auto"/>
    </w:pPr>
    <w:rPr>
      <w:rFonts w:ascii="Times New Roman" w:eastAsia="MS Mincho" w:hAnsi="Times New Roman"/>
      <w:sz w:val="24"/>
      <w:szCs w:val="24"/>
    </w:rPr>
  </w:style>
  <w:style w:type="character" w:customStyle="1" w:styleId="st">
    <w:name w:val="st"/>
    <w:uiPriority w:val="99"/>
    <w:rsid w:val="008A0E9A"/>
    <w:rPr>
      <w:rFonts w:cs="Times New Roman"/>
    </w:rPr>
  </w:style>
  <w:style w:type="character" w:styleId="Emphasis">
    <w:name w:val="Emphasis"/>
    <w:uiPriority w:val="99"/>
    <w:qFormat/>
    <w:rsid w:val="008A0E9A"/>
    <w:rPr>
      <w:rFonts w:cs="Times New Roman"/>
      <w:i/>
      <w:iCs/>
    </w:rPr>
  </w:style>
  <w:style w:type="character" w:styleId="Hyperlink">
    <w:name w:val="Hyperlink"/>
    <w:uiPriority w:val="99"/>
    <w:rsid w:val="007266EE"/>
    <w:rPr>
      <w:rFonts w:cs="Times New Roman"/>
      <w:color w:val="0000FF"/>
      <w:u w:val="single"/>
    </w:rPr>
  </w:style>
  <w:style w:type="character" w:styleId="HTMLCite">
    <w:name w:val="HTML Cite"/>
    <w:uiPriority w:val="99"/>
    <w:semiHidden/>
    <w:rsid w:val="00223513"/>
    <w:rPr>
      <w:rFonts w:cs="Times New Roman"/>
      <w:i/>
      <w:iCs/>
    </w:rPr>
  </w:style>
  <w:style w:type="character" w:customStyle="1" w:styleId="cit-source">
    <w:name w:val="cit-source"/>
    <w:uiPriority w:val="99"/>
    <w:rsid w:val="00223513"/>
    <w:rPr>
      <w:rFonts w:cs="Times New Roman"/>
    </w:rPr>
  </w:style>
  <w:style w:type="character" w:styleId="FollowedHyperlink">
    <w:name w:val="FollowedHyperlink"/>
    <w:uiPriority w:val="99"/>
    <w:semiHidden/>
    <w:rsid w:val="00F12F5C"/>
    <w:rPr>
      <w:rFonts w:cs="Times New Roman"/>
      <w:color w:val="800080"/>
      <w:u w:val="single"/>
    </w:rPr>
  </w:style>
  <w:style w:type="character" w:customStyle="1" w:styleId="reference-txt">
    <w:name w:val="reference-txt"/>
    <w:uiPriority w:val="99"/>
    <w:rsid w:val="00F12F5C"/>
    <w:rPr>
      <w:rFonts w:cs="Times New Roman"/>
    </w:rPr>
  </w:style>
  <w:style w:type="character" w:customStyle="1" w:styleId="contribution-title">
    <w:name w:val="contribution-title"/>
    <w:uiPriority w:val="99"/>
    <w:rsid w:val="00F12F5C"/>
    <w:rPr>
      <w:rFonts w:cs="Times New Roman"/>
    </w:rPr>
  </w:style>
  <w:style w:type="character" w:customStyle="1" w:styleId="reference-title">
    <w:name w:val="reference-title"/>
    <w:uiPriority w:val="99"/>
    <w:rsid w:val="00F12F5C"/>
    <w:rPr>
      <w:rFonts w:cs="Times New Roman"/>
    </w:rPr>
  </w:style>
  <w:style w:type="character" w:customStyle="1" w:styleId="label">
    <w:name w:val="label"/>
    <w:uiPriority w:val="99"/>
    <w:rsid w:val="00F12F5C"/>
    <w:rPr>
      <w:rFonts w:cs="Times New Roman"/>
    </w:rPr>
  </w:style>
  <w:style w:type="paragraph" w:styleId="z-TopofForm">
    <w:name w:val="HTML Top of Form"/>
    <w:basedOn w:val="Normal"/>
    <w:next w:val="Normal"/>
    <w:link w:val="z-TopofFormChar"/>
    <w:hidden/>
    <w:uiPriority w:val="99"/>
    <w:semiHidden/>
    <w:rsid w:val="0072362C"/>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link w:val="z-TopofForm"/>
    <w:uiPriority w:val="99"/>
    <w:semiHidden/>
    <w:locked/>
    <w:rsid w:val="0072362C"/>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72362C"/>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link w:val="z-BottomofForm"/>
    <w:uiPriority w:val="99"/>
    <w:semiHidden/>
    <w:locked/>
    <w:rsid w:val="0072362C"/>
    <w:rPr>
      <w:rFonts w:ascii="Arial" w:hAnsi="Arial" w:cs="Arial"/>
      <w:vanish/>
      <w:sz w:val="16"/>
      <w:szCs w:val="16"/>
    </w:rPr>
  </w:style>
  <w:style w:type="character" w:customStyle="1" w:styleId="figure">
    <w:name w:val="figure"/>
    <w:uiPriority w:val="99"/>
    <w:rsid w:val="0072362C"/>
    <w:rPr>
      <w:rFonts w:cs="Times New Roman"/>
    </w:rPr>
  </w:style>
  <w:style w:type="character" w:styleId="PageNumber">
    <w:name w:val="page number"/>
    <w:uiPriority w:val="99"/>
    <w:semiHidden/>
    <w:rsid w:val="00B01E19"/>
    <w:rPr>
      <w:rFonts w:cs="Times New Roman"/>
    </w:rPr>
  </w:style>
  <w:style w:type="character" w:customStyle="1" w:styleId="nlmgiven-names">
    <w:name w:val="nlm_given-names"/>
    <w:uiPriority w:val="99"/>
    <w:rsid w:val="009F636D"/>
    <w:rPr>
      <w:rFonts w:cs="Times New Roman"/>
    </w:rPr>
  </w:style>
  <w:style w:type="character" w:customStyle="1" w:styleId="nlmarticle-title">
    <w:name w:val="nlm_article-title"/>
    <w:uiPriority w:val="99"/>
    <w:rsid w:val="009F636D"/>
    <w:rPr>
      <w:rFonts w:cs="Times New Roman"/>
    </w:rPr>
  </w:style>
  <w:style w:type="character" w:customStyle="1" w:styleId="nlmyear">
    <w:name w:val="nlm_year"/>
    <w:uiPriority w:val="99"/>
    <w:rsid w:val="009F636D"/>
    <w:rPr>
      <w:rFonts w:cs="Times New Roman"/>
    </w:rPr>
  </w:style>
  <w:style w:type="character" w:customStyle="1" w:styleId="nlmfpage">
    <w:name w:val="nlm_fpage"/>
    <w:uiPriority w:val="99"/>
    <w:rsid w:val="009F636D"/>
    <w:rPr>
      <w:rFonts w:cs="Times New Roman"/>
    </w:rPr>
  </w:style>
  <w:style w:type="character" w:customStyle="1" w:styleId="nlmlpage">
    <w:name w:val="nlm_lpage"/>
    <w:uiPriority w:val="99"/>
    <w:rsid w:val="009F636D"/>
    <w:rPr>
      <w:rFonts w:cs="Times New Roman"/>
    </w:rPr>
  </w:style>
  <w:style w:type="character" w:customStyle="1" w:styleId="mixed-citation">
    <w:name w:val="mixed-citation"/>
    <w:uiPriority w:val="99"/>
    <w:rsid w:val="00A60778"/>
    <w:rPr>
      <w:rFonts w:cs="Times New Roman"/>
    </w:rPr>
  </w:style>
  <w:style w:type="character" w:customStyle="1" w:styleId="ref-journal">
    <w:name w:val="ref-journal"/>
    <w:uiPriority w:val="99"/>
    <w:rsid w:val="00A60778"/>
    <w:rPr>
      <w:rFonts w:cs="Times New Roman"/>
    </w:rPr>
  </w:style>
  <w:style w:type="character" w:customStyle="1" w:styleId="ref-vol">
    <w:name w:val="ref-vol"/>
    <w:uiPriority w:val="99"/>
    <w:rsid w:val="00A60778"/>
    <w:rPr>
      <w:rFonts w:cs="Times New Roman"/>
    </w:rPr>
  </w:style>
  <w:style w:type="table" w:styleId="TableGrid">
    <w:name w:val="Table Grid"/>
    <w:basedOn w:val="TableNormal"/>
    <w:uiPriority w:val="99"/>
    <w:rsid w:val="00ED16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1">
    <w:name w:val="date1"/>
    <w:uiPriority w:val="99"/>
    <w:rsid w:val="00E12825"/>
    <w:rPr>
      <w:rFonts w:cs="Times New Roman"/>
    </w:rPr>
  </w:style>
  <w:style w:type="character" w:customStyle="1" w:styleId="hvr">
    <w:name w:val="hvr"/>
    <w:uiPriority w:val="99"/>
    <w:rsid w:val="00310924"/>
    <w:rPr>
      <w:rFonts w:cs="Times New Roman"/>
    </w:rPr>
  </w:style>
  <w:style w:type="character" w:customStyle="1" w:styleId="ircsu">
    <w:name w:val="irc_su"/>
    <w:uiPriority w:val="99"/>
    <w:rsid w:val="00530DA5"/>
    <w:rPr>
      <w:rFonts w:cs="Times New Roman"/>
    </w:rPr>
  </w:style>
  <w:style w:type="character" w:customStyle="1" w:styleId="hit2">
    <w:name w:val="hit_2"/>
    <w:uiPriority w:val="99"/>
    <w:rsid w:val="0022643F"/>
    <w:rPr>
      <w:rFonts w:cs="Times New Roman"/>
    </w:rPr>
  </w:style>
  <w:style w:type="character" w:customStyle="1" w:styleId="current-selection">
    <w:name w:val="current-selection"/>
    <w:uiPriority w:val="99"/>
    <w:rsid w:val="00046741"/>
    <w:rPr>
      <w:rFonts w:cs="Times New Roman"/>
    </w:rPr>
  </w:style>
  <w:style w:type="character" w:customStyle="1" w:styleId="enhanced-reference">
    <w:name w:val="enhanced-reference"/>
    <w:uiPriority w:val="99"/>
    <w:rsid w:val="00046741"/>
    <w:rPr>
      <w:rFonts w:cs="Times New Roman"/>
    </w:rPr>
  </w:style>
  <w:style w:type="character" w:customStyle="1" w:styleId="ff2">
    <w:name w:val="ff2"/>
    <w:uiPriority w:val="99"/>
    <w:rsid w:val="00F30279"/>
    <w:rPr>
      <w:rFonts w:cs="Times New Roman"/>
    </w:rPr>
  </w:style>
  <w:style w:type="paragraph" w:customStyle="1" w:styleId="p0">
    <w:name w:val="p0"/>
    <w:basedOn w:val="Normal"/>
    <w:uiPriority w:val="99"/>
    <w:rsid w:val="004F5D25"/>
    <w:pPr>
      <w:spacing w:after="0" w:line="240" w:lineRule="atLeast"/>
    </w:pPr>
    <w:rPr>
      <w:rFonts w:ascii="Century" w:hAnsi="Century" w:cs="宋体"/>
      <w:sz w:val="21"/>
      <w:szCs w:val="21"/>
      <w:lang w:eastAsia="zh-CN"/>
    </w:rPr>
  </w:style>
  <w:style w:type="character" w:styleId="CommentReference">
    <w:name w:val="annotation reference"/>
    <w:uiPriority w:val="99"/>
    <w:semiHidden/>
    <w:rsid w:val="00226A63"/>
    <w:rPr>
      <w:rFonts w:cs="Times New Roman"/>
      <w:sz w:val="21"/>
      <w:szCs w:val="21"/>
    </w:rPr>
  </w:style>
  <w:style w:type="paragraph" w:styleId="CommentText">
    <w:name w:val="annotation text"/>
    <w:basedOn w:val="Normal"/>
    <w:link w:val="CommentTextChar"/>
    <w:uiPriority w:val="99"/>
    <w:semiHidden/>
    <w:rsid w:val="00226A63"/>
  </w:style>
  <w:style w:type="character" w:customStyle="1" w:styleId="CommentTextChar">
    <w:name w:val="Comment Text Char"/>
    <w:link w:val="CommentText"/>
    <w:uiPriority w:val="99"/>
    <w:semiHidden/>
    <w:locked/>
    <w:rsid w:val="00316FA2"/>
    <w:rPr>
      <w:rFonts w:cs="Times New Roman"/>
      <w:kern w:val="0"/>
      <w:sz w:val="22"/>
      <w:lang w:eastAsia="en-US"/>
    </w:rPr>
  </w:style>
  <w:style w:type="paragraph" w:styleId="CommentSubject">
    <w:name w:val="annotation subject"/>
    <w:basedOn w:val="CommentText"/>
    <w:next w:val="CommentText"/>
    <w:link w:val="CommentSubjectChar"/>
    <w:uiPriority w:val="99"/>
    <w:semiHidden/>
    <w:rsid w:val="00226A63"/>
    <w:rPr>
      <w:b/>
      <w:bCs/>
    </w:rPr>
  </w:style>
  <w:style w:type="character" w:customStyle="1" w:styleId="CommentSubjectChar">
    <w:name w:val="Comment Subject Char"/>
    <w:link w:val="CommentSubject"/>
    <w:uiPriority w:val="99"/>
    <w:semiHidden/>
    <w:locked/>
    <w:rsid w:val="00316FA2"/>
    <w:rPr>
      <w:rFonts w:cs="Times New Roman"/>
      <w:b/>
      <w:bCs/>
      <w:kern w:val="0"/>
      <w:sz w:val="22"/>
      <w:lang w:eastAsia="en-US"/>
    </w:rPr>
  </w:style>
  <w:style w:type="paragraph" w:customStyle="1" w:styleId="Default">
    <w:name w:val="Default"/>
    <w:uiPriority w:val="99"/>
    <w:rsid w:val="005E1971"/>
    <w:pPr>
      <w:widowControl w:val="0"/>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97727">
      <w:marLeft w:val="0"/>
      <w:marRight w:val="0"/>
      <w:marTop w:val="0"/>
      <w:marBottom w:val="0"/>
      <w:divBdr>
        <w:top w:val="none" w:sz="0" w:space="0" w:color="auto"/>
        <w:left w:val="none" w:sz="0" w:space="0" w:color="auto"/>
        <w:bottom w:val="none" w:sz="0" w:space="0" w:color="auto"/>
        <w:right w:val="none" w:sz="0" w:space="0" w:color="auto"/>
      </w:divBdr>
      <w:divsChild>
        <w:div w:id="2013297759">
          <w:marLeft w:val="0"/>
          <w:marRight w:val="0"/>
          <w:marTop w:val="0"/>
          <w:marBottom w:val="0"/>
          <w:divBdr>
            <w:top w:val="none" w:sz="0" w:space="0" w:color="auto"/>
            <w:left w:val="none" w:sz="0" w:space="0" w:color="auto"/>
            <w:bottom w:val="none" w:sz="0" w:space="0" w:color="auto"/>
            <w:right w:val="none" w:sz="0" w:space="0" w:color="auto"/>
          </w:divBdr>
        </w:div>
      </w:divsChild>
    </w:div>
    <w:div w:id="2013297728">
      <w:marLeft w:val="0"/>
      <w:marRight w:val="0"/>
      <w:marTop w:val="0"/>
      <w:marBottom w:val="0"/>
      <w:divBdr>
        <w:top w:val="none" w:sz="0" w:space="0" w:color="auto"/>
        <w:left w:val="none" w:sz="0" w:space="0" w:color="auto"/>
        <w:bottom w:val="none" w:sz="0" w:space="0" w:color="auto"/>
        <w:right w:val="none" w:sz="0" w:space="0" w:color="auto"/>
      </w:divBdr>
      <w:divsChild>
        <w:div w:id="2013297737">
          <w:marLeft w:val="0"/>
          <w:marRight w:val="0"/>
          <w:marTop w:val="0"/>
          <w:marBottom w:val="0"/>
          <w:divBdr>
            <w:top w:val="none" w:sz="0" w:space="0" w:color="auto"/>
            <w:left w:val="none" w:sz="0" w:space="0" w:color="auto"/>
            <w:bottom w:val="none" w:sz="0" w:space="0" w:color="auto"/>
            <w:right w:val="none" w:sz="0" w:space="0" w:color="auto"/>
          </w:divBdr>
        </w:div>
        <w:div w:id="2013297743">
          <w:marLeft w:val="0"/>
          <w:marRight w:val="0"/>
          <w:marTop w:val="0"/>
          <w:marBottom w:val="0"/>
          <w:divBdr>
            <w:top w:val="none" w:sz="0" w:space="0" w:color="auto"/>
            <w:left w:val="none" w:sz="0" w:space="0" w:color="auto"/>
            <w:bottom w:val="none" w:sz="0" w:space="0" w:color="auto"/>
            <w:right w:val="none" w:sz="0" w:space="0" w:color="auto"/>
          </w:divBdr>
        </w:div>
        <w:div w:id="2013297757">
          <w:marLeft w:val="0"/>
          <w:marRight w:val="0"/>
          <w:marTop w:val="0"/>
          <w:marBottom w:val="0"/>
          <w:divBdr>
            <w:top w:val="none" w:sz="0" w:space="0" w:color="auto"/>
            <w:left w:val="none" w:sz="0" w:space="0" w:color="auto"/>
            <w:bottom w:val="none" w:sz="0" w:space="0" w:color="auto"/>
            <w:right w:val="none" w:sz="0" w:space="0" w:color="auto"/>
          </w:divBdr>
        </w:div>
        <w:div w:id="2013297767">
          <w:marLeft w:val="0"/>
          <w:marRight w:val="0"/>
          <w:marTop w:val="0"/>
          <w:marBottom w:val="0"/>
          <w:divBdr>
            <w:top w:val="none" w:sz="0" w:space="0" w:color="auto"/>
            <w:left w:val="none" w:sz="0" w:space="0" w:color="auto"/>
            <w:bottom w:val="none" w:sz="0" w:space="0" w:color="auto"/>
            <w:right w:val="none" w:sz="0" w:space="0" w:color="auto"/>
          </w:divBdr>
        </w:div>
        <w:div w:id="2013297775">
          <w:marLeft w:val="0"/>
          <w:marRight w:val="0"/>
          <w:marTop w:val="0"/>
          <w:marBottom w:val="0"/>
          <w:divBdr>
            <w:top w:val="none" w:sz="0" w:space="0" w:color="auto"/>
            <w:left w:val="none" w:sz="0" w:space="0" w:color="auto"/>
            <w:bottom w:val="none" w:sz="0" w:space="0" w:color="auto"/>
            <w:right w:val="none" w:sz="0" w:space="0" w:color="auto"/>
          </w:divBdr>
        </w:div>
      </w:divsChild>
    </w:div>
    <w:div w:id="2013297729">
      <w:marLeft w:val="0"/>
      <w:marRight w:val="0"/>
      <w:marTop w:val="0"/>
      <w:marBottom w:val="0"/>
      <w:divBdr>
        <w:top w:val="none" w:sz="0" w:space="0" w:color="auto"/>
        <w:left w:val="none" w:sz="0" w:space="0" w:color="auto"/>
        <w:bottom w:val="none" w:sz="0" w:space="0" w:color="auto"/>
        <w:right w:val="none" w:sz="0" w:space="0" w:color="auto"/>
      </w:divBdr>
      <w:divsChild>
        <w:div w:id="2013297730">
          <w:marLeft w:val="0"/>
          <w:marRight w:val="0"/>
          <w:marTop w:val="0"/>
          <w:marBottom w:val="0"/>
          <w:divBdr>
            <w:top w:val="none" w:sz="0" w:space="0" w:color="auto"/>
            <w:left w:val="none" w:sz="0" w:space="0" w:color="auto"/>
            <w:bottom w:val="none" w:sz="0" w:space="0" w:color="auto"/>
            <w:right w:val="none" w:sz="0" w:space="0" w:color="auto"/>
          </w:divBdr>
        </w:div>
      </w:divsChild>
    </w:div>
    <w:div w:id="2013297735">
      <w:marLeft w:val="0"/>
      <w:marRight w:val="0"/>
      <w:marTop w:val="0"/>
      <w:marBottom w:val="0"/>
      <w:divBdr>
        <w:top w:val="none" w:sz="0" w:space="0" w:color="auto"/>
        <w:left w:val="none" w:sz="0" w:space="0" w:color="auto"/>
        <w:bottom w:val="none" w:sz="0" w:space="0" w:color="auto"/>
        <w:right w:val="none" w:sz="0" w:space="0" w:color="auto"/>
      </w:divBdr>
      <w:divsChild>
        <w:div w:id="2013297763">
          <w:marLeft w:val="0"/>
          <w:marRight w:val="0"/>
          <w:marTop w:val="0"/>
          <w:marBottom w:val="0"/>
          <w:divBdr>
            <w:top w:val="none" w:sz="0" w:space="0" w:color="auto"/>
            <w:left w:val="none" w:sz="0" w:space="0" w:color="auto"/>
            <w:bottom w:val="none" w:sz="0" w:space="0" w:color="auto"/>
            <w:right w:val="none" w:sz="0" w:space="0" w:color="auto"/>
          </w:divBdr>
        </w:div>
      </w:divsChild>
    </w:div>
    <w:div w:id="2013297738">
      <w:marLeft w:val="0"/>
      <w:marRight w:val="0"/>
      <w:marTop w:val="0"/>
      <w:marBottom w:val="0"/>
      <w:divBdr>
        <w:top w:val="none" w:sz="0" w:space="0" w:color="auto"/>
        <w:left w:val="none" w:sz="0" w:space="0" w:color="auto"/>
        <w:bottom w:val="none" w:sz="0" w:space="0" w:color="auto"/>
        <w:right w:val="none" w:sz="0" w:space="0" w:color="auto"/>
      </w:divBdr>
      <w:divsChild>
        <w:div w:id="2013297734">
          <w:marLeft w:val="0"/>
          <w:marRight w:val="0"/>
          <w:marTop w:val="0"/>
          <w:marBottom w:val="0"/>
          <w:divBdr>
            <w:top w:val="none" w:sz="0" w:space="0" w:color="auto"/>
            <w:left w:val="none" w:sz="0" w:space="0" w:color="auto"/>
            <w:bottom w:val="none" w:sz="0" w:space="0" w:color="auto"/>
            <w:right w:val="none" w:sz="0" w:space="0" w:color="auto"/>
          </w:divBdr>
        </w:div>
      </w:divsChild>
    </w:div>
    <w:div w:id="2013297750">
      <w:marLeft w:val="0"/>
      <w:marRight w:val="0"/>
      <w:marTop w:val="0"/>
      <w:marBottom w:val="0"/>
      <w:divBdr>
        <w:top w:val="none" w:sz="0" w:space="0" w:color="auto"/>
        <w:left w:val="none" w:sz="0" w:space="0" w:color="auto"/>
        <w:bottom w:val="none" w:sz="0" w:space="0" w:color="auto"/>
        <w:right w:val="none" w:sz="0" w:space="0" w:color="auto"/>
      </w:divBdr>
      <w:divsChild>
        <w:div w:id="2013297789">
          <w:marLeft w:val="0"/>
          <w:marRight w:val="0"/>
          <w:marTop w:val="0"/>
          <w:marBottom w:val="0"/>
          <w:divBdr>
            <w:top w:val="none" w:sz="0" w:space="0" w:color="auto"/>
            <w:left w:val="none" w:sz="0" w:space="0" w:color="auto"/>
            <w:bottom w:val="none" w:sz="0" w:space="0" w:color="auto"/>
            <w:right w:val="none" w:sz="0" w:space="0" w:color="auto"/>
          </w:divBdr>
          <w:divsChild>
            <w:div w:id="2013297723">
              <w:marLeft w:val="0"/>
              <w:marRight w:val="0"/>
              <w:marTop w:val="0"/>
              <w:marBottom w:val="0"/>
              <w:divBdr>
                <w:top w:val="none" w:sz="0" w:space="0" w:color="auto"/>
                <w:left w:val="none" w:sz="0" w:space="0" w:color="auto"/>
                <w:bottom w:val="none" w:sz="0" w:space="0" w:color="auto"/>
                <w:right w:val="none" w:sz="0" w:space="0" w:color="auto"/>
              </w:divBdr>
              <w:divsChild>
                <w:div w:id="2013297764">
                  <w:marLeft w:val="0"/>
                  <w:marRight w:val="0"/>
                  <w:marTop w:val="0"/>
                  <w:marBottom w:val="0"/>
                  <w:divBdr>
                    <w:top w:val="none" w:sz="0" w:space="0" w:color="auto"/>
                    <w:left w:val="none" w:sz="0" w:space="0" w:color="auto"/>
                    <w:bottom w:val="none" w:sz="0" w:space="0" w:color="auto"/>
                    <w:right w:val="none" w:sz="0" w:space="0" w:color="auto"/>
                  </w:divBdr>
                </w:div>
              </w:divsChild>
            </w:div>
            <w:div w:id="2013297724">
              <w:marLeft w:val="0"/>
              <w:marRight w:val="0"/>
              <w:marTop w:val="0"/>
              <w:marBottom w:val="0"/>
              <w:divBdr>
                <w:top w:val="none" w:sz="0" w:space="0" w:color="auto"/>
                <w:left w:val="none" w:sz="0" w:space="0" w:color="auto"/>
                <w:bottom w:val="none" w:sz="0" w:space="0" w:color="auto"/>
                <w:right w:val="none" w:sz="0" w:space="0" w:color="auto"/>
              </w:divBdr>
              <w:divsChild>
                <w:div w:id="2013297749">
                  <w:marLeft w:val="0"/>
                  <w:marRight w:val="0"/>
                  <w:marTop w:val="0"/>
                  <w:marBottom w:val="0"/>
                  <w:divBdr>
                    <w:top w:val="none" w:sz="0" w:space="0" w:color="auto"/>
                    <w:left w:val="none" w:sz="0" w:space="0" w:color="auto"/>
                    <w:bottom w:val="none" w:sz="0" w:space="0" w:color="auto"/>
                    <w:right w:val="none" w:sz="0" w:space="0" w:color="auto"/>
                  </w:divBdr>
                </w:div>
                <w:div w:id="2013297752">
                  <w:marLeft w:val="0"/>
                  <w:marRight w:val="0"/>
                  <w:marTop w:val="0"/>
                  <w:marBottom w:val="0"/>
                  <w:divBdr>
                    <w:top w:val="none" w:sz="0" w:space="0" w:color="auto"/>
                    <w:left w:val="none" w:sz="0" w:space="0" w:color="auto"/>
                    <w:bottom w:val="none" w:sz="0" w:space="0" w:color="auto"/>
                    <w:right w:val="none" w:sz="0" w:space="0" w:color="auto"/>
                  </w:divBdr>
                </w:div>
              </w:divsChild>
            </w:div>
            <w:div w:id="2013297736">
              <w:marLeft w:val="0"/>
              <w:marRight w:val="0"/>
              <w:marTop w:val="0"/>
              <w:marBottom w:val="0"/>
              <w:divBdr>
                <w:top w:val="none" w:sz="0" w:space="0" w:color="auto"/>
                <w:left w:val="none" w:sz="0" w:space="0" w:color="auto"/>
                <w:bottom w:val="none" w:sz="0" w:space="0" w:color="auto"/>
                <w:right w:val="none" w:sz="0" w:space="0" w:color="auto"/>
              </w:divBdr>
              <w:divsChild>
                <w:div w:id="2013297772">
                  <w:marLeft w:val="0"/>
                  <w:marRight w:val="0"/>
                  <w:marTop w:val="0"/>
                  <w:marBottom w:val="0"/>
                  <w:divBdr>
                    <w:top w:val="none" w:sz="0" w:space="0" w:color="auto"/>
                    <w:left w:val="none" w:sz="0" w:space="0" w:color="auto"/>
                    <w:bottom w:val="none" w:sz="0" w:space="0" w:color="auto"/>
                    <w:right w:val="none" w:sz="0" w:space="0" w:color="auto"/>
                  </w:divBdr>
                </w:div>
              </w:divsChild>
            </w:div>
            <w:div w:id="2013297762">
              <w:marLeft w:val="0"/>
              <w:marRight w:val="0"/>
              <w:marTop w:val="0"/>
              <w:marBottom w:val="0"/>
              <w:divBdr>
                <w:top w:val="none" w:sz="0" w:space="0" w:color="auto"/>
                <w:left w:val="none" w:sz="0" w:space="0" w:color="auto"/>
                <w:bottom w:val="none" w:sz="0" w:space="0" w:color="auto"/>
                <w:right w:val="none" w:sz="0" w:space="0" w:color="auto"/>
              </w:divBdr>
              <w:divsChild>
                <w:div w:id="2013297742">
                  <w:marLeft w:val="0"/>
                  <w:marRight w:val="0"/>
                  <w:marTop w:val="0"/>
                  <w:marBottom w:val="0"/>
                  <w:divBdr>
                    <w:top w:val="none" w:sz="0" w:space="0" w:color="auto"/>
                    <w:left w:val="none" w:sz="0" w:space="0" w:color="auto"/>
                    <w:bottom w:val="none" w:sz="0" w:space="0" w:color="auto"/>
                    <w:right w:val="none" w:sz="0" w:space="0" w:color="auto"/>
                  </w:divBdr>
                </w:div>
              </w:divsChild>
            </w:div>
            <w:div w:id="2013297769">
              <w:marLeft w:val="0"/>
              <w:marRight w:val="0"/>
              <w:marTop w:val="0"/>
              <w:marBottom w:val="0"/>
              <w:divBdr>
                <w:top w:val="none" w:sz="0" w:space="0" w:color="auto"/>
                <w:left w:val="none" w:sz="0" w:space="0" w:color="auto"/>
                <w:bottom w:val="none" w:sz="0" w:space="0" w:color="auto"/>
                <w:right w:val="none" w:sz="0" w:space="0" w:color="auto"/>
              </w:divBdr>
              <w:divsChild>
                <w:div w:id="2013297781">
                  <w:marLeft w:val="0"/>
                  <w:marRight w:val="0"/>
                  <w:marTop w:val="0"/>
                  <w:marBottom w:val="0"/>
                  <w:divBdr>
                    <w:top w:val="none" w:sz="0" w:space="0" w:color="auto"/>
                    <w:left w:val="none" w:sz="0" w:space="0" w:color="auto"/>
                    <w:bottom w:val="none" w:sz="0" w:space="0" w:color="auto"/>
                    <w:right w:val="none" w:sz="0" w:space="0" w:color="auto"/>
                  </w:divBdr>
                </w:div>
              </w:divsChild>
            </w:div>
            <w:div w:id="2013297774">
              <w:marLeft w:val="0"/>
              <w:marRight w:val="0"/>
              <w:marTop w:val="0"/>
              <w:marBottom w:val="0"/>
              <w:divBdr>
                <w:top w:val="none" w:sz="0" w:space="0" w:color="auto"/>
                <w:left w:val="none" w:sz="0" w:space="0" w:color="auto"/>
                <w:bottom w:val="none" w:sz="0" w:space="0" w:color="auto"/>
                <w:right w:val="none" w:sz="0" w:space="0" w:color="auto"/>
              </w:divBdr>
              <w:divsChild>
                <w:div w:id="2013297732">
                  <w:marLeft w:val="0"/>
                  <w:marRight w:val="0"/>
                  <w:marTop w:val="0"/>
                  <w:marBottom w:val="0"/>
                  <w:divBdr>
                    <w:top w:val="none" w:sz="0" w:space="0" w:color="auto"/>
                    <w:left w:val="none" w:sz="0" w:space="0" w:color="auto"/>
                    <w:bottom w:val="none" w:sz="0" w:space="0" w:color="auto"/>
                    <w:right w:val="none" w:sz="0" w:space="0" w:color="auto"/>
                  </w:divBdr>
                </w:div>
              </w:divsChild>
            </w:div>
            <w:div w:id="2013297776">
              <w:marLeft w:val="0"/>
              <w:marRight w:val="0"/>
              <w:marTop w:val="0"/>
              <w:marBottom w:val="0"/>
              <w:divBdr>
                <w:top w:val="none" w:sz="0" w:space="0" w:color="auto"/>
                <w:left w:val="none" w:sz="0" w:space="0" w:color="auto"/>
                <w:bottom w:val="none" w:sz="0" w:space="0" w:color="auto"/>
                <w:right w:val="none" w:sz="0" w:space="0" w:color="auto"/>
              </w:divBdr>
            </w:div>
            <w:div w:id="2013297779">
              <w:marLeft w:val="0"/>
              <w:marRight w:val="0"/>
              <w:marTop w:val="0"/>
              <w:marBottom w:val="0"/>
              <w:divBdr>
                <w:top w:val="none" w:sz="0" w:space="0" w:color="auto"/>
                <w:left w:val="none" w:sz="0" w:space="0" w:color="auto"/>
                <w:bottom w:val="none" w:sz="0" w:space="0" w:color="auto"/>
                <w:right w:val="none" w:sz="0" w:space="0" w:color="auto"/>
              </w:divBdr>
              <w:divsChild>
                <w:div w:id="2013297725">
                  <w:marLeft w:val="0"/>
                  <w:marRight w:val="0"/>
                  <w:marTop w:val="0"/>
                  <w:marBottom w:val="0"/>
                  <w:divBdr>
                    <w:top w:val="none" w:sz="0" w:space="0" w:color="auto"/>
                    <w:left w:val="none" w:sz="0" w:space="0" w:color="auto"/>
                    <w:bottom w:val="none" w:sz="0" w:space="0" w:color="auto"/>
                    <w:right w:val="none" w:sz="0" w:space="0" w:color="auto"/>
                  </w:divBdr>
                </w:div>
                <w:div w:id="2013297739">
                  <w:marLeft w:val="0"/>
                  <w:marRight w:val="0"/>
                  <w:marTop w:val="0"/>
                  <w:marBottom w:val="0"/>
                  <w:divBdr>
                    <w:top w:val="none" w:sz="0" w:space="0" w:color="auto"/>
                    <w:left w:val="none" w:sz="0" w:space="0" w:color="auto"/>
                    <w:bottom w:val="none" w:sz="0" w:space="0" w:color="auto"/>
                    <w:right w:val="none" w:sz="0" w:space="0" w:color="auto"/>
                  </w:divBdr>
                  <w:divsChild>
                    <w:div w:id="2013297754">
                      <w:marLeft w:val="0"/>
                      <w:marRight w:val="0"/>
                      <w:marTop w:val="0"/>
                      <w:marBottom w:val="0"/>
                      <w:divBdr>
                        <w:top w:val="none" w:sz="0" w:space="0" w:color="auto"/>
                        <w:left w:val="none" w:sz="0" w:space="0" w:color="auto"/>
                        <w:bottom w:val="none" w:sz="0" w:space="0" w:color="auto"/>
                        <w:right w:val="none" w:sz="0" w:space="0" w:color="auto"/>
                      </w:divBdr>
                    </w:div>
                  </w:divsChild>
                </w:div>
                <w:div w:id="20132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7751">
      <w:marLeft w:val="0"/>
      <w:marRight w:val="0"/>
      <w:marTop w:val="0"/>
      <w:marBottom w:val="0"/>
      <w:divBdr>
        <w:top w:val="none" w:sz="0" w:space="0" w:color="auto"/>
        <w:left w:val="none" w:sz="0" w:space="0" w:color="auto"/>
        <w:bottom w:val="none" w:sz="0" w:space="0" w:color="auto"/>
        <w:right w:val="none" w:sz="0" w:space="0" w:color="auto"/>
      </w:divBdr>
      <w:divsChild>
        <w:div w:id="2013297731">
          <w:marLeft w:val="0"/>
          <w:marRight w:val="0"/>
          <w:marTop w:val="0"/>
          <w:marBottom w:val="0"/>
          <w:divBdr>
            <w:top w:val="none" w:sz="0" w:space="0" w:color="auto"/>
            <w:left w:val="none" w:sz="0" w:space="0" w:color="auto"/>
            <w:bottom w:val="none" w:sz="0" w:space="0" w:color="auto"/>
            <w:right w:val="none" w:sz="0" w:space="0" w:color="auto"/>
          </w:divBdr>
        </w:div>
        <w:div w:id="2013297740">
          <w:marLeft w:val="0"/>
          <w:marRight w:val="0"/>
          <w:marTop w:val="0"/>
          <w:marBottom w:val="0"/>
          <w:divBdr>
            <w:top w:val="none" w:sz="0" w:space="0" w:color="auto"/>
            <w:left w:val="none" w:sz="0" w:space="0" w:color="auto"/>
            <w:bottom w:val="none" w:sz="0" w:space="0" w:color="auto"/>
            <w:right w:val="none" w:sz="0" w:space="0" w:color="auto"/>
          </w:divBdr>
        </w:div>
      </w:divsChild>
    </w:div>
    <w:div w:id="2013297756">
      <w:marLeft w:val="0"/>
      <w:marRight w:val="0"/>
      <w:marTop w:val="0"/>
      <w:marBottom w:val="0"/>
      <w:divBdr>
        <w:top w:val="none" w:sz="0" w:space="0" w:color="auto"/>
        <w:left w:val="none" w:sz="0" w:space="0" w:color="auto"/>
        <w:bottom w:val="none" w:sz="0" w:space="0" w:color="auto"/>
        <w:right w:val="none" w:sz="0" w:space="0" w:color="auto"/>
      </w:divBdr>
      <w:divsChild>
        <w:div w:id="2013297778">
          <w:marLeft w:val="0"/>
          <w:marRight w:val="0"/>
          <w:marTop w:val="0"/>
          <w:marBottom w:val="0"/>
          <w:divBdr>
            <w:top w:val="none" w:sz="0" w:space="0" w:color="auto"/>
            <w:left w:val="none" w:sz="0" w:space="0" w:color="auto"/>
            <w:bottom w:val="none" w:sz="0" w:space="0" w:color="auto"/>
            <w:right w:val="none" w:sz="0" w:space="0" w:color="auto"/>
          </w:divBdr>
        </w:div>
        <w:div w:id="2013297786">
          <w:marLeft w:val="0"/>
          <w:marRight w:val="0"/>
          <w:marTop w:val="0"/>
          <w:marBottom w:val="0"/>
          <w:divBdr>
            <w:top w:val="none" w:sz="0" w:space="0" w:color="auto"/>
            <w:left w:val="none" w:sz="0" w:space="0" w:color="auto"/>
            <w:bottom w:val="none" w:sz="0" w:space="0" w:color="auto"/>
            <w:right w:val="none" w:sz="0" w:space="0" w:color="auto"/>
          </w:divBdr>
        </w:div>
      </w:divsChild>
    </w:div>
    <w:div w:id="2013297765">
      <w:marLeft w:val="0"/>
      <w:marRight w:val="0"/>
      <w:marTop w:val="0"/>
      <w:marBottom w:val="0"/>
      <w:divBdr>
        <w:top w:val="none" w:sz="0" w:space="0" w:color="auto"/>
        <w:left w:val="none" w:sz="0" w:space="0" w:color="auto"/>
        <w:bottom w:val="none" w:sz="0" w:space="0" w:color="auto"/>
        <w:right w:val="none" w:sz="0" w:space="0" w:color="auto"/>
      </w:divBdr>
      <w:divsChild>
        <w:div w:id="2013297753">
          <w:marLeft w:val="0"/>
          <w:marRight w:val="0"/>
          <w:marTop w:val="0"/>
          <w:marBottom w:val="0"/>
          <w:divBdr>
            <w:top w:val="none" w:sz="0" w:space="0" w:color="auto"/>
            <w:left w:val="none" w:sz="0" w:space="0" w:color="auto"/>
            <w:bottom w:val="none" w:sz="0" w:space="0" w:color="auto"/>
            <w:right w:val="none" w:sz="0" w:space="0" w:color="auto"/>
          </w:divBdr>
        </w:div>
      </w:divsChild>
    </w:div>
    <w:div w:id="2013297768">
      <w:marLeft w:val="0"/>
      <w:marRight w:val="0"/>
      <w:marTop w:val="0"/>
      <w:marBottom w:val="0"/>
      <w:divBdr>
        <w:top w:val="none" w:sz="0" w:space="0" w:color="auto"/>
        <w:left w:val="none" w:sz="0" w:space="0" w:color="auto"/>
        <w:bottom w:val="none" w:sz="0" w:space="0" w:color="auto"/>
        <w:right w:val="none" w:sz="0" w:space="0" w:color="auto"/>
      </w:divBdr>
    </w:div>
    <w:div w:id="2013297770">
      <w:marLeft w:val="0"/>
      <w:marRight w:val="0"/>
      <w:marTop w:val="0"/>
      <w:marBottom w:val="0"/>
      <w:divBdr>
        <w:top w:val="none" w:sz="0" w:space="0" w:color="auto"/>
        <w:left w:val="none" w:sz="0" w:space="0" w:color="auto"/>
        <w:bottom w:val="none" w:sz="0" w:space="0" w:color="auto"/>
        <w:right w:val="none" w:sz="0" w:space="0" w:color="auto"/>
      </w:divBdr>
      <w:divsChild>
        <w:div w:id="2013297745">
          <w:marLeft w:val="0"/>
          <w:marRight w:val="0"/>
          <w:marTop w:val="0"/>
          <w:marBottom w:val="0"/>
          <w:divBdr>
            <w:top w:val="none" w:sz="0" w:space="0" w:color="auto"/>
            <w:left w:val="none" w:sz="0" w:space="0" w:color="auto"/>
            <w:bottom w:val="none" w:sz="0" w:space="0" w:color="auto"/>
            <w:right w:val="none" w:sz="0" w:space="0" w:color="auto"/>
          </w:divBdr>
          <w:divsChild>
            <w:div w:id="2013297726">
              <w:marLeft w:val="0"/>
              <w:marRight w:val="0"/>
              <w:marTop w:val="0"/>
              <w:marBottom w:val="0"/>
              <w:divBdr>
                <w:top w:val="none" w:sz="0" w:space="0" w:color="auto"/>
                <w:left w:val="none" w:sz="0" w:space="0" w:color="auto"/>
                <w:bottom w:val="none" w:sz="0" w:space="0" w:color="auto"/>
                <w:right w:val="none" w:sz="0" w:space="0" w:color="auto"/>
              </w:divBdr>
            </w:div>
          </w:divsChild>
        </w:div>
        <w:div w:id="2013297777">
          <w:marLeft w:val="0"/>
          <w:marRight w:val="0"/>
          <w:marTop w:val="0"/>
          <w:marBottom w:val="0"/>
          <w:divBdr>
            <w:top w:val="none" w:sz="0" w:space="0" w:color="auto"/>
            <w:left w:val="none" w:sz="0" w:space="0" w:color="auto"/>
            <w:bottom w:val="none" w:sz="0" w:space="0" w:color="auto"/>
            <w:right w:val="none" w:sz="0" w:space="0" w:color="auto"/>
          </w:divBdr>
          <w:divsChild>
            <w:div w:id="2013297733">
              <w:marLeft w:val="0"/>
              <w:marRight w:val="0"/>
              <w:marTop w:val="0"/>
              <w:marBottom w:val="0"/>
              <w:divBdr>
                <w:top w:val="none" w:sz="0" w:space="0" w:color="auto"/>
                <w:left w:val="none" w:sz="0" w:space="0" w:color="auto"/>
                <w:bottom w:val="none" w:sz="0" w:space="0" w:color="auto"/>
                <w:right w:val="none" w:sz="0" w:space="0" w:color="auto"/>
              </w:divBdr>
              <w:divsChild>
                <w:div w:id="2013297746">
                  <w:marLeft w:val="0"/>
                  <w:marRight w:val="0"/>
                  <w:marTop w:val="0"/>
                  <w:marBottom w:val="0"/>
                  <w:divBdr>
                    <w:top w:val="none" w:sz="0" w:space="0" w:color="auto"/>
                    <w:left w:val="none" w:sz="0" w:space="0" w:color="auto"/>
                    <w:bottom w:val="none" w:sz="0" w:space="0" w:color="auto"/>
                    <w:right w:val="none" w:sz="0" w:space="0" w:color="auto"/>
                  </w:divBdr>
                </w:div>
                <w:div w:id="2013297766">
                  <w:marLeft w:val="0"/>
                  <w:marRight w:val="0"/>
                  <w:marTop w:val="0"/>
                  <w:marBottom w:val="0"/>
                  <w:divBdr>
                    <w:top w:val="none" w:sz="0" w:space="0" w:color="auto"/>
                    <w:left w:val="none" w:sz="0" w:space="0" w:color="auto"/>
                    <w:bottom w:val="none" w:sz="0" w:space="0" w:color="auto"/>
                    <w:right w:val="none" w:sz="0" w:space="0" w:color="auto"/>
                  </w:divBdr>
                </w:div>
              </w:divsChild>
            </w:div>
            <w:div w:id="20132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7771">
      <w:marLeft w:val="0"/>
      <w:marRight w:val="0"/>
      <w:marTop w:val="0"/>
      <w:marBottom w:val="0"/>
      <w:divBdr>
        <w:top w:val="none" w:sz="0" w:space="0" w:color="auto"/>
        <w:left w:val="none" w:sz="0" w:space="0" w:color="auto"/>
        <w:bottom w:val="none" w:sz="0" w:space="0" w:color="auto"/>
        <w:right w:val="none" w:sz="0" w:space="0" w:color="auto"/>
      </w:divBdr>
    </w:div>
    <w:div w:id="2013297780">
      <w:marLeft w:val="0"/>
      <w:marRight w:val="0"/>
      <w:marTop w:val="0"/>
      <w:marBottom w:val="0"/>
      <w:divBdr>
        <w:top w:val="none" w:sz="0" w:space="0" w:color="auto"/>
        <w:left w:val="none" w:sz="0" w:space="0" w:color="auto"/>
        <w:bottom w:val="none" w:sz="0" w:space="0" w:color="auto"/>
        <w:right w:val="none" w:sz="0" w:space="0" w:color="auto"/>
      </w:divBdr>
      <w:divsChild>
        <w:div w:id="2013297744">
          <w:marLeft w:val="0"/>
          <w:marRight w:val="0"/>
          <w:marTop w:val="0"/>
          <w:marBottom w:val="0"/>
          <w:divBdr>
            <w:top w:val="none" w:sz="0" w:space="0" w:color="auto"/>
            <w:left w:val="none" w:sz="0" w:space="0" w:color="auto"/>
            <w:bottom w:val="none" w:sz="0" w:space="0" w:color="auto"/>
            <w:right w:val="none" w:sz="0" w:space="0" w:color="auto"/>
          </w:divBdr>
        </w:div>
        <w:div w:id="2013297748">
          <w:marLeft w:val="0"/>
          <w:marRight w:val="0"/>
          <w:marTop w:val="0"/>
          <w:marBottom w:val="0"/>
          <w:divBdr>
            <w:top w:val="none" w:sz="0" w:space="0" w:color="auto"/>
            <w:left w:val="none" w:sz="0" w:space="0" w:color="auto"/>
            <w:bottom w:val="none" w:sz="0" w:space="0" w:color="auto"/>
            <w:right w:val="none" w:sz="0" w:space="0" w:color="auto"/>
          </w:divBdr>
        </w:div>
        <w:div w:id="2013297755">
          <w:marLeft w:val="0"/>
          <w:marRight w:val="0"/>
          <w:marTop w:val="0"/>
          <w:marBottom w:val="0"/>
          <w:divBdr>
            <w:top w:val="none" w:sz="0" w:space="0" w:color="auto"/>
            <w:left w:val="none" w:sz="0" w:space="0" w:color="auto"/>
            <w:bottom w:val="none" w:sz="0" w:space="0" w:color="auto"/>
            <w:right w:val="none" w:sz="0" w:space="0" w:color="auto"/>
          </w:divBdr>
        </w:div>
        <w:div w:id="2013297758">
          <w:marLeft w:val="0"/>
          <w:marRight w:val="0"/>
          <w:marTop w:val="0"/>
          <w:marBottom w:val="0"/>
          <w:divBdr>
            <w:top w:val="none" w:sz="0" w:space="0" w:color="auto"/>
            <w:left w:val="none" w:sz="0" w:space="0" w:color="auto"/>
            <w:bottom w:val="none" w:sz="0" w:space="0" w:color="auto"/>
            <w:right w:val="none" w:sz="0" w:space="0" w:color="auto"/>
          </w:divBdr>
        </w:div>
        <w:div w:id="2013297761">
          <w:marLeft w:val="0"/>
          <w:marRight w:val="0"/>
          <w:marTop w:val="0"/>
          <w:marBottom w:val="0"/>
          <w:divBdr>
            <w:top w:val="none" w:sz="0" w:space="0" w:color="auto"/>
            <w:left w:val="none" w:sz="0" w:space="0" w:color="auto"/>
            <w:bottom w:val="none" w:sz="0" w:space="0" w:color="auto"/>
            <w:right w:val="none" w:sz="0" w:space="0" w:color="auto"/>
          </w:divBdr>
        </w:div>
      </w:divsChild>
    </w:div>
    <w:div w:id="2013297782">
      <w:marLeft w:val="0"/>
      <w:marRight w:val="0"/>
      <w:marTop w:val="0"/>
      <w:marBottom w:val="0"/>
      <w:divBdr>
        <w:top w:val="none" w:sz="0" w:space="0" w:color="auto"/>
        <w:left w:val="none" w:sz="0" w:space="0" w:color="auto"/>
        <w:bottom w:val="none" w:sz="0" w:space="0" w:color="auto"/>
        <w:right w:val="none" w:sz="0" w:space="0" w:color="auto"/>
      </w:divBdr>
    </w:div>
    <w:div w:id="2013297783">
      <w:marLeft w:val="0"/>
      <w:marRight w:val="0"/>
      <w:marTop w:val="0"/>
      <w:marBottom w:val="0"/>
      <w:divBdr>
        <w:top w:val="none" w:sz="0" w:space="0" w:color="auto"/>
        <w:left w:val="none" w:sz="0" w:space="0" w:color="auto"/>
        <w:bottom w:val="none" w:sz="0" w:space="0" w:color="auto"/>
        <w:right w:val="none" w:sz="0" w:space="0" w:color="auto"/>
      </w:divBdr>
      <w:divsChild>
        <w:div w:id="2013297741">
          <w:marLeft w:val="0"/>
          <w:marRight w:val="0"/>
          <w:marTop w:val="0"/>
          <w:marBottom w:val="0"/>
          <w:divBdr>
            <w:top w:val="none" w:sz="0" w:space="0" w:color="auto"/>
            <w:left w:val="none" w:sz="0" w:space="0" w:color="auto"/>
            <w:bottom w:val="none" w:sz="0" w:space="0" w:color="auto"/>
            <w:right w:val="none" w:sz="0" w:space="0" w:color="auto"/>
          </w:divBdr>
        </w:div>
        <w:div w:id="2013297773">
          <w:marLeft w:val="0"/>
          <w:marRight w:val="0"/>
          <w:marTop w:val="0"/>
          <w:marBottom w:val="0"/>
          <w:divBdr>
            <w:top w:val="none" w:sz="0" w:space="0" w:color="auto"/>
            <w:left w:val="none" w:sz="0" w:space="0" w:color="auto"/>
            <w:bottom w:val="none" w:sz="0" w:space="0" w:color="auto"/>
            <w:right w:val="none" w:sz="0" w:space="0" w:color="auto"/>
          </w:divBdr>
        </w:div>
      </w:divsChild>
    </w:div>
    <w:div w:id="2013297784">
      <w:marLeft w:val="0"/>
      <w:marRight w:val="0"/>
      <w:marTop w:val="0"/>
      <w:marBottom w:val="0"/>
      <w:divBdr>
        <w:top w:val="none" w:sz="0" w:space="0" w:color="auto"/>
        <w:left w:val="none" w:sz="0" w:space="0" w:color="auto"/>
        <w:bottom w:val="none" w:sz="0" w:space="0" w:color="auto"/>
        <w:right w:val="none" w:sz="0" w:space="0" w:color="auto"/>
      </w:divBdr>
    </w:div>
    <w:div w:id="2013297787">
      <w:marLeft w:val="0"/>
      <w:marRight w:val="0"/>
      <w:marTop w:val="0"/>
      <w:marBottom w:val="0"/>
      <w:divBdr>
        <w:top w:val="none" w:sz="0" w:space="0" w:color="auto"/>
        <w:left w:val="none" w:sz="0" w:space="0" w:color="auto"/>
        <w:bottom w:val="none" w:sz="0" w:space="0" w:color="auto"/>
        <w:right w:val="none" w:sz="0" w:space="0" w:color="auto"/>
      </w:divBdr>
      <w:divsChild>
        <w:div w:id="2013297785">
          <w:marLeft w:val="0"/>
          <w:marRight w:val="0"/>
          <w:marTop w:val="0"/>
          <w:marBottom w:val="0"/>
          <w:divBdr>
            <w:top w:val="none" w:sz="0" w:space="0" w:color="auto"/>
            <w:left w:val="none" w:sz="0" w:space="0" w:color="auto"/>
            <w:bottom w:val="none" w:sz="0" w:space="0" w:color="auto"/>
            <w:right w:val="none" w:sz="0" w:space="0" w:color="auto"/>
          </w:divBdr>
        </w:div>
      </w:divsChild>
    </w:div>
    <w:div w:id="201329778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nlinelibrary.wiley.com/doi/10.1002/jmri.24451/full"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mr-tip.com/serv1.php?type=db1&amp;dbs=Gradient%20Echo" TargetMode="External"/><Relationship Id="rId11" Type="http://schemas.openxmlformats.org/officeDocument/2006/relationships/hyperlink" Target="http://www.mr-tip.com/serv1.php?type=db1&amp;dbs=Pulse%20Sequence" TargetMode="External"/><Relationship Id="rId12" Type="http://schemas.openxmlformats.org/officeDocument/2006/relationships/hyperlink" Target="JavaScript:void(0);" TargetMode="External"/><Relationship Id="rId13" Type="http://schemas.openxmlformats.org/officeDocument/2006/relationships/hyperlink" Target="http://www.ncbi.nlm.nih.gov/pubmed/?term=Urologic%20Diseases%20in%20America%20Project%5BCorporate%20Author%5D"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onlinelibrary.wiley.com/doi/10.1002/jmri.24451/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6270</Words>
  <Characters>35741</Characters>
  <Application>Microsoft Macintosh Word</Application>
  <DocSecurity>0</DocSecurity>
  <Lines>297</Lines>
  <Paragraphs>83</Paragraphs>
  <ScaleCrop>false</ScaleCrop>
  <Company>Microsoft</Company>
  <LinksUpToDate>false</LinksUpToDate>
  <CharactersWithSpaces>41928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 Do</dc:creator>
  <cp:keywords/>
  <dc:description/>
  <cp:lastModifiedBy>Na Ma</cp:lastModifiedBy>
  <cp:revision>2</cp:revision>
  <cp:lastPrinted>2015-10-26T15:31:00Z</cp:lastPrinted>
  <dcterms:created xsi:type="dcterms:W3CDTF">2015-11-14T00:08:00Z</dcterms:created>
  <dcterms:modified xsi:type="dcterms:W3CDTF">2015-11-14T00:08:00Z</dcterms:modified>
</cp:coreProperties>
</file>