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7E" w:rsidRPr="00463038" w:rsidRDefault="00C5057E" w:rsidP="001E275D">
      <w:pPr>
        <w:spacing w:line="360" w:lineRule="auto"/>
        <w:jc w:val="both"/>
        <w:rPr>
          <w:rFonts w:ascii="Book Antiqua" w:hAnsi="Book Antiqua"/>
          <w:b/>
          <w:color w:val="000000"/>
          <w:lang w:eastAsia="en-US"/>
        </w:rPr>
      </w:pPr>
      <w:r w:rsidRPr="00463038">
        <w:rPr>
          <w:rFonts w:ascii="Book Antiqua" w:hAnsi="Book Antiqua"/>
          <w:b/>
          <w:color w:val="000000"/>
          <w:lang w:eastAsia="en-US"/>
        </w:rPr>
        <w:t>Name of Journal:</w:t>
      </w:r>
      <w:r w:rsidRPr="00463038">
        <w:rPr>
          <w:rFonts w:ascii="Book Antiqua" w:hAnsi="Book Antiqua"/>
          <w:b/>
          <w:i/>
          <w:color w:val="000000"/>
          <w:lang w:eastAsia="en-US"/>
        </w:rPr>
        <w:t xml:space="preserve"> World Journal of Hepatology</w:t>
      </w:r>
    </w:p>
    <w:p w:rsidR="00C5057E" w:rsidRPr="00463038" w:rsidRDefault="00C5057E" w:rsidP="001E275D">
      <w:pPr>
        <w:spacing w:line="360" w:lineRule="auto"/>
        <w:jc w:val="both"/>
        <w:rPr>
          <w:rFonts w:ascii="Book Antiqua" w:hAnsi="Book Antiqua"/>
          <w:b/>
          <w:color w:val="000000"/>
          <w:lang w:eastAsia="en-US"/>
        </w:rPr>
      </w:pPr>
      <w:r w:rsidRPr="00463038">
        <w:rPr>
          <w:rFonts w:ascii="Book Antiqua" w:hAnsi="Book Antiqua"/>
          <w:b/>
          <w:color w:val="000000"/>
          <w:lang w:eastAsia="en-US"/>
        </w:rPr>
        <w:t>ESPS Manuscript NO: 21019</w:t>
      </w:r>
    </w:p>
    <w:p w:rsidR="00C5057E" w:rsidRPr="00463038" w:rsidRDefault="00C5057E" w:rsidP="001E275D">
      <w:pPr>
        <w:spacing w:line="360" w:lineRule="auto"/>
        <w:jc w:val="both"/>
        <w:rPr>
          <w:rFonts w:ascii="Book Antiqua" w:hAnsi="Book Antiqua"/>
          <w:b/>
          <w:color w:val="000000"/>
          <w:lang w:eastAsia="en-US"/>
        </w:rPr>
      </w:pPr>
      <w:r w:rsidRPr="00463038">
        <w:rPr>
          <w:rFonts w:ascii="Book Antiqua" w:hAnsi="Book Antiqua"/>
          <w:b/>
          <w:color w:val="000000"/>
          <w:lang w:eastAsia="en-US"/>
        </w:rPr>
        <w:t>Manuscript Type: Review</w:t>
      </w:r>
    </w:p>
    <w:p w:rsidR="00C5057E" w:rsidRPr="00463038" w:rsidRDefault="00C5057E" w:rsidP="001E275D">
      <w:pPr>
        <w:pStyle w:val="NormalWeb"/>
        <w:spacing w:after="0" w:line="360" w:lineRule="auto"/>
        <w:jc w:val="both"/>
        <w:rPr>
          <w:rFonts w:ascii="Book Antiqua" w:hAnsi="Book Antiqua"/>
          <w:b/>
          <w:u w:val="single"/>
        </w:rPr>
      </w:pPr>
    </w:p>
    <w:p w:rsidR="00C5057E" w:rsidRPr="00463038" w:rsidRDefault="00C5057E" w:rsidP="001E275D">
      <w:pPr>
        <w:pStyle w:val="NormalWeb"/>
        <w:spacing w:after="0" w:line="360" w:lineRule="auto"/>
        <w:jc w:val="both"/>
        <w:rPr>
          <w:rFonts w:ascii="Book Antiqua" w:hAnsi="Book Antiqua"/>
          <w:b/>
          <w:lang w:eastAsia="zh-CN"/>
        </w:rPr>
      </w:pPr>
      <w:r w:rsidRPr="00463038">
        <w:rPr>
          <w:rFonts w:ascii="Book Antiqua" w:hAnsi="Book Antiqua"/>
          <w:b/>
        </w:rPr>
        <w:t>Hepatic manifestations of non-steroidal inflammatory bowel disease therapy</w:t>
      </w:r>
    </w:p>
    <w:p w:rsidR="00C5057E" w:rsidRPr="00463038" w:rsidRDefault="00C5057E" w:rsidP="001E275D">
      <w:pPr>
        <w:pStyle w:val="NormalWeb"/>
        <w:spacing w:after="0" w:line="360" w:lineRule="auto"/>
        <w:jc w:val="both"/>
        <w:rPr>
          <w:rFonts w:ascii="Book Antiqua" w:hAnsi="Book Antiqua"/>
          <w:b/>
          <w:lang w:eastAsia="zh-CN"/>
        </w:rPr>
      </w:pPr>
    </w:p>
    <w:p w:rsidR="00C5057E" w:rsidRPr="00463038" w:rsidRDefault="00C5057E" w:rsidP="001E275D">
      <w:pPr>
        <w:pStyle w:val="NormalWeb"/>
        <w:spacing w:after="0" w:line="360" w:lineRule="auto"/>
        <w:jc w:val="both"/>
        <w:rPr>
          <w:rFonts w:ascii="Book Antiqua" w:hAnsi="Book Antiqua"/>
          <w:lang w:eastAsia="zh-CN"/>
        </w:rPr>
      </w:pPr>
      <w:r w:rsidRPr="00463038">
        <w:rPr>
          <w:rFonts w:ascii="Book Antiqua" w:hAnsi="Book Antiqua"/>
        </w:rPr>
        <w:t>Hirten</w:t>
      </w:r>
      <w:r w:rsidRPr="00463038">
        <w:rPr>
          <w:rFonts w:ascii="Book Antiqua" w:hAnsi="Book Antiqua"/>
          <w:lang w:eastAsia="zh-CN"/>
        </w:rPr>
        <w:t xml:space="preserve"> R </w:t>
      </w:r>
      <w:r w:rsidRPr="00463038">
        <w:rPr>
          <w:rFonts w:ascii="Book Antiqua" w:hAnsi="Book Antiqua"/>
          <w:i/>
          <w:lang w:eastAsia="zh-CN"/>
        </w:rPr>
        <w:t>et al</w:t>
      </w:r>
      <w:r w:rsidRPr="00463038">
        <w:rPr>
          <w:rFonts w:ascii="Book Antiqua" w:hAnsi="Book Antiqua"/>
          <w:lang w:eastAsia="zh-CN"/>
        </w:rPr>
        <w:t>.</w:t>
      </w:r>
      <w:r w:rsidRPr="00463038">
        <w:rPr>
          <w:rFonts w:ascii="Book Antiqua" w:hAnsi="Book Antiqua"/>
          <w:b/>
        </w:rPr>
        <w:t xml:space="preserve"> </w:t>
      </w:r>
      <w:r w:rsidRPr="00463038">
        <w:rPr>
          <w:rFonts w:ascii="Book Antiqua" w:hAnsi="Book Antiqua"/>
        </w:rPr>
        <w:t>Hepatic manifestations of IBD therapy</w:t>
      </w:r>
    </w:p>
    <w:p w:rsidR="00C5057E" w:rsidRPr="00463038" w:rsidRDefault="00C5057E" w:rsidP="001E275D">
      <w:pPr>
        <w:pStyle w:val="NormalWeb"/>
        <w:spacing w:after="0" w:line="360" w:lineRule="auto"/>
        <w:jc w:val="both"/>
        <w:rPr>
          <w:rFonts w:ascii="Book Antiqua" w:hAnsi="Book Antiqua"/>
          <w:lang w:eastAsia="zh-CN"/>
        </w:rPr>
      </w:pPr>
    </w:p>
    <w:p w:rsidR="00C5057E" w:rsidRPr="00463038" w:rsidRDefault="00C5057E" w:rsidP="001E275D">
      <w:pPr>
        <w:pStyle w:val="NormalWeb"/>
        <w:spacing w:after="0" w:line="360" w:lineRule="auto"/>
        <w:jc w:val="both"/>
        <w:rPr>
          <w:rFonts w:ascii="Book Antiqua" w:hAnsi="Book Antiqua"/>
          <w:b/>
          <w:lang w:eastAsia="zh-CN"/>
        </w:rPr>
      </w:pPr>
      <w:r w:rsidRPr="00463038">
        <w:rPr>
          <w:rFonts w:ascii="Book Antiqua" w:hAnsi="Book Antiqua"/>
          <w:b/>
        </w:rPr>
        <w:t>Robert Hirten, Keith Sultan, Ashby Thomas, David Bernstein</w:t>
      </w:r>
    </w:p>
    <w:p w:rsidR="00C5057E" w:rsidRPr="00463038" w:rsidRDefault="00C5057E" w:rsidP="001E275D">
      <w:pPr>
        <w:pStyle w:val="NormalWeb"/>
        <w:spacing w:after="0" w:line="360" w:lineRule="auto"/>
        <w:jc w:val="both"/>
        <w:rPr>
          <w:rFonts w:ascii="Book Antiqua" w:hAnsi="Book Antiqua"/>
          <w:lang w:eastAsia="zh-CN"/>
        </w:rPr>
      </w:pPr>
    </w:p>
    <w:p w:rsidR="00C5057E" w:rsidRPr="00463038" w:rsidRDefault="00C5057E" w:rsidP="001E275D">
      <w:pPr>
        <w:pStyle w:val="NormalWeb"/>
        <w:spacing w:after="0" w:line="360" w:lineRule="auto"/>
        <w:jc w:val="both"/>
        <w:rPr>
          <w:rFonts w:ascii="Book Antiqua" w:hAnsi="Book Antiqua"/>
          <w:lang w:eastAsia="zh-CN"/>
        </w:rPr>
      </w:pPr>
      <w:r w:rsidRPr="00463038">
        <w:rPr>
          <w:rFonts w:ascii="Book Antiqua" w:hAnsi="Book Antiqua"/>
          <w:b/>
        </w:rPr>
        <w:t>Robert Hirten,</w:t>
      </w:r>
      <w:r w:rsidRPr="00463038">
        <w:rPr>
          <w:rFonts w:ascii="Book Antiqua" w:hAnsi="Book Antiqua"/>
          <w:b/>
          <w:lang w:eastAsia="zh-CN"/>
        </w:rPr>
        <w:t xml:space="preserve"> </w:t>
      </w:r>
      <w:r w:rsidRPr="00463038">
        <w:rPr>
          <w:rFonts w:ascii="Book Antiqua" w:hAnsi="Book Antiqua"/>
          <w:b/>
        </w:rPr>
        <w:t>Keith Sultan,</w:t>
      </w:r>
      <w:r w:rsidRPr="00463038">
        <w:rPr>
          <w:rFonts w:ascii="Book Antiqua" w:hAnsi="Book Antiqua"/>
          <w:b/>
          <w:lang w:eastAsia="zh-CN"/>
        </w:rPr>
        <w:t xml:space="preserve"> </w:t>
      </w:r>
      <w:r w:rsidRPr="00463038">
        <w:rPr>
          <w:rFonts w:ascii="Book Antiqua" w:hAnsi="Book Antiqua"/>
          <w:b/>
        </w:rPr>
        <w:t>Ashby Thomas,</w:t>
      </w:r>
      <w:r w:rsidRPr="00463038">
        <w:rPr>
          <w:rFonts w:ascii="Book Antiqua" w:hAnsi="Book Antiqua"/>
          <w:b/>
          <w:lang w:eastAsia="zh-CN"/>
        </w:rPr>
        <w:t xml:space="preserve"> </w:t>
      </w:r>
      <w:r w:rsidRPr="00463038">
        <w:rPr>
          <w:rFonts w:ascii="Book Antiqua" w:hAnsi="Book Antiqua"/>
          <w:b/>
        </w:rPr>
        <w:t>David Bernstein,</w:t>
      </w:r>
      <w:r w:rsidRPr="00463038">
        <w:rPr>
          <w:rFonts w:ascii="Book Antiqua" w:hAnsi="Book Antiqua"/>
          <w:b/>
          <w:lang w:eastAsia="zh-CN"/>
        </w:rPr>
        <w:t xml:space="preserve"> </w:t>
      </w:r>
      <w:r w:rsidRPr="00463038">
        <w:rPr>
          <w:rFonts w:ascii="Book Antiqua" w:hAnsi="Book Antiqua"/>
        </w:rPr>
        <w:t>Division of Gastroenterology, Hepatology and Nutrition, North Shore University Hospital-Long Island Jewish Medical Center, Manhasset, NY 11030</w:t>
      </w:r>
      <w:r w:rsidRPr="00463038">
        <w:rPr>
          <w:rFonts w:ascii="Book Antiqua" w:hAnsi="Book Antiqua"/>
          <w:lang w:eastAsia="zh-CN"/>
        </w:rPr>
        <w:t>, United States</w:t>
      </w:r>
    </w:p>
    <w:p w:rsidR="00C5057E" w:rsidRPr="00463038" w:rsidRDefault="00C5057E" w:rsidP="001E275D">
      <w:pPr>
        <w:pStyle w:val="NormalWeb"/>
        <w:spacing w:after="0" w:line="360" w:lineRule="auto"/>
        <w:jc w:val="both"/>
        <w:rPr>
          <w:rFonts w:ascii="Book Antiqua" w:hAnsi="Book Antiqua"/>
          <w:lang w:eastAsia="zh-CN"/>
        </w:rPr>
      </w:pPr>
    </w:p>
    <w:p w:rsidR="00C5057E" w:rsidRPr="00463038" w:rsidRDefault="00C5057E" w:rsidP="001E275D">
      <w:pPr>
        <w:widowControl w:val="0"/>
        <w:autoSpaceDE w:val="0"/>
        <w:autoSpaceDN w:val="0"/>
        <w:adjustRightInd w:val="0"/>
        <w:spacing w:line="360" w:lineRule="auto"/>
        <w:jc w:val="both"/>
        <w:rPr>
          <w:rFonts w:ascii="Book Antiqua" w:hAnsi="Book Antiqua" w:cs="TimesNewRomanPSMT"/>
          <w:lang w:eastAsia="zh-CN"/>
        </w:rPr>
      </w:pPr>
      <w:r w:rsidRPr="00463038">
        <w:rPr>
          <w:rFonts w:ascii="Book Antiqua" w:hAnsi="Book Antiqua"/>
          <w:b/>
        </w:rPr>
        <w:t>Author contributions:</w:t>
      </w:r>
      <w:r w:rsidRPr="00463038">
        <w:rPr>
          <w:rFonts w:ascii="Book Antiqua" w:hAnsi="Book Antiqua"/>
          <w:b/>
          <w:lang w:eastAsia="zh-CN"/>
        </w:rPr>
        <w:t xml:space="preserve"> </w:t>
      </w:r>
      <w:r w:rsidRPr="00463038">
        <w:rPr>
          <w:rFonts w:ascii="Book Antiqua" w:hAnsi="Book Antiqua" w:cs="TimesNewRomanPSMT"/>
        </w:rPr>
        <w:t>Hirten R, Sultan K</w:t>
      </w:r>
      <w:r w:rsidRPr="00463038">
        <w:rPr>
          <w:rFonts w:ascii="Book Antiqua" w:hAnsi="Book Antiqua" w:cs="TimesNewRomanPSMT"/>
          <w:lang w:eastAsia="zh-CN"/>
        </w:rPr>
        <w:t xml:space="preserve"> and</w:t>
      </w:r>
      <w:r w:rsidRPr="00463038">
        <w:rPr>
          <w:rFonts w:ascii="Book Antiqua" w:hAnsi="Book Antiqua" w:cs="TimesNewRomanPSMT"/>
        </w:rPr>
        <w:t xml:space="preserve"> Bernstein D</w:t>
      </w:r>
      <w:r w:rsidRPr="00463038">
        <w:rPr>
          <w:rFonts w:ascii="Book Antiqua" w:hAnsi="Book Antiqua" w:cs="TimesNewRomanPSMT"/>
          <w:lang w:eastAsia="zh-CN"/>
        </w:rPr>
        <w:t xml:space="preserve"> contributed to </w:t>
      </w:r>
      <w:r w:rsidRPr="00463038">
        <w:rPr>
          <w:rFonts w:ascii="Book Antiqua" w:hAnsi="Book Antiqua" w:cs="TimesNewRomanPSMT"/>
        </w:rPr>
        <w:t>conception and design</w:t>
      </w:r>
      <w:r w:rsidRPr="00463038">
        <w:rPr>
          <w:rFonts w:ascii="Book Antiqua" w:hAnsi="Book Antiqua" w:cs="TimesNewRomanPSMT"/>
          <w:lang w:eastAsia="zh-CN"/>
        </w:rPr>
        <w:t xml:space="preserve">; </w:t>
      </w:r>
      <w:r w:rsidRPr="00463038">
        <w:rPr>
          <w:rFonts w:ascii="Book Antiqua" w:hAnsi="Book Antiqua" w:cs="TimesNewRomanPSMT"/>
        </w:rPr>
        <w:t>Hirten R, Sultan K</w:t>
      </w:r>
      <w:r w:rsidRPr="00463038">
        <w:rPr>
          <w:rFonts w:ascii="Book Antiqua" w:hAnsi="Book Antiqua" w:cs="TimesNewRomanPSMT"/>
          <w:lang w:eastAsia="zh-CN"/>
        </w:rPr>
        <w:t xml:space="preserve"> and</w:t>
      </w:r>
      <w:r w:rsidRPr="00463038">
        <w:rPr>
          <w:rFonts w:ascii="Book Antiqua" w:hAnsi="Book Antiqua" w:cs="TimesNewRomanPSMT"/>
        </w:rPr>
        <w:t xml:space="preserve"> Thomas A</w:t>
      </w:r>
      <w:r w:rsidRPr="00463038">
        <w:rPr>
          <w:rFonts w:ascii="Book Antiqua" w:hAnsi="Book Antiqua" w:cs="TimesNewRomanPSMT"/>
          <w:lang w:eastAsia="zh-CN"/>
        </w:rPr>
        <w:t xml:space="preserve"> contributed to </w:t>
      </w:r>
      <w:r w:rsidRPr="00463038">
        <w:rPr>
          <w:rFonts w:ascii="Book Antiqua" w:hAnsi="Book Antiqua" w:cs="TimesNewRomanPSMT"/>
        </w:rPr>
        <w:t>drafting of the article</w:t>
      </w:r>
      <w:r w:rsidRPr="00463038">
        <w:rPr>
          <w:rFonts w:ascii="Book Antiqua" w:hAnsi="Book Antiqua" w:cs="TimesNewRomanPSMT"/>
          <w:lang w:eastAsia="zh-CN"/>
        </w:rPr>
        <w:t xml:space="preserve">; </w:t>
      </w:r>
      <w:r w:rsidRPr="00463038">
        <w:rPr>
          <w:rFonts w:ascii="Book Antiqua" w:hAnsi="Book Antiqua" w:cs="TimesNewRomanPSMT"/>
        </w:rPr>
        <w:t>Hirten R, Sultan K, Thomas A</w:t>
      </w:r>
      <w:r w:rsidRPr="00463038">
        <w:rPr>
          <w:rFonts w:ascii="Book Antiqua" w:hAnsi="Book Antiqua" w:cs="TimesNewRomanPSMT"/>
          <w:lang w:eastAsia="zh-CN"/>
        </w:rPr>
        <w:t xml:space="preserve"> and</w:t>
      </w:r>
      <w:r w:rsidRPr="00463038">
        <w:rPr>
          <w:rFonts w:ascii="Book Antiqua" w:hAnsi="Book Antiqua" w:cs="TimesNewRomanPSMT"/>
        </w:rPr>
        <w:t xml:space="preserve"> Bernstein D</w:t>
      </w:r>
      <w:r w:rsidRPr="00463038">
        <w:rPr>
          <w:rFonts w:ascii="Book Antiqua" w:hAnsi="Book Antiqua" w:cs="TimesNewRomanPSMT"/>
          <w:lang w:eastAsia="zh-CN"/>
        </w:rPr>
        <w:t xml:space="preserve"> contributed to </w:t>
      </w:r>
      <w:r w:rsidRPr="00463038">
        <w:rPr>
          <w:rFonts w:ascii="Book Antiqua" w:hAnsi="Book Antiqua" w:cs="TimesNewRomanPSMT"/>
        </w:rPr>
        <w:t>critical revision of the article for important intellectual content</w:t>
      </w:r>
      <w:r w:rsidRPr="00463038">
        <w:rPr>
          <w:rFonts w:ascii="Book Antiqua" w:hAnsi="Book Antiqua" w:cs="TimesNewRomanPSMT"/>
          <w:lang w:eastAsia="zh-CN"/>
        </w:rPr>
        <w:t xml:space="preserve">; </w:t>
      </w:r>
      <w:r w:rsidRPr="00463038">
        <w:rPr>
          <w:rFonts w:ascii="Book Antiqua" w:hAnsi="Book Antiqua" w:cs="TimesNewRomanPSMT"/>
        </w:rPr>
        <w:t>Hirten R, Sultan K, Thomas A</w:t>
      </w:r>
      <w:r w:rsidRPr="00463038">
        <w:rPr>
          <w:rFonts w:ascii="Book Antiqua" w:hAnsi="Book Antiqua" w:cs="TimesNewRomanPSMT"/>
          <w:lang w:eastAsia="zh-CN"/>
        </w:rPr>
        <w:t xml:space="preserve"> and</w:t>
      </w:r>
      <w:r w:rsidRPr="00463038">
        <w:rPr>
          <w:rFonts w:ascii="Book Antiqua" w:hAnsi="Book Antiqua" w:cs="TimesNewRomanPSMT"/>
        </w:rPr>
        <w:t xml:space="preserve"> Bernstein D</w:t>
      </w:r>
      <w:r w:rsidRPr="00463038">
        <w:rPr>
          <w:rFonts w:ascii="Book Antiqua" w:hAnsi="Book Antiqua" w:cs="TimesNewRomanPSMT"/>
          <w:lang w:eastAsia="zh-CN"/>
        </w:rPr>
        <w:t xml:space="preserve"> contributed to </w:t>
      </w:r>
      <w:r w:rsidRPr="00463038">
        <w:rPr>
          <w:rFonts w:ascii="Book Antiqua" w:hAnsi="Book Antiqua" w:cs="TimesNewRomanPSMT"/>
        </w:rPr>
        <w:t>final approval of the article</w:t>
      </w:r>
      <w:r w:rsidRPr="00463038">
        <w:rPr>
          <w:rFonts w:ascii="Book Antiqua" w:hAnsi="Book Antiqua" w:cs="TimesNewRomanPSMT"/>
          <w:lang w:eastAsia="zh-CN"/>
        </w:rPr>
        <w:t>.</w:t>
      </w:r>
    </w:p>
    <w:p w:rsidR="00C5057E" w:rsidRPr="00463038" w:rsidRDefault="00C5057E" w:rsidP="001E275D">
      <w:pPr>
        <w:spacing w:line="360" w:lineRule="auto"/>
        <w:jc w:val="both"/>
        <w:rPr>
          <w:rFonts w:ascii="Book Antiqua" w:hAnsi="Book Antiqua"/>
          <w:b/>
          <w:lang w:eastAsia="zh-CN"/>
        </w:rPr>
      </w:pPr>
    </w:p>
    <w:p w:rsidR="00C5057E" w:rsidRPr="00463038" w:rsidRDefault="00C5057E" w:rsidP="001E275D">
      <w:pPr>
        <w:widowControl w:val="0"/>
        <w:autoSpaceDE w:val="0"/>
        <w:autoSpaceDN w:val="0"/>
        <w:adjustRightInd w:val="0"/>
        <w:spacing w:line="360" w:lineRule="auto"/>
        <w:jc w:val="both"/>
        <w:rPr>
          <w:rFonts w:ascii="Book Antiqua" w:hAnsi="Book Antiqua" w:cs="TimesNewRomanPSMT"/>
        </w:rPr>
      </w:pPr>
      <w:r w:rsidRPr="00463038">
        <w:rPr>
          <w:rFonts w:ascii="Book Antiqua" w:hAnsi="Book Antiqua"/>
          <w:b/>
        </w:rPr>
        <w:t>Conflict-of-interest statement:</w:t>
      </w:r>
      <w:r w:rsidRPr="00463038">
        <w:rPr>
          <w:rFonts w:ascii="Book Antiqua" w:hAnsi="Book Antiqua"/>
          <w:b/>
          <w:lang w:eastAsia="zh-CN"/>
        </w:rPr>
        <w:t xml:space="preserve"> </w:t>
      </w:r>
      <w:r w:rsidRPr="00463038">
        <w:rPr>
          <w:rFonts w:ascii="Book Antiqua" w:hAnsi="Book Antiqua" w:cs="TimesNewRomanPSMT"/>
        </w:rPr>
        <w:t>The authors declare that no conflicts of interest exist.</w:t>
      </w:r>
    </w:p>
    <w:p w:rsidR="00C5057E" w:rsidRPr="00463038" w:rsidRDefault="00C5057E" w:rsidP="001E275D">
      <w:pPr>
        <w:spacing w:line="360" w:lineRule="auto"/>
        <w:jc w:val="both"/>
        <w:rPr>
          <w:rFonts w:ascii="Book Antiqua" w:hAnsi="Book Antiqua"/>
          <w:b/>
          <w:lang w:eastAsia="zh-CN"/>
        </w:rPr>
      </w:pPr>
    </w:p>
    <w:p w:rsidR="00C5057E" w:rsidRPr="00463038" w:rsidRDefault="00C5057E" w:rsidP="001E275D">
      <w:pPr>
        <w:spacing w:line="360" w:lineRule="auto"/>
        <w:jc w:val="both"/>
        <w:rPr>
          <w:rFonts w:ascii="Book Antiqua" w:hAnsi="Book Antiqua"/>
        </w:rPr>
      </w:pPr>
      <w:bookmarkStart w:id="0" w:name="OLE_LINK507"/>
      <w:bookmarkStart w:id="1" w:name="OLE_LINK506"/>
      <w:bookmarkStart w:id="2" w:name="OLE_LINK496"/>
      <w:bookmarkStart w:id="3" w:name="OLE_LINK479"/>
      <w:r w:rsidRPr="00463038">
        <w:rPr>
          <w:rFonts w:ascii="Book Antiqua" w:hAnsi="Book Antiqua"/>
          <w:b/>
        </w:rPr>
        <w:t xml:space="preserve">Open-Access: </w:t>
      </w:r>
      <w:r w:rsidRPr="00463038">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5057E" w:rsidRPr="00463038" w:rsidRDefault="00C5057E" w:rsidP="001E275D">
      <w:pPr>
        <w:spacing w:line="360" w:lineRule="auto"/>
        <w:jc w:val="both"/>
        <w:rPr>
          <w:rFonts w:ascii="Book Antiqua" w:hAnsi="Book Antiqua"/>
          <w:b/>
          <w:lang w:eastAsia="zh-CN"/>
        </w:rPr>
      </w:pPr>
    </w:p>
    <w:p w:rsidR="00C5057E" w:rsidRPr="00463038" w:rsidRDefault="00C5057E" w:rsidP="001E275D">
      <w:pPr>
        <w:pStyle w:val="NormalWeb"/>
        <w:spacing w:after="0" w:line="360" w:lineRule="auto"/>
        <w:jc w:val="both"/>
        <w:rPr>
          <w:rFonts w:ascii="Book Antiqua" w:hAnsi="Book Antiqua"/>
          <w:lang w:eastAsia="zh-CN"/>
        </w:rPr>
      </w:pPr>
      <w:r w:rsidRPr="00463038">
        <w:rPr>
          <w:rFonts w:ascii="Book Antiqua" w:hAnsi="Book Antiqua"/>
          <w:b/>
        </w:rPr>
        <w:t>Correspondence to:</w:t>
      </w:r>
      <w:r w:rsidRPr="00463038">
        <w:rPr>
          <w:rFonts w:ascii="Book Antiqua" w:hAnsi="Book Antiqua"/>
          <w:b/>
          <w:lang w:eastAsia="zh-CN"/>
        </w:rPr>
        <w:t xml:space="preserve"> </w:t>
      </w:r>
      <w:r w:rsidRPr="00463038">
        <w:rPr>
          <w:rFonts w:ascii="Book Antiqua" w:hAnsi="Book Antiqua"/>
          <w:b/>
        </w:rPr>
        <w:t xml:space="preserve">Dr. David Bernstein, </w:t>
      </w:r>
      <w:r w:rsidRPr="00463038">
        <w:rPr>
          <w:rFonts w:ascii="Book Antiqua" w:hAnsi="Book Antiqua"/>
          <w:b/>
          <w:lang w:eastAsia="zh-CN"/>
        </w:rPr>
        <w:t xml:space="preserve">MD, </w:t>
      </w:r>
      <w:r w:rsidRPr="00463038">
        <w:rPr>
          <w:rFonts w:ascii="Book Antiqua" w:hAnsi="Book Antiqua"/>
          <w:b/>
        </w:rPr>
        <w:t>Chief</w:t>
      </w:r>
      <w:r w:rsidRPr="00463038">
        <w:rPr>
          <w:rFonts w:ascii="Book Antiqua" w:hAnsi="Book Antiqua"/>
          <w:b/>
          <w:lang w:eastAsia="zh-CN"/>
        </w:rPr>
        <w:t xml:space="preserve"> </w:t>
      </w:r>
      <w:r w:rsidRPr="00463038">
        <w:rPr>
          <w:rFonts w:ascii="Book Antiqua" w:hAnsi="Book Antiqua"/>
          <w:lang w:eastAsia="zh-CN"/>
        </w:rPr>
        <w:t>of</w:t>
      </w:r>
      <w:r w:rsidRPr="00463038">
        <w:rPr>
          <w:rFonts w:ascii="Book Antiqua" w:hAnsi="Book Antiqua"/>
        </w:rPr>
        <w:t xml:space="preserve"> Division of Hepatology</w:t>
      </w:r>
      <w:r w:rsidRPr="00463038">
        <w:rPr>
          <w:rFonts w:ascii="Book Antiqua" w:hAnsi="Book Antiqua"/>
          <w:lang w:eastAsia="zh-CN"/>
        </w:rPr>
        <w:t>,</w:t>
      </w:r>
      <w:r w:rsidRPr="00463038">
        <w:rPr>
          <w:rFonts w:ascii="Book Antiqua" w:hAnsi="Book Antiqua"/>
        </w:rPr>
        <w:t xml:space="preserve"> Division of Gastroenterology, Hepatology and Nutrition, North Shore University Hospital-Long Island Jewish Medical Center, 300 Community Drive, Manhasset, NY 11030, United States</w:t>
      </w:r>
      <w:r w:rsidRPr="00463038">
        <w:rPr>
          <w:rFonts w:ascii="Book Antiqua" w:hAnsi="Book Antiqua"/>
          <w:lang w:eastAsia="zh-CN"/>
        </w:rPr>
        <w:t xml:space="preserve">. </w:t>
      </w:r>
      <w:r w:rsidRPr="00463038">
        <w:rPr>
          <w:rFonts w:ascii="Book Antiqua" w:hAnsi="Book Antiqua" w:cs="Tahoma"/>
          <w:color w:val="000000"/>
        </w:rPr>
        <w:t>dbernste@nshs.edu</w:t>
      </w:r>
    </w:p>
    <w:p w:rsidR="00C5057E" w:rsidRPr="00463038" w:rsidRDefault="00C5057E" w:rsidP="001E275D">
      <w:pPr>
        <w:pStyle w:val="NormalWeb"/>
        <w:spacing w:after="0" w:line="360" w:lineRule="auto"/>
        <w:jc w:val="both"/>
        <w:rPr>
          <w:rFonts w:ascii="Book Antiqua" w:hAnsi="Book Antiqua"/>
          <w:lang w:eastAsia="zh-CN"/>
        </w:rPr>
      </w:pPr>
      <w:r w:rsidRPr="00463038">
        <w:rPr>
          <w:rFonts w:ascii="Book Antiqua" w:hAnsi="Book Antiqua"/>
          <w:b/>
          <w:bCs/>
          <w:color w:val="000000"/>
        </w:rPr>
        <w:t>Telephone:</w:t>
      </w:r>
      <w:r w:rsidRPr="00463038">
        <w:rPr>
          <w:rFonts w:ascii="Book Antiqua" w:hAnsi="Book Antiqua"/>
        </w:rPr>
        <w:t xml:space="preserve"> +1-516-5622061</w:t>
      </w:r>
    </w:p>
    <w:p w:rsidR="00C5057E" w:rsidRPr="00463038" w:rsidRDefault="00C5057E" w:rsidP="001E275D">
      <w:pPr>
        <w:pStyle w:val="NormalWeb"/>
        <w:spacing w:after="0" w:line="360" w:lineRule="auto"/>
        <w:jc w:val="both"/>
        <w:rPr>
          <w:rFonts w:ascii="Book Antiqua" w:hAnsi="Book Antiqua"/>
        </w:rPr>
      </w:pPr>
      <w:r w:rsidRPr="00463038">
        <w:rPr>
          <w:rFonts w:ascii="Book Antiqua" w:hAnsi="Book Antiqua"/>
          <w:b/>
        </w:rPr>
        <w:t>Fax:</w:t>
      </w:r>
      <w:r w:rsidRPr="00463038">
        <w:rPr>
          <w:rFonts w:ascii="Book Antiqua" w:hAnsi="Book Antiqua"/>
        </w:rPr>
        <w:t xml:space="preserve"> +1-516-5622688</w:t>
      </w:r>
    </w:p>
    <w:p w:rsidR="00C5057E" w:rsidRPr="00463038" w:rsidRDefault="00C5057E" w:rsidP="001E275D">
      <w:pPr>
        <w:widowControl w:val="0"/>
        <w:autoSpaceDE w:val="0"/>
        <w:autoSpaceDN w:val="0"/>
        <w:adjustRightInd w:val="0"/>
        <w:spacing w:line="360" w:lineRule="auto"/>
        <w:jc w:val="both"/>
        <w:rPr>
          <w:rFonts w:ascii="Book Antiqua" w:hAnsi="Book Antiqua" w:cs="TimesNewRomanPSMT"/>
        </w:rPr>
      </w:pPr>
    </w:p>
    <w:p w:rsidR="00C5057E" w:rsidRPr="00463038" w:rsidRDefault="00C5057E" w:rsidP="0062573A">
      <w:pPr>
        <w:spacing w:line="360" w:lineRule="auto"/>
        <w:jc w:val="both"/>
        <w:rPr>
          <w:rFonts w:ascii="Book Antiqua" w:hAnsi="Book Antiqua"/>
          <w:b/>
        </w:rPr>
      </w:pPr>
      <w:r w:rsidRPr="00463038">
        <w:rPr>
          <w:rFonts w:ascii="Book Antiqua" w:hAnsi="Book Antiqua"/>
          <w:b/>
        </w:rPr>
        <w:t>Received:</w:t>
      </w:r>
      <w:r w:rsidRPr="00463038">
        <w:rPr>
          <w:rFonts w:ascii="Book Antiqua" w:hAnsi="Book Antiqua"/>
          <w:b/>
          <w:lang w:eastAsia="zh-CN"/>
        </w:rPr>
        <w:t xml:space="preserve"> </w:t>
      </w:r>
      <w:r w:rsidRPr="00463038">
        <w:rPr>
          <w:rFonts w:ascii="Book Antiqua" w:hAnsi="Book Antiqua"/>
          <w:lang w:eastAsia="zh-CN"/>
        </w:rPr>
        <w:t>June 28, 2015</w:t>
      </w:r>
      <w:r w:rsidRPr="00463038">
        <w:rPr>
          <w:rFonts w:ascii="Book Antiqua" w:hAnsi="Book Antiqua"/>
        </w:rPr>
        <w:t xml:space="preserve">   </w:t>
      </w:r>
    </w:p>
    <w:p w:rsidR="00C5057E" w:rsidRPr="00463038" w:rsidRDefault="00C5057E" w:rsidP="0062573A">
      <w:pPr>
        <w:spacing w:line="360" w:lineRule="auto"/>
        <w:jc w:val="both"/>
        <w:rPr>
          <w:rFonts w:ascii="Book Antiqua" w:hAnsi="Book Antiqua"/>
          <w:b/>
          <w:lang w:eastAsia="zh-CN"/>
        </w:rPr>
      </w:pPr>
      <w:r w:rsidRPr="00463038">
        <w:rPr>
          <w:rFonts w:ascii="Book Antiqua" w:hAnsi="Book Antiqua"/>
          <w:b/>
        </w:rPr>
        <w:t>Peer-review started:</w:t>
      </w:r>
      <w:r w:rsidRPr="00463038">
        <w:rPr>
          <w:rFonts w:ascii="Book Antiqua" w:hAnsi="Book Antiqua"/>
          <w:b/>
          <w:lang w:eastAsia="zh-CN"/>
        </w:rPr>
        <w:t xml:space="preserve"> </w:t>
      </w:r>
      <w:r w:rsidRPr="00463038">
        <w:rPr>
          <w:rFonts w:ascii="Book Antiqua" w:hAnsi="Book Antiqua"/>
          <w:lang w:eastAsia="zh-CN"/>
        </w:rPr>
        <w:t>June 29, 2015</w:t>
      </w:r>
      <w:r w:rsidRPr="00463038">
        <w:rPr>
          <w:rFonts w:ascii="Book Antiqua" w:hAnsi="Book Antiqua"/>
        </w:rPr>
        <w:t xml:space="preserve"> </w:t>
      </w:r>
      <w:r w:rsidRPr="00463038">
        <w:rPr>
          <w:rFonts w:ascii="Book Antiqua" w:hAnsi="Book Antiqua"/>
          <w:b/>
        </w:rPr>
        <w:t xml:space="preserve">  </w:t>
      </w:r>
    </w:p>
    <w:p w:rsidR="00C5057E" w:rsidRPr="00463038" w:rsidRDefault="00C5057E" w:rsidP="0062573A">
      <w:pPr>
        <w:spacing w:line="360" w:lineRule="auto"/>
        <w:jc w:val="both"/>
        <w:rPr>
          <w:rFonts w:ascii="Book Antiqua" w:hAnsi="Book Antiqua"/>
          <w:b/>
          <w:lang w:eastAsia="zh-CN"/>
        </w:rPr>
      </w:pPr>
      <w:r w:rsidRPr="00463038">
        <w:rPr>
          <w:rFonts w:ascii="Book Antiqua" w:hAnsi="Book Antiqua"/>
          <w:b/>
        </w:rPr>
        <w:t>First decision:</w:t>
      </w:r>
      <w:r w:rsidRPr="00463038">
        <w:rPr>
          <w:rFonts w:ascii="Book Antiqua" w:hAnsi="Book Antiqua"/>
          <w:b/>
          <w:lang w:eastAsia="zh-CN"/>
        </w:rPr>
        <w:t xml:space="preserve"> </w:t>
      </w:r>
      <w:r w:rsidRPr="00463038">
        <w:rPr>
          <w:rFonts w:ascii="Book Antiqua" w:hAnsi="Book Antiqua"/>
          <w:lang w:eastAsia="zh-CN"/>
        </w:rPr>
        <w:t>July 28, 2015</w:t>
      </w:r>
    </w:p>
    <w:p w:rsidR="00C5057E" w:rsidRPr="00463038" w:rsidRDefault="00C5057E" w:rsidP="0062573A">
      <w:pPr>
        <w:spacing w:line="360" w:lineRule="auto"/>
        <w:rPr>
          <w:rFonts w:ascii="Book Antiqua" w:hAnsi="Book Antiqua"/>
          <w:lang w:eastAsia="zh-CN"/>
        </w:rPr>
      </w:pPr>
      <w:r w:rsidRPr="00463038">
        <w:rPr>
          <w:rFonts w:ascii="Book Antiqua" w:hAnsi="Book Antiqua"/>
          <w:b/>
        </w:rPr>
        <w:t xml:space="preserve">Revised: </w:t>
      </w:r>
      <w:r w:rsidRPr="00463038">
        <w:rPr>
          <w:rFonts w:ascii="Book Antiqua" w:hAnsi="Book Antiqua"/>
        </w:rPr>
        <w:t>October</w:t>
      </w:r>
      <w:r w:rsidRPr="00463038">
        <w:rPr>
          <w:rFonts w:ascii="Book Antiqua" w:hAnsi="Book Antiqua"/>
          <w:lang w:eastAsia="zh-CN"/>
        </w:rPr>
        <w:t xml:space="preserve"> 25, 2015</w:t>
      </w:r>
    </w:p>
    <w:p w:rsidR="00C5057E" w:rsidRPr="00D979AE" w:rsidRDefault="00C5057E" w:rsidP="0062573A">
      <w:pPr>
        <w:spacing w:line="360" w:lineRule="auto"/>
        <w:rPr>
          <w:rFonts w:ascii="Book Antiqua" w:hAnsi="Book Antiqua"/>
          <w:iCs/>
        </w:rPr>
      </w:pPr>
      <w:r w:rsidRPr="00463038">
        <w:rPr>
          <w:rFonts w:ascii="Book Antiqua" w:hAnsi="Book Antiqua"/>
          <w:b/>
        </w:rPr>
        <w:t xml:space="preserve">Accepted: </w:t>
      </w:r>
      <w:r>
        <w:rPr>
          <w:rStyle w:val="Emphasis"/>
          <w:iCs/>
        </w:rPr>
        <w:t>November 13</w:t>
      </w:r>
      <w:r w:rsidRPr="00235CD4">
        <w:rPr>
          <w:rStyle w:val="Emphasis"/>
          <w:iCs/>
        </w:rPr>
        <w:t>, 2015</w:t>
      </w:r>
      <w:r w:rsidRPr="00463038">
        <w:rPr>
          <w:rFonts w:ascii="Book Antiqua" w:hAnsi="Book Antiqua"/>
          <w:b/>
        </w:rPr>
        <w:t xml:space="preserve"> </w:t>
      </w:r>
    </w:p>
    <w:p w:rsidR="00C5057E" w:rsidRPr="00463038" w:rsidRDefault="00C5057E" w:rsidP="0062573A">
      <w:pPr>
        <w:spacing w:line="360" w:lineRule="auto"/>
        <w:jc w:val="both"/>
        <w:rPr>
          <w:rFonts w:ascii="Book Antiqua" w:hAnsi="Book Antiqua"/>
          <w:b/>
        </w:rPr>
      </w:pPr>
      <w:r w:rsidRPr="00463038">
        <w:rPr>
          <w:rFonts w:ascii="Book Antiqua" w:hAnsi="Book Antiqua"/>
          <w:b/>
        </w:rPr>
        <w:t>Article in press:</w:t>
      </w:r>
    </w:p>
    <w:p w:rsidR="00C5057E" w:rsidRPr="00463038" w:rsidRDefault="00C5057E" w:rsidP="0062573A">
      <w:pPr>
        <w:spacing w:line="360" w:lineRule="auto"/>
        <w:jc w:val="both"/>
        <w:rPr>
          <w:rFonts w:ascii="Book Antiqua" w:hAnsi="Book Antiqua"/>
          <w:b/>
        </w:rPr>
      </w:pPr>
      <w:r w:rsidRPr="00463038">
        <w:rPr>
          <w:rFonts w:ascii="Book Antiqua" w:hAnsi="Book Antiqua"/>
          <w:b/>
        </w:rPr>
        <w:t xml:space="preserve">Published online: </w:t>
      </w:r>
    </w:p>
    <w:p w:rsidR="00C5057E" w:rsidRPr="00463038" w:rsidRDefault="00C5057E" w:rsidP="001E275D">
      <w:pPr>
        <w:spacing w:line="360" w:lineRule="auto"/>
        <w:jc w:val="both"/>
        <w:rPr>
          <w:rFonts w:ascii="Book Antiqua" w:hAnsi="Book Antiqua"/>
          <w:b/>
          <w:lang w:eastAsia="zh-CN"/>
        </w:rPr>
      </w:pPr>
      <w:r w:rsidRPr="00463038">
        <w:rPr>
          <w:rFonts w:ascii="Book Antiqua" w:hAnsi="Book Antiqua"/>
        </w:rPr>
        <w:br w:type="page"/>
      </w:r>
      <w:r w:rsidRPr="00463038">
        <w:rPr>
          <w:rFonts w:ascii="Book Antiqua" w:hAnsi="Book Antiqua"/>
          <w:b/>
        </w:rPr>
        <w:t>Abstract</w:t>
      </w:r>
    </w:p>
    <w:p w:rsidR="00C5057E" w:rsidRPr="00463038" w:rsidRDefault="00C5057E" w:rsidP="001E275D">
      <w:pPr>
        <w:spacing w:line="360" w:lineRule="auto"/>
        <w:jc w:val="both"/>
        <w:rPr>
          <w:rFonts w:ascii="Book Antiqua" w:hAnsi="Book Antiqua"/>
        </w:rPr>
      </w:pPr>
      <w:r w:rsidRPr="00463038">
        <w:rPr>
          <w:rFonts w:ascii="Book Antiqua" w:hAnsi="Book Antiqua"/>
        </w:rPr>
        <w:t xml:space="preserve">Inflammatory bowel disease (IBD) is composed of Crohn’s disease and ulcerative colitis and is manifested by both bowel-related and extraintestinal manifestations. Recently the number of therapeutic options available to treat IBD has dramatically increased, with each new medication having its own mechanism of action and side effect profile. A complete understanding of the hepatotoxicity of these medications is important in order to distinguish these complications from the hepatic manifestations of IBD. This review seeks to evaluate the hepatobiliary complications of non-steroid based IBD medications and aide providers in the recognition and management of these side-effects.  </w:t>
      </w:r>
    </w:p>
    <w:p w:rsidR="00C5057E" w:rsidRPr="00463038" w:rsidRDefault="00C5057E" w:rsidP="001E275D">
      <w:pPr>
        <w:spacing w:line="360" w:lineRule="auto"/>
        <w:jc w:val="both"/>
        <w:rPr>
          <w:rFonts w:ascii="Book Antiqua" w:hAnsi="Book Antiqua"/>
        </w:rPr>
      </w:pPr>
    </w:p>
    <w:p w:rsidR="00C5057E" w:rsidRPr="00463038" w:rsidRDefault="00C5057E" w:rsidP="001E275D">
      <w:pPr>
        <w:spacing w:line="360" w:lineRule="auto"/>
        <w:jc w:val="both"/>
        <w:rPr>
          <w:rFonts w:ascii="Book Antiqua" w:hAnsi="Book Antiqua"/>
          <w:b/>
        </w:rPr>
      </w:pPr>
      <w:r w:rsidRPr="00463038">
        <w:rPr>
          <w:rFonts w:ascii="Book Antiqua" w:hAnsi="Book Antiqua"/>
          <w:b/>
        </w:rPr>
        <w:t>Key words:</w:t>
      </w:r>
      <w:r w:rsidRPr="00463038">
        <w:rPr>
          <w:rFonts w:ascii="Book Antiqua" w:hAnsi="Book Antiqua"/>
          <w:b/>
          <w:lang w:eastAsia="zh-CN"/>
        </w:rPr>
        <w:t xml:space="preserve"> </w:t>
      </w:r>
      <w:r w:rsidRPr="00463038">
        <w:rPr>
          <w:rFonts w:ascii="Book Antiqua" w:hAnsi="Book Antiqua"/>
        </w:rPr>
        <w:t>Inflammatory bowel disease</w:t>
      </w:r>
      <w:r w:rsidRPr="00463038">
        <w:rPr>
          <w:rFonts w:ascii="Book Antiqua" w:hAnsi="Book Antiqua"/>
          <w:lang w:eastAsia="zh-CN"/>
        </w:rPr>
        <w:t>;</w:t>
      </w:r>
      <w:r w:rsidRPr="00463038">
        <w:rPr>
          <w:rFonts w:ascii="Book Antiqua" w:hAnsi="Book Antiqua"/>
        </w:rPr>
        <w:t xml:space="preserve"> Hepatotoxicity</w:t>
      </w:r>
      <w:r w:rsidRPr="00463038">
        <w:rPr>
          <w:rFonts w:ascii="Book Antiqua" w:hAnsi="Book Antiqua"/>
          <w:lang w:eastAsia="zh-CN"/>
        </w:rPr>
        <w:t>;</w:t>
      </w:r>
      <w:r w:rsidRPr="00463038">
        <w:rPr>
          <w:rFonts w:ascii="Book Antiqua" w:hAnsi="Book Antiqua"/>
        </w:rPr>
        <w:t xml:space="preserve"> Adverse drug reactions</w:t>
      </w:r>
      <w:r w:rsidRPr="00463038">
        <w:rPr>
          <w:rFonts w:ascii="Book Antiqua" w:hAnsi="Book Antiqua"/>
          <w:lang w:eastAsia="zh-CN"/>
        </w:rPr>
        <w:t>;</w:t>
      </w:r>
      <w:r w:rsidRPr="00463038">
        <w:rPr>
          <w:rFonts w:ascii="Book Antiqua" w:hAnsi="Book Antiqua"/>
        </w:rPr>
        <w:t xml:space="preserve"> Drug induced liver injury</w:t>
      </w:r>
      <w:r w:rsidRPr="00463038">
        <w:rPr>
          <w:rFonts w:ascii="Book Antiqua" w:hAnsi="Book Antiqua"/>
          <w:lang w:eastAsia="zh-CN"/>
        </w:rPr>
        <w:t>;</w:t>
      </w:r>
      <w:r w:rsidRPr="00463038">
        <w:rPr>
          <w:rFonts w:ascii="Book Antiqua" w:hAnsi="Book Antiqua"/>
        </w:rPr>
        <w:t xml:space="preserve"> Crohn’s disease</w:t>
      </w:r>
      <w:r w:rsidRPr="00463038">
        <w:rPr>
          <w:rFonts w:ascii="Book Antiqua" w:hAnsi="Book Antiqua"/>
          <w:lang w:eastAsia="zh-CN"/>
        </w:rPr>
        <w:t>;</w:t>
      </w:r>
      <w:r w:rsidRPr="00463038">
        <w:rPr>
          <w:rFonts w:ascii="Book Antiqua" w:hAnsi="Book Antiqua"/>
        </w:rPr>
        <w:t xml:space="preserve"> Ulcerative colitis</w:t>
      </w:r>
    </w:p>
    <w:p w:rsidR="00C5057E" w:rsidRPr="00463038" w:rsidRDefault="00C5057E" w:rsidP="001E275D">
      <w:pPr>
        <w:spacing w:line="360" w:lineRule="auto"/>
        <w:jc w:val="both"/>
        <w:rPr>
          <w:rFonts w:ascii="Book Antiqua" w:hAnsi="Book Antiqua"/>
        </w:rPr>
      </w:pPr>
    </w:p>
    <w:p w:rsidR="00C5057E" w:rsidRPr="00463038" w:rsidRDefault="00C5057E" w:rsidP="001E275D">
      <w:pPr>
        <w:snapToGrid w:val="0"/>
        <w:spacing w:line="360" w:lineRule="auto"/>
        <w:jc w:val="both"/>
        <w:rPr>
          <w:rFonts w:ascii="Book Antiqua" w:hAnsi="Book Antiqua"/>
        </w:rPr>
      </w:pPr>
      <w:r w:rsidRPr="00463038">
        <w:rPr>
          <w:rFonts w:ascii="Book Antiqua" w:hAnsi="Book Antiqua"/>
        </w:rPr>
        <w:t xml:space="preserve">© </w:t>
      </w:r>
      <w:r w:rsidRPr="00463038">
        <w:rPr>
          <w:rFonts w:ascii="Book Antiqua" w:hAnsi="Book Antiqua"/>
          <w:b/>
        </w:rPr>
        <w:t>The Author(s) 2015</w:t>
      </w:r>
      <w:r w:rsidRPr="00463038">
        <w:rPr>
          <w:rFonts w:ascii="Book Antiqua" w:hAnsi="Book Antiqua"/>
        </w:rPr>
        <w:t>. Published by Baishideng Publishing Group Inc. All rights reserved.</w:t>
      </w:r>
    </w:p>
    <w:p w:rsidR="00C5057E" w:rsidRPr="00463038" w:rsidRDefault="00C5057E" w:rsidP="001E275D">
      <w:pPr>
        <w:spacing w:line="360" w:lineRule="auto"/>
        <w:jc w:val="both"/>
        <w:rPr>
          <w:rFonts w:ascii="Book Antiqua" w:hAnsi="Book Antiqua"/>
        </w:rPr>
      </w:pPr>
    </w:p>
    <w:p w:rsidR="00C5057E" w:rsidRPr="00463038" w:rsidRDefault="00C5057E" w:rsidP="001E275D">
      <w:pPr>
        <w:spacing w:line="360" w:lineRule="auto"/>
        <w:jc w:val="both"/>
        <w:rPr>
          <w:rStyle w:val="hui12181"/>
          <w:rFonts w:ascii="Book Antiqua" w:hAnsi="Book Antiqua" w:cs="Times New Roman"/>
          <w:b/>
          <w:color w:val="auto"/>
          <w:sz w:val="24"/>
          <w:szCs w:val="24"/>
        </w:rPr>
      </w:pPr>
      <w:r w:rsidRPr="00463038">
        <w:rPr>
          <w:rFonts w:ascii="Book Antiqua" w:hAnsi="Book Antiqua"/>
          <w:b/>
        </w:rPr>
        <w:t xml:space="preserve">Core tip: </w:t>
      </w:r>
      <w:r w:rsidRPr="00463038">
        <w:rPr>
          <w:rStyle w:val="hui12181"/>
          <w:rFonts w:ascii="Book Antiqua" w:hAnsi="Book Antiqua"/>
          <w:color w:val="000000"/>
          <w:sz w:val="24"/>
          <w:szCs w:val="24"/>
        </w:rPr>
        <w:t xml:space="preserve">Recently the number of medical therapies for inflammatory bowel disease </w:t>
      </w:r>
      <w:r w:rsidRPr="00463038">
        <w:rPr>
          <w:rStyle w:val="hui12181"/>
          <w:rFonts w:ascii="Book Antiqua" w:hAnsi="Book Antiqua"/>
          <w:color w:val="000000"/>
          <w:sz w:val="24"/>
          <w:szCs w:val="24"/>
          <w:lang w:eastAsia="zh-CN"/>
        </w:rPr>
        <w:t>(</w:t>
      </w:r>
      <w:r w:rsidRPr="00463038">
        <w:rPr>
          <w:rStyle w:val="hui12181"/>
          <w:rFonts w:ascii="Book Antiqua" w:hAnsi="Book Antiqua"/>
          <w:color w:val="000000"/>
          <w:sz w:val="24"/>
          <w:szCs w:val="24"/>
        </w:rPr>
        <w:t>IBD</w:t>
      </w:r>
      <w:r w:rsidRPr="00463038">
        <w:rPr>
          <w:rStyle w:val="hui12181"/>
          <w:rFonts w:ascii="Book Antiqua" w:hAnsi="Book Antiqua"/>
          <w:color w:val="000000"/>
          <w:sz w:val="24"/>
          <w:szCs w:val="24"/>
          <w:lang w:eastAsia="zh-CN"/>
        </w:rPr>
        <w:t>)</w:t>
      </w:r>
      <w:r w:rsidRPr="00463038">
        <w:rPr>
          <w:rStyle w:val="hui12181"/>
          <w:rFonts w:ascii="Book Antiqua" w:hAnsi="Book Antiqua"/>
          <w:color w:val="000000"/>
          <w:sz w:val="24"/>
          <w:szCs w:val="24"/>
        </w:rPr>
        <w:t xml:space="preserve"> has greatly increased. Each medication has its own mechanism of action and side effect profile. This review article discusses the hepatic side effects of medications used to treat IBD enabling physicians to better recognize and manage these complications.</w:t>
      </w:r>
    </w:p>
    <w:p w:rsidR="00C5057E" w:rsidRPr="00463038" w:rsidRDefault="00C5057E" w:rsidP="001E275D">
      <w:pPr>
        <w:spacing w:line="360" w:lineRule="auto"/>
        <w:jc w:val="both"/>
        <w:rPr>
          <w:rStyle w:val="hui12181"/>
          <w:rFonts w:ascii="Book Antiqua" w:hAnsi="Book Antiqua"/>
          <w:color w:val="000000"/>
          <w:sz w:val="24"/>
          <w:szCs w:val="24"/>
        </w:rPr>
      </w:pPr>
    </w:p>
    <w:p w:rsidR="00C5057E" w:rsidRPr="00463038" w:rsidRDefault="00C5057E" w:rsidP="001E275D">
      <w:pPr>
        <w:pStyle w:val="NormalWeb"/>
        <w:spacing w:after="0" w:line="360" w:lineRule="auto"/>
        <w:jc w:val="both"/>
        <w:rPr>
          <w:rFonts w:ascii="Book Antiqua" w:hAnsi="Book Antiqua"/>
          <w:lang w:eastAsia="zh-CN"/>
        </w:rPr>
      </w:pPr>
      <w:r w:rsidRPr="00463038">
        <w:rPr>
          <w:rFonts w:ascii="Book Antiqua" w:hAnsi="Book Antiqua"/>
          <w:color w:val="000000"/>
        </w:rPr>
        <w:t xml:space="preserve">Hirten R, Sultan K, Thomas A, Bernstein D. </w:t>
      </w:r>
      <w:r w:rsidRPr="00463038">
        <w:rPr>
          <w:rFonts w:ascii="Book Antiqua" w:hAnsi="Book Antiqua"/>
        </w:rPr>
        <w:t>Hepatic manifestations of non-steroidal inflammatory bowel disease therapy</w:t>
      </w:r>
      <w:r w:rsidRPr="00463038">
        <w:rPr>
          <w:rFonts w:ascii="Book Antiqua" w:hAnsi="Book Antiqua"/>
          <w:lang w:eastAsia="zh-CN"/>
        </w:rPr>
        <w:t xml:space="preserve">. </w:t>
      </w:r>
      <w:r w:rsidRPr="00463038">
        <w:rPr>
          <w:rFonts w:ascii="Book Antiqua" w:hAnsi="Book Antiqua"/>
          <w:i/>
          <w:iCs/>
        </w:rPr>
        <w:t>World J Hepatol</w:t>
      </w:r>
      <w:r w:rsidRPr="00463038">
        <w:rPr>
          <w:rFonts w:ascii="Book Antiqua" w:hAnsi="Book Antiqua"/>
          <w:iCs/>
          <w:lang w:eastAsia="zh-CN"/>
        </w:rPr>
        <w:t xml:space="preserve"> 2015; In press</w:t>
      </w:r>
    </w:p>
    <w:p w:rsidR="00C5057E" w:rsidRPr="00463038" w:rsidRDefault="00C5057E" w:rsidP="001E275D">
      <w:pPr>
        <w:pStyle w:val="NormalWeb"/>
        <w:spacing w:after="0" w:line="360" w:lineRule="auto"/>
        <w:jc w:val="both"/>
        <w:rPr>
          <w:rFonts w:ascii="Book Antiqua" w:hAnsi="Book Antiqua"/>
        </w:rPr>
      </w:pPr>
    </w:p>
    <w:p w:rsidR="00C5057E" w:rsidRPr="00463038" w:rsidRDefault="00C5057E" w:rsidP="001E275D">
      <w:pPr>
        <w:spacing w:line="360" w:lineRule="auto"/>
        <w:jc w:val="both"/>
        <w:rPr>
          <w:rFonts w:ascii="Book Antiqua" w:hAnsi="Book Antiqua"/>
          <w:color w:val="000000"/>
        </w:rPr>
      </w:pPr>
    </w:p>
    <w:p w:rsidR="00C5057E" w:rsidRPr="00463038" w:rsidRDefault="00C5057E" w:rsidP="001E275D">
      <w:pPr>
        <w:spacing w:line="360" w:lineRule="auto"/>
        <w:jc w:val="both"/>
        <w:rPr>
          <w:rFonts w:ascii="Book Antiqua" w:hAnsi="Book Antiqua"/>
        </w:rPr>
      </w:pPr>
    </w:p>
    <w:p w:rsidR="00C5057E" w:rsidRPr="00463038" w:rsidRDefault="00C5057E" w:rsidP="001E275D">
      <w:pPr>
        <w:spacing w:line="360" w:lineRule="auto"/>
        <w:jc w:val="both"/>
        <w:rPr>
          <w:rFonts w:ascii="Book Antiqua" w:hAnsi="Book Antiqua"/>
          <w:b/>
        </w:rPr>
      </w:pPr>
      <w:r w:rsidRPr="00463038">
        <w:rPr>
          <w:rFonts w:ascii="Book Antiqua" w:hAnsi="Book Antiqua"/>
        </w:rPr>
        <w:br w:type="page"/>
      </w:r>
      <w:r w:rsidRPr="00463038">
        <w:rPr>
          <w:rFonts w:ascii="Book Antiqua" w:hAnsi="Book Antiqua"/>
          <w:b/>
        </w:rPr>
        <w:t>INTRODUCTION</w:t>
      </w:r>
    </w:p>
    <w:p w:rsidR="00C5057E" w:rsidRPr="00463038" w:rsidRDefault="00C5057E" w:rsidP="00D264CE">
      <w:pPr>
        <w:spacing w:line="360" w:lineRule="auto"/>
        <w:jc w:val="both"/>
        <w:rPr>
          <w:rFonts w:ascii="Book Antiqua" w:hAnsi="Book Antiqua"/>
          <w:color w:val="000000"/>
        </w:rPr>
      </w:pPr>
      <w:r w:rsidRPr="00463038">
        <w:rPr>
          <w:rFonts w:ascii="Book Antiqua" w:hAnsi="Book Antiqua"/>
          <w:color w:val="000000"/>
        </w:rPr>
        <w:t>Inflammatory bowel disease (IBD) is primarily composed of Crohn’s disease (CD) and ulcerative colitis (UC). The North American incidence is 19.2 cases per 100000 person years and 20.2 cases per 100000 person years for UC and CD, respectively</w:t>
      </w:r>
      <w:r w:rsidRPr="00463038">
        <w:rPr>
          <w:rFonts w:ascii="Book Antiqua" w:hAnsi="Book Antiqua"/>
          <w:color w:val="000000"/>
          <w:vertAlign w:val="superscript"/>
        </w:rPr>
        <w:t>[1]</w:t>
      </w:r>
      <w:r w:rsidRPr="00463038">
        <w:rPr>
          <w:rFonts w:ascii="Book Antiqua" w:hAnsi="Book Antiqua"/>
          <w:color w:val="000000"/>
        </w:rPr>
        <w:t>. Through a combination of genetic and environmental factors, IBD appears to be caused by an inappropriate and overactive response of the body’s immune system directed primarily at the gastrointestinal tract. Though most disease manifestations are bowel-related, multiple extraintestinal manifestations including dermatologic (pyoderma gangrenosum, erythema nodosum), ophthalmic (uveitis and episcleritis), joint (large and small joint arthritis and sacroiliitis) as well hepatobiliary complications may occur. Additionally, biliary and hepatic manifestations are common, with up to 29% of IBD patients developing abnormal liver tests</w:t>
      </w:r>
      <w:r w:rsidRPr="00463038">
        <w:rPr>
          <w:rFonts w:ascii="Book Antiqua" w:hAnsi="Book Antiqua"/>
          <w:color w:val="000000"/>
          <w:vertAlign w:val="superscript"/>
        </w:rPr>
        <w:t>[2]</w:t>
      </w:r>
      <w:r w:rsidRPr="00463038">
        <w:rPr>
          <w:rFonts w:ascii="Book Antiqua" w:hAnsi="Book Antiqua"/>
          <w:color w:val="000000"/>
        </w:rPr>
        <w:t xml:space="preserve">.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 xml:space="preserve">Recently the number of therapeutic options available to treat IBD has increased dramatically. Current guidelines emphasize a move away from short term corticosteroid based treatment and towards IBD targeted medications proven to either induce and/or maintain clinical remission. Each new class of medication has its own mechanism of action and side effect profile. While multiple reviews have evaluated the hepatobiliary manifestations of IBD, few have focused in detail on the hepatic side effects of these medications. A complete understanding of the prevalence, characteristics and management of the hepatoxicity of these medications is important to distinguish these effects from IBD itself, limit their toxicity and maximize their therapeutic benefit. This review evaluates the hepatobiliary complications, mainly drug induced liver injury (DILI), of currently available non-steroid based IBD therapies. </w:t>
      </w:r>
    </w:p>
    <w:p w:rsidR="00C5057E" w:rsidRPr="00463038" w:rsidRDefault="00C5057E" w:rsidP="001E275D">
      <w:pPr>
        <w:spacing w:line="360" w:lineRule="auto"/>
        <w:jc w:val="both"/>
        <w:rPr>
          <w:rFonts w:ascii="Book Antiqua" w:hAnsi="Book Antiqua"/>
          <w:color w:val="000000"/>
        </w:rPr>
      </w:pPr>
    </w:p>
    <w:p w:rsidR="00C5057E" w:rsidRPr="00463038" w:rsidRDefault="00C5057E" w:rsidP="001E275D">
      <w:pPr>
        <w:spacing w:line="360" w:lineRule="auto"/>
        <w:jc w:val="both"/>
        <w:rPr>
          <w:rFonts w:ascii="Book Antiqua" w:hAnsi="Book Antiqua"/>
          <w:b/>
          <w:color w:val="000000"/>
        </w:rPr>
      </w:pPr>
      <w:r w:rsidRPr="00463038">
        <w:rPr>
          <w:rFonts w:ascii="Book Antiqua" w:hAnsi="Book Antiqua"/>
          <w:b/>
          <w:color w:val="000000"/>
        </w:rPr>
        <w:t>SULFASALAZINE AND 5-AMINOSALICYLATES</w:t>
      </w:r>
    </w:p>
    <w:p w:rsidR="00C5057E" w:rsidRPr="00463038" w:rsidRDefault="00C5057E" w:rsidP="001E275D">
      <w:pPr>
        <w:pStyle w:val="NormalWeb"/>
        <w:spacing w:after="0" w:line="360" w:lineRule="auto"/>
        <w:jc w:val="both"/>
        <w:rPr>
          <w:rFonts w:ascii="Book Antiqua" w:hAnsi="Book Antiqua"/>
        </w:rPr>
      </w:pPr>
      <w:r w:rsidRPr="00463038">
        <w:rPr>
          <w:rFonts w:ascii="Book Antiqua" w:hAnsi="Book Antiqua"/>
          <w:color w:val="000000"/>
        </w:rPr>
        <w:t>Sulfasalazine is a pro-drug composed of 5-aminosalicylic acid (5-ASA) linked to sulfapyridine by an azo bond, and has been used in the treatment of IBD for over 70 years</w:t>
      </w:r>
      <w:r w:rsidRPr="00463038">
        <w:rPr>
          <w:rFonts w:ascii="Book Antiqua" w:hAnsi="Book Antiqua"/>
          <w:color w:val="000000"/>
          <w:vertAlign w:val="superscript"/>
        </w:rPr>
        <w:t>[3]</w:t>
      </w:r>
      <w:r w:rsidRPr="00463038">
        <w:rPr>
          <w:rFonts w:ascii="Book Antiqua" w:hAnsi="Book Antiqua"/>
          <w:color w:val="000000"/>
        </w:rPr>
        <w:t>. The primary efficacy of sulfasalazine in IBD is through the 5-ASA moiety and although the exact mechanism of action is not known, 5-ASA has been shown to have an array of anti-inflammatory properties including effects on reactive oxygen species, nuclear factor kappa B, and cytokines</w:t>
      </w:r>
      <w:r w:rsidRPr="00463038">
        <w:rPr>
          <w:rFonts w:ascii="Book Antiqua" w:hAnsi="Book Antiqua"/>
          <w:color w:val="000000"/>
          <w:vertAlign w:val="superscript"/>
        </w:rPr>
        <w:t>[4-6]</w:t>
      </w:r>
      <w:r w:rsidRPr="00463038">
        <w:rPr>
          <w:rFonts w:ascii="Book Antiqua" w:hAnsi="Book Antiqua"/>
          <w:color w:val="000000"/>
        </w:rPr>
        <w:t>. Though mainly demonstrating benefit for UC, it is commonly used for CD. Common side effects include headache, nausea, dyspepsia, or allergic reactions, and are generally attributed to the sulfa component. The overall incidence of liver toxicity has been estimated to be between 0.4</w:t>
      </w:r>
      <w:r w:rsidRPr="00463038">
        <w:rPr>
          <w:rFonts w:ascii="Book Antiqua" w:eastAsia="宋体" w:hAnsi="Book Antiqua"/>
          <w:color w:val="000000"/>
          <w:lang w:eastAsia="zh-CN"/>
        </w:rPr>
        <w:t>%</w:t>
      </w:r>
      <w:r w:rsidRPr="00463038">
        <w:rPr>
          <w:rFonts w:ascii="Book Antiqua" w:hAnsi="Book Antiqua"/>
          <w:color w:val="000000"/>
        </w:rPr>
        <w:t>-2.9%, depending upon the study group and underlying disease</w:t>
      </w:r>
      <w:r w:rsidRPr="00463038">
        <w:rPr>
          <w:rFonts w:ascii="Book Antiqua" w:hAnsi="Book Antiqua"/>
          <w:color w:val="000000"/>
          <w:vertAlign w:val="superscript"/>
        </w:rPr>
        <w:t>[7,8]</w:t>
      </w:r>
      <w:r w:rsidRPr="00463038">
        <w:rPr>
          <w:rFonts w:ascii="Book Antiqua" w:hAnsi="Book Antiqua"/>
          <w:color w:val="000000"/>
        </w:rPr>
        <w:t>. Though most liver test abnormalities are minor and reversible with drug discontinuation, previous studies have described severe hepatotoxicity to sulfasalazine due to a systemic hypersensitivity reaction characterized by high fevers, generalized lymphadenopathy, a maculopapular rash, elevated liver enzymes, eosinophilia and immune complexes</w:t>
      </w:r>
      <w:r w:rsidRPr="00463038">
        <w:rPr>
          <w:rFonts w:ascii="Book Antiqua" w:hAnsi="Book Antiqua"/>
          <w:color w:val="000000"/>
          <w:vertAlign w:val="superscript"/>
        </w:rPr>
        <w:t>[9]</w:t>
      </w:r>
      <w:r w:rsidRPr="00463038">
        <w:rPr>
          <w:rFonts w:ascii="Book Antiqua" w:hAnsi="Book Antiqua"/>
          <w:color w:val="000000"/>
        </w:rPr>
        <w:t>. Granulomatous hepatitis has been described in patients on sulfasalazine presenting with an elevated alkaline phosphatase and bilirubin along with the presence of granulomas on liver biopsy.</w:t>
      </w:r>
      <w:r w:rsidRPr="00463038">
        <w:rPr>
          <w:rFonts w:ascii="Book Antiqua" w:eastAsia="宋体" w:hAnsi="Book Antiqua"/>
          <w:color w:val="000000"/>
          <w:lang w:eastAsia="zh-CN"/>
        </w:rPr>
        <w:t xml:space="preserve"> </w:t>
      </w:r>
      <w:r w:rsidRPr="00463038">
        <w:rPr>
          <w:rFonts w:ascii="Book Antiqua" w:hAnsi="Book Antiqua"/>
          <w:color w:val="000000"/>
        </w:rPr>
        <w:t>This has been described in patients without CD and appears to be medication rather than disease related</w:t>
      </w:r>
      <w:r w:rsidRPr="00463038">
        <w:rPr>
          <w:rFonts w:ascii="Book Antiqua" w:hAnsi="Book Antiqua"/>
          <w:color w:val="000000"/>
          <w:vertAlign w:val="superscript"/>
        </w:rPr>
        <w:t>[10-12]</w:t>
      </w:r>
      <w:r w:rsidRPr="00463038">
        <w:rPr>
          <w:rFonts w:ascii="Book Antiqua" w:hAnsi="Book Antiqua"/>
          <w:color w:val="000000"/>
        </w:rPr>
        <w:t>. Also reported are rare cases of fatal fulminant hepatic necrosis from drug rash with eosinophilia and systemic symptoms, a devastating complication with an estimated mortality of 10% if not appropriately diagnosed and treated with high dose corticosteroids</w:t>
      </w:r>
      <w:r w:rsidRPr="00463038">
        <w:rPr>
          <w:rFonts w:ascii="Book Antiqua" w:hAnsi="Book Antiqua"/>
          <w:color w:val="000000"/>
          <w:vertAlign w:val="superscript"/>
        </w:rPr>
        <w:t>[13-20]</w:t>
      </w:r>
      <w:r w:rsidRPr="00463038">
        <w:rPr>
          <w:rFonts w:ascii="Book Antiqua" w:hAnsi="Book Antiqua"/>
          <w:color w:val="000000"/>
        </w:rPr>
        <w:t xml:space="preserve">.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Due to adverse effects of the sulfapyridine moiety, 5-ASA formulations without sulfa, the mesalamine derivatives, were developed in the 1970s, and are now more widely used than sulfasalazine. A systematic review of the short-term adverse effects of mesalamine show that this class of medication is generally well tolerated, with rates of adverse events similar to placebo controls</w:t>
      </w:r>
      <w:r w:rsidRPr="00463038">
        <w:rPr>
          <w:rFonts w:ascii="Book Antiqua" w:hAnsi="Book Antiqua"/>
          <w:color w:val="000000"/>
          <w:vertAlign w:val="superscript"/>
        </w:rPr>
        <w:t>[21]</w:t>
      </w:r>
      <w:r w:rsidRPr="00463038">
        <w:rPr>
          <w:rFonts w:ascii="Book Antiqua" w:hAnsi="Book Antiqua"/>
          <w:color w:val="000000"/>
        </w:rPr>
        <w:t>. The most common side effects associated with mesalamine include flatulence, nausea, headache, dyspepsia, and diarrhea. Despite the absence of the sulfa moiety and limited systemic absorption of mesalamine, a randomized trial comparing mesalamine to sulfasalazine showed rates of DILI to be similar between the two medications, with 2.6% of patients taking mesalamine experiencing liver injury</w:t>
      </w:r>
      <w:r w:rsidRPr="00463038">
        <w:rPr>
          <w:rFonts w:ascii="Book Antiqua" w:hAnsi="Book Antiqua"/>
          <w:color w:val="000000"/>
          <w:vertAlign w:val="superscript"/>
        </w:rPr>
        <w:t>[8]</w:t>
      </w:r>
      <w:r w:rsidRPr="00463038">
        <w:rPr>
          <w:rFonts w:ascii="Book Antiqua" w:hAnsi="Book Antiqua"/>
          <w:color w:val="000000"/>
        </w:rPr>
        <w:t>. One case report described possible drug-induced autoimmune hepatitis in a patient with CD treated with mesalamine. This patient developed chronic hepatitis with evidence of fibrosis on liver biopsy, as well as an elevated anti-nuclear antibody and anti-smooth muscle antibody, which resolved with discontinuation of the medication</w:t>
      </w:r>
      <w:r w:rsidRPr="00463038">
        <w:rPr>
          <w:rFonts w:ascii="Book Antiqua" w:hAnsi="Book Antiqua"/>
          <w:color w:val="000000"/>
          <w:vertAlign w:val="superscript"/>
        </w:rPr>
        <w:t>[22]</w:t>
      </w:r>
      <w:r w:rsidRPr="00463038">
        <w:rPr>
          <w:rFonts w:ascii="Book Antiqua" w:hAnsi="Book Antiqua"/>
          <w:color w:val="000000"/>
        </w:rPr>
        <w:t>. Other case reports have linked mesalamine to systemic hypersensitivity reactions similar to sulfasalazine as well as to the development of hepatocellular cholestasis</w:t>
      </w:r>
      <w:r w:rsidRPr="00463038">
        <w:rPr>
          <w:rFonts w:ascii="Book Antiqua" w:hAnsi="Book Antiqua"/>
          <w:color w:val="000000"/>
          <w:vertAlign w:val="superscript"/>
        </w:rPr>
        <w:t>[23,24]</w:t>
      </w:r>
      <w:r w:rsidRPr="00463038">
        <w:rPr>
          <w:rFonts w:ascii="Book Antiqua" w:hAnsi="Book Antiqua"/>
          <w:color w:val="000000"/>
        </w:rPr>
        <w:t xml:space="preserve">.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When signs of liver injury develop secondary to sulfasalazine or mesalamine, the dosage should be decreased or the medication stopped completely depending upon the severity of the liver test elevation and the patient’s condition. While no formal guidelines exist specifically for sulfasalazine or mesalamine, cases suspicious for DILI should be evaluated and managed according to currently accepted guidelines</w:t>
      </w:r>
      <w:r w:rsidRPr="00463038">
        <w:rPr>
          <w:rFonts w:ascii="Book Antiqua" w:hAnsi="Book Antiqua"/>
          <w:color w:val="000000"/>
          <w:vertAlign w:val="superscript"/>
        </w:rPr>
        <w:t>[25]</w:t>
      </w:r>
      <w:r w:rsidRPr="00463038">
        <w:rPr>
          <w:rFonts w:ascii="Book Antiqua" w:hAnsi="Book Antiqua"/>
          <w:color w:val="000000"/>
        </w:rPr>
        <w:t>.  </w:t>
      </w:r>
    </w:p>
    <w:p w:rsidR="00C5057E" w:rsidRPr="00463038" w:rsidRDefault="00C5057E" w:rsidP="001E275D">
      <w:pPr>
        <w:spacing w:line="360" w:lineRule="auto"/>
        <w:jc w:val="both"/>
        <w:rPr>
          <w:rFonts w:ascii="Book Antiqua" w:hAnsi="Book Antiqua"/>
          <w:color w:val="000000"/>
        </w:rPr>
      </w:pPr>
    </w:p>
    <w:p w:rsidR="00C5057E" w:rsidRPr="00463038" w:rsidRDefault="00C5057E" w:rsidP="001E275D">
      <w:pPr>
        <w:spacing w:line="360" w:lineRule="auto"/>
        <w:jc w:val="both"/>
        <w:rPr>
          <w:rFonts w:ascii="Book Antiqua" w:hAnsi="Book Antiqua"/>
          <w:b/>
          <w:color w:val="000000"/>
        </w:rPr>
      </w:pPr>
      <w:r w:rsidRPr="00463038">
        <w:rPr>
          <w:rFonts w:ascii="Book Antiqua" w:hAnsi="Book Antiqua"/>
          <w:b/>
          <w:color w:val="000000"/>
        </w:rPr>
        <w:t>AZATHIOPRINE AND 6-MERCAPTOPURINE</w:t>
      </w:r>
    </w:p>
    <w:p w:rsidR="00C5057E" w:rsidRPr="00463038" w:rsidRDefault="00C5057E" w:rsidP="001E275D">
      <w:pPr>
        <w:spacing w:line="360" w:lineRule="auto"/>
        <w:jc w:val="both"/>
        <w:rPr>
          <w:rFonts w:ascii="Book Antiqua" w:hAnsi="Book Antiqua"/>
          <w:color w:val="000000"/>
        </w:rPr>
      </w:pPr>
      <w:r w:rsidRPr="00463038">
        <w:rPr>
          <w:rFonts w:ascii="Book Antiqua" w:hAnsi="Book Antiqua"/>
          <w:color w:val="000000"/>
        </w:rPr>
        <w:t>The thiopurine immunomodulators azathioprine (AZA) and its principle metabolite, 6-mercaptopurine (6-MP), have shown efficacy in the maintenance of steroid induced remission for both CD and UC</w:t>
      </w:r>
      <w:r w:rsidRPr="00463038">
        <w:rPr>
          <w:rFonts w:ascii="Book Antiqua" w:hAnsi="Book Antiqua"/>
          <w:color w:val="000000"/>
          <w:vertAlign w:val="superscript"/>
        </w:rPr>
        <w:t>[26]</w:t>
      </w:r>
      <w:r w:rsidRPr="00463038">
        <w:rPr>
          <w:rFonts w:ascii="Book Antiqua" w:hAnsi="Book Antiqua"/>
          <w:color w:val="000000"/>
        </w:rPr>
        <w:t>. AZA is converted to its active metabolite 6-MP through non-enzymatic reactions by compounds such as glutathione. Intracellular metabolism of 6-MP is dictated by the activity of several enzymatic pathways resulting in both the therapeutically active metabolite 6-thioguanine (6-TG), which is associated with myelosuppression, as well as the non-therapeutic metabolites 6-methylmercaptopurine (6-MMP) and 6-methylmercaptopurine ribonucleotide (6-MMPR) which have been associated with hepatotoxicity (Figure 1)</w:t>
      </w:r>
      <w:r w:rsidRPr="00463038">
        <w:rPr>
          <w:rFonts w:ascii="Book Antiqua" w:hAnsi="Book Antiqua"/>
          <w:color w:val="000000"/>
          <w:vertAlign w:val="superscript"/>
        </w:rPr>
        <w:t>[27]</w:t>
      </w:r>
      <w:r w:rsidRPr="00463038">
        <w:rPr>
          <w:rFonts w:ascii="Book Antiqua" w:hAnsi="Book Antiqua"/>
          <w:color w:val="000000"/>
        </w:rPr>
        <w:t>.</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AZA and 6-MP have been shown to result in both a hepatocellular and cholestatic hepatitis, with a number of studies evaluating the incidence of liver test abnormalities occurring in IBD patients treated with these medications. A large study of 3931 patients from the prospective Spanish nationwide database found that 4% of patients on thiopurines developed hepatotoxicity</w:t>
      </w:r>
      <w:r w:rsidRPr="00463038">
        <w:rPr>
          <w:rFonts w:ascii="Book Antiqua" w:hAnsi="Book Antiqua"/>
          <w:color w:val="000000"/>
          <w:vertAlign w:val="superscript"/>
        </w:rPr>
        <w:t>[28]</w:t>
      </w:r>
      <w:r w:rsidRPr="00463038">
        <w:rPr>
          <w:rFonts w:ascii="Book Antiqua" w:hAnsi="Book Antiqua"/>
          <w:color w:val="000000"/>
        </w:rPr>
        <w:t>. Another study that followed 786 patients with IBD, of whom 138 received either AZA or 6-MP, found that 7.1% of those treated per patient year developed elevated liver tests that were 1-2 times the upper limit of normal. Approximately 2.6% of those treated per patient year developed liver tests greater than twice the upper limit of normal</w:t>
      </w:r>
      <w:r w:rsidRPr="00463038">
        <w:rPr>
          <w:rFonts w:ascii="Book Antiqua" w:hAnsi="Book Antiqua"/>
          <w:color w:val="000000"/>
          <w:vertAlign w:val="superscript"/>
        </w:rPr>
        <w:t>[29]</w:t>
      </w:r>
      <w:r w:rsidRPr="00463038">
        <w:rPr>
          <w:rFonts w:ascii="Book Antiqua" w:hAnsi="Book Antiqua"/>
          <w:color w:val="000000"/>
        </w:rPr>
        <w:t>. A large systematic review of 3485 patients from 2007 evaluating the incidence of liver injury in patients with IBD exposed to AZA or 6-MP showed an overall prevalence of abnormal liver tests of 3.3%. When follow-up time was included, 2992 patients received treatment during a total of 6952 years of follow-up, with the average rate of drug-induced liver test elevation being 1.4% per patient year. These liver test abnormalities were generally noted to occur within the first few months of drug initiation</w:t>
      </w:r>
      <w:r w:rsidRPr="00463038">
        <w:rPr>
          <w:rFonts w:ascii="Book Antiqua" w:hAnsi="Book Antiqua"/>
          <w:color w:val="000000"/>
          <w:vertAlign w:val="superscript"/>
        </w:rPr>
        <w:t>[30]</w:t>
      </w:r>
      <w:r w:rsidRPr="00463038">
        <w:rPr>
          <w:rFonts w:ascii="Book Antiqua" w:hAnsi="Book Antiqua"/>
          <w:color w:val="000000"/>
        </w:rPr>
        <w:t>.</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The primary hepatic manifestations include hypersensitivity reactions, cholestasis, peliosis hepatitis, Disse space fibrosis, veno-occlusive disease and nodular regenerative hyperplasia (NRH)</w:t>
      </w:r>
      <w:r w:rsidRPr="00463038">
        <w:rPr>
          <w:rFonts w:ascii="Book Antiqua" w:hAnsi="Book Antiqua"/>
          <w:color w:val="000000"/>
          <w:vertAlign w:val="superscript"/>
        </w:rPr>
        <w:t>[31]</w:t>
      </w:r>
      <w:r w:rsidRPr="00463038">
        <w:rPr>
          <w:rFonts w:ascii="Book Antiqua" w:hAnsi="Book Antiqua"/>
          <w:color w:val="000000"/>
        </w:rPr>
        <w:t>. In hypersensitivity syndromes, symptoms usually develop within 2-3 wk of initiation with an elevated bilirubin and alkaline phosphatase, as well as with moderate elevations of aminotransferases. At the histologic level, parenchymal cell necrosis is noted</w:t>
      </w:r>
      <w:r w:rsidRPr="00463038">
        <w:rPr>
          <w:rFonts w:ascii="Book Antiqua" w:hAnsi="Book Antiqua"/>
          <w:color w:val="000000"/>
          <w:vertAlign w:val="superscript"/>
        </w:rPr>
        <w:t>[30,31]</w:t>
      </w:r>
      <w:r w:rsidRPr="00463038">
        <w:rPr>
          <w:rFonts w:ascii="Book Antiqua" w:hAnsi="Book Antiqua"/>
          <w:color w:val="000000"/>
        </w:rPr>
        <w:t>. NRH, peliosis hepatitis, fibrosis, and veno-occlusive disease have been shown to be dose-dependent injuries and likely secondary to damage to the endothelial cells lining the sinusoids and terminal hepatic venules</w:t>
      </w:r>
      <w:r w:rsidRPr="00463038">
        <w:rPr>
          <w:rFonts w:ascii="Book Antiqua" w:hAnsi="Book Antiqua"/>
          <w:color w:val="000000"/>
          <w:vertAlign w:val="superscript"/>
        </w:rPr>
        <w:t>[30,32]</w:t>
      </w:r>
      <w:r w:rsidRPr="00463038">
        <w:rPr>
          <w:rFonts w:ascii="Book Antiqua" w:hAnsi="Book Antiqua"/>
          <w:color w:val="000000"/>
        </w:rPr>
        <w:t>. This is often noted between 3 mo and 3 years of initiating treatment</w:t>
      </w:r>
      <w:r w:rsidRPr="00463038">
        <w:rPr>
          <w:rFonts w:ascii="Book Antiqua" w:hAnsi="Book Antiqua"/>
          <w:color w:val="000000"/>
          <w:vertAlign w:val="superscript"/>
        </w:rPr>
        <w:t>[30]</w:t>
      </w:r>
      <w:r w:rsidRPr="00463038">
        <w:rPr>
          <w:rFonts w:ascii="Book Antiqua" w:hAnsi="Book Antiqua"/>
          <w:color w:val="000000"/>
        </w:rPr>
        <w:t xml:space="preserve">. </w:t>
      </w:r>
    </w:p>
    <w:p w:rsidR="00C5057E" w:rsidRPr="00463038" w:rsidRDefault="00C5057E" w:rsidP="0062573A">
      <w:pPr>
        <w:autoSpaceDE w:val="0"/>
        <w:autoSpaceDN w:val="0"/>
        <w:adjustRightInd w:val="0"/>
        <w:spacing w:line="360" w:lineRule="auto"/>
        <w:ind w:firstLineChars="100" w:firstLine="31680"/>
        <w:jc w:val="both"/>
        <w:rPr>
          <w:rFonts w:ascii="Book Antiqua" w:hAnsi="Book Antiqua"/>
          <w:color w:val="000000"/>
        </w:rPr>
      </w:pPr>
      <w:r w:rsidRPr="00463038">
        <w:rPr>
          <w:rFonts w:ascii="Book Antiqua" w:hAnsi="Book Antiqua"/>
          <w:color w:val="000000"/>
        </w:rPr>
        <w:t>Thiopurine methyltransferase (TPMT) activity plays an important role in determining AZA and 6-MP metabolism and the development of side effects. Approximately 0.3% of the population has low or absent activity, 11% of the population has intermediate activity as they are</w:t>
      </w:r>
      <w:r w:rsidRPr="00463038">
        <w:rPr>
          <w:rFonts w:ascii="Book Antiqua" w:hAnsi="Book Antiqua"/>
          <w:strike/>
          <w:color w:val="000000"/>
        </w:rPr>
        <w:t xml:space="preserve"> </w:t>
      </w:r>
      <w:r w:rsidRPr="00463038">
        <w:rPr>
          <w:rFonts w:ascii="Book Antiqua" w:hAnsi="Book Antiqua"/>
          <w:color w:val="000000"/>
        </w:rPr>
        <w:t>heterozygote’s, and 89% of the population possess the wild type with normal activity</w:t>
      </w:r>
      <w:r w:rsidRPr="00463038">
        <w:rPr>
          <w:rFonts w:ascii="Book Antiqua" w:hAnsi="Book Antiqua"/>
          <w:color w:val="000000"/>
          <w:vertAlign w:val="superscript"/>
        </w:rPr>
        <w:t>[33]</w:t>
      </w:r>
      <w:r w:rsidRPr="00463038">
        <w:rPr>
          <w:rFonts w:ascii="Book Antiqua" w:hAnsi="Book Antiqua"/>
          <w:color w:val="000000"/>
        </w:rPr>
        <w:t>. In general, 6-TG levels greater than 230-260 pmol/</w:t>
      </w:r>
      <w:r w:rsidRPr="00463038">
        <w:rPr>
          <w:rFonts w:ascii="宋体" w:hAnsi="宋体"/>
          <w:color w:val="000000"/>
        </w:rPr>
        <w:t>8</w:t>
      </w:r>
      <w:r w:rsidRPr="00463038">
        <w:rPr>
          <w:rFonts w:ascii="宋体" w:hAnsi="宋体"/>
          <w:color w:val="000000"/>
          <w:lang w:eastAsia="zh-CN"/>
        </w:rPr>
        <w:t xml:space="preserve"> </w:t>
      </w:r>
      <w:r w:rsidRPr="00463038">
        <w:rPr>
          <w:rFonts w:ascii="Book Antiqua" w:hAnsi="Book Antiqua"/>
          <w:color w:val="000000"/>
          <w:lang w:eastAsia="zh-CN"/>
        </w:rPr>
        <w:t xml:space="preserve">× </w:t>
      </w:r>
      <w:r w:rsidRPr="00463038">
        <w:rPr>
          <w:rFonts w:ascii="Book Antiqua" w:hAnsi="Book Antiqua"/>
          <w:color w:val="000000"/>
        </w:rPr>
        <w:t>10</w:t>
      </w:r>
      <w:r w:rsidRPr="00463038">
        <w:rPr>
          <w:rFonts w:ascii="Book Antiqua" w:hAnsi="Book Antiqua"/>
          <w:color w:val="000000"/>
          <w:vertAlign w:val="superscript"/>
        </w:rPr>
        <w:t xml:space="preserve">8 </w:t>
      </w:r>
      <w:r w:rsidRPr="00463038">
        <w:rPr>
          <w:rFonts w:ascii="Book Antiqua" w:hAnsi="Book Antiqua"/>
          <w:color w:val="000000"/>
        </w:rPr>
        <w:t>erythrocytes are associated with clinical efficacy, while levels over 450 pmol/8</w:t>
      </w:r>
      <w:r w:rsidRPr="00463038">
        <w:rPr>
          <w:rFonts w:ascii="Book Antiqua" w:hAnsi="Book Antiqua"/>
          <w:color w:val="000000"/>
          <w:lang w:eastAsia="zh-CN"/>
        </w:rPr>
        <w:t xml:space="preserve"> × </w:t>
      </w:r>
      <w:r w:rsidRPr="00463038">
        <w:rPr>
          <w:rFonts w:ascii="Book Antiqua" w:hAnsi="Book Antiqua"/>
          <w:color w:val="000000"/>
        </w:rPr>
        <w:t>10</w:t>
      </w:r>
      <w:r w:rsidRPr="00463038">
        <w:rPr>
          <w:rFonts w:ascii="Book Antiqua" w:hAnsi="Book Antiqua"/>
          <w:color w:val="000000"/>
          <w:vertAlign w:val="superscript"/>
        </w:rPr>
        <w:t xml:space="preserve">8 </w:t>
      </w:r>
      <w:r w:rsidRPr="00463038">
        <w:rPr>
          <w:rFonts w:ascii="Book Antiqua" w:hAnsi="Book Antiqua"/>
          <w:color w:val="000000"/>
        </w:rPr>
        <w:t>erythrocytes are associated with bone marrow toxicity. Though high levels of 6-TG can also result in liver damage, particularly the development of NRH, most liver toxicity is believed to be related to 6-MMP and 6-MMPR, particularly at levels over 5700 pmol/8</w:t>
      </w:r>
      <w:r w:rsidRPr="00463038">
        <w:rPr>
          <w:rFonts w:ascii="Book Antiqua" w:hAnsi="Book Antiqua"/>
          <w:color w:val="000000"/>
          <w:lang w:eastAsia="zh-CN"/>
        </w:rPr>
        <w:t xml:space="preserve"> × </w:t>
      </w:r>
      <w:r w:rsidRPr="00463038">
        <w:rPr>
          <w:rFonts w:ascii="Book Antiqua" w:hAnsi="Book Antiqua"/>
          <w:color w:val="000000"/>
        </w:rPr>
        <w:t>10</w:t>
      </w:r>
      <w:r w:rsidRPr="00463038">
        <w:rPr>
          <w:rFonts w:ascii="Book Antiqua" w:hAnsi="Book Antiqua"/>
          <w:color w:val="000000"/>
          <w:vertAlign w:val="superscript"/>
        </w:rPr>
        <w:t xml:space="preserve">8 </w:t>
      </w:r>
      <w:r w:rsidRPr="00463038">
        <w:rPr>
          <w:rFonts w:ascii="Book Antiqua" w:hAnsi="Book Antiqua"/>
          <w:color w:val="000000"/>
        </w:rPr>
        <w:t>erythrocytes</w:t>
      </w:r>
      <w:r w:rsidRPr="00463038">
        <w:rPr>
          <w:rFonts w:ascii="Book Antiqua" w:hAnsi="Book Antiqua"/>
          <w:color w:val="000000"/>
          <w:vertAlign w:val="superscript"/>
        </w:rPr>
        <w:t>[27,30,34]</w:t>
      </w:r>
      <w:r w:rsidRPr="00463038">
        <w:rPr>
          <w:rFonts w:ascii="Book Antiqua" w:hAnsi="Book Antiqua"/>
          <w:color w:val="000000"/>
        </w:rPr>
        <w:t xml:space="preserve">. </w:t>
      </w:r>
    </w:p>
    <w:p w:rsidR="00C5057E" w:rsidRPr="00463038" w:rsidRDefault="00C5057E" w:rsidP="0062573A">
      <w:pPr>
        <w:autoSpaceDE w:val="0"/>
        <w:autoSpaceDN w:val="0"/>
        <w:adjustRightInd w:val="0"/>
        <w:spacing w:line="360" w:lineRule="auto"/>
        <w:ind w:firstLineChars="100" w:firstLine="31680"/>
        <w:jc w:val="both"/>
        <w:rPr>
          <w:rFonts w:ascii="Book Antiqua" w:hAnsi="Book Antiqua" w:cs="AGaramond-Regular"/>
        </w:rPr>
      </w:pPr>
      <w:r w:rsidRPr="00463038">
        <w:rPr>
          <w:rFonts w:ascii="Book Antiqua" w:hAnsi="Book Antiqua"/>
          <w:color w:val="000000"/>
        </w:rPr>
        <w:t>Though no commercial testing is available for high TPMT activity, this appears to occur in up to 15% of the population with a preferential formation of the hepatotoxic 6-MMP and 6-MMPR metabolites</w:t>
      </w:r>
      <w:r w:rsidRPr="00463038">
        <w:rPr>
          <w:rFonts w:ascii="Book Antiqua" w:hAnsi="Book Antiqua"/>
          <w:color w:val="000000"/>
          <w:vertAlign w:val="superscript"/>
        </w:rPr>
        <w:t>[35]</w:t>
      </w:r>
      <w:r w:rsidRPr="00463038">
        <w:rPr>
          <w:rFonts w:ascii="Book Antiqua" w:hAnsi="Book Antiqua"/>
          <w:color w:val="000000"/>
        </w:rPr>
        <w:t xml:space="preserve">. Despite this association, routine monitoring for 6-MMP and 6-MMPR is not widely recommended. In patients who develop abnormal liver tests associated with the overproduction of 6-MMP and 6-MMPR the thiopurine may be stopped, the dose reduced or allopurinol may be used to inhibit xanthine oxidase. While an examination of the metabolic pathways involved would suggest this approach to result in an increase of both 6-TG and 6-MMP/6-MMPR levels, in fact, the effect is one of preferentially increased 6-TG over 6-MMP/6-MMPR. Typically AZA or 6-MP dosing is cut to one third or half the prior dose when used in conjunction with allopurinol, and the patient’s blood work monitored closely.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As no formal guidelines exist, and most cases of liver toxicity occur within the first few months of therapy, we recommend following the protocol outlined by the United States</w:t>
      </w:r>
      <w:r w:rsidRPr="00463038">
        <w:rPr>
          <w:rStyle w:val="labellist"/>
          <w:rFonts w:ascii="Arial" w:hAnsi="Arial" w:cs="Arial"/>
          <w:color w:val="333333"/>
          <w:sz w:val="18"/>
          <w:szCs w:val="18"/>
        </w:rPr>
        <w:t xml:space="preserve"> </w:t>
      </w:r>
      <w:r w:rsidRPr="00463038">
        <w:rPr>
          <w:rFonts w:ascii="Book Antiqua" w:hAnsi="Book Antiqua"/>
          <w:color w:val="000000"/>
        </w:rPr>
        <w:t>Food and Drug Administration</w:t>
      </w:r>
      <w:r w:rsidRPr="00463038">
        <w:rPr>
          <w:rFonts w:ascii="Book Antiqua" w:hAnsi="Book Antiqua"/>
          <w:color w:val="000000"/>
          <w:lang w:eastAsia="zh-CN"/>
        </w:rPr>
        <w:t xml:space="preserve"> (FDA)</w:t>
      </w:r>
      <w:r w:rsidRPr="00463038">
        <w:rPr>
          <w:rFonts w:ascii="Book Antiqua" w:hAnsi="Book Antiqua"/>
          <w:color w:val="000000"/>
        </w:rPr>
        <w:t xml:space="preserve"> </w:t>
      </w:r>
      <w:r w:rsidRPr="00463038">
        <w:rPr>
          <w:rFonts w:ascii="Book Antiqua" w:hAnsi="Book Antiqua"/>
          <w:color w:val="000000"/>
          <w:spacing w:val="6"/>
        </w:rPr>
        <w:t>(</w:t>
      </w:r>
      <w:r w:rsidRPr="00463038">
        <w:rPr>
          <w:rFonts w:ascii="Book Antiqua" w:hAnsi="Book Antiqua"/>
          <w:spacing w:val="6"/>
        </w:rPr>
        <w:t>http://www.accessdata.fda.gov/drugsatfda_docs/label/2014/205919s000lbl.pdf</w:t>
      </w:r>
      <w:r w:rsidRPr="00463038">
        <w:rPr>
          <w:rFonts w:ascii="Book Antiqua" w:hAnsi="Book Antiqua"/>
          <w:color w:val="000000"/>
          <w:spacing w:val="6"/>
        </w:rPr>
        <w:t xml:space="preserve">), </w:t>
      </w:r>
      <w:r w:rsidRPr="00463038">
        <w:rPr>
          <w:rFonts w:ascii="Book Antiqua" w:hAnsi="Book Antiqua"/>
          <w:color w:val="000000"/>
        </w:rPr>
        <w:t>which suggests checking serum transaminase levels, alkaline phosphatase, and bilirubin levels weekly for the first month</w:t>
      </w:r>
      <w:r w:rsidRPr="00463038">
        <w:rPr>
          <w:rFonts w:ascii="Book Antiqua" w:hAnsi="Book Antiqua"/>
          <w:color w:val="000000"/>
          <w:vertAlign w:val="superscript"/>
        </w:rPr>
        <w:t>[30]</w:t>
      </w:r>
      <w:r w:rsidRPr="00463038">
        <w:rPr>
          <w:rFonts w:ascii="Book Antiqua" w:hAnsi="Book Antiqua"/>
          <w:color w:val="000000"/>
        </w:rPr>
        <w:t xml:space="preserve">. Following this initial therapy we agree with repeat testing monthly for the next 3 mo, then every </w:t>
      </w:r>
      <w:r w:rsidRPr="00463038">
        <w:rPr>
          <w:rFonts w:ascii="Book Antiqua" w:hAnsi="Book Antiqua"/>
          <w:color w:val="000000"/>
          <w:lang w:eastAsia="zh-CN"/>
        </w:rPr>
        <w:t>three</w:t>
      </w:r>
      <w:r w:rsidRPr="00463038">
        <w:rPr>
          <w:rFonts w:ascii="Book Antiqua" w:hAnsi="Book Antiqua"/>
          <w:color w:val="000000"/>
        </w:rPr>
        <w:t xml:space="preserve"> months thereafter, following along with the currently recommended monitoring of white blood cell counts. This sequence should be repeated with any dose increase. It is common for patients to have a slight elevation of liver enzymes with normalization on repeat testing. However, if elevations become persistent or marked, the dose of AZA or 6-MP may be reduced in half with continued close monitoring, or by finer dose adjustments guided by metabolite levels. With normalization, careful resumption of the previous dose can be reattempted</w:t>
      </w:r>
      <w:r w:rsidRPr="00463038">
        <w:rPr>
          <w:rFonts w:ascii="Book Antiqua" w:hAnsi="Book Antiqua"/>
          <w:color w:val="000000"/>
          <w:vertAlign w:val="superscript"/>
        </w:rPr>
        <w:t>[30]</w:t>
      </w:r>
      <w:r w:rsidRPr="00463038">
        <w:rPr>
          <w:rFonts w:ascii="Book Antiqua" w:hAnsi="Book Antiqua"/>
          <w:color w:val="000000"/>
        </w:rPr>
        <w:t>. In one prospective study that evaluated this method, slightly less than half of patients were able to resume their previous dosage</w:t>
      </w:r>
      <w:r w:rsidRPr="00463038">
        <w:rPr>
          <w:rFonts w:ascii="Book Antiqua" w:hAnsi="Book Antiqua"/>
          <w:color w:val="000000"/>
          <w:vertAlign w:val="superscript"/>
        </w:rPr>
        <w:t>[36]</w:t>
      </w:r>
      <w:r w:rsidRPr="00463038">
        <w:rPr>
          <w:rFonts w:ascii="Book Antiqua" w:hAnsi="Book Antiqua"/>
          <w:color w:val="000000"/>
        </w:rPr>
        <w:t>. Patients whose liver tests fail to normalize should have the medication discontinued. If severe cholestatic jaundice occurs, the medication should be withdrawn with continued close monitoring of the liver tests for improvement. Patients should consider undergoing liver biopsy if liver tests remain persistently elevated after medication withdrawal</w:t>
      </w:r>
      <w:r w:rsidRPr="00463038">
        <w:rPr>
          <w:rFonts w:ascii="Book Antiqua" w:hAnsi="Book Antiqua"/>
          <w:color w:val="000000"/>
          <w:vertAlign w:val="superscript"/>
        </w:rPr>
        <w:t>[30]</w:t>
      </w:r>
      <w:r w:rsidRPr="00463038">
        <w:rPr>
          <w:rFonts w:ascii="Book Antiqua" w:hAnsi="Book Antiqua"/>
          <w:color w:val="000000"/>
        </w:rPr>
        <w:t xml:space="preserve">.  </w:t>
      </w:r>
    </w:p>
    <w:p w:rsidR="00C5057E" w:rsidRPr="00463038" w:rsidRDefault="00C5057E" w:rsidP="001E275D">
      <w:pPr>
        <w:spacing w:line="360" w:lineRule="auto"/>
        <w:jc w:val="both"/>
        <w:rPr>
          <w:rFonts w:ascii="Book Antiqua" w:hAnsi="Book Antiqua"/>
          <w:color w:val="000000"/>
        </w:rPr>
      </w:pPr>
    </w:p>
    <w:p w:rsidR="00C5057E" w:rsidRPr="00463038" w:rsidRDefault="00C5057E" w:rsidP="001E275D">
      <w:pPr>
        <w:spacing w:line="360" w:lineRule="auto"/>
        <w:jc w:val="both"/>
        <w:rPr>
          <w:rFonts w:ascii="Book Antiqua" w:hAnsi="Book Antiqua"/>
          <w:b/>
          <w:color w:val="000000"/>
        </w:rPr>
      </w:pPr>
      <w:r w:rsidRPr="00463038">
        <w:rPr>
          <w:rFonts w:ascii="Book Antiqua" w:hAnsi="Book Antiqua"/>
          <w:b/>
          <w:color w:val="000000"/>
        </w:rPr>
        <w:t>METHOTREXATE</w:t>
      </w:r>
    </w:p>
    <w:p w:rsidR="00C5057E" w:rsidRPr="00463038" w:rsidRDefault="00C5057E" w:rsidP="001E275D">
      <w:pPr>
        <w:spacing w:line="360" w:lineRule="auto"/>
        <w:jc w:val="both"/>
        <w:rPr>
          <w:rFonts w:ascii="Book Antiqua" w:hAnsi="Book Antiqua"/>
          <w:color w:val="000000"/>
        </w:rPr>
      </w:pPr>
      <w:r w:rsidRPr="00463038">
        <w:rPr>
          <w:rFonts w:ascii="Book Antiqua" w:hAnsi="Book Antiqua"/>
          <w:color w:val="000000"/>
        </w:rPr>
        <w:t>Methotrexate (MTX) was discovered in the 1940’s and was first used to treat leukemia in 1948. It is a structural analogue of folate which competitively inhibits the enzyme dihydrofolate reductase and thereby the production of the intracellular metabolite folinic acid and the synthesis of purines and pyrimidines. Clinically, it has demonstrated effectiveness in the treatment of CD but not UC</w:t>
      </w:r>
      <w:r w:rsidRPr="00463038">
        <w:rPr>
          <w:rFonts w:ascii="Book Antiqua" w:hAnsi="Book Antiqua"/>
          <w:color w:val="000000"/>
          <w:vertAlign w:val="superscript"/>
        </w:rPr>
        <w:t>[37,38]</w:t>
      </w:r>
      <w:r w:rsidRPr="00463038">
        <w:rPr>
          <w:rFonts w:ascii="Book Antiqua" w:hAnsi="Book Antiqua"/>
          <w:color w:val="000000"/>
        </w:rPr>
        <w:t>. Generally, it is given intramuscularly at a dose of 25</w:t>
      </w:r>
      <w:r w:rsidRPr="00463038">
        <w:rPr>
          <w:rFonts w:ascii="Book Antiqua" w:hAnsi="Book Antiqua"/>
          <w:color w:val="000000"/>
          <w:lang w:eastAsia="zh-CN"/>
        </w:rPr>
        <w:t xml:space="preserve"> </w:t>
      </w:r>
      <w:r w:rsidRPr="00463038">
        <w:rPr>
          <w:rFonts w:ascii="Book Antiqua" w:hAnsi="Book Antiqua"/>
          <w:color w:val="000000"/>
        </w:rPr>
        <w:t>mg weekly in combination with another medication used to induce remission, such as steroids or a biologic agent. Once a clinical response is observed, patients are switched to subcutaneous or intramuscular injections at a dose of 15</w:t>
      </w:r>
      <w:r w:rsidRPr="00463038">
        <w:rPr>
          <w:rFonts w:ascii="Book Antiqua" w:hAnsi="Book Antiqua"/>
          <w:color w:val="000000"/>
          <w:lang w:eastAsia="zh-CN"/>
        </w:rPr>
        <w:t xml:space="preserve"> </w:t>
      </w:r>
      <w:r w:rsidRPr="00463038">
        <w:rPr>
          <w:rFonts w:ascii="Book Antiqua" w:hAnsi="Book Antiqua"/>
          <w:color w:val="000000"/>
        </w:rPr>
        <w:t xml:space="preserve">mg weekly. Multiple side effects have been reported including infections, pneumonitis, bone marrow suppression and liver test abnormalities.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There is extensive literature relating to MTX’s effects on the liver with significant variability in reports of liver tests abnormalities and histologic changes on biopsy. While the mechanism resulting in hepatotoxicity is not fully understood, it is likely related to MTX induced folate deficiency, as supplementation has been shown to reduce hepatic adverse events</w:t>
      </w:r>
      <w:r w:rsidRPr="00463038">
        <w:rPr>
          <w:rFonts w:ascii="Book Antiqua" w:hAnsi="Book Antiqua"/>
          <w:color w:val="000000"/>
          <w:vertAlign w:val="superscript"/>
        </w:rPr>
        <w:t>[39,40]</w:t>
      </w:r>
      <w:r w:rsidRPr="00463038">
        <w:rPr>
          <w:rFonts w:ascii="Book Antiqua" w:hAnsi="Book Antiqua"/>
          <w:color w:val="000000"/>
        </w:rPr>
        <w:t>. Much of the evidence relating to its heptotoxicity comes from its use in rheumatoid arthritis and psoriatic ar</w:t>
      </w:r>
      <w:bookmarkStart w:id="4" w:name="_GoBack"/>
      <w:bookmarkEnd w:id="4"/>
      <w:r w:rsidRPr="00463038">
        <w:rPr>
          <w:rFonts w:ascii="Book Antiqua" w:hAnsi="Book Antiqua"/>
          <w:color w:val="000000"/>
        </w:rPr>
        <w:t>thritis, where it has been shown to have a variety of effects on the liver ranging from hepatic steatosis to fibrosis. The CORRONA database is a large cohort of patients which followed 2104 patients with rheumatoid arthritis and psoriatic arthritis exposed to methotrexate. Overall, approximately 22% of patients exposed to MTX with rheumatoid arthritis developed an elevated aspartate aminotransferase (AST)/alanine aminotransferase (ALT), while 35% of patients with psoriatic arthritis exposed to MTX had an AST/ALT &gt;</w:t>
      </w:r>
      <w:r w:rsidRPr="00463038">
        <w:rPr>
          <w:rFonts w:ascii="Book Antiqua" w:hAnsi="Book Antiqua"/>
          <w:color w:val="000000"/>
          <w:lang w:eastAsia="zh-CN"/>
        </w:rPr>
        <w:t xml:space="preserve"> </w:t>
      </w:r>
      <w:r w:rsidRPr="00463038">
        <w:rPr>
          <w:rFonts w:ascii="Book Antiqua" w:hAnsi="Book Antiqua"/>
          <w:color w:val="000000"/>
        </w:rPr>
        <w:t>1x the upper limit of normal</w:t>
      </w:r>
      <w:r w:rsidRPr="00463038">
        <w:rPr>
          <w:rFonts w:ascii="Book Antiqua" w:hAnsi="Book Antiqua"/>
          <w:color w:val="000000"/>
          <w:vertAlign w:val="superscript"/>
        </w:rPr>
        <w:t>[41]</w:t>
      </w:r>
      <w:r w:rsidRPr="00463038">
        <w:rPr>
          <w:rFonts w:ascii="Book Antiqua" w:hAnsi="Book Antiqua"/>
          <w:color w:val="000000"/>
        </w:rPr>
        <w:t xml:space="preserve">.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Similar results were found in patients with IBD on chronic low dose MTX.</w:t>
      </w:r>
      <w:r w:rsidRPr="00463038">
        <w:rPr>
          <w:rFonts w:ascii="Book Antiqua" w:hAnsi="Book Antiqua"/>
          <w:color w:val="000000"/>
          <w:lang w:eastAsia="zh-CN"/>
        </w:rPr>
        <w:t xml:space="preserve"> </w:t>
      </w:r>
      <w:r w:rsidRPr="00463038">
        <w:rPr>
          <w:rFonts w:ascii="Book Antiqua" w:hAnsi="Book Antiqua"/>
          <w:color w:val="000000"/>
        </w:rPr>
        <w:t>A retrospective study evaluating 87 subjects with a mean duration of therapy of 81 wk and an average dose of 1813</w:t>
      </w:r>
      <w:r w:rsidRPr="00463038">
        <w:rPr>
          <w:rFonts w:ascii="Book Antiqua" w:hAnsi="Book Antiqua"/>
          <w:color w:val="000000"/>
          <w:lang w:eastAsia="zh-CN"/>
        </w:rPr>
        <w:t xml:space="preserve"> </w:t>
      </w:r>
      <w:r w:rsidRPr="00463038">
        <w:rPr>
          <w:rFonts w:ascii="Book Antiqua" w:hAnsi="Book Antiqua"/>
          <w:color w:val="000000"/>
        </w:rPr>
        <w:t>mg found that 24% of patients developed elevated liver tests. Of these patients, 44% had underlying risk factors for liver disease. While 23% of patients in the study had abnormal liver tests at baseline, 45% had normalization while on MTX, while 45% experienced a worsening of their liver tests</w:t>
      </w:r>
      <w:r w:rsidRPr="00463038">
        <w:rPr>
          <w:rFonts w:ascii="Book Antiqua" w:hAnsi="Book Antiqua"/>
          <w:color w:val="000000"/>
          <w:vertAlign w:val="superscript"/>
        </w:rPr>
        <w:t>[42]</w:t>
      </w:r>
      <w:r w:rsidRPr="00463038">
        <w:rPr>
          <w:rFonts w:ascii="Book Antiqua" w:hAnsi="Book Antiqua"/>
          <w:color w:val="000000"/>
        </w:rPr>
        <w:t>. A meta-analysis evaluating 12 studies of 457 children with IBD exposed to MTX found that 10.2% of patients developed abnormal liver biochemistry with 6.4% of patients requiring dose reduction and 4.5% of patients requiring discontinuation of the medication</w:t>
      </w:r>
      <w:r w:rsidRPr="00463038">
        <w:rPr>
          <w:rFonts w:ascii="Book Antiqua" w:hAnsi="Book Antiqua"/>
          <w:color w:val="000000"/>
          <w:vertAlign w:val="superscript"/>
        </w:rPr>
        <w:t>[43]</w:t>
      </w:r>
      <w:r w:rsidRPr="00463038">
        <w:rPr>
          <w:rFonts w:ascii="Book Antiqua" w:hAnsi="Book Antiqua"/>
          <w:color w:val="000000"/>
        </w:rPr>
        <w:t xml:space="preserve">.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Beyond elevated liver tests, long term MTX use may lead to the development of fibrosis and cirrhosis. The histologic feature of methotrexate-induced liver toxicity tends to resemble nonalcoholic steatohepatitis</w:t>
      </w:r>
      <w:r w:rsidRPr="00463038">
        <w:rPr>
          <w:rFonts w:ascii="Book Antiqua" w:hAnsi="Book Antiqua"/>
          <w:color w:val="000000"/>
          <w:vertAlign w:val="superscript"/>
        </w:rPr>
        <w:t>[44]</w:t>
      </w:r>
      <w:r w:rsidRPr="00463038">
        <w:rPr>
          <w:rFonts w:ascii="Book Antiqua" w:hAnsi="Book Antiqua"/>
          <w:color w:val="000000"/>
        </w:rPr>
        <w:t>. Earlier studies reported up to a 50% chance of developing fibrosis, though there is concern that this may be an overestimation secondary to confounding factors</w:t>
      </w:r>
      <w:r w:rsidRPr="00463038">
        <w:rPr>
          <w:rFonts w:ascii="Book Antiqua" w:hAnsi="Book Antiqua"/>
          <w:color w:val="000000"/>
          <w:vertAlign w:val="superscript"/>
        </w:rPr>
        <w:t>[45-47]</w:t>
      </w:r>
      <w:r w:rsidRPr="00463038">
        <w:rPr>
          <w:rFonts w:ascii="Book Antiqua" w:hAnsi="Book Antiqua"/>
          <w:color w:val="000000"/>
        </w:rPr>
        <w:t>. A more recent meta-analysis of 15 studies examined the relationship between long term low-dose MTX and biopsy evidence of liver fibrosis. It showed that patients have a 6.7% chance of progressing at least one histologic grade of fibrosis for every gram of MTX taken and that the rate of progression of liver disease was associated with the cumulative dose of the medication. In addition, it revealed a 5.0% chance of having advanced pathologic changes on biopsy</w:t>
      </w:r>
      <w:r w:rsidRPr="00463038">
        <w:rPr>
          <w:rFonts w:ascii="Book Antiqua" w:hAnsi="Book Antiqua"/>
          <w:color w:val="000000"/>
          <w:vertAlign w:val="superscript"/>
        </w:rPr>
        <w:t>[48]</w:t>
      </w:r>
      <w:r w:rsidRPr="00463038">
        <w:rPr>
          <w:rFonts w:ascii="Book Antiqua" w:hAnsi="Book Antiqua"/>
          <w:color w:val="000000"/>
        </w:rPr>
        <w:t xml:space="preserve">.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In general, measures to prevent or identify hepatotoxic effects should be employed prior to chronic use and risk factors for the development of hepatoxicity identified. These risk factors, created by the American Academy of Dermatology, allow for stratification and guidance in how aggressive liver enzymes should be monitored and whether a patient should be considered for liver biopsy</w:t>
      </w:r>
      <w:r w:rsidRPr="00463038">
        <w:rPr>
          <w:rFonts w:ascii="Book Antiqua" w:hAnsi="Book Antiqua"/>
          <w:color w:val="000000"/>
          <w:vertAlign w:val="superscript"/>
        </w:rPr>
        <w:t>[44]</w:t>
      </w:r>
      <w:r w:rsidRPr="00463038">
        <w:rPr>
          <w:rFonts w:ascii="Book Antiqua" w:hAnsi="Book Antiqua"/>
          <w:color w:val="000000"/>
        </w:rPr>
        <w:t>. Patients should be ruled out for chronic viral infections such as hepatitis B and hepatitis C, and educated to avoid hepatotoxic agents. In addition, all patients should undergo periodic monitoring of their liver tests.</w:t>
      </w:r>
      <w:r w:rsidRPr="00463038">
        <w:rPr>
          <w:rFonts w:ascii="Book Antiqua" w:hAnsi="Book Antiqua"/>
          <w:color w:val="000000"/>
          <w:lang w:eastAsia="zh-CN"/>
        </w:rPr>
        <w:t xml:space="preserve"> </w:t>
      </w:r>
      <w:r w:rsidRPr="00463038">
        <w:rPr>
          <w:rFonts w:ascii="Book Antiqua" w:hAnsi="Book Antiqua"/>
          <w:color w:val="000000"/>
        </w:rPr>
        <w:t>While there are no formal recommendations for laboratory monitoring by gastrointestinal societies, the American College of Rheumatology recommends monitoring liver tests every 2-4 wk for the first 3 mo, then every 8-12 wk for the next 3 mo. After 6 mo of therapy liver tests should be checked every 12 wk</w:t>
      </w:r>
      <w:r w:rsidRPr="00463038">
        <w:rPr>
          <w:rFonts w:ascii="Book Antiqua" w:hAnsi="Book Antiqua"/>
          <w:color w:val="000000"/>
          <w:vertAlign w:val="superscript"/>
        </w:rPr>
        <w:t>[49]</w:t>
      </w:r>
      <w:r w:rsidRPr="00463038">
        <w:rPr>
          <w:rFonts w:ascii="Book Antiqua" w:hAnsi="Book Antiqua"/>
          <w:color w:val="000000"/>
        </w:rPr>
        <w:t xml:space="preserve">.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With regards to liver biopsy, the most recent set of American College of Gastroenterology guidelines recommend consideration of a biopsy prior to initiation of MTX in patients with elevated liver tests at baseline, patients with one or more risk factor for hepatotoxicity and in patients who are suspected to have chronic liver disease</w:t>
      </w:r>
      <w:r w:rsidRPr="00463038">
        <w:rPr>
          <w:rFonts w:ascii="Book Antiqua" w:hAnsi="Book Antiqua"/>
          <w:color w:val="000000"/>
          <w:vertAlign w:val="superscript"/>
        </w:rPr>
        <w:t>[26]</w:t>
      </w:r>
      <w:r w:rsidRPr="00463038">
        <w:rPr>
          <w:rFonts w:ascii="Book Antiqua" w:hAnsi="Book Antiqua"/>
          <w:color w:val="000000"/>
        </w:rPr>
        <w:t>. Given the lack of biopsy data in patients with CD, current guidelines defer to the American Rheumatology Associations guidelines which recommend a liver biopsy for patients who develop elevations in AST in 5 of 9 blood samples in a 12</w:t>
      </w:r>
      <w:r w:rsidRPr="00463038">
        <w:rPr>
          <w:rFonts w:ascii="Book Antiqua" w:hAnsi="Book Antiqua"/>
          <w:color w:val="000000"/>
          <w:lang w:eastAsia="zh-CN"/>
        </w:rPr>
        <w:t>-</w:t>
      </w:r>
      <w:r w:rsidRPr="00463038">
        <w:rPr>
          <w:rFonts w:ascii="Book Antiqua" w:hAnsi="Book Antiqua"/>
          <w:color w:val="000000"/>
        </w:rPr>
        <w:t>mo period, 6 of 12 samples if performed monthly, or if there is a decrease in serum albumin below the normal range</w:t>
      </w:r>
      <w:r w:rsidRPr="00463038">
        <w:rPr>
          <w:rFonts w:ascii="Book Antiqua" w:hAnsi="Book Antiqua"/>
          <w:color w:val="000000"/>
          <w:vertAlign w:val="superscript"/>
        </w:rPr>
        <w:t>[26,50]</w:t>
      </w:r>
      <w:r w:rsidRPr="00463038">
        <w:rPr>
          <w:rFonts w:ascii="Book Antiqua" w:hAnsi="Book Antiqua"/>
          <w:color w:val="000000"/>
        </w:rPr>
        <w:t xml:space="preserve">. The role for current noninvasive technologies such as transient or MRI elastography, or serum non-invasive markers of fibrosis remains unclear.  </w:t>
      </w:r>
    </w:p>
    <w:p w:rsidR="00C5057E" w:rsidRPr="00463038" w:rsidRDefault="00C5057E" w:rsidP="001E275D">
      <w:pPr>
        <w:spacing w:line="360" w:lineRule="auto"/>
        <w:jc w:val="both"/>
        <w:rPr>
          <w:rFonts w:ascii="Book Antiqua" w:hAnsi="Book Antiqua"/>
          <w:color w:val="000000"/>
        </w:rPr>
      </w:pPr>
    </w:p>
    <w:p w:rsidR="00C5057E" w:rsidRPr="00463038" w:rsidRDefault="00C5057E" w:rsidP="001E275D">
      <w:pPr>
        <w:spacing w:line="360" w:lineRule="auto"/>
        <w:jc w:val="both"/>
        <w:rPr>
          <w:rFonts w:ascii="Book Antiqua" w:hAnsi="Book Antiqua"/>
          <w:b/>
          <w:color w:val="000000"/>
        </w:rPr>
      </w:pPr>
      <w:r w:rsidRPr="00463038">
        <w:rPr>
          <w:rFonts w:ascii="Book Antiqua" w:hAnsi="Book Antiqua"/>
          <w:b/>
          <w:color w:val="000000"/>
        </w:rPr>
        <w:t>ANTI TUMOR NECROSIS FACTOR-ALPHA</w:t>
      </w:r>
    </w:p>
    <w:p w:rsidR="00C5057E" w:rsidRPr="00463038" w:rsidRDefault="00C5057E" w:rsidP="00011262">
      <w:pPr>
        <w:spacing w:line="360" w:lineRule="auto"/>
        <w:jc w:val="both"/>
        <w:rPr>
          <w:rFonts w:ascii="Book Antiqua" w:hAnsi="Book Antiqua"/>
          <w:color w:val="000000"/>
        </w:rPr>
      </w:pPr>
      <w:r w:rsidRPr="00463038">
        <w:rPr>
          <w:rFonts w:ascii="Book Antiqua" w:hAnsi="Book Antiqua"/>
          <w:color w:val="000000"/>
        </w:rPr>
        <w:t>Tumor necrosis factor-alpha (TNF</w:t>
      </w:r>
      <w:r w:rsidRPr="00463038">
        <w:rPr>
          <w:rFonts w:ascii="Book Antiqua" w:hAnsi="Book Antiqua"/>
          <w:color w:val="000000"/>
          <w:lang w:eastAsia="zh-CN"/>
        </w:rPr>
        <w:t>-</w:t>
      </w:r>
      <w:r w:rsidRPr="00463038">
        <w:rPr>
          <w:rFonts w:ascii="Book Antiqua" w:hAnsi="Book Antiqua"/>
          <w:bCs/>
          <w:kern w:val="24"/>
        </w:rPr>
        <w:sym w:font="Symbol" w:char="F061"/>
      </w:r>
      <w:r w:rsidRPr="00463038">
        <w:rPr>
          <w:rFonts w:ascii="Book Antiqua" w:hAnsi="Book Antiqua"/>
          <w:color w:val="000000"/>
        </w:rPr>
        <w:t>) is a pro-inflammatory cytokine that plays a role in the immunopathology of IBD</w:t>
      </w:r>
      <w:r w:rsidRPr="00463038">
        <w:rPr>
          <w:rFonts w:ascii="Book Antiqua" w:hAnsi="Book Antiqua"/>
          <w:color w:val="000000"/>
          <w:vertAlign w:val="superscript"/>
        </w:rPr>
        <w:t>[51]</w:t>
      </w:r>
      <w:r w:rsidRPr="00463038">
        <w:rPr>
          <w:rFonts w:ascii="Book Antiqua" w:hAnsi="Book Antiqua"/>
          <w:color w:val="000000"/>
        </w:rPr>
        <w:t>. Infliximab (</w:t>
      </w:r>
      <w:r w:rsidRPr="00463038">
        <w:rPr>
          <w:rFonts w:ascii="Book Antiqua" w:hAnsi="Book Antiqua" w:cs="Arial"/>
          <w:color w:val="000000"/>
        </w:rPr>
        <w:t>REMICADE</w:t>
      </w:r>
      <w:r w:rsidRPr="00463038">
        <w:rPr>
          <w:rFonts w:ascii="Book Antiqua" w:hAnsi="Book Antiqua" w:cs="Arial"/>
          <w:b/>
          <w:bCs/>
          <w:color w:val="000000"/>
          <w:vertAlign w:val="superscript"/>
        </w:rPr>
        <w:t>®</w:t>
      </w:r>
      <w:r w:rsidRPr="00463038">
        <w:rPr>
          <w:rFonts w:ascii="Book Antiqua" w:hAnsi="Book Antiqua"/>
          <w:color w:val="000000"/>
        </w:rPr>
        <w:t>) is a chimeric monoclonal anti-TNF</w:t>
      </w:r>
      <w:r w:rsidRPr="00463038">
        <w:rPr>
          <w:rFonts w:ascii="Book Antiqua" w:hAnsi="Book Antiqua"/>
          <w:color w:val="000000"/>
          <w:lang w:eastAsia="zh-CN"/>
        </w:rPr>
        <w:t>-</w:t>
      </w:r>
      <w:r w:rsidRPr="00463038">
        <w:rPr>
          <w:rFonts w:ascii="Book Antiqua" w:hAnsi="Book Antiqua"/>
          <w:bCs/>
          <w:kern w:val="24"/>
        </w:rPr>
        <w:sym w:font="Symbol" w:char="F061"/>
      </w:r>
      <w:r w:rsidRPr="00463038">
        <w:rPr>
          <w:rFonts w:ascii="Book Antiqua" w:hAnsi="Book Antiqua"/>
          <w:color w:val="000000"/>
        </w:rPr>
        <w:t xml:space="preserve"> antibody which was first approved to treat CD in 1998 and UC in 2005</w:t>
      </w:r>
      <w:r w:rsidRPr="00463038">
        <w:rPr>
          <w:rFonts w:ascii="Book Antiqua" w:hAnsi="Book Antiqua"/>
          <w:color w:val="000000"/>
          <w:vertAlign w:val="superscript"/>
        </w:rPr>
        <w:t>[52]</w:t>
      </w:r>
      <w:r w:rsidRPr="00463038">
        <w:rPr>
          <w:rFonts w:ascii="Book Antiqua" w:hAnsi="Book Antiqua"/>
          <w:color w:val="000000"/>
        </w:rPr>
        <w:t>. Its most common side effects are headache, rash and cough, while infusion reactions have been seen in 5% of patients</w:t>
      </w:r>
      <w:r w:rsidRPr="00463038">
        <w:rPr>
          <w:rFonts w:ascii="Book Antiqua" w:hAnsi="Book Antiqua"/>
          <w:color w:val="000000"/>
          <w:vertAlign w:val="superscript"/>
        </w:rPr>
        <w:t>[53]</w:t>
      </w:r>
      <w:r w:rsidRPr="00463038">
        <w:rPr>
          <w:rFonts w:ascii="Book Antiqua" w:hAnsi="Book Antiqua"/>
          <w:color w:val="000000"/>
        </w:rPr>
        <w:t>. In addition, through its immunosuppressive properties, it has been associated with an increased risk of infection based on large cohort studies</w:t>
      </w:r>
      <w:r w:rsidRPr="00463038">
        <w:rPr>
          <w:rFonts w:ascii="Book Antiqua" w:hAnsi="Book Antiqua"/>
          <w:color w:val="000000"/>
          <w:vertAlign w:val="superscript"/>
        </w:rPr>
        <w:t>[54]</w:t>
      </w:r>
      <w:r w:rsidRPr="00463038">
        <w:rPr>
          <w:rFonts w:ascii="Book Antiqua" w:hAnsi="Book Antiqua"/>
          <w:color w:val="000000"/>
        </w:rPr>
        <w:t>.  </w:t>
      </w:r>
    </w:p>
    <w:p w:rsidR="00C5057E" w:rsidRPr="00463038" w:rsidRDefault="00C5057E" w:rsidP="0062573A">
      <w:pPr>
        <w:spacing w:line="360" w:lineRule="auto"/>
        <w:ind w:firstLineChars="100" w:firstLine="31680"/>
        <w:jc w:val="both"/>
        <w:rPr>
          <w:rFonts w:ascii="Book Antiqua" w:hAnsi="Book Antiqua"/>
        </w:rPr>
      </w:pPr>
      <w:r w:rsidRPr="00463038">
        <w:rPr>
          <w:rFonts w:ascii="Book Antiqua" w:hAnsi="Book Antiqua"/>
          <w:color w:val="000000"/>
        </w:rPr>
        <w:t>Infliximab has been associated with several forms of DILI. A large, prospective cohort study found that 6.7% of patients treated with infliximab experienced hepatocellular cytolytic injury, with mild elevations in AST/ALT &gt;</w:t>
      </w:r>
      <w:r w:rsidRPr="00463038">
        <w:rPr>
          <w:rFonts w:ascii="Book Antiqua" w:hAnsi="Book Antiqua"/>
          <w:color w:val="000000"/>
          <w:lang w:eastAsia="zh-CN"/>
        </w:rPr>
        <w:t xml:space="preserve"> </w:t>
      </w:r>
      <w:r w:rsidRPr="00463038">
        <w:rPr>
          <w:rFonts w:ascii="Book Antiqua" w:hAnsi="Book Antiqua"/>
          <w:color w:val="000000"/>
        </w:rPr>
        <w:t>1x the upper limit of normal, but discontinuation rates were not significant compared to those who did not have liver enzyme elevations</w:t>
      </w:r>
      <w:r w:rsidRPr="00463038">
        <w:rPr>
          <w:rFonts w:ascii="Book Antiqua" w:hAnsi="Book Antiqua"/>
          <w:color w:val="000000"/>
          <w:vertAlign w:val="superscript"/>
        </w:rPr>
        <w:t>[55]</w:t>
      </w:r>
      <w:r w:rsidRPr="00463038">
        <w:rPr>
          <w:rFonts w:ascii="Book Antiqua" w:hAnsi="Book Antiqua"/>
          <w:color w:val="000000"/>
        </w:rPr>
        <w:t>. In another retrospective cohort study, 6% of patients, the vast majority who were on low-dose infliximab, developed mild idiopathic liver enzyme elevations. In up to 50% of these patients, other possible causes (medication, alcohol, metabolic, viral) were identified. The mean time to ALT elevation was 29 wk, and resolution occurred after a median of 17 wk in 82% of patients despite continuation of therapy</w:t>
      </w:r>
      <w:r w:rsidRPr="00463038">
        <w:rPr>
          <w:rFonts w:ascii="Book Antiqua" w:hAnsi="Book Antiqua"/>
          <w:color w:val="000000"/>
          <w:vertAlign w:val="superscript"/>
        </w:rPr>
        <w:t>[56]</w:t>
      </w:r>
      <w:r w:rsidRPr="00463038">
        <w:rPr>
          <w:rFonts w:ascii="Book Antiqua" w:hAnsi="Book Antiqua"/>
          <w:color w:val="000000"/>
        </w:rPr>
        <w:t>. In this study, a small subset of patients were found to have positive autoimmune markers, and underwent liver biopsies which demonstrated features of autoimmune hepatitis, requiring cessation of the initial anti-TNF</w:t>
      </w:r>
      <w:r w:rsidRPr="00463038">
        <w:rPr>
          <w:rFonts w:ascii="Book Antiqua" w:hAnsi="Book Antiqua"/>
          <w:color w:val="000000"/>
          <w:lang w:eastAsia="zh-CN"/>
        </w:rPr>
        <w:t>-</w:t>
      </w:r>
      <w:r w:rsidRPr="00463038">
        <w:rPr>
          <w:rFonts w:ascii="Book Antiqua" w:hAnsi="Book Antiqua"/>
          <w:bCs/>
          <w:kern w:val="24"/>
        </w:rPr>
        <w:sym w:font="Symbol" w:char="F061"/>
      </w:r>
      <w:r w:rsidRPr="00463038">
        <w:rPr>
          <w:rFonts w:ascii="Book Antiqua" w:hAnsi="Book Antiqua"/>
          <w:color w:val="000000"/>
        </w:rPr>
        <w:t xml:space="preserve"> treatment.</w:t>
      </w:r>
    </w:p>
    <w:p w:rsidR="00C5057E" w:rsidRPr="00463038" w:rsidRDefault="00C5057E" w:rsidP="0062573A">
      <w:pPr>
        <w:spacing w:line="360" w:lineRule="auto"/>
        <w:ind w:firstLineChars="100" w:firstLine="31680"/>
        <w:jc w:val="both"/>
        <w:rPr>
          <w:rFonts w:ascii="Book Antiqua" w:hAnsi="Book Antiqua"/>
        </w:rPr>
      </w:pPr>
      <w:r w:rsidRPr="00463038">
        <w:rPr>
          <w:rFonts w:ascii="Book Antiqua" w:hAnsi="Book Antiqua"/>
          <w:color w:val="000000"/>
        </w:rPr>
        <w:t>Although infliximab has been used in several studies to treat refractory autoimmune hepatitis, autoimmune hepatitis due to infliximab is becoming an increasingly recognized form of hepatocellular injury</w:t>
      </w:r>
      <w:r w:rsidRPr="00463038">
        <w:rPr>
          <w:rFonts w:ascii="Book Antiqua" w:hAnsi="Book Antiqua"/>
          <w:color w:val="000000"/>
          <w:vertAlign w:val="superscript"/>
        </w:rPr>
        <w:t>[57-59]</w:t>
      </w:r>
      <w:r w:rsidRPr="00463038">
        <w:rPr>
          <w:rFonts w:ascii="Book Antiqua" w:hAnsi="Book Antiqua"/>
          <w:color w:val="000000"/>
        </w:rPr>
        <w:t>. In a review of 34 cases of DILI secondary to TNF</w:t>
      </w:r>
      <w:r w:rsidRPr="00463038">
        <w:rPr>
          <w:rFonts w:ascii="Book Antiqua" w:hAnsi="Book Antiqua"/>
          <w:color w:val="000000"/>
          <w:lang w:eastAsia="zh-CN"/>
        </w:rPr>
        <w:t>-</w:t>
      </w:r>
      <w:r w:rsidRPr="00463038">
        <w:rPr>
          <w:rFonts w:ascii="Book Antiqua" w:hAnsi="Book Antiqua"/>
          <w:bCs/>
          <w:kern w:val="24"/>
        </w:rPr>
        <w:sym w:font="Symbol" w:char="F061"/>
      </w:r>
      <w:r w:rsidRPr="00463038">
        <w:rPr>
          <w:rFonts w:ascii="Book Antiqua" w:hAnsi="Book Antiqua"/>
          <w:color w:val="000000"/>
        </w:rPr>
        <w:t xml:space="preserve"> antagonists, 16/26 patients treated with infliximab had autoimmune antibodies or liver biopsies suggestive of autoimmune hepatitis, with interface hepatitis, piecemeal necrosis, and portal lymphocytic inflammation with plasma cells</w:t>
      </w:r>
      <w:r w:rsidRPr="00463038">
        <w:rPr>
          <w:rFonts w:ascii="Book Antiqua" w:hAnsi="Book Antiqua"/>
          <w:color w:val="000000"/>
          <w:vertAlign w:val="superscript"/>
        </w:rPr>
        <w:t>[60]</w:t>
      </w:r>
      <w:r w:rsidRPr="00463038">
        <w:rPr>
          <w:rFonts w:ascii="Book Antiqua" w:hAnsi="Book Antiqua"/>
          <w:color w:val="000000"/>
        </w:rPr>
        <w:t>. Patients with autoimmune features had a latency period of 16 wk before liver injury was apparent and higher peak ALT values. In the reported cases, patients often recovered with discontinuation of infliximab and corticosteroid therapy.</w:t>
      </w:r>
    </w:p>
    <w:p w:rsidR="00C5057E" w:rsidRPr="00463038" w:rsidRDefault="00C5057E" w:rsidP="0062573A">
      <w:pPr>
        <w:spacing w:line="360" w:lineRule="auto"/>
        <w:ind w:firstLineChars="100" w:firstLine="31680"/>
        <w:jc w:val="both"/>
        <w:rPr>
          <w:rFonts w:ascii="Book Antiqua" w:hAnsi="Book Antiqua"/>
        </w:rPr>
      </w:pPr>
      <w:r w:rsidRPr="00463038">
        <w:rPr>
          <w:rFonts w:ascii="Book Antiqua" w:hAnsi="Book Antiqua"/>
          <w:color w:val="000000"/>
        </w:rPr>
        <w:t>Cholestatic liver injury has been described in several case reports of patients treated with infliximab. Patients developed jaundice after infliximab infusions, with markedly elevated alkaline phosphatase and bilirubin. One patient who underwent liver biopsy demonstrated bland cholestasis. Cholestatic liver injury resolved in most cases within 6-8 wk with supportive therapy and withdrawal of infliximab</w:t>
      </w:r>
      <w:r w:rsidRPr="00463038">
        <w:rPr>
          <w:rFonts w:ascii="Book Antiqua" w:hAnsi="Book Antiqua"/>
          <w:color w:val="000000"/>
          <w:vertAlign w:val="superscript"/>
        </w:rPr>
        <w:t>[61,62]</w:t>
      </w:r>
      <w:r w:rsidRPr="00463038">
        <w:rPr>
          <w:rFonts w:ascii="Book Antiqua" w:hAnsi="Book Antiqua"/>
          <w:color w:val="000000"/>
        </w:rPr>
        <w:t>. In a severe case of acute cholestatic hepatitis after eight months of treatment with infliximab for rheumatoid arthritis, one patient progressed to liver failure requiring liver transplant. This patient’s liver biopsy showed ductal proliferation with collapse and enucleation of the hepatocytes</w:t>
      </w:r>
      <w:r w:rsidRPr="00463038">
        <w:rPr>
          <w:rFonts w:ascii="Book Antiqua" w:hAnsi="Book Antiqua"/>
          <w:color w:val="000000"/>
          <w:vertAlign w:val="superscript"/>
        </w:rPr>
        <w:t>[63]</w:t>
      </w:r>
      <w:r w:rsidRPr="00463038">
        <w:rPr>
          <w:rFonts w:ascii="Book Antiqua" w:hAnsi="Book Antiqua"/>
          <w:color w:val="000000"/>
        </w:rPr>
        <w:t>.</w:t>
      </w:r>
    </w:p>
    <w:p w:rsidR="00C5057E" w:rsidRPr="00463038" w:rsidRDefault="00C5057E" w:rsidP="0062573A">
      <w:pPr>
        <w:spacing w:line="360" w:lineRule="auto"/>
        <w:ind w:firstLineChars="100" w:firstLine="31680"/>
        <w:jc w:val="both"/>
        <w:rPr>
          <w:rFonts w:ascii="Book Antiqua" w:hAnsi="Book Antiqua"/>
        </w:rPr>
      </w:pPr>
      <w:r w:rsidRPr="00463038">
        <w:rPr>
          <w:rFonts w:ascii="Book Antiqua" w:hAnsi="Book Antiqua"/>
          <w:color w:val="000000"/>
        </w:rPr>
        <w:t>Apart from DILI, infliximab has also been shown to cause reactivation of hepatitis B, in patients with a positive surface antigen (HBsAg) and patients with anti-core antibodies (HBcAb) without HBsAg. In a systematic review of HBsAg-positive patients, 2/14 patients treated with infliximab experienced hepatitis B reactivation, characterized by jaundice with elevated liver enzymes and a positive HBV DNA</w:t>
      </w:r>
      <w:r w:rsidRPr="00463038">
        <w:rPr>
          <w:rFonts w:ascii="Book Antiqua" w:hAnsi="Book Antiqua"/>
          <w:color w:val="000000"/>
          <w:vertAlign w:val="superscript"/>
        </w:rPr>
        <w:t>[64]</w:t>
      </w:r>
      <w:r w:rsidRPr="00463038">
        <w:rPr>
          <w:rFonts w:ascii="Book Antiqua" w:hAnsi="Book Antiqua"/>
          <w:color w:val="000000"/>
        </w:rPr>
        <w:t>. The outcomes for patients with reactivation range from recovery with lamivudine treatment to fatal fulminant hepatitis</w:t>
      </w:r>
      <w:r w:rsidRPr="00463038">
        <w:rPr>
          <w:rFonts w:ascii="Book Antiqua" w:hAnsi="Book Antiqua"/>
          <w:color w:val="000000"/>
          <w:vertAlign w:val="superscript"/>
        </w:rPr>
        <w:t>[65]</w:t>
      </w:r>
      <w:r w:rsidRPr="00463038">
        <w:rPr>
          <w:rFonts w:ascii="Book Antiqua" w:hAnsi="Book Antiqua"/>
          <w:color w:val="000000"/>
        </w:rPr>
        <w:t>. Patients with HBsAg-positive or anti-HBc positive serology are considered to be at moderate risk (1</w:t>
      </w:r>
      <w:r w:rsidRPr="00463038">
        <w:rPr>
          <w:rFonts w:ascii="Book Antiqua" w:hAnsi="Book Antiqua"/>
          <w:color w:val="000000"/>
          <w:lang w:eastAsia="zh-CN"/>
        </w:rPr>
        <w:t>%</w:t>
      </w:r>
      <w:r w:rsidRPr="00463038">
        <w:rPr>
          <w:rFonts w:ascii="Book Antiqua" w:hAnsi="Book Antiqua"/>
          <w:color w:val="000000"/>
        </w:rPr>
        <w:t>-10%) for reactivation (Table 1)</w:t>
      </w:r>
      <w:r w:rsidRPr="00463038">
        <w:rPr>
          <w:rFonts w:ascii="Book Antiqua" w:hAnsi="Book Antiqua"/>
          <w:color w:val="000000"/>
          <w:vertAlign w:val="superscript"/>
        </w:rPr>
        <w:t>[66]</w:t>
      </w:r>
      <w:r w:rsidRPr="00463038">
        <w:rPr>
          <w:rFonts w:ascii="Book Antiqua" w:hAnsi="Book Antiqua"/>
          <w:color w:val="000000"/>
        </w:rPr>
        <w:t>. Given the poor outcomes associated with hepatitis B and the availability of prophylactic antivirals, both the AGA and AASLD recommend screening for hepatitis B with HBsAg and anti-HBcAb prior to initiating therapy</w:t>
      </w:r>
      <w:r w:rsidRPr="00463038">
        <w:rPr>
          <w:rFonts w:ascii="Book Antiqua" w:hAnsi="Book Antiqua"/>
          <w:color w:val="000000"/>
          <w:vertAlign w:val="superscript"/>
        </w:rPr>
        <w:t>[66,67]</w:t>
      </w:r>
      <w:r w:rsidRPr="00463038">
        <w:rPr>
          <w:rFonts w:ascii="Book Antiqua" w:hAnsi="Book Antiqua"/>
          <w:color w:val="000000"/>
        </w:rPr>
        <w:t>. If a positive result is obtained, HBV DNA should be checked before initiating prophylaxis. Antiviral prophylaxis has been associated with an 87% relative risk reduction of reactivation and an 84% relative risk reduction of HBV-associated hepatitis flares. Tenofovir or entecavir is recommended for long-term antiviral prophylaxis given high resistance rates with lamivudine. In contrast to the experience with hepatitis B, hepatitis C has not been shown to be affected by infliximab usage, and screening for hepatitis C is not currently recommended.</w:t>
      </w:r>
    </w:p>
    <w:p w:rsidR="00C5057E" w:rsidRPr="00463038" w:rsidRDefault="00C5057E" w:rsidP="0062573A">
      <w:pPr>
        <w:spacing w:line="360" w:lineRule="auto"/>
        <w:ind w:firstLineChars="100" w:firstLine="31680"/>
        <w:jc w:val="both"/>
        <w:rPr>
          <w:rFonts w:ascii="Book Antiqua" w:hAnsi="Book Antiqua"/>
        </w:rPr>
      </w:pPr>
      <w:r w:rsidRPr="00463038">
        <w:rPr>
          <w:rFonts w:ascii="Book Antiqua" w:hAnsi="Book Antiqua"/>
          <w:color w:val="000000"/>
        </w:rPr>
        <w:t>Adalimumab (HUMIRA</w:t>
      </w:r>
      <w:r w:rsidRPr="00463038">
        <w:rPr>
          <w:rFonts w:ascii="Book Antiqua" w:hAnsi="Book Antiqua"/>
          <w:color w:val="000000"/>
          <w:vertAlign w:val="superscript"/>
        </w:rPr>
        <w:t>®</w:t>
      </w:r>
      <w:r w:rsidRPr="00463038">
        <w:rPr>
          <w:rFonts w:ascii="Book Antiqua" w:hAnsi="Book Antiqua"/>
          <w:color w:val="000000"/>
        </w:rPr>
        <w:t>) is a fully human monoclonal anti-TNF</w:t>
      </w:r>
      <w:r w:rsidRPr="00463038">
        <w:rPr>
          <w:rFonts w:ascii="Book Antiqua" w:hAnsi="Book Antiqua"/>
          <w:color w:val="000000"/>
          <w:lang w:eastAsia="zh-CN"/>
        </w:rPr>
        <w:t>-</w:t>
      </w:r>
      <w:r w:rsidRPr="00463038">
        <w:rPr>
          <w:rFonts w:ascii="Book Antiqua" w:hAnsi="Book Antiqua"/>
          <w:bCs/>
          <w:kern w:val="24"/>
        </w:rPr>
        <w:sym w:font="Symbol" w:char="F061"/>
      </w:r>
      <w:r w:rsidRPr="00463038">
        <w:rPr>
          <w:rFonts w:ascii="Book Antiqua" w:hAnsi="Book Antiqua"/>
          <w:color w:val="000000"/>
        </w:rPr>
        <w:t xml:space="preserve"> antibody, and was FDA-approved for use in CD in 2007 and UC in 2012. It has also been associated with DILI, though less seldom than infliximab. In a population-based study from Iceland, the absolute risk of DILI with adalimumab was reported to be 1/270 patients, compared to 1/120 infliximab users</w:t>
      </w:r>
      <w:r w:rsidRPr="00463038">
        <w:rPr>
          <w:rFonts w:ascii="Book Antiqua" w:hAnsi="Book Antiqua"/>
          <w:color w:val="000000"/>
          <w:vertAlign w:val="superscript"/>
        </w:rPr>
        <w:t>[68]</w:t>
      </w:r>
      <w:r w:rsidRPr="00463038">
        <w:rPr>
          <w:rFonts w:ascii="Book Antiqua" w:hAnsi="Book Antiqua"/>
          <w:color w:val="000000"/>
        </w:rPr>
        <w:t>. Idiosyncratic liver enzyme elevations can be seen with adalimumab, albeit at a lower incidence than infliximab. In a study of 1753 IBD patients treated with anti-TNF therapy, 33% of patients were initiated on adalimumab; however, only 6% of the 102 patients with elevated liver enzymes were adalimumab users (three times the number on infliximab)</w:t>
      </w:r>
      <w:r w:rsidRPr="00463038">
        <w:rPr>
          <w:rFonts w:ascii="Book Antiqua" w:hAnsi="Book Antiqua"/>
          <w:color w:val="000000"/>
          <w:vertAlign w:val="superscript"/>
        </w:rPr>
        <w:t>[56]</w:t>
      </w:r>
      <w:r w:rsidRPr="00463038">
        <w:rPr>
          <w:rFonts w:ascii="Book Antiqua" w:hAnsi="Book Antiqua"/>
          <w:color w:val="000000"/>
        </w:rPr>
        <w:t>. Resolution of mild liver enzyme elevations generally occurred despite continued use of adalimumab.</w:t>
      </w:r>
    </w:p>
    <w:p w:rsidR="00C5057E" w:rsidRPr="00463038" w:rsidRDefault="00C5057E" w:rsidP="0062573A">
      <w:pPr>
        <w:spacing w:line="360" w:lineRule="auto"/>
        <w:ind w:firstLineChars="100" w:firstLine="31680"/>
        <w:jc w:val="both"/>
        <w:rPr>
          <w:rFonts w:ascii="Book Antiqua" w:hAnsi="Book Antiqua"/>
        </w:rPr>
      </w:pPr>
      <w:r w:rsidRPr="00463038">
        <w:rPr>
          <w:rFonts w:ascii="Book Antiqua" w:hAnsi="Book Antiqua"/>
          <w:color w:val="000000"/>
        </w:rPr>
        <w:t>Two cases of drug-induced autoimmune hepatitis have been reported in patients being treated with adalimumab, including one patient with Crohn’s disease</w:t>
      </w:r>
      <w:r w:rsidRPr="00463038">
        <w:rPr>
          <w:rFonts w:ascii="Book Antiqua" w:hAnsi="Book Antiqua"/>
          <w:color w:val="000000"/>
          <w:vertAlign w:val="superscript"/>
        </w:rPr>
        <w:t>[69,70]</w:t>
      </w:r>
      <w:r w:rsidRPr="00463038">
        <w:rPr>
          <w:rFonts w:ascii="Book Antiqua" w:hAnsi="Book Antiqua"/>
          <w:color w:val="000000"/>
        </w:rPr>
        <w:t>. Liver enzyme elevations and autoantibodies were seen after 10-12 wk of treatment. Liver biopsies in both patients showed typical morphologic features of autoimmune hepatitis. Both patients recovered with cessation of the medication and initiation of corticosteroids. Interestingly, two cases of patients who developed autoimmune hepatitis with infliximab with subsequent treatment with adalimumab have also been described in the literature. In both cases, autoimmune hepatitis resolved after infliximab was discontinued, with no evidence of recurrence after adalimumab was initiated, suggesting that DILI from one anti-TNF</w:t>
      </w:r>
      <w:r w:rsidRPr="00463038">
        <w:rPr>
          <w:rFonts w:ascii="Book Antiqua" w:hAnsi="Book Antiqua"/>
          <w:color w:val="000000"/>
          <w:lang w:eastAsia="zh-CN"/>
        </w:rPr>
        <w:t>-</w:t>
      </w:r>
      <w:r w:rsidRPr="00463038">
        <w:rPr>
          <w:rFonts w:ascii="Book Antiqua" w:hAnsi="Book Antiqua"/>
          <w:bCs/>
          <w:kern w:val="24"/>
        </w:rPr>
        <w:sym w:font="Symbol" w:char="F061"/>
      </w:r>
      <w:r w:rsidRPr="00463038">
        <w:rPr>
          <w:rFonts w:ascii="Book Antiqua" w:hAnsi="Book Antiqua"/>
          <w:color w:val="000000"/>
        </w:rPr>
        <w:t xml:space="preserve"> treatment does not preclude therapy with another drug in the same class</w:t>
      </w:r>
      <w:r w:rsidRPr="00463038">
        <w:rPr>
          <w:rFonts w:ascii="Book Antiqua" w:hAnsi="Book Antiqua"/>
          <w:color w:val="000000"/>
          <w:vertAlign w:val="superscript"/>
        </w:rPr>
        <w:t>[71,72]</w:t>
      </w:r>
      <w:r w:rsidRPr="00463038">
        <w:rPr>
          <w:rFonts w:ascii="Book Antiqua" w:hAnsi="Book Antiqua"/>
          <w:color w:val="000000"/>
        </w:rPr>
        <w:t>.</w:t>
      </w:r>
    </w:p>
    <w:p w:rsidR="00C5057E" w:rsidRPr="00463038" w:rsidRDefault="00C5057E" w:rsidP="0062573A">
      <w:pPr>
        <w:spacing w:line="360" w:lineRule="auto"/>
        <w:ind w:firstLineChars="100" w:firstLine="31680"/>
        <w:jc w:val="both"/>
        <w:rPr>
          <w:rFonts w:ascii="Book Antiqua" w:hAnsi="Book Antiqua"/>
        </w:rPr>
      </w:pPr>
      <w:r w:rsidRPr="00463038">
        <w:rPr>
          <w:rFonts w:ascii="Book Antiqua" w:hAnsi="Book Antiqua"/>
          <w:color w:val="000000"/>
        </w:rPr>
        <w:t>One case of severe cholestatic injury due to adalimumab has been reported</w:t>
      </w:r>
      <w:r w:rsidRPr="00463038">
        <w:rPr>
          <w:rFonts w:ascii="Book Antiqua" w:hAnsi="Book Antiqua"/>
          <w:color w:val="000000"/>
          <w:vertAlign w:val="superscript"/>
        </w:rPr>
        <w:t>[73]</w:t>
      </w:r>
      <w:r w:rsidRPr="00463038">
        <w:rPr>
          <w:rFonts w:ascii="Book Antiqua" w:hAnsi="Book Antiqua"/>
          <w:color w:val="000000"/>
        </w:rPr>
        <w:t>. A female patient with CD being treated with adalimumab developed severe jaundice after seven months. Bilirubin and alkaline phosphatase were elevated, and liver biopsy demonstrated cannalicular cholestasis associated with large intracannicular bile thrombi throughout the parenchyma without other significant inflammation. Spontaneous recovery was seen 5 wk after discontinuation of adalimumab.</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As with infliximab, adalimumab has been implicated in hepatitis B reactivation, including fatal hepatic failure in a patient with clinically resolved hepatitis B infection</w:t>
      </w:r>
      <w:r w:rsidRPr="00463038">
        <w:rPr>
          <w:rFonts w:ascii="Book Antiqua" w:hAnsi="Book Antiqua"/>
          <w:color w:val="000000"/>
          <w:vertAlign w:val="superscript"/>
        </w:rPr>
        <w:t>[74,75]</w:t>
      </w:r>
      <w:r w:rsidRPr="00463038">
        <w:rPr>
          <w:rFonts w:ascii="Book Antiqua" w:hAnsi="Book Antiqua"/>
          <w:color w:val="000000"/>
        </w:rPr>
        <w:t>. Consequently, hepatitis B screening and prophylaxis is recommended prior to starting patients on adalimumab. Certolizumab and golimumab are the remaining anti-TNF-</w:t>
      </w:r>
      <w:r w:rsidRPr="00463038">
        <w:rPr>
          <w:rFonts w:ascii="Book Antiqua" w:hAnsi="Book Antiqua"/>
          <w:bCs/>
          <w:kern w:val="24"/>
        </w:rPr>
        <w:sym w:font="Symbol" w:char="F061"/>
      </w:r>
      <w:r w:rsidRPr="00463038">
        <w:rPr>
          <w:rFonts w:ascii="Book Antiqua" w:hAnsi="Book Antiqua"/>
          <w:color w:val="000000"/>
        </w:rPr>
        <w:t xml:space="preserve"> treatments which have been FDA-approved for use in Crohn’s disease and ulcerative colitis, respectively. Due to limited use, data on hepatoxicity is scarce, though the same recommendations for hepatitis B screening apply.</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rPr>
        <w:t xml:space="preserve">In addition to direct drug-related injury or injury by viral reactivation, there is evidence of an increased risk of malignancy affecting the liver in patients on </w:t>
      </w:r>
      <w:r w:rsidRPr="00463038">
        <w:rPr>
          <w:rFonts w:ascii="Book Antiqua" w:hAnsi="Book Antiqua"/>
          <w:color w:val="000000"/>
        </w:rPr>
        <w:t>TNF-</w:t>
      </w:r>
      <w:r w:rsidRPr="00463038">
        <w:rPr>
          <w:rFonts w:ascii="Book Antiqua" w:hAnsi="Book Antiqua"/>
          <w:bCs/>
          <w:kern w:val="24"/>
        </w:rPr>
        <w:sym w:font="Symbol" w:char="F061"/>
      </w:r>
      <w:r w:rsidRPr="00463038">
        <w:rPr>
          <w:rFonts w:ascii="Book Antiqua" w:hAnsi="Book Antiqua"/>
          <w:color w:val="000000"/>
        </w:rPr>
        <w:t xml:space="preserve"> treatment.</w:t>
      </w:r>
      <w:r w:rsidRPr="00463038">
        <w:rPr>
          <w:rFonts w:ascii="Book Antiqua" w:hAnsi="Book Antiqua"/>
        </w:rPr>
        <w:t xml:space="preserve"> Nineteen </w:t>
      </w:r>
      <w:r w:rsidRPr="00463038">
        <w:rPr>
          <w:rFonts w:ascii="Book Antiqua" w:hAnsi="Book Antiqua"/>
          <w:color w:val="000000"/>
        </w:rPr>
        <w:t>cases of hepatosplenic T-cell lymphoma (HSTCL) have been associated with infliximab use</w:t>
      </w:r>
      <w:r w:rsidRPr="00463038">
        <w:rPr>
          <w:rFonts w:ascii="Book Antiqua" w:hAnsi="Book Antiqua"/>
          <w:color w:val="000000"/>
          <w:vertAlign w:val="superscript"/>
        </w:rPr>
        <w:t>[76]</w:t>
      </w:r>
      <w:r w:rsidRPr="00463038">
        <w:rPr>
          <w:rFonts w:ascii="Book Antiqua" w:hAnsi="Book Antiqua"/>
          <w:color w:val="000000"/>
        </w:rPr>
        <w:t>. This rare but aggressive malignancy is an extranodal form of non-Hodgkin’s lymphoma that predominantly affects young males, and often has a poor prognosis. Presenting symptoms include hepatomegaly, splenomegaly, systemic B-type symptoms, elevated liver enzymes and signs of hepatitis. The exact causal relationship between infliximab and HSTCL is unclear, as patients were also treated with azathioprine, 6-mercaptopurine, or steroids. More long-term studies are needed to delineate the relationship between infliximab and HSTCL.</w:t>
      </w:r>
    </w:p>
    <w:p w:rsidR="00C5057E" w:rsidRPr="00463038" w:rsidRDefault="00C5057E" w:rsidP="001E275D">
      <w:pPr>
        <w:spacing w:line="360" w:lineRule="auto"/>
        <w:jc w:val="both"/>
        <w:rPr>
          <w:rFonts w:ascii="Book Antiqua" w:hAnsi="Book Antiqua"/>
          <w:color w:val="000000"/>
        </w:rPr>
      </w:pPr>
    </w:p>
    <w:p w:rsidR="00C5057E" w:rsidRPr="00463038" w:rsidRDefault="00C5057E" w:rsidP="001E275D">
      <w:pPr>
        <w:spacing w:line="360" w:lineRule="auto"/>
        <w:jc w:val="both"/>
        <w:rPr>
          <w:rFonts w:ascii="Book Antiqua" w:hAnsi="Book Antiqua"/>
          <w:b/>
          <w:color w:val="000000"/>
        </w:rPr>
      </w:pPr>
      <w:r w:rsidRPr="00463038">
        <w:rPr>
          <w:rFonts w:ascii="Book Antiqua" w:hAnsi="Book Antiqua"/>
          <w:b/>
          <w:color w:val="000000"/>
        </w:rPr>
        <w:t>ANTI-INTEGRIN THERAPIES </w:t>
      </w:r>
    </w:p>
    <w:p w:rsidR="00C5057E" w:rsidRPr="00463038" w:rsidRDefault="00C5057E" w:rsidP="001E275D">
      <w:pPr>
        <w:spacing w:line="360" w:lineRule="auto"/>
        <w:jc w:val="both"/>
        <w:rPr>
          <w:rFonts w:ascii="Book Antiqua" w:hAnsi="Book Antiqua"/>
          <w:color w:val="000000"/>
        </w:rPr>
      </w:pPr>
      <w:r w:rsidRPr="00463038">
        <w:rPr>
          <w:rFonts w:ascii="Book Antiqua" w:hAnsi="Book Antiqua"/>
          <w:color w:val="000000"/>
        </w:rPr>
        <w:t xml:space="preserve">The use of anti-integrin therapy for moderate to severe UC or CD that is refractory to anti-TNF agents or immunomodulators has increased with the approval of vedolizumab in May 2014. Integrins modulate the adhesion of leukocytes to endothelial cells and are responsible for a key step in the inflammatory cascade whereby activated leukocytes anchor to the endothelial wall prior to transmigration. Two anti-integrin therapies are currently approved to treat IBD, natalizumab and vedolizumb, while a third, ertolizumab, is currently in phase 3 testing.  </w:t>
      </w:r>
    </w:p>
    <w:p w:rsidR="00C5057E" w:rsidRPr="00463038" w:rsidRDefault="00C5057E" w:rsidP="0062573A">
      <w:pPr>
        <w:spacing w:line="360" w:lineRule="auto"/>
        <w:ind w:firstLineChars="100" w:firstLine="31680"/>
        <w:jc w:val="both"/>
        <w:rPr>
          <w:rFonts w:ascii="Book Antiqua" w:hAnsi="Book Antiqua"/>
          <w:color w:val="000000"/>
          <w:lang w:eastAsia="zh-CN"/>
        </w:rPr>
      </w:pPr>
      <w:r w:rsidRPr="00463038">
        <w:rPr>
          <w:rFonts w:ascii="Book Antiqua" w:hAnsi="Book Antiqua"/>
          <w:color w:val="000000"/>
        </w:rPr>
        <w:t>Natalizumab (</w:t>
      </w:r>
      <w:r w:rsidRPr="00463038">
        <w:rPr>
          <w:rStyle w:val="Strong"/>
          <w:rFonts w:ascii="Book Antiqua" w:hAnsi="Book Antiqua" w:cs="Arial"/>
          <w:b w:val="0"/>
        </w:rPr>
        <w:t>TYSABRI</w:t>
      </w:r>
      <w:r w:rsidRPr="00463038">
        <w:rPr>
          <w:rFonts w:ascii="Book Antiqua" w:hAnsi="Book Antiqua" w:cs="Arial"/>
          <w:b/>
        </w:rPr>
        <w:t>®</w:t>
      </w:r>
      <w:r w:rsidRPr="00463038">
        <w:rPr>
          <w:rFonts w:ascii="Book Antiqua" w:hAnsi="Book Antiqua"/>
          <w:color w:val="000000"/>
        </w:rPr>
        <w:t>) is a monoclonal antibody directed to the alpha-4 integrin. Initially used for multiple sclerosis, it was subsequently approved to induce and maintain clinical remission in patients with moderate to severe active CD in patients who failed conventional therapies and anti-TNF</w:t>
      </w:r>
      <w:r w:rsidRPr="00463038">
        <w:rPr>
          <w:rFonts w:ascii="Book Antiqua" w:hAnsi="Book Antiqua"/>
          <w:color w:val="000000"/>
          <w:lang w:eastAsia="zh-CN"/>
        </w:rPr>
        <w:t>-</w:t>
      </w:r>
      <w:r w:rsidRPr="00463038">
        <w:rPr>
          <w:rFonts w:ascii="Book Antiqua" w:hAnsi="Book Antiqua"/>
          <w:bCs/>
          <w:kern w:val="24"/>
        </w:rPr>
        <w:sym w:font="Symbol" w:char="F061"/>
      </w:r>
      <w:r w:rsidRPr="00463038">
        <w:rPr>
          <w:rFonts w:ascii="Book Antiqua" w:hAnsi="Book Antiqua"/>
          <w:color w:val="000000"/>
        </w:rPr>
        <w:t xml:space="preserve"> agents</w:t>
      </w:r>
      <w:r w:rsidRPr="00463038">
        <w:rPr>
          <w:rFonts w:ascii="Book Antiqua" w:hAnsi="Book Antiqua"/>
          <w:color w:val="000000"/>
          <w:vertAlign w:val="superscript"/>
        </w:rPr>
        <w:t>[77,78]</w:t>
      </w:r>
      <w:r w:rsidRPr="00463038">
        <w:rPr>
          <w:rFonts w:ascii="Book Antiqua" w:hAnsi="Book Antiqua"/>
          <w:color w:val="000000"/>
        </w:rPr>
        <w:t>. Its use has been significantly limited in CD due to morbidity and mortality in postmarketing cases of progressive multifocal leukencephalopathy that developed secondary to the JC virus. Initial trials examining natalizumab’s efficacy in treating IBD did not mention hepatotoxicity</w:t>
      </w:r>
      <w:r w:rsidRPr="00463038">
        <w:rPr>
          <w:rFonts w:ascii="Book Antiqua" w:hAnsi="Book Antiqua"/>
          <w:color w:val="000000"/>
          <w:vertAlign w:val="superscript"/>
        </w:rPr>
        <w:t>[77,79-82]</w:t>
      </w:r>
      <w:r w:rsidRPr="00463038">
        <w:rPr>
          <w:rFonts w:ascii="Book Antiqua" w:hAnsi="Book Antiqua"/>
          <w:color w:val="000000"/>
        </w:rPr>
        <w:t>. Generally elevation of aminotransferases have occurred in approximately 5% of patients on natalizumab compared with 3</w:t>
      </w:r>
      <w:r w:rsidRPr="00463038">
        <w:rPr>
          <w:rFonts w:ascii="Book Antiqua" w:hAnsi="Book Antiqua"/>
          <w:color w:val="000000"/>
          <w:lang w:eastAsia="zh-CN"/>
        </w:rPr>
        <w:t>%</w:t>
      </w:r>
      <w:r w:rsidRPr="00463038">
        <w:rPr>
          <w:rFonts w:ascii="Book Antiqua" w:hAnsi="Book Antiqua"/>
          <w:color w:val="000000"/>
        </w:rPr>
        <w:t>-4% of controls</w:t>
      </w:r>
      <w:r w:rsidRPr="00463038">
        <w:rPr>
          <w:rFonts w:ascii="Book Antiqua" w:hAnsi="Book Antiqua"/>
          <w:color w:val="000000"/>
          <w:vertAlign w:val="superscript"/>
        </w:rPr>
        <w:t>[83,84]</w:t>
      </w:r>
      <w:r w:rsidRPr="00463038">
        <w:rPr>
          <w:rFonts w:ascii="Book Antiqua" w:hAnsi="Book Antiqua"/>
          <w:color w:val="000000"/>
        </w:rPr>
        <w:t>. In the post marketing setting, clinically significant liver injury, including liver failure, has been reported with at least 59 cases of hepatic injury reported to the FDA’s Adverse Event Reporting System. In a report of 6 cases of liver injury, there was a significant hepatocellular component with ALT’s reaching 2212 IU/L in one patient. Serum bilirubins ranged from 4.5-16 g/dL and occurred as early as 6 d after treatment. In addition, there were varying degrees of autoantibodies that were positive</w:t>
      </w:r>
      <w:r w:rsidRPr="00463038">
        <w:rPr>
          <w:rFonts w:ascii="Book Antiqua" w:hAnsi="Book Antiqua"/>
          <w:color w:val="000000"/>
          <w:vertAlign w:val="superscript"/>
        </w:rPr>
        <w:t>[85]</w:t>
      </w:r>
      <w:r w:rsidRPr="00463038">
        <w:rPr>
          <w:rFonts w:ascii="Book Antiqua" w:hAnsi="Book Antiqua"/>
          <w:color w:val="000000"/>
        </w:rPr>
        <w:t>. The etiology of the liver injury that occurs is unclear but is likely immunologically mediated.</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Vedolizumab (ENTYVIO</w:t>
      </w:r>
      <w:r w:rsidRPr="00463038">
        <w:rPr>
          <w:rFonts w:ascii="Book Antiqua" w:hAnsi="Book Antiqua"/>
          <w:color w:val="000000"/>
          <w:vertAlign w:val="superscript"/>
        </w:rPr>
        <w:t>®</w:t>
      </w:r>
      <w:r w:rsidRPr="00463038">
        <w:rPr>
          <w:rFonts w:ascii="Book Antiqua" w:hAnsi="Book Antiqua"/>
          <w:color w:val="000000"/>
        </w:rPr>
        <w:t xml:space="preserve">) and ertolizumab are newer anti-integrin therapies with less data relating to their hepatotoxic effects. Vedolizumab is a monoclonal antibody to the </w:t>
      </w:r>
      <w:r w:rsidRPr="00463038">
        <w:rPr>
          <w:rFonts w:ascii="Book Antiqua" w:hAnsi="Book Antiqua"/>
          <w:bCs/>
          <w:kern w:val="24"/>
        </w:rPr>
        <w:sym w:font="Symbol" w:char="F061"/>
      </w:r>
      <w:r w:rsidRPr="00463038">
        <w:rPr>
          <w:rFonts w:ascii="Book Antiqua" w:hAnsi="Book Antiqua"/>
          <w:color w:val="000000"/>
        </w:rPr>
        <w:t>4</w:t>
      </w:r>
      <w:r w:rsidRPr="00463038">
        <w:rPr>
          <w:rFonts w:ascii="Book Antiqua" w:hAnsi="Book Antiqua"/>
        </w:rPr>
        <w:sym w:font="Symbol" w:char="F062"/>
      </w:r>
      <w:r w:rsidRPr="00463038">
        <w:rPr>
          <w:rFonts w:ascii="Book Antiqua" w:hAnsi="Book Antiqua"/>
          <w:color w:val="000000"/>
        </w:rPr>
        <w:t>7 integrin that modulates lymphocyte migration into the gut. In the phase 3 trials examining its efficacy, three patients developed elevated transaminases with or without bilirubin elevation after 2-5 doses of vedolizumab. One further case was reported in the open labeled trial. Some patients developed autoantibodies and were treated with systemic steroids</w:t>
      </w:r>
      <w:r w:rsidRPr="00463038">
        <w:rPr>
          <w:rFonts w:ascii="Book Antiqua" w:hAnsi="Book Antiqua"/>
          <w:color w:val="000000"/>
          <w:vertAlign w:val="superscript"/>
        </w:rPr>
        <w:t>[86-90]</w:t>
      </w:r>
      <w:r w:rsidRPr="00463038">
        <w:rPr>
          <w:rFonts w:ascii="Book Antiqua" w:hAnsi="Book Antiqua"/>
          <w:color w:val="000000"/>
        </w:rPr>
        <w:t xml:space="preserve">. Currently, screening for hepatitis B prior to treatment is not routinely recommended.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 xml:space="preserve">Ertolizumab is a monoclonal antibody that binds the </w:t>
      </w:r>
      <w:r w:rsidRPr="00463038">
        <w:rPr>
          <w:rFonts w:ascii="Book Antiqua" w:hAnsi="Book Antiqua"/>
        </w:rPr>
        <w:sym w:font="Symbol" w:char="F062"/>
      </w:r>
      <w:r w:rsidRPr="00463038">
        <w:rPr>
          <w:rFonts w:ascii="Book Antiqua" w:hAnsi="Book Antiqua"/>
          <w:color w:val="000000"/>
        </w:rPr>
        <w:t xml:space="preserve">7 subunit of </w:t>
      </w:r>
      <w:r w:rsidRPr="00463038">
        <w:rPr>
          <w:rFonts w:ascii="Book Antiqua" w:hAnsi="Book Antiqua"/>
          <w:bCs/>
          <w:kern w:val="24"/>
        </w:rPr>
        <w:sym w:font="Symbol" w:char="F061"/>
      </w:r>
      <w:r w:rsidRPr="00463038">
        <w:rPr>
          <w:rFonts w:ascii="Book Antiqua" w:hAnsi="Book Antiqua"/>
          <w:color w:val="000000"/>
        </w:rPr>
        <w:t>4</w:t>
      </w:r>
      <w:r w:rsidRPr="00463038">
        <w:rPr>
          <w:rFonts w:ascii="Book Antiqua" w:hAnsi="Book Antiqua"/>
        </w:rPr>
        <w:sym w:font="Symbol" w:char="F062"/>
      </w:r>
      <w:r w:rsidRPr="00463038">
        <w:rPr>
          <w:rFonts w:ascii="Book Antiqua" w:hAnsi="Book Antiqua"/>
          <w:color w:val="000000"/>
        </w:rPr>
        <w:t xml:space="preserve">7 and </w:t>
      </w:r>
      <w:r w:rsidRPr="00463038">
        <w:rPr>
          <w:rFonts w:ascii="Book Antiqua" w:hAnsi="Book Antiqua"/>
          <w:bCs/>
          <w:kern w:val="24"/>
        </w:rPr>
        <w:sym w:font="Symbol" w:char="F061"/>
      </w:r>
      <w:r w:rsidRPr="00463038">
        <w:rPr>
          <w:rFonts w:ascii="Book Antiqua" w:hAnsi="Book Antiqua"/>
          <w:color w:val="000000"/>
        </w:rPr>
        <w:t>E</w:t>
      </w:r>
      <w:r w:rsidRPr="00463038">
        <w:rPr>
          <w:rFonts w:ascii="Book Antiqua" w:hAnsi="Book Antiqua"/>
        </w:rPr>
        <w:sym w:font="Symbol" w:char="F062"/>
      </w:r>
      <w:r w:rsidRPr="00463038">
        <w:rPr>
          <w:rFonts w:ascii="Book Antiqua" w:hAnsi="Book Antiqua"/>
          <w:color w:val="000000"/>
        </w:rPr>
        <w:t>7 integrins. Phase 1 and phase 2 studies in ulcerative colitis have been performed while phase 3 studies are underway. No reported adverse events related to the liver have been reported</w:t>
      </w:r>
      <w:r w:rsidRPr="00463038">
        <w:rPr>
          <w:rFonts w:ascii="Book Antiqua" w:hAnsi="Book Antiqua"/>
          <w:color w:val="000000"/>
          <w:vertAlign w:val="superscript"/>
        </w:rPr>
        <w:t>[91,92]</w:t>
      </w:r>
      <w:r w:rsidRPr="00463038">
        <w:rPr>
          <w:rFonts w:ascii="Book Antiqua" w:hAnsi="Book Antiqua"/>
          <w:color w:val="000000"/>
        </w:rPr>
        <w:t xml:space="preserve">.    </w:t>
      </w:r>
    </w:p>
    <w:p w:rsidR="00C5057E" w:rsidRPr="00463038" w:rsidRDefault="00C5057E" w:rsidP="001E275D">
      <w:pPr>
        <w:spacing w:line="360" w:lineRule="auto"/>
        <w:jc w:val="both"/>
        <w:rPr>
          <w:rFonts w:ascii="Book Antiqua" w:hAnsi="Book Antiqua"/>
          <w:color w:val="000000"/>
        </w:rPr>
      </w:pPr>
      <w:r w:rsidRPr="00463038">
        <w:rPr>
          <w:rFonts w:ascii="Book Antiqua" w:hAnsi="Book Antiqua"/>
          <w:color w:val="000000"/>
        </w:rPr>
        <w:t> </w:t>
      </w:r>
    </w:p>
    <w:p w:rsidR="00C5057E" w:rsidRPr="00463038" w:rsidRDefault="00C5057E" w:rsidP="001E275D">
      <w:pPr>
        <w:spacing w:line="360" w:lineRule="auto"/>
        <w:jc w:val="both"/>
        <w:rPr>
          <w:rFonts w:ascii="Book Antiqua" w:hAnsi="Book Antiqua"/>
          <w:b/>
          <w:color w:val="000000"/>
        </w:rPr>
      </w:pPr>
      <w:r w:rsidRPr="00463038">
        <w:rPr>
          <w:rFonts w:ascii="Book Antiqua" w:hAnsi="Book Antiqua"/>
          <w:b/>
          <w:color w:val="000000"/>
        </w:rPr>
        <w:t>USTEKINUMAB</w:t>
      </w:r>
    </w:p>
    <w:p w:rsidR="00C5057E" w:rsidRPr="00463038" w:rsidRDefault="00C5057E" w:rsidP="001E275D">
      <w:pPr>
        <w:spacing w:line="360" w:lineRule="auto"/>
        <w:jc w:val="both"/>
        <w:rPr>
          <w:rFonts w:ascii="Book Antiqua" w:hAnsi="Book Antiqua"/>
          <w:color w:val="000000"/>
        </w:rPr>
      </w:pPr>
      <w:r w:rsidRPr="00463038">
        <w:rPr>
          <w:rFonts w:ascii="Book Antiqua" w:hAnsi="Book Antiqua"/>
          <w:color w:val="000000"/>
        </w:rPr>
        <w:t>Ustekinumab (</w:t>
      </w:r>
      <w:r w:rsidRPr="00463038">
        <w:rPr>
          <w:rFonts w:ascii="Book Antiqua" w:hAnsi="Book Antiqua"/>
        </w:rPr>
        <w:t>STELARA</w:t>
      </w:r>
      <w:r w:rsidRPr="00463038">
        <w:rPr>
          <w:rStyle w:val="regmark16"/>
          <w:rFonts w:ascii="Book Antiqua" w:hAnsi="Book Antiqua"/>
          <w:sz w:val="24"/>
          <w:szCs w:val="24"/>
        </w:rPr>
        <w:t>®</w:t>
      </w:r>
      <w:r w:rsidRPr="00463038">
        <w:rPr>
          <w:rFonts w:ascii="Book Antiqua" w:hAnsi="Book Antiqua"/>
          <w:color w:val="000000"/>
        </w:rPr>
        <w:t>) is a human IgG</w:t>
      </w:r>
      <w:r w:rsidRPr="00463038">
        <w:rPr>
          <w:rFonts w:ascii="Book Antiqua" w:hAnsi="Book Antiqua"/>
          <w:color w:val="000000"/>
          <w:vertAlign w:val="subscript"/>
        </w:rPr>
        <w:t>1k</w:t>
      </w:r>
      <w:r w:rsidRPr="00463038">
        <w:rPr>
          <w:rFonts w:ascii="Book Antiqua" w:hAnsi="Book Antiqua"/>
          <w:color w:val="000000"/>
        </w:rPr>
        <w:t xml:space="preserve"> monoclonal antibody that targets interleukin </w:t>
      </w:r>
      <w:r w:rsidRPr="00463038">
        <w:rPr>
          <w:rFonts w:ascii="Book Antiqua" w:hAnsi="Book Antiqua"/>
          <w:color w:val="000000"/>
          <w:lang w:eastAsia="zh-CN"/>
        </w:rPr>
        <w:t>(</w:t>
      </w:r>
      <w:r w:rsidRPr="00463038">
        <w:rPr>
          <w:rFonts w:ascii="Book Antiqua" w:hAnsi="Book Antiqua"/>
          <w:color w:val="000000"/>
        </w:rPr>
        <w:t>IL</w:t>
      </w:r>
      <w:r w:rsidRPr="00463038">
        <w:rPr>
          <w:rFonts w:ascii="Book Antiqua" w:hAnsi="Book Antiqua"/>
          <w:color w:val="000000"/>
          <w:lang w:eastAsia="zh-CN"/>
        </w:rPr>
        <w:t>)</w:t>
      </w:r>
      <w:r w:rsidRPr="00463038">
        <w:rPr>
          <w:rFonts w:ascii="Book Antiqua" w:hAnsi="Book Antiqua"/>
          <w:color w:val="000000"/>
        </w:rPr>
        <w:t>-12 and IL-23 activity by blocking its receptors</w:t>
      </w:r>
      <w:r w:rsidRPr="00463038">
        <w:rPr>
          <w:rFonts w:ascii="Book Antiqua" w:hAnsi="Book Antiqua"/>
          <w:color w:val="000000"/>
          <w:vertAlign w:val="superscript"/>
        </w:rPr>
        <w:t>[93]</w:t>
      </w:r>
      <w:r w:rsidRPr="00463038">
        <w:rPr>
          <w:rFonts w:ascii="Book Antiqua" w:hAnsi="Book Antiqua"/>
          <w:color w:val="000000"/>
        </w:rPr>
        <w:t>. It was approved in 2009 for use in moderate to severe psoriasis and psoriatic arthritis. While it has demonstrated benefit in patients with CD, it currently does not have FDA approval for this indication. In the two published trials evaluating its efficacy in CD, there were two hepatobiliary disorders reported as biliary colic and cirrhosis, which did not differ significantly in number from the control group</w:t>
      </w:r>
      <w:r w:rsidRPr="00463038">
        <w:rPr>
          <w:rFonts w:ascii="Book Antiqua" w:hAnsi="Book Antiqua"/>
          <w:color w:val="000000"/>
          <w:vertAlign w:val="superscript"/>
        </w:rPr>
        <w:t>[94,95]</w:t>
      </w:r>
      <w:r w:rsidRPr="00463038">
        <w:rPr>
          <w:rFonts w:ascii="Book Antiqua" w:hAnsi="Book Antiqua"/>
          <w:color w:val="000000"/>
        </w:rPr>
        <w:t>. Elevated liver enzymes were a relatively rare occurrence, occurring in up to 1.4% of patients through 64 wk of follow up in one study. In patients treated for up to 5 years with ustekinumab for moderate-severe psoriasis, hepatobiliary disorders were rare, representing only 0.2 events per 100 patient-years for up to 5 years of follow up</w:t>
      </w:r>
      <w:r w:rsidRPr="00463038">
        <w:rPr>
          <w:rFonts w:ascii="Book Antiqua" w:hAnsi="Book Antiqua"/>
          <w:color w:val="000000"/>
          <w:vertAlign w:val="superscript"/>
        </w:rPr>
        <w:t>[96-98]</w:t>
      </w:r>
      <w:r w:rsidRPr="00463038">
        <w:rPr>
          <w:rFonts w:ascii="Book Antiqua" w:hAnsi="Book Antiqua"/>
          <w:color w:val="000000"/>
        </w:rPr>
        <w:t xml:space="preserve">.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I</w:t>
      </w:r>
      <w:r w:rsidRPr="00463038">
        <w:rPr>
          <w:rFonts w:ascii="Book Antiqua" w:hAnsi="Book Antiqua"/>
          <w:color w:val="000000"/>
          <w:lang w:eastAsia="zh-CN"/>
        </w:rPr>
        <w:t>L</w:t>
      </w:r>
      <w:r w:rsidRPr="00463038">
        <w:rPr>
          <w:rFonts w:ascii="Book Antiqua" w:hAnsi="Book Antiqua"/>
          <w:color w:val="000000"/>
        </w:rPr>
        <w:t>-12 plays an important role in controlling hepatitis B viral infections through its facilitation of type 1 T helper lymphocytes and by inhibiting HBV replication through interferon-gamma production</w:t>
      </w:r>
      <w:r w:rsidRPr="00463038">
        <w:rPr>
          <w:rFonts w:ascii="Book Antiqua" w:hAnsi="Book Antiqua"/>
          <w:color w:val="000000"/>
          <w:vertAlign w:val="superscript"/>
        </w:rPr>
        <w:t>[99-101]</w:t>
      </w:r>
      <w:r w:rsidRPr="00463038">
        <w:rPr>
          <w:rFonts w:ascii="Book Antiqua" w:hAnsi="Book Antiqua"/>
          <w:color w:val="000000"/>
        </w:rPr>
        <w:t>. Given its mechanism of action, reactivation rates between 1</w:t>
      </w:r>
      <w:r w:rsidRPr="00463038">
        <w:rPr>
          <w:rFonts w:ascii="Book Antiqua" w:hAnsi="Book Antiqua"/>
          <w:color w:val="000000"/>
          <w:lang w:eastAsia="zh-CN"/>
        </w:rPr>
        <w:t>%</w:t>
      </w:r>
      <w:r w:rsidRPr="00463038">
        <w:rPr>
          <w:rFonts w:ascii="Book Antiqua" w:hAnsi="Book Antiqua"/>
          <w:color w:val="000000"/>
        </w:rPr>
        <w:t>-10% would be expected (Table 1)</w:t>
      </w:r>
      <w:r w:rsidRPr="00463038">
        <w:rPr>
          <w:rFonts w:ascii="Book Antiqua" w:hAnsi="Book Antiqua"/>
          <w:color w:val="000000"/>
          <w:vertAlign w:val="superscript"/>
        </w:rPr>
        <w:t>[66]</w:t>
      </w:r>
      <w:r w:rsidRPr="00463038">
        <w:rPr>
          <w:rFonts w:ascii="Book Antiqua" w:hAnsi="Book Antiqua"/>
          <w:color w:val="000000"/>
        </w:rPr>
        <w:t>. There is therefore a theoretical risk of reactivation of hepatitis B with the use of ustekinumab. One retrospective study in patients with psoriasis reported 11 patients who where hepatitis B surface antigen positive and surface antibody negative who were started on ustekinumab. Out of the 7 patients in whom prophylaxis was not given, two experienced reactivation. Of the 4 patients in whom prophylaxis was initiated, no cases of reactivation were observed</w:t>
      </w:r>
      <w:r w:rsidRPr="00463038">
        <w:rPr>
          <w:rFonts w:ascii="Book Antiqua" w:hAnsi="Book Antiqua"/>
          <w:color w:val="000000"/>
          <w:vertAlign w:val="superscript"/>
        </w:rPr>
        <w:t>[101]</w:t>
      </w:r>
      <w:r w:rsidRPr="00463038">
        <w:rPr>
          <w:rFonts w:ascii="Book Antiqua" w:hAnsi="Book Antiqua"/>
          <w:color w:val="000000"/>
        </w:rPr>
        <w:t>. Assuming a 5% rate of reactivation of hepatitis B in patients exposed to ustekinamab, prophylaxis would result in 44 fewer reactivation events per 1000 patients treated and should be considered</w:t>
      </w:r>
      <w:r w:rsidRPr="00463038">
        <w:rPr>
          <w:rFonts w:ascii="Book Antiqua" w:hAnsi="Book Antiqua"/>
          <w:color w:val="000000"/>
          <w:vertAlign w:val="superscript"/>
        </w:rPr>
        <w:t>[66]</w:t>
      </w:r>
      <w:r w:rsidRPr="00463038">
        <w:rPr>
          <w:rFonts w:ascii="Book Antiqua" w:hAnsi="Book Antiqua"/>
          <w:color w:val="000000"/>
        </w:rPr>
        <w:t xml:space="preserve">. </w:t>
      </w:r>
    </w:p>
    <w:p w:rsidR="00C5057E" w:rsidRPr="00463038" w:rsidRDefault="00C5057E" w:rsidP="001E275D">
      <w:pPr>
        <w:spacing w:line="360" w:lineRule="auto"/>
        <w:jc w:val="both"/>
        <w:rPr>
          <w:rFonts w:ascii="Book Antiqua" w:hAnsi="Book Antiqua"/>
          <w:color w:val="000000"/>
        </w:rPr>
      </w:pPr>
      <w:r w:rsidRPr="00463038">
        <w:rPr>
          <w:rFonts w:ascii="Book Antiqua" w:hAnsi="Book Antiqua"/>
          <w:color w:val="000000"/>
        </w:rPr>
        <w:t>  </w:t>
      </w:r>
    </w:p>
    <w:p w:rsidR="00C5057E" w:rsidRPr="00463038" w:rsidRDefault="00C5057E" w:rsidP="001E275D">
      <w:pPr>
        <w:spacing w:line="360" w:lineRule="auto"/>
        <w:jc w:val="both"/>
        <w:rPr>
          <w:rFonts w:ascii="Book Antiqua" w:hAnsi="Book Antiqua"/>
          <w:b/>
          <w:color w:val="000000"/>
        </w:rPr>
      </w:pPr>
      <w:r w:rsidRPr="00463038">
        <w:rPr>
          <w:rFonts w:ascii="Book Antiqua" w:hAnsi="Book Antiqua"/>
          <w:b/>
          <w:color w:val="000000"/>
        </w:rPr>
        <w:t>CYCLOSPORINE</w:t>
      </w:r>
    </w:p>
    <w:p w:rsidR="00C5057E" w:rsidRPr="00463038" w:rsidRDefault="00C5057E" w:rsidP="001E275D">
      <w:pPr>
        <w:spacing w:line="360" w:lineRule="auto"/>
        <w:jc w:val="both"/>
        <w:rPr>
          <w:rFonts w:ascii="Book Antiqua" w:hAnsi="Book Antiqua"/>
          <w:color w:val="000000"/>
        </w:rPr>
      </w:pPr>
      <w:r w:rsidRPr="00463038">
        <w:rPr>
          <w:rFonts w:ascii="Book Antiqua" w:hAnsi="Book Antiqua"/>
          <w:color w:val="000000"/>
        </w:rPr>
        <w:t>Cyclosporine prevents the activation of T-lymphocytes by inhibiting the production and release of interleukin II. It is used to induce remission in refractory ulcerative colitis and serve as a bridge to medications such as AZA or 6-MP for maintenance therapy. Traditionally given as an IV infusion at a rate of 4</w:t>
      </w:r>
      <w:r w:rsidRPr="00463038">
        <w:rPr>
          <w:rFonts w:ascii="Book Antiqua" w:hAnsi="Book Antiqua"/>
          <w:color w:val="000000"/>
          <w:lang w:eastAsia="zh-CN"/>
        </w:rPr>
        <w:t xml:space="preserve"> </w:t>
      </w:r>
      <w:r w:rsidRPr="00463038">
        <w:rPr>
          <w:rFonts w:ascii="Book Antiqua" w:hAnsi="Book Antiqua"/>
          <w:color w:val="000000"/>
        </w:rPr>
        <w:t>mg/kg, the lower 2</w:t>
      </w:r>
      <w:r w:rsidRPr="00463038">
        <w:rPr>
          <w:rFonts w:ascii="Book Antiqua" w:hAnsi="Book Antiqua"/>
          <w:color w:val="000000"/>
          <w:lang w:eastAsia="zh-CN"/>
        </w:rPr>
        <w:t xml:space="preserve"> </w:t>
      </w:r>
      <w:r w:rsidRPr="00463038">
        <w:rPr>
          <w:rFonts w:ascii="Book Antiqua" w:hAnsi="Book Antiqua"/>
          <w:color w:val="000000"/>
        </w:rPr>
        <w:t>mg/kg dose has been shown to be equally effective with fewer reported side effects</w:t>
      </w:r>
      <w:r w:rsidRPr="00463038">
        <w:rPr>
          <w:rFonts w:ascii="Book Antiqua" w:hAnsi="Book Antiqua"/>
          <w:color w:val="000000"/>
          <w:vertAlign w:val="superscript"/>
        </w:rPr>
        <w:t>[102-104]</w:t>
      </w:r>
      <w:r w:rsidRPr="00463038">
        <w:rPr>
          <w:rFonts w:ascii="Book Antiqua" w:hAnsi="Book Antiqua"/>
          <w:color w:val="000000"/>
        </w:rPr>
        <w:t>. Over 80% of steroid refractory patients will respond to therapy and in many cases, cyclosporine provides an alternative to colectomy</w:t>
      </w:r>
      <w:r w:rsidRPr="00463038">
        <w:rPr>
          <w:rFonts w:ascii="Book Antiqua" w:hAnsi="Book Antiqua"/>
          <w:color w:val="000000"/>
          <w:vertAlign w:val="superscript"/>
        </w:rPr>
        <w:t>[105]</w:t>
      </w:r>
      <w:r w:rsidRPr="00463038">
        <w:rPr>
          <w:rFonts w:ascii="Book Antiqua" w:hAnsi="Book Antiqua"/>
          <w:color w:val="000000"/>
        </w:rPr>
        <w:t xml:space="preserve">. While side effects such as nephrotoxicity, hypertension and infections are more prevalent, hepatotoxicity is rare.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Animal studies evaluating its effects on the liver reveal increased bile acid and bilirubin concentrations when given at high doses, with a corresponding reduction of the biliary secretion of bile acids, cholesterol and phospholipids. Cholestasis was secondary to a decrease in bile acid dependent and independent bile flow fractions</w:t>
      </w:r>
      <w:r w:rsidRPr="00463038">
        <w:rPr>
          <w:rFonts w:ascii="Book Antiqua" w:hAnsi="Book Antiqua"/>
          <w:color w:val="000000"/>
          <w:vertAlign w:val="superscript"/>
        </w:rPr>
        <w:t>[106,107]</w:t>
      </w:r>
      <w:r w:rsidRPr="00463038">
        <w:rPr>
          <w:rFonts w:ascii="Book Antiqua" w:hAnsi="Book Antiqua"/>
          <w:color w:val="000000"/>
        </w:rPr>
        <w:t>. Case series that evaluated dosages ranging from 2-10</w:t>
      </w:r>
      <w:r w:rsidRPr="00463038">
        <w:rPr>
          <w:rFonts w:ascii="Book Antiqua" w:hAnsi="Book Antiqua"/>
          <w:color w:val="000000"/>
          <w:lang w:eastAsia="zh-CN"/>
        </w:rPr>
        <w:t xml:space="preserve"> </w:t>
      </w:r>
      <w:r w:rsidRPr="00463038">
        <w:rPr>
          <w:rFonts w:ascii="Book Antiqua" w:hAnsi="Book Antiqua"/>
          <w:color w:val="000000"/>
        </w:rPr>
        <w:t>mg/kg</w:t>
      </w:r>
      <w:r w:rsidRPr="00463038">
        <w:rPr>
          <w:rFonts w:ascii="Book Antiqua" w:hAnsi="Book Antiqua"/>
          <w:color w:val="000000"/>
          <w:lang w:eastAsia="zh-CN"/>
        </w:rPr>
        <w:t xml:space="preserve"> per </w:t>
      </w:r>
      <w:r w:rsidRPr="00463038">
        <w:rPr>
          <w:rFonts w:ascii="Book Antiqua" w:hAnsi="Book Antiqua"/>
          <w:color w:val="000000"/>
        </w:rPr>
        <w:t>day found mild abnormalities in liver tests consistent with mild increases in alkaline phosphatase levels as well as slight increases in bilirubin and aminotransferases</w:t>
      </w:r>
      <w:r w:rsidRPr="00463038">
        <w:rPr>
          <w:rFonts w:ascii="Book Antiqua" w:hAnsi="Book Antiqua"/>
          <w:color w:val="000000"/>
          <w:vertAlign w:val="superscript"/>
        </w:rPr>
        <w:t>[108]</w:t>
      </w:r>
      <w:r w:rsidRPr="00463038">
        <w:rPr>
          <w:rFonts w:ascii="Book Antiqua" w:hAnsi="Book Antiqua"/>
          <w:color w:val="000000"/>
        </w:rPr>
        <w:t>. In addition, cyclosporine has been reported to increase the incidence of cholelithiasis</w:t>
      </w:r>
      <w:r w:rsidRPr="00463038">
        <w:rPr>
          <w:rFonts w:ascii="Book Antiqua" w:hAnsi="Book Antiqua"/>
          <w:color w:val="000000"/>
          <w:vertAlign w:val="superscript"/>
        </w:rPr>
        <w:t>[109]</w:t>
      </w:r>
      <w:r w:rsidRPr="00463038">
        <w:rPr>
          <w:rFonts w:ascii="Book Antiqua" w:hAnsi="Book Antiqua"/>
          <w:color w:val="000000"/>
        </w:rPr>
        <w:t>. Earlier studies evaluating cyclosporine use in post-renal transplant patients reported evidence of hepatotoxicity in 20</w:t>
      </w:r>
      <w:r w:rsidRPr="00463038">
        <w:rPr>
          <w:rFonts w:ascii="Book Antiqua" w:hAnsi="Book Antiqua"/>
          <w:color w:val="000000"/>
          <w:lang w:eastAsia="zh-CN"/>
        </w:rPr>
        <w:t>%</w:t>
      </w:r>
      <w:r w:rsidRPr="00463038">
        <w:rPr>
          <w:rFonts w:ascii="Book Antiqua" w:hAnsi="Book Antiqua"/>
          <w:color w:val="000000"/>
        </w:rPr>
        <w:t>-82% of patients, characterized by transaminase elevations as well as elevations in bilirubin and alkaline phosphatase, which were dose responsive</w:t>
      </w:r>
      <w:r w:rsidRPr="00463038">
        <w:rPr>
          <w:rFonts w:ascii="Book Antiqua" w:hAnsi="Book Antiqua"/>
          <w:color w:val="000000"/>
          <w:vertAlign w:val="superscript"/>
        </w:rPr>
        <w:t>[110-112]</w:t>
      </w:r>
      <w:r w:rsidRPr="00463038">
        <w:rPr>
          <w:rFonts w:ascii="Book Antiqua" w:hAnsi="Book Antiqua"/>
          <w:color w:val="000000"/>
        </w:rPr>
        <w:t>. In IBD patients, the rate of liver test</w:t>
      </w:r>
      <w:r w:rsidRPr="00463038">
        <w:rPr>
          <w:rFonts w:ascii="Book Antiqua" w:hAnsi="Book Antiqua"/>
          <w:strike/>
          <w:color w:val="000000"/>
        </w:rPr>
        <w:t>s</w:t>
      </w:r>
      <w:r w:rsidRPr="00463038">
        <w:rPr>
          <w:rFonts w:ascii="Book Antiqua" w:hAnsi="Book Antiqua"/>
          <w:color w:val="000000"/>
        </w:rPr>
        <w:t xml:space="preserve"> abnormalities is closer to 1</w:t>
      </w:r>
      <w:r w:rsidRPr="00463038">
        <w:rPr>
          <w:rFonts w:ascii="Book Antiqua" w:hAnsi="Book Antiqua"/>
          <w:color w:val="000000"/>
          <w:lang w:eastAsia="zh-CN"/>
        </w:rPr>
        <w:t>%</w:t>
      </w:r>
      <w:r w:rsidRPr="00463038">
        <w:rPr>
          <w:rFonts w:ascii="Book Antiqua" w:hAnsi="Book Antiqua"/>
          <w:color w:val="000000"/>
        </w:rPr>
        <w:t>-4% of patients, with a recent systematic review of the literature reporting only 11 cases of elevated liver tests in IBD patients treated with cyclosporine</w:t>
      </w:r>
      <w:r w:rsidRPr="00463038">
        <w:rPr>
          <w:rFonts w:ascii="Book Antiqua" w:hAnsi="Book Antiqua"/>
          <w:color w:val="000000"/>
          <w:vertAlign w:val="superscript"/>
        </w:rPr>
        <w:t>[113</w:t>
      </w:r>
      <w:r w:rsidRPr="00463038">
        <w:rPr>
          <w:rFonts w:ascii="Book Antiqua" w:hAnsi="Book Antiqua"/>
          <w:color w:val="000000"/>
          <w:vertAlign w:val="superscript"/>
          <w:lang w:eastAsia="zh-CN"/>
        </w:rPr>
        <w:t>,</w:t>
      </w:r>
      <w:r w:rsidRPr="00463038">
        <w:rPr>
          <w:rFonts w:ascii="Book Antiqua" w:hAnsi="Book Antiqua"/>
          <w:color w:val="000000"/>
          <w:vertAlign w:val="superscript"/>
        </w:rPr>
        <w:t>114]</w:t>
      </w:r>
      <w:r w:rsidRPr="00463038">
        <w:rPr>
          <w:rFonts w:ascii="Book Antiqua" w:hAnsi="Book Antiqua"/>
          <w:color w:val="000000"/>
        </w:rPr>
        <w:t xml:space="preserve">.  </w:t>
      </w:r>
    </w:p>
    <w:p w:rsidR="00C5057E" w:rsidRPr="00463038" w:rsidRDefault="00C5057E" w:rsidP="001E275D">
      <w:pPr>
        <w:spacing w:line="360" w:lineRule="auto"/>
        <w:jc w:val="both"/>
        <w:rPr>
          <w:rFonts w:ascii="Book Antiqua" w:hAnsi="Book Antiqua"/>
          <w:color w:val="000000"/>
        </w:rPr>
      </w:pPr>
    </w:p>
    <w:p w:rsidR="00C5057E" w:rsidRPr="00463038" w:rsidRDefault="00C5057E" w:rsidP="001E275D">
      <w:pPr>
        <w:spacing w:line="360" w:lineRule="auto"/>
        <w:jc w:val="both"/>
        <w:rPr>
          <w:rFonts w:ascii="Book Antiqua" w:hAnsi="Book Antiqua"/>
          <w:b/>
          <w:color w:val="000000"/>
        </w:rPr>
      </w:pPr>
      <w:r w:rsidRPr="00463038">
        <w:rPr>
          <w:rFonts w:ascii="Book Antiqua" w:hAnsi="Book Antiqua"/>
          <w:b/>
          <w:color w:val="000000"/>
        </w:rPr>
        <w:t>ANTIBIOTICS</w:t>
      </w:r>
    </w:p>
    <w:p w:rsidR="00C5057E" w:rsidRPr="00463038" w:rsidRDefault="00C5057E" w:rsidP="00B46183">
      <w:pPr>
        <w:spacing w:line="360" w:lineRule="auto"/>
        <w:jc w:val="both"/>
        <w:rPr>
          <w:rFonts w:ascii="Book Antiqua" w:hAnsi="Book Antiqua"/>
          <w:color w:val="000000"/>
        </w:rPr>
      </w:pPr>
      <w:r w:rsidRPr="00463038">
        <w:rPr>
          <w:rFonts w:ascii="Book Antiqua" w:hAnsi="Book Antiqua"/>
          <w:color w:val="000000"/>
        </w:rPr>
        <w:t>Though their benefits are not well defined in prospective randomized trials, antimicrobials have long been used as either adjunctive therapy for IBD complications such as CD related abscesses, or as the primary therapy in pouchitis, an IBD like condition occurring in surgically constructed continent jejunal or “J-pouch” reservoirs following total colectomy for UC. Since current IBD models suggest that even normal bowel bacteria may play a role in initiating and propagating the aberrant immune response typical of IBD, the appeal of antibiotics is straight forward; that decreasing bacterial concentrations may lessen this immune stimulation and thus decrease the inflammatory response. Though there is some evidence of benefit to this approach in fistulizing peri-anal and colonic CD, a clearer benefit in UC is lacking. Currently, antibiotic therapy for UC is only recommended for end-stage cases of toxic megacolon, when bacteremia is common.</w:t>
      </w:r>
      <w:r w:rsidRPr="00463038">
        <w:rPr>
          <w:rFonts w:ascii="Book Antiqua" w:hAnsi="Book Antiqua"/>
          <w:color w:val="000000"/>
        </w:rPr>
        <w:tab/>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olor w:val="000000"/>
        </w:rPr>
        <w:t>The two most commonly used antibiotics are metronidazole and ciprofloxacin, either individually or in combination. Metronidazole is a synthetic nitroimidazole derivative used to treat both anaerobic bacteria and protozoa, generally dosed orally at 10 to 20</w:t>
      </w:r>
      <w:r w:rsidRPr="00463038">
        <w:rPr>
          <w:rFonts w:ascii="Book Antiqua" w:hAnsi="Book Antiqua"/>
          <w:color w:val="000000"/>
          <w:lang w:eastAsia="zh-CN"/>
        </w:rPr>
        <w:t xml:space="preserve"> </w:t>
      </w:r>
      <w:r w:rsidRPr="00463038">
        <w:rPr>
          <w:rFonts w:ascii="Book Antiqua" w:hAnsi="Book Antiqua"/>
          <w:color w:val="000000"/>
        </w:rPr>
        <w:t>mg/kg</w:t>
      </w:r>
      <w:r w:rsidRPr="00463038">
        <w:rPr>
          <w:rFonts w:ascii="Book Antiqua" w:hAnsi="Book Antiqua"/>
          <w:color w:val="000000"/>
          <w:lang w:eastAsia="zh-CN"/>
        </w:rPr>
        <w:t xml:space="preserve"> per </w:t>
      </w:r>
      <w:r w:rsidRPr="00463038">
        <w:rPr>
          <w:rFonts w:ascii="Book Antiqua" w:hAnsi="Book Antiqua"/>
          <w:color w:val="000000"/>
        </w:rPr>
        <w:t>day. Ornidazole, another nitroimidazole derivative not currently available in the United States, has also been studied for the treatment of CD. Though metronidazole is often given intravenously when utilized for inpatients with CD related abscesses, most clinical experience in CD is with oral use. While dose adjustment is recommended in patients with severe liver impairment, primary hepatotoxicity is extremely rare. Cases of DILI have been reported, typically presenting with a hepatocelluar injury pattern several weeks after the initiation of therapy</w:t>
      </w:r>
      <w:r w:rsidRPr="00463038">
        <w:rPr>
          <w:rFonts w:ascii="Book Antiqua" w:hAnsi="Book Antiqua"/>
          <w:color w:val="000000"/>
          <w:vertAlign w:val="superscript"/>
        </w:rPr>
        <w:t>[115,116</w:t>
      </w:r>
      <w:r w:rsidRPr="00463038">
        <w:rPr>
          <w:rFonts w:ascii="Book Antiqua" w:hAnsi="Book Antiqua"/>
          <w:color w:val="000000"/>
          <w:vertAlign w:val="superscript"/>
          <w:lang w:eastAsia="zh-CN"/>
        </w:rPr>
        <w:t>]</w:t>
      </w:r>
      <w:r w:rsidRPr="00463038">
        <w:rPr>
          <w:rFonts w:ascii="Book Antiqua" w:hAnsi="Book Antiqua"/>
          <w:color w:val="000000"/>
        </w:rPr>
        <w:t>. Small prospective trials of metronidazole and ornidazole in CD have reported elevations of liver enzymes, that did not significantly differ from the placebo group</w:t>
      </w:r>
      <w:r w:rsidRPr="00463038">
        <w:rPr>
          <w:rFonts w:ascii="Book Antiqua" w:hAnsi="Book Antiqua"/>
          <w:color w:val="000000"/>
          <w:vertAlign w:val="superscript"/>
        </w:rPr>
        <w:t>[117,118]</w:t>
      </w:r>
      <w:r w:rsidRPr="00463038">
        <w:rPr>
          <w:rFonts w:ascii="Book Antiqua" w:hAnsi="Book Antiqua"/>
          <w:color w:val="000000"/>
        </w:rPr>
        <w:t>.</w:t>
      </w:r>
    </w:p>
    <w:p w:rsidR="00C5057E" w:rsidRPr="00463038" w:rsidRDefault="00C5057E" w:rsidP="0062573A">
      <w:pPr>
        <w:autoSpaceDE w:val="0"/>
        <w:autoSpaceDN w:val="0"/>
        <w:adjustRightInd w:val="0"/>
        <w:spacing w:line="360" w:lineRule="auto"/>
        <w:ind w:firstLineChars="100" w:firstLine="31680"/>
        <w:jc w:val="both"/>
        <w:rPr>
          <w:rFonts w:ascii="Book Antiqua" w:hAnsi="Book Antiqua" w:cs="Arial"/>
          <w:lang w:eastAsia="en-US"/>
        </w:rPr>
      </w:pPr>
      <w:r w:rsidRPr="00463038">
        <w:rPr>
          <w:rFonts w:ascii="Book Antiqua" w:hAnsi="Book Antiqua"/>
          <w:color w:val="000000"/>
        </w:rPr>
        <w:t xml:space="preserve">Ciprofloxacin is a member of the fluoroquinolone class of antibiotics whose mechanism involves inhibition of DNA gyrase within sensitive bacteria, preventing the relaxation of supercoiled DNA and subsequent breakage of double stranded DNA. Minor elevations of serum AST and ALT related to ciprofloxacin use is quite common, affecting approximately 1% of users. A recent large study of a Veterans Administration population of 7862 patients with fluoroquinolone exposure matched against 45512 controls, each group excluding underlying liver disease, showed an increased risk of hepatotoxicity in exposed compared to unexposed patients, </w:t>
      </w:r>
      <w:r w:rsidRPr="00463038">
        <w:rPr>
          <w:rFonts w:ascii="Book Antiqua" w:hAnsi="Book Antiqua" w:cs="MyriadPro-Regular"/>
          <w:lang w:eastAsia="en-US"/>
        </w:rPr>
        <w:t xml:space="preserve">odds ratio </w:t>
      </w:r>
      <w:r w:rsidRPr="00463038">
        <w:rPr>
          <w:rFonts w:ascii="Book Antiqua" w:hAnsi="Book Antiqua" w:cs="MyriadPro-Regular"/>
          <w:lang w:eastAsia="zh-CN"/>
        </w:rPr>
        <w:t>(</w:t>
      </w:r>
      <w:r w:rsidRPr="00463038">
        <w:rPr>
          <w:rFonts w:ascii="Book Antiqua" w:hAnsi="Book Antiqua" w:cs="MyriadPro-Regular"/>
          <w:lang w:eastAsia="en-US"/>
        </w:rPr>
        <w:t>OR</w:t>
      </w:r>
      <w:r w:rsidRPr="00463038">
        <w:rPr>
          <w:rFonts w:ascii="Book Antiqua" w:hAnsi="Book Antiqua" w:cs="MyriadPro-Regular"/>
          <w:lang w:eastAsia="zh-CN"/>
        </w:rPr>
        <w:t>)</w:t>
      </w:r>
      <w:r w:rsidRPr="00463038">
        <w:rPr>
          <w:rFonts w:ascii="Book Antiqua" w:hAnsi="Book Antiqua" w:cs="MyriadPro-Regular"/>
          <w:lang w:eastAsia="en-US"/>
        </w:rPr>
        <w:t>, 1.20; 95%CI, (1.04–1.38)</w:t>
      </w:r>
      <w:r w:rsidRPr="00463038">
        <w:rPr>
          <w:rFonts w:ascii="Book Antiqua" w:hAnsi="Book Antiqua" w:cs="MyriadPro-Regular"/>
          <w:vertAlign w:val="superscript"/>
          <w:lang w:eastAsia="en-US"/>
        </w:rPr>
        <w:t>[119]</w:t>
      </w:r>
      <w:r w:rsidRPr="00463038">
        <w:rPr>
          <w:rFonts w:ascii="Book Antiqua" w:hAnsi="Book Antiqua" w:cs="MyriadPro-Regular"/>
          <w:lang w:eastAsia="en-US"/>
        </w:rPr>
        <w:t>.</w:t>
      </w:r>
      <w:r w:rsidRPr="00463038">
        <w:rPr>
          <w:rFonts w:ascii="Book Antiqua" w:hAnsi="Book Antiqua"/>
          <w:color w:val="000000"/>
        </w:rPr>
        <w:t xml:space="preserve"> Much rarer cases of severe hepatocellular, cholestatic or a mixed pattern of injury have been reported with fluoroquinolones, which are among the group of antibiotics most commonly associated with this complication. Clinical trials of ciprofloxacin for the treatment of CD have not shown any significant rates of liver injury, but given the small size of these studies it is not possible to determine whether there is any disease specific associated liver risk</w:t>
      </w:r>
      <w:r w:rsidRPr="00463038">
        <w:rPr>
          <w:rFonts w:ascii="Book Antiqua" w:hAnsi="Book Antiqua"/>
          <w:color w:val="000000"/>
          <w:vertAlign w:val="superscript"/>
        </w:rPr>
        <w:t>[120</w:t>
      </w:r>
      <w:r w:rsidRPr="00463038">
        <w:rPr>
          <w:rFonts w:ascii="Book Antiqua" w:hAnsi="Book Antiqua"/>
          <w:color w:val="000000"/>
          <w:vertAlign w:val="superscript"/>
          <w:lang w:eastAsia="zh-CN"/>
        </w:rPr>
        <w:t>,</w:t>
      </w:r>
      <w:r w:rsidRPr="00463038">
        <w:rPr>
          <w:rFonts w:ascii="Book Antiqua" w:hAnsi="Book Antiqua"/>
          <w:color w:val="000000"/>
          <w:vertAlign w:val="superscript"/>
        </w:rPr>
        <w:t>121]</w:t>
      </w:r>
      <w:r w:rsidRPr="00463038">
        <w:rPr>
          <w:rFonts w:ascii="Book Antiqua" w:hAnsi="Book Antiqua"/>
          <w:color w:val="000000"/>
        </w:rPr>
        <w:t>.</w:t>
      </w:r>
      <w:r w:rsidRPr="00463038">
        <w:rPr>
          <w:rFonts w:ascii="Book Antiqua" w:hAnsi="Book Antiqua" w:cs="Arial"/>
          <w:lang w:eastAsia="en-US"/>
        </w:rPr>
        <w:tab/>
      </w:r>
    </w:p>
    <w:p w:rsidR="00C5057E" w:rsidRPr="00463038" w:rsidRDefault="00C5057E" w:rsidP="0062573A">
      <w:pPr>
        <w:shd w:val="clear" w:color="auto" w:fill="FFFFFF"/>
        <w:spacing w:line="360" w:lineRule="auto"/>
        <w:ind w:firstLineChars="100" w:firstLine="31680"/>
        <w:jc w:val="both"/>
        <w:rPr>
          <w:rFonts w:ascii="Book Antiqua" w:hAnsi="Book Antiqua" w:cs="Arial"/>
        </w:rPr>
      </w:pPr>
      <w:r w:rsidRPr="00463038">
        <w:rPr>
          <w:rFonts w:ascii="Book Antiqua" w:hAnsi="Book Antiqua" w:cs="Arial"/>
          <w:lang w:eastAsia="en-US"/>
        </w:rPr>
        <w:t xml:space="preserve">Finally, though CD is not widely considered to be caused by a specific infection, there is a possible association of CD with the organism </w:t>
      </w:r>
      <w:r w:rsidRPr="00463038">
        <w:rPr>
          <w:rFonts w:ascii="Book Antiqua" w:hAnsi="Book Antiqua" w:cs="Arial"/>
          <w:iCs/>
          <w:lang w:eastAsia="en-US"/>
        </w:rPr>
        <w:t>Mycobacterium avium paratuberculosis</w:t>
      </w:r>
      <w:r w:rsidRPr="00463038">
        <w:rPr>
          <w:rFonts w:ascii="Book Antiqua" w:hAnsi="Book Antiqua" w:cs="Arial"/>
          <w:lang w:eastAsia="en-US"/>
        </w:rPr>
        <w:t xml:space="preserve"> (MAP), which has been found in the serum and tissue of some CD patients. Though there has been modest success with antimicrobial treatment regimens directed at MAP, it is unclear whether this success is related to its effect on MAP or a general alteration of the bowel flora. While isoniazid (INH) has an anti-mycobacterial effect, and has been used as part of MAP directed therapy, the common usage of INH in individuals with IBD is not as a direct therapy, but as a co-therapy to prevent reactivation of mycobacterium tuberculosis (TB) in individuals with suspected latent infection treated with </w:t>
      </w:r>
      <w:r w:rsidRPr="00463038">
        <w:rPr>
          <w:rFonts w:ascii="Book Antiqua" w:hAnsi="Book Antiqua"/>
          <w:color w:val="000000"/>
        </w:rPr>
        <w:t>anti-TNF</w:t>
      </w:r>
      <w:r w:rsidRPr="00463038">
        <w:rPr>
          <w:rFonts w:ascii="Book Antiqua" w:hAnsi="Book Antiqua"/>
          <w:color w:val="000000"/>
          <w:lang w:eastAsia="zh-CN"/>
        </w:rPr>
        <w:t>-</w:t>
      </w:r>
      <w:r w:rsidRPr="00463038">
        <w:rPr>
          <w:rFonts w:ascii="Book Antiqua" w:hAnsi="Book Antiqua"/>
          <w:bCs/>
          <w:kern w:val="24"/>
        </w:rPr>
        <w:sym w:font="Symbol" w:char="F061"/>
      </w:r>
      <w:r w:rsidRPr="00463038">
        <w:rPr>
          <w:rFonts w:ascii="Book Antiqua" w:hAnsi="Book Antiqua"/>
          <w:color w:val="000000"/>
        </w:rPr>
        <w:t xml:space="preserve"> therapy</w:t>
      </w:r>
      <w:r w:rsidRPr="00463038">
        <w:rPr>
          <w:rFonts w:ascii="Book Antiqua" w:hAnsi="Book Antiqua"/>
          <w:color w:val="000000"/>
          <w:vertAlign w:val="superscript"/>
        </w:rPr>
        <w:t>[122</w:t>
      </w:r>
      <w:r w:rsidRPr="00463038">
        <w:rPr>
          <w:rFonts w:ascii="Book Antiqua" w:hAnsi="Book Antiqua"/>
          <w:color w:val="000000"/>
          <w:vertAlign w:val="superscript"/>
          <w:lang w:eastAsia="zh-CN"/>
        </w:rPr>
        <w:t>,</w:t>
      </w:r>
      <w:r w:rsidRPr="00463038">
        <w:rPr>
          <w:rFonts w:ascii="Book Antiqua" w:hAnsi="Book Antiqua"/>
          <w:color w:val="000000"/>
          <w:vertAlign w:val="superscript"/>
        </w:rPr>
        <w:t>123]</w:t>
      </w:r>
      <w:r w:rsidRPr="00463038">
        <w:rPr>
          <w:rFonts w:ascii="Book Antiqua" w:hAnsi="Book Antiqua" w:cs="Arial"/>
          <w:lang w:eastAsia="en-US"/>
        </w:rPr>
        <w:t>. In the United States population the risk of latent TB has been estimated at 4%, with significant variations depending upon the region and socioeconomic status</w:t>
      </w:r>
      <w:r w:rsidRPr="00463038">
        <w:rPr>
          <w:rFonts w:ascii="Book Antiqua" w:hAnsi="Book Antiqua" w:cs="Arial"/>
          <w:vertAlign w:val="superscript"/>
          <w:lang w:eastAsia="en-US"/>
        </w:rPr>
        <w:t>[124]</w:t>
      </w:r>
      <w:r w:rsidRPr="00463038">
        <w:rPr>
          <w:rFonts w:ascii="Book Antiqua" w:hAnsi="Book Antiqua" w:cs="Arial"/>
          <w:lang w:eastAsia="en-US"/>
        </w:rPr>
        <w:t>. Current prescribing guidelines recommend testing for latent TB prior to initiation of biologic therapy with anti-TNF</w:t>
      </w:r>
      <w:r w:rsidRPr="00463038">
        <w:rPr>
          <w:rFonts w:ascii="Book Antiqua" w:hAnsi="Book Antiqua" w:cs="Arial"/>
          <w:lang w:eastAsia="zh-CN"/>
        </w:rPr>
        <w:t>-</w:t>
      </w:r>
      <w:r w:rsidRPr="00463038">
        <w:rPr>
          <w:rFonts w:ascii="Book Antiqua" w:hAnsi="Book Antiqua"/>
          <w:bCs/>
          <w:kern w:val="24"/>
        </w:rPr>
        <w:sym w:font="Symbol" w:char="F061"/>
      </w:r>
      <w:r w:rsidRPr="00463038">
        <w:rPr>
          <w:rFonts w:ascii="Book Antiqua" w:hAnsi="Book Antiqua" w:cs="Arial"/>
          <w:lang w:eastAsia="en-US"/>
        </w:rPr>
        <w:t xml:space="preserve"> agents</w:t>
      </w:r>
      <w:r w:rsidRPr="00463038">
        <w:rPr>
          <w:rFonts w:ascii="Book Antiqua" w:hAnsi="Book Antiqua" w:cs="Arial"/>
          <w:vertAlign w:val="superscript"/>
          <w:lang w:eastAsia="en-US"/>
        </w:rPr>
        <w:t>[125]</w:t>
      </w:r>
      <w:r w:rsidRPr="00463038">
        <w:rPr>
          <w:rFonts w:ascii="Book Antiqua" w:hAnsi="Book Antiqua" w:cs="Arial"/>
          <w:lang w:eastAsia="en-US"/>
        </w:rPr>
        <w:t>.</w:t>
      </w:r>
      <w:r w:rsidRPr="00463038">
        <w:rPr>
          <w:rFonts w:ascii="Book Antiqua" w:hAnsi="Book Antiqua" w:cs="Arial"/>
        </w:rPr>
        <w:t xml:space="preserve"> In patients at risk for latent TB, at least one month of INH therapy is suggested prior to the initiation of biologic therapy</w:t>
      </w:r>
      <w:r w:rsidRPr="00463038">
        <w:rPr>
          <w:rFonts w:ascii="Book Antiqua" w:hAnsi="Book Antiqua" w:cs="Arial"/>
          <w:vertAlign w:val="superscript"/>
        </w:rPr>
        <w:t>[126]</w:t>
      </w:r>
      <w:r w:rsidRPr="00463038">
        <w:rPr>
          <w:rFonts w:ascii="Book Antiqua" w:hAnsi="Book Antiqua" w:cs="Arial"/>
        </w:rPr>
        <w:t xml:space="preserve">. </w:t>
      </w:r>
    </w:p>
    <w:p w:rsidR="00C5057E" w:rsidRPr="00463038" w:rsidRDefault="00C5057E" w:rsidP="0062573A">
      <w:pPr>
        <w:spacing w:line="360" w:lineRule="auto"/>
        <w:ind w:firstLineChars="100" w:firstLine="31680"/>
        <w:jc w:val="both"/>
        <w:rPr>
          <w:rFonts w:ascii="Book Antiqua" w:hAnsi="Book Antiqua"/>
          <w:color w:val="000000"/>
        </w:rPr>
      </w:pPr>
      <w:r w:rsidRPr="00463038">
        <w:rPr>
          <w:rFonts w:ascii="Book Antiqua" w:hAnsi="Book Antiqua" w:cs="Arial"/>
          <w:lang w:eastAsia="en-US"/>
        </w:rPr>
        <w:t>INH inhibits the synthesis of mycolic acid, an essential component of the bacterial cell wall, and is commonly associated with DILI. Mild elevations of serum transaminases occur in up to 20% of INH treated patients, and usually requires close monitoring without discontinuation of therapy. Traditionally more severe, and potentially fatal INH hepatitis has been directly associated with increasing patient age, ranging from a rate of 0.3% in individuals 20 to 34 years of age, and as high as 4.6% in those over age 65 years manifesting as an acute hepatocellular pattern. Though, more recent studies have suggested that rates may be as low as 0.1%</w:t>
      </w:r>
      <w:r w:rsidRPr="00463038">
        <w:rPr>
          <w:rFonts w:ascii="Book Antiqua" w:hAnsi="Book Antiqua" w:cs="Arial"/>
          <w:vertAlign w:val="superscript"/>
          <w:lang w:eastAsia="en-US"/>
        </w:rPr>
        <w:t>[127,128]</w:t>
      </w:r>
      <w:r w:rsidRPr="00463038">
        <w:rPr>
          <w:rFonts w:ascii="Book Antiqua" w:hAnsi="Book Antiqua" w:cs="Arial"/>
          <w:lang w:eastAsia="en-US"/>
        </w:rPr>
        <w:t>. Fatality rates once hepatitis develops have been reported as high as 10%, and are worse with increasing age, though overall fatality rates in those treated and monitored following current American Thoracic Society guidelines appear to be very low</w:t>
      </w:r>
      <w:r w:rsidRPr="00463038">
        <w:rPr>
          <w:rFonts w:ascii="Book Antiqua" w:hAnsi="Book Antiqua" w:cs="Arial"/>
          <w:vertAlign w:val="superscript"/>
          <w:lang w:eastAsia="en-US"/>
        </w:rPr>
        <w:t>[129,130]</w:t>
      </w:r>
      <w:r w:rsidRPr="00463038">
        <w:rPr>
          <w:rFonts w:ascii="Book Antiqua" w:hAnsi="Book Antiqua" w:cs="Arial"/>
          <w:lang w:eastAsia="en-US"/>
        </w:rPr>
        <w:t>. Current guidelines recommend routine monitoring of patients treated with INH prophylaxis who are at higher risk of underlying liver disease such as those with chronic viral hepatitis, recent pregnancy, and regular alcohol consumption. However, monitoring may be considered for anyone greater than 35 years of age. Suggested intervals of AST, ALT, and bilirubin testing are at baseline, then as often as every 4 wk while on therapy. Discontinuation of therapy should be considered for an ALT</w:t>
      </w:r>
      <w:r w:rsidRPr="00463038">
        <w:rPr>
          <w:rFonts w:ascii="Book Antiqua" w:hAnsi="Book Antiqua" w:cs="Arial"/>
          <w:lang w:eastAsia="zh-CN"/>
        </w:rPr>
        <w:t xml:space="preserve"> </w:t>
      </w:r>
      <w:r w:rsidRPr="00463038">
        <w:rPr>
          <w:rFonts w:ascii="Book Antiqua" w:hAnsi="Book Antiqua" w:cs="Arial"/>
          <w:lang w:eastAsia="en-US"/>
        </w:rPr>
        <w:t>&gt; 5x the upper limit of normal, or &gt;</w:t>
      </w:r>
      <w:r w:rsidRPr="00463038">
        <w:rPr>
          <w:rFonts w:ascii="Book Antiqua" w:hAnsi="Book Antiqua" w:cs="Arial"/>
          <w:lang w:eastAsia="zh-CN"/>
        </w:rPr>
        <w:t xml:space="preserve"> </w:t>
      </w:r>
      <w:r w:rsidRPr="00463038">
        <w:rPr>
          <w:rFonts w:ascii="Book Antiqua" w:hAnsi="Book Antiqua" w:cs="Arial"/>
          <w:lang w:eastAsia="en-US"/>
        </w:rPr>
        <w:t>3x the upper limit of normal with associated nausea, vomiting, abdominal pain, jaundice, or unexplained fatigue</w:t>
      </w:r>
      <w:r w:rsidRPr="00463038">
        <w:rPr>
          <w:rFonts w:ascii="Book Antiqua" w:hAnsi="Book Antiqua" w:cs="Arial"/>
          <w:vertAlign w:val="superscript"/>
          <w:lang w:eastAsia="en-US"/>
        </w:rPr>
        <w:t>[131]</w:t>
      </w:r>
      <w:r w:rsidRPr="00463038">
        <w:rPr>
          <w:rFonts w:ascii="Book Antiqua" w:hAnsi="Book Antiqua" w:cs="Arial"/>
          <w:lang w:eastAsia="en-US"/>
        </w:rPr>
        <w:t>.</w:t>
      </w:r>
    </w:p>
    <w:p w:rsidR="00C5057E" w:rsidRPr="00463038" w:rsidRDefault="00C5057E" w:rsidP="001E275D">
      <w:pPr>
        <w:spacing w:line="360" w:lineRule="auto"/>
        <w:jc w:val="both"/>
        <w:rPr>
          <w:rFonts w:ascii="Book Antiqua" w:hAnsi="Book Antiqua"/>
          <w:color w:val="000000"/>
        </w:rPr>
      </w:pPr>
    </w:p>
    <w:p w:rsidR="00C5057E" w:rsidRPr="00463038" w:rsidRDefault="00C5057E" w:rsidP="001E275D">
      <w:pPr>
        <w:spacing w:line="360" w:lineRule="auto"/>
        <w:jc w:val="both"/>
        <w:rPr>
          <w:rFonts w:ascii="Book Antiqua" w:hAnsi="Book Antiqua"/>
          <w:b/>
          <w:color w:val="000000"/>
        </w:rPr>
      </w:pPr>
      <w:r w:rsidRPr="00463038">
        <w:rPr>
          <w:rFonts w:ascii="Book Antiqua" w:hAnsi="Book Antiqua"/>
          <w:b/>
          <w:color w:val="000000"/>
        </w:rPr>
        <w:t>CONCLUSION</w:t>
      </w:r>
    </w:p>
    <w:p w:rsidR="00C5057E" w:rsidRPr="00463038" w:rsidRDefault="00C5057E" w:rsidP="009538B1">
      <w:pPr>
        <w:spacing w:line="360" w:lineRule="auto"/>
        <w:jc w:val="both"/>
        <w:rPr>
          <w:rFonts w:ascii="Book Antiqua" w:hAnsi="Book Antiqua"/>
        </w:rPr>
      </w:pPr>
      <w:r w:rsidRPr="00463038">
        <w:rPr>
          <w:rFonts w:ascii="Book Antiqua" w:hAnsi="Book Antiqua"/>
          <w:color w:val="000000"/>
        </w:rPr>
        <w:t>While both patients and physicians alike may look forward to a true “cure” for illness, the management of chronic medical conditions typically requires the use of medications, often for an indefinite length of time. This is certainly true for the management of IBD. The fact that IBD is itself an immune related disease, requiring immune suppressing or modifying therapies, for long periods of time, further increases the side effect potential of these treatments. IBD medications are prominent on the list of well described agents causing DILI, as well as other hepatobiliary manifestations, each with their own prevalence and management strategy (Table 2)</w:t>
      </w:r>
      <w:r w:rsidRPr="00463038">
        <w:rPr>
          <w:rFonts w:ascii="Book Antiqua" w:hAnsi="Book Antiqua"/>
          <w:color w:val="000000"/>
          <w:vertAlign w:val="superscript"/>
        </w:rPr>
        <w:t>[25]</w:t>
      </w:r>
      <w:r w:rsidRPr="00463038">
        <w:rPr>
          <w:rFonts w:ascii="Book Antiqua" w:hAnsi="Book Antiqua"/>
          <w:color w:val="000000"/>
        </w:rPr>
        <w:t>. While the data on newer therapies appears encouraging with regard to DILI specifically, further post marketing experience will be needed to determine the exact nature of this risk and appropriate prophylactic and management strategies.</w:t>
      </w:r>
    </w:p>
    <w:p w:rsidR="00C5057E" w:rsidRPr="00463038" w:rsidRDefault="00C5057E" w:rsidP="001E275D">
      <w:pPr>
        <w:spacing w:line="360" w:lineRule="auto"/>
        <w:jc w:val="both"/>
        <w:rPr>
          <w:rFonts w:ascii="Book Antiqua" w:hAnsi="Book Antiqua"/>
          <w:b/>
          <w:lang w:eastAsia="zh-CN"/>
        </w:rPr>
      </w:pPr>
      <w:r w:rsidRPr="00463038">
        <w:rPr>
          <w:rFonts w:ascii="Book Antiqua" w:hAnsi="Book Antiqua"/>
        </w:rPr>
        <w:br w:type="page"/>
      </w:r>
      <w:r w:rsidRPr="00463038">
        <w:rPr>
          <w:rFonts w:ascii="Book Antiqua" w:hAnsi="Book Antiqua"/>
          <w:b/>
        </w:rPr>
        <w:t>REFERENCES</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1 </w:t>
      </w:r>
      <w:r w:rsidRPr="00463038">
        <w:rPr>
          <w:rFonts w:ascii="Book Antiqua" w:hAnsi="Book Antiqua" w:cs="宋体"/>
          <w:b/>
          <w:bCs/>
          <w:color w:val="000000"/>
        </w:rPr>
        <w:t>Molodecky NA</w:t>
      </w:r>
      <w:r w:rsidRPr="00463038">
        <w:rPr>
          <w:rFonts w:ascii="Book Antiqua" w:hAnsi="Book Antiqua" w:cs="宋体"/>
          <w:color w:val="000000"/>
        </w:rPr>
        <w:t>, Soon IS, Rabi DM, Ghali WA, Ferris M, Chernoff G, Benchimol EI, Panaccione R, Ghosh S, Barkema HW, Kaplan GG. Increasing incidence and prevalence of the inflammatory bowel diseases with time, based on systematic review. </w:t>
      </w:r>
      <w:r w:rsidRPr="00463038">
        <w:rPr>
          <w:rFonts w:ascii="Book Antiqua" w:hAnsi="Book Antiqua" w:cs="宋体"/>
          <w:i/>
          <w:iCs/>
          <w:color w:val="000000"/>
        </w:rPr>
        <w:t>Gastroenterology</w:t>
      </w:r>
      <w:r w:rsidRPr="00463038">
        <w:rPr>
          <w:rFonts w:ascii="Book Antiqua" w:hAnsi="Book Antiqua" w:cs="宋体"/>
          <w:color w:val="000000"/>
        </w:rPr>
        <w:t> 2012; </w:t>
      </w:r>
      <w:r w:rsidRPr="00463038">
        <w:rPr>
          <w:rFonts w:ascii="Book Antiqua" w:hAnsi="Book Antiqua" w:cs="宋体"/>
          <w:b/>
          <w:bCs/>
          <w:color w:val="000000"/>
        </w:rPr>
        <w:t>142</w:t>
      </w:r>
      <w:r w:rsidRPr="00463038">
        <w:rPr>
          <w:rFonts w:ascii="Book Antiqua" w:hAnsi="Book Antiqua" w:cs="宋体"/>
          <w:color w:val="000000"/>
        </w:rPr>
        <w:t>: 46-54.e42; quiz e30 [PMID: 22001864 DOI: 10.1053/j.gastro.2011.10.001]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2 </w:t>
      </w:r>
      <w:r w:rsidRPr="00463038">
        <w:rPr>
          <w:rFonts w:ascii="Book Antiqua" w:hAnsi="Book Antiqua" w:cs="宋体"/>
          <w:b/>
          <w:bCs/>
          <w:color w:val="000000"/>
        </w:rPr>
        <w:t>Mendes FD</w:t>
      </w:r>
      <w:r w:rsidRPr="00463038">
        <w:rPr>
          <w:rFonts w:ascii="Book Antiqua" w:hAnsi="Book Antiqua" w:cs="宋体"/>
          <w:color w:val="000000"/>
        </w:rPr>
        <w:t>, Levy C, Enders FB, Loftus EV, Angulo P, Lindor KD. Abnormal hepatic biochemistries in patients with inflammatory bowel disease. </w:t>
      </w:r>
      <w:r w:rsidRPr="00463038">
        <w:rPr>
          <w:rFonts w:ascii="Book Antiqua" w:hAnsi="Book Antiqua" w:cs="宋体"/>
          <w:i/>
          <w:iCs/>
          <w:color w:val="000000"/>
        </w:rPr>
        <w:t>Am J Gastroenterol</w:t>
      </w:r>
      <w:r w:rsidRPr="00463038">
        <w:rPr>
          <w:rFonts w:ascii="Book Antiqua" w:hAnsi="Book Antiqua" w:cs="宋体"/>
          <w:color w:val="000000"/>
        </w:rPr>
        <w:t> 2007; </w:t>
      </w:r>
      <w:r w:rsidRPr="00463038">
        <w:rPr>
          <w:rFonts w:ascii="Book Antiqua" w:hAnsi="Book Antiqua" w:cs="宋体"/>
          <w:b/>
          <w:bCs/>
          <w:color w:val="000000"/>
        </w:rPr>
        <w:t>102</w:t>
      </w:r>
      <w:r w:rsidRPr="00463038">
        <w:rPr>
          <w:rFonts w:ascii="Book Antiqua" w:hAnsi="Book Antiqua" w:cs="宋体"/>
          <w:color w:val="000000"/>
        </w:rPr>
        <w:t>: 344-350 [PMID: 17100965 DOI: 10.1111/j.1572-0241.2006.00947.x]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 xml:space="preserve">3 </w:t>
      </w:r>
      <w:r w:rsidRPr="00463038">
        <w:rPr>
          <w:rFonts w:ascii="Book Antiqua" w:hAnsi="Book Antiqua" w:cs="宋体"/>
          <w:b/>
          <w:color w:val="000000"/>
        </w:rPr>
        <w:t>Svartz N</w:t>
      </w:r>
      <w:r w:rsidRPr="00463038">
        <w:rPr>
          <w:rFonts w:ascii="Book Antiqua" w:hAnsi="Book Antiqua" w:cs="宋体"/>
          <w:color w:val="000000"/>
        </w:rPr>
        <w:t xml:space="preserve">. Salazyoprin, a new sulfanilamide preparation: A. Therapeutic results in rheumatic polyarthritis. B. Therapeutic results in ulcerative colitis. C. Toxic manifestations in treatment with sulfanilamide preparation. </w:t>
      </w:r>
      <w:r w:rsidRPr="00463038">
        <w:rPr>
          <w:rFonts w:ascii="Book Antiqua" w:hAnsi="Book Antiqua" w:cs="宋体"/>
          <w:i/>
          <w:color w:val="000000"/>
        </w:rPr>
        <w:t>Acta Med Scand</w:t>
      </w:r>
      <w:r w:rsidRPr="00463038">
        <w:rPr>
          <w:rFonts w:ascii="Book Antiqua" w:hAnsi="Book Antiqua" w:cs="宋体"/>
          <w:color w:val="000000"/>
        </w:rPr>
        <w:t xml:space="preserve"> 1942; </w:t>
      </w:r>
      <w:r w:rsidRPr="00463038">
        <w:rPr>
          <w:rFonts w:ascii="Book Antiqua" w:hAnsi="Book Antiqua" w:cs="宋体"/>
          <w:b/>
          <w:color w:val="000000"/>
        </w:rPr>
        <w:t>110</w:t>
      </w:r>
      <w:r w:rsidRPr="00463038">
        <w:rPr>
          <w:rFonts w:ascii="Book Antiqua" w:hAnsi="Book Antiqua" w:cs="宋体"/>
          <w:color w:val="000000"/>
        </w:rPr>
        <w:t>: 557-590</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4 </w:t>
      </w:r>
      <w:r w:rsidRPr="00463038">
        <w:rPr>
          <w:rFonts w:ascii="Book Antiqua" w:hAnsi="Book Antiqua" w:cs="宋体"/>
          <w:b/>
          <w:bCs/>
          <w:color w:val="000000"/>
        </w:rPr>
        <w:t>Kaiser GC</w:t>
      </w:r>
      <w:r w:rsidRPr="00463038">
        <w:rPr>
          <w:rFonts w:ascii="Book Antiqua" w:hAnsi="Book Antiqua" w:cs="宋体"/>
          <w:color w:val="000000"/>
        </w:rPr>
        <w:t>, Yan F, Polk DB. Mesalamine blocks tumor necrosis factor growth inhibition and nuclear factor kappaB activation in mouse colonocytes. </w:t>
      </w:r>
      <w:r w:rsidRPr="00463038">
        <w:rPr>
          <w:rFonts w:ascii="Book Antiqua" w:hAnsi="Book Antiqua" w:cs="宋体"/>
          <w:i/>
          <w:iCs/>
          <w:color w:val="000000"/>
        </w:rPr>
        <w:t>Gastroenterology</w:t>
      </w:r>
      <w:r w:rsidRPr="00463038">
        <w:rPr>
          <w:rFonts w:ascii="Book Antiqua" w:hAnsi="Book Antiqua" w:cs="宋体"/>
          <w:color w:val="000000"/>
        </w:rPr>
        <w:t> 1999; </w:t>
      </w:r>
      <w:r w:rsidRPr="00463038">
        <w:rPr>
          <w:rFonts w:ascii="Book Antiqua" w:hAnsi="Book Antiqua" w:cs="宋体"/>
          <w:b/>
          <w:bCs/>
          <w:color w:val="000000"/>
        </w:rPr>
        <w:t>116</w:t>
      </w:r>
      <w:r w:rsidRPr="00463038">
        <w:rPr>
          <w:rFonts w:ascii="Book Antiqua" w:hAnsi="Book Antiqua" w:cs="宋体"/>
          <w:color w:val="000000"/>
        </w:rPr>
        <w:t>: 602-609 [PMID: 10029619 DOI: 10.1016/S0016-5085(99)70182-4]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5 </w:t>
      </w:r>
      <w:r w:rsidRPr="00463038">
        <w:rPr>
          <w:rFonts w:ascii="Book Antiqua" w:hAnsi="Book Antiqua" w:cs="宋体"/>
          <w:b/>
          <w:bCs/>
          <w:color w:val="000000"/>
        </w:rPr>
        <w:t>Verspaget HW</w:t>
      </w:r>
      <w:r w:rsidRPr="00463038">
        <w:rPr>
          <w:rFonts w:ascii="Book Antiqua" w:hAnsi="Book Antiqua" w:cs="宋体"/>
          <w:color w:val="000000"/>
        </w:rPr>
        <w:t>, Aparicio-Pagés MN, Verver S, Edelbroek PM, Hafkenscheid JC, Crama-Bohbouth GE, Peña AS, Weterman IT, Lamers CB. Influence of sulphasalazine and mesalazine on cellular and biochemical oxygen metabolite production. Effect of in vivo administration and an in vitro analysis. </w:t>
      </w:r>
      <w:r w:rsidRPr="00463038">
        <w:rPr>
          <w:rFonts w:ascii="Book Antiqua" w:hAnsi="Book Antiqua" w:cs="宋体"/>
          <w:i/>
          <w:iCs/>
          <w:color w:val="000000"/>
        </w:rPr>
        <w:t>Scand J Gastroenterol</w:t>
      </w:r>
      <w:r w:rsidRPr="00463038">
        <w:rPr>
          <w:rFonts w:ascii="Book Antiqua" w:hAnsi="Book Antiqua" w:cs="宋体"/>
          <w:color w:val="000000"/>
        </w:rPr>
        <w:t> 1991; </w:t>
      </w:r>
      <w:r w:rsidRPr="00463038">
        <w:rPr>
          <w:rFonts w:ascii="Book Antiqua" w:hAnsi="Book Antiqua" w:cs="宋体"/>
          <w:b/>
          <w:bCs/>
          <w:color w:val="000000"/>
        </w:rPr>
        <w:t>26</w:t>
      </w:r>
      <w:r w:rsidRPr="00463038">
        <w:rPr>
          <w:rFonts w:ascii="Book Antiqua" w:hAnsi="Book Antiqua" w:cs="宋体"/>
          <w:color w:val="000000"/>
        </w:rPr>
        <w:t>: 779-786 [PMID: 1680247 DOI: 10.3109/00365529108998599]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6 </w:t>
      </w:r>
      <w:r w:rsidRPr="00463038">
        <w:rPr>
          <w:rFonts w:ascii="Book Antiqua" w:hAnsi="Book Antiqua" w:cs="宋体"/>
          <w:b/>
          <w:bCs/>
          <w:color w:val="000000"/>
        </w:rPr>
        <w:t>Bantel H</w:t>
      </w:r>
      <w:r w:rsidRPr="00463038">
        <w:rPr>
          <w:rFonts w:ascii="Book Antiqua" w:hAnsi="Book Antiqua" w:cs="宋体"/>
          <w:color w:val="000000"/>
        </w:rPr>
        <w:t>, Berg C, Vieth M, Stolte M, Kruis W, Schulze-Osthoff K. Mesalazine inhibits activation of transcription factor NF-kappaB in inflamed mucosa of patients with ulcerative colitis. </w:t>
      </w:r>
      <w:r w:rsidRPr="00463038">
        <w:rPr>
          <w:rFonts w:ascii="Book Antiqua" w:hAnsi="Book Antiqua" w:cs="宋体"/>
          <w:i/>
          <w:iCs/>
          <w:color w:val="000000"/>
        </w:rPr>
        <w:t>Am J Gastroenterol</w:t>
      </w:r>
      <w:r w:rsidRPr="00463038">
        <w:rPr>
          <w:rFonts w:ascii="Book Antiqua" w:hAnsi="Book Antiqua" w:cs="宋体"/>
          <w:color w:val="000000"/>
        </w:rPr>
        <w:t> 2000; </w:t>
      </w:r>
      <w:r w:rsidRPr="00463038">
        <w:rPr>
          <w:rFonts w:ascii="Book Antiqua" w:hAnsi="Book Antiqua" w:cs="宋体"/>
          <w:b/>
          <w:bCs/>
          <w:color w:val="000000"/>
        </w:rPr>
        <w:t>95</w:t>
      </w:r>
      <w:r w:rsidRPr="00463038">
        <w:rPr>
          <w:rFonts w:ascii="Book Antiqua" w:hAnsi="Book Antiqua" w:cs="宋体"/>
          <w:color w:val="000000"/>
        </w:rPr>
        <w:t>: 3452-3457 [PMID: 11151876 DOI: 10.1111/j.1572-0241.2000.03360.x]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7 </w:t>
      </w:r>
      <w:r w:rsidRPr="00463038">
        <w:rPr>
          <w:rFonts w:ascii="Book Antiqua" w:hAnsi="Book Antiqua" w:cs="宋体"/>
          <w:b/>
          <w:bCs/>
          <w:color w:val="000000"/>
        </w:rPr>
        <w:t>Amos RS</w:t>
      </w:r>
      <w:r w:rsidRPr="00463038">
        <w:rPr>
          <w:rFonts w:ascii="Book Antiqua" w:hAnsi="Book Antiqua" w:cs="宋体"/>
          <w:color w:val="000000"/>
        </w:rPr>
        <w:t>, Pullar T, Bax DE, Situnayake D, Capell HA, McConkey B. Sulphasalazine for rheumatoid arthritis: toxicity in 774 patients monitored for one to 11 years. </w:t>
      </w:r>
      <w:r w:rsidRPr="00463038">
        <w:rPr>
          <w:rFonts w:ascii="Book Antiqua" w:hAnsi="Book Antiqua" w:cs="宋体"/>
          <w:i/>
          <w:iCs/>
          <w:color w:val="000000"/>
        </w:rPr>
        <w:t xml:space="preserve">Br Med J </w:t>
      </w:r>
      <w:r w:rsidRPr="00463038">
        <w:rPr>
          <w:rFonts w:ascii="Book Antiqua" w:hAnsi="Book Antiqua" w:cs="宋体"/>
          <w:iCs/>
          <w:color w:val="000000"/>
        </w:rPr>
        <w:t>(Clin Res Ed)</w:t>
      </w:r>
      <w:r w:rsidRPr="00463038">
        <w:rPr>
          <w:rFonts w:ascii="Book Antiqua" w:hAnsi="Book Antiqua" w:cs="宋体"/>
          <w:color w:val="000000"/>
        </w:rPr>
        <w:t> 1986; </w:t>
      </w:r>
      <w:r w:rsidRPr="00463038">
        <w:rPr>
          <w:rFonts w:ascii="Book Antiqua" w:hAnsi="Book Antiqua" w:cs="宋体"/>
          <w:b/>
          <w:bCs/>
          <w:color w:val="000000"/>
        </w:rPr>
        <w:t>293</w:t>
      </w:r>
      <w:r w:rsidRPr="00463038">
        <w:rPr>
          <w:rFonts w:ascii="Book Antiqua" w:hAnsi="Book Antiqua" w:cs="宋体"/>
          <w:color w:val="000000"/>
        </w:rPr>
        <w:t>: 420-423 [PMID: 2874863 DOI: 10.1136/bmj.293.6544.420]</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8 </w:t>
      </w:r>
      <w:r w:rsidRPr="00463038">
        <w:rPr>
          <w:rFonts w:ascii="Book Antiqua" w:hAnsi="Book Antiqua" w:cs="宋体"/>
          <w:b/>
          <w:bCs/>
          <w:color w:val="000000"/>
        </w:rPr>
        <w:t>Rachmilewitz D</w:t>
      </w:r>
      <w:r w:rsidRPr="00463038">
        <w:rPr>
          <w:rFonts w:ascii="Book Antiqua" w:hAnsi="Book Antiqua" w:cs="宋体"/>
          <w:color w:val="000000"/>
        </w:rPr>
        <w:t>. Coated mesalazine (5-aminosalicylic acid) versus sulphasalazine in the treatment of active ulcerative colitis: a randomised trial. </w:t>
      </w:r>
      <w:r w:rsidRPr="00463038">
        <w:rPr>
          <w:rFonts w:ascii="Book Antiqua" w:hAnsi="Book Antiqua" w:cs="宋体"/>
          <w:i/>
          <w:iCs/>
          <w:color w:val="000000"/>
        </w:rPr>
        <w:t>BMJ</w:t>
      </w:r>
      <w:r w:rsidRPr="00463038">
        <w:rPr>
          <w:rFonts w:ascii="Book Antiqua" w:hAnsi="Book Antiqua" w:cs="宋体"/>
          <w:color w:val="000000"/>
        </w:rPr>
        <w:t> 1989; </w:t>
      </w:r>
      <w:r w:rsidRPr="00463038">
        <w:rPr>
          <w:rFonts w:ascii="Book Antiqua" w:hAnsi="Book Antiqua" w:cs="宋体"/>
          <w:b/>
          <w:bCs/>
          <w:color w:val="000000"/>
        </w:rPr>
        <w:t>298</w:t>
      </w:r>
      <w:r w:rsidRPr="00463038">
        <w:rPr>
          <w:rFonts w:ascii="Book Antiqua" w:hAnsi="Book Antiqua" w:cs="宋体"/>
          <w:color w:val="000000"/>
        </w:rPr>
        <w:t>: 82-86 [PMID: 2563951 DOI: 10.1136/bmj.298.6666.82]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9 </w:t>
      </w:r>
      <w:r w:rsidRPr="00463038">
        <w:rPr>
          <w:rFonts w:ascii="Book Antiqua" w:hAnsi="Book Antiqua" w:cs="宋体"/>
          <w:b/>
          <w:bCs/>
          <w:color w:val="000000"/>
        </w:rPr>
        <w:t>Boyer DL</w:t>
      </w:r>
      <w:r w:rsidRPr="00463038">
        <w:rPr>
          <w:rFonts w:ascii="Book Antiqua" w:hAnsi="Book Antiqua" w:cs="宋体"/>
          <w:color w:val="000000"/>
        </w:rPr>
        <w:t>, Li BU, Fyda JN, Friedman RA. Sulfasalazine-induced hepatotoxicity in children with inflammatory bowel disease. </w:t>
      </w:r>
      <w:r w:rsidRPr="00463038">
        <w:rPr>
          <w:rFonts w:ascii="Book Antiqua" w:hAnsi="Book Antiqua" w:cs="宋体"/>
          <w:i/>
          <w:iCs/>
          <w:color w:val="000000"/>
        </w:rPr>
        <w:t>J Pediatr Gastroenterol Nutr</w:t>
      </w:r>
      <w:r w:rsidRPr="00463038">
        <w:rPr>
          <w:rFonts w:ascii="Book Antiqua" w:hAnsi="Book Antiqua" w:cs="宋体"/>
          <w:color w:val="000000"/>
        </w:rPr>
        <w:t> 1989; </w:t>
      </w:r>
      <w:r w:rsidRPr="00463038">
        <w:rPr>
          <w:rFonts w:ascii="Book Antiqua" w:hAnsi="Book Antiqua" w:cs="宋体"/>
          <w:b/>
          <w:bCs/>
          <w:color w:val="000000"/>
        </w:rPr>
        <w:t>8</w:t>
      </w:r>
      <w:r w:rsidRPr="00463038">
        <w:rPr>
          <w:rFonts w:ascii="Book Antiqua" w:hAnsi="Book Antiqua" w:cs="宋体"/>
          <w:color w:val="000000"/>
        </w:rPr>
        <w:t>: 528-532 [PMID: 2566669 DOI: 10.1097/00005176-198905000-00018]</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10 </w:t>
      </w:r>
      <w:r w:rsidRPr="00463038">
        <w:rPr>
          <w:rFonts w:ascii="Book Antiqua" w:hAnsi="Book Antiqua" w:cs="宋体"/>
          <w:b/>
          <w:bCs/>
          <w:color w:val="000000"/>
        </w:rPr>
        <w:t>Rafoth RJ</w:t>
      </w:r>
      <w:r w:rsidRPr="00463038">
        <w:rPr>
          <w:rFonts w:ascii="Book Antiqua" w:hAnsi="Book Antiqua" w:cs="宋体"/>
          <w:color w:val="000000"/>
        </w:rPr>
        <w:t>. Systemic granulomatous reaction to salicylazosulfapyridine (Azulfidine) in a patient with Crohn's disease. </w:t>
      </w:r>
      <w:r w:rsidRPr="00463038">
        <w:rPr>
          <w:rFonts w:ascii="Book Antiqua" w:hAnsi="Book Antiqua" w:cs="宋体"/>
          <w:i/>
          <w:iCs/>
          <w:color w:val="000000"/>
        </w:rPr>
        <w:t>Am J Dig Dis</w:t>
      </w:r>
      <w:r w:rsidRPr="00463038">
        <w:rPr>
          <w:rFonts w:ascii="Book Antiqua" w:hAnsi="Book Antiqua" w:cs="宋体"/>
          <w:color w:val="000000"/>
        </w:rPr>
        <w:t> 1974; </w:t>
      </w:r>
      <w:r w:rsidRPr="00463038">
        <w:rPr>
          <w:rFonts w:ascii="Book Antiqua" w:hAnsi="Book Antiqua" w:cs="宋体"/>
          <w:b/>
          <w:bCs/>
          <w:color w:val="000000"/>
        </w:rPr>
        <w:t>19</w:t>
      </w:r>
      <w:r w:rsidRPr="00463038">
        <w:rPr>
          <w:rFonts w:ascii="Book Antiqua" w:hAnsi="Book Antiqua" w:cs="宋体"/>
          <w:color w:val="000000"/>
        </w:rPr>
        <w:t>: 465-469 [PMID: 4151115 DOI: 10.1007/BF01255610]</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11 </w:t>
      </w:r>
      <w:r w:rsidRPr="00463038">
        <w:rPr>
          <w:rFonts w:ascii="Book Antiqua" w:hAnsi="Book Antiqua" w:cs="宋体"/>
          <w:b/>
          <w:bCs/>
          <w:color w:val="000000"/>
        </w:rPr>
        <w:t>Namias A</w:t>
      </w:r>
      <w:r w:rsidRPr="00463038">
        <w:rPr>
          <w:rFonts w:ascii="Book Antiqua" w:hAnsi="Book Antiqua" w:cs="宋体"/>
          <w:color w:val="000000"/>
        </w:rPr>
        <w:t>, Bhalotra R, Donowitz M. Reversible sulfasalazine-induced granulomatous hepatitis. </w:t>
      </w:r>
      <w:r w:rsidRPr="00463038">
        <w:rPr>
          <w:rFonts w:ascii="Book Antiqua" w:hAnsi="Book Antiqua" w:cs="宋体"/>
          <w:i/>
          <w:iCs/>
          <w:color w:val="000000"/>
        </w:rPr>
        <w:t>J Clin Gastroenterol</w:t>
      </w:r>
      <w:r w:rsidRPr="00463038">
        <w:rPr>
          <w:rFonts w:ascii="Book Antiqua" w:hAnsi="Book Antiqua" w:cs="宋体"/>
          <w:color w:val="000000"/>
        </w:rPr>
        <w:t> 1981; </w:t>
      </w:r>
      <w:r w:rsidRPr="00463038">
        <w:rPr>
          <w:rFonts w:ascii="Book Antiqua" w:hAnsi="Book Antiqua" w:cs="宋体"/>
          <w:b/>
          <w:bCs/>
          <w:color w:val="000000"/>
        </w:rPr>
        <w:t>3</w:t>
      </w:r>
      <w:r w:rsidRPr="00463038">
        <w:rPr>
          <w:rFonts w:ascii="Book Antiqua" w:hAnsi="Book Antiqua" w:cs="宋体"/>
          <w:color w:val="000000"/>
        </w:rPr>
        <w:t>: 193-198 [PMID: 6113258 DOI: 10.1097/00004836-198106000-00017]</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12 </w:t>
      </w:r>
      <w:r w:rsidRPr="00463038">
        <w:rPr>
          <w:rFonts w:ascii="Book Antiqua" w:hAnsi="Book Antiqua" w:cs="宋体"/>
          <w:b/>
          <w:bCs/>
          <w:color w:val="000000"/>
        </w:rPr>
        <w:t>Callen JP</w:t>
      </w:r>
      <w:r w:rsidRPr="00463038">
        <w:rPr>
          <w:rFonts w:ascii="Book Antiqua" w:hAnsi="Book Antiqua" w:cs="宋体"/>
          <w:color w:val="000000"/>
        </w:rPr>
        <w:t>, Soderstrom RM. Granulomatous hepatitis associated with salicylazosulfapyridine therapy. </w:t>
      </w:r>
      <w:r w:rsidRPr="00463038">
        <w:rPr>
          <w:rFonts w:ascii="Book Antiqua" w:hAnsi="Book Antiqua" w:cs="宋体"/>
          <w:i/>
          <w:iCs/>
          <w:color w:val="000000"/>
        </w:rPr>
        <w:t>South Med J</w:t>
      </w:r>
      <w:r w:rsidRPr="00463038">
        <w:rPr>
          <w:rFonts w:ascii="Book Antiqua" w:hAnsi="Book Antiqua" w:cs="宋体"/>
          <w:color w:val="000000"/>
        </w:rPr>
        <w:t> 1978; </w:t>
      </w:r>
      <w:r w:rsidRPr="00463038">
        <w:rPr>
          <w:rFonts w:ascii="Book Antiqua" w:hAnsi="Book Antiqua" w:cs="宋体"/>
          <w:b/>
          <w:bCs/>
          <w:color w:val="000000"/>
        </w:rPr>
        <w:t>71</w:t>
      </w:r>
      <w:r w:rsidRPr="00463038">
        <w:rPr>
          <w:rFonts w:ascii="Book Antiqua" w:hAnsi="Book Antiqua" w:cs="宋体"/>
          <w:color w:val="000000"/>
        </w:rPr>
        <w:t>: 1159-1160 [PMID: 28568 DOI: 10.1097/00007611-197809000-00031]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13 </w:t>
      </w:r>
      <w:r w:rsidRPr="00463038">
        <w:rPr>
          <w:rFonts w:ascii="Book Antiqua" w:hAnsi="Book Antiqua" w:cs="宋体"/>
          <w:b/>
          <w:bCs/>
          <w:color w:val="000000"/>
        </w:rPr>
        <w:t>Haines JD</w:t>
      </w:r>
      <w:r w:rsidRPr="00463038">
        <w:rPr>
          <w:rFonts w:ascii="Book Antiqua" w:hAnsi="Book Antiqua" w:cs="宋体"/>
          <w:color w:val="000000"/>
        </w:rPr>
        <w:t>. Hepatotoxicity after treatment with sulfasalazine. </w:t>
      </w:r>
      <w:r w:rsidRPr="00463038">
        <w:rPr>
          <w:rFonts w:ascii="Book Antiqua" w:hAnsi="Book Antiqua" w:cs="宋体"/>
          <w:i/>
          <w:iCs/>
          <w:color w:val="000000"/>
        </w:rPr>
        <w:t>Postgrad Med</w:t>
      </w:r>
      <w:r w:rsidRPr="00463038">
        <w:rPr>
          <w:rFonts w:ascii="Book Antiqua" w:hAnsi="Book Antiqua" w:cs="宋体"/>
          <w:color w:val="000000"/>
        </w:rPr>
        <w:t> 1986; </w:t>
      </w:r>
      <w:r w:rsidRPr="00463038">
        <w:rPr>
          <w:rFonts w:ascii="Book Antiqua" w:hAnsi="Book Antiqua" w:cs="宋体"/>
          <w:b/>
          <w:bCs/>
          <w:color w:val="000000"/>
        </w:rPr>
        <w:t>79</w:t>
      </w:r>
      <w:r w:rsidRPr="00463038">
        <w:rPr>
          <w:rFonts w:ascii="Book Antiqua" w:hAnsi="Book Antiqua" w:cs="宋体"/>
          <w:color w:val="000000"/>
        </w:rPr>
        <w:t>: 193-194, 197-198 [PMID: 2871549]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14 </w:t>
      </w:r>
      <w:r w:rsidRPr="00463038">
        <w:rPr>
          <w:rFonts w:ascii="Book Antiqua" w:hAnsi="Book Antiqua" w:cs="宋体"/>
          <w:b/>
          <w:bCs/>
          <w:color w:val="000000"/>
        </w:rPr>
        <w:t>Marinos G</w:t>
      </w:r>
      <w:r w:rsidRPr="00463038">
        <w:rPr>
          <w:rFonts w:ascii="Book Antiqua" w:hAnsi="Book Antiqua" w:cs="宋体"/>
          <w:color w:val="000000"/>
        </w:rPr>
        <w:t>, Riley J, Painter DM, McCaughan GW. Sulfasalazine-induced fulminant hepatic failure. </w:t>
      </w:r>
      <w:r w:rsidRPr="00463038">
        <w:rPr>
          <w:rFonts w:ascii="Book Antiqua" w:hAnsi="Book Antiqua" w:cs="宋体"/>
          <w:i/>
          <w:iCs/>
          <w:color w:val="000000"/>
        </w:rPr>
        <w:t>J Clin Gastroenterol</w:t>
      </w:r>
      <w:r w:rsidRPr="00463038">
        <w:rPr>
          <w:rFonts w:ascii="Book Antiqua" w:hAnsi="Book Antiqua" w:cs="宋体"/>
          <w:color w:val="000000"/>
        </w:rPr>
        <w:t> 1992; </w:t>
      </w:r>
      <w:r w:rsidRPr="00463038">
        <w:rPr>
          <w:rFonts w:ascii="Book Antiqua" w:hAnsi="Book Antiqua" w:cs="宋体"/>
          <w:b/>
          <w:bCs/>
          <w:color w:val="000000"/>
        </w:rPr>
        <w:t>14</w:t>
      </w:r>
      <w:r w:rsidRPr="00463038">
        <w:rPr>
          <w:rFonts w:ascii="Book Antiqua" w:hAnsi="Book Antiqua" w:cs="宋体"/>
          <w:color w:val="000000"/>
        </w:rPr>
        <w:t>: 132-135 [PMID: 1348259 DOI: 10.1097/00004836-199203000-00012]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15 </w:t>
      </w:r>
      <w:r w:rsidRPr="00463038">
        <w:rPr>
          <w:rFonts w:ascii="Book Antiqua" w:hAnsi="Book Antiqua" w:cs="宋体"/>
          <w:b/>
          <w:bCs/>
          <w:color w:val="000000"/>
        </w:rPr>
        <w:t>Ribe J</w:t>
      </w:r>
      <w:r w:rsidRPr="00463038">
        <w:rPr>
          <w:rFonts w:ascii="Book Antiqua" w:hAnsi="Book Antiqua" w:cs="宋体"/>
          <w:color w:val="000000"/>
        </w:rPr>
        <w:t>, Benkov KJ, Thung SN, Shen SC, LeLeiko NS. Fatal massive hepatic necrosis: a probable hypersensitivity reaction to sulfasalazine. </w:t>
      </w:r>
      <w:r w:rsidRPr="00463038">
        <w:rPr>
          <w:rFonts w:ascii="Book Antiqua" w:hAnsi="Book Antiqua" w:cs="宋体"/>
          <w:i/>
          <w:iCs/>
          <w:color w:val="000000"/>
        </w:rPr>
        <w:t>Am J Gastroenterol</w:t>
      </w:r>
      <w:r w:rsidRPr="00463038">
        <w:rPr>
          <w:rFonts w:ascii="Book Antiqua" w:hAnsi="Book Antiqua" w:cs="宋体"/>
          <w:color w:val="000000"/>
        </w:rPr>
        <w:t> 1986; </w:t>
      </w:r>
      <w:r w:rsidRPr="00463038">
        <w:rPr>
          <w:rFonts w:ascii="Book Antiqua" w:hAnsi="Book Antiqua" w:cs="宋体"/>
          <w:b/>
          <w:bCs/>
          <w:color w:val="000000"/>
        </w:rPr>
        <w:t>81</w:t>
      </w:r>
      <w:r w:rsidRPr="00463038">
        <w:rPr>
          <w:rFonts w:ascii="Book Antiqua" w:hAnsi="Book Antiqua" w:cs="宋体"/>
          <w:color w:val="000000"/>
        </w:rPr>
        <w:t>: 205-208 [PMID: 2869683]</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16 </w:t>
      </w:r>
      <w:r w:rsidRPr="00463038">
        <w:rPr>
          <w:rFonts w:ascii="Book Antiqua" w:hAnsi="Book Antiqua" w:cs="宋体"/>
          <w:b/>
          <w:bCs/>
          <w:color w:val="000000"/>
        </w:rPr>
        <w:t>Bocquet H</w:t>
      </w:r>
      <w:r w:rsidRPr="00463038">
        <w:rPr>
          <w:rFonts w:ascii="Book Antiqua" w:hAnsi="Book Antiqua" w:cs="宋体"/>
          <w:color w:val="000000"/>
        </w:rPr>
        <w:t>, Bagot M, Roujeau JC. Drug-induced pseudolymphoma and drug hypersensitivity syndrome (Drug Rash with Eosinophilia and Systemic Symptoms: DRESS). </w:t>
      </w:r>
      <w:r w:rsidRPr="00463038">
        <w:rPr>
          <w:rFonts w:ascii="Book Antiqua" w:hAnsi="Book Antiqua" w:cs="宋体"/>
          <w:i/>
          <w:iCs/>
          <w:color w:val="000000"/>
        </w:rPr>
        <w:t>Semin Cutan Med Surg</w:t>
      </w:r>
      <w:r w:rsidRPr="00463038">
        <w:rPr>
          <w:rFonts w:ascii="Book Antiqua" w:hAnsi="Book Antiqua" w:cs="宋体"/>
          <w:color w:val="000000"/>
        </w:rPr>
        <w:t> 1996; </w:t>
      </w:r>
      <w:r w:rsidRPr="00463038">
        <w:rPr>
          <w:rFonts w:ascii="Book Antiqua" w:hAnsi="Book Antiqua" w:cs="宋体"/>
          <w:b/>
          <w:bCs/>
          <w:color w:val="000000"/>
        </w:rPr>
        <w:t>15</w:t>
      </w:r>
      <w:r w:rsidRPr="00463038">
        <w:rPr>
          <w:rFonts w:ascii="Book Antiqua" w:hAnsi="Book Antiqua" w:cs="宋体"/>
          <w:color w:val="000000"/>
        </w:rPr>
        <w:t>: 250-257 [PMID: 9069593 DOI: 10.1016/S1085-5629(96)80038-1]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17 </w:t>
      </w:r>
      <w:r w:rsidRPr="00463038">
        <w:rPr>
          <w:rFonts w:ascii="Book Antiqua" w:hAnsi="Book Antiqua" w:cs="宋体"/>
          <w:b/>
          <w:bCs/>
          <w:color w:val="000000"/>
        </w:rPr>
        <w:t>Aquino RT</w:t>
      </w:r>
      <w:r w:rsidRPr="00463038">
        <w:rPr>
          <w:rFonts w:ascii="Book Antiqua" w:hAnsi="Book Antiqua" w:cs="宋体"/>
          <w:color w:val="000000"/>
        </w:rPr>
        <w:t>, Vergueiro CS, Magliari ME, de Freitas TH. Sulfasalazine-induced DRESS syndrome (Drug Rash with Eosinophilia and Systemic Symptoms). </w:t>
      </w:r>
      <w:r w:rsidRPr="00463038">
        <w:rPr>
          <w:rFonts w:ascii="Book Antiqua" w:hAnsi="Book Antiqua" w:cs="宋体"/>
          <w:i/>
          <w:iCs/>
          <w:color w:val="000000"/>
        </w:rPr>
        <w:t>Sao Paulo Med J</w:t>
      </w:r>
      <w:r w:rsidRPr="00463038">
        <w:rPr>
          <w:rFonts w:ascii="Book Antiqua" w:hAnsi="Book Antiqua" w:cs="宋体"/>
          <w:color w:val="000000"/>
        </w:rPr>
        <w:t> 2008; </w:t>
      </w:r>
      <w:r w:rsidRPr="00463038">
        <w:rPr>
          <w:rFonts w:ascii="Book Antiqua" w:hAnsi="Book Antiqua" w:cs="宋体"/>
          <w:b/>
          <w:bCs/>
          <w:color w:val="000000"/>
        </w:rPr>
        <w:t>126</w:t>
      </w:r>
      <w:r w:rsidRPr="00463038">
        <w:rPr>
          <w:rFonts w:ascii="Book Antiqua" w:hAnsi="Book Antiqua" w:cs="宋体"/>
          <w:color w:val="000000"/>
        </w:rPr>
        <w:t>: 225-226 [PMID: 18853032 DOI: 10.1590/S1516-31802008000400006]</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18 </w:t>
      </w:r>
      <w:r w:rsidRPr="00463038">
        <w:rPr>
          <w:rFonts w:ascii="Book Antiqua" w:hAnsi="Book Antiqua" w:cs="宋体"/>
          <w:b/>
          <w:bCs/>
          <w:color w:val="000000"/>
        </w:rPr>
        <w:t>Michel F</w:t>
      </w:r>
      <w:r w:rsidRPr="00463038">
        <w:rPr>
          <w:rFonts w:ascii="Book Antiqua" w:hAnsi="Book Antiqua" w:cs="宋体"/>
          <w:color w:val="000000"/>
        </w:rPr>
        <w:t>, Navellou JC, Ferraud D, Toussirot E, Wendling D. DRESS syndrome in a patient on sulfasalazine for rheumatoid arthritis. </w:t>
      </w:r>
      <w:r w:rsidRPr="00463038">
        <w:rPr>
          <w:rFonts w:ascii="Book Antiqua" w:hAnsi="Book Antiqua" w:cs="宋体"/>
          <w:i/>
          <w:iCs/>
          <w:color w:val="000000"/>
        </w:rPr>
        <w:t>Joint Bone Spine</w:t>
      </w:r>
      <w:r w:rsidRPr="00463038">
        <w:rPr>
          <w:rFonts w:ascii="Book Antiqua" w:hAnsi="Book Antiqua" w:cs="宋体"/>
          <w:color w:val="000000"/>
        </w:rPr>
        <w:t> 2005; </w:t>
      </w:r>
      <w:r w:rsidRPr="00463038">
        <w:rPr>
          <w:rFonts w:ascii="Book Antiqua" w:hAnsi="Book Antiqua" w:cs="宋体"/>
          <w:b/>
          <w:bCs/>
          <w:color w:val="000000"/>
        </w:rPr>
        <w:t>72</w:t>
      </w:r>
      <w:r w:rsidRPr="00463038">
        <w:rPr>
          <w:rFonts w:ascii="Book Antiqua" w:hAnsi="Book Antiqua" w:cs="宋体"/>
          <w:color w:val="000000"/>
        </w:rPr>
        <w:t>: 82-85 [PMID: 15681256 DOI: 10.1016/j.jbspin.2004.06.002]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19 </w:t>
      </w:r>
      <w:r w:rsidRPr="00463038">
        <w:rPr>
          <w:rFonts w:ascii="Book Antiqua" w:hAnsi="Book Antiqua" w:cs="宋体"/>
          <w:b/>
          <w:bCs/>
          <w:color w:val="000000"/>
        </w:rPr>
        <w:t>Piñana E</w:t>
      </w:r>
      <w:r w:rsidRPr="00463038">
        <w:rPr>
          <w:rFonts w:ascii="Book Antiqua" w:hAnsi="Book Antiqua" w:cs="宋体"/>
          <w:color w:val="000000"/>
        </w:rPr>
        <w:t>, Lei SH, Merino R, Melgosa M, De La Vega R, Gonzales-Obeso E, Ramírez E, Borobia A, Carcas A. DRESS-syndrome on sulfasalazine and naproxen treatment for juvenile idiopathic arthritis and reactivation of human herpevirus 6 in an 11-year-old Caucasian boy. </w:t>
      </w:r>
      <w:r w:rsidRPr="00463038">
        <w:rPr>
          <w:rFonts w:ascii="Book Antiqua" w:hAnsi="Book Antiqua" w:cs="宋体"/>
          <w:i/>
          <w:iCs/>
          <w:color w:val="000000"/>
        </w:rPr>
        <w:t>J Clin Pharm Ther</w:t>
      </w:r>
      <w:r w:rsidRPr="00463038">
        <w:rPr>
          <w:rFonts w:ascii="Book Antiqua" w:hAnsi="Book Antiqua" w:cs="宋体"/>
          <w:color w:val="000000"/>
        </w:rPr>
        <w:t> 2010; </w:t>
      </w:r>
      <w:r w:rsidRPr="00463038">
        <w:rPr>
          <w:rFonts w:ascii="Book Antiqua" w:hAnsi="Book Antiqua" w:cs="宋体"/>
          <w:b/>
          <w:bCs/>
          <w:color w:val="000000"/>
        </w:rPr>
        <w:t>35</w:t>
      </w:r>
      <w:r w:rsidRPr="00463038">
        <w:rPr>
          <w:rFonts w:ascii="Book Antiqua" w:hAnsi="Book Antiqua" w:cs="宋体"/>
          <w:color w:val="000000"/>
        </w:rPr>
        <w:t>: 365-370 [PMID: 20831538 DOI: 10.1111/j.1365-2710.2009.01081.x]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20 </w:t>
      </w:r>
      <w:r w:rsidRPr="00463038">
        <w:rPr>
          <w:rFonts w:ascii="Book Antiqua" w:hAnsi="Book Antiqua" w:cs="宋体"/>
          <w:b/>
          <w:bCs/>
          <w:color w:val="000000"/>
        </w:rPr>
        <w:t>Roujeau JC</w:t>
      </w:r>
      <w:r w:rsidRPr="00463038">
        <w:rPr>
          <w:rFonts w:ascii="Book Antiqua" w:hAnsi="Book Antiqua" w:cs="宋体"/>
          <w:color w:val="000000"/>
        </w:rPr>
        <w:t>. Clinical heterogeneity of drug hypersensitivity. </w:t>
      </w:r>
      <w:r w:rsidRPr="00463038">
        <w:rPr>
          <w:rFonts w:ascii="Book Antiqua" w:hAnsi="Book Antiqua" w:cs="宋体"/>
          <w:i/>
          <w:iCs/>
          <w:color w:val="000000"/>
        </w:rPr>
        <w:t>Toxicology</w:t>
      </w:r>
      <w:r w:rsidRPr="00463038">
        <w:rPr>
          <w:rFonts w:ascii="Book Antiqua" w:hAnsi="Book Antiqua" w:cs="宋体"/>
          <w:color w:val="000000"/>
        </w:rPr>
        <w:t> 2005; </w:t>
      </w:r>
      <w:r w:rsidRPr="00463038">
        <w:rPr>
          <w:rFonts w:ascii="Book Antiqua" w:hAnsi="Book Antiqua" w:cs="宋体"/>
          <w:b/>
          <w:bCs/>
          <w:color w:val="000000"/>
        </w:rPr>
        <w:t>209</w:t>
      </w:r>
      <w:r w:rsidRPr="00463038">
        <w:rPr>
          <w:rFonts w:ascii="Book Antiqua" w:hAnsi="Book Antiqua" w:cs="宋体"/>
          <w:color w:val="000000"/>
        </w:rPr>
        <w:t>: 123-129 [PMID: 15767024 DOI: 10.1016/j.tox.2004.12.022]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21 </w:t>
      </w:r>
      <w:r w:rsidRPr="00463038">
        <w:rPr>
          <w:rFonts w:ascii="Book Antiqua" w:hAnsi="Book Antiqua" w:cs="宋体"/>
          <w:b/>
          <w:bCs/>
          <w:color w:val="000000"/>
        </w:rPr>
        <w:t>Loftus EV</w:t>
      </w:r>
      <w:r w:rsidRPr="00463038">
        <w:rPr>
          <w:rFonts w:ascii="Book Antiqua" w:hAnsi="Book Antiqua" w:cs="宋体"/>
          <w:color w:val="000000"/>
        </w:rPr>
        <w:t>, Kane SV, Bjorkman D. Systematic review: short-term adverse effects of 5-aminosalicylic acid agents in the treatment of ulcerative colitis. </w:t>
      </w:r>
      <w:r w:rsidRPr="00463038">
        <w:rPr>
          <w:rFonts w:ascii="Book Antiqua" w:hAnsi="Book Antiqua" w:cs="宋体"/>
          <w:i/>
          <w:iCs/>
          <w:color w:val="000000"/>
        </w:rPr>
        <w:t>Aliment Pharmacol Ther</w:t>
      </w:r>
      <w:r w:rsidRPr="00463038">
        <w:rPr>
          <w:rFonts w:ascii="Book Antiqua" w:hAnsi="Book Antiqua" w:cs="宋体"/>
          <w:color w:val="000000"/>
        </w:rPr>
        <w:t> 2004; </w:t>
      </w:r>
      <w:r w:rsidRPr="00463038">
        <w:rPr>
          <w:rFonts w:ascii="Book Antiqua" w:hAnsi="Book Antiqua" w:cs="宋体"/>
          <w:b/>
          <w:bCs/>
          <w:color w:val="000000"/>
        </w:rPr>
        <w:t>19</w:t>
      </w:r>
      <w:r w:rsidRPr="00463038">
        <w:rPr>
          <w:rFonts w:ascii="Book Antiqua" w:hAnsi="Book Antiqua" w:cs="宋体"/>
          <w:color w:val="000000"/>
        </w:rPr>
        <w:t>: 179-189 [PMID: 14723609 DOI: 10.1111/j.0269-2813.2004.01827.x]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22 </w:t>
      </w:r>
      <w:r w:rsidRPr="00463038">
        <w:rPr>
          <w:rFonts w:ascii="Book Antiqua" w:hAnsi="Book Antiqua" w:cs="宋体"/>
          <w:b/>
          <w:bCs/>
          <w:color w:val="000000"/>
        </w:rPr>
        <w:t>Deltenre P</w:t>
      </w:r>
      <w:r w:rsidRPr="00463038">
        <w:rPr>
          <w:rFonts w:ascii="Book Antiqua" w:hAnsi="Book Antiqua" w:cs="宋体"/>
          <w:color w:val="000000"/>
        </w:rPr>
        <w:t>, Berson A, Marcellin P, Degott C, Biour M, Pessayre D. Mesalazine (5-aminosalicylic acid) induced chronic hepatitis. </w:t>
      </w:r>
      <w:r w:rsidRPr="00463038">
        <w:rPr>
          <w:rFonts w:ascii="Book Antiqua" w:hAnsi="Book Antiqua" w:cs="宋体"/>
          <w:i/>
          <w:iCs/>
          <w:color w:val="000000"/>
        </w:rPr>
        <w:t>Gut</w:t>
      </w:r>
      <w:r w:rsidRPr="00463038">
        <w:rPr>
          <w:rFonts w:ascii="Book Antiqua" w:hAnsi="Book Antiqua" w:cs="宋体"/>
          <w:color w:val="000000"/>
        </w:rPr>
        <w:t> 1999; </w:t>
      </w:r>
      <w:r w:rsidRPr="00463038">
        <w:rPr>
          <w:rFonts w:ascii="Book Antiqua" w:hAnsi="Book Antiqua" w:cs="宋体"/>
          <w:b/>
          <w:bCs/>
          <w:color w:val="000000"/>
        </w:rPr>
        <w:t>44</w:t>
      </w:r>
      <w:r w:rsidRPr="00463038">
        <w:rPr>
          <w:rFonts w:ascii="Book Antiqua" w:hAnsi="Book Antiqua" w:cs="宋体"/>
          <w:color w:val="000000"/>
        </w:rPr>
        <w:t>: 886-888 [PMID: 10323894 DOI: 10.1136/gut.44.6.886]</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23 </w:t>
      </w:r>
      <w:r w:rsidRPr="00463038">
        <w:rPr>
          <w:rFonts w:ascii="Book Antiqua" w:hAnsi="Book Antiqua" w:cs="宋体"/>
          <w:b/>
          <w:bCs/>
          <w:color w:val="000000"/>
        </w:rPr>
        <w:t>Hautekeete ML</w:t>
      </w:r>
      <w:r w:rsidRPr="00463038">
        <w:rPr>
          <w:rFonts w:ascii="Book Antiqua" w:hAnsi="Book Antiqua" w:cs="宋体"/>
          <w:color w:val="000000"/>
        </w:rPr>
        <w:t>, Bourgeois N, Potvin P, Duville L, Reynaert H, Devis G, Adler M, Klöppel G. Hypersensitivity with hepatotoxicity to mesalazine after hypersensitivity to sulfasalazine. </w:t>
      </w:r>
      <w:r w:rsidRPr="00463038">
        <w:rPr>
          <w:rFonts w:ascii="Book Antiqua" w:hAnsi="Book Antiqua" w:cs="宋体"/>
          <w:i/>
          <w:iCs/>
          <w:color w:val="000000"/>
        </w:rPr>
        <w:t>Gastroenterology</w:t>
      </w:r>
      <w:r w:rsidRPr="00463038">
        <w:rPr>
          <w:rFonts w:ascii="Book Antiqua" w:hAnsi="Book Antiqua" w:cs="宋体"/>
          <w:color w:val="000000"/>
        </w:rPr>
        <w:t> 1992; </w:t>
      </w:r>
      <w:r w:rsidRPr="00463038">
        <w:rPr>
          <w:rFonts w:ascii="Book Antiqua" w:hAnsi="Book Antiqua" w:cs="宋体"/>
          <w:b/>
          <w:bCs/>
          <w:color w:val="000000"/>
        </w:rPr>
        <w:t>103</w:t>
      </w:r>
      <w:r w:rsidRPr="00463038">
        <w:rPr>
          <w:rFonts w:ascii="Book Antiqua" w:hAnsi="Book Antiqua" w:cs="宋体"/>
          <w:color w:val="000000"/>
        </w:rPr>
        <w:t>: 1925-1927 [PMID: 1360436]</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24 </w:t>
      </w:r>
      <w:r w:rsidRPr="00463038">
        <w:rPr>
          <w:rFonts w:ascii="Book Antiqua" w:hAnsi="Book Antiqua" w:cs="宋体"/>
          <w:b/>
          <w:bCs/>
          <w:color w:val="000000"/>
        </w:rPr>
        <w:t>Stoschus B</w:t>
      </w:r>
      <w:r w:rsidRPr="00463038">
        <w:rPr>
          <w:rFonts w:ascii="Book Antiqua" w:hAnsi="Book Antiqua" w:cs="宋体"/>
          <w:color w:val="000000"/>
        </w:rPr>
        <w:t>, Meybehm M, Spengler U, Scheurlen C, Sauerbruch T. Cholestasis associated with mesalazine therapy in a patient with Crohn's disease. </w:t>
      </w:r>
      <w:r w:rsidRPr="00463038">
        <w:rPr>
          <w:rFonts w:ascii="Book Antiqua" w:hAnsi="Book Antiqua" w:cs="宋体"/>
          <w:i/>
          <w:iCs/>
          <w:color w:val="000000"/>
        </w:rPr>
        <w:t>J Hepatol</w:t>
      </w:r>
      <w:r w:rsidRPr="00463038">
        <w:rPr>
          <w:rFonts w:ascii="Book Antiqua" w:hAnsi="Book Antiqua" w:cs="宋体"/>
          <w:color w:val="000000"/>
        </w:rPr>
        <w:t> 1997; </w:t>
      </w:r>
      <w:r w:rsidRPr="00463038">
        <w:rPr>
          <w:rFonts w:ascii="Book Antiqua" w:hAnsi="Book Antiqua" w:cs="宋体"/>
          <w:b/>
          <w:bCs/>
          <w:color w:val="000000"/>
        </w:rPr>
        <w:t>26</w:t>
      </w:r>
      <w:r w:rsidRPr="00463038">
        <w:rPr>
          <w:rFonts w:ascii="Book Antiqua" w:hAnsi="Book Antiqua" w:cs="宋体"/>
          <w:color w:val="000000"/>
        </w:rPr>
        <w:t>: 425-428 [PMID: 9059966 DOI: 10.1016/S0168-8278(97)80061-X]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25 </w:t>
      </w:r>
      <w:r w:rsidRPr="00463038">
        <w:rPr>
          <w:rFonts w:ascii="Book Antiqua" w:hAnsi="Book Antiqua" w:cs="宋体"/>
          <w:b/>
          <w:bCs/>
          <w:color w:val="000000"/>
        </w:rPr>
        <w:t>Chalasani NP</w:t>
      </w:r>
      <w:r w:rsidRPr="00463038">
        <w:rPr>
          <w:rFonts w:ascii="Book Antiqua" w:hAnsi="Book Antiqua" w:cs="宋体"/>
          <w:color w:val="000000"/>
        </w:rPr>
        <w:t>, Hayashi PH, Bonkovsky HL, Navarro VJ, Lee WM, Fontana RJ. ACG Clinical Guideline: the diagnosis and management of idiosyncratic drug-induced liver injury. </w:t>
      </w:r>
      <w:r w:rsidRPr="00463038">
        <w:rPr>
          <w:rFonts w:ascii="Book Antiqua" w:hAnsi="Book Antiqua" w:cs="宋体"/>
          <w:i/>
          <w:iCs/>
          <w:color w:val="000000"/>
        </w:rPr>
        <w:t>Am J Gastroenterol</w:t>
      </w:r>
      <w:r w:rsidRPr="00463038">
        <w:rPr>
          <w:rFonts w:ascii="Book Antiqua" w:hAnsi="Book Antiqua" w:cs="宋体"/>
          <w:color w:val="000000"/>
        </w:rPr>
        <w:t> 2014; </w:t>
      </w:r>
      <w:r w:rsidRPr="00463038">
        <w:rPr>
          <w:rFonts w:ascii="Book Antiqua" w:hAnsi="Book Antiqua" w:cs="宋体"/>
          <w:b/>
          <w:bCs/>
          <w:color w:val="000000"/>
        </w:rPr>
        <w:t>109</w:t>
      </w:r>
      <w:r w:rsidRPr="00463038">
        <w:rPr>
          <w:rFonts w:ascii="Book Antiqua" w:hAnsi="Book Antiqua" w:cs="宋体"/>
          <w:color w:val="000000"/>
        </w:rPr>
        <w:t>: 950-966; quiz 967 [PMID: 24935270 DOI: 10.1038/ajg.2014.131]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26 </w:t>
      </w:r>
      <w:r w:rsidRPr="00463038">
        <w:rPr>
          <w:rFonts w:ascii="Book Antiqua" w:hAnsi="Book Antiqua" w:cs="宋体"/>
          <w:b/>
          <w:bCs/>
          <w:color w:val="000000"/>
        </w:rPr>
        <w:t>Lichtenstein GR</w:t>
      </w:r>
      <w:r w:rsidRPr="00463038">
        <w:rPr>
          <w:rFonts w:ascii="Book Antiqua" w:hAnsi="Book Antiqua" w:cs="宋体"/>
          <w:color w:val="000000"/>
        </w:rPr>
        <w:t>, Hanauer SB, Sandborn WJ. Management of Crohn's disease in adults. </w:t>
      </w:r>
      <w:r w:rsidRPr="00463038">
        <w:rPr>
          <w:rFonts w:ascii="Book Antiqua" w:hAnsi="Book Antiqua" w:cs="宋体"/>
          <w:i/>
          <w:iCs/>
          <w:color w:val="000000"/>
        </w:rPr>
        <w:t>Am J Gastroenterol</w:t>
      </w:r>
      <w:r w:rsidRPr="00463038">
        <w:rPr>
          <w:rFonts w:ascii="Book Antiqua" w:hAnsi="Book Antiqua" w:cs="宋体"/>
          <w:color w:val="000000"/>
        </w:rPr>
        <w:t> 2009; </w:t>
      </w:r>
      <w:r w:rsidRPr="00463038">
        <w:rPr>
          <w:rFonts w:ascii="Book Antiqua" w:hAnsi="Book Antiqua" w:cs="宋体"/>
          <w:b/>
          <w:bCs/>
          <w:color w:val="000000"/>
        </w:rPr>
        <w:t>104</w:t>
      </w:r>
      <w:r w:rsidRPr="00463038">
        <w:rPr>
          <w:rFonts w:ascii="Book Antiqua" w:hAnsi="Book Antiqua" w:cs="宋体"/>
          <w:color w:val="000000"/>
        </w:rPr>
        <w:t>: 465-483; quiz 464, 484 [PMID: 19174807 DOI: 10.1038/ajg.2008.168]</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27 </w:t>
      </w:r>
      <w:r w:rsidRPr="00463038">
        <w:rPr>
          <w:rFonts w:ascii="Book Antiqua" w:hAnsi="Book Antiqua" w:cs="宋体"/>
          <w:b/>
          <w:bCs/>
          <w:color w:val="000000"/>
        </w:rPr>
        <w:t>Osterman MT</w:t>
      </w:r>
      <w:r w:rsidRPr="00463038">
        <w:rPr>
          <w:rFonts w:ascii="Book Antiqua" w:hAnsi="Book Antiqua" w:cs="宋体"/>
          <w:color w:val="000000"/>
        </w:rPr>
        <w:t>, Kundu R, Lichtenstein GR, Lewis JD. Association of 6-thioguanine nucleotide levels and inflammatory bowel disease activity: a meta-analysis. </w:t>
      </w:r>
      <w:r w:rsidRPr="00463038">
        <w:rPr>
          <w:rFonts w:ascii="Book Antiqua" w:hAnsi="Book Antiqua" w:cs="宋体"/>
          <w:i/>
          <w:iCs/>
          <w:color w:val="000000"/>
        </w:rPr>
        <w:t>Gastroenterology</w:t>
      </w:r>
      <w:r w:rsidRPr="00463038">
        <w:rPr>
          <w:rFonts w:ascii="Book Antiqua" w:hAnsi="Book Antiqua" w:cs="宋体"/>
          <w:color w:val="000000"/>
        </w:rPr>
        <w:t> 2006; </w:t>
      </w:r>
      <w:r w:rsidRPr="00463038">
        <w:rPr>
          <w:rFonts w:ascii="Book Antiqua" w:hAnsi="Book Antiqua" w:cs="宋体"/>
          <w:b/>
          <w:bCs/>
          <w:color w:val="000000"/>
        </w:rPr>
        <w:t>130</w:t>
      </w:r>
      <w:r w:rsidRPr="00463038">
        <w:rPr>
          <w:rFonts w:ascii="Book Antiqua" w:hAnsi="Book Antiqua" w:cs="宋体"/>
          <w:color w:val="000000"/>
        </w:rPr>
        <w:t>: 1047-1053 [PMID: 16618398 DOI: 10.1053/j.gastro.2006.01.046]</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28 </w:t>
      </w:r>
      <w:r w:rsidRPr="00463038">
        <w:rPr>
          <w:rFonts w:ascii="Book Antiqua" w:hAnsi="Book Antiqua" w:cs="宋体"/>
          <w:b/>
          <w:bCs/>
          <w:color w:val="000000"/>
        </w:rPr>
        <w:t>Chaparro M</w:t>
      </w:r>
      <w:r w:rsidRPr="00463038">
        <w:rPr>
          <w:rFonts w:ascii="Book Antiqua" w:hAnsi="Book Antiqua" w:cs="宋体"/>
          <w:color w:val="000000"/>
        </w:rPr>
        <w:t>, Ordás I, Cabré E, Garcia-Sanchez V, Bastida G, Peñalva M, Gomollón F, García-Planella E, Merino O, Gutiérrez A, Esteve M, Márquez L, Garcia-Sepulcre M, Hinojosa J, Vera I, Muñoz F, Mendoza JL, Cabriada JL, Montoro MA, Barreiro-de Acosta M, Ceña G, Saro C, Aldeguer X, Barrio J, Maté J, Gisbert JP. Safety of thiopurine therapy in inflammatory bowel disease: long-term follow-up study of 3931 patients. </w:t>
      </w:r>
      <w:r w:rsidRPr="00463038">
        <w:rPr>
          <w:rFonts w:ascii="Book Antiqua" w:hAnsi="Book Antiqua" w:cs="宋体"/>
          <w:i/>
          <w:iCs/>
          <w:color w:val="000000"/>
        </w:rPr>
        <w:t>Inflamm Bowel Dis</w:t>
      </w:r>
      <w:r w:rsidRPr="00463038">
        <w:rPr>
          <w:rFonts w:ascii="Book Antiqua" w:hAnsi="Book Antiqua" w:cs="宋体"/>
          <w:color w:val="000000"/>
        </w:rPr>
        <w:t> 2013; </w:t>
      </w:r>
      <w:r w:rsidRPr="00463038">
        <w:rPr>
          <w:rFonts w:ascii="Book Antiqua" w:hAnsi="Book Antiqua" w:cs="宋体"/>
          <w:b/>
          <w:bCs/>
          <w:color w:val="000000"/>
        </w:rPr>
        <w:t>19</w:t>
      </w:r>
      <w:r w:rsidRPr="00463038">
        <w:rPr>
          <w:rFonts w:ascii="Book Antiqua" w:hAnsi="Book Antiqua" w:cs="宋体"/>
          <w:color w:val="000000"/>
        </w:rPr>
        <w:t>: 1404-1410 [PMID: 23665964 DOI: 10.1097/MIB.0b013e318281f28f]</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29 </w:t>
      </w:r>
      <w:r w:rsidRPr="00463038">
        <w:rPr>
          <w:rFonts w:ascii="Book Antiqua" w:hAnsi="Book Antiqua" w:cs="宋体"/>
          <w:b/>
          <w:bCs/>
          <w:color w:val="000000"/>
        </w:rPr>
        <w:t>Gisbert JP</w:t>
      </w:r>
      <w:r w:rsidRPr="00463038">
        <w:rPr>
          <w:rFonts w:ascii="Book Antiqua" w:hAnsi="Book Antiqua" w:cs="宋体"/>
          <w:color w:val="000000"/>
        </w:rPr>
        <w:t>, Luna M, González-Lama Y, Pousa ID, Velasco M, Moreno-Otero R, Maté J. Liver injury in inflammatory bowel disease: long-term follow-up study of 786 patients. </w:t>
      </w:r>
      <w:r w:rsidRPr="00463038">
        <w:rPr>
          <w:rFonts w:ascii="Book Antiqua" w:hAnsi="Book Antiqua" w:cs="宋体"/>
          <w:i/>
          <w:iCs/>
          <w:color w:val="000000"/>
        </w:rPr>
        <w:t>Inflamm Bowel Dis</w:t>
      </w:r>
      <w:r w:rsidRPr="00463038">
        <w:rPr>
          <w:rFonts w:ascii="Book Antiqua" w:hAnsi="Book Antiqua" w:cs="宋体"/>
          <w:color w:val="000000"/>
        </w:rPr>
        <w:t> 2007; </w:t>
      </w:r>
      <w:r w:rsidRPr="00463038">
        <w:rPr>
          <w:rFonts w:ascii="Book Antiqua" w:hAnsi="Book Antiqua" w:cs="宋体"/>
          <w:b/>
          <w:bCs/>
          <w:color w:val="000000"/>
        </w:rPr>
        <w:t>13</w:t>
      </w:r>
      <w:r w:rsidRPr="00463038">
        <w:rPr>
          <w:rFonts w:ascii="Book Antiqua" w:hAnsi="Book Antiqua" w:cs="宋体"/>
          <w:color w:val="000000"/>
        </w:rPr>
        <w:t>: 1106-1114 [PMID: 17455203]</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30 </w:t>
      </w:r>
      <w:r w:rsidRPr="00463038">
        <w:rPr>
          <w:rFonts w:ascii="Book Antiqua" w:hAnsi="Book Antiqua" w:cs="宋体"/>
          <w:b/>
          <w:bCs/>
          <w:color w:val="000000"/>
        </w:rPr>
        <w:t>Gisbert JP</w:t>
      </w:r>
      <w:r w:rsidRPr="00463038">
        <w:rPr>
          <w:rFonts w:ascii="Book Antiqua" w:hAnsi="Book Antiqua" w:cs="宋体"/>
          <w:color w:val="000000"/>
        </w:rPr>
        <w:t>, González-Lama Y, Maté J. Thiopurine-induced liver injury in patients with inflammatory bowel disease: a systematic review. </w:t>
      </w:r>
      <w:r w:rsidRPr="00463038">
        <w:rPr>
          <w:rFonts w:ascii="Book Antiqua" w:hAnsi="Book Antiqua" w:cs="宋体"/>
          <w:i/>
          <w:iCs/>
          <w:color w:val="000000"/>
        </w:rPr>
        <w:t>Am J Gastroenterol</w:t>
      </w:r>
      <w:r w:rsidRPr="00463038">
        <w:rPr>
          <w:rFonts w:ascii="Book Antiqua" w:hAnsi="Book Antiqua" w:cs="宋体"/>
          <w:color w:val="000000"/>
        </w:rPr>
        <w:t> 2007; </w:t>
      </w:r>
      <w:r w:rsidRPr="00463038">
        <w:rPr>
          <w:rFonts w:ascii="Book Antiqua" w:hAnsi="Book Antiqua" w:cs="宋体"/>
          <w:b/>
          <w:bCs/>
          <w:color w:val="000000"/>
        </w:rPr>
        <w:t>102</w:t>
      </w:r>
      <w:r w:rsidRPr="00463038">
        <w:rPr>
          <w:rFonts w:ascii="Book Antiqua" w:hAnsi="Book Antiqua" w:cs="宋体"/>
          <w:color w:val="000000"/>
        </w:rPr>
        <w:t>: 1518-1527 [PMID: 17391318 DOI: 10.1111/j.1572-0241.2007.01187.x]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31 </w:t>
      </w:r>
      <w:r w:rsidRPr="00463038">
        <w:rPr>
          <w:rFonts w:ascii="Book Antiqua" w:hAnsi="Book Antiqua" w:cs="宋体"/>
          <w:b/>
          <w:bCs/>
          <w:color w:val="000000"/>
        </w:rPr>
        <w:t>Romagnuolo J</w:t>
      </w:r>
      <w:r w:rsidRPr="00463038">
        <w:rPr>
          <w:rFonts w:ascii="Book Antiqua" w:hAnsi="Book Antiqua" w:cs="宋体"/>
          <w:color w:val="000000"/>
        </w:rPr>
        <w:t>, Sadowski DC, Lalor E, Jewell L, Thomson AB. Cholestatic hepatocellular injury with azathioprine: a case report and review of the mechanisms of hepatotoxicity. </w:t>
      </w:r>
      <w:r w:rsidRPr="00463038">
        <w:rPr>
          <w:rFonts w:ascii="Book Antiqua" w:hAnsi="Book Antiqua" w:cs="宋体"/>
          <w:i/>
          <w:iCs/>
          <w:color w:val="000000"/>
        </w:rPr>
        <w:t>Can J Gastroenterol</w:t>
      </w:r>
      <w:r w:rsidRPr="00463038">
        <w:rPr>
          <w:rFonts w:ascii="Book Antiqua" w:hAnsi="Book Antiqua" w:cs="宋体"/>
          <w:color w:val="000000"/>
        </w:rPr>
        <w:t> 1998; </w:t>
      </w:r>
      <w:r w:rsidRPr="00463038">
        <w:rPr>
          <w:rFonts w:ascii="Book Antiqua" w:hAnsi="Book Antiqua" w:cs="宋体"/>
          <w:b/>
          <w:bCs/>
          <w:color w:val="000000"/>
        </w:rPr>
        <w:t>12</w:t>
      </w:r>
      <w:r w:rsidRPr="00463038">
        <w:rPr>
          <w:rFonts w:ascii="Book Antiqua" w:hAnsi="Book Antiqua" w:cs="宋体"/>
          <w:color w:val="000000"/>
        </w:rPr>
        <w:t>: 479-483 [PMID: 9812167]</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32 </w:t>
      </w:r>
      <w:r w:rsidRPr="00463038">
        <w:rPr>
          <w:rFonts w:ascii="Book Antiqua" w:hAnsi="Book Antiqua" w:cs="宋体"/>
          <w:b/>
          <w:bCs/>
          <w:color w:val="000000"/>
        </w:rPr>
        <w:t>Haboubi NY</w:t>
      </w:r>
      <w:r w:rsidRPr="00463038">
        <w:rPr>
          <w:rFonts w:ascii="Book Antiqua" w:hAnsi="Book Antiqua" w:cs="宋体"/>
          <w:color w:val="000000"/>
        </w:rPr>
        <w:t>, Ali HH, Whitwell HL, Ackrill P. Role of endothelial cell injury in the spectrum of azathioprine-induced liver disease after renal transplant: light microscopy and ultrastructural observations. </w:t>
      </w:r>
      <w:r w:rsidRPr="00463038">
        <w:rPr>
          <w:rFonts w:ascii="Book Antiqua" w:hAnsi="Book Antiqua" w:cs="宋体"/>
          <w:i/>
          <w:iCs/>
          <w:color w:val="000000"/>
        </w:rPr>
        <w:t>Am J Gastroenterol</w:t>
      </w:r>
      <w:r w:rsidRPr="00463038">
        <w:rPr>
          <w:rFonts w:ascii="Book Antiqua" w:hAnsi="Book Antiqua" w:cs="宋体"/>
          <w:color w:val="000000"/>
        </w:rPr>
        <w:t> 1988; </w:t>
      </w:r>
      <w:r w:rsidRPr="00463038">
        <w:rPr>
          <w:rFonts w:ascii="Book Antiqua" w:hAnsi="Book Antiqua" w:cs="宋体"/>
          <w:b/>
          <w:bCs/>
          <w:color w:val="000000"/>
        </w:rPr>
        <w:t>83</w:t>
      </w:r>
      <w:r w:rsidRPr="00463038">
        <w:rPr>
          <w:rFonts w:ascii="Book Antiqua" w:hAnsi="Book Antiqua" w:cs="宋体"/>
          <w:color w:val="000000"/>
        </w:rPr>
        <w:t>: 256-261 [PMID: 3278593]</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33 </w:t>
      </w:r>
      <w:r w:rsidRPr="00463038">
        <w:rPr>
          <w:rFonts w:ascii="Book Antiqua" w:hAnsi="Book Antiqua" w:cs="宋体"/>
          <w:b/>
          <w:bCs/>
          <w:color w:val="000000"/>
        </w:rPr>
        <w:t>Weinshilboum RM</w:t>
      </w:r>
      <w:r w:rsidRPr="00463038">
        <w:rPr>
          <w:rFonts w:ascii="Book Antiqua" w:hAnsi="Book Antiqua" w:cs="宋体"/>
          <w:color w:val="000000"/>
        </w:rPr>
        <w:t>, Sladek SL. Mercaptopurine pharmacogenetics: monogenic inheritance of erythrocyte thiopurine methyltransferase activity. </w:t>
      </w:r>
      <w:r w:rsidRPr="00463038">
        <w:rPr>
          <w:rFonts w:ascii="Book Antiqua" w:hAnsi="Book Antiqua" w:cs="宋体"/>
          <w:i/>
          <w:iCs/>
          <w:color w:val="000000"/>
        </w:rPr>
        <w:t>Am J Hum Genet</w:t>
      </w:r>
      <w:r w:rsidRPr="00463038">
        <w:rPr>
          <w:rFonts w:ascii="Book Antiqua" w:hAnsi="Book Antiqua" w:cs="宋体"/>
          <w:color w:val="000000"/>
        </w:rPr>
        <w:t> 1980; </w:t>
      </w:r>
      <w:r w:rsidRPr="00463038">
        <w:rPr>
          <w:rFonts w:ascii="Book Antiqua" w:hAnsi="Book Antiqua" w:cs="宋体"/>
          <w:b/>
          <w:bCs/>
          <w:color w:val="000000"/>
        </w:rPr>
        <w:t>32</w:t>
      </w:r>
      <w:r w:rsidRPr="00463038">
        <w:rPr>
          <w:rFonts w:ascii="Book Antiqua" w:hAnsi="Book Antiqua" w:cs="宋体"/>
          <w:color w:val="000000"/>
        </w:rPr>
        <w:t>: 651-662 [PMID: 7191632]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34 </w:t>
      </w:r>
      <w:r w:rsidRPr="00463038">
        <w:rPr>
          <w:rFonts w:ascii="Book Antiqua" w:hAnsi="Book Antiqua" w:cs="宋体"/>
          <w:b/>
          <w:bCs/>
          <w:color w:val="000000"/>
        </w:rPr>
        <w:t>de Boer NK</w:t>
      </w:r>
      <w:r w:rsidRPr="00463038">
        <w:rPr>
          <w:rFonts w:ascii="Book Antiqua" w:hAnsi="Book Antiqua" w:cs="宋体"/>
          <w:color w:val="000000"/>
        </w:rPr>
        <w:t>, Mulder CJ, van Bodegraven AA. Nodular regenerative hyperplasia and thiopurines: the case for level-dependent toxicity. </w:t>
      </w:r>
      <w:r w:rsidRPr="00463038">
        <w:rPr>
          <w:rFonts w:ascii="Book Antiqua" w:hAnsi="Book Antiqua" w:cs="宋体"/>
          <w:i/>
          <w:iCs/>
          <w:color w:val="000000"/>
        </w:rPr>
        <w:t>Liver Transpl</w:t>
      </w:r>
      <w:r w:rsidRPr="00463038">
        <w:rPr>
          <w:rFonts w:ascii="Book Antiqua" w:hAnsi="Book Antiqua" w:cs="宋体"/>
          <w:color w:val="000000"/>
        </w:rPr>
        <w:t> 2005; </w:t>
      </w:r>
      <w:r w:rsidRPr="00463038">
        <w:rPr>
          <w:rFonts w:ascii="Book Antiqua" w:hAnsi="Book Antiqua" w:cs="宋体"/>
          <w:b/>
          <w:bCs/>
          <w:color w:val="000000"/>
        </w:rPr>
        <w:t>11</w:t>
      </w:r>
      <w:r w:rsidRPr="00463038">
        <w:rPr>
          <w:rFonts w:ascii="Book Antiqua" w:hAnsi="Book Antiqua" w:cs="宋体"/>
          <w:color w:val="000000"/>
        </w:rPr>
        <w:t>: 1300-1301 [PMID: 16184561 DOI: 10.1002/lt.20554]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35 </w:t>
      </w:r>
      <w:r w:rsidRPr="00463038">
        <w:rPr>
          <w:rFonts w:ascii="Book Antiqua" w:hAnsi="Book Antiqua" w:cs="宋体"/>
          <w:b/>
          <w:bCs/>
          <w:color w:val="000000"/>
        </w:rPr>
        <w:t>Schaeffeler E</w:t>
      </w:r>
      <w:r w:rsidRPr="00463038">
        <w:rPr>
          <w:rFonts w:ascii="Book Antiqua" w:hAnsi="Book Antiqua" w:cs="宋体"/>
          <w:color w:val="000000"/>
        </w:rPr>
        <w:t>, Fischer C, Brockmeier D, Wernet D, Moerike K, Eichelbaum M, Zanger UM, Schwab M. Comprehensive analysis of thiopurine S-methyltransferase phenotype-genotype correlation in a large population of German-Caucasians and identification of novel TPMT variants. </w:t>
      </w:r>
      <w:r w:rsidRPr="00463038">
        <w:rPr>
          <w:rFonts w:ascii="Book Antiqua" w:hAnsi="Book Antiqua" w:cs="宋体"/>
          <w:i/>
          <w:iCs/>
          <w:color w:val="000000"/>
        </w:rPr>
        <w:t>Pharmacogenetics</w:t>
      </w:r>
      <w:r w:rsidRPr="00463038">
        <w:rPr>
          <w:rFonts w:ascii="Book Antiqua" w:hAnsi="Book Antiqua" w:cs="宋体"/>
          <w:color w:val="000000"/>
        </w:rPr>
        <w:t> 2004; </w:t>
      </w:r>
      <w:r w:rsidRPr="00463038">
        <w:rPr>
          <w:rFonts w:ascii="Book Antiqua" w:hAnsi="Book Antiqua" w:cs="宋体"/>
          <w:b/>
          <w:bCs/>
          <w:color w:val="000000"/>
        </w:rPr>
        <w:t>14</w:t>
      </w:r>
      <w:r w:rsidRPr="00463038">
        <w:rPr>
          <w:rFonts w:ascii="Book Antiqua" w:hAnsi="Book Antiqua" w:cs="宋体"/>
          <w:color w:val="000000"/>
        </w:rPr>
        <w:t>: 407-417 [PMID: 15226673 DOI: 10.1097/01.fpc.0000114745.08559.db]</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36 </w:t>
      </w:r>
      <w:r w:rsidRPr="00463038">
        <w:rPr>
          <w:rFonts w:ascii="Book Antiqua" w:hAnsi="Book Antiqua" w:cs="宋体"/>
          <w:b/>
          <w:bCs/>
          <w:color w:val="000000"/>
        </w:rPr>
        <w:t>Bastida G</w:t>
      </w:r>
      <w:r w:rsidRPr="00463038">
        <w:rPr>
          <w:rFonts w:ascii="Book Antiqua" w:hAnsi="Book Antiqua" w:cs="宋体"/>
          <w:color w:val="000000"/>
        </w:rPr>
        <w:t>, Nos P, Aguas M, Beltrán B, Rubín A, Dasí F, Ponce J. Incidence, risk factors and clinical course of thiopurine-induced liver injury in patients with inflammatory bowel disease. </w:t>
      </w:r>
      <w:r w:rsidRPr="00463038">
        <w:rPr>
          <w:rFonts w:ascii="Book Antiqua" w:hAnsi="Book Antiqua" w:cs="宋体"/>
          <w:i/>
          <w:iCs/>
          <w:color w:val="000000"/>
        </w:rPr>
        <w:t>Aliment Pharmacol Ther</w:t>
      </w:r>
      <w:r w:rsidRPr="00463038">
        <w:rPr>
          <w:rFonts w:ascii="Book Antiqua" w:hAnsi="Book Antiqua" w:cs="宋体"/>
          <w:color w:val="000000"/>
        </w:rPr>
        <w:t> 2005; </w:t>
      </w:r>
      <w:r w:rsidRPr="00463038">
        <w:rPr>
          <w:rFonts w:ascii="Book Antiqua" w:hAnsi="Book Antiqua" w:cs="宋体"/>
          <w:b/>
          <w:bCs/>
          <w:color w:val="000000"/>
        </w:rPr>
        <w:t>22</w:t>
      </w:r>
      <w:r w:rsidRPr="00463038">
        <w:rPr>
          <w:rFonts w:ascii="Book Antiqua" w:hAnsi="Book Antiqua" w:cs="宋体"/>
          <w:color w:val="000000"/>
        </w:rPr>
        <w:t>: 775-782 [PMID: 16225485 DOI: 10.1111/j.1365-2036.2005.02636.x]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37 </w:t>
      </w:r>
      <w:r w:rsidRPr="00463038">
        <w:rPr>
          <w:rFonts w:ascii="Book Antiqua" w:hAnsi="Book Antiqua" w:cs="宋体"/>
          <w:b/>
          <w:bCs/>
          <w:color w:val="000000"/>
        </w:rPr>
        <w:t>Feagan BG</w:t>
      </w:r>
      <w:r w:rsidRPr="00463038">
        <w:rPr>
          <w:rFonts w:ascii="Book Antiqua" w:hAnsi="Book Antiqua" w:cs="宋体"/>
          <w:color w:val="000000"/>
        </w:rPr>
        <w:t>, Fedorak RN, Irvine EJ, Wild G, Sutherland L, Steinhart AH, Greenberg GR, Koval J, Wong CJ, Hopkins M, Hanauer SB, McDonald JW. A comparison of methotrexate with placebo for the maintenance of remission in Crohn's disease. North American Crohn's Study Group Investigators. </w:t>
      </w:r>
      <w:r w:rsidRPr="00463038">
        <w:rPr>
          <w:rFonts w:ascii="Book Antiqua" w:hAnsi="Book Antiqua" w:cs="宋体"/>
          <w:i/>
          <w:iCs/>
          <w:color w:val="000000"/>
        </w:rPr>
        <w:t>N Engl J Med</w:t>
      </w:r>
      <w:r w:rsidRPr="00463038">
        <w:rPr>
          <w:rFonts w:ascii="Book Antiqua" w:hAnsi="Book Antiqua" w:cs="宋体"/>
          <w:color w:val="000000"/>
        </w:rPr>
        <w:t> 2000; </w:t>
      </w:r>
      <w:r w:rsidRPr="00463038">
        <w:rPr>
          <w:rFonts w:ascii="Book Antiqua" w:hAnsi="Book Antiqua" w:cs="宋体"/>
          <w:b/>
          <w:bCs/>
          <w:color w:val="000000"/>
        </w:rPr>
        <w:t>342</w:t>
      </w:r>
      <w:r w:rsidRPr="00463038">
        <w:rPr>
          <w:rFonts w:ascii="Book Antiqua" w:hAnsi="Book Antiqua" w:cs="宋体"/>
          <w:color w:val="000000"/>
        </w:rPr>
        <w:t>: 1627-1632 [PMID: 10833208 DOI: 10.1056/NEJM200006013422202]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38 </w:t>
      </w:r>
      <w:r w:rsidRPr="00463038">
        <w:rPr>
          <w:rFonts w:ascii="Book Antiqua" w:hAnsi="Book Antiqua" w:cs="宋体"/>
          <w:b/>
          <w:bCs/>
          <w:color w:val="000000"/>
        </w:rPr>
        <w:t>Terdiman JP</w:t>
      </w:r>
      <w:r w:rsidRPr="00463038">
        <w:rPr>
          <w:rFonts w:ascii="Book Antiqua" w:hAnsi="Book Antiqua" w:cs="宋体"/>
          <w:color w:val="000000"/>
        </w:rPr>
        <w:t>, Gruss CB, Heidelbaugh JJ, Sultan S, Falck-Ytter YT. American Gastroenterological Association Institute guideline on the use of thiopurines, methotrexate, and anti-TNF-α biologic drugs for the induction and maintenance of remission in inflammatory Crohn's disease. </w:t>
      </w:r>
      <w:r w:rsidRPr="00463038">
        <w:rPr>
          <w:rFonts w:ascii="Book Antiqua" w:hAnsi="Book Antiqua" w:cs="宋体"/>
          <w:i/>
          <w:iCs/>
          <w:color w:val="000000"/>
        </w:rPr>
        <w:t>Gastroenterology</w:t>
      </w:r>
      <w:r w:rsidRPr="00463038">
        <w:rPr>
          <w:rFonts w:ascii="Book Antiqua" w:hAnsi="Book Antiqua" w:cs="宋体"/>
          <w:color w:val="000000"/>
        </w:rPr>
        <w:t> 2013; </w:t>
      </w:r>
      <w:r w:rsidRPr="00463038">
        <w:rPr>
          <w:rFonts w:ascii="Book Antiqua" w:hAnsi="Book Antiqua" w:cs="宋体"/>
          <w:b/>
          <w:bCs/>
          <w:color w:val="000000"/>
        </w:rPr>
        <w:t>145</w:t>
      </w:r>
      <w:r w:rsidRPr="00463038">
        <w:rPr>
          <w:rFonts w:ascii="Book Antiqua" w:hAnsi="Book Antiqua" w:cs="宋体"/>
          <w:color w:val="000000"/>
        </w:rPr>
        <w:t>: 1459-1463 [PMID: 24267474 DOI: 10.1053/j.gastro.2013.10.047]</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39 </w:t>
      </w:r>
      <w:r w:rsidRPr="00463038">
        <w:rPr>
          <w:rFonts w:ascii="Book Antiqua" w:hAnsi="Book Antiqua" w:cs="宋体"/>
          <w:b/>
          <w:bCs/>
          <w:color w:val="000000"/>
        </w:rPr>
        <w:t>Prey S</w:t>
      </w:r>
      <w:r w:rsidRPr="00463038">
        <w:rPr>
          <w:rFonts w:ascii="Book Antiqua" w:hAnsi="Book Antiqua" w:cs="宋体"/>
          <w:color w:val="000000"/>
        </w:rPr>
        <w:t>, Paul C. Effect of folic or folinic acid supplementation on methotrexate-associated safety and efficacy in inflammatory disease: a systematic review. </w:t>
      </w:r>
      <w:r w:rsidRPr="00463038">
        <w:rPr>
          <w:rFonts w:ascii="Book Antiqua" w:hAnsi="Book Antiqua" w:cs="宋体"/>
          <w:i/>
          <w:iCs/>
          <w:color w:val="000000"/>
        </w:rPr>
        <w:t>Br J Dermatol</w:t>
      </w:r>
      <w:r w:rsidRPr="00463038">
        <w:rPr>
          <w:rFonts w:ascii="Book Antiqua" w:hAnsi="Book Antiqua" w:cs="宋体"/>
          <w:color w:val="000000"/>
        </w:rPr>
        <w:t> 2009; </w:t>
      </w:r>
      <w:r w:rsidRPr="00463038">
        <w:rPr>
          <w:rFonts w:ascii="Book Antiqua" w:hAnsi="Book Antiqua" w:cs="宋体"/>
          <w:b/>
          <w:bCs/>
          <w:color w:val="000000"/>
        </w:rPr>
        <w:t>160</w:t>
      </w:r>
      <w:r w:rsidRPr="00463038">
        <w:rPr>
          <w:rFonts w:ascii="Book Antiqua" w:hAnsi="Book Antiqua" w:cs="宋体"/>
          <w:color w:val="000000"/>
        </w:rPr>
        <w:t>: 622-628 [PMID: 18945303 DOI: 10.1111/j.1365-2133.2008.08876.x]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40 </w:t>
      </w:r>
      <w:r w:rsidRPr="00463038">
        <w:rPr>
          <w:rFonts w:ascii="Book Antiqua" w:hAnsi="Book Antiqua" w:cs="宋体"/>
          <w:b/>
          <w:bCs/>
          <w:color w:val="000000"/>
        </w:rPr>
        <w:t>van Ede AE</w:t>
      </w:r>
      <w:r w:rsidRPr="00463038">
        <w:rPr>
          <w:rFonts w:ascii="Book Antiqua" w:hAnsi="Book Antiqua" w:cs="宋体"/>
          <w:color w:val="000000"/>
        </w:rPr>
        <w:t>, Laan RF, Rood MJ, Huizinga TW, van de Laar MA, van Denderen CJ, Westgeest TA, Romme TC, de Rooij DJ, Jacobs MJ, de Boo TM, van der Wilt GJ, Severens JL, Hartman M, Krabbe PF, Dijkmans BA, Breedveld FC, van de Putte LB. Effect of folic or folinic acid supplementation on the toxicity and efficacy of methotrexate in rheumatoid arthritis: a forty-eight week, multicenter, randomized, double-blind, placebo-controlled study. </w:t>
      </w:r>
      <w:r w:rsidRPr="00463038">
        <w:rPr>
          <w:rFonts w:ascii="Book Antiqua" w:hAnsi="Book Antiqua" w:cs="宋体"/>
          <w:i/>
          <w:iCs/>
          <w:color w:val="000000"/>
        </w:rPr>
        <w:t>Arthritis Rheum</w:t>
      </w:r>
      <w:r w:rsidRPr="00463038">
        <w:rPr>
          <w:rFonts w:ascii="Book Antiqua" w:hAnsi="Book Antiqua" w:cs="宋体"/>
          <w:color w:val="000000"/>
        </w:rPr>
        <w:t> 2001; </w:t>
      </w:r>
      <w:r w:rsidRPr="00463038">
        <w:rPr>
          <w:rFonts w:ascii="Book Antiqua" w:hAnsi="Book Antiqua" w:cs="宋体"/>
          <w:b/>
          <w:bCs/>
          <w:color w:val="000000"/>
        </w:rPr>
        <w:t>44</w:t>
      </w:r>
      <w:r w:rsidRPr="00463038">
        <w:rPr>
          <w:rFonts w:ascii="Book Antiqua" w:hAnsi="Book Antiqua" w:cs="宋体"/>
          <w:color w:val="000000"/>
        </w:rPr>
        <w:t>: 1515-1524 [PMID: 11465701]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41 </w:t>
      </w:r>
      <w:r w:rsidRPr="00463038">
        <w:rPr>
          <w:rFonts w:ascii="Book Antiqua" w:hAnsi="Book Antiqua" w:cs="宋体"/>
          <w:b/>
          <w:bCs/>
          <w:color w:val="000000"/>
        </w:rPr>
        <w:t>Curtis JR</w:t>
      </w:r>
      <w:r w:rsidRPr="00463038">
        <w:rPr>
          <w:rFonts w:ascii="Book Antiqua" w:hAnsi="Book Antiqua" w:cs="宋体"/>
          <w:color w:val="000000"/>
        </w:rPr>
        <w:t>, Beukelman T, Onofrei A, Cassell S, Greenberg JD, Kavanaugh A, Reed G, Strand V, Kremer JM. Elevated liver enzyme tests among patients with rheumatoid arthritis or psoriatic arthritis treated with methotrexate and/or leflunomide. </w:t>
      </w:r>
      <w:r w:rsidRPr="00463038">
        <w:rPr>
          <w:rFonts w:ascii="Book Antiqua" w:hAnsi="Book Antiqua" w:cs="宋体"/>
          <w:i/>
          <w:iCs/>
          <w:color w:val="000000"/>
        </w:rPr>
        <w:t>Ann Rheum Dis</w:t>
      </w:r>
      <w:r w:rsidRPr="00463038">
        <w:rPr>
          <w:rFonts w:ascii="Book Antiqua" w:hAnsi="Book Antiqua" w:cs="宋体"/>
          <w:color w:val="000000"/>
        </w:rPr>
        <w:t> 2010; </w:t>
      </w:r>
      <w:r w:rsidRPr="00463038">
        <w:rPr>
          <w:rFonts w:ascii="Book Antiqua" w:hAnsi="Book Antiqua" w:cs="宋体"/>
          <w:b/>
          <w:bCs/>
          <w:color w:val="000000"/>
        </w:rPr>
        <w:t>69</w:t>
      </w:r>
      <w:r w:rsidRPr="00463038">
        <w:rPr>
          <w:rFonts w:ascii="Book Antiqua" w:hAnsi="Book Antiqua" w:cs="宋体"/>
          <w:color w:val="000000"/>
        </w:rPr>
        <w:t>: 43-47 [PMID: 19147616 DOI: 10.1136/ard.2008.101378]</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42 </w:t>
      </w:r>
      <w:r w:rsidRPr="00463038">
        <w:rPr>
          <w:rFonts w:ascii="Book Antiqua" w:hAnsi="Book Antiqua" w:cs="宋体"/>
          <w:b/>
          <w:bCs/>
          <w:color w:val="000000"/>
        </w:rPr>
        <w:t>Fournier MR</w:t>
      </w:r>
      <w:r w:rsidRPr="00463038">
        <w:rPr>
          <w:rFonts w:ascii="Book Antiqua" w:hAnsi="Book Antiqua" w:cs="宋体"/>
          <w:color w:val="000000"/>
        </w:rPr>
        <w:t>, Klein J, Minuk GY, Bernstein CN. Changes in liver biochemistry during methotrexate use for inflammatory bowel disease. </w:t>
      </w:r>
      <w:r w:rsidRPr="00463038">
        <w:rPr>
          <w:rFonts w:ascii="Book Antiqua" w:hAnsi="Book Antiqua" w:cs="宋体"/>
          <w:i/>
          <w:iCs/>
          <w:color w:val="000000"/>
        </w:rPr>
        <w:t>Am J Gastroenterol</w:t>
      </w:r>
      <w:r w:rsidRPr="00463038">
        <w:rPr>
          <w:rFonts w:ascii="Book Antiqua" w:hAnsi="Book Antiqua" w:cs="宋体"/>
          <w:color w:val="000000"/>
        </w:rPr>
        <w:t> 2010; </w:t>
      </w:r>
      <w:r w:rsidRPr="00463038">
        <w:rPr>
          <w:rFonts w:ascii="Book Antiqua" w:hAnsi="Book Antiqua" w:cs="宋体"/>
          <w:b/>
          <w:bCs/>
          <w:color w:val="000000"/>
        </w:rPr>
        <w:t>105</w:t>
      </w:r>
      <w:r w:rsidRPr="00463038">
        <w:rPr>
          <w:rFonts w:ascii="Book Antiqua" w:hAnsi="Book Antiqua" w:cs="宋体"/>
          <w:color w:val="000000"/>
        </w:rPr>
        <w:t>: 1620-1626 [PMID: 20160715 DOI: 10.1038/ajg.2010.21]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43 </w:t>
      </w:r>
      <w:r w:rsidRPr="00463038">
        <w:rPr>
          <w:rFonts w:ascii="Book Antiqua" w:hAnsi="Book Antiqua" w:cs="宋体"/>
          <w:b/>
          <w:bCs/>
          <w:color w:val="000000"/>
        </w:rPr>
        <w:t>Valentino PL</w:t>
      </w:r>
      <w:r w:rsidRPr="00463038">
        <w:rPr>
          <w:rFonts w:ascii="Book Antiqua" w:hAnsi="Book Antiqua" w:cs="宋体"/>
          <w:color w:val="000000"/>
        </w:rPr>
        <w:t>, Church PC, Shah PS, Beyene J, Griffiths AM, Feldman BM, Kamath BM. Hepatotoxicity caused by methotrexate therapy in children with inflammatory bowel disease: a systematic review and meta-analysis. </w:t>
      </w:r>
      <w:r w:rsidRPr="00463038">
        <w:rPr>
          <w:rFonts w:ascii="Book Antiqua" w:hAnsi="Book Antiqua" w:cs="宋体"/>
          <w:i/>
          <w:iCs/>
          <w:color w:val="000000"/>
        </w:rPr>
        <w:t>Inflamm Bowel Dis</w:t>
      </w:r>
      <w:r w:rsidRPr="00463038">
        <w:rPr>
          <w:rFonts w:ascii="Book Antiqua" w:hAnsi="Book Antiqua" w:cs="宋体"/>
          <w:color w:val="000000"/>
        </w:rPr>
        <w:t> 2014; </w:t>
      </w:r>
      <w:r w:rsidRPr="00463038">
        <w:rPr>
          <w:rFonts w:ascii="Book Antiqua" w:hAnsi="Book Antiqua" w:cs="宋体"/>
          <w:b/>
          <w:bCs/>
          <w:color w:val="000000"/>
        </w:rPr>
        <w:t>20</w:t>
      </w:r>
      <w:r w:rsidRPr="00463038">
        <w:rPr>
          <w:rFonts w:ascii="Book Antiqua" w:hAnsi="Book Antiqua" w:cs="宋体"/>
          <w:color w:val="000000"/>
        </w:rPr>
        <w:t>: 47-59 [PMID: 24280876 DOI: 10.1097/01.MIB.0000436953.88522.3e]</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44 </w:t>
      </w:r>
      <w:r w:rsidRPr="00463038">
        <w:rPr>
          <w:rFonts w:ascii="Book Antiqua" w:hAnsi="Book Antiqua" w:cs="宋体"/>
          <w:b/>
          <w:bCs/>
          <w:color w:val="000000"/>
        </w:rPr>
        <w:t>Kalb RE</w:t>
      </w:r>
      <w:r w:rsidRPr="00463038">
        <w:rPr>
          <w:rFonts w:ascii="Book Antiqua" w:hAnsi="Book Antiqua" w:cs="宋体"/>
          <w:color w:val="000000"/>
        </w:rPr>
        <w:t>, Strober B, Weinstein G, Lebwohl M. Methotrexate and psoriasis: 2009 National Psoriasis Foundation Consensus Conference. </w:t>
      </w:r>
      <w:r w:rsidRPr="00463038">
        <w:rPr>
          <w:rFonts w:ascii="Book Antiqua" w:hAnsi="Book Antiqua" w:cs="宋体"/>
          <w:i/>
          <w:iCs/>
          <w:color w:val="000000"/>
        </w:rPr>
        <w:t>J Am Acad Dermatol</w:t>
      </w:r>
      <w:r w:rsidRPr="00463038">
        <w:rPr>
          <w:rFonts w:ascii="Book Antiqua" w:hAnsi="Book Antiqua" w:cs="宋体"/>
          <w:color w:val="000000"/>
        </w:rPr>
        <w:t> 2009; </w:t>
      </w:r>
      <w:r w:rsidRPr="00463038">
        <w:rPr>
          <w:rFonts w:ascii="Book Antiqua" w:hAnsi="Book Antiqua" w:cs="宋体"/>
          <w:b/>
          <w:bCs/>
          <w:color w:val="000000"/>
        </w:rPr>
        <w:t>60</w:t>
      </w:r>
      <w:r w:rsidRPr="00463038">
        <w:rPr>
          <w:rFonts w:ascii="Book Antiqua" w:hAnsi="Book Antiqua" w:cs="宋体"/>
          <w:color w:val="000000"/>
        </w:rPr>
        <w:t>: 824-837 [PMID: 19389524 DOI: 10.1016/j.jaad.2008.11.906]</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45 </w:t>
      </w:r>
      <w:r w:rsidRPr="00463038">
        <w:rPr>
          <w:rFonts w:ascii="Book Antiqua" w:hAnsi="Book Antiqua" w:cs="宋体"/>
          <w:b/>
          <w:bCs/>
          <w:color w:val="000000"/>
        </w:rPr>
        <w:t>Themido R</w:t>
      </w:r>
      <w:r w:rsidRPr="00463038">
        <w:rPr>
          <w:rFonts w:ascii="Book Antiqua" w:hAnsi="Book Antiqua" w:cs="宋体"/>
          <w:color w:val="000000"/>
        </w:rPr>
        <w:t>, Loureiro M, Pecegueiro M, Brandão M, Campos MC. Methotrexate hepatotoxicity in psoriatic patients submitted to long-term therapy. </w:t>
      </w:r>
      <w:r w:rsidRPr="00463038">
        <w:rPr>
          <w:rFonts w:ascii="Book Antiqua" w:hAnsi="Book Antiqua" w:cs="宋体"/>
          <w:i/>
          <w:iCs/>
          <w:color w:val="000000"/>
        </w:rPr>
        <w:t>Acta Derm Venereol</w:t>
      </w:r>
      <w:r w:rsidRPr="00463038">
        <w:rPr>
          <w:rFonts w:ascii="Book Antiqua" w:hAnsi="Book Antiqua" w:cs="宋体"/>
          <w:color w:val="000000"/>
        </w:rPr>
        <w:t> 1992; </w:t>
      </w:r>
      <w:r w:rsidRPr="00463038">
        <w:rPr>
          <w:rFonts w:ascii="Book Antiqua" w:hAnsi="Book Antiqua" w:cs="宋体"/>
          <w:b/>
          <w:bCs/>
          <w:color w:val="000000"/>
        </w:rPr>
        <w:t>72</w:t>
      </w:r>
      <w:r w:rsidRPr="00463038">
        <w:rPr>
          <w:rFonts w:ascii="Book Antiqua" w:hAnsi="Book Antiqua" w:cs="宋体"/>
          <w:color w:val="000000"/>
        </w:rPr>
        <w:t>: 361-364 [PMID: 1361285]</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46 </w:t>
      </w:r>
      <w:r w:rsidRPr="00463038">
        <w:rPr>
          <w:rFonts w:ascii="Book Antiqua" w:hAnsi="Book Antiqua" w:cs="宋体"/>
          <w:b/>
          <w:bCs/>
          <w:color w:val="000000"/>
        </w:rPr>
        <w:t>Bath RK</w:t>
      </w:r>
      <w:r w:rsidRPr="00463038">
        <w:rPr>
          <w:rFonts w:ascii="Book Antiqua" w:hAnsi="Book Antiqua" w:cs="宋体"/>
          <w:color w:val="000000"/>
        </w:rPr>
        <w:t>, Brar NK, Forouhar FA, Wu GY. A review of methotrexate-associated hepatotoxicity. </w:t>
      </w:r>
      <w:r w:rsidRPr="00463038">
        <w:rPr>
          <w:rFonts w:ascii="Book Antiqua" w:hAnsi="Book Antiqua" w:cs="宋体"/>
          <w:i/>
          <w:iCs/>
          <w:color w:val="000000"/>
        </w:rPr>
        <w:t>J Dig Dis</w:t>
      </w:r>
      <w:r w:rsidRPr="00463038">
        <w:rPr>
          <w:rFonts w:ascii="Book Antiqua" w:hAnsi="Book Antiqua" w:cs="宋体"/>
          <w:color w:val="000000"/>
        </w:rPr>
        <w:t> 2014; </w:t>
      </w:r>
      <w:r w:rsidRPr="00463038">
        <w:rPr>
          <w:rFonts w:ascii="Book Antiqua" w:hAnsi="Book Antiqua" w:cs="宋体"/>
          <w:b/>
          <w:bCs/>
          <w:color w:val="000000"/>
        </w:rPr>
        <w:t>15</w:t>
      </w:r>
      <w:r w:rsidRPr="00463038">
        <w:rPr>
          <w:rFonts w:ascii="Book Antiqua" w:hAnsi="Book Antiqua" w:cs="宋体"/>
          <w:color w:val="000000"/>
        </w:rPr>
        <w:t>: 517-524 [PMID: 25139707 DOI: 10.1111/1751-2980.12184]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47 </w:t>
      </w:r>
      <w:r w:rsidRPr="00463038">
        <w:rPr>
          <w:rFonts w:ascii="Book Antiqua" w:hAnsi="Book Antiqua" w:cs="宋体"/>
          <w:b/>
          <w:bCs/>
          <w:color w:val="000000"/>
        </w:rPr>
        <w:t>MacDonald A</w:t>
      </w:r>
      <w:r w:rsidRPr="00463038">
        <w:rPr>
          <w:rFonts w:ascii="Book Antiqua" w:hAnsi="Book Antiqua" w:cs="宋体"/>
          <w:color w:val="000000"/>
        </w:rPr>
        <w:t>, Burden AD. Noninvasive monitoring for methotrexate hepatotoxicity. </w:t>
      </w:r>
      <w:r w:rsidRPr="00463038">
        <w:rPr>
          <w:rFonts w:ascii="Book Antiqua" w:hAnsi="Book Antiqua" w:cs="宋体"/>
          <w:i/>
          <w:iCs/>
          <w:color w:val="000000"/>
        </w:rPr>
        <w:t>Br J Dermatol</w:t>
      </w:r>
      <w:r w:rsidRPr="00463038">
        <w:rPr>
          <w:rFonts w:ascii="Book Antiqua" w:hAnsi="Book Antiqua" w:cs="宋体"/>
          <w:color w:val="000000"/>
        </w:rPr>
        <w:t> 2005; </w:t>
      </w:r>
      <w:r w:rsidRPr="00463038">
        <w:rPr>
          <w:rFonts w:ascii="Book Antiqua" w:hAnsi="Book Antiqua" w:cs="宋体"/>
          <w:b/>
          <w:bCs/>
          <w:color w:val="000000"/>
        </w:rPr>
        <w:t>152</w:t>
      </w:r>
      <w:r w:rsidRPr="00463038">
        <w:rPr>
          <w:rFonts w:ascii="Book Antiqua" w:hAnsi="Book Antiqua" w:cs="宋体"/>
          <w:color w:val="000000"/>
        </w:rPr>
        <w:t>: 405-408 [PMID: 15787807 DOI: 10.1111/j.1365-2133.2005.06605.x]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48 </w:t>
      </w:r>
      <w:r w:rsidRPr="00463038">
        <w:rPr>
          <w:rFonts w:ascii="Book Antiqua" w:hAnsi="Book Antiqua" w:cs="宋体"/>
          <w:b/>
          <w:bCs/>
          <w:color w:val="000000"/>
        </w:rPr>
        <w:t>Whiting-O'Keefe QE</w:t>
      </w:r>
      <w:r w:rsidRPr="00463038">
        <w:rPr>
          <w:rFonts w:ascii="Book Antiqua" w:hAnsi="Book Antiqua" w:cs="宋体"/>
          <w:color w:val="000000"/>
        </w:rPr>
        <w:t>, Fye KH, Sack KD. Methotrexate and histologic hepatic abnormalities: a meta-analysis. </w:t>
      </w:r>
      <w:r w:rsidRPr="00463038">
        <w:rPr>
          <w:rFonts w:ascii="Book Antiqua" w:hAnsi="Book Antiqua" w:cs="宋体"/>
          <w:i/>
          <w:iCs/>
          <w:color w:val="000000"/>
        </w:rPr>
        <w:t>Am J Med</w:t>
      </w:r>
      <w:r w:rsidRPr="00463038">
        <w:rPr>
          <w:rFonts w:ascii="Book Antiqua" w:hAnsi="Book Antiqua" w:cs="宋体"/>
          <w:color w:val="000000"/>
        </w:rPr>
        <w:t> 1991; </w:t>
      </w:r>
      <w:r w:rsidRPr="00463038">
        <w:rPr>
          <w:rFonts w:ascii="Book Antiqua" w:hAnsi="Book Antiqua" w:cs="宋体"/>
          <w:b/>
          <w:bCs/>
          <w:color w:val="000000"/>
        </w:rPr>
        <w:t>90</w:t>
      </w:r>
      <w:r w:rsidRPr="00463038">
        <w:rPr>
          <w:rFonts w:ascii="Book Antiqua" w:hAnsi="Book Antiqua" w:cs="宋体"/>
          <w:color w:val="000000"/>
        </w:rPr>
        <w:t>: 711-716 [PMID: 1828327 DOI: 10.1016/S0002-9343(05)80060-9]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49 </w:t>
      </w:r>
      <w:r w:rsidRPr="00463038">
        <w:rPr>
          <w:rFonts w:ascii="Book Antiqua" w:hAnsi="Book Antiqua" w:cs="宋体"/>
          <w:b/>
          <w:bCs/>
          <w:color w:val="000000"/>
        </w:rPr>
        <w:t>Saag KG</w:t>
      </w:r>
      <w:r w:rsidRPr="00463038">
        <w:rPr>
          <w:rFonts w:ascii="Book Antiqua" w:hAnsi="Book Antiqua" w:cs="宋体"/>
          <w:color w:val="000000"/>
        </w:rPr>
        <w:t>, Teng GG, Patkar NM, Anuntiyo J, Finney C, Curtis JR, Paulus HE, Mudano A, Pisu M, Elkins-Melton M, Outman R, Allison JJ, Suarez Almazor M, Bridges SL, Chatham WW, Hochberg M, MacLean C, Mikuls T, Moreland LW, O'Dell J, Turkiewicz AM, Furst DE. American College of Rheumatology 2008 recommendations for the use of nonbiologic and biologic disease-modifying antirheumatic drugs in rheumatoid arthritis. </w:t>
      </w:r>
      <w:r w:rsidRPr="00463038">
        <w:rPr>
          <w:rFonts w:ascii="Book Antiqua" w:hAnsi="Book Antiqua" w:cs="宋体"/>
          <w:i/>
          <w:iCs/>
          <w:color w:val="000000"/>
        </w:rPr>
        <w:t>Arthritis Rheum</w:t>
      </w:r>
      <w:r w:rsidRPr="00463038">
        <w:rPr>
          <w:rFonts w:ascii="Book Antiqua" w:hAnsi="Book Antiqua" w:cs="宋体"/>
          <w:color w:val="000000"/>
        </w:rPr>
        <w:t> 2008; </w:t>
      </w:r>
      <w:r w:rsidRPr="00463038">
        <w:rPr>
          <w:rFonts w:ascii="Book Antiqua" w:hAnsi="Book Antiqua" w:cs="宋体"/>
          <w:b/>
          <w:bCs/>
          <w:color w:val="000000"/>
        </w:rPr>
        <w:t>59</w:t>
      </w:r>
      <w:r w:rsidRPr="00463038">
        <w:rPr>
          <w:rFonts w:ascii="Book Antiqua" w:hAnsi="Book Antiqua" w:cs="宋体"/>
          <w:color w:val="000000"/>
        </w:rPr>
        <w:t>: 762-784 [PMID: 18512708 DOI: 10.1002/art.23721]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50 </w:t>
      </w:r>
      <w:r w:rsidRPr="00463038">
        <w:rPr>
          <w:rFonts w:ascii="Book Antiqua" w:hAnsi="Book Antiqua" w:cs="宋体"/>
          <w:b/>
          <w:bCs/>
          <w:color w:val="000000"/>
        </w:rPr>
        <w:t>Kremer JM</w:t>
      </w:r>
      <w:r w:rsidRPr="00463038">
        <w:rPr>
          <w:rFonts w:ascii="Book Antiqua" w:hAnsi="Book Antiqua" w:cs="宋体"/>
          <w:color w:val="000000"/>
        </w:rPr>
        <w:t>, Alarcón GS, Lightfoot RW, Willkens RF, Furst DE, Williams HJ, Dent PB, Weinblatt ME. Methotrexate for rheumatoid arthritis. Suggested guidelines for monitoring liver toxicity. American College of Rheumatology. </w:t>
      </w:r>
      <w:r w:rsidRPr="00463038">
        <w:rPr>
          <w:rFonts w:ascii="Book Antiqua" w:hAnsi="Book Antiqua" w:cs="宋体"/>
          <w:i/>
          <w:iCs/>
          <w:color w:val="000000"/>
        </w:rPr>
        <w:t>Arthritis Rheum</w:t>
      </w:r>
      <w:r w:rsidRPr="00463038">
        <w:rPr>
          <w:rFonts w:ascii="Book Antiqua" w:hAnsi="Book Antiqua" w:cs="宋体"/>
          <w:color w:val="000000"/>
        </w:rPr>
        <w:t> 1994; </w:t>
      </w:r>
      <w:r w:rsidRPr="00463038">
        <w:rPr>
          <w:rFonts w:ascii="Book Antiqua" w:hAnsi="Book Antiqua" w:cs="宋体"/>
          <w:b/>
          <w:bCs/>
          <w:color w:val="000000"/>
        </w:rPr>
        <w:t>37</w:t>
      </w:r>
      <w:r w:rsidRPr="00463038">
        <w:rPr>
          <w:rFonts w:ascii="Book Antiqua" w:hAnsi="Book Antiqua" w:cs="宋体"/>
          <w:color w:val="000000"/>
        </w:rPr>
        <w:t>: 316-328 [PMID: 8129787 DOI: 10.1002/art.1780370304]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51 </w:t>
      </w:r>
      <w:r w:rsidRPr="00463038">
        <w:rPr>
          <w:rFonts w:ascii="Book Antiqua" w:hAnsi="Book Antiqua" w:cs="宋体"/>
          <w:b/>
          <w:bCs/>
          <w:color w:val="000000"/>
        </w:rPr>
        <w:t>Van Deventer SJ</w:t>
      </w:r>
      <w:r w:rsidRPr="00463038">
        <w:rPr>
          <w:rFonts w:ascii="Book Antiqua" w:hAnsi="Book Antiqua" w:cs="宋体"/>
          <w:color w:val="000000"/>
        </w:rPr>
        <w:t>. Tumour necrosis factor and Crohn's disease. </w:t>
      </w:r>
      <w:r w:rsidRPr="00463038">
        <w:rPr>
          <w:rFonts w:ascii="Book Antiqua" w:hAnsi="Book Antiqua" w:cs="宋体"/>
          <w:i/>
          <w:iCs/>
          <w:color w:val="000000"/>
        </w:rPr>
        <w:t>Gut</w:t>
      </w:r>
      <w:r w:rsidRPr="00463038">
        <w:rPr>
          <w:rFonts w:ascii="Book Antiqua" w:hAnsi="Book Antiqua" w:cs="宋体"/>
          <w:color w:val="000000"/>
        </w:rPr>
        <w:t> 1997; </w:t>
      </w:r>
      <w:r w:rsidRPr="00463038">
        <w:rPr>
          <w:rFonts w:ascii="Book Antiqua" w:hAnsi="Book Antiqua" w:cs="宋体"/>
          <w:b/>
          <w:bCs/>
          <w:color w:val="000000"/>
        </w:rPr>
        <w:t>40</w:t>
      </w:r>
      <w:r w:rsidRPr="00463038">
        <w:rPr>
          <w:rFonts w:ascii="Book Antiqua" w:hAnsi="Book Antiqua" w:cs="宋体"/>
          <w:color w:val="000000"/>
        </w:rPr>
        <w:t>: 443-448 [PMID: 9176068 DOI: 10.1136/gut.40.4.443]</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52 </w:t>
      </w:r>
      <w:r w:rsidRPr="00463038">
        <w:rPr>
          <w:rFonts w:ascii="Book Antiqua" w:hAnsi="Book Antiqua" w:cs="宋体"/>
          <w:b/>
          <w:bCs/>
          <w:color w:val="000000"/>
        </w:rPr>
        <w:t>van Hogezand RA</w:t>
      </w:r>
      <w:r w:rsidRPr="00463038">
        <w:rPr>
          <w:rFonts w:ascii="Book Antiqua" w:hAnsi="Book Antiqua" w:cs="宋体"/>
          <w:color w:val="000000"/>
        </w:rPr>
        <w:t>, Verspaget HW. The future role of anti-tumour necrosis factor-alpha products in the treatment of Crohn's disease. </w:t>
      </w:r>
      <w:r w:rsidRPr="00463038">
        <w:rPr>
          <w:rFonts w:ascii="Book Antiqua" w:hAnsi="Book Antiqua" w:cs="宋体"/>
          <w:i/>
          <w:iCs/>
          <w:color w:val="000000"/>
        </w:rPr>
        <w:t>Drugs</w:t>
      </w:r>
      <w:r w:rsidRPr="00463038">
        <w:rPr>
          <w:rFonts w:ascii="Book Antiqua" w:hAnsi="Book Antiqua" w:cs="宋体"/>
          <w:color w:val="000000"/>
        </w:rPr>
        <w:t> 1998; </w:t>
      </w:r>
      <w:r w:rsidRPr="00463038">
        <w:rPr>
          <w:rFonts w:ascii="Book Antiqua" w:hAnsi="Book Antiqua" w:cs="宋体"/>
          <w:b/>
          <w:bCs/>
          <w:color w:val="000000"/>
        </w:rPr>
        <w:t>56</w:t>
      </w:r>
      <w:r w:rsidRPr="00463038">
        <w:rPr>
          <w:rFonts w:ascii="Book Antiqua" w:hAnsi="Book Antiqua" w:cs="宋体"/>
          <w:color w:val="000000"/>
        </w:rPr>
        <w:t>: 299-305 [PMID: 9777308 DOI: 10.2165/00003495-199856030-00001]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53 </w:t>
      </w:r>
      <w:r w:rsidRPr="00463038">
        <w:rPr>
          <w:rFonts w:ascii="Book Antiqua" w:hAnsi="Book Antiqua" w:cs="宋体"/>
          <w:b/>
          <w:bCs/>
          <w:color w:val="000000"/>
        </w:rPr>
        <w:t>Cheifetz A</w:t>
      </w:r>
      <w:r w:rsidRPr="00463038">
        <w:rPr>
          <w:rFonts w:ascii="Book Antiqua" w:hAnsi="Book Antiqua" w:cs="宋体"/>
          <w:color w:val="000000"/>
        </w:rPr>
        <w:t>, Smedley M, Martin S, Reiter M, Leone G, Mayer L, Plevy S. The incidence and management of infusion reactions to infliximab: a large center experience. </w:t>
      </w:r>
      <w:r w:rsidRPr="00463038">
        <w:rPr>
          <w:rFonts w:ascii="Book Antiqua" w:hAnsi="Book Antiqua" w:cs="宋体"/>
          <w:i/>
          <w:iCs/>
          <w:color w:val="000000"/>
        </w:rPr>
        <w:t>Am J Gastroenterol</w:t>
      </w:r>
      <w:r w:rsidRPr="00463038">
        <w:rPr>
          <w:rFonts w:ascii="Book Antiqua" w:hAnsi="Book Antiqua" w:cs="宋体"/>
          <w:color w:val="000000"/>
        </w:rPr>
        <w:t> 2003; </w:t>
      </w:r>
      <w:r w:rsidRPr="00463038">
        <w:rPr>
          <w:rFonts w:ascii="Book Antiqua" w:hAnsi="Book Antiqua" w:cs="宋体"/>
          <w:b/>
          <w:bCs/>
          <w:color w:val="000000"/>
        </w:rPr>
        <w:t>98</w:t>
      </w:r>
      <w:r w:rsidRPr="00463038">
        <w:rPr>
          <w:rFonts w:ascii="Book Antiqua" w:hAnsi="Book Antiqua" w:cs="宋体"/>
          <w:color w:val="000000"/>
        </w:rPr>
        <w:t>: 1315-1324 [PMID: 12818276 DOI: 10.1111/j.1572-0241.2003.07457.x]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54 </w:t>
      </w:r>
      <w:r w:rsidRPr="00463038">
        <w:rPr>
          <w:rFonts w:ascii="Book Antiqua" w:hAnsi="Book Antiqua" w:cs="宋体"/>
          <w:b/>
          <w:bCs/>
          <w:color w:val="000000"/>
        </w:rPr>
        <w:t>Khanna R</w:t>
      </w:r>
      <w:r w:rsidRPr="00463038">
        <w:rPr>
          <w:rFonts w:ascii="Book Antiqua" w:hAnsi="Book Antiqua" w:cs="宋体"/>
          <w:color w:val="000000"/>
        </w:rPr>
        <w:t>, Feagan BG. Safety of infliximab for the treatment of inflammatory bowel disease: current understanding of the potential for serious adverse events. </w:t>
      </w:r>
      <w:r w:rsidRPr="00463038">
        <w:rPr>
          <w:rFonts w:ascii="Book Antiqua" w:hAnsi="Book Antiqua" w:cs="宋体"/>
          <w:i/>
          <w:iCs/>
          <w:color w:val="000000"/>
        </w:rPr>
        <w:t>Expert Opin Drug Saf</w:t>
      </w:r>
      <w:r w:rsidRPr="00463038">
        <w:rPr>
          <w:rFonts w:ascii="Book Antiqua" w:hAnsi="Book Antiqua" w:cs="宋体"/>
          <w:color w:val="000000"/>
        </w:rPr>
        <w:t> 2015; </w:t>
      </w:r>
      <w:r w:rsidRPr="00463038">
        <w:rPr>
          <w:rFonts w:ascii="Book Antiqua" w:hAnsi="Book Antiqua" w:cs="宋体"/>
          <w:b/>
          <w:bCs/>
          <w:color w:val="000000"/>
        </w:rPr>
        <w:t>14</w:t>
      </w:r>
      <w:r w:rsidRPr="00463038">
        <w:rPr>
          <w:rFonts w:ascii="Book Antiqua" w:hAnsi="Book Antiqua" w:cs="宋体"/>
          <w:color w:val="000000"/>
        </w:rPr>
        <w:t>: 987-997 [PMID: 25819509 DOI: 10.1517/14740338.2015.1029915]</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55 </w:t>
      </w:r>
      <w:r w:rsidRPr="00463038">
        <w:rPr>
          <w:rFonts w:ascii="Book Antiqua" w:hAnsi="Book Antiqua" w:cs="宋体"/>
          <w:b/>
          <w:bCs/>
          <w:color w:val="000000"/>
        </w:rPr>
        <w:t>Sokolove J</w:t>
      </w:r>
      <w:r w:rsidRPr="00463038">
        <w:rPr>
          <w:rFonts w:ascii="Book Antiqua" w:hAnsi="Book Antiqua" w:cs="宋体"/>
          <w:color w:val="000000"/>
        </w:rPr>
        <w:t>, Strand V, Greenberg JD, Curtis JR, Kavanaugh A, Kremer JM, Anofrei A, Reed G, Calabrese L, Hooper M, Baumgartner S, Furst DE. Risk of elevated liver enzymes associated with TNF inhibitor utilisation in patients with rheumatoid arthritis. </w:t>
      </w:r>
      <w:r w:rsidRPr="00463038">
        <w:rPr>
          <w:rFonts w:ascii="Book Antiqua" w:hAnsi="Book Antiqua" w:cs="宋体"/>
          <w:i/>
          <w:iCs/>
          <w:color w:val="000000"/>
        </w:rPr>
        <w:t>Ann Rheum Dis</w:t>
      </w:r>
      <w:r w:rsidRPr="00463038">
        <w:rPr>
          <w:rFonts w:ascii="Book Antiqua" w:hAnsi="Book Antiqua" w:cs="宋体"/>
          <w:color w:val="000000"/>
        </w:rPr>
        <w:t> 2010; </w:t>
      </w:r>
      <w:r w:rsidRPr="00463038">
        <w:rPr>
          <w:rFonts w:ascii="Book Antiqua" w:hAnsi="Book Antiqua" w:cs="宋体"/>
          <w:b/>
          <w:bCs/>
          <w:color w:val="000000"/>
        </w:rPr>
        <w:t>69</w:t>
      </w:r>
      <w:r w:rsidRPr="00463038">
        <w:rPr>
          <w:rFonts w:ascii="Book Antiqua" w:hAnsi="Book Antiqua" w:cs="宋体"/>
          <w:color w:val="000000"/>
        </w:rPr>
        <w:t>: 1612-1617 [PMID: 20448284 DOI: 10.1136/ard.2009.112136]</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56 </w:t>
      </w:r>
      <w:r w:rsidRPr="00463038">
        <w:rPr>
          <w:rFonts w:ascii="Book Antiqua" w:hAnsi="Book Antiqua" w:cs="宋体"/>
          <w:b/>
          <w:bCs/>
          <w:color w:val="000000"/>
        </w:rPr>
        <w:t>Shelton E</w:t>
      </w:r>
      <w:r w:rsidRPr="00463038">
        <w:rPr>
          <w:rFonts w:ascii="Book Antiqua" w:hAnsi="Book Antiqua" w:cs="宋体"/>
          <w:color w:val="000000"/>
        </w:rPr>
        <w:t>, Chaudrey K, Sauk J, Khalili H, Masia R, Nguyen DD, Yajnik V, Ananthakrishnan AN. New onset idiosyncratic liver enzyme elevations with biological therapy in inflammatory bowel disease. </w:t>
      </w:r>
      <w:r w:rsidRPr="00463038">
        <w:rPr>
          <w:rFonts w:ascii="Book Antiqua" w:hAnsi="Book Antiqua" w:cs="宋体"/>
          <w:i/>
          <w:iCs/>
          <w:color w:val="000000"/>
        </w:rPr>
        <w:t>Aliment Pharmacol Ther</w:t>
      </w:r>
      <w:r w:rsidRPr="00463038">
        <w:rPr>
          <w:rFonts w:ascii="Book Antiqua" w:hAnsi="Book Antiqua" w:cs="宋体"/>
          <w:color w:val="000000"/>
        </w:rPr>
        <w:t> 2015; </w:t>
      </w:r>
      <w:r w:rsidRPr="00463038">
        <w:rPr>
          <w:rFonts w:ascii="Book Antiqua" w:hAnsi="Book Antiqua" w:cs="宋体"/>
          <w:b/>
          <w:bCs/>
          <w:color w:val="000000"/>
        </w:rPr>
        <w:t>41</w:t>
      </w:r>
      <w:r w:rsidRPr="00463038">
        <w:rPr>
          <w:rFonts w:ascii="Book Antiqua" w:hAnsi="Book Antiqua" w:cs="宋体"/>
          <w:color w:val="000000"/>
        </w:rPr>
        <w:t>: 972-979 [PMID: 25756190 DOI: 10.1111/apt.13159]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57 </w:t>
      </w:r>
      <w:r w:rsidRPr="00463038">
        <w:rPr>
          <w:rFonts w:ascii="Book Antiqua" w:hAnsi="Book Antiqua" w:cs="宋体"/>
          <w:b/>
          <w:bCs/>
          <w:color w:val="000000"/>
        </w:rPr>
        <w:t>Weiler-Normann C</w:t>
      </w:r>
      <w:r w:rsidRPr="00463038">
        <w:rPr>
          <w:rFonts w:ascii="Book Antiqua" w:hAnsi="Book Antiqua" w:cs="宋体"/>
          <w:color w:val="000000"/>
        </w:rPr>
        <w:t>, Schramm C, Quaas A, Wiegard C, Glaubke C, Pannicke N, Möller S, Lohse AW. Infliximab as a rescue treatment in difficult-to-treat autoimmune hepatitis. </w:t>
      </w:r>
      <w:r w:rsidRPr="00463038">
        <w:rPr>
          <w:rFonts w:ascii="Book Antiqua" w:hAnsi="Book Antiqua" w:cs="宋体"/>
          <w:i/>
          <w:iCs/>
          <w:color w:val="000000"/>
        </w:rPr>
        <w:t>J Hepatol</w:t>
      </w:r>
      <w:r w:rsidRPr="00463038">
        <w:rPr>
          <w:rFonts w:ascii="Book Antiqua" w:hAnsi="Book Antiqua" w:cs="宋体"/>
          <w:color w:val="000000"/>
        </w:rPr>
        <w:t> 2013; </w:t>
      </w:r>
      <w:r w:rsidRPr="00463038">
        <w:rPr>
          <w:rFonts w:ascii="Book Antiqua" w:hAnsi="Book Antiqua" w:cs="宋体"/>
          <w:b/>
          <w:bCs/>
          <w:color w:val="000000"/>
        </w:rPr>
        <w:t>58</w:t>
      </w:r>
      <w:r w:rsidRPr="00463038">
        <w:rPr>
          <w:rFonts w:ascii="Book Antiqua" w:hAnsi="Book Antiqua" w:cs="宋体"/>
          <w:color w:val="000000"/>
        </w:rPr>
        <w:t>: 529-534 [PMID: 23178709 DOI: 10.1016/j.jhep.2012.11.010]</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58 </w:t>
      </w:r>
      <w:r w:rsidRPr="00463038">
        <w:rPr>
          <w:rFonts w:ascii="Book Antiqua" w:hAnsi="Book Antiqua" w:cs="宋体"/>
          <w:b/>
          <w:bCs/>
          <w:color w:val="000000"/>
        </w:rPr>
        <w:t>Fujii K</w:t>
      </w:r>
      <w:r w:rsidRPr="00463038">
        <w:rPr>
          <w:rFonts w:ascii="Book Antiqua" w:hAnsi="Book Antiqua" w:cs="宋体"/>
          <w:color w:val="000000"/>
        </w:rPr>
        <w:t>, Rokutanda R, Osugi Y, Koyama Y, Ota T. Adult-onset Still's disease complicated by autoimmune hepatitis: successful treatment with infliximab. </w:t>
      </w:r>
      <w:r w:rsidRPr="00463038">
        <w:rPr>
          <w:rFonts w:ascii="Book Antiqua" w:hAnsi="Book Antiqua" w:cs="宋体"/>
          <w:i/>
          <w:iCs/>
          <w:color w:val="000000"/>
        </w:rPr>
        <w:t>Intern Med</w:t>
      </w:r>
      <w:r w:rsidRPr="00463038">
        <w:rPr>
          <w:rFonts w:ascii="Book Antiqua" w:hAnsi="Book Antiqua" w:cs="宋体"/>
          <w:color w:val="000000"/>
        </w:rPr>
        <w:t> 2012; </w:t>
      </w:r>
      <w:r w:rsidRPr="00463038">
        <w:rPr>
          <w:rFonts w:ascii="Book Antiqua" w:hAnsi="Book Antiqua" w:cs="宋体"/>
          <w:b/>
          <w:bCs/>
          <w:color w:val="000000"/>
        </w:rPr>
        <w:t>51</w:t>
      </w:r>
      <w:r w:rsidRPr="00463038">
        <w:rPr>
          <w:rFonts w:ascii="Book Antiqua" w:hAnsi="Book Antiqua" w:cs="宋体"/>
          <w:color w:val="000000"/>
        </w:rPr>
        <w:t>: 1125-1128 [PMID: 22576401 DOI: 10.2169/internalmedicine.51.6824]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59 </w:t>
      </w:r>
      <w:r w:rsidRPr="00463038">
        <w:rPr>
          <w:rFonts w:ascii="Book Antiqua" w:hAnsi="Book Antiqua" w:cs="宋体"/>
          <w:b/>
          <w:bCs/>
          <w:color w:val="000000"/>
        </w:rPr>
        <w:t>Rajanayagam J</w:t>
      </w:r>
      <w:r w:rsidRPr="00463038">
        <w:rPr>
          <w:rFonts w:ascii="Book Antiqua" w:hAnsi="Book Antiqua" w:cs="宋体"/>
          <w:color w:val="000000"/>
        </w:rPr>
        <w:t>, Lewindon PJ. Infliximab as rescue therapy in paediatric autoimmune hepatitis. </w:t>
      </w:r>
      <w:r w:rsidRPr="00463038">
        <w:rPr>
          <w:rFonts w:ascii="Book Antiqua" w:hAnsi="Book Antiqua" w:cs="宋体"/>
          <w:i/>
          <w:iCs/>
          <w:color w:val="000000"/>
        </w:rPr>
        <w:t>J Hepatol</w:t>
      </w:r>
      <w:r w:rsidRPr="00463038">
        <w:rPr>
          <w:rFonts w:ascii="Book Antiqua" w:hAnsi="Book Antiqua" w:cs="宋体"/>
          <w:color w:val="000000"/>
        </w:rPr>
        <w:t> 2013; </w:t>
      </w:r>
      <w:r w:rsidRPr="00463038">
        <w:rPr>
          <w:rFonts w:ascii="Book Antiqua" w:hAnsi="Book Antiqua" w:cs="宋体"/>
          <w:b/>
          <w:bCs/>
          <w:color w:val="000000"/>
        </w:rPr>
        <w:t>59</w:t>
      </w:r>
      <w:r w:rsidRPr="00463038">
        <w:rPr>
          <w:rFonts w:ascii="Book Antiqua" w:hAnsi="Book Antiqua" w:cs="宋体"/>
          <w:color w:val="000000"/>
        </w:rPr>
        <w:t>: 908-909 [PMID: 23792030 DOI: 10.1016/j.jhep.2013.05.046]</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60 </w:t>
      </w:r>
      <w:r w:rsidRPr="00463038">
        <w:rPr>
          <w:rFonts w:ascii="Book Antiqua" w:hAnsi="Book Antiqua" w:cs="宋体"/>
          <w:b/>
          <w:bCs/>
          <w:color w:val="000000"/>
        </w:rPr>
        <w:t>Ghabril M</w:t>
      </w:r>
      <w:r w:rsidRPr="00463038">
        <w:rPr>
          <w:rFonts w:ascii="Book Antiqua" w:hAnsi="Book Antiqua" w:cs="宋体"/>
          <w:color w:val="000000"/>
        </w:rPr>
        <w:t>, Bonkovsky HL, Kum C, Davern T, Hayashi PH, Kleiner DE, Serrano J, Rochon J, Fontana RJ, Bonacini M. Liver injury from tumor necrosis factor-α antagonists: analysis of thirty-four cases. </w:t>
      </w:r>
      <w:r w:rsidRPr="00463038">
        <w:rPr>
          <w:rFonts w:ascii="Book Antiqua" w:hAnsi="Book Antiqua" w:cs="宋体"/>
          <w:i/>
          <w:iCs/>
          <w:color w:val="000000"/>
        </w:rPr>
        <w:t>Clin Gastroenterol Hepatol</w:t>
      </w:r>
      <w:r w:rsidRPr="00463038">
        <w:rPr>
          <w:rFonts w:ascii="Book Antiqua" w:hAnsi="Book Antiqua" w:cs="宋体"/>
          <w:color w:val="000000"/>
        </w:rPr>
        <w:t> 2013; </w:t>
      </w:r>
      <w:r w:rsidRPr="00463038">
        <w:rPr>
          <w:rFonts w:ascii="Book Antiqua" w:hAnsi="Book Antiqua" w:cs="宋体"/>
          <w:b/>
          <w:bCs/>
          <w:color w:val="000000"/>
        </w:rPr>
        <w:t>11</w:t>
      </w:r>
      <w:r w:rsidRPr="00463038">
        <w:rPr>
          <w:rFonts w:ascii="Book Antiqua" w:hAnsi="Book Antiqua" w:cs="宋体"/>
          <w:color w:val="000000"/>
        </w:rPr>
        <w:t>: 558-564.e3 [PMID: 23333219 DOI: 10.1016/j.cgh.2012.12.025]</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61 </w:t>
      </w:r>
      <w:r w:rsidRPr="00463038">
        <w:rPr>
          <w:rFonts w:ascii="Book Antiqua" w:hAnsi="Book Antiqua" w:cs="宋体"/>
          <w:b/>
          <w:bCs/>
          <w:color w:val="000000"/>
        </w:rPr>
        <w:t>Menghini VV</w:t>
      </w:r>
      <w:r w:rsidRPr="00463038">
        <w:rPr>
          <w:rFonts w:ascii="Book Antiqua" w:hAnsi="Book Antiqua" w:cs="宋体"/>
          <w:color w:val="000000"/>
        </w:rPr>
        <w:t>, Arora AS. Infliximab-associated reversible cholestatic liver disease. </w:t>
      </w:r>
      <w:r w:rsidRPr="00463038">
        <w:rPr>
          <w:rFonts w:ascii="Book Antiqua" w:hAnsi="Book Antiqua" w:cs="宋体"/>
          <w:i/>
          <w:iCs/>
          <w:color w:val="000000"/>
        </w:rPr>
        <w:t>Mayo Clin Proc</w:t>
      </w:r>
      <w:r w:rsidRPr="00463038">
        <w:rPr>
          <w:rFonts w:ascii="Book Antiqua" w:hAnsi="Book Antiqua" w:cs="宋体"/>
          <w:color w:val="000000"/>
        </w:rPr>
        <w:t> 2001; </w:t>
      </w:r>
      <w:r w:rsidRPr="00463038">
        <w:rPr>
          <w:rFonts w:ascii="Book Antiqua" w:hAnsi="Book Antiqua" w:cs="宋体"/>
          <w:b/>
          <w:bCs/>
          <w:color w:val="000000"/>
        </w:rPr>
        <w:t>76</w:t>
      </w:r>
      <w:r w:rsidRPr="00463038">
        <w:rPr>
          <w:rFonts w:ascii="Book Antiqua" w:hAnsi="Book Antiqua" w:cs="宋体"/>
          <w:color w:val="000000"/>
        </w:rPr>
        <w:t>: 84-86 [PMID: 11155419 DOI: 10.4065/76.1.84]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62 </w:t>
      </w:r>
      <w:r w:rsidRPr="00463038">
        <w:rPr>
          <w:rFonts w:ascii="Book Antiqua" w:hAnsi="Book Antiqua" w:cs="宋体"/>
          <w:b/>
          <w:bCs/>
          <w:color w:val="000000"/>
        </w:rPr>
        <w:t>Ierardi E</w:t>
      </w:r>
      <w:r w:rsidRPr="00463038">
        <w:rPr>
          <w:rFonts w:ascii="Book Antiqua" w:hAnsi="Book Antiqua" w:cs="宋体"/>
          <w:color w:val="000000"/>
        </w:rPr>
        <w:t>, Valle ND, Nacchiero MC, De Francesco V, Stoppino G, Panella C. Onset of liver damage after a single administration of infliximab in a patient with refractory ulcerative colitis. </w:t>
      </w:r>
      <w:r w:rsidRPr="00463038">
        <w:rPr>
          <w:rFonts w:ascii="Book Antiqua" w:hAnsi="Book Antiqua" w:cs="宋体"/>
          <w:i/>
          <w:iCs/>
          <w:color w:val="000000"/>
        </w:rPr>
        <w:t>Clin Drug Investig</w:t>
      </w:r>
      <w:r w:rsidRPr="00463038">
        <w:rPr>
          <w:rFonts w:ascii="Book Antiqua" w:hAnsi="Book Antiqua" w:cs="宋体"/>
          <w:color w:val="000000"/>
        </w:rPr>
        <w:t> 2006; </w:t>
      </w:r>
      <w:r w:rsidRPr="00463038">
        <w:rPr>
          <w:rFonts w:ascii="Book Antiqua" w:hAnsi="Book Antiqua" w:cs="宋体"/>
          <w:b/>
          <w:bCs/>
          <w:color w:val="000000"/>
        </w:rPr>
        <w:t>26</w:t>
      </w:r>
      <w:r w:rsidRPr="00463038">
        <w:rPr>
          <w:rFonts w:ascii="Book Antiqua" w:hAnsi="Book Antiqua" w:cs="宋体"/>
          <w:color w:val="000000"/>
        </w:rPr>
        <w:t>: 673-676 [PMID: 17163303 DOI: 10.2165/00044011-200626110-00008]</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63 </w:t>
      </w:r>
      <w:r w:rsidRPr="00463038">
        <w:rPr>
          <w:rFonts w:ascii="Book Antiqua" w:hAnsi="Book Antiqua" w:cs="宋体"/>
          <w:b/>
          <w:bCs/>
          <w:color w:val="000000"/>
        </w:rPr>
        <w:t>Tobon GJ</w:t>
      </w:r>
      <w:r w:rsidRPr="00463038">
        <w:rPr>
          <w:rFonts w:ascii="Book Antiqua" w:hAnsi="Book Antiqua" w:cs="宋体"/>
          <w:color w:val="000000"/>
        </w:rPr>
        <w:t>, Cañas C, Jaller JJ, Restrepo JC, Anaya JM. Serious liver disease induced by infliximab. </w:t>
      </w:r>
      <w:r w:rsidRPr="00463038">
        <w:rPr>
          <w:rFonts w:ascii="Book Antiqua" w:hAnsi="Book Antiqua" w:cs="宋体"/>
          <w:i/>
          <w:iCs/>
          <w:color w:val="000000"/>
        </w:rPr>
        <w:t>Clin Rheumatol</w:t>
      </w:r>
      <w:r w:rsidRPr="00463038">
        <w:rPr>
          <w:rFonts w:ascii="Book Antiqua" w:hAnsi="Book Antiqua" w:cs="宋体"/>
          <w:color w:val="000000"/>
        </w:rPr>
        <w:t> 2007; </w:t>
      </w:r>
      <w:r w:rsidRPr="00463038">
        <w:rPr>
          <w:rFonts w:ascii="Book Antiqua" w:hAnsi="Book Antiqua" w:cs="宋体"/>
          <w:b/>
          <w:bCs/>
          <w:color w:val="000000"/>
        </w:rPr>
        <w:t>26</w:t>
      </w:r>
      <w:r w:rsidRPr="00463038">
        <w:rPr>
          <w:rFonts w:ascii="Book Antiqua" w:hAnsi="Book Antiqua" w:cs="宋体"/>
          <w:color w:val="000000"/>
        </w:rPr>
        <w:t>: 578-581 [PMID: 16547695 DOI: 10.1007/s10067-005-0169-y]</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64 </w:t>
      </w:r>
      <w:r w:rsidRPr="00463038">
        <w:rPr>
          <w:rFonts w:ascii="Book Antiqua" w:hAnsi="Book Antiqua" w:cs="宋体"/>
          <w:b/>
          <w:bCs/>
          <w:color w:val="000000"/>
        </w:rPr>
        <w:t>Lee YH</w:t>
      </w:r>
      <w:r w:rsidRPr="00463038">
        <w:rPr>
          <w:rFonts w:ascii="Book Antiqua" w:hAnsi="Book Antiqua" w:cs="宋体"/>
          <w:color w:val="000000"/>
        </w:rPr>
        <w:t>, Bae SC, Song GG. Hepatitis B virus reactivation in HBsAg-positive patients with rheumatic diseases undergoing anti-tumor necrosis factor therapy or DMARDs. </w:t>
      </w:r>
      <w:r w:rsidRPr="00463038">
        <w:rPr>
          <w:rFonts w:ascii="Book Antiqua" w:hAnsi="Book Antiqua" w:cs="宋体"/>
          <w:i/>
          <w:iCs/>
          <w:color w:val="000000"/>
        </w:rPr>
        <w:t>Int J Rheum Dis</w:t>
      </w:r>
      <w:r w:rsidRPr="00463038">
        <w:rPr>
          <w:rFonts w:ascii="Book Antiqua" w:hAnsi="Book Antiqua" w:cs="宋体"/>
          <w:color w:val="000000"/>
        </w:rPr>
        <w:t> 2013; </w:t>
      </w:r>
      <w:r w:rsidRPr="00463038">
        <w:rPr>
          <w:rFonts w:ascii="Book Antiqua" w:hAnsi="Book Antiqua" w:cs="宋体"/>
          <w:b/>
          <w:bCs/>
          <w:color w:val="000000"/>
        </w:rPr>
        <w:t>16</w:t>
      </w:r>
      <w:r w:rsidRPr="00463038">
        <w:rPr>
          <w:rFonts w:ascii="Book Antiqua" w:hAnsi="Book Antiqua" w:cs="宋体"/>
          <w:color w:val="000000"/>
        </w:rPr>
        <w:t>: 527-531 [PMID: 24164839 DOI: 10.1111/1756-185X.12154]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65 </w:t>
      </w:r>
      <w:r w:rsidRPr="00463038">
        <w:rPr>
          <w:rFonts w:ascii="Book Antiqua" w:hAnsi="Book Antiqua" w:cs="宋体"/>
          <w:b/>
          <w:bCs/>
          <w:color w:val="000000"/>
        </w:rPr>
        <w:t>Manzano-Alonso ML</w:t>
      </w:r>
      <w:r w:rsidRPr="00463038">
        <w:rPr>
          <w:rFonts w:ascii="Book Antiqua" w:hAnsi="Book Antiqua" w:cs="宋体"/>
          <w:color w:val="000000"/>
        </w:rPr>
        <w:t>, Castellano-Tortajada G. Reactivation of hepatitis B virus infection after cytotoxic chemotherapy or immunosuppressive therapy. </w:t>
      </w:r>
      <w:r w:rsidRPr="00463038">
        <w:rPr>
          <w:rFonts w:ascii="Book Antiqua" w:hAnsi="Book Antiqua" w:cs="宋体"/>
          <w:i/>
          <w:iCs/>
          <w:color w:val="000000"/>
        </w:rPr>
        <w:t>World J Gastroenterol</w:t>
      </w:r>
      <w:r w:rsidRPr="00463038">
        <w:rPr>
          <w:rFonts w:ascii="Book Antiqua" w:hAnsi="Book Antiqua" w:cs="宋体"/>
          <w:color w:val="000000"/>
        </w:rPr>
        <w:t> 2011; </w:t>
      </w:r>
      <w:r w:rsidRPr="00463038">
        <w:rPr>
          <w:rFonts w:ascii="Book Antiqua" w:hAnsi="Book Antiqua" w:cs="宋体"/>
          <w:b/>
          <w:bCs/>
          <w:color w:val="000000"/>
        </w:rPr>
        <w:t>17</w:t>
      </w:r>
      <w:r w:rsidRPr="00463038">
        <w:rPr>
          <w:rFonts w:ascii="Book Antiqua" w:hAnsi="Book Antiqua" w:cs="宋体"/>
          <w:color w:val="000000"/>
        </w:rPr>
        <w:t>: 1531-1537 [PMID: 21472116 DOI: 10.3748/wjg.v17.i12.1531]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66 </w:t>
      </w:r>
      <w:r w:rsidRPr="00463038">
        <w:rPr>
          <w:rFonts w:ascii="Book Antiqua" w:hAnsi="Book Antiqua" w:cs="宋体"/>
          <w:b/>
          <w:bCs/>
          <w:color w:val="000000"/>
        </w:rPr>
        <w:t>Reddy KR</w:t>
      </w:r>
      <w:r w:rsidRPr="00463038">
        <w:rPr>
          <w:rFonts w:ascii="Book Antiqua" w:hAnsi="Book Antiqua" w:cs="宋体"/>
          <w:color w:val="000000"/>
        </w:rPr>
        <w:t>, Beavers KL, Hammond SP, Lim JK, Falck-Ytter YT. American Gastroenterological Association Institute guideline on the prevention and treatment of hepatitis B virus reactivation during immunosuppressive drug therapy. </w:t>
      </w:r>
      <w:r w:rsidRPr="00463038">
        <w:rPr>
          <w:rFonts w:ascii="Book Antiqua" w:hAnsi="Book Antiqua" w:cs="宋体"/>
          <w:i/>
          <w:iCs/>
          <w:color w:val="000000"/>
        </w:rPr>
        <w:t>Gastroenterology</w:t>
      </w:r>
      <w:r w:rsidRPr="00463038">
        <w:rPr>
          <w:rFonts w:ascii="Book Antiqua" w:hAnsi="Book Antiqua" w:cs="宋体"/>
          <w:color w:val="000000"/>
        </w:rPr>
        <w:t> 2015; </w:t>
      </w:r>
      <w:r w:rsidRPr="00463038">
        <w:rPr>
          <w:rFonts w:ascii="Book Antiqua" w:hAnsi="Book Antiqua" w:cs="宋体"/>
          <w:b/>
          <w:bCs/>
          <w:color w:val="000000"/>
        </w:rPr>
        <w:t>148</w:t>
      </w:r>
      <w:r w:rsidRPr="00463038">
        <w:rPr>
          <w:rFonts w:ascii="Book Antiqua" w:hAnsi="Book Antiqua" w:cs="宋体"/>
          <w:color w:val="000000"/>
        </w:rPr>
        <w:t>: 215-219; quiz e16-7 [PMID: 25447850 DOI: 10.1053/j.gastro.2014.10.039]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67 </w:t>
      </w:r>
      <w:r w:rsidRPr="00463038">
        <w:rPr>
          <w:rFonts w:ascii="Book Antiqua" w:hAnsi="Book Antiqua" w:cs="宋体"/>
          <w:b/>
          <w:bCs/>
          <w:color w:val="000000"/>
        </w:rPr>
        <w:t>Lok AS</w:t>
      </w:r>
      <w:r w:rsidRPr="00463038">
        <w:rPr>
          <w:rFonts w:ascii="Book Antiqua" w:hAnsi="Book Antiqua" w:cs="宋体"/>
          <w:color w:val="000000"/>
        </w:rPr>
        <w:t>, McMahon BJ. Chronic hepatitis B: update 2009. </w:t>
      </w:r>
      <w:r w:rsidRPr="00463038">
        <w:rPr>
          <w:rFonts w:ascii="Book Antiqua" w:hAnsi="Book Antiqua" w:cs="宋体"/>
          <w:i/>
          <w:iCs/>
          <w:color w:val="000000"/>
        </w:rPr>
        <w:t>Hepatology</w:t>
      </w:r>
      <w:r w:rsidRPr="00463038">
        <w:rPr>
          <w:rFonts w:ascii="Book Antiqua" w:hAnsi="Book Antiqua" w:cs="宋体"/>
          <w:color w:val="000000"/>
        </w:rPr>
        <w:t> 2009; </w:t>
      </w:r>
      <w:r w:rsidRPr="00463038">
        <w:rPr>
          <w:rFonts w:ascii="Book Antiqua" w:hAnsi="Book Antiqua" w:cs="宋体"/>
          <w:b/>
          <w:bCs/>
          <w:color w:val="000000"/>
        </w:rPr>
        <w:t>50</w:t>
      </w:r>
      <w:r w:rsidRPr="00463038">
        <w:rPr>
          <w:rFonts w:ascii="Book Antiqua" w:hAnsi="Book Antiqua" w:cs="宋体"/>
          <w:color w:val="000000"/>
        </w:rPr>
        <w:t>: 661-662 [PMID: 19714720 DOI: 10.1002/hep.23190]</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68 </w:t>
      </w:r>
      <w:r w:rsidRPr="00463038">
        <w:rPr>
          <w:rFonts w:ascii="Book Antiqua" w:hAnsi="Book Antiqua" w:cs="宋体"/>
          <w:b/>
          <w:bCs/>
          <w:color w:val="000000"/>
        </w:rPr>
        <w:t>Björnsson ES</w:t>
      </w:r>
      <w:r w:rsidRPr="00463038">
        <w:rPr>
          <w:rFonts w:ascii="Book Antiqua" w:hAnsi="Book Antiqua" w:cs="宋体"/>
          <w:color w:val="000000"/>
        </w:rPr>
        <w:t>, Gunnarsson BI, Gröndal G, Jonasson JG, Einarsdottir R, Ludviksson BR, Gudbjörnsson B, Olafsson S. Risk of drug-induced liver injury from tumor necrosis factor antagonists. </w:t>
      </w:r>
      <w:r w:rsidRPr="00463038">
        <w:rPr>
          <w:rFonts w:ascii="Book Antiqua" w:hAnsi="Book Antiqua" w:cs="宋体"/>
          <w:i/>
          <w:iCs/>
          <w:color w:val="000000"/>
        </w:rPr>
        <w:t>Clin Gastroenterol Hepatol</w:t>
      </w:r>
      <w:r w:rsidRPr="00463038">
        <w:rPr>
          <w:rFonts w:ascii="Book Antiqua" w:hAnsi="Book Antiqua" w:cs="宋体"/>
          <w:color w:val="000000"/>
        </w:rPr>
        <w:t> 2015; </w:t>
      </w:r>
      <w:r w:rsidRPr="00463038">
        <w:rPr>
          <w:rFonts w:ascii="Book Antiqua" w:hAnsi="Book Antiqua" w:cs="宋体"/>
          <w:b/>
          <w:bCs/>
          <w:color w:val="000000"/>
        </w:rPr>
        <w:t>13</w:t>
      </w:r>
      <w:r w:rsidRPr="00463038">
        <w:rPr>
          <w:rFonts w:ascii="Book Antiqua" w:hAnsi="Book Antiqua" w:cs="宋体"/>
          <w:color w:val="000000"/>
        </w:rPr>
        <w:t>: 602-608 [PMID: 25131534 DOI: 10.1016/j.cgh.2014.07.062]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69 </w:t>
      </w:r>
      <w:r w:rsidRPr="00463038">
        <w:rPr>
          <w:rFonts w:ascii="Book Antiqua" w:hAnsi="Book Antiqua" w:cs="宋体"/>
          <w:b/>
          <w:bCs/>
          <w:color w:val="000000"/>
        </w:rPr>
        <w:t>Adar T</w:t>
      </w:r>
      <w:r w:rsidRPr="00463038">
        <w:rPr>
          <w:rFonts w:ascii="Book Antiqua" w:hAnsi="Book Antiqua" w:cs="宋体"/>
          <w:color w:val="000000"/>
        </w:rPr>
        <w:t>, Mizrahi M, Pappo O, Scheiman-Elazary A, Shibolet O. Adalimumab-induced autoimmune hepatitis. </w:t>
      </w:r>
      <w:r w:rsidRPr="00463038">
        <w:rPr>
          <w:rFonts w:ascii="Book Antiqua" w:hAnsi="Book Antiqua" w:cs="宋体"/>
          <w:i/>
          <w:iCs/>
          <w:color w:val="000000"/>
        </w:rPr>
        <w:t>J Clin Gastroenterol</w:t>
      </w:r>
      <w:r w:rsidRPr="00463038">
        <w:rPr>
          <w:rFonts w:ascii="Book Antiqua" w:hAnsi="Book Antiqua" w:cs="宋体"/>
          <w:color w:val="000000"/>
        </w:rPr>
        <w:t> 2010; </w:t>
      </w:r>
      <w:r w:rsidRPr="00463038">
        <w:rPr>
          <w:rFonts w:ascii="Book Antiqua" w:hAnsi="Book Antiqua" w:cs="宋体"/>
          <w:b/>
          <w:bCs/>
          <w:color w:val="000000"/>
        </w:rPr>
        <w:t>44</w:t>
      </w:r>
      <w:r w:rsidRPr="00463038">
        <w:rPr>
          <w:rFonts w:ascii="Book Antiqua" w:hAnsi="Book Antiqua" w:cs="宋体"/>
          <w:color w:val="000000"/>
        </w:rPr>
        <w:t>: e20-e22 [PMID: 19593165 DOI: 10.1097/MCG.0b013e3181a745e7]</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70 </w:t>
      </w:r>
      <w:r w:rsidRPr="00463038">
        <w:rPr>
          <w:rFonts w:ascii="Book Antiqua" w:hAnsi="Book Antiqua" w:cs="宋体"/>
          <w:b/>
          <w:bCs/>
          <w:color w:val="000000"/>
        </w:rPr>
        <w:t>Grasland A</w:t>
      </w:r>
      <w:r w:rsidRPr="00463038">
        <w:rPr>
          <w:rFonts w:ascii="Book Antiqua" w:hAnsi="Book Antiqua" w:cs="宋体"/>
          <w:color w:val="000000"/>
        </w:rPr>
        <w:t>, Sterpu R, Boussoukaya S, Mahe I. Autoimmune hepatitis induced by adalimumab with successful switch to abatacept. </w:t>
      </w:r>
      <w:r w:rsidRPr="00463038">
        <w:rPr>
          <w:rFonts w:ascii="Book Antiqua" w:hAnsi="Book Antiqua" w:cs="宋体"/>
          <w:i/>
          <w:iCs/>
          <w:color w:val="000000"/>
        </w:rPr>
        <w:t>Eur J Clin Pharmacol</w:t>
      </w:r>
      <w:r w:rsidRPr="00463038">
        <w:rPr>
          <w:rFonts w:ascii="Book Antiqua" w:hAnsi="Book Antiqua" w:cs="宋体"/>
          <w:color w:val="000000"/>
        </w:rPr>
        <w:t> 2012; </w:t>
      </w:r>
      <w:r w:rsidRPr="00463038">
        <w:rPr>
          <w:rFonts w:ascii="Book Antiqua" w:hAnsi="Book Antiqua" w:cs="宋体"/>
          <w:b/>
          <w:bCs/>
          <w:color w:val="000000"/>
        </w:rPr>
        <w:t>68</w:t>
      </w:r>
      <w:r w:rsidRPr="00463038">
        <w:rPr>
          <w:rFonts w:ascii="Book Antiqua" w:hAnsi="Book Antiqua" w:cs="宋体"/>
          <w:color w:val="000000"/>
        </w:rPr>
        <w:t>: 895-898 [PMID: 22205272 DOI: 10.1007/s00228-011-1191-4]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71 </w:t>
      </w:r>
      <w:r w:rsidRPr="00463038">
        <w:rPr>
          <w:rFonts w:ascii="Book Antiqua" w:hAnsi="Book Antiqua" w:cs="宋体"/>
          <w:b/>
          <w:bCs/>
          <w:color w:val="000000"/>
        </w:rPr>
        <w:t>Cravo M</w:t>
      </w:r>
      <w:r w:rsidRPr="00463038">
        <w:rPr>
          <w:rFonts w:ascii="Book Antiqua" w:hAnsi="Book Antiqua" w:cs="宋体"/>
          <w:color w:val="000000"/>
        </w:rPr>
        <w:t>, Silva R, Serrano M. Autoimmune hepatitis induced by infliximab in a patient with Crohn's disease with no relapse after switching to adalimumab. </w:t>
      </w:r>
      <w:r w:rsidRPr="00463038">
        <w:rPr>
          <w:rFonts w:ascii="Book Antiqua" w:hAnsi="Book Antiqua" w:cs="宋体"/>
          <w:i/>
          <w:iCs/>
          <w:color w:val="000000"/>
        </w:rPr>
        <w:t>BioDrugs</w:t>
      </w:r>
      <w:r w:rsidRPr="00463038">
        <w:rPr>
          <w:rFonts w:ascii="Book Antiqua" w:hAnsi="Book Antiqua" w:cs="宋体"/>
          <w:color w:val="000000"/>
        </w:rPr>
        <w:t> 2010; </w:t>
      </w:r>
      <w:r w:rsidRPr="00463038">
        <w:rPr>
          <w:rFonts w:ascii="Book Antiqua" w:hAnsi="Book Antiqua" w:cs="宋体"/>
          <w:b/>
          <w:bCs/>
          <w:color w:val="000000"/>
        </w:rPr>
        <w:t xml:space="preserve">24 </w:t>
      </w:r>
      <w:r w:rsidRPr="00463038">
        <w:rPr>
          <w:rFonts w:ascii="Book Antiqua" w:hAnsi="Book Antiqua" w:cs="宋体"/>
          <w:bCs/>
          <w:color w:val="000000"/>
        </w:rPr>
        <w:t>Suppl 1</w:t>
      </w:r>
      <w:r w:rsidRPr="00463038">
        <w:rPr>
          <w:rFonts w:ascii="Book Antiqua" w:hAnsi="Book Antiqua" w:cs="宋体"/>
          <w:color w:val="000000"/>
        </w:rPr>
        <w:t>: 25-27 [PMID: 21175232 DOI: 10.2165/11586210-000000000-00000]</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72 </w:t>
      </w:r>
      <w:r w:rsidRPr="00463038">
        <w:rPr>
          <w:rFonts w:ascii="Book Antiqua" w:hAnsi="Book Antiqua" w:cs="宋体"/>
          <w:b/>
          <w:bCs/>
          <w:color w:val="000000"/>
        </w:rPr>
        <w:t>Goldfeld DA</w:t>
      </w:r>
      <w:r w:rsidRPr="00463038">
        <w:rPr>
          <w:rFonts w:ascii="Book Antiqua" w:hAnsi="Book Antiqua" w:cs="宋体"/>
          <w:color w:val="000000"/>
        </w:rPr>
        <w:t>, Verna EC, Lefkowitch J, Swaminath A. Infliximab-induced autoimmune hepatitis with successful switch to adalimumab in a patient with Crohn's disease: the index case. </w:t>
      </w:r>
      <w:r w:rsidRPr="00463038">
        <w:rPr>
          <w:rFonts w:ascii="Book Antiqua" w:hAnsi="Book Antiqua" w:cs="宋体"/>
          <w:i/>
          <w:iCs/>
          <w:color w:val="000000"/>
        </w:rPr>
        <w:t>Dig Dis Sci</w:t>
      </w:r>
      <w:r w:rsidRPr="00463038">
        <w:rPr>
          <w:rFonts w:ascii="Book Antiqua" w:hAnsi="Book Antiqua" w:cs="宋体"/>
          <w:color w:val="000000"/>
        </w:rPr>
        <w:t> 2011; </w:t>
      </w:r>
      <w:r w:rsidRPr="00463038">
        <w:rPr>
          <w:rFonts w:ascii="Book Antiqua" w:hAnsi="Book Antiqua" w:cs="宋体"/>
          <w:b/>
          <w:bCs/>
          <w:color w:val="000000"/>
        </w:rPr>
        <w:t>56</w:t>
      </w:r>
      <w:r w:rsidRPr="00463038">
        <w:rPr>
          <w:rFonts w:ascii="Book Antiqua" w:hAnsi="Book Antiqua" w:cs="宋体"/>
          <w:color w:val="000000"/>
        </w:rPr>
        <w:t>: 3386-3388 [PMID: 21597977 DOI: 10.1007/s10620-011-1748-1]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73 </w:t>
      </w:r>
      <w:r w:rsidRPr="00463038">
        <w:rPr>
          <w:rFonts w:ascii="Book Antiqua" w:hAnsi="Book Antiqua" w:cs="宋体"/>
          <w:b/>
          <w:bCs/>
          <w:color w:val="000000"/>
        </w:rPr>
        <w:t>Kim E</w:t>
      </w:r>
      <w:r w:rsidRPr="00463038">
        <w:rPr>
          <w:rFonts w:ascii="Book Antiqua" w:hAnsi="Book Antiqua" w:cs="宋体"/>
          <w:color w:val="000000"/>
        </w:rPr>
        <w:t>, Bressler B, Schaeffer DF, Yoshida EM. Severe cholestasis due to adalimumab in a Crohn's disease patient. </w:t>
      </w:r>
      <w:r w:rsidRPr="00463038">
        <w:rPr>
          <w:rFonts w:ascii="Book Antiqua" w:hAnsi="Book Antiqua" w:cs="宋体"/>
          <w:i/>
          <w:iCs/>
          <w:color w:val="000000"/>
        </w:rPr>
        <w:t>World J Hepatol</w:t>
      </w:r>
      <w:r w:rsidRPr="00463038">
        <w:rPr>
          <w:rFonts w:ascii="Book Antiqua" w:hAnsi="Book Antiqua" w:cs="宋体"/>
          <w:color w:val="000000"/>
        </w:rPr>
        <w:t> 2013; </w:t>
      </w:r>
      <w:r w:rsidRPr="00463038">
        <w:rPr>
          <w:rFonts w:ascii="Book Antiqua" w:hAnsi="Book Antiqua" w:cs="宋体"/>
          <w:b/>
          <w:bCs/>
          <w:color w:val="000000"/>
        </w:rPr>
        <w:t>5</w:t>
      </w:r>
      <w:r w:rsidRPr="00463038">
        <w:rPr>
          <w:rFonts w:ascii="Book Antiqua" w:hAnsi="Book Antiqua" w:cs="宋体"/>
          <w:color w:val="000000"/>
        </w:rPr>
        <w:t>: 592-595 [PMID: 24179620 DOI: 10.4254/wjh.v5.i10.592]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74 </w:t>
      </w:r>
      <w:r w:rsidRPr="00463038">
        <w:rPr>
          <w:rFonts w:ascii="Book Antiqua" w:hAnsi="Book Antiqua" w:cs="宋体"/>
          <w:b/>
          <w:bCs/>
          <w:color w:val="000000"/>
        </w:rPr>
        <w:t>Matsumoto T</w:t>
      </w:r>
      <w:r w:rsidRPr="00463038">
        <w:rPr>
          <w:rFonts w:ascii="Book Antiqua" w:hAnsi="Book Antiqua" w:cs="宋体"/>
          <w:color w:val="000000"/>
        </w:rPr>
        <w:t>, Marusawa H, Dogaki M, Suginoshita Y, Inokuma T. Adalimumab-induced lethal hepatitis B virus reactivation in an HBsAg-negative patient with clinically resolved hepatitis B virus infection. </w:t>
      </w:r>
      <w:r w:rsidRPr="00463038">
        <w:rPr>
          <w:rFonts w:ascii="Book Antiqua" w:hAnsi="Book Antiqua" w:cs="宋体"/>
          <w:i/>
          <w:iCs/>
          <w:color w:val="000000"/>
        </w:rPr>
        <w:t>Liver Int</w:t>
      </w:r>
      <w:r w:rsidRPr="00463038">
        <w:rPr>
          <w:rFonts w:ascii="Book Antiqua" w:hAnsi="Book Antiqua" w:cs="宋体"/>
          <w:color w:val="000000"/>
        </w:rPr>
        <w:t> 2010; </w:t>
      </w:r>
      <w:r w:rsidRPr="00463038">
        <w:rPr>
          <w:rFonts w:ascii="Book Antiqua" w:hAnsi="Book Antiqua" w:cs="宋体"/>
          <w:b/>
          <w:bCs/>
          <w:color w:val="000000"/>
        </w:rPr>
        <w:t>30</w:t>
      </w:r>
      <w:r w:rsidRPr="00463038">
        <w:rPr>
          <w:rFonts w:ascii="Book Antiqua" w:hAnsi="Book Antiqua" w:cs="宋体"/>
          <w:color w:val="000000"/>
        </w:rPr>
        <w:t>: 1241-1242 [PMID: 20345703 DOI: 10.1111/j.1478-3231.2010.02238.x]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75 </w:t>
      </w:r>
      <w:r w:rsidRPr="00463038">
        <w:rPr>
          <w:rFonts w:ascii="Book Antiqua" w:hAnsi="Book Antiqua" w:cs="宋体"/>
          <w:b/>
          <w:bCs/>
          <w:color w:val="000000"/>
        </w:rPr>
        <w:t>Verhelst X</w:t>
      </w:r>
      <w:r w:rsidRPr="00463038">
        <w:rPr>
          <w:rFonts w:ascii="Book Antiqua" w:hAnsi="Book Antiqua" w:cs="宋体"/>
          <w:color w:val="000000"/>
        </w:rPr>
        <w:t>, Orlent H, Colle I, Geerts A, De Vos M, Van Vlierberghe H. Subfulminant hepatitis B during treatment with adalimumab in a patient with rheumatoid arthritis and chronic hepatitis B. </w:t>
      </w:r>
      <w:r w:rsidRPr="00463038">
        <w:rPr>
          <w:rFonts w:ascii="Book Antiqua" w:hAnsi="Book Antiqua" w:cs="宋体"/>
          <w:i/>
          <w:iCs/>
          <w:color w:val="000000"/>
        </w:rPr>
        <w:t>Eur J Gastroenterol Hepatol</w:t>
      </w:r>
      <w:r w:rsidRPr="00463038">
        <w:rPr>
          <w:rFonts w:ascii="Book Antiqua" w:hAnsi="Book Antiqua" w:cs="宋体"/>
          <w:color w:val="000000"/>
        </w:rPr>
        <w:t> 2010; </w:t>
      </w:r>
      <w:r w:rsidRPr="00463038">
        <w:rPr>
          <w:rFonts w:ascii="Book Antiqua" w:hAnsi="Book Antiqua" w:cs="宋体"/>
          <w:b/>
          <w:bCs/>
          <w:color w:val="000000"/>
        </w:rPr>
        <w:t>22</w:t>
      </w:r>
      <w:r w:rsidRPr="00463038">
        <w:rPr>
          <w:rFonts w:ascii="Book Antiqua" w:hAnsi="Book Antiqua" w:cs="宋体"/>
          <w:color w:val="000000"/>
        </w:rPr>
        <w:t>: 494-499 [PMID: 20306568 DOI: 10.1097/MEG.0b013e3283329d13]</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76 </w:t>
      </w:r>
      <w:r w:rsidRPr="00463038">
        <w:rPr>
          <w:rFonts w:ascii="Book Antiqua" w:hAnsi="Book Antiqua" w:cs="宋体"/>
          <w:b/>
          <w:bCs/>
          <w:color w:val="000000"/>
        </w:rPr>
        <w:t>Thai A</w:t>
      </w:r>
      <w:r w:rsidRPr="00463038">
        <w:rPr>
          <w:rFonts w:ascii="Book Antiqua" w:hAnsi="Book Antiqua" w:cs="宋体"/>
          <w:color w:val="000000"/>
        </w:rPr>
        <w:t>, Prindiville T. Hepatosplenic T-cell lymphoma and inflammatory bowel disease. </w:t>
      </w:r>
      <w:r w:rsidRPr="00463038">
        <w:rPr>
          <w:rFonts w:ascii="Book Antiqua" w:hAnsi="Book Antiqua" w:cs="宋体"/>
          <w:i/>
          <w:iCs/>
          <w:color w:val="000000"/>
        </w:rPr>
        <w:t>J Crohns Colitis</w:t>
      </w:r>
      <w:r w:rsidRPr="00463038">
        <w:rPr>
          <w:rFonts w:ascii="Book Antiqua" w:hAnsi="Book Antiqua" w:cs="宋体"/>
          <w:color w:val="000000"/>
        </w:rPr>
        <w:t> 2010; </w:t>
      </w:r>
      <w:r w:rsidRPr="00463038">
        <w:rPr>
          <w:rFonts w:ascii="Book Antiqua" w:hAnsi="Book Antiqua" w:cs="宋体"/>
          <w:b/>
          <w:bCs/>
          <w:color w:val="000000"/>
        </w:rPr>
        <w:t>4</w:t>
      </w:r>
      <w:r w:rsidRPr="00463038">
        <w:rPr>
          <w:rFonts w:ascii="Book Antiqua" w:hAnsi="Book Antiqua" w:cs="宋体"/>
          <w:color w:val="000000"/>
        </w:rPr>
        <w:t>: 511-522 [PMID: 21122554 DOI: 10.1016/j.crohns.2010.05.006]</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77 </w:t>
      </w:r>
      <w:r w:rsidRPr="00463038">
        <w:rPr>
          <w:rFonts w:ascii="Book Antiqua" w:hAnsi="Book Antiqua" w:cs="宋体"/>
          <w:b/>
          <w:bCs/>
          <w:color w:val="000000"/>
        </w:rPr>
        <w:t>Ghosh S</w:t>
      </w:r>
      <w:r w:rsidRPr="00463038">
        <w:rPr>
          <w:rFonts w:ascii="Book Antiqua" w:hAnsi="Book Antiqua" w:cs="宋体"/>
          <w:color w:val="000000"/>
        </w:rPr>
        <w:t>, Goldin E, Gordon FH, Malchow HA, Rask-Madsen J, Rutgeerts P, Vyhnálek P, Zádorová Z, Palmer T, Donoghue S. Natalizumab for active Crohn's disease. </w:t>
      </w:r>
      <w:r w:rsidRPr="00463038">
        <w:rPr>
          <w:rFonts w:ascii="Book Antiqua" w:hAnsi="Book Antiqua" w:cs="宋体"/>
          <w:i/>
          <w:iCs/>
          <w:color w:val="000000"/>
        </w:rPr>
        <w:t>N Engl J Med</w:t>
      </w:r>
      <w:r w:rsidRPr="00463038">
        <w:rPr>
          <w:rFonts w:ascii="Book Antiqua" w:hAnsi="Book Antiqua" w:cs="宋体"/>
          <w:color w:val="000000"/>
        </w:rPr>
        <w:t> 2003; </w:t>
      </w:r>
      <w:r w:rsidRPr="00463038">
        <w:rPr>
          <w:rFonts w:ascii="Book Antiqua" w:hAnsi="Book Antiqua" w:cs="宋体"/>
          <w:b/>
          <w:bCs/>
          <w:color w:val="000000"/>
        </w:rPr>
        <w:t>348</w:t>
      </w:r>
      <w:r w:rsidRPr="00463038">
        <w:rPr>
          <w:rFonts w:ascii="Book Antiqua" w:hAnsi="Book Antiqua" w:cs="宋体"/>
          <w:color w:val="000000"/>
        </w:rPr>
        <w:t>: 24-32 [PMID: 12510039 DOI: 10.1056/NEJMoa020732]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78 </w:t>
      </w:r>
      <w:r w:rsidRPr="00463038">
        <w:rPr>
          <w:rFonts w:ascii="Book Antiqua" w:hAnsi="Book Antiqua" w:cs="宋体"/>
          <w:b/>
          <w:bCs/>
          <w:color w:val="000000"/>
        </w:rPr>
        <w:t>Sandborn WJ</w:t>
      </w:r>
      <w:r w:rsidRPr="00463038">
        <w:rPr>
          <w:rFonts w:ascii="Book Antiqua" w:hAnsi="Book Antiqua" w:cs="宋体"/>
          <w:color w:val="000000"/>
        </w:rPr>
        <w:t>, Colombel JF, Enns R, Feagan BG, Hanauer SB, Lawrance IC, Panaccione R, Sanders M, Schreiber S, Targan S, van Deventer S, Goldblum R, Despain D, Hogge GS, Rutgeerts P. Natalizumab induction and maintenance therapy for Crohn's disease. </w:t>
      </w:r>
      <w:r w:rsidRPr="00463038">
        <w:rPr>
          <w:rFonts w:ascii="Book Antiqua" w:hAnsi="Book Antiqua" w:cs="宋体"/>
          <w:i/>
          <w:iCs/>
          <w:color w:val="000000"/>
        </w:rPr>
        <w:t>N Engl J Med</w:t>
      </w:r>
      <w:r w:rsidRPr="00463038">
        <w:rPr>
          <w:rFonts w:ascii="Book Antiqua" w:hAnsi="Book Antiqua" w:cs="宋体"/>
          <w:color w:val="000000"/>
        </w:rPr>
        <w:t> 2005; </w:t>
      </w:r>
      <w:r w:rsidRPr="00463038">
        <w:rPr>
          <w:rFonts w:ascii="Book Antiqua" w:hAnsi="Book Antiqua" w:cs="宋体"/>
          <w:b/>
          <w:bCs/>
          <w:color w:val="000000"/>
        </w:rPr>
        <w:t>353</w:t>
      </w:r>
      <w:r w:rsidRPr="00463038">
        <w:rPr>
          <w:rFonts w:ascii="Book Antiqua" w:hAnsi="Book Antiqua" w:cs="宋体"/>
          <w:color w:val="000000"/>
        </w:rPr>
        <w:t>: 1912-1925 [PMID: 16267322 DOI: 10.1056/NEJMoa043335]</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79 </w:t>
      </w:r>
      <w:r w:rsidRPr="00463038">
        <w:rPr>
          <w:rFonts w:ascii="Book Antiqua" w:hAnsi="Book Antiqua" w:cs="宋体"/>
          <w:b/>
          <w:bCs/>
          <w:color w:val="000000"/>
        </w:rPr>
        <w:t>Gordon FH</w:t>
      </w:r>
      <w:r w:rsidRPr="00463038">
        <w:rPr>
          <w:rFonts w:ascii="Book Antiqua" w:hAnsi="Book Antiqua" w:cs="宋体"/>
          <w:color w:val="000000"/>
        </w:rPr>
        <w:t>, Lai CW, Hamilton MI, Allison MC, Srivastava ED, Fouweather MG, Donoghue S, Greenlees C, Subhani J, Amlot PL, Pounder RE. A randomized placebo-controlled trial of a humanized monoclonal antibody to alpha4 integrin in active Crohn's disease. </w:t>
      </w:r>
      <w:r w:rsidRPr="00463038">
        <w:rPr>
          <w:rFonts w:ascii="Book Antiqua" w:hAnsi="Book Antiqua" w:cs="宋体"/>
          <w:i/>
          <w:iCs/>
          <w:color w:val="000000"/>
        </w:rPr>
        <w:t>Gastroenterology</w:t>
      </w:r>
      <w:r w:rsidRPr="00463038">
        <w:rPr>
          <w:rFonts w:ascii="Book Antiqua" w:hAnsi="Book Antiqua" w:cs="宋体"/>
          <w:color w:val="000000"/>
        </w:rPr>
        <w:t> 2001; </w:t>
      </w:r>
      <w:r w:rsidRPr="00463038">
        <w:rPr>
          <w:rFonts w:ascii="Book Antiqua" w:hAnsi="Book Antiqua" w:cs="宋体"/>
          <w:b/>
          <w:bCs/>
          <w:color w:val="000000"/>
        </w:rPr>
        <w:t>121</w:t>
      </w:r>
      <w:r w:rsidRPr="00463038">
        <w:rPr>
          <w:rFonts w:ascii="Book Antiqua" w:hAnsi="Book Antiqua" w:cs="宋体"/>
          <w:color w:val="000000"/>
        </w:rPr>
        <w:t>: 268-274 [PMID: 11487536 DOI: 10.1053/gast.2001.26260]</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80 </w:t>
      </w:r>
      <w:r w:rsidRPr="00463038">
        <w:rPr>
          <w:rFonts w:ascii="Book Antiqua" w:hAnsi="Book Antiqua" w:cs="宋体"/>
          <w:b/>
          <w:bCs/>
          <w:color w:val="000000"/>
        </w:rPr>
        <w:t>Miller DH</w:t>
      </w:r>
      <w:r w:rsidRPr="00463038">
        <w:rPr>
          <w:rFonts w:ascii="Book Antiqua" w:hAnsi="Book Antiqua" w:cs="宋体"/>
          <w:color w:val="000000"/>
        </w:rPr>
        <w:t>, Khan OA, Sheremata WA, Blumhardt LD, Rice GP, Libonati MA, Willmer-Hulme AJ, Dalton CM, Miszkiel KA, O'Connor PW. A controlled trial of natalizumab for relapsing multiple sclerosis. </w:t>
      </w:r>
      <w:r w:rsidRPr="00463038">
        <w:rPr>
          <w:rFonts w:ascii="Book Antiqua" w:hAnsi="Book Antiqua" w:cs="宋体"/>
          <w:i/>
          <w:iCs/>
          <w:color w:val="000000"/>
        </w:rPr>
        <w:t>N Engl J Med</w:t>
      </w:r>
      <w:r w:rsidRPr="00463038">
        <w:rPr>
          <w:rFonts w:ascii="Book Antiqua" w:hAnsi="Book Antiqua" w:cs="宋体"/>
          <w:color w:val="000000"/>
        </w:rPr>
        <w:t> 2003; </w:t>
      </w:r>
      <w:r w:rsidRPr="00463038">
        <w:rPr>
          <w:rFonts w:ascii="Book Antiqua" w:hAnsi="Book Antiqua" w:cs="宋体"/>
          <w:b/>
          <w:bCs/>
          <w:color w:val="000000"/>
        </w:rPr>
        <w:t>348</w:t>
      </w:r>
      <w:r w:rsidRPr="00463038">
        <w:rPr>
          <w:rFonts w:ascii="Book Antiqua" w:hAnsi="Book Antiqua" w:cs="宋体"/>
          <w:color w:val="000000"/>
        </w:rPr>
        <w:t>: 15-23 [PMID: 12510038 DOI: 10.1056/NEJMoa020696]</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81 </w:t>
      </w:r>
      <w:r w:rsidRPr="00463038">
        <w:rPr>
          <w:rFonts w:ascii="Book Antiqua" w:hAnsi="Book Antiqua" w:cs="宋体"/>
          <w:b/>
          <w:bCs/>
          <w:color w:val="000000"/>
        </w:rPr>
        <w:t>Sands BE</w:t>
      </w:r>
      <w:r w:rsidRPr="00463038">
        <w:rPr>
          <w:rFonts w:ascii="Book Antiqua" w:hAnsi="Book Antiqua" w:cs="宋体"/>
          <w:color w:val="000000"/>
        </w:rPr>
        <w:t>, Kozarek R, Spainhour J, Barish CF, Becker S, Goldberg L, Katz S, Goldblum R, Harrigan R, Hilton D, Hanauer SB. Safety and tolerability of concurrent natalizumab treatment for patients with Crohn's disease not in remission while receiving infliximab. </w:t>
      </w:r>
      <w:r w:rsidRPr="00463038">
        <w:rPr>
          <w:rFonts w:ascii="Book Antiqua" w:hAnsi="Book Antiqua" w:cs="宋体"/>
          <w:i/>
          <w:iCs/>
          <w:color w:val="000000"/>
        </w:rPr>
        <w:t>Inflamm Bowel Dis</w:t>
      </w:r>
      <w:r w:rsidRPr="00463038">
        <w:rPr>
          <w:rFonts w:ascii="Book Antiqua" w:hAnsi="Book Antiqua" w:cs="宋体"/>
          <w:color w:val="000000"/>
        </w:rPr>
        <w:t> 2007; </w:t>
      </w:r>
      <w:r w:rsidRPr="00463038">
        <w:rPr>
          <w:rFonts w:ascii="Book Antiqua" w:hAnsi="Book Antiqua" w:cs="宋体"/>
          <w:b/>
          <w:bCs/>
          <w:color w:val="000000"/>
        </w:rPr>
        <w:t>13</w:t>
      </w:r>
      <w:r w:rsidRPr="00463038">
        <w:rPr>
          <w:rFonts w:ascii="Book Antiqua" w:hAnsi="Book Antiqua" w:cs="宋体"/>
          <w:color w:val="000000"/>
        </w:rPr>
        <w:t>: 2-11 [PMID: 17206633 DOI: 10.1002/ibd.20014]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82 </w:t>
      </w:r>
      <w:r w:rsidRPr="00463038">
        <w:rPr>
          <w:rFonts w:ascii="Book Antiqua" w:hAnsi="Book Antiqua" w:cs="宋体"/>
          <w:b/>
          <w:bCs/>
          <w:color w:val="000000"/>
        </w:rPr>
        <w:t>Targan SR</w:t>
      </w:r>
      <w:r w:rsidRPr="00463038">
        <w:rPr>
          <w:rFonts w:ascii="Book Antiqua" w:hAnsi="Book Antiqua" w:cs="宋体"/>
          <w:color w:val="000000"/>
        </w:rPr>
        <w:t>, Feagan BG, Fedorak RN, Lashner BA, Panaccione R, Present DH, Spehlmann ME, Rutgeerts PJ, Tulassay Z, Volfova M, Wolf DC, Hernandez C, Bornstein J, Sandborn WJ. Natalizumab for the treatment of active Crohn's disease: results of the ENCORE Trial. </w:t>
      </w:r>
      <w:r w:rsidRPr="00463038">
        <w:rPr>
          <w:rFonts w:ascii="Book Antiqua" w:hAnsi="Book Antiqua" w:cs="宋体"/>
          <w:i/>
          <w:iCs/>
          <w:color w:val="000000"/>
        </w:rPr>
        <w:t>Gastroenterology</w:t>
      </w:r>
      <w:r w:rsidRPr="00463038">
        <w:rPr>
          <w:rFonts w:ascii="Book Antiqua" w:hAnsi="Book Antiqua" w:cs="宋体"/>
          <w:color w:val="000000"/>
        </w:rPr>
        <w:t> 2007; </w:t>
      </w:r>
      <w:r w:rsidRPr="00463038">
        <w:rPr>
          <w:rFonts w:ascii="Book Antiqua" w:hAnsi="Book Antiqua" w:cs="宋体"/>
          <w:b/>
          <w:bCs/>
          <w:color w:val="000000"/>
        </w:rPr>
        <w:t>132</w:t>
      </w:r>
      <w:r w:rsidRPr="00463038">
        <w:rPr>
          <w:rFonts w:ascii="Book Antiqua" w:hAnsi="Book Antiqua" w:cs="宋体"/>
          <w:color w:val="000000"/>
        </w:rPr>
        <w:t>: 1672-1683 [PMID: 17484865 DOI: 10.1053/j.gastro.2007.03.024]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83 </w:t>
      </w:r>
      <w:r w:rsidRPr="00463038">
        <w:rPr>
          <w:rFonts w:ascii="Book Antiqua" w:hAnsi="Book Antiqua" w:cs="宋体"/>
          <w:b/>
          <w:bCs/>
          <w:color w:val="000000"/>
        </w:rPr>
        <w:t>Keeley KA</w:t>
      </w:r>
      <w:r w:rsidRPr="00463038">
        <w:rPr>
          <w:rFonts w:ascii="Book Antiqua" w:hAnsi="Book Antiqua" w:cs="宋体"/>
          <w:color w:val="000000"/>
        </w:rPr>
        <w:t>, Rivey MP, Allington DR. Natalizumab for the treatment of multiple sclerosis and Crohn's disease. </w:t>
      </w:r>
      <w:r w:rsidRPr="00463038">
        <w:rPr>
          <w:rFonts w:ascii="Book Antiqua" w:hAnsi="Book Antiqua" w:cs="宋体"/>
          <w:i/>
          <w:iCs/>
          <w:color w:val="000000"/>
        </w:rPr>
        <w:t>Ann Pharmacother</w:t>
      </w:r>
      <w:r w:rsidRPr="00463038">
        <w:rPr>
          <w:rFonts w:ascii="Book Antiqua" w:hAnsi="Book Antiqua" w:cs="宋体"/>
          <w:color w:val="000000"/>
        </w:rPr>
        <w:t> 2005; </w:t>
      </w:r>
      <w:r w:rsidRPr="00463038">
        <w:rPr>
          <w:rFonts w:ascii="Book Antiqua" w:hAnsi="Book Antiqua" w:cs="宋体"/>
          <w:b/>
          <w:bCs/>
          <w:color w:val="000000"/>
        </w:rPr>
        <w:t>39</w:t>
      </w:r>
      <w:r w:rsidRPr="00463038">
        <w:rPr>
          <w:rFonts w:ascii="Book Antiqua" w:hAnsi="Book Antiqua" w:cs="宋体"/>
          <w:color w:val="000000"/>
        </w:rPr>
        <w:t>: 1833-1843 [PMID: 16219898 DOI: 10.1345/aph.1G134]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84 </w:t>
      </w:r>
      <w:r w:rsidRPr="00463038">
        <w:rPr>
          <w:rFonts w:ascii="Book Antiqua" w:hAnsi="Book Antiqua" w:cs="宋体"/>
          <w:b/>
          <w:bCs/>
          <w:color w:val="000000"/>
        </w:rPr>
        <w:t>Polman CH</w:t>
      </w:r>
      <w:r w:rsidRPr="00463038">
        <w:rPr>
          <w:rFonts w:ascii="Book Antiqua" w:hAnsi="Book Antiqua" w:cs="宋体"/>
          <w:color w:val="000000"/>
        </w:rPr>
        <w:t>, O'Connor PW, Havrdova E, Hutchinson M, Kappos L, Miller DH, Phillips JT, Lublin FD, Giovannoni G, Wajgt A, Toal M, Lynn F, Panzara MA, Sandrock AW. A randomized, placebo-controlled trial of natalizumab for relapsing multiple sclerosis. </w:t>
      </w:r>
      <w:r w:rsidRPr="00463038">
        <w:rPr>
          <w:rFonts w:ascii="Book Antiqua" w:hAnsi="Book Antiqua" w:cs="宋体"/>
          <w:i/>
          <w:iCs/>
          <w:color w:val="000000"/>
        </w:rPr>
        <w:t>N Engl J Med</w:t>
      </w:r>
      <w:r w:rsidRPr="00463038">
        <w:rPr>
          <w:rFonts w:ascii="Book Antiqua" w:hAnsi="Book Antiqua" w:cs="宋体"/>
          <w:color w:val="000000"/>
        </w:rPr>
        <w:t> 2006; </w:t>
      </w:r>
      <w:r w:rsidRPr="00463038">
        <w:rPr>
          <w:rFonts w:ascii="Book Antiqua" w:hAnsi="Book Antiqua" w:cs="宋体"/>
          <w:b/>
          <w:bCs/>
          <w:color w:val="000000"/>
        </w:rPr>
        <w:t>354</w:t>
      </w:r>
      <w:r w:rsidRPr="00463038">
        <w:rPr>
          <w:rFonts w:ascii="Book Antiqua" w:hAnsi="Book Antiqua" w:cs="宋体"/>
          <w:color w:val="000000"/>
        </w:rPr>
        <w:t>: 899-910 [PMID: 16510744 DOI: 10.1056/NEJMoa044397]</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85 </w:t>
      </w:r>
      <w:r w:rsidRPr="00463038">
        <w:rPr>
          <w:rFonts w:ascii="Book Antiqua" w:hAnsi="Book Antiqua" w:cs="宋体"/>
          <w:b/>
          <w:bCs/>
          <w:color w:val="000000"/>
        </w:rPr>
        <w:t>Bezabeh S</w:t>
      </w:r>
      <w:r w:rsidRPr="00463038">
        <w:rPr>
          <w:rFonts w:ascii="Book Antiqua" w:hAnsi="Book Antiqua" w:cs="宋体"/>
          <w:color w:val="000000"/>
        </w:rPr>
        <w:t>, Flowers CM, Kortepeter C, Avigan M. Clinically significant liver injury in patients treated with natalizumab. </w:t>
      </w:r>
      <w:r w:rsidRPr="00463038">
        <w:rPr>
          <w:rFonts w:ascii="Book Antiqua" w:hAnsi="Book Antiqua" w:cs="宋体"/>
          <w:i/>
          <w:iCs/>
          <w:color w:val="000000"/>
        </w:rPr>
        <w:t>Aliment Pharmacol Ther</w:t>
      </w:r>
      <w:r w:rsidRPr="00463038">
        <w:rPr>
          <w:rFonts w:ascii="Book Antiqua" w:hAnsi="Book Antiqua" w:cs="宋体"/>
          <w:color w:val="000000"/>
        </w:rPr>
        <w:t> 2010; </w:t>
      </w:r>
      <w:r w:rsidRPr="00463038">
        <w:rPr>
          <w:rFonts w:ascii="Book Antiqua" w:hAnsi="Book Antiqua" w:cs="宋体"/>
          <w:b/>
          <w:bCs/>
          <w:color w:val="000000"/>
        </w:rPr>
        <w:t>31</w:t>
      </w:r>
      <w:r w:rsidRPr="00463038">
        <w:rPr>
          <w:rFonts w:ascii="Book Antiqua" w:hAnsi="Book Antiqua" w:cs="宋体"/>
          <w:color w:val="000000"/>
        </w:rPr>
        <w:t>: 1028-1035 [PMID: 20163378]</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86 </w:t>
      </w:r>
      <w:r w:rsidRPr="00463038">
        <w:rPr>
          <w:rFonts w:ascii="Book Antiqua" w:hAnsi="Book Antiqua" w:cs="宋体"/>
          <w:b/>
          <w:bCs/>
          <w:color w:val="000000"/>
        </w:rPr>
        <w:t>Feagan BG</w:t>
      </w:r>
      <w:r w:rsidRPr="00463038">
        <w:rPr>
          <w:rFonts w:ascii="Book Antiqua" w:hAnsi="Book Antiqua" w:cs="宋体"/>
          <w:color w:val="000000"/>
        </w:rPr>
        <w:t>, Rutgeerts P, Sands BE, Hanauer S, Colombel JF, Sandborn WJ, Van Assche G, Axler J, Kim HJ, Danese S, Fox I, Milch C, Sankoh S, Wyant T, Xu J, Parikh A. Vedolizumab as induction and maintenance therapy for ulcerative colitis. </w:t>
      </w:r>
      <w:r w:rsidRPr="00463038">
        <w:rPr>
          <w:rFonts w:ascii="Book Antiqua" w:hAnsi="Book Antiqua" w:cs="宋体"/>
          <w:i/>
          <w:iCs/>
          <w:color w:val="000000"/>
        </w:rPr>
        <w:t>N Engl J Med</w:t>
      </w:r>
      <w:r w:rsidRPr="00463038">
        <w:rPr>
          <w:rFonts w:ascii="Book Antiqua" w:hAnsi="Book Antiqua" w:cs="宋体"/>
          <w:color w:val="000000"/>
        </w:rPr>
        <w:t> 2013; </w:t>
      </w:r>
      <w:r w:rsidRPr="00463038">
        <w:rPr>
          <w:rFonts w:ascii="Book Antiqua" w:hAnsi="Book Antiqua" w:cs="宋体"/>
          <w:b/>
          <w:bCs/>
          <w:color w:val="000000"/>
        </w:rPr>
        <w:t>369</w:t>
      </w:r>
      <w:r w:rsidRPr="00463038">
        <w:rPr>
          <w:rFonts w:ascii="Book Antiqua" w:hAnsi="Book Antiqua" w:cs="宋体"/>
          <w:color w:val="000000"/>
        </w:rPr>
        <w:t>: 699-710 [PMID: 23964932 DOI: 10.1056/NEJMoa1215734]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87 </w:t>
      </w:r>
      <w:r w:rsidRPr="00463038">
        <w:rPr>
          <w:rFonts w:ascii="Book Antiqua" w:hAnsi="Book Antiqua" w:cs="宋体"/>
          <w:b/>
          <w:bCs/>
          <w:color w:val="000000"/>
        </w:rPr>
        <w:t>Sandborn WJ</w:t>
      </w:r>
      <w:r w:rsidRPr="00463038">
        <w:rPr>
          <w:rFonts w:ascii="Book Antiqua" w:hAnsi="Book Antiqua" w:cs="宋体"/>
          <w:color w:val="000000"/>
        </w:rPr>
        <w:t>, Feagan BG, Rutgeerts P, Hanauer S, Colombel JF, Sands BE, Lukas M, Fedorak RN, Lee S, Bressler B, Fox I, Rosario M, Sankoh S, Xu J, Stephens K, Milch C, Parikh A. Vedolizumab as induction and maintenance therapy for Crohn's disease. </w:t>
      </w:r>
      <w:r w:rsidRPr="00463038">
        <w:rPr>
          <w:rFonts w:ascii="Book Antiqua" w:hAnsi="Book Antiqua" w:cs="宋体"/>
          <w:i/>
          <w:iCs/>
          <w:color w:val="000000"/>
        </w:rPr>
        <w:t>N Engl J Med</w:t>
      </w:r>
      <w:r w:rsidRPr="00463038">
        <w:rPr>
          <w:rFonts w:ascii="Book Antiqua" w:hAnsi="Book Antiqua" w:cs="宋体"/>
          <w:color w:val="000000"/>
        </w:rPr>
        <w:t> 2013; </w:t>
      </w:r>
      <w:r w:rsidRPr="00463038">
        <w:rPr>
          <w:rFonts w:ascii="Book Antiqua" w:hAnsi="Book Antiqua" w:cs="宋体"/>
          <w:b/>
          <w:bCs/>
          <w:color w:val="000000"/>
        </w:rPr>
        <w:t>369</w:t>
      </w:r>
      <w:r w:rsidRPr="00463038">
        <w:rPr>
          <w:rFonts w:ascii="Book Antiqua" w:hAnsi="Book Antiqua" w:cs="宋体"/>
          <w:color w:val="000000"/>
        </w:rPr>
        <w:t>: 711-721 [PMID: 23964933 DOI: 10.1056/NEJMoa1215739]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88 </w:t>
      </w:r>
      <w:r w:rsidRPr="00463038">
        <w:rPr>
          <w:rFonts w:ascii="Book Antiqua" w:hAnsi="Book Antiqua" w:cs="宋体"/>
          <w:b/>
          <w:bCs/>
          <w:color w:val="000000"/>
        </w:rPr>
        <w:t>Sands BE</w:t>
      </w:r>
      <w:r w:rsidRPr="00463038">
        <w:rPr>
          <w:rFonts w:ascii="Book Antiqua" w:hAnsi="Book Antiqua" w:cs="宋体"/>
          <w:color w:val="000000"/>
        </w:rPr>
        <w:t>, Feagan BG, Rutgeerts P, Colombel JF, Sandborn WJ, Sy R, D'Haens G, Ben-Horin S, Xu J, Rosario M, Fox I, Parikh A, Milch C, Hanauer S. Effects of vedolizumab induction therapy for patients with Crohn's disease in whom tumor necrosis factor antagonist treatment failed. </w:t>
      </w:r>
      <w:r w:rsidRPr="00463038">
        <w:rPr>
          <w:rFonts w:ascii="Book Antiqua" w:hAnsi="Book Antiqua" w:cs="宋体"/>
          <w:i/>
          <w:iCs/>
          <w:color w:val="000000"/>
        </w:rPr>
        <w:t>Gastroenterology</w:t>
      </w:r>
      <w:r w:rsidRPr="00463038">
        <w:rPr>
          <w:rFonts w:ascii="Book Antiqua" w:hAnsi="Book Antiqua" w:cs="宋体"/>
          <w:color w:val="000000"/>
        </w:rPr>
        <w:t> 2014; </w:t>
      </w:r>
      <w:r w:rsidRPr="00463038">
        <w:rPr>
          <w:rFonts w:ascii="Book Antiqua" w:hAnsi="Book Antiqua" w:cs="宋体"/>
          <w:b/>
          <w:bCs/>
          <w:color w:val="000000"/>
        </w:rPr>
        <w:t>147</w:t>
      </w:r>
      <w:r w:rsidRPr="00463038">
        <w:rPr>
          <w:rFonts w:ascii="Book Antiqua" w:hAnsi="Book Antiqua" w:cs="宋体"/>
          <w:color w:val="000000"/>
        </w:rPr>
        <w:t>: 618-627.e3 [PMID: 24859203 DOI: 10.1053/j.gastro.2014.05.008]</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89 </w:t>
      </w:r>
      <w:r w:rsidRPr="00463038">
        <w:rPr>
          <w:rFonts w:ascii="Book Antiqua" w:hAnsi="Book Antiqua" w:cs="宋体"/>
          <w:b/>
          <w:bCs/>
          <w:color w:val="000000"/>
        </w:rPr>
        <w:t>Parikh A</w:t>
      </w:r>
      <w:r w:rsidRPr="00463038">
        <w:rPr>
          <w:rFonts w:ascii="Book Antiqua" w:hAnsi="Book Antiqua" w:cs="宋体"/>
          <w:color w:val="000000"/>
        </w:rPr>
        <w:t>, Leach T, Wyant T, Scholz C, Sankoh S, Mould DR, Ponich T, Fox I, Feagan BG. Vedolizumab for the treatment of active ulcerative colitis: a randomized controlled phase 2 dose-ranging study. </w:t>
      </w:r>
      <w:r w:rsidRPr="00463038">
        <w:rPr>
          <w:rFonts w:ascii="Book Antiqua" w:hAnsi="Book Antiqua" w:cs="宋体"/>
          <w:i/>
          <w:iCs/>
          <w:color w:val="000000"/>
        </w:rPr>
        <w:t>Inflamm Bowel Dis</w:t>
      </w:r>
      <w:r w:rsidRPr="00463038">
        <w:rPr>
          <w:rFonts w:ascii="Book Antiqua" w:hAnsi="Book Antiqua" w:cs="宋体"/>
          <w:color w:val="000000"/>
        </w:rPr>
        <w:t> 2012; </w:t>
      </w:r>
      <w:r w:rsidRPr="00463038">
        <w:rPr>
          <w:rFonts w:ascii="Book Antiqua" w:hAnsi="Book Antiqua" w:cs="宋体"/>
          <w:b/>
          <w:bCs/>
          <w:color w:val="000000"/>
        </w:rPr>
        <w:t>18</w:t>
      </w:r>
      <w:r w:rsidRPr="00463038">
        <w:rPr>
          <w:rFonts w:ascii="Book Antiqua" w:hAnsi="Book Antiqua" w:cs="宋体"/>
          <w:color w:val="000000"/>
        </w:rPr>
        <w:t>: 1470-1479 [PMID: 22147460 DOI: 10.1002/ibd.21896]</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90 </w:t>
      </w:r>
      <w:r w:rsidRPr="00463038">
        <w:rPr>
          <w:rFonts w:ascii="Book Antiqua" w:hAnsi="Book Antiqua" w:cs="宋体"/>
          <w:b/>
          <w:bCs/>
          <w:color w:val="000000"/>
        </w:rPr>
        <w:t>Feagan BG</w:t>
      </w:r>
      <w:r w:rsidRPr="00463038">
        <w:rPr>
          <w:rFonts w:ascii="Book Antiqua" w:hAnsi="Book Antiqua" w:cs="宋体"/>
          <w:color w:val="000000"/>
        </w:rPr>
        <w:t>, Greenberg GR, Wild G, Fedorak RN, Paré P, McDonald JW, Cohen A, Bitton A, Baker J, Dubé R, Landau SB, Vandervoort MK, Parikh A. Treatment of active Crohn's disease with MLN0002, a humanized antibody to the alpha4beta7 integrin. </w:t>
      </w:r>
      <w:r w:rsidRPr="00463038">
        <w:rPr>
          <w:rFonts w:ascii="Book Antiqua" w:hAnsi="Book Antiqua" w:cs="宋体"/>
          <w:i/>
          <w:iCs/>
          <w:color w:val="000000"/>
        </w:rPr>
        <w:t>Clin Gastroenterol Hepatol</w:t>
      </w:r>
      <w:r w:rsidRPr="00463038">
        <w:rPr>
          <w:rFonts w:ascii="Book Antiqua" w:hAnsi="Book Antiqua" w:cs="宋体"/>
          <w:color w:val="000000"/>
        </w:rPr>
        <w:t> 2008; </w:t>
      </w:r>
      <w:r w:rsidRPr="00463038">
        <w:rPr>
          <w:rFonts w:ascii="Book Antiqua" w:hAnsi="Book Antiqua" w:cs="宋体"/>
          <w:b/>
          <w:bCs/>
          <w:color w:val="000000"/>
        </w:rPr>
        <w:t>6</w:t>
      </w:r>
      <w:r w:rsidRPr="00463038">
        <w:rPr>
          <w:rFonts w:ascii="Book Antiqua" w:hAnsi="Book Antiqua" w:cs="宋体"/>
          <w:color w:val="000000"/>
        </w:rPr>
        <w:t>: 1370-1377 [PMID: 18829392 DOI: 10.1016/j.cgh.2008.06.007]</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91 </w:t>
      </w:r>
      <w:r w:rsidRPr="00463038">
        <w:rPr>
          <w:rFonts w:ascii="Book Antiqua" w:hAnsi="Book Antiqua" w:cs="宋体"/>
          <w:b/>
          <w:bCs/>
          <w:color w:val="000000"/>
        </w:rPr>
        <w:t>Vermeire S</w:t>
      </w:r>
      <w:r w:rsidRPr="00463038">
        <w:rPr>
          <w:rFonts w:ascii="Book Antiqua" w:hAnsi="Book Antiqua" w:cs="宋体"/>
          <w:color w:val="000000"/>
        </w:rPr>
        <w:t>, O'Byrne S, Keir M, Williams M, Lu TT, Mansfield JC, Lamb CA, Feagan BG, Panes J, Salas A, Baumgart DC, Schreiber S, Dotan I, Sandborn WJ, Tew GW, Luca D, Tang MT, Diehl L, Eastham-Anderson J, De Hertogh G, Perrier C, Egen JG, Kirby JA, van Assche G, Rutgeerts P. Etrolizumab as induction therapy for ulcerative colitis: a randomised, controlled, phase 2 trial. </w:t>
      </w:r>
      <w:r w:rsidRPr="00463038">
        <w:rPr>
          <w:rFonts w:ascii="Book Antiqua" w:hAnsi="Book Antiqua" w:cs="宋体"/>
          <w:i/>
          <w:iCs/>
          <w:color w:val="000000"/>
        </w:rPr>
        <w:t>Lancet</w:t>
      </w:r>
      <w:r w:rsidRPr="00463038">
        <w:rPr>
          <w:rFonts w:ascii="Book Antiqua" w:hAnsi="Book Antiqua" w:cs="宋体"/>
          <w:color w:val="000000"/>
        </w:rPr>
        <w:t> 2014; </w:t>
      </w:r>
      <w:r w:rsidRPr="00463038">
        <w:rPr>
          <w:rFonts w:ascii="Book Antiqua" w:hAnsi="Book Antiqua" w:cs="宋体"/>
          <w:b/>
          <w:bCs/>
          <w:color w:val="000000"/>
        </w:rPr>
        <w:t>384</w:t>
      </w:r>
      <w:r w:rsidRPr="00463038">
        <w:rPr>
          <w:rFonts w:ascii="Book Antiqua" w:hAnsi="Book Antiqua" w:cs="宋体"/>
          <w:color w:val="000000"/>
        </w:rPr>
        <w:t>: 309-318 [PMID: 24814090 DOI: 10.1016/S0140-6736(14)60661-9]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92 </w:t>
      </w:r>
      <w:r w:rsidRPr="00463038">
        <w:rPr>
          <w:rFonts w:ascii="Book Antiqua" w:hAnsi="Book Antiqua" w:cs="宋体"/>
          <w:b/>
          <w:bCs/>
          <w:color w:val="000000"/>
        </w:rPr>
        <w:t>Rutgeerts PJ</w:t>
      </w:r>
      <w:r w:rsidRPr="00463038">
        <w:rPr>
          <w:rFonts w:ascii="Book Antiqua" w:hAnsi="Book Antiqua" w:cs="宋体"/>
          <w:color w:val="000000"/>
        </w:rPr>
        <w:t>, Fedorak RN, Hommes DW, Sturm A, Baumgart DC, Bressler B, Schreiber S, Mansfield JC, Williams M, Tang M, Visich J, Wei X, Keir M, Luca D, Danilenko D, Egen J, O'Byrne S. A randomised phase I study of etrolizumab (rhuMAb β7) in moderate to severe ulcerative colitis. </w:t>
      </w:r>
      <w:r w:rsidRPr="00463038">
        <w:rPr>
          <w:rFonts w:ascii="Book Antiqua" w:hAnsi="Book Antiqua" w:cs="宋体"/>
          <w:i/>
          <w:iCs/>
          <w:color w:val="000000"/>
        </w:rPr>
        <w:t>Gut</w:t>
      </w:r>
      <w:r w:rsidRPr="00463038">
        <w:rPr>
          <w:rFonts w:ascii="Book Antiqua" w:hAnsi="Book Antiqua" w:cs="宋体"/>
          <w:color w:val="000000"/>
        </w:rPr>
        <w:t> 2013; </w:t>
      </w:r>
      <w:r w:rsidRPr="00463038">
        <w:rPr>
          <w:rFonts w:ascii="Book Antiqua" w:hAnsi="Book Antiqua" w:cs="宋体"/>
          <w:b/>
          <w:bCs/>
          <w:color w:val="000000"/>
        </w:rPr>
        <w:t>62</w:t>
      </w:r>
      <w:r w:rsidRPr="00463038">
        <w:rPr>
          <w:rFonts w:ascii="Book Antiqua" w:hAnsi="Book Antiqua" w:cs="宋体"/>
          <w:color w:val="000000"/>
        </w:rPr>
        <w:t>: 1122-1130 [PMID: 22717454 DOI: 10.1136/gutjnl-2011-301769]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93 </w:t>
      </w:r>
      <w:r w:rsidRPr="00463038">
        <w:rPr>
          <w:rFonts w:ascii="Book Antiqua" w:hAnsi="Book Antiqua" w:cs="宋体"/>
          <w:b/>
          <w:bCs/>
          <w:color w:val="000000"/>
        </w:rPr>
        <w:t>Benson JM</w:t>
      </w:r>
      <w:r w:rsidRPr="00463038">
        <w:rPr>
          <w:rFonts w:ascii="Book Antiqua" w:hAnsi="Book Antiqua" w:cs="宋体"/>
          <w:color w:val="000000"/>
        </w:rPr>
        <w:t>, Peritt D, Scallon BJ, Heavner GA, Shealy DJ, Giles-Komar JM, Mascelli MA. Discovery and mechanism of ustekinumab: a human monoclonal antibody targeting interleukin-12 and interleukin-23 for treatment of immune-mediated disorders. </w:t>
      </w:r>
      <w:r w:rsidRPr="00463038">
        <w:rPr>
          <w:rFonts w:ascii="Book Antiqua" w:hAnsi="Book Antiqua" w:cs="宋体"/>
          <w:i/>
          <w:iCs/>
          <w:color w:val="000000"/>
        </w:rPr>
        <w:t>MAbs</w:t>
      </w:r>
      <w:r w:rsidRPr="00463038">
        <w:rPr>
          <w:rFonts w:ascii="Book Antiqua" w:hAnsi="Book Antiqua" w:cs="宋体"/>
          <w:color w:val="000000"/>
        </w:rPr>
        <w:t> 2011; </w:t>
      </w:r>
      <w:r w:rsidRPr="00463038">
        <w:rPr>
          <w:rFonts w:ascii="Book Antiqua" w:hAnsi="Book Antiqua" w:cs="宋体"/>
          <w:b/>
          <w:bCs/>
          <w:color w:val="000000"/>
        </w:rPr>
        <w:t>3</w:t>
      </w:r>
      <w:r w:rsidRPr="00463038">
        <w:rPr>
          <w:rFonts w:ascii="Book Antiqua" w:hAnsi="Book Antiqua" w:cs="宋体"/>
          <w:color w:val="000000"/>
        </w:rPr>
        <w:t>: 535-545 [PMID: 22123062 DOI: 10.4161/mabs.3.6.17815]</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94 </w:t>
      </w:r>
      <w:r w:rsidRPr="00463038">
        <w:rPr>
          <w:rFonts w:ascii="Book Antiqua" w:hAnsi="Book Antiqua" w:cs="宋体"/>
          <w:b/>
          <w:bCs/>
          <w:color w:val="000000"/>
        </w:rPr>
        <w:t>Sandborn WJ</w:t>
      </w:r>
      <w:r w:rsidRPr="00463038">
        <w:rPr>
          <w:rFonts w:ascii="Book Antiqua" w:hAnsi="Book Antiqua" w:cs="宋体"/>
          <w:color w:val="000000"/>
        </w:rPr>
        <w:t>, Gasink C, Gao LL, Blank MA, Johanns J, Guzzo C, Sands BE, Hanauer SB, Targan S, Rutgeerts P, Ghosh S, de Villiers WJ, Panaccione R, Greenberg G, Schreiber S, Lichtiger S, Feagan BG. Ustekinumab induction and maintenance therapy in refractory Crohn's disease. </w:t>
      </w:r>
      <w:r w:rsidRPr="00463038">
        <w:rPr>
          <w:rFonts w:ascii="Book Antiqua" w:hAnsi="Book Antiqua" w:cs="宋体"/>
          <w:i/>
          <w:iCs/>
          <w:color w:val="000000"/>
        </w:rPr>
        <w:t>N Engl J Med</w:t>
      </w:r>
      <w:r w:rsidRPr="00463038">
        <w:rPr>
          <w:rFonts w:ascii="Book Antiqua" w:hAnsi="Book Antiqua" w:cs="宋体"/>
          <w:color w:val="000000"/>
        </w:rPr>
        <w:t> 2012; </w:t>
      </w:r>
      <w:r w:rsidRPr="00463038">
        <w:rPr>
          <w:rFonts w:ascii="Book Antiqua" w:hAnsi="Book Antiqua" w:cs="宋体"/>
          <w:b/>
          <w:bCs/>
          <w:color w:val="000000"/>
        </w:rPr>
        <w:t>367</w:t>
      </w:r>
      <w:r w:rsidRPr="00463038">
        <w:rPr>
          <w:rFonts w:ascii="Book Antiqua" w:hAnsi="Book Antiqua" w:cs="宋体"/>
          <w:color w:val="000000"/>
        </w:rPr>
        <w:t>: 1519-1528 [PMID: 23075178 DOI: 10.1056/NEJMoa1203572]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95 </w:t>
      </w:r>
      <w:r w:rsidRPr="00463038">
        <w:rPr>
          <w:rFonts w:ascii="Book Antiqua" w:hAnsi="Book Antiqua" w:cs="宋体"/>
          <w:b/>
          <w:bCs/>
          <w:color w:val="000000"/>
        </w:rPr>
        <w:t>Sandborn WJ</w:t>
      </w:r>
      <w:r w:rsidRPr="00463038">
        <w:rPr>
          <w:rFonts w:ascii="Book Antiqua" w:hAnsi="Book Antiqua" w:cs="宋体"/>
          <w:color w:val="000000"/>
        </w:rPr>
        <w:t>, Feagan BG, Fedorak RN, Scherl E, Fleisher MR, Katz S, Johanns J, Blank M, Rutgeerts P. A randomized trial of Ustekinumab, a human interleukin-12/23 monoclonal antibody, in patients with moderate-to-severe Crohn's disease. </w:t>
      </w:r>
      <w:r w:rsidRPr="00463038">
        <w:rPr>
          <w:rFonts w:ascii="Book Antiqua" w:hAnsi="Book Antiqua" w:cs="宋体"/>
          <w:i/>
          <w:iCs/>
          <w:color w:val="000000"/>
        </w:rPr>
        <w:t>Gastroenterology</w:t>
      </w:r>
      <w:r w:rsidRPr="00463038">
        <w:rPr>
          <w:rFonts w:ascii="Book Antiqua" w:hAnsi="Book Antiqua" w:cs="宋体"/>
          <w:color w:val="000000"/>
        </w:rPr>
        <w:t> 2008; </w:t>
      </w:r>
      <w:r w:rsidRPr="00463038">
        <w:rPr>
          <w:rFonts w:ascii="Book Antiqua" w:hAnsi="Book Antiqua" w:cs="宋体"/>
          <w:b/>
          <w:bCs/>
          <w:color w:val="000000"/>
        </w:rPr>
        <w:t>135</w:t>
      </w:r>
      <w:r w:rsidRPr="00463038">
        <w:rPr>
          <w:rFonts w:ascii="Book Antiqua" w:hAnsi="Book Antiqua" w:cs="宋体"/>
          <w:color w:val="000000"/>
        </w:rPr>
        <w:t>: 1130-1141 [PMID: 18706417 DOI: 10.1053/j.gastro.2008.07.014]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96 </w:t>
      </w:r>
      <w:r w:rsidRPr="00463038">
        <w:rPr>
          <w:rFonts w:ascii="Book Antiqua" w:hAnsi="Book Antiqua" w:cs="宋体"/>
          <w:b/>
          <w:bCs/>
          <w:color w:val="000000"/>
        </w:rPr>
        <w:t>Kimball AB</w:t>
      </w:r>
      <w:r w:rsidRPr="00463038">
        <w:rPr>
          <w:rFonts w:ascii="Book Antiqua" w:hAnsi="Book Antiqua" w:cs="宋体"/>
          <w:color w:val="000000"/>
        </w:rPr>
        <w:t>, Papp KA, Wasfi Y, Chan D, Bissonnette R, Sofen H, Yeilding N, Li S, Szapary P, Gordon KB. Long-term efficacy of ustekinumab in patients with moderate-to-severe psoriasis treated for up to 5 years in the PHOENIX 1 study. </w:t>
      </w:r>
      <w:r w:rsidRPr="00463038">
        <w:rPr>
          <w:rFonts w:ascii="Book Antiqua" w:hAnsi="Book Antiqua" w:cs="宋体"/>
          <w:i/>
          <w:iCs/>
          <w:color w:val="000000"/>
        </w:rPr>
        <w:t>J Eur Acad Dermatol Venereol</w:t>
      </w:r>
      <w:r w:rsidRPr="00463038">
        <w:rPr>
          <w:rFonts w:ascii="Book Antiqua" w:hAnsi="Book Antiqua" w:cs="宋体"/>
          <w:color w:val="000000"/>
        </w:rPr>
        <w:t> 2013; </w:t>
      </w:r>
      <w:r w:rsidRPr="00463038">
        <w:rPr>
          <w:rFonts w:ascii="Book Antiqua" w:hAnsi="Book Antiqua" w:cs="宋体"/>
          <w:b/>
          <w:bCs/>
          <w:color w:val="000000"/>
        </w:rPr>
        <w:t>27</w:t>
      </w:r>
      <w:r w:rsidRPr="00463038">
        <w:rPr>
          <w:rFonts w:ascii="Book Antiqua" w:hAnsi="Book Antiqua" w:cs="宋体"/>
          <w:color w:val="000000"/>
        </w:rPr>
        <w:t>: 1535-1545 [PMID: 23279003 DOI: 10.1111/jdv.12046]</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97 </w:t>
      </w:r>
      <w:r w:rsidRPr="00463038">
        <w:rPr>
          <w:rFonts w:ascii="Book Antiqua" w:hAnsi="Book Antiqua" w:cs="宋体"/>
          <w:b/>
          <w:bCs/>
          <w:color w:val="000000"/>
        </w:rPr>
        <w:t>Papp KA</w:t>
      </w:r>
      <w:r w:rsidRPr="00463038">
        <w:rPr>
          <w:rFonts w:ascii="Book Antiqua" w:hAnsi="Book Antiqua" w:cs="宋体"/>
          <w:color w:val="000000"/>
        </w:rPr>
        <w:t>, Langley RG, Lebwohl M, Krueger GG, Szapary P, Yeilding N, Guzzo C, Hsu MC, Wang Y, Li S, Dooley LT, Reich K. Efficacy and safety of ustekinumab, a human interleukin-12/23 monoclonal antibody, in patients with psoriasis: 52-week results from a randomised, double-blind, placebo-controlled trial (PHOENIX 2). </w:t>
      </w:r>
      <w:r w:rsidRPr="00463038">
        <w:rPr>
          <w:rFonts w:ascii="Book Antiqua" w:hAnsi="Book Antiqua" w:cs="宋体"/>
          <w:i/>
          <w:iCs/>
          <w:color w:val="000000"/>
        </w:rPr>
        <w:t>Lancet</w:t>
      </w:r>
      <w:r w:rsidRPr="00463038">
        <w:rPr>
          <w:rFonts w:ascii="Book Antiqua" w:hAnsi="Book Antiqua" w:cs="宋体"/>
          <w:color w:val="000000"/>
        </w:rPr>
        <w:t> 2008; </w:t>
      </w:r>
      <w:r w:rsidRPr="00463038">
        <w:rPr>
          <w:rFonts w:ascii="Book Antiqua" w:hAnsi="Book Antiqua" w:cs="宋体"/>
          <w:b/>
          <w:bCs/>
          <w:color w:val="000000"/>
        </w:rPr>
        <w:t>371</w:t>
      </w:r>
      <w:r w:rsidRPr="00463038">
        <w:rPr>
          <w:rFonts w:ascii="Book Antiqua" w:hAnsi="Book Antiqua" w:cs="宋体"/>
          <w:color w:val="000000"/>
        </w:rPr>
        <w:t>: 1675-1684 [PMID: 18486740 DOI: 10.1016/S0140-6736(08)60726-6]</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98 </w:t>
      </w:r>
      <w:r w:rsidRPr="00463038">
        <w:rPr>
          <w:rFonts w:ascii="Book Antiqua" w:hAnsi="Book Antiqua" w:cs="宋体"/>
          <w:b/>
          <w:bCs/>
          <w:color w:val="000000"/>
        </w:rPr>
        <w:t>Papp KA</w:t>
      </w:r>
      <w:r w:rsidRPr="00463038">
        <w:rPr>
          <w:rFonts w:ascii="Book Antiqua" w:hAnsi="Book Antiqua" w:cs="宋体"/>
          <w:color w:val="000000"/>
        </w:rPr>
        <w:t>, Griffiths CE, Gordon K, Lebwohl M, Szapary PO, Wasfi Y, Chan D, Hsu MC, Ho V, Ghislain PD, Strober B, Reich K. Long-term safety of ustekinumab in patients with moderate-to-severe psoriasis: final results from 5 years of follow-up. </w:t>
      </w:r>
      <w:r w:rsidRPr="00463038">
        <w:rPr>
          <w:rFonts w:ascii="Book Antiqua" w:hAnsi="Book Antiqua" w:cs="宋体"/>
          <w:i/>
          <w:iCs/>
          <w:color w:val="000000"/>
        </w:rPr>
        <w:t>Br J Dermatol</w:t>
      </w:r>
      <w:r w:rsidRPr="00463038">
        <w:rPr>
          <w:rFonts w:ascii="Book Antiqua" w:hAnsi="Book Antiqua" w:cs="宋体"/>
          <w:color w:val="000000"/>
        </w:rPr>
        <w:t> 2013; </w:t>
      </w:r>
      <w:r w:rsidRPr="00463038">
        <w:rPr>
          <w:rFonts w:ascii="Book Antiqua" w:hAnsi="Book Antiqua" w:cs="宋体"/>
          <w:b/>
          <w:bCs/>
          <w:color w:val="000000"/>
        </w:rPr>
        <w:t>168</w:t>
      </w:r>
      <w:r w:rsidRPr="00463038">
        <w:rPr>
          <w:rFonts w:ascii="Book Antiqua" w:hAnsi="Book Antiqua" w:cs="宋体"/>
          <w:color w:val="000000"/>
        </w:rPr>
        <w:t>: 844-854 [PMID: 23301632 DOI: 10.1111/bjd.12214]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99 </w:t>
      </w:r>
      <w:r w:rsidRPr="00463038">
        <w:rPr>
          <w:rFonts w:ascii="Book Antiqua" w:hAnsi="Book Antiqua" w:cs="宋体"/>
          <w:b/>
          <w:bCs/>
          <w:color w:val="000000"/>
        </w:rPr>
        <w:t>Zeuzem S</w:t>
      </w:r>
      <w:r w:rsidRPr="00463038">
        <w:rPr>
          <w:rFonts w:ascii="Book Antiqua" w:hAnsi="Book Antiqua" w:cs="宋体"/>
          <w:color w:val="000000"/>
        </w:rPr>
        <w:t>, Carreño V. Interleukin-12 in the treatment of chronic hepatitis B and C. </w:t>
      </w:r>
      <w:r w:rsidRPr="00463038">
        <w:rPr>
          <w:rFonts w:ascii="Book Antiqua" w:hAnsi="Book Antiqua" w:cs="宋体"/>
          <w:i/>
          <w:iCs/>
          <w:color w:val="000000"/>
        </w:rPr>
        <w:t>Antiviral Res</w:t>
      </w:r>
      <w:r w:rsidRPr="00463038">
        <w:rPr>
          <w:rFonts w:ascii="Book Antiqua" w:hAnsi="Book Antiqua" w:cs="宋体"/>
          <w:color w:val="000000"/>
        </w:rPr>
        <w:t> 2001; </w:t>
      </w:r>
      <w:r w:rsidRPr="00463038">
        <w:rPr>
          <w:rFonts w:ascii="Book Antiqua" w:hAnsi="Book Antiqua" w:cs="宋体"/>
          <w:b/>
          <w:bCs/>
          <w:color w:val="000000"/>
        </w:rPr>
        <w:t>52</w:t>
      </w:r>
      <w:r w:rsidRPr="00463038">
        <w:rPr>
          <w:rFonts w:ascii="Book Antiqua" w:hAnsi="Book Antiqua" w:cs="宋体"/>
          <w:color w:val="000000"/>
        </w:rPr>
        <w:t>: 181-188 [PMID: 11672828 DOI: 10.1016/S0166-3542(01)00183-8]</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100 </w:t>
      </w:r>
      <w:r w:rsidRPr="00463038">
        <w:rPr>
          <w:rFonts w:ascii="Book Antiqua" w:hAnsi="Book Antiqua" w:cs="宋体"/>
          <w:b/>
          <w:bCs/>
          <w:color w:val="000000"/>
        </w:rPr>
        <w:t>Cavanaugh VJ</w:t>
      </w:r>
      <w:r w:rsidRPr="00463038">
        <w:rPr>
          <w:rFonts w:ascii="Book Antiqua" w:hAnsi="Book Antiqua" w:cs="宋体"/>
          <w:color w:val="000000"/>
        </w:rPr>
        <w:t>, Guidotti LG, Chisari FV. Interleukin-12 inhibits hepatitis B virus replication in transgenic mice. </w:t>
      </w:r>
      <w:r w:rsidRPr="00463038">
        <w:rPr>
          <w:rFonts w:ascii="Book Antiqua" w:hAnsi="Book Antiqua" w:cs="宋体"/>
          <w:i/>
          <w:iCs/>
          <w:color w:val="000000"/>
        </w:rPr>
        <w:t>J Virol</w:t>
      </w:r>
      <w:r w:rsidRPr="00463038">
        <w:rPr>
          <w:rFonts w:ascii="Book Antiqua" w:hAnsi="Book Antiqua" w:cs="宋体"/>
          <w:color w:val="000000"/>
        </w:rPr>
        <w:t> 1997; </w:t>
      </w:r>
      <w:r w:rsidRPr="00463038">
        <w:rPr>
          <w:rFonts w:ascii="Book Antiqua" w:hAnsi="Book Antiqua" w:cs="宋体"/>
          <w:b/>
          <w:bCs/>
          <w:color w:val="000000"/>
        </w:rPr>
        <w:t>71</w:t>
      </w:r>
      <w:r w:rsidRPr="00463038">
        <w:rPr>
          <w:rFonts w:ascii="Book Antiqua" w:hAnsi="Book Antiqua" w:cs="宋体"/>
          <w:color w:val="000000"/>
        </w:rPr>
        <w:t>: 3236-3243 [PMID: 9060687]</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101 </w:t>
      </w:r>
      <w:r w:rsidRPr="00463038">
        <w:rPr>
          <w:rFonts w:ascii="Book Antiqua" w:hAnsi="Book Antiqua" w:cs="宋体"/>
          <w:b/>
          <w:bCs/>
          <w:color w:val="000000"/>
        </w:rPr>
        <w:t>Chiu HY</w:t>
      </w:r>
      <w:r w:rsidRPr="00463038">
        <w:rPr>
          <w:rFonts w:ascii="Book Antiqua" w:hAnsi="Book Antiqua" w:cs="宋体"/>
          <w:color w:val="000000"/>
        </w:rPr>
        <w:t>, Chen CH, Wu MS, Cheng YP, Tsai TF. The safety profile of ustekinumab in the treatment of patients with psoriasis and concurrent hepatitis B or C. </w:t>
      </w:r>
      <w:r w:rsidRPr="00463038">
        <w:rPr>
          <w:rFonts w:ascii="Book Antiqua" w:hAnsi="Book Antiqua" w:cs="宋体"/>
          <w:i/>
          <w:iCs/>
          <w:color w:val="000000"/>
        </w:rPr>
        <w:t>Br J Dermatol</w:t>
      </w:r>
      <w:r w:rsidRPr="00463038">
        <w:rPr>
          <w:rFonts w:ascii="Book Antiqua" w:hAnsi="Book Antiqua" w:cs="宋体"/>
          <w:color w:val="000000"/>
        </w:rPr>
        <w:t> 2013; </w:t>
      </w:r>
      <w:r w:rsidRPr="00463038">
        <w:rPr>
          <w:rFonts w:ascii="Book Antiqua" w:hAnsi="Book Antiqua" w:cs="宋体"/>
          <w:b/>
          <w:bCs/>
          <w:color w:val="000000"/>
        </w:rPr>
        <w:t>169</w:t>
      </w:r>
      <w:r w:rsidRPr="00463038">
        <w:rPr>
          <w:rFonts w:ascii="Book Antiqua" w:hAnsi="Book Antiqua" w:cs="宋体"/>
          <w:color w:val="000000"/>
        </w:rPr>
        <w:t>: 1295-1303 [PMID: 23746170 DOI: 10.1111/bjd.12461]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102 </w:t>
      </w:r>
      <w:r w:rsidRPr="00463038">
        <w:rPr>
          <w:rFonts w:ascii="Book Antiqua" w:hAnsi="Book Antiqua" w:cs="宋体"/>
          <w:b/>
          <w:bCs/>
          <w:color w:val="000000"/>
        </w:rPr>
        <w:t>Kornbluth A</w:t>
      </w:r>
      <w:r w:rsidRPr="00463038">
        <w:rPr>
          <w:rFonts w:ascii="Book Antiqua" w:hAnsi="Book Antiqua" w:cs="宋体"/>
          <w:color w:val="000000"/>
        </w:rPr>
        <w:t>, Present DH, Lichtiger S, Hanauer S. Cyclosporin for severe ulcerative colitis: a user's guide. </w:t>
      </w:r>
      <w:r w:rsidRPr="00463038">
        <w:rPr>
          <w:rFonts w:ascii="Book Antiqua" w:hAnsi="Book Antiqua" w:cs="宋体"/>
          <w:i/>
          <w:iCs/>
          <w:color w:val="000000"/>
        </w:rPr>
        <w:t>Am J Gastroenterol</w:t>
      </w:r>
      <w:r w:rsidRPr="00463038">
        <w:rPr>
          <w:rFonts w:ascii="Book Antiqua" w:hAnsi="Book Antiqua" w:cs="宋体"/>
          <w:color w:val="000000"/>
        </w:rPr>
        <w:t> 1997; </w:t>
      </w:r>
      <w:r w:rsidRPr="00463038">
        <w:rPr>
          <w:rFonts w:ascii="Book Antiqua" w:hAnsi="Book Antiqua" w:cs="宋体"/>
          <w:b/>
          <w:bCs/>
          <w:color w:val="000000"/>
        </w:rPr>
        <w:t>92</w:t>
      </w:r>
      <w:r w:rsidRPr="00463038">
        <w:rPr>
          <w:rFonts w:ascii="Book Antiqua" w:hAnsi="Book Antiqua" w:cs="宋体"/>
          <w:color w:val="000000"/>
        </w:rPr>
        <w:t>: 1424-1428 [PMID: 9317057]</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103 </w:t>
      </w:r>
      <w:r w:rsidRPr="00463038">
        <w:rPr>
          <w:rFonts w:ascii="Book Antiqua" w:hAnsi="Book Antiqua" w:cs="宋体"/>
          <w:b/>
          <w:bCs/>
          <w:color w:val="000000"/>
        </w:rPr>
        <w:t>Van Assche G</w:t>
      </w:r>
      <w:r w:rsidRPr="00463038">
        <w:rPr>
          <w:rFonts w:ascii="Book Antiqua" w:hAnsi="Book Antiqua" w:cs="宋体"/>
          <w:color w:val="000000"/>
        </w:rPr>
        <w:t>, D'Haens G, Noman M, Vermeire S, Hiele M, Asnong K, Arts J, D'Hoore A, Penninckx F, Rutgeerts P. Randomized, double-blind comparison of 4 mg/kg versus 2 mg/kg intravenous cyclosporine in severe ulcerative colitis. </w:t>
      </w:r>
      <w:r w:rsidRPr="00463038">
        <w:rPr>
          <w:rFonts w:ascii="Book Antiqua" w:hAnsi="Book Antiqua" w:cs="宋体"/>
          <w:i/>
          <w:iCs/>
          <w:color w:val="000000"/>
        </w:rPr>
        <w:t>Gastroenterology</w:t>
      </w:r>
      <w:r w:rsidRPr="00463038">
        <w:rPr>
          <w:rFonts w:ascii="Book Antiqua" w:hAnsi="Book Antiqua" w:cs="宋体"/>
          <w:color w:val="000000"/>
        </w:rPr>
        <w:t> 2003; </w:t>
      </w:r>
      <w:r w:rsidRPr="00463038">
        <w:rPr>
          <w:rFonts w:ascii="Book Antiqua" w:hAnsi="Book Antiqua" w:cs="宋体"/>
          <w:b/>
          <w:bCs/>
          <w:color w:val="000000"/>
        </w:rPr>
        <w:t>125</w:t>
      </w:r>
      <w:r w:rsidRPr="00463038">
        <w:rPr>
          <w:rFonts w:ascii="Book Antiqua" w:hAnsi="Book Antiqua" w:cs="宋体"/>
          <w:color w:val="000000"/>
        </w:rPr>
        <w:t>: 1025-1031 [PMID: 14517785 DOI: 10.1016/S0016-5085(03)01214-9]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104 </w:t>
      </w:r>
      <w:r w:rsidRPr="00463038">
        <w:rPr>
          <w:rFonts w:ascii="Book Antiqua" w:hAnsi="Book Antiqua" w:cs="宋体"/>
          <w:b/>
          <w:bCs/>
          <w:color w:val="000000"/>
        </w:rPr>
        <w:t>Rayner CK</w:t>
      </w:r>
      <w:r w:rsidRPr="00463038">
        <w:rPr>
          <w:rFonts w:ascii="Book Antiqua" w:hAnsi="Book Antiqua" w:cs="宋体"/>
          <w:color w:val="000000"/>
        </w:rPr>
        <w:t>, McCormack G, Emmanuel AV, Kamm MA. Long-term results of low-dose intravenous ciclosporin for acute severe ulcerative colitis. </w:t>
      </w:r>
      <w:r w:rsidRPr="00463038">
        <w:rPr>
          <w:rFonts w:ascii="Book Antiqua" w:hAnsi="Book Antiqua" w:cs="宋体"/>
          <w:i/>
          <w:iCs/>
          <w:color w:val="000000"/>
        </w:rPr>
        <w:t>Aliment Pharmacol Ther</w:t>
      </w:r>
      <w:r w:rsidRPr="00463038">
        <w:rPr>
          <w:rFonts w:ascii="Book Antiqua" w:hAnsi="Book Antiqua" w:cs="宋体"/>
          <w:color w:val="000000"/>
        </w:rPr>
        <w:t> 2003; </w:t>
      </w:r>
      <w:r w:rsidRPr="00463038">
        <w:rPr>
          <w:rFonts w:ascii="Book Antiqua" w:hAnsi="Book Antiqua" w:cs="宋体"/>
          <w:b/>
          <w:bCs/>
          <w:color w:val="000000"/>
        </w:rPr>
        <w:t>18</w:t>
      </w:r>
      <w:r w:rsidRPr="00463038">
        <w:rPr>
          <w:rFonts w:ascii="Book Antiqua" w:hAnsi="Book Antiqua" w:cs="宋体"/>
          <w:color w:val="000000"/>
        </w:rPr>
        <w:t>: 303-308 [PMID: 12895214 DOI: 10.1046/j.1365-2036.2003.01618.x]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105 </w:t>
      </w:r>
      <w:r w:rsidRPr="00463038">
        <w:rPr>
          <w:rFonts w:ascii="Book Antiqua" w:hAnsi="Book Antiqua" w:cs="宋体"/>
          <w:b/>
          <w:bCs/>
          <w:color w:val="000000"/>
        </w:rPr>
        <w:t>Lichtiger S</w:t>
      </w:r>
      <w:r w:rsidRPr="00463038">
        <w:rPr>
          <w:rFonts w:ascii="Book Antiqua" w:hAnsi="Book Antiqua" w:cs="宋体"/>
          <w:color w:val="000000"/>
        </w:rPr>
        <w:t>, Present DH, Kornbluth A, Gelernt I, Bauer J, Galler G, Michelassi F, Hanauer S. Cyclosporine in severe ulcerative colitis refractory to steroid therapy. </w:t>
      </w:r>
      <w:r w:rsidRPr="00463038">
        <w:rPr>
          <w:rFonts w:ascii="Book Antiqua" w:hAnsi="Book Antiqua" w:cs="宋体"/>
          <w:i/>
          <w:iCs/>
          <w:color w:val="000000"/>
        </w:rPr>
        <w:t>N Engl J Med</w:t>
      </w:r>
      <w:r w:rsidRPr="00463038">
        <w:rPr>
          <w:rFonts w:ascii="Book Antiqua" w:hAnsi="Book Antiqua" w:cs="宋体"/>
          <w:color w:val="000000"/>
        </w:rPr>
        <w:t> 1994; </w:t>
      </w:r>
      <w:r w:rsidRPr="00463038">
        <w:rPr>
          <w:rFonts w:ascii="Book Antiqua" w:hAnsi="Book Antiqua" w:cs="宋体"/>
          <w:b/>
          <w:bCs/>
          <w:color w:val="000000"/>
        </w:rPr>
        <w:t>330</w:t>
      </w:r>
      <w:r w:rsidRPr="00463038">
        <w:rPr>
          <w:rFonts w:ascii="Book Antiqua" w:hAnsi="Book Antiqua" w:cs="宋体"/>
          <w:color w:val="000000"/>
        </w:rPr>
        <w:t>: 1841-1845 [PMID: 8196726 DOI: 10.1056/NEJM199406303302601]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106 </w:t>
      </w:r>
      <w:r w:rsidRPr="00463038">
        <w:rPr>
          <w:rFonts w:ascii="Book Antiqua" w:hAnsi="Book Antiqua" w:cs="宋体"/>
          <w:b/>
          <w:bCs/>
          <w:color w:val="000000"/>
        </w:rPr>
        <w:t>Galán AI</w:t>
      </w:r>
      <w:r w:rsidRPr="00463038">
        <w:rPr>
          <w:rFonts w:ascii="Book Antiqua" w:hAnsi="Book Antiqua" w:cs="宋体"/>
          <w:color w:val="000000"/>
        </w:rPr>
        <w:t>, Fernández E, Morán D, Muñoz ME, Jiménez R. Cyclosporine A hepatotoxicity: effect of prolonged treatment with cyclosporine on biliary lipid secretion in the rat. </w:t>
      </w:r>
      <w:r w:rsidRPr="00463038">
        <w:rPr>
          <w:rFonts w:ascii="Book Antiqua" w:hAnsi="Book Antiqua" w:cs="宋体"/>
          <w:i/>
          <w:iCs/>
          <w:color w:val="000000"/>
        </w:rPr>
        <w:t>Clin Exp Pharmacol Physiol</w:t>
      </w:r>
      <w:r w:rsidRPr="00463038">
        <w:rPr>
          <w:rFonts w:ascii="Book Antiqua" w:hAnsi="Book Antiqua" w:cs="宋体"/>
          <w:color w:val="000000"/>
        </w:rPr>
        <w:t> 1995; </w:t>
      </w:r>
      <w:r w:rsidRPr="00463038">
        <w:rPr>
          <w:rFonts w:ascii="Book Antiqua" w:hAnsi="Book Antiqua" w:cs="宋体"/>
          <w:b/>
          <w:bCs/>
          <w:color w:val="000000"/>
        </w:rPr>
        <w:t>22</w:t>
      </w:r>
      <w:r w:rsidRPr="00463038">
        <w:rPr>
          <w:rFonts w:ascii="Book Antiqua" w:hAnsi="Book Antiqua" w:cs="宋体"/>
          <w:color w:val="000000"/>
        </w:rPr>
        <w:t>: 260-265 [PMID: 7671438 DOI: 10.1111/j.1440-1681.1995.tb01991.x]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107 </w:t>
      </w:r>
      <w:r w:rsidRPr="00463038">
        <w:rPr>
          <w:rFonts w:ascii="Book Antiqua" w:hAnsi="Book Antiqua" w:cs="宋体"/>
          <w:b/>
          <w:bCs/>
          <w:color w:val="000000"/>
        </w:rPr>
        <w:t>Stone BG</w:t>
      </w:r>
      <w:r w:rsidRPr="00463038">
        <w:rPr>
          <w:rFonts w:ascii="Book Antiqua" w:hAnsi="Book Antiqua" w:cs="宋体"/>
          <w:color w:val="000000"/>
        </w:rPr>
        <w:t>, Udani M, Sanghvi A, Warty V, Plocki K, Bedetti CD, Van Thiel DH. Cyclosporin A-induced cholestasis. The mechanism in a rat model. </w:t>
      </w:r>
      <w:r w:rsidRPr="00463038">
        <w:rPr>
          <w:rFonts w:ascii="Book Antiqua" w:hAnsi="Book Antiqua" w:cs="宋体"/>
          <w:i/>
          <w:iCs/>
          <w:color w:val="000000"/>
        </w:rPr>
        <w:t>Gastroenterology</w:t>
      </w:r>
      <w:r w:rsidRPr="00463038">
        <w:rPr>
          <w:rFonts w:ascii="Book Antiqua" w:hAnsi="Book Antiqua" w:cs="宋体"/>
          <w:color w:val="000000"/>
        </w:rPr>
        <w:t> 1987; </w:t>
      </w:r>
      <w:r w:rsidRPr="00463038">
        <w:rPr>
          <w:rFonts w:ascii="Book Antiqua" w:hAnsi="Book Antiqua" w:cs="宋体"/>
          <w:b/>
          <w:bCs/>
          <w:color w:val="000000"/>
        </w:rPr>
        <w:t>93</w:t>
      </w:r>
      <w:r w:rsidRPr="00463038">
        <w:rPr>
          <w:rFonts w:ascii="Book Antiqua" w:hAnsi="Book Antiqua" w:cs="宋体"/>
          <w:color w:val="000000"/>
        </w:rPr>
        <w:t>: 344-351 [PMID: 3596172]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108 </w:t>
      </w:r>
      <w:r w:rsidRPr="00463038">
        <w:rPr>
          <w:rFonts w:ascii="Book Antiqua" w:hAnsi="Book Antiqua" w:cs="宋体"/>
          <w:b/>
          <w:bCs/>
          <w:color w:val="000000"/>
        </w:rPr>
        <w:t>Kassianides C</w:t>
      </w:r>
      <w:r w:rsidRPr="00463038">
        <w:rPr>
          <w:rFonts w:ascii="Book Antiqua" w:hAnsi="Book Antiqua" w:cs="宋体"/>
          <w:color w:val="000000"/>
        </w:rPr>
        <w:t>, Nussenblatt R, Palestine AG, Mellow SD, Hoofnagle JH. Liver injury from cyclosporine A. </w:t>
      </w:r>
      <w:r w:rsidRPr="00463038">
        <w:rPr>
          <w:rFonts w:ascii="Book Antiqua" w:hAnsi="Book Antiqua" w:cs="宋体"/>
          <w:i/>
          <w:iCs/>
          <w:color w:val="000000"/>
        </w:rPr>
        <w:t>Dig Dis Sci</w:t>
      </w:r>
      <w:r w:rsidRPr="00463038">
        <w:rPr>
          <w:rFonts w:ascii="Book Antiqua" w:hAnsi="Book Antiqua" w:cs="宋体"/>
          <w:color w:val="000000"/>
        </w:rPr>
        <w:t> 1990; </w:t>
      </w:r>
      <w:r w:rsidRPr="00463038">
        <w:rPr>
          <w:rFonts w:ascii="Book Antiqua" w:hAnsi="Book Antiqua" w:cs="宋体"/>
          <w:b/>
          <w:bCs/>
          <w:color w:val="000000"/>
        </w:rPr>
        <w:t>35</w:t>
      </w:r>
      <w:r w:rsidRPr="00463038">
        <w:rPr>
          <w:rFonts w:ascii="Book Antiqua" w:hAnsi="Book Antiqua" w:cs="宋体"/>
          <w:color w:val="000000"/>
        </w:rPr>
        <w:t>: 693-697 [PMID: 2344802 DOI: 10.1007/BF01540169]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109 </w:t>
      </w:r>
      <w:r w:rsidRPr="00463038">
        <w:rPr>
          <w:rFonts w:ascii="Book Antiqua" w:hAnsi="Book Antiqua" w:cs="宋体"/>
          <w:b/>
          <w:bCs/>
          <w:color w:val="000000"/>
        </w:rPr>
        <w:t>van Petersen AS</w:t>
      </w:r>
      <w:r w:rsidRPr="00463038">
        <w:rPr>
          <w:rFonts w:ascii="Book Antiqua" w:hAnsi="Book Antiqua" w:cs="宋体"/>
          <w:color w:val="000000"/>
        </w:rPr>
        <w:t>, van der Pijl HW, Ringers J, Lemkes HH, de Fijter HW, Masclee AA. Gallstone formation after pancreas and/or kidney transplantation: an analysis of risk factors. </w:t>
      </w:r>
      <w:r w:rsidRPr="00463038">
        <w:rPr>
          <w:rFonts w:ascii="Book Antiqua" w:hAnsi="Book Antiqua" w:cs="宋体"/>
          <w:i/>
          <w:iCs/>
          <w:color w:val="000000"/>
        </w:rPr>
        <w:t>Clin Transplant</w:t>
      </w:r>
      <w:r w:rsidRPr="00463038">
        <w:rPr>
          <w:rFonts w:ascii="Book Antiqua" w:hAnsi="Book Antiqua" w:cs="宋体"/>
          <w:color w:val="000000"/>
        </w:rPr>
        <w:t> 2007; </w:t>
      </w:r>
      <w:r w:rsidRPr="00463038">
        <w:rPr>
          <w:rFonts w:ascii="Book Antiqua" w:hAnsi="Book Antiqua" w:cs="宋体"/>
          <w:b/>
          <w:bCs/>
          <w:color w:val="000000"/>
        </w:rPr>
        <w:t>21</w:t>
      </w:r>
      <w:r w:rsidRPr="00463038">
        <w:rPr>
          <w:rFonts w:ascii="Book Antiqua" w:hAnsi="Book Antiqua" w:cs="宋体"/>
          <w:color w:val="000000"/>
        </w:rPr>
        <w:t>: 651-658 [PMID: 17845641 DOI: 10.1111/j.1399-0012.2007.00704.x]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110 </w:t>
      </w:r>
      <w:r w:rsidRPr="00463038">
        <w:rPr>
          <w:rFonts w:ascii="Book Antiqua" w:hAnsi="Book Antiqua" w:cs="宋体"/>
          <w:b/>
          <w:bCs/>
          <w:color w:val="000000"/>
        </w:rPr>
        <w:t>Kahan BD</w:t>
      </w:r>
      <w:r w:rsidRPr="00463038">
        <w:rPr>
          <w:rFonts w:ascii="Book Antiqua" w:hAnsi="Book Antiqua" w:cs="宋体"/>
          <w:color w:val="000000"/>
        </w:rPr>
        <w:t>, Flechner SM, Lorber MI, Golden D, Conley S, Van Buren CT. Complications of cyclosporine-prednisone immunosuppression in 402 renal allograft recipients exclusively followed at a single center for from one to five years. </w:t>
      </w:r>
      <w:r w:rsidRPr="00463038">
        <w:rPr>
          <w:rFonts w:ascii="Book Antiqua" w:hAnsi="Book Antiqua" w:cs="宋体"/>
          <w:i/>
          <w:iCs/>
          <w:color w:val="000000"/>
        </w:rPr>
        <w:t>Transplantation</w:t>
      </w:r>
      <w:r w:rsidRPr="00463038">
        <w:rPr>
          <w:rFonts w:ascii="Book Antiqua" w:hAnsi="Book Antiqua" w:cs="宋体"/>
          <w:color w:val="000000"/>
        </w:rPr>
        <w:t> 1987; </w:t>
      </w:r>
      <w:r w:rsidRPr="00463038">
        <w:rPr>
          <w:rFonts w:ascii="Book Antiqua" w:hAnsi="Book Antiqua" w:cs="宋体"/>
          <w:b/>
          <w:bCs/>
          <w:color w:val="000000"/>
        </w:rPr>
        <w:t>43</w:t>
      </w:r>
      <w:r w:rsidRPr="00463038">
        <w:rPr>
          <w:rFonts w:ascii="Book Antiqua" w:hAnsi="Book Antiqua" w:cs="宋体"/>
          <w:color w:val="000000"/>
        </w:rPr>
        <w:t>: 197-204 [PMID: 3544376 DOI: 10.1097/00007890-198702000-00007]</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111 </w:t>
      </w:r>
      <w:r w:rsidRPr="00463038">
        <w:rPr>
          <w:rFonts w:ascii="Book Antiqua" w:hAnsi="Book Antiqua" w:cs="宋体"/>
          <w:b/>
          <w:bCs/>
          <w:color w:val="000000"/>
        </w:rPr>
        <w:t>Lorber MI</w:t>
      </w:r>
      <w:r w:rsidRPr="00463038">
        <w:rPr>
          <w:rFonts w:ascii="Book Antiqua" w:hAnsi="Book Antiqua" w:cs="宋体"/>
          <w:color w:val="000000"/>
        </w:rPr>
        <w:t>, Van Buren CT, Flechner SM, Williams C, Kahan BD. Hepatobiliary and pancreatic complications of cyclosporine therapy in 466 renal transplant recipients. </w:t>
      </w:r>
      <w:r w:rsidRPr="00463038">
        <w:rPr>
          <w:rFonts w:ascii="Book Antiqua" w:hAnsi="Book Antiqua" w:cs="宋体"/>
          <w:i/>
          <w:iCs/>
          <w:color w:val="000000"/>
        </w:rPr>
        <w:t>Transplantation</w:t>
      </w:r>
      <w:r w:rsidRPr="00463038">
        <w:rPr>
          <w:rFonts w:ascii="Book Antiqua" w:hAnsi="Book Antiqua" w:cs="宋体"/>
          <w:color w:val="000000"/>
        </w:rPr>
        <w:t> 1987; </w:t>
      </w:r>
      <w:r w:rsidRPr="00463038">
        <w:rPr>
          <w:rFonts w:ascii="Book Antiqua" w:hAnsi="Book Antiqua" w:cs="宋体"/>
          <w:b/>
          <w:bCs/>
          <w:color w:val="000000"/>
        </w:rPr>
        <w:t>43</w:t>
      </w:r>
      <w:r w:rsidRPr="00463038">
        <w:rPr>
          <w:rFonts w:ascii="Book Antiqua" w:hAnsi="Book Antiqua" w:cs="宋体"/>
          <w:color w:val="000000"/>
        </w:rPr>
        <w:t>: 35-40 [PMID: 3541320 DOI: 10.1097/00007890-198701000-00009]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112 </w:t>
      </w:r>
      <w:r w:rsidRPr="00463038">
        <w:rPr>
          <w:rFonts w:ascii="Book Antiqua" w:hAnsi="Book Antiqua" w:cs="宋体"/>
          <w:b/>
          <w:bCs/>
          <w:color w:val="000000"/>
        </w:rPr>
        <w:t>Klintmalm GB</w:t>
      </w:r>
      <w:r w:rsidRPr="00463038">
        <w:rPr>
          <w:rFonts w:ascii="Book Antiqua" w:hAnsi="Book Antiqua" w:cs="宋体"/>
          <w:color w:val="000000"/>
        </w:rPr>
        <w:t>, Iwatsuki S, Starzl TE. Cyclosporin A hepatotoxicity in 66 renal allograft recipients. </w:t>
      </w:r>
      <w:r w:rsidRPr="00463038">
        <w:rPr>
          <w:rFonts w:ascii="Book Antiqua" w:hAnsi="Book Antiqua" w:cs="宋体"/>
          <w:i/>
          <w:iCs/>
          <w:color w:val="000000"/>
        </w:rPr>
        <w:t>Transplantation</w:t>
      </w:r>
      <w:r w:rsidRPr="00463038">
        <w:rPr>
          <w:rFonts w:ascii="Book Antiqua" w:hAnsi="Book Antiqua" w:cs="宋体"/>
          <w:color w:val="000000"/>
        </w:rPr>
        <w:t> 1981; </w:t>
      </w:r>
      <w:r w:rsidRPr="00463038">
        <w:rPr>
          <w:rFonts w:ascii="Book Antiqua" w:hAnsi="Book Antiqua" w:cs="宋体"/>
          <w:b/>
          <w:bCs/>
          <w:color w:val="000000"/>
        </w:rPr>
        <w:t>32</w:t>
      </w:r>
      <w:r w:rsidRPr="00463038">
        <w:rPr>
          <w:rFonts w:ascii="Book Antiqua" w:hAnsi="Book Antiqua" w:cs="宋体"/>
          <w:color w:val="000000"/>
        </w:rPr>
        <w:t>: 488-489 [PMID: 7041349]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113 </w:t>
      </w:r>
      <w:r w:rsidRPr="00463038">
        <w:rPr>
          <w:rFonts w:ascii="Book Antiqua" w:hAnsi="Book Antiqua" w:cs="宋体"/>
          <w:b/>
          <w:bCs/>
          <w:color w:val="000000"/>
        </w:rPr>
        <w:t>Rogler G</w:t>
      </w:r>
      <w:r w:rsidRPr="00463038">
        <w:rPr>
          <w:rFonts w:ascii="Book Antiqua" w:hAnsi="Book Antiqua" w:cs="宋体"/>
          <w:color w:val="000000"/>
        </w:rPr>
        <w:t>. Gastrointestinal and liver adverse effects of drugs used for treating IBD. </w:t>
      </w:r>
      <w:r w:rsidRPr="00463038">
        <w:rPr>
          <w:rFonts w:ascii="Book Antiqua" w:hAnsi="Book Antiqua" w:cs="宋体"/>
          <w:i/>
          <w:iCs/>
          <w:color w:val="000000"/>
        </w:rPr>
        <w:t>Best Pract Res Clin Gastroenterol</w:t>
      </w:r>
      <w:r w:rsidRPr="00463038">
        <w:rPr>
          <w:rFonts w:ascii="Book Antiqua" w:hAnsi="Book Antiqua" w:cs="宋体"/>
          <w:color w:val="000000"/>
        </w:rPr>
        <w:t> 2010; </w:t>
      </w:r>
      <w:r w:rsidRPr="00463038">
        <w:rPr>
          <w:rFonts w:ascii="Book Antiqua" w:hAnsi="Book Antiqua" w:cs="宋体"/>
          <w:b/>
          <w:bCs/>
          <w:color w:val="000000"/>
        </w:rPr>
        <w:t>24</w:t>
      </w:r>
      <w:r w:rsidRPr="00463038">
        <w:rPr>
          <w:rFonts w:ascii="Book Antiqua" w:hAnsi="Book Antiqua" w:cs="宋体"/>
          <w:color w:val="000000"/>
        </w:rPr>
        <w:t>: 157-165 [PMID: 20227029 DOI: 10.1016/j.bpg.2009.10.011]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114 </w:t>
      </w:r>
      <w:r w:rsidRPr="00463038">
        <w:rPr>
          <w:rFonts w:ascii="Book Antiqua" w:hAnsi="Book Antiqua" w:cs="宋体"/>
          <w:b/>
          <w:bCs/>
          <w:color w:val="000000"/>
        </w:rPr>
        <w:t>García-López S</w:t>
      </w:r>
      <w:r w:rsidRPr="00463038">
        <w:rPr>
          <w:rFonts w:ascii="Book Antiqua" w:hAnsi="Book Antiqua" w:cs="宋体"/>
          <w:color w:val="000000"/>
        </w:rPr>
        <w:t>, Gomollón-García F, Pérez-Gisbert J. Cyclosporine in the treatment of severe attack of ulcerative colitis: a systematic review. </w:t>
      </w:r>
      <w:r w:rsidRPr="00463038">
        <w:rPr>
          <w:rFonts w:ascii="Book Antiqua" w:hAnsi="Book Antiqua" w:cs="宋体"/>
          <w:i/>
          <w:iCs/>
          <w:color w:val="000000"/>
        </w:rPr>
        <w:t>Gastroenterol Hepatol</w:t>
      </w:r>
      <w:r w:rsidRPr="00463038">
        <w:rPr>
          <w:rFonts w:ascii="Book Antiqua" w:hAnsi="Book Antiqua" w:cs="宋体"/>
          <w:color w:val="000000"/>
        </w:rPr>
        <w:t> 2005; </w:t>
      </w:r>
      <w:r w:rsidRPr="00463038">
        <w:rPr>
          <w:rFonts w:ascii="Book Antiqua" w:hAnsi="Book Antiqua" w:cs="宋体"/>
          <w:b/>
          <w:bCs/>
          <w:color w:val="000000"/>
        </w:rPr>
        <w:t>28</w:t>
      </w:r>
      <w:r w:rsidRPr="00463038">
        <w:rPr>
          <w:rFonts w:ascii="Book Antiqua" w:hAnsi="Book Antiqua" w:cs="宋体"/>
          <w:color w:val="000000"/>
        </w:rPr>
        <w:t>: 607-614 [PMID: 16373009 DOI: 10.1016/S0210-5705(05)71523-5]</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115 </w:t>
      </w:r>
      <w:r w:rsidRPr="00463038">
        <w:rPr>
          <w:rFonts w:ascii="Book Antiqua" w:hAnsi="Book Antiqua" w:cs="宋体"/>
          <w:b/>
          <w:bCs/>
          <w:color w:val="000000"/>
        </w:rPr>
        <w:t>Kancherla D</w:t>
      </w:r>
      <w:r w:rsidRPr="00463038">
        <w:rPr>
          <w:rFonts w:ascii="Book Antiqua" w:hAnsi="Book Antiqua" w:cs="宋体"/>
          <w:color w:val="000000"/>
        </w:rPr>
        <w:t>, Gajendran M, Vallabhaneni P, Vipperla K. Metronidazole induced liver injury: a rare immune mediated drug reaction. </w:t>
      </w:r>
      <w:r w:rsidRPr="00463038">
        <w:rPr>
          <w:rFonts w:ascii="Book Antiqua" w:hAnsi="Book Antiqua" w:cs="宋体"/>
          <w:i/>
          <w:iCs/>
          <w:color w:val="000000"/>
        </w:rPr>
        <w:t>Case Rep Gastrointest Med</w:t>
      </w:r>
      <w:r w:rsidRPr="00463038">
        <w:rPr>
          <w:rFonts w:ascii="Book Antiqua" w:hAnsi="Book Antiqua" w:cs="宋体"/>
          <w:color w:val="000000"/>
        </w:rPr>
        <w:t> 2013; </w:t>
      </w:r>
      <w:r w:rsidRPr="00463038">
        <w:rPr>
          <w:rFonts w:ascii="Book Antiqua" w:hAnsi="Book Antiqua" w:cs="宋体"/>
          <w:b/>
          <w:bCs/>
          <w:color w:val="000000"/>
        </w:rPr>
        <w:t>2013</w:t>
      </w:r>
      <w:r w:rsidRPr="00463038">
        <w:rPr>
          <w:rFonts w:ascii="Book Antiqua" w:hAnsi="Book Antiqua" w:cs="宋体"/>
          <w:color w:val="000000"/>
        </w:rPr>
        <w:t>: 568193 [PMID: 24455335]</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116 </w:t>
      </w:r>
      <w:r w:rsidRPr="00463038">
        <w:rPr>
          <w:rFonts w:ascii="Book Antiqua" w:hAnsi="Book Antiqua" w:cs="宋体"/>
          <w:b/>
          <w:bCs/>
          <w:color w:val="000000"/>
        </w:rPr>
        <w:t>Tabak F</w:t>
      </w:r>
      <w:r w:rsidRPr="00463038">
        <w:rPr>
          <w:rFonts w:ascii="Book Antiqua" w:hAnsi="Book Antiqua" w:cs="宋体"/>
          <w:color w:val="000000"/>
        </w:rPr>
        <w:t>, Ozaras R, Erzin Y, Celik AF, Ozbay G, Senturk H. Ornidazole-induced liver damage: report of three cases and review of the literature. </w:t>
      </w:r>
      <w:r w:rsidRPr="00463038">
        <w:rPr>
          <w:rFonts w:ascii="Book Antiqua" w:hAnsi="Book Antiqua" w:cs="宋体"/>
          <w:i/>
          <w:iCs/>
          <w:color w:val="000000"/>
        </w:rPr>
        <w:t>Liver Int</w:t>
      </w:r>
      <w:r w:rsidRPr="00463038">
        <w:rPr>
          <w:rFonts w:ascii="Book Antiqua" w:hAnsi="Book Antiqua" w:cs="宋体"/>
          <w:color w:val="000000"/>
        </w:rPr>
        <w:t> 2003; </w:t>
      </w:r>
      <w:r w:rsidRPr="00463038">
        <w:rPr>
          <w:rFonts w:ascii="Book Antiqua" w:hAnsi="Book Antiqua" w:cs="宋体"/>
          <w:b/>
          <w:bCs/>
          <w:color w:val="000000"/>
        </w:rPr>
        <w:t>23</w:t>
      </w:r>
      <w:r w:rsidRPr="00463038">
        <w:rPr>
          <w:rFonts w:ascii="Book Antiqua" w:hAnsi="Book Antiqua" w:cs="宋体"/>
          <w:color w:val="000000"/>
        </w:rPr>
        <w:t>: 351-354 [PMID: 14708896 DOI: 10.1034/j.1478-3231.2003.00860.x]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117 </w:t>
      </w:r>
      <w:r w:rsidRPr="00463038">
        <w:rPr>
          <w:rFonts w:ascii="Book Antiqua" w:hAnsi="Book Antiqua" w:cs="宋体"/>
          <w:b/>
          <w:bCs/>
          <w:color w:val="000000"/>
        </w:rPr>
        <w:t>Rutgeerts P</w:t>
      </w:r>
      <w:r w:rsidRPr="00463038">
        <w:rPr>
          <w:rFonts w:ascii="Book Antiqua" w:hAnsi="Book Antiqua" w:cs="宋体"/>
          <w:color w:val="000000"/>
        </w:rPr>
        <w:t>, Van Assche G, Vermeire S, D'Haens G, Baert F, Noman M, Aerden I, De Hertogh G, Geboes K, Hiele M, D'Hoore A, Penninckx F. Ornidazole for prophylaxis of postoperative Crohn's disease recurrence: a randomized, double-blind, placebo-controlled trial. </w:t>
      </w:r>
      <w:r w:rsidRPr="00463038">
        <w:rPr>
          <w:rFonts w:ascii="Book Antiqua" w:hAnsi="Book Antiqua" w:cs="宋体"/>
          <w:i/>
          <w:iCs/>
          <w:color w:val="000000"/>
        </w:rPr>
        <w:t>Gastroenterology</w:t>
      </w:r>
      <w:r w:rsidRPr="00463038">
        <w:rPr>
          <w:rFonts w:ascii="Book Antiqua" w:hAnsi="Book Antiqua" w:cs="宋体"/>
          <w:color w:val="000000"/>
        </w:rPr>
        <w:t> 2005; </w:t>
      </w:r>
      <w:r w:rsidRPr="00463038">
        <w:rPr>
          <w:rFonts w:ascii="Book Antiqua" w:hAnsi="Book Antiqua" w:cs="宋体"/>
          <w:b/>
          <w:bCs/>
          <w:color w:val="000000"/>
        </w:rPr>
        <w:t>128</w:t>
      </w:r>
      <w:r w:rsidRPr="00463038">
        <w:rPr>
          <w:rFonts w:ascii="Book Antiqua" w:hAnsi="Book Antiqua" w:cs="宋体"/>
          <w:color w:val="000000"/>
        </w:rPr>
        <w:t>: 856-861 [PMID: 15825069 DOI: 10.1053/j.gastro.2005.01.010]</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118 </w:t>
      </w:r>
      <w:r w:rsidRPr="00463038">
        <w:rPr>
          <w:rFonts w:ascii="Book Antiqua" w:hAnsi="Book Antiqua" w:cs="宋体"/>
          <w:b/>
          <w:bCs/>
          <w:color w:val="000000"/>
        </w:rPr>
        <w:t>Rutgeerts P</w:t>
      </w:r>
      <w:r w:rsidRPr="00463038">
        <w:rPr>
          <w:rFonts w:ascii="Book Antiqua" w:hAnsi="Book Antiqua" w:cs="宋体"/>
          <w:color w:val="000000"/>
        </w:rPr>
        <w:t>, Hiele M, Geboes K, Peeters M, Penninckx F, Aerts R, Kerremans R. Controlled trial of metronidazole treatment for prevention of Crohn's recurrence after ileal resection. </w:t>
      </w:r>
      <w:r w:rsidRPr="00463038">
        <w:rPr>
          <w:rFonts w:ascii="Book Antiqua" w:hAnsi="Book Antiqua" w:cs="宋体"/>
          <w:i/>
          <w:iCs/>
          <w:color w:val="000000"/>
        </w:rPr>
        <w:t>Gastroenterology</w:t>
      </w:r>
      <w:r w:rsidRPr="00463038">
        <w:rPr>
          <w:rFonts w:ascii="Book Antiqua" w:hAnsi="Book Antiqua" w:cs="宋体"/>
          <w:color w:val="000000"/>
        </w:rPr>
        <w:t> 1995; </w:t>
      </w:r>
      <w:r w:rsidRPr="00463038">
        <w:rPr>
          <w:rFonts w:ascii="Book Antiqua" w:hAnsi="Book Antiqua" w:cs="宋体"/>
          <w:b/>
          <w:bCs/>
          <w:color w:val="000000"/>
        </w:rPr>
        <w:t>108</w:t>
      </w:r>
      <w:r w:rsidRPr="00463038">
        <w:rPr>
          <w:rFonts w:ascii="Book Antiqua" w:hAnsi="Book Antiqua" w:cs="宋体"/>
          <w:color w:val="000000"/>
        </w:rPr>
        <w:t>: 1617-1621 [PMID: 7768364 DOI: 10.1016/0016-5085(95)90121-3]</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119 </w:t>
      </w:r>
      <w:r w:rsidRPr="00463038">
        <w:rPr>
          <w:rFonts w:ascii="Book Antiqua" w:hAnsi="Book Antiqua" w:cs="宋体"/>
          <w:b/>
          <w:bCs/>
          <w:color w:val="000000"/>
        </w:rPr>
        <w:t>Alshammari TM</w:t>
      </w:r>
      <w:r w:rsidRPr="00463038">
        <w:rPr>
          <w:rFonts w:ascii="Book Antiqua" w:hAnsi="Book Antiqua" w:cs="宋体"/>
          <w:color w:val="000000"/>
        </w:rPr>
        <w:t>, Larrat EP, Morrill HJ, Caffrey AR, Quilliam BJ, LaPlante KL. Risk of hepatotoxicity associated with fluoroquinolones: a national case-control safety study. </w:t>
      </w:r>
      <w:r w:rsidRPr="00463038">
        <w:rPr>
          <w:rFonts w:ascii="Book Antiqua" w:hAnsi="Book Antiqua" w:cs="宋体"/>
          <w:i/>
          <w:iCs/>
          <w:color w:val="000000"/>
        </w:rPr>
        <w:t>Am J Health Syst Pharm</w:t>
      </w:r>
      <w:r w:rsidRPr="00463038">
        <w:rPr>
          <w:rFonts w:ascii="Book Antiqua" w:hAnsi="Book Antiqua" w:cs="宋体"/>
          <w:color w:val="000000"/>
        </w:rPr>
        <w:t> 2014; </w:t>
      </w:r>
      <w:r w:rsidRPr="00463038">
        <w:rPr>
          <w:rFonts w:ascii="Book Antiqua" w:hAnsi="Book Antiqua" w:cs="宋体"/>
          <w:b/>
          <w:bCs/>
          <w:color w:val="000000"/>
        </w:rPr>
        <w:t>71</w:t>
      </w:r>
      <w:r w:rsidRPr="00463038">
        <w:rPr>
          <w:rFonts w:ascii="Book Antiqua" w:hAnsi="Book Antiqua" w:cs="宋体"/>
          <w:color w:val="000000"/>
        </w:rPr>
        <w:t>: 37-43 [PMID: 24352180 DOI: 10.2146/ajhp130165]</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120 </w:t>
      </w:r>
      <w:r w:rsidRPr="00463038">
        <w:rPr>
          <w:rFonts w:ascii="Book Antiqua" w:hAnsi="Book Antiqua" w:cs="宋体"/>
          <w:b/>
          <w:bCs/>
          <w:color w:val="000000"/>
        </w:rPr>
        <w:t>Arnold GL</w:t>
      </w:r>
      <w:r w:rsidRPr="00463038">
        <w:rPr>
          <w:rFonts w:ascii="Book Antiqua" w:hAnsi="Book Antiqua" w:cs="宋体"/>
          <w:color w:val="000000"/>
        </w:rPr>
        <w:t>, Beaves MR, Pryjdun VO, Mook WJ. Preliminary study of ciprofloxacin in active Crohn's disease. </w:t>
      </w:r>
      <w:r w:rsidRPr="00463038">
        <w:rPr>
          <w:rFonts w:ascii="Book Antiqua" w:hAnsi="Book Antiqua" w:cs="宋体"/>
          <w:i/>
          <w:iCs/>
          <w:color w:val="000000"/>
        </w:rPr>
        <w:t>Inflamm Bowel Dis</w:t>
      </w:r>
      <w:r w:rsidRPr="00463038">
        <w:rPr>
          <w:rFonts w:ascii="Book Antiqua" w:hAnsi="Book Antiqua" w:cs="宋体"/>
          <w:color w:val="000000"/>
        </w:rPr>
        <w:t> 2002; </w:t>
      </w:r>
      <w:r w:rsidRPr="00463038">
        <w:rPr>
          <w:rFonts w:ascii="Book Antiqua" w:hAnsi="Book Antiqua" w:cs="宋体"/>
          <w:b/>
          <w:bCs/>
          <w:color w:val="000000"/>
        </w:rPr>
        <w:t>8</w:t>
      </w:r>
      <w:r w:rsidRPr="00463038">
        <w:rPr>
          <w:rFonts w:ascii="Book Antiqua" w:hAnsi="Book Antiqua" w:cs="宋体"/>
          <w:color w:val="000000"/>
        </w:rPr>
        <w:t>: 10-15 [PMID: 11837933 DOI: 10.1097/00054725-200201000-00002]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121 </w:t>
      </w:r>
      <w:r w:rsidRPr="00463038">
        <w:rPr>
          <w:rFonts w:ascii="Book Antiqua" w:hAnsi="Book Antiqua" w:cs="宋体"/>
          <w:b/>
          <w:bCs/>
          <w:color w:val="000000"/>
        </w:rPr>
        <w:t>Colombel JF</w:t>
      </w:r>
      <w:r w:rsidRPr="00463038">
        <w:rPr>
          <w:rFonts w:ascii="Book Antiqua" w:hAnsi="Book Antiqua" w:cs="宋体"/>
          <w:color w:val="000000"/>
        </w:rPr>
        <w:t>, Lémann M, Cassagnou M, Bouhnik Y, Duclos B, Dupas JL, Notteghem B, Mary JY. A controlled trial comparing ciprofloxacin with mesalazine for the treatment of active Crohn's disease. Groupe d'Etudes Thérapeutiques des Affections Inflammatoires Digestives (GETAID). </w:t>
      </w:r>
      <w:r w:rsidRPr="00463038">
        <w:rPr>
          <w:rFonts w:ascii="Book Antiqua" w:hAnsi="Book Antiqua" w:cs="宋体"/>
          <w:i/>
          <w:iCs/>
          <w:color w:val="000000"/>
        </w:rPr>
        <w:t>Am J Gastroenterol</w:t>
      </w:r>
      <w:r w:rsidRPr="00463038">
        <w:rPr>
          <w:rFonts w:ascii="Book Antiqua" w:hAnsi="Book Antiqua" w:cs="宋体"/>
          <w:color w:val="000000"/>
        </w:rPr>
        <w:t> 1999; </w:t>
      </w:r>
      <w:r w:rsidRPr="00463038">
        <w:rPr>
          <w:rFonts w:ascii="Book Antiqua" w:hAnsi="Book Antiqua" w:cs="宋体"/>
          <w:b/>
          <w:bCs/>
          <w:color w:val="000000"/>
        </w:rPr>
        <w:t>94</w:t>
      </w:r>
      <w:r w:rsidRPr="00463038">
        <w:rPr>
          <w:rFonts w:ascii="Book Antiqua" w:hAnsi="Book Antiqua" w:cs="宋体"/>
          <w:color w:val="000000"/>
        </w:rPr>
        <w:t>: 674-678 [PMID: 10086650 DOI: 10.1111/j.1572-0241.1999.935_q.x]</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122 </w:t>
      </w:r>
      <w:r w:rsidRPr="00463038">
        <w:rPr>
          <w:rFonts w:ascii="Book Antiqua" w:hAnsi="Book Antiqua" w:cs="宋体"/>
          <w:b/>
          <w:bCs/>
          <w:color w:val="000000"/>
        </w:rPr>
        <w:t>Swift GL</w:t>
      </w:r>
      <w:r w:rsidRPr="00463038">
        <w:rPr>
          <w:rFonts w:ascii="Book Antiqua" w:hAnsi="Book Antiqua" w:cs="宋体"/>
          <w:color w:val="000000"/>
        </w:rPr>
        <w:t>, Srivastava ED, Stone R, Pullan RD, Newcombe RG, Rhodes J, Wilkinson S, Rhodes P, Roberts G, Lawrie BW. Controlled trial of anti-tuberculous chemotherapy for two years in Crohn's disease. </w:t>
      </w:r>
      <w:r w:rsidRPr="00463038">
        <w:rPr>
          <w:rFonts w:ascii="Book Antiqua" w:hAnsi="Book Antiqua" w:cs="宋体"/>
          <w:i/>
          <w:iCs/>
          <w:color w:val="000000"/>
        </w:rPr>
        <w:t>Gut</w:t>
      </w:r>
      <w:r w:rsidRPr="00463038">
        <w:rPr>
          <w:rFonts w:ascii="Book Antiqua" w:hAnsi="Book Antiqua" w:cs="宋体"/>
          <w:color w:val="000000"/>
        </w:rPr>
        <w:t> 1994; </w:t>
      </w:r>
      <w:r w:rsidRPr="00463038">
        <w:rPr>
          <w:rFonts w:ascii="Book Antiqua" w:hAnsi="Book Antiqua" w:cs="宋体"/>
          <w:b/>
          <w:bCs/>
          <w:color w:val="000000"/>
        </w:rPr>
        <w:t>35</w:t>
      </w:r>
      <w:r w:rsidRPr="00463038">
        <w:rPr>
          <w:rFonts w:ascii="Book Antiqua" w:hAnsi="Book Antiqua" w:cs="宋体"/>
          <w:color w:val="000000"/>
        </w:rPr>
        <w:t>: 363-368 [PMID: 8150348 DOI: 10.1136/gut.35.3.363]</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123 </w:t>
      </w:r>
      <w:r w:rsidRPr="00463038">
        <w:rPr>
          <w:rFonts w:ascii="Book Antiqua" w:hAnsi="Book Antiqua" w:cs="宋体"/>
          <w:b/>
          <w:bCs/>
          <w:color w:val="000000"/>
        </w:rPr>
        <w:t>Keane J</w:t>
      </w:r>
      <w:r w:rsidRPr="00463038">
        <w:rPr>
          <w:rFonts w:ascii="Book Antiqua" w:hAnsi="Book Antiqua" w:cs="宋体"/>
          <w:color w:val="000000"/>
        </w:rPr>
        <w:t>, Gershon S, Wise RP, Mirabile-Levens E, Kasznica J, Schwieterman WD, Siegel JN, Braun MM. Tuberculosis associated with infliximab, a tumor necrosis factor alpha-neutralizing agent. </w:t>
      </w:r>
      <w:r w:rsidRPr="00463038">
        <w:rPr>
          <w:rFonts w:ascii="Book Antiqua" w:hAnsi="Book Antiqua" w:cs="宋体"/>
          <w:i/>
          <w:iCs/>
          <w:color w:val="000000"/>
        </w:rPr>
        <w:t>N Engl J Med</w:t>
      </w:r>
      <w:r w:rsidRPr="00463038">
        <w:rPr>
          <w:rFonts w:ascii="Book Antiqua" w:hAnsi="Book Antiqua" w:cs="宋体"/>
          <w:color w:val="000000"/>
        </w:rPr>
        <w:t> 2001; </w:t>
      </w:r>
      <w:r w:rsidRPr="00463038">
        <w:rPr>
          <w:rFonts w:ascii="Book Antiqua" w:hAnsi="Book Antiqua" w:cs="宋体"/>
          <w:b/>
          <w:bCs/>
          <w:color w:val="000000"/>
        </w:rPr>
        <w:t>345</w:t>
      </w:r>
      <w:r w:rsidRPr="00463038">
        <w:rPr>
          <w:rFonts w:ascii="Book Antiqua" w:hAnsi="Book Antiqua" w:cs="宋体"/>
          <w:color w:val="000000"/>
        </w:rPr>
        <w:t>: 1098-1104 [PMID: 11596589 DOI: 10.1056/NEJMoa011110]</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124 </w:t>
      </w:r>
      <w:r w:rsidRPr="00463038">
        <w:rPr>
          <w:rFonts w:ascii="Book Antiqua" w:hAnsi="Book Antiqua" w:cs="宋体"/>
          <w:b/>
          <w:bCs/>
          <w:color w:val="000000"/>
        </w:rPr>
        <w:t>Bennett DE</w:t>
      </w:r>
      <w:r w:rsidRPr="00463038">
        <w:rPr>
          <w:rFonts w:ascii="Book Antiqua" w:hAnsi="Book Antiqua" w:cs="宋体"/>
          <w:color w:val="000000"/>
        </w:rPr>
        <w:t>, Courval JM, Onorato I, Agerton T, Gibson JD, Lambert L, McQuillan GM, Lewis B, Navin TR, Castro KG. Prevalence of tuberculosis infection in the United States population: the national health and nutrition examination survey, 1999-2000. </w:t>
      </w:r>
      <w:r w:rsidRPr="00463038">
        <w:rPr>
          <w:rFonts w:ascii="Book Antiqua" w:hAnsi="Book Antiqua" w:cs="宋体"/>
          <w:i/>
          <w:iCs/>
          <w:color w:val="000000"/>
        </w:rPr>
        <w:t>Am J Respir Crit Care Med</w:t>
      </w:r>
      <w:r w:rsidRPr="00463038">
        <w:rPr>
          <w:rFonts w:ascii="Book Antiqua" w:hAnsi="Book Antiqua" w:cs="宋体"/>
          <w:color w:val="000000"/>
        </w:rPr>
        <w:t> 2008; </w:t>
      </w:r>
      <w:r w:rsidRPr="00463038">
        <w:rPr>
          <w:rFonts w:ascii="Book Antiqua" w:hAnsi="Book Antiqua" w:cs="宋体"/>
          <w:b/>
          <w:bCs/>
          <w:color w:val="000000"/>
        </w:rPr>
        <w:t>177</w:t>
      </w:r>
      <w:r w:rsidRPr="00463038">
        <w:rPr>
          <w:rFonts w:ascii="Book Antiqua" w:hAnsi="Book Antiqua" w:cs="宋体"/>
          <w:color w:val="000000"/>
        </w:rPr>
        <w:t>: 348-355 [PMID: 17989346 DOI: 10.1164/rccm.200701-057OC]</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 xml:space="preserve">125 </w:t>
      </w:r>
      <w:hyperlink r:id="rId7" w:history="1">
        <w:r w:rsidRPr="00463038">
          <w:rPr>
            <w:rFonts w:ascii="Book Antiqua" w:hAnsi="Book Antiqua" w:cs="宋体"/>
            <w:b/>
            <w:bCs/>
            <w:color w:val="000000"/>
          </w:rPr>
          <w:t>Centers for Disease Control and Prevention (CDC)</w:t>
        </w:r>
      </w:hyperlink>
      <w:r w:rsidRPr="00463038">
        <w:rPr>
          <w:rFonts w:ascii="Book Antiqua" w:hAnsi="Book Antiqua" w:cs="宋体"/>
          <w:color w:val="000000"/>
        </w:rPr>
        <w:t>. Tuberculosis associated with blocking agents against tumor necrosis factor-alpha--California, 2002-2003. </w:t>
      </w:r>
      <w:r w:rsidRPr="00463038">
        <w:rPr>
          <w:rFonts w:ascii="Book Antiqua" w:hAnsi="Book Antiqua" w:cs="宋体"/>
          <w:i/>
          <w:iCs/>
          <w:color w:val="000000"/>
        </w:rPr>
        <w:t>MMWR Morb Mortal Wkly Rep</w:t>
      </w:r>
      <w:r w:rsidRPr="00463038">
        <w:rPr>
          <w:rFonts w:ascii="Book Antiqua" w:hAnsi="Book Antiqua" w:cs="宋体"/>
          <w:color w:val="000000"/>
        </w:rPr>
        <w:t> 2004; </w:t>
      </w:r>
      <w:r w:rsidRPr="00463038">
        <w:rPr>
          <w:rFonts w:ascii="Book Antiqua" w:hAnsi="Book Antiqua" w:cs="宋体"/>
          <w:b/>
          <w:bCs/>
          <w:color w:val="000000"/>
        </w:rPr>
        <w:t>53</w:t>
      </w:r>
      <w:r w:rsidRPr="00463038">
        <w:rPr>
          <w:rFonts w:ascii="Book Antiqua" w:hAnsi="Book Antiqua" w:cs="宋体"/>
          <w:color w:val="000000"/>
        </w:rPr>
        <w:t>: 683-686 [PMID: 15295313]</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126 </w:t>
      </w:r>
      <w:r w:rsidRPr="00463038">
        <w:rPr>
          <w:rFonts w:ascii="Book Antiqua" w:hAnsi="Book Antiqua" w:cs="宋体"/>
          <w:b/>
          <w:bCs/>
          <w:color w:val="000000"/>
        </w:rPr>
        <w:t>Doherty SD</w:t>
      </w:r>
      <w:r w:rsidRPr="00463038">
        <w:rPr>
          <w:rFonts w:ascii="Book Antiqua" w:hAnsi="Book Antiqua" w:cs="宋体"/>
          <w:color w:val="000000"/>
        </w:rPr>
        <w:t>, Van Voorhees A, Lebwohl MG, Korman NJ, Young MS, Hsu S. National Psoriasis Foundation consensus statement on screening for latent tuberculosis infection in patients with psoriasis treated with systemic and biologic agents. </w:t>
      </w:r>
      <w:r w:rsidRPr="00463038">
        <w:rPr>
          <w:rFonts w:ascii="Book Antiqua" w:hAnsi="Book Antiqua" w:cs="宋体"/>
          <w:i/>
          <w:iCs/>
          <w:color w:val="000000"/>
        </w:rPr>
        <w:t>J Am Acad Dermatol</w:t>
      </w:r>
      <w:r w:rsidRPr="00463038">
        <w:rPr>
          <w:rFonts w:ascii="Book Antiqua" w:hAnsi="Book Antiqua" w:cs="宋体"/>
          <w:color w:val="000000"/>
        </w:rPr>
        <w:t> 2008; </w:t>
      </w:r>
      <w:r w:rsidRPr="00463038">
        <w:rPr>
          <w:rFonts w:ascii="Book Antiqua" w:hAnsi="Book Antiqua" w:cs="宋体"/>
          <w:b/>
          <w:bCs/>
          <w:color w:val="000000"/>
        </w:rPr>
        <w:t>59</w:t>
      </w:r>
      <w:r w:rsidRPr="00463038">
        <w:rPr>
          <w:rFonts w:ascii="Book Antiqua" w:hAnsi="Book Antiqua" w:cs="宋体"/>
          <w:color w:val="000000"/>
        </w:rPr>
        <w:t>: 209-217 [PMID: 18485527 DOI: 10.1016/j.jaad.2008.03.023]</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127 </w:t>
      </w:r>
      <w:r w:rsidRPr="00463038">
        <w:rPr>
          <w:rFonts w:ascii="Book Antiqua" w:hAnsi="Book Antiqua" w:cs="宋体"/>
          <w:b/>
          <w:bCs/>
          <w:color w:val="000000"/>
        </w:rPr>
        <w:t>Kopanoff DE</w:t>
      </w:r>
      <w:r w:rsidRPr="00463038">
        <w:rPr>
          <w:rFonts w:ascii="Book Antiqua" w:hAnsi="Book Antiqua" w:cs="宋体"/>
          <w:color w:val="000000"/>
        </w:rPr>
        <w:t>, Snider DE, Caras GJ. Isoniazid-related hepatitis: a U.S. Public Health Service cooperative surveillance study. </w:t>
      </w:r>
      <w:r w:rsidRPr="00463038">
        <w:rPr>
          <w:rFonts w:ascii="Book Antiqua" w:hAnsi="Book Antiqua" w:cs="宋体"/>
          <w:i/>
          <w:iCs/>
          <w:color w:val="000000"/>
        </w:rPr>
        <w:t>Am Rev Respir Dis</w:t>
      </w:r>
      <w:r w:rsidRPr="00463038">
        <w:rPr>
          <w:rFonts w:ascii="Book Antiqua" w:hAnsi="Book Antiqua" w:cs="宋体"/>
          <w:color w:val="000000"/>
        </w:rPr>
        <w:t> 1978; </w:t>
      </w:r>
      <w:r w:rsidRPr="00463038">
        <w:rPr>
          <w:rFonts w:ascii="Book Antiqua" w:hAnsi="Book Antiqua" w:cs="宋体"/>
          <w:b/>
          <w:bCs/>
          <w:color w:val="000000"/>
        </w:rPr>
        <w:t>117</w:t>
      </w:r>
      <w:r w:rsidRPr="00463038">
        <w:rPr>
          <w:rFonts w:ascii="Book Antiqua" w:hAnsi="Book Antiqua" w:cs="宋体"/>
          <w:color w:val="000000"/>
        </w:rPr>
        <w:t>: 991-1001 [PMID: 666111]</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128 </w:t>
      </w:r>
      <w:r w:rsidRPr="00463038">
        <w:rPr>
          <w:rFonts w:ascii="Book Antiqua" w:hAnsi="Book Antiqua" w:cs="宋体"/>
          <w:b/>
          <w:bCs/>
          <w:color w:val="000000"/>
        </w:rPr>
        <w:t>Nolan CM</w:t>
      </w:r>
      <w:r w:rsidRPr="00463038">
        <w:rPr>
          <w:rFonts w:ascii="Book Antiqua" w:hAnsi="Book Antiqua" w:cs="宋体"/>
          <w:color w:val="000000"/>
        </w:rPr>
        <w:t>, Goldberg SV, Buskin SE. Hepatotoxicity associated with isoniazid preventive therapy: a 7-year survey from a public health tuberculosis clinic. </w:t>
      </w:r>
      <w:r w:rsidRPr="00463038">
        <w:rPr>
          <w:rFonts w:ascii="Book Antiqua" w:hAnsi="Book Antiqua" w:cs="宋体"/>
          <w:i/>
          <w:iCs/>
          <w:color w:val="000000"/>
        </w:rPr>
        <w:t>JAMA</w:t>
      </w:r>
      <w:r w:rsidRPr="00463038">
        <w:rPr>
          <w:rFonts w:ascii="Book Antiqua" w:hAnsi="Book Antiqua" w:cs="宋体"/>
          <w:color w:val="000000"/>
        </w:rPr>
        <w:t> 1999; </w:t>
      </w:r>
      <w:r w:rsidRPr="00463038">
        <w:rPr>
          <w:rFonts w:ascii="Book Antiqua" w:hAnsi="Book Antiqua" w:cs="宋体"/>
          <w:b/>
          <w:bCs/>
          <w:color w:val="000000"/>
        </w:rPr>
        <w:t>281</w:t>
      </w:r>
      <w:r w:rsidRPr="00463038">
        <w:rPr>
          <w:rFonts w:ascii="Book Antiqua" w:hAnsi="Book Antiqua" w:cs="宋体"/>
          <w:color w:val="000000"/>
        </w:rPr>
        <w:t>: 1014-1018 [PMID: 10086436 DOI: 10.1001/jama.281.11.1014]</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129 </w:t>
      </w:r>
      <w:r w:rsidRPr="00463038">
        <w:rPr>
          <w:rFonts w:ascii="Book Antiqua" w:hAnsi="Book Antiqua" w:cs="宋体"/>
          <w:b/>
          <w:bCs/>
          <w:color w:val="000000"/>
        </w:rPr>
        <w:t>Black M</w:t>
      </w:r>
      <w:r w:rsidRPr="00463038">
        <w:rPr>
          <w:rFonts w:ascii="Book Antiqua" w:hAnsi="Book Antiqua" w:cs="宋体"/>
          <w:color w:val="000000"/>
        </w:rPr>
        <w:t>, Mitchell JR, Zimmerman HJ, Ishak KG, Epler GR. Isoniazid-associated hepatitis in 114 patients. </w:t>
      </w:r>
      <w:r w:rsidRPr="00463038">
        <w:rPr>
          <w:rFonts w:ascii="Book Antiqua" w:hAnsi="Book Antiqua" w:cs="宋体"/>
          <w:i/>
          <w:iCs/>
          <w:color w:val="000000"/>
        </w:rPr>
        <w:t>Gastroenterology</w:t>
      </w:r>
      <w:r w:rsidRPr="00463038">
        <w:rPr>
          <w:rFonts w:ascii="Book Antiqua" w:hAnsi="Book Antiqua" w:cs="宋体"/>
          <w:color w:val="000000"/>
        </w:rPr>
        <w:t> 1975; </w:t>
      </w:r>
      <w:r w:rsidRPr="00463038">
        <w:rPr>
          <w:rFonts w:ascii="Book Antiqua" w:hAnsi="Book Antiqua" w:cs="宋体"/>
          <w:b/>
          <w:bCs/>
          <w:color w:val="000000"/>
        </w:rPr>
        <w:t>69</w:t>
      </w:r>
      <w:r w:rsidRPr="00463038">
        <w:rPr>
          <w:rFonts w:ascii="Book Antiqua" w:hAnsi="Book Antiqua" w:cs="宋体"/>
          <w:color w:val="000000"/>
        </w:rPr>
        <w:t>: 289-302 [PMID: 1150039]</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130 </w:t>
      </w:r>
      <w:r w:rsidRPr="00463038">
        <w:rPr>
          <w:rFonts w:ascii="Book Antiqua" w:hAnsi="Book Antiqua" w:cs="宋体"/>
          <w:b/>
          <w:bCs/>
          <w:color w:val="000000"/>
        </w:rPr>
        <w:t>Salpeter SR</w:t>
      </w:r>
      <w:r w:rsidRPr="00463038">
        <w:rPr>
          <w:rFonts w:ascii="Book Antiqua" w:hAnsi="Book Antiqua" w:cs="宋体"/>
          <w:color w:val="000000"/>
        </w:rPr>
        <w:t>. Fatal isoniazid-induced hepatitis. Its risk during chemoprophylaxis. </w:t>
      </w:r>
      <w:r w:rsidRPr="00463038">
        <w:rPr>
          <w:rFonts w:ascii="Book Antiqua" w:hAnsi="Book Antiqua" w:cs="宋体"/>
          <w:i/>
          <w:iCs/>
          <w:color w:val="000000"/>
        </w:rPr>
        <w:t>West J Med</w:t>
      </w:r>
      <w:r w:rsidRPr="00463038">
        <w:rPr>
          <w:rFonts w:ascii="Book Antiqua" w:hAnsi="Book Antiqua" w:cs="宋体"/>
          <w:color w:val="000000"/>
        </w:rPr>
        <w:t> 1993; </w:t>
      </w:r>
      <w:r w:rsidRPr="00463038">
        <w:rPr>
          <w:rFonts w:ascii="Book Antiqua" w:hAnsi="Book Antiqua" w:cs="宋体"/>
          <w:b/>
          <w:bCs/>
          <w:color w:val="000000"/>
        </w:rPr>
        <w:t>159</w:t>
      </w:r>
      <w:r w:rsidRPr="00463038">
        <w:rPr>
          <w:rFonts w:ascii="Book Antiqua" w:hAnsi="Book Antiqua" w:cs="宋体"/>
          <w:color w:val="000000"/>
        </w:rPr>
        <w:t>: 560-564 [PMID: 8279152]</w:t>
      </w:r>
    </w:p>
    <w:p w:rsidR="00C5057E" w:rsidRPr="00463038" w:rsidRDefault="00C5057E" w:rsidP="001E275D">
      <w:pPr>
        <w:spacing w:line="360" w:lineRule="auto"/>
        <w:jc w:val="both"/>
        <w:rPr>
          <w:rFonts w:ascii="Book Antiqua" w:hAnsi="Book Antiqua" w:cs="宋体"/>
          <w:color w:val="000000"/>
        </w:rPr>
      </w:pPr>
      <w:r w:rsidRPr="00463038">
        <w:rPr>
          <w:rFonts w:ascii="Book Antiqua" w:hAnsi="Book Antiqua" w:cs="宋体"/>
          <w:color w:val="000000"/>
        </w:rPr>
        <w:t>131 </w:t>
      </w:r>
      <w:r w:rsidRPr="00463038">
        <w:rPr>
          <w:rFonts w:ascii="Book Antiqua" w:hAnsi="Book Antiqua" w:cs="宋体"/>
          <w:b/>
          <w:bCs/>
          <w:color w:val="000000"/>
        </w:rPr>
        <w:t>Saukkonen JJ</w:t>
      </w:r>
      <w:r w:rsidRPr="00463038">
        <w:rPr>
          <w:rFonts w:ascii="Book Antiqua" w:hAnsi="Book Antiqua" w:cs="宋体"/>
          <w:color w:val="000000"/>
        </w:rPr>
        <w:t>, Cohn DL, Jasmer RM, Schenker S, Jereb JA, Nolan CM, Peloquin CA, Gordin FM, Nunes D, Strader DB, Bernardo J, Venkataramanan R, Sterling TR. An official ATS statement: hepatotoxicity of antituberculosis therapy. </w:t>
      </w:r>
      <w:r w:rsidRPr="00463038">
        <w:rPr>
          <w:rFonts w:ascii="Book Antiqua" w:hAnsi="Book Antiqua" w:cs="宋体"/>
          <w:i/>
          <w:iCs/>
          <w:color w:val="000000"/>
        </w:rPr>
        <w:t>Am J Respir Crit Care Med</w:t>
      </w:r>
      <w:r w:rsidRPr="00463038">
        <w:rPr>
          <w:rFonts w:ascii="Book Antiqua" w:hAnsi="Book Antiqua" w:cs="宋体"/>
          <w:color w:val="000000"/>
        </w:rPr>
        <w:t> 2006; </w:t>
      </w:r>
      <w:r w:rsidRPr="00463038">
        <w:rPr>
          <w:rFonts w:ascii="Book Antiqua" w:hAnsi="Book Antiqua" w:cs="宋体"/>
          <w:b/>
          <w:bCs/>
          <w:color w:val="000000"/>
        </w:rPr>
        <w:t>174</w:t>
      </w:r>
      <w:r w:rsidRPr="00463038">
        <w:rPr>
          <w:rFonts w:ascii="Book Antiqua" w:hAnsi="Book Antiqua" w:cs="宋体"/>
          <w:color w:val="000000"/>
        </w:rPr>
        <w:t>: 935-952 [PMID: 17021358 DOI: 10.1164/rccm.200510-1666ST]</w:t>
      </w:r>
    </w:p>
    <w:p w:rsidR="00C5057E" w:rsidRPr="00463038" w:rsidRDefault="00C5057E" w:rsidP="001E275D">
      <w:pPr>
        <w:spacing w:line="360" w:lineRule="auto"/>
        <w:jc w:val="both"/>
        <w:rPr>
          <w:rFonts w:ascii="Book Antiqua" w:hAnsi="Book Antiqua"/>
        </w:rPr>
      </w:pPr>
    </w:p>
    <w:p w:rsidR="00C5057E" w:rsidRPr="00463038" w:rsidRDefault="00C5057E" w:rsidP="007533A4">
      <w:pPr>
        <w:wordWrap w:val="0"/>
        <w:spacing w:line="360" w:lineRule="auto"/>
        <w:ind w:left="31680" w:hangingChars="200" w:firstLine="31680"/>
        <w:jc w:val="right"/>
        <w:rPr>
          <w:rFonts w:ascii="Book Antiqua" w:hAnsi="Book Antiqua"/>
          <w:color w:val="000000"/>
          <w:lang w:eastAsia="zh-CN"/>
        </w:rPr>
      </w:pPr>
      <w:bookmarkStart w:id="5" w:name="OLE_LINK22"/>
      <w:bookmarkStart w:id="6" w:name="OLE_LINK23"/>
      <w:r w:rsidRPr="00463038">
        <w:rPr>
          <w:rFonts w:ascii="Book Antiqua" w:hAnsi="Book Antiqua"/>
          <w:b/>
        </w:rPr>
        <w:t>P- Reviewer:</w:t>
      </w:r>
      <w:r w:rsidRPr="00463038">
        <w:rPr>
          <w:rFonts w:ascii="Book Antiqua" w:hAnsi="Book Antiqua"/>
          <w:b/>
          <w:lang w:eastAsia="zh-CN"/>
        </w:rPr>
        <w:t xml:space="preserve"> </w:t>
      </w:r>
      <w:r w:rsidRPr="00463038">
        <w:rPr>
          <w:rFonts w:ascii="Book Antiqua" w:hAnsi="Book Antiqua" w:cs="宋体"/>
          <w:color w:val="000000"/>
        </w:rPr>
        <w:t>De Ponti F, Malnick SDH, Narciso-Schiavon JL, Triantafillidis JK, Xu R</w:t>
      </w:r>
      <w:r w:rsidRPr="00463038">
        <w:t xml:space="preserve"> </w:t>
      </w:r>
    </w:p>
    <w:p w:rsidR="00C5057E" w:rsidRPr="00463038" w:rsidRDefault="00C5057E" w:rsidP="0062573A">
      <w:pPr>
        <w:spacing w:line="360" w:lineRule="auto"/>
        <w:ind w:left="31680" w:hangingChars="200" w:firstLine="31680"/>
        <w:jc w:val="right"/>
        <w:rPr>
          <w:rFonts w:ascii="Book Antiqua" w:hAnsi="Book Antiqua"/>
          <w:color w:val="000000"/>
        </w:rPr>
      </w:pPr>
      <w:r w:rsidRPr="00463038">
        <w:rPr>
          <w:rFonts w:ascii="Book Antiqua" w:hAnsi="Book Antiqua"/>
          <w:color w:val="000000"/>
        </w:rPr>
        <w:t xml:space="preserve">  </w:t>
      </w:r>
      <w:r w:rsidRPr="00463038">
        <w:rPr>
          <w:rFonts w:ascii="Book Antiqua" w:hAnsi="Book Antiqua"/>
          <w:b/>
        </w:rPr>
        <w:t>S- Editor:</w:t>
      </w:r>
      <w:r w:rsidRPr="00463038">
        <w:rPr>
          <w:rFonts w:ascii="Book Antiqua" w:hAnsi="Book Antiqua"/>
        </w:rPr>
        <w:t xml:space="preserve"> Gong XM</w:t>
      </w:r>
    </w:p>
    <w:p w:rsidR="00C5057E" w:rsidRPr="00463038" w:rsidRDefault="00C5057E" w:rsidP="007533A4">
      <w:pPr>
        <w:spacing w:line="360" w:lineRule="auto"/>
        <w:ind w:left="31680" w:hangingChars="200" w:firstLine="31680"/>
        <w:jc w:val="right"/>
        <w:rPr>
          <w:rFonts w:ascii="Book Antiqua" w:hAnsi="Book Antiqua"/>
          <w:b/>
        </w:rPr>
      </w:pPr>
      <w:r w:rsidRPr="00463038">
        <w:rPr>
          <w:rFonts w:ascii="Book Antiqua" w:hAnsi="Book Antiqua"/>
          <w:b/>
        </w:rPr>
        <w:t xml:space="preserve"> L- Editor:</w:t>
      </w:r>
      <w:r w:rsidRPr="00463038">
        <w:rPr>
          <w:rFonts w:ascii="Book Antiqua" w:hAnsi="Book Antiqua"/>
        </w:rPr>
        <w:t xml:space="preserve"> </w:t>
      </w:r>
      <w:r w:rsidRPr="00463038">
        <w:rPr>
          <w:rFonts w:ascii="Book Antiqua" w:hAnsi="Book Antiqua"/>
          <w:b/>
        </w:rPr>
        <w:t>E- Editor:</w:t>
      </w:r>
    </w:p>
    <w:bookmarkEnd w:id="5"/>
    <w:bookmarkEnd w:id="6"/>
    <w:p w:rsidR="00C5057E" w:rsidRPr="00463038" w:rsidRDefault="00C5057E" w:rsidP="001E275D">
      <w:pPr>
        <w:spacing w:line="360" w:lineRule="auto"/>
        <w:jc w:val="both"/>
        <w:rPr>
          <w:rFonts w:ascii="Book Antiqua" w:hAnsi="Book Antiqua"/>
          <w:b/>
        </w:rPr>
      </w:pPr>
    </w:p>
    <w:p w:rsidR="00C5057E" w:rsidRPr="00463038" w:rsidRDefault="00C5057E" w:rsidP="001E275D">
      <w:pPr>
        <w:spacing w:line="360" w:lineRule="auto"/>
        <w:jc w:val="both"/>
        <w:rPr>
          <w:rFonts w:ascii="Book Antiqua" w:hAnsi="Book Antiqua"/>
        </w:rPr>
      </w:pPr>
    </w:p>
    <w:p w:rsidR="00C5057E" w:rsidRPr="00463038" w:rsidRDefault="00C5057E" w:rsidP="001E275D">
      <w:pPr>
        <w:spacing w:line="360" w:lineRule="auto"/>
        <w:jc w:val="both"/>
        <w:rPr>
          <w:rFonts w:ascii="Book Antiqua" w:hAnsi="Book Antiqua"/>
          <w:b/>
        </w:rPr>
      </w:pPr>
      <w:r w:rsidRPr="006C6CD2">
        <w:rPr>
          <w:rFonts w:ascii="Book Antiqua" w:hAnsi="Book Antiqua"/>
          <w:b/>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8.25pt;height:116.25pt;visibility:visible">
            <v:imagedata r:id="rId8" o:title=""/>
          </v:shape>
        </w:pict>
      </w:r>
    </w:p>
    <w:p w:rsidR="00C5057E" w:rsidRPr="00463038" w:rsidRDefault="00C5057E" w:rsidP="001E275D">
      <w:pPr>
        <w:tabs>
          <w:tab w:val="num" w:pos="720"/>
        </w:tabs>
        <w:spacing w:line="360" w:lineRule="auto"/>
        <w:jc w:val="both"/>
        <w:rPr>
          <w:rFonts w:ascii="Book Antiqua" w:hAnsi="Book Antiqua" w:cs="Arial"/>
          <w:lang w:eastAsia="zh-CN"/>
        </w:rPr>
      </w:pPr>
      <w:r w:rsidRPr="00463038">
        <w:rPr>
          <w:rFonts w:ascii="Book Antiqua" w:hAnsi="Book Antiqua" w:cs="Arial"/>
          <w:b/>
        </w:rPr>
        <w:t>Figure 1 Azathioprine/6-mercaptopurine metabolism.</w:t>
      </w:r>
      <w:r w:rsidRPr="00463038">
        <w:rPr>
          <w:rFonts w:ascii="Book Antiqua" w:hAnsi="Book Antiqua" w:cs="Arial"/>
        </w:rPr>
        <w:t xml:space="preserve"> Azathioprine is converted to 6-MP </w:t>
      </w:r>
      <w:r w:rsidRPr="00463038">
        <w:rPr>
          <w:rFonts w:ascii="Book Antiqua" w:hAnsi="Book Antiqua" w:cs="Arial"/>
          <w:i/>
        </w:rPr>
        <w:t>via</w:t>
      </w:r>
      <w:r w:rsidRPr="00463038">
        <w:rPr>
          <w:rFonts w:ascii="Book Antiqua" w:hAnsi="Book Antiqua" w:cs="Arial"/>
        </w:rPr>
        <w:t xml:space="preserve"> nonenzymatic reactions. IMPDH and GMPS generate active 6-Thioguanine nucleotides. TPMT results in the production of hepatotoxic 6-MMP and 6-MMPR metabolites. 6-MP</w:t>
      </w:r>
      <w:r w:rsidRPr="00463038">
        <w:rPr>
          <w:rFonts w:ascii="Book Antiqua" w:hAnsi="Book Antiqua" w:cs="Arial"/>
          <w:lang w:eastAsia="zh-CN"/>
        </w:rPr>
        <w:t>:</w:t>
      </w:r>
      <w:r w:rsidRPr="00463038">
        <w:rPr>
          <w:rFonts w:ascii="Book Antiqua" w:hAnsi="Book Antiqua" w:cs="Arial"/>
        </w:rPr>
        <w:t xml:space="preserve"> 6-Mercaptopurine; TPMT</w:t>
      </w:r>
      <w:r w:rsidRPr="00463038">
        <w:rPr>
          <w:rFonts w:ascii="Book Antiqua" w:hAnsi="Book Antiqua" w:cs="Arial"/>
          <w:lang w:eastAsia="zh-CN"/>
        </w:rPr>
        <w:t>:</w:t>
      </w:r>
      <w:r w:rsidRPr="00463038">
        <w:rPr>
          <w:rFonts w:ascii="Book Antiqua" w:hAnsi="Book Antiqua" w:cs="Arial"/>
        </w:rPr>
        <w:t xml:space="preserve"> Thiopurine methyltransferase; XO</w:t>
      </w:r>
      <w:r w:rsidRPr="00463038">
        <w:rPr>
          <w:rFonts w:ascii="Book Antiqua" w:hAnsi="Book Antiqua" w:cs="Arial"/>
          <w:lang w:eastAsia="zh-CN"/>
        </w:rPr>
        <w:t>:</w:t>
      </w:r>
      <w:r w:rsidRPr="00463038">
        <w:rPr>
          <w:rFonts w:ascii="Book Antiqua" w:hAnsi="Book Antiqua" w:cs="Arial"/>
        </w:rPr>
        <w:t xml:space="preserve"> Xanthine oxidase; HPRT</w:t>
      </w:r>
      <w:r w:rsidRPr="00463038">
        <w:rPr>
          <w:rFonts w:ascii="Book Antiqua" w:hAnsi="Book Antiqua" w:cs="Arial"/>
          <w:lang w:eastAsia="zh-CN"/>
        </w:rPr>
        <w:t>:</w:t>
      </w:r>
      <w:r w:rsidRPr="00463038">
        <w:rPr>
          <w:rFonts w:ascii="Book Antiqua" w:hAnsi="Book Antiqua" w:cs="Arial"/>
        </w:rPr>
        <w:t xml:space="preserve"> Hypoxanthineguanine-phosphoribosyl-transferase; 6-MMP</w:t>
      </w:r>
      <w:r w:rsidRPr="00463038">
        <w:rPr>
          <w:rFonts w:ascii="Book Antiqua" w:hAnsi="Book Antiqua" w:cs="Arial"/>
          <w:lang w:eastAsia="zh-CN"/>
        </w:rPr>
        <w:t>:</w:t>
      </w:r>
      <w:r w:rsidRPr="00463038">
        <w:rPr>
          <w:rFonts w:ascii="Book Antiqua" w:hAnsi="Book Antiqua" w:cs="Arial"/>
        </w:rPr>
        <w:t xml:space="preserve"> 6-methylmercaptopurine</w:t>
      </w:r>
      <w:r w:rsidRPr="00463038">
        <w:rPr>
          <w:rFonts w:ascii="Book Antiqua" w:hAnsi="Book Antiqua" w:cs="Arial"/>
          <w:lang w:eastAsia="zh-CN"/>
        </w:rPr>
        <w:t>;</w:t>
      </w:r>
      <w:r w:rsidRPr="00463038">
        <w:rPr>
          <w:rFonts w:ascii="Book Antiqua" w:hAnsi="Book Antiqua" w:cs="Arial"/>
        </w:rPr>
        <w:t xml:space="preserve"> 6-MMPR</w:t>
      </w:r>
      <w:r w:rsidRPr="00463038">
        <w:rPr>
          <w:rFonts w:ascii="Book Antiqua" w:hAnsi="Book Antiqua" w:cs="Arial"/>
          <w:lang w:eastAsia="zh-CN"/>
        </w:rPr>
        <w:t>:</w:t>
      </w:r>
      <w:r w:rsidRPr="00463038">
        <w:rPr>
          <w:rFonts w:ascii="Book Antiqua" w:hAnsi="Book Antiqua" w:cs="Arial"/>
        </w:rPr>
        <w:t xml:space="preserve"> 6-methylmercaptopurine ribonucleotide; IMPDH</w:t>
      </w:r>
      <w:r w:rsidRPr="00463038">
        <w:rPr>
          <w:rFonts w:ascii="Book Antiqua" w:hAnsi="Book Antiqua" w:cs="Arial"/>
          <w:lang w:eastAsia="zh-CN"/>
        </w:rPr>
        <w:t>:</w:t>
      </w:r>
      <w:r w:rsidRPr="00463038">
        <w:rPr>
          <w:rFonts w:ascii="Book Antiqua" w:hAnsi="Book Antiqua" w:cs="Arial"/>
        </w:rPr>
        <w:t xml:space="preserve"> Inosine monophosphate dehydrogenase; GMPS</w:t>
      </w:r>
      <w:r w:rsidRPr="00463038">
        <w:rPr>
          <w:rFonts w:ascii="Book Antiqua" w:hAnsi="Book Antiqua" w:cs="Arial"/>
          <w:lang w:eastAsia="zh-CN"/>
        </w:rPr>
        <w:t>:</w:t>
      </w:r>
      <w:r w:rsidRPr="00463038">
        <w:rPr>
          <w:rFonts w:ascii="Book Antiqua" w:hAnsi="Book Antiqua" w:cs="Arial"/>
        </w:rPr>
        <w:t xml:space="preserve"> Guanosine monophosphate synthetase; MPK</w:t>
      </w:r>
      <w:r w:rsidRPr="00463038">
        <w:rPr>
          <w:rFonts w:ascii="Book Antiqua" w:hAnsi="Book Antiqua" w:cs="Arial"/>
          <w:lang w:eastAsia="zh-CN"/>
        </w:rPr>
        <w:t>:</w:t>
      </w:r>
      <w:r w:rsidRPr="00463038">
        <w:rPr>
          <w:rFonts w:ascii="Book Antiqua" w:hAnsi="Book Antiqua" w:cs="Arial"/>
        </w:rPr>
        <w:t xml:space="preserve"> Monophosphate kinase; DPK</w:t>
      </w:r>
      <w:r w:rsidRPr="00463038">
        <w:rPr>
          <w:rFonts w:ascii="Book Antiqua" w:hAnsi="Book Antiqua" w:cs="Arial"/>
          <w:lang w:eastAsia="zh-CN"/>
        </w:rPr>
        <w:t>:</w:t>
      </w:r>
      <w:r w:rsidRPr="00463038">
        <w:rPr>
          <w:rFonts w:ascii="Book Antiqua" w:hAnsi="Book Antiqua" w:cs="Arial"/>
        </w:rPr>
        <w:t xml:space="preserve"> Diphosphate kinase. Adapted from Cuffari C, Theoret Y, Latour S, Seidman G. 6-Mercaptopurine metabolism in Crohn’s disease: Correlation with efficacy and toxicity. </w:t>
      </w:r>
      <w:r w:rsidRPr="00463038">
        <w:rPr>
          <w:rFonts w:ascii="Book Antiqua" w:hAnsi="Book Antiqua" w:cs="Arial"/>
          <w:i/>
          <w:iCs/>
        </w:rPr>
        <w:t>Gut</w:t>
      </w:r>
      <w:r w:rsidRPr="00463038">
        <w:rPr>
          <w:rFonts w:ascii="Book Antiqua" w:hAnsi="Book Antiqua" w:cs="Arial"/>
        </w:rPr>
        <w:t xml:space="preserve"> 1996;</w:t>
      </w:r>
      <w:r w:rsidRPr="00463038">
        <w:rPr>
          <w:rFonts w:ascii="Book Antiqua" w:hAnsi="Book Antiqua" w:cs="Arial"/>
          <w:lang w:eastAsia="zh-CN"/>
        </w:rPr>
        <w:t xml:space="preserve"> </w:t>
      </w:r>
      <w:r w:rsidRPr="00463038">
        <w:rPr>
          <w:rFonts w:ascii="Book Antiqua" w:hAnsi="Book Antiqua" w:cs="Arial"/>
        </w:rPr>
        <w:t>39:</w:t>
      </w:r>
      <w:r w:rsidRPr="00463038">
        <w:rPr>
          <w:rFonts w:ascii="Book Antiqua" w:hAnsi="Book Antiqua" w:cs="Arial"/>
          <w:lang w:eastAsia="zh-CN"/>
        </w:rPr>
        <w:t xml:space="preserve"> </w:t>
      </w:r>
      <w:r w:rsidRPr="00463038">
        <w:rPr>
          <w:rFonts w:ascii="Book Antiqua" w:hAnsi="Book Antiqua" w:cs="Arial"/>
        </w:rPr>
        <w:t>401-406.</w:t>
      </w:r>
    </w:p>
    <w:p w:rsidR="00C5057E" w:rsidRPr="00463038" w:rsidRDefault="00C5057E" w:rsidP="001E275D">
      <w:pPr>
        <w:spacing w:line="360" w:lineRule="auto"/>
        <w:jc w:val="both"/>
        <w:rPr>
          <w:rFonts w:ascii="Book Antiqua" w:hAnsi="Book Antiqua"/>
          <w:b/>
          <w:lang w:eastAsia="zh-CN"/>
        </w:rPr>
      </w:pPr>
      <w:r w:rsidRPr="00463038">
        <w:rPr>
          <w:rFonts w:ascii="Book Antiqua" w:hAnsi="Book Antiqua"/>
        </w:rPr>
        <w:br w:type="page"/>
      </w:r>
      <w:r w:rsidRPr="00463038">
        <w:rPr>
          <w:rFonts w:ascii="Book Antiqua" w:hAnsi="Book Antiqua"/>
          <w:b/>
        </w:rPr>
        <w:t>Table 1 Risk of hepatitis B viral DNA associated with medication use and hepatitis B status</w:t>
      </w:r>
    </w:p>
    <w:p w:rsidR="00C5057E" w:rsidRPr="00463038" w:rsidRDefault="00C5057E" w:rsidP="001E275D">
      <w:pPr>
        <w:spacing w:line="360" w:lineRule="auto"/>
        <w:jc w:val="both"/>
        <w:rPr>
          <w:rFonts w:ascii="Book Antiqua" w:hAnsi="Book Antiqu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1"/>
        <w:gridCol w:w="2707"/>
        <w:gridCol w:w="3618"/>
      </w:tblGrid>
      <w:tr w:rsidR="00C5057E" w:rsidRPr="006C6CD2" w:rsidTr="000E6C6D">
        <w:tc>
          <w:tcPr>
            <w:tcW w:w="3251" w:type="dxa"/>
          </w:tcPr>
          <w:p w:rsidR="00C5057E" w:rsidRPr="006C6CD2" w:rsidRDefault="00C5057E" w:rsidP="001E275D">
            <w:pPr>
              <w:spacing w:line="360" w:lineRule="auto"/>
              <w:jc w:val="both"/>
              <w:rPr>
                <w:rFonts w:ascii="Book Antiqua" w:hAnsi="Book Antiqua"/>
                <w:b/>
              </w:rPr>
            </w:pPr>
            <w:r w:rsidRPr="006C6CD2">
              <w:rPr>
                <w:rFonts w:ascii="Book Antiqua" w:hAnsi="Book Antiqua"/>
                <w:b/>
              </w:rPr>
              <w:t>Risk group</w:t>
            </w:r>
          </w:p>
        </w:tc>
        <w:tc>
          <w:tcPr>
            <w:tcW w:w="2707" w:type="dxa"/>
          </w:tcPr>
          <w:p w:rsidR="00C5057E" w:rsidRPr="006C6CD2" w:rsidRDefault="00C5057E" w:rsidP="001E275D">
            <w:pPr>
              <w:spacing w:line="360" w:lineRule="auto"/>
              <w:jc w:val="both"/>
              <w:rPr>
                <w:rFonts w:ascii="Book Antiqua" w:hAnsi="Book Antiqua"/>
                <w:b/>
              </w:rPr>
            </w:pPr>
            <w:r w:rsidRPr="006C6CD2">
              <w:rPr>
                <w:rFonts w:ascii="Book Antiqua" w:hAnsi="Book Antiqua"/>
                <w:b/>
              </w:rPr>
              <w:t>Medication</w:t>
            </w:r>
          </w:p>
        </w:tc>
        <w:tc>
          <w:tcPr>
            <w:tcW w:w="3618" w:type="dxa"/>
          </w:tcPr>
          <w:p w:rsidR="00C5057E" w:rsidRPr="006C6CD2" w:rsidRDefault="00C5057E" w:rsidP="001E275D">
            <w:pPr>
              <w:spacing w:line="360" w:lineRule="auto"/>
              <w:jc w:val="both"/>
              <w:rPr>
                <w:rFonts w:ascii="Book Antiqua" w:hAnsi="Book Antiqua"/>
                <w:b/>
              </w:rPr>
            </w:pPr>
            <w:r w:rsidRPr="006C6CD2">
              <w:rPr>
                <w:rFonts w:ascii="Book Antiqua" w:hAnsi="Book Antiqua"/>
                <w:b/>
              </w:rPr>
              <w:t>Hepatitis B virus status</w:t>
            </w:r>
          </w:p>
        </w:tc>
      </w:tr>
      <w:tr w:rsidR="00C5057E" w:rsidRPr="006C6CD2" w:rsidTr="000E6C6D">
        <w:tc>
          <w:tcPr>
            <w:tcW w:w="3251" w:type="dxa"/>
            <w:vAlign w:val="center"/>
          </w:tcPr>
          <w:p w:rsidR="00C5057E" w:rsidRPr="006C6CD2" w:rsidRDefault="00C5057E" w:rsidP="001E275D">
            <w:pPr>
              <w:spacing w:line="360" w:lineRule="auto"/>
              <w:jc w:val="both"/>
              <w:rPr>
                <w:rFonts w:ascii="Book Antiqua" w:hAnsi="Book Antiqua"/>
              </w:rPr>
            </w:pPr>
            <w:r w:rsidRPr="006C6CD2">
              <w:rPr>
                <w:rFonts w:ascii="Book Antiqua" w:hAnsi="Book Antiqua"/>
              </w:rPr>
              <w:t>High Risk (&gt;</w:t>
            </w:r>
            <w:r w:rsidRPr="006C6CD2">
              <w:rPr>
                <w:rFonts w:ascii="Book Antiqua" w:hAnsi="Book Antiqua"/>
                <w:lang w:eastAsia="zh-CN"/>
              </w:rPr>
              <w:t xml:space="preserve"> </w:t>
            </w:r>
            <w:r w:rsidRPr="006C6CD2">
              <w:rPr>
                <w:rFonts w:ascii="Book Antiqua" w:hAnsi="Book Antiqua"/>
              </w:rPr>
              <w:t>10%)</w:t>
            </w:r>
          </w:p>
        </w:tc>
        <w:tc>
          <w:tcPr>
            <w:tcW w:w="2707" w:type="dxa"/>
            <w:vAlign w:val="center"/>
          </w:tcPr>
          <w:p w:rsidR="00C5057E" w:rsidRPr="006C6CD2" w:rsidRDefault="00C5057E" w:rsidP="001E275D">
            <w:pPr>
              <w:spacing w:line="360" w:lineRule="auto"/>
              <w:jc w:val="both"/>
              <w:rPr>
                <w:rFonts w:ascii="Book Antiqua" w:hAnsi="Book Antiqua"/>
              </w:rPr>
            </w:pPr>
            <w:r w:rsidRPr="006C6CD2">
              <w:rPr>
                <w:rFonts w:ascii="Book Antiqua" w:hAnsi="Book Antiqua"/>
              </w:rPr>
              <w:t>Corticosteroids &gt;</w:t>
            </w:r>
            <w:r w:rsidRPr="006C6CD2">
              <w:rPr>
                <w:rFonts w:ascii="Book Antiqua" w:hAnsi="Book Antiqua"/>
                <w:lang w:eastAsia="zh-CN"/>
              </w:rPr>
              <w:t xml:space="preserve"> </w:t>
            </w:r>
            <w:r w:rsidRPr="006C6CD2">
              <w:rPr>
                <w:rFonts w:ascii="Book Antiqua" w:hAnsi="Book Antiqua"/>
              </w:rPr>
              <w:t>4 wk (moderate-high dose)</w:t>
            </w:r>
          </w:p>
        </w:tc>
        <w:tc>
          <w:tcPr>
            <w:tcW w:w="3618" w:type="dxa"/>
            <w:vAlign w:val="center"/>
          </w:tcPr>
          <w:p w:rsidR="00C5057E" w:rsidRPr="006C6CD2" w:rsidRDefault="00C5057E" w:rsidP="001E275D">
            <w:pPr>
              <w:spacing w:line="360" w:lineRule="auto"/>
              <w:jc w:val="both"/>
              <w:rPr>
                <w:rFonts w:ascii="Book Antiqua" w:hAnsi="Book Antiqua"/>
              </w:rPr>
            </w:pPr>
            <w:r w:rsidRPr="006C6CD2">
              <w:rPr>
                <w:rFonts w:ascii="Book Antiqua" w:hAnsi="Book Antiqua"/>
              </w:rPr>
              <w:t>HBsAg+/HBcAb+</w:t>
            </w:r>
          </w:p>
        </w:tc>
      </w:tr>
      <w:tr w:rsidR="00C5057E" w:rsidRPr="006C6CD2" w:rsidTr="000E6C6D">
        <w:tc>
          <w:tcPr>
            <w:tcW w:w="3251" w:type="dxa"/>
            <w:vMerge w:val="restart"/>
            <w:vAlign w:val="center"/>
          </w:tcPr>
          <w:p w:rsidR="00C5057E" w:rsidRPr="006C6CD2" w:rsidRDefault="00C5057E" w:rsidP="001E275D">
            <w:pPr>
              <w:spacing w:line="360" w:lineRule="auto"/>
              <w:jc w:val="both"/>
              <w:rPr>
                <w:rFonts w:ascii="Book Antiqua" w:hAnsi="Book Antiqua"/>
              </w:rPr>
            </w:pPr>
            <w:r w:rsidRPr="006C6CD2">
              <w:rPr>
                <w:rFonts w:ascii="Book Antiqua" w:hAnsi="Book Antiqua"/>
              </w:rPr>
              <w:t>Moderate risk (1</w:t>
            </w:r>
            <w:r w:rsidRPr="006C6CD2">
              <w:rPr>
                <w:rFonts w:ascii="Book Antiqua" w:hAnsi="Book Antiqua"/>
                <w:lang w:eastAsia="zh-CN"/>
              </w:rPr>
              <w:t>%</w:t>
            </w:r>
            <w:r w:rsidRPr="006C6CD2">
              <w:rPr>
                <w:rFonts w:ascii="Book Antiqua" w:hAnsi="Book Antiqua"/>
              </w:rPr>
              <w:t>-10%)</w:t>
            </w:r>
          </w:p>
        </w:tc>
        <w:tc>
          <w:tcPr>
            <w:tcW w:w="2707" w:type="dxa"/>
            <w:vAlign w:val="center"/>
          </w:tcPr>
          <w:p w:rsidR="00C5057E" w:rsidRPr="006C6CD2" w:rsidRDefault="00C5057E" w:rsidP="001E275D">
            <w:pPr>
              <w:spacing w:line="360" w:lineRule="auto"/>
              <w:jc w:val="both"/>
              <w:rPr>
                <w:rFonts w:ascii="Book Antiqua" w:hAnsi="Book Antiqua"/>
              </w:rPr>
            </w:pPr>
            <w:r w:rsidRPr="006C6CD2">
              <w:rPr>
                <w:rFonts w:ascii="Book Antiqua" w:hAnsi="Book Antiqua"/>
              </w:rPr>
              <w:t>TNF-</w:t>
            </w:r>
            <w:r w:rsidRPr="006C6CD2">
              <w:rPr>
                <w:rFonts w:ascii="Book Antiqua" w:hAnsi="Book Antiqua"/>
                <w:bCs/>
                <w:kern w:val="24"/>
              </w:rPr>
              <w:sym w:font="Symbol" w:char="F061"/>
            </w:r>
            <w:r w:rsidRPr="006C6CD2">
              <w:rPr>
                <w:rFonts w:ascii="Book Antiqua" w:hAnsi="Book Antiqua"/>
              </w:rPr>
              <w:t xml:space="preserve"> inhibitors</w:t>
            </w:r>
          </w:p>
          <w:p w:rsidR="00C5057E" w:rsidRPr="006C6CD2" w:rsidRDefault="00C5057E" w:rsidP="001E275D">
            <w:pPr>
              <w:spacing w:line="360" w:lineRule="auto"/>
              <w:jc w:val="both"/>
              <w:rPr>
                <w:rFonts w:ascii="Book Antiqua" w:hAnsi="Book Antiqua"/>
              </w:rPr>
            </w:pPr>
            <w:r w:rsidRPr="006C6CD2">
              <w:rPr>
                <w:rFonts w:ascii="Book Antiqua" w:hAnsi="Book Antiqua"/>
              </w:rPr>
              <w:t>Ustekinumab</w:t>
            </w:r>
          </w:p>
          <w:p w:rsidR="00C5057E" w:rsidRPr="006C6CD2" w:rsidRDefault="00C5057E" w:rsidP="001E275D">
            <w:pPr>
              <w:spacing w:line="360" w:lineRule="auto"/>
              <w:jc w:val="both"/>
              <w:rPr>
                <w:rFonts w:ascii="Book Antiqua" w:hAnsi="Book Antiqua"/>
              </w:rPr>
            </w:pPr>
            <w:r w:rsidRPr="006C6CD2">
              <w:rPr>
                <w:rFonts w:ascii="Book Antiqua" w:hAnsi="Book Antiqua"/>
              </w:rPr>
              <w:t>Vedolizumab</w:t>
            </w:r>
          </w:p>
          <w:p w:rsidR="00C5057E" w:rsidRPr="006C6CD2" w:rsidRDefault="00C5057E" w:rsidP="001E275D">
            <w:pPr>
              <w:spacing w:line="360" w:lineRule="auto"/>
              <w:jc w:val="both"/>
              <w:rPr>
                <w:rFonts w:ascii="Book Antiqua" w:hAnsi="Book Antiqua"/>
              </w:rPr>
            </w:pPr>
            <w:r w:rsidRPr="006C6CD2">
              <w:rPr>
                <w:rFonts w:ascii="Book Antiqua" w:hAnsi="Book Antiqua"/>
              </w:rPr>
              <w:t>Natalizumab</w:t>
            </w:r>
          </w:p>
        </w:tc>
        <w:tc>
          <w:tcPr>
            <w:tcW w:w="3618" w:type="dxa"/>
            <w:vAlign w:val="center"/>
          </w:tcPr>
          <w:p w:rsidR="00C5057E" w:rsidRPr="006C6CD2" w:rsidRDefault="00C5057E" w:rsidP="001E275D">
            <w:pPr>
              <w:spacing w:line="360" w:lineRule="auto"/>
              <w:jc w:val="both"/>
              <w:rPr>
                <w:rFonts w:ascii="Book Antiqua" w:hAnsi="Book Antiqua"/>
              </w:rPr>
            </w:pPr>
            <w:r w:rsidRPr="006C6CD2">
              <w:rPr>
                <w:rFonts w:ascii="Book Antiqua" w:hAnsi="Book Antiqua"/>
              </w:rPr>
              <w:t>HBsAg+/HBcAb+ (1</w:t>
            </w:r>
            <w:r w:rsidRPr="006C6CD2">
              <w:rPr>
                <w:rFonts w:ascii="Book Antiqua" w:hAnsi="Book Antiqua"/>
                <w:lang w:eastAsia="zh-CN"/>
              </w:rPr>
              <w:t>%</w:t>
            </w:r>
            <w:r w:rsidRPr="006C6CD2">
              <w:rPr>
                <w:rFonts w:ascii="Book Antiqua" w:hAnsi="Book Antiqua"/>
              </w:rPr>
              <w:t>-10%)</w:t>
            </w:r>
          </w:p>
          <w:p w:rsidR="00C5057E" w:rsidRPr="006C6CD2" w:rsidRDefault="00C5057E" w:rsidP="001E275D">
            <w:pPr>
              <w:spacing w:line="360" w:lineRule="auto"/>
              <w:jc w:val="both"/>
              <w:rPr>
                <w:rFonts w:ascii="Book Antiqua" w:hAnsi="Book Antiqua"/>
              </w:rPr>
            </w:pPr>
            <w:r w:rsidRPr="006C6CD2">
              <w:rPr>
                <w:rFonts w:ascii="Book Antiqua" w:hAnsi="Book Antiqua"/>
              </w:rPr>
              <w:t>HBsAg-/HBcAb+ (1%)</w:t>
            </w:r>
          </w:p>
        </w:tc>
      </w:tr>
      <w:tr w:rsidR="00C5057E" w:rsidRPr="006C6CD2" w:rsidTr="000E6C6D">
        <w:tc>
          <w:tcPr>
            <w:tcW w:w="3251" w:type="dxa"/>
            <w:vMerge/>
            <w:vAlign w:val="center"/>
          </w:tcPr>
          <w:p w:rsidR="00C5057E" w:rsidRPr="006C6CD2" w:rsidRDefault="00C5057E" w:rsidP="001E275D">
            <w:pPr>
              <w:spacing w:line="360" w:lineRule="auto"/>
              <w:jc w:val="both"/>
              <w:rPr>
                <w:rFonts w:ascii="Book Antiqua" w:hAnsi="Book Antiqua"/>
              </w:rPr>
            </w:pPr>
          </w:p>
        </w:tc>
        <w:tc>
          <w:tcPr>
            <w:tcW w:w="2707" w:type="dxa"/>
            <w:vAlign w:val="center"/>
          </w:tcPr>
          <w:p w:rsidR="00C5057E" w:rsidRPr="006C6CD2" w:rsidRDefault="00C5057E" w:rsidP="001E275D">
            <w:pPr>
              <w:spacing w:line="360" w:lineRule="auto"/>
              <w:jc w:val="both"/>
              <w:rPr>
                <w:rFonts w:ascii="Book Antiqua" w:hAnsi="Book Antiqua"/>
              </w:rPr>
            </w:pPr>
            <w:r w:rsidRPr="006C6CD2">
              <w:rPr>
                <w:rFonts w:ascii="Book Antiqua" w:hAnsi="Book Antiqua"/>
              </w:rPr>
              <w:t>Corticosteroids &gt;</w:t>
            </w:r>
            <w:r w:rsidRPr="006C6CD2">
              <w:rPr>
                <w:rFonts w:ascii="Book Antiqua" w:hAnsi="Book Antiqua"/>
                <w:lang w:eastAsia="zh-CN"/>
              </w:rPr>
              <w:t xml:space="preserve"> </w:t>
            </w:r>
            <w:r w:rsidRPr="006C6CD2">
              <w:rPr>
                <w:rFonts w:ascii="Book Antiqua" w:hAnsi="Book Antiqua"/>
              </w:rPr>
              <w:t>4 wk</w:t>
            </w:r>
          </w:p>
        </w:tc>
        <w:tc>
          <w:tcPr>
            <w:tcW w:w="3618" w:type="dxa"/>
            <w:vAlign w:val="center"/>
          </w:tcPr>
          <w:p w:rsidR="00C5057E" w:rsidRPr="006C6CD2" w:rsidRDefault="00C5057E" w:rsidP="001E275D">
            <w:pPr>
              <w:spacing w:line="360" w:lineRule="auto"/>
              <w:jc w:val="both"/>
              <w:rPr>
                <w:rFonts w:ascii="Book Antiqua" w:hAnsi="Book Antiqua"/>
              </w:rPr>
            </w:pPr>
            <w:r w:rsidRPr="006C6CD2">
              <w:rPr>
                <w:rFonts w:ascii="Book Antiqua" w:hAnsi="Book Antiqua"/>
              </w:rPr>
              <w:t>HBsAg+/HBcAb+ (1</w:t>
            </w:r>
            <w:r w:rsidRPr="006C6CD2">
              <w:rPr>
                <w:rFonts w:ascii="Book Antiqua" w:hAnsi="Book Antiqua"/>
                <w:lang w:eastAsia="zh-CN"/>
              </w:rPr>
              <w:t>%</w:t>
            </w:r>
            <w:r w:rsidRPr="006C6CD2">
              <w:rPr>
                <w:rFonts w:ascii="Book Antiqua" w:hAnsi="Book Antiqua"/>
              </w:rPr>
              <w:t xml:space="preserve">-10%) </w:t>
            </w:r>
          </w:p>
          <w:p w:rsidR="00C5057E" w:rsidRPr="006C6CD2" w:rsidRDefault="00C5057E" w:rsidP="001E275D">
            <w:pPr>
              <w:spacing w:line="360" w:lineRule="auto"/>
              <w:jc w:val="both"/>
              <w:rPr>
                <w:rFonts w:ascii="Book Antiqua" w:hAnsi="Book Antiqua"/>
              </w:rPr>
            </w:pPr>
            <w:r w:rsidRPr="006C6CD2">
              <w:rPr>
                <w:rFonts w:ascii="Book Antiqua" w:hAnsi="Book Antiqua"/>
              </w:rPr>
              <w:t>(Low dose)</w:t>
            </w:r>
          </w:p>
          <w:p w:rsidR="00C5057E" w:rsidRPr="006C6CD2" w:rsidRDefault="00C5057E" w:rsidP="001E275D">
            <w:pPr>
              <w:spacing w:line="360" w:lineRule="auto"/>
              <w:jc w:val="both"/>
              <w:rPr>
                <w:rFonts w:ascii="Book Antiqua" w:hAnsi="Book Antiqua"/>
              </w:rPr>
            </w:pPr>
            <w:r w:rsidRPr="006C6CD2">
              <w:rPr>
                <w:rFonts w:ascii="Book Antiqua" w:hAnsi="Book Antiqua"/>
              </w:rPr>
              <w:t>HBsAg-/HBcAb+</w:t>
            </w:r>
            <w:r w:rsidRPr="006C6CD2">
              <w:rPr>
                <w:rFonts w:ascii="Book Antiqua" w:hAnsi="Book Antiqua"/>
                <w:lang w:eastAsia="zh-CN"/>
              </w:rPr>
              <w:t xml:space="preserve"> </w:t>
            </w:r>
            <w:r w:rsidRPr="006C6CD2">
              <w:rPr>
                <w:rFonts w:ascii="Book Antiqua" w:hAnsi="Book Antiqua"/>
              </w:rPr>
              <w:t>(1</w:t>
            </w:r>
            <w:r w:rsidRPr="006C6CD2">
              <w:rPr>
                <w:rFonts w:ascii="Book Antiqua" w:hAnsi="Book Antiqua"/>
                <w:lang w:eastAsia="zh-CN"/>
              </w:rPr>
              <w:t>%</w:t>
            </w:r>
            <w:r w:rsidRPr="006C6CD2">
              <w:rPr>
                <w:rFonts w:ascii="Book Antiqua" w:hAnsi="Book Antiqua"/>
              </w:rPr>
              <w:t>-10%) (Moderate-high dose)</w:t>
            </w:r>
          </w:p>
        </w:tc>
      </w:tr>
      <w:tr w:rsidR="00C5057E" w:rsidRPr="006C6CD2" w:rsidTr="000E6C6D">
        <w:tc>
          <w:tcPr>
            <w:tcW w:w="3251" w:type="dxa"/>
            <w:vAlign w:val="center"/>
          </w:tcPr>
          <w:p w:rsidR="00C5057E" w:rsidRPr="006C6CD2" w:rsidRDefault="00C5057E" w:rsidP="001E275D">
            <w:pPr>
              <w:spacing w:line="360" w:lineRule="auto"/>
              <w:jc w:val="both"/>
              <w:rPr>
                <w:rFonts w:ascii="Book Antiqua" w:hAnsi="Book Antiqua"/>
              </w:rPr>
            </w:pPr>
            <w:r w:rsidRPr="006C6CD2">
              <w:rPr>
                <w:rFonts w:ascii="Book Antiqua" w:hAnsi="Book Antiqua"/>
              </w:rPr>
              <w:t>Low-risk (&lt;</w:t>
            </w:r>
            <w:r w:rsidRPr="006C6CD2">
              <w:rPr>
                <w:rFonts w:ascii="Book Antiqua" w:hAnsi="Book Antiqua"/>
                <w:lang w:eastAsia="zh-CN"/>
              </w:rPr>
              <w:t xml:space="preserve"> </w:t>
            </w:r>
            <w:r w:rsidRPr="006C6CD2">
              <w:rPr>
                <w:rFonts w:ascii="Book Antiqua" w:hAnsi="Book Antiqua"/>
              </w:rPr>
              <w:t>1%)</w:t>
            </w:r>
          </w:p>
        </w:tc>
        <w:tc>
          <w:tcPr>
            <w:tcW w:w="2707" w:type="dxa"/>
            <w:vAlign w:val="center"/>
          </w:tcPr>
          <w:p w:rsidR="00C5057E" w:rsidRPr="006C6CD2" w:rsidRDefault="00C5057E" w:rsidP="001E275D">
            <w:pPr>
              <w:spacing w:line="360" w:lineRule="auto"/>
              <w:jc w:val="both"/>
              <w:rPr>
                <w:rFonts w:ascii="Book Antiqua" w:hAnsi="Book Antiqua"/>
              </w:rPr>
            </w:pPr>
            <w:r w:rsidRPr="006C6CD2">
              <w:rPr>
                <w:rFonts w:ascii="Book Antiqua" w:hAnsi="Book Antiqua"/>
              </w:rPr>
              <w:t>Azathioprine</w:t>
            </w:r>
          </w:p>
          <w:p w:rsidR="00C5057E" w:rsidRPr="006C6CD2" w:rsidRDefault="00C5057E" w:rsidP="001E275D">
            <w:pPr>
              <w:spacing w:line="360" w:lineRule="auto"/>
              <w:jc w:val="both"/>
              <w:rPr>
                <w:rFonts w:ascii="Book Antiqua" w:hAnsi="Book Antiqua"/>
              </w:rPr>
            </w:pPr>
            <w:r w:rsidRPr="006C6CD2">
              <w:rPr>
                <w:rFonts w:ascii="Book Antiqua" w:hAnsi="Book Antiqua"/>
              </w:rPr>
              <w:t>6-mercaptopurine</w:t>
            </w:r>
          </w:p>
          <w:p w:rsidR="00C5057E" w:rsidRPr="006C6CD2" w:rsidRDefault="00C5057E" w:rsidP="001E275D">
            <w:pPr>
              <w:spacing w:line="360" w:lineRule="auto"/>
              <w:jc w:val="both"/>
              <w:rPr>
                <w:rFonts w:ascii="Book Antiqua" w:hAnsi="Book Antiqua"/>
              </w:rPr>
            </w:pPr>
            <w:r w:rsidRPr="006C6CD2">
              <w:rPr>
                <w:rFonts w:ascii="Book Antiqua" w:hAnsi="Book Antiqua"/>
              </w:rPr>
              <w:t>Methotrexate</w:t>
            </w:r>
          </w:p>
        </w:tc>
        <w:tc>
          <w:tcPr>
            <w:tcW w:w="3618" w:type="dxa"/>
            <w:vAlign w:val="center"/>
          </w:tcPr>
          <w:p w:rsidR="00C5057E" w:rsidRPr="006C6CD2" w:rsidRDefault="00C5057E" w:rsidP="001E275D">
            <w:pPr>
              <w:spacing w:line="360" w:lineRule="auto"/>
              <w:jc w:val="both"/>
              <w:rPr>
                <w:rFonts w:ascii="Book Antiqua" w:hAnsi="Book Antiqua"/>
              </w:rPr>
            </w:pPr>
            <w:r w:rsidRPr="006C6CD2">
              <w:rPr>
                <w:rFonts w:ascii="Book Antiqua" w:hAnsi="Book Antiqua"/>
              </w:rPr>
              <w:t>HBsAg+/HBcAb+</w:t>
            </w:r>
          </w:p>
          <w:p w:rsidR="00C5057E" w:rsidRPr="006C6CD2" w:rsidRDefault="00C5057E" w:rsidP="001E275D">
            <w:pPr>
              <w:spacing w:line="360" w:lineRule="auto"/>
              <w:jc w:val="both"/>
              <w:rPr>
                <w:rFonts w:ascii="Book Antiqua" w:hAnsi="Book Antiqua"/>
              </w:rPr>
            </w:pPr>
            <w:r w:rsidRPr="006C6CD2">
              <w:rPr>
                <w:rFonts w:ascii="Book Antiqua" w:hAnsi="Book Antiqua"/>
              </w:rPr>
              <w:t>HBsAg-/HBcAb+</w:t>
            </w:r>
          </w:p>
        </w:tc>
      </w:tr>
    </w:tbl>
    <w:p w:rsidR="00C5057E" w:rsidRPr="00463038" w:rsidRDefault="00C5057E" w:rsidP="001E275D">
      <w:pPr>
        <w:spacing w:line="360" w:lineRule="auto"/>
        <w:jc w:val="both"/>
        <w:rPr>
          <w:rFonts w:ascii="Book Antiqua" w:hAnsi="Book Antiqua"/>
          <w:lang w:eastAsia="zh-CN"/>
        </w:rPr>
      </w:pPr>
      <w:r w:rsidRPr="00463038">
        <w:rPr>
          <w:rFonts w:ascii="Book Antiqua" w:hAnsi="Book Antiqua"/>
        </w:rPr>
        <w:t>Adapted from AGA Institute Technical Review on Prevention and Treatment of Hepatitis B Virus Reactivation During Immunosuppressive Drug Therapy</w:t>
      </w:r>
      <w:r w:rsidRPr="00463038">
        <w:rPr>
          <w:rFonts w:ascii="Book Antiqua" w:hAnsi="Book Antiqua"/>
          <w:vertAlign w:val="superscript"/>
        </w:rPr>
        <w:t>[66]</w:t>
      </w:r>
      <w:r w:rsidRPr="00463038">
        <w:rPr>
          <w:rFonts w:ascii="Book Antiqua" w:hAnsi="Book Antiqua"/>
        </w:rPr>
        <w:t>. Corticosteroids (prednisone equivalent): Low dose</w:t>
      </w:r>
      <w:r w:rsidRPr="00463038">
        <w:rPr>
          <w:rFonts w:ascii="Book Antiqua" w:hAnsi="Book Antiqua"/>
          <w:lang w:eastAsia="zh-CN"/>
        </w:rPr>
        <w:t xml:space="preserve">: </w:t>
      </w:r>
      <w:r w:rsidRPr="00463038">
        <w:rPr>
          <w:rFonts w:ascii="Book Antiqua" w:hAnsi="Book Antiqua"/>
        </w:rPr>
        <w:t>&lt;</w:t>
      </w:r>
      <w:r w:rsidRPr="00463038">
        <w:rPr>
          <w:rFonts w:ascii="Book Antiqua" w:hAnsi="Book Antiqua"/>
          <w:lang w:eastAsia="zh-CN"/>
        </w:rPr>
        <w:t xml:space="preserve"> </w:t>
      </w:r>
      <w:r w:rsidRPr="00463038">
        <w:rPr>
          <w:rFonts w:ascii="Book Antiqua" w:hAnsi="Book Antiqua"/>
        </w:rPr>
        <w:t>10</w:t>
      </w:r>
      <w:r w:rsidRPr="00463038">
        <w:rPr>
          <w:rFonts w:ascii="Book Antiqua" w:hAnsi="Book Antiqua"/>
          <w:lang w:eastAsia="zh-CN"/>
        </w:rPr>
        <w:t xml:space="preserve"> </w:t>
      </w:r>
      <w:r w:rsidRPr="00463038">
        <w:rPr>
          <w:rFonts w:ascii="Book Antiqua" w:hAnsi="Book Antiqua"/>
        </w:rPr>
        <w:t>mg</w:t>
      </w:r>
      <w:r w:rsidRPr="00463038">
        <w:rPr>
          <w:rFonts w:ascii="Book Antiqua" w:hAnsi="Book Antiqua"/>
          <w:lang w:eastAsia="zh-CN"/>
        </w:rPr>
        <w:t>;</w:t>
      </w:r>
      <w:r w:rsidRPr="00463038">
        <w:rPr>
          <w:rFonts w:ascii="Book Antiqua" w:hAnsi="Book Antiqua"/>
        </w:rPr>
        <w:t xml:space="preserve"> Moderate dose</w:t>
      </w:r>
      <w:r w:rsidRPr="00463038">
        <w:rPr>
          <w:rFonts w:ascii="Book Antiqua" w:hAnsi="Book Antiqua"/>
          <w:lang w:eastAsia="zh-CN"/>
        </w:rPr>
        <w:t xml:space="preserve">: </w:t>
      </w:r>
      <w:r w:rsidRPr="00463038">
        <w:rPr>
          <w:rFonts w:ascii="Book Antiqua" w:hAnsi="Book Antiqua"/>
        </w:rPr>
        <w:t>10-20</w:t>
      </w:r>
      <w:r w:rsidRPr="00463038">
        <w:rPr>
          <w:rFonts w:ascii="Book Antiqua" w:hAnsi="Book Antiqua"/>
          <w:lang w:eastAsia="zh-CN"/>
        </w:rPr>
        <w:t xml:space="preserve"> </w:t>
      </w:r>
      <w:r w:rsidRPr="00463038">
        <w:rPr>
          <w:rFonts w:ascii="Book Antiqua" w:hAnsi="Book Antiqua"/>
        </w:rPr>
        <w:t>mg</w:t>
      </w:r>
      <w:r w:rsidRPr="00463038">
        <w:rPr>
          <w:rFonts w:ascii="Book Antiqua" w:hAnsi="Book Antiqua"/>
          <w:lang w:eastAsia="zh-CN"/>
        </w:rPr>
        <w:t>;</w:t>
      </w:r>
      <w:r w:rsidRPr="00463038">
        <w:rPr>
          <w:rFonts w:ascii="Book Antiqua" w:hAnsi="Book Antiqua"/>
        </w:rPr>
        <w:t xml:space="preserve"> High dose</w:t>
      </w:r>
      <w:r w:rsidRPr="00463038">
        <w:rPr>
          <w:rFonts w:ascii="Book Antiqua" w:hAnsi="Book Antiqua"/>
          <w:lang w:eastAsia="zh-CN"/>
        </w:rPr>
        <w:t>:</w:t>
      </w:r>
      <w:r w:rsidRPr="00463038">
        <w:rPr>
          <w:rFonts w:ascii="Book Antiqua" w:hAnsi="Book Antiqua"/>
        </w:rPr>
        <w:t xml:space="preserve"> &gt;</w:t>
      </w:r>
      <w:r w:rsidRPr="00463038">
        <w:rPr>
          <w:rFonts w:ascii="Book Antiqua" w:hAnsi="Book Antiqua"/>
          <w:lang w:eastAsia="zh-CN"/>
        </w:rPr>
        <w:t xml:space="preserve"> </w:t>
      </w:r>
      <w:r w:rsidRPr="00463038">
        <w:rPr>
          <w:rFonts w:ascii="Book Antiqua" w:hAnsi="Book Antiqua"/>
        </w:rPr>
        <w:t>20</w:t>
      </w:r>
      <w:r w:rsidRPr="00463038">
        <w:rPr>
          <w:rFonts w:ascii="Book Antiqua" w:hAnsi="Book Antiqua"/>
          <w:lang w:eastAsia="zh-CN"/>
        </w:rPr>
        <w:t xml:space="preserve"> </w:t>
      </w:r>
      <w:r w:rsidRPr="00463038">
        <w:rPr>
          <w:rFonts w:ascii="Book Antiqua" w:hAnsi="Book Antiqua"/>
        </w:rPr>
        <w:t>mg.</w:t>
      </w:r>
      <w:r w:rsidRPr="00463038">
        <w:rPr>
          <w:rFonts w:ascii="Book Antiqua" w:hAnsi="Book Antiqua"/>
          <w:lang w:eastAsia="zh-CN"/>
        </w:rPr>
        <w:t xml:space="preserve"> </w:t>
      </w:r>
      <w:r w:rsidRPr="00463038">
        <w:rPr>
          <w:rFonts w:ascii="Book Antiqua" w:hAnsi="Book Antiqua"/>
        </w:rPr>
        <w:t>HBsAg</w:t>
      </w:r>
      <w:r w:rsidRPr="00463038">
        <w:rPr>
          <w:rFonts w:ascii="Book Antiqua" w:hAnsi="Book Antiqua"/>
          <w:lang w:eastAsia="zh-CN"/>
        </w:rPr>
        <w:t>:</w:t>
      </w:r>
      <w:r w:rsidRPr="00463038">
        <w:rPr>
          <w:rFonts w:ascii="Book Antiqua" w:hAnsi="Book Antiqua"/>
        </w:rPr>
        <w:t xml:space="preserve"> Hepatitis B surface antigen; HBcAb</w:t>
      </w:r>
      <w:r w:rsidRPr="00463038">
        <w:rPr>
          <w:rFonts w:ascii="Book Antiqua" w:hAnsi="Book Antiqua"/>
          <w:lang w:eastAsia="zh-CN"/>
        </w:rPr>
        <w:t>:</w:t>
      </w:r>
      <w:r w:rsidRPr="00463038">
        <w:rPr>
          <w:rFonts w:ascii="Book Antiqua" w:hAnsi="Book Antiqua"/>
        </w:rPr>
        <w:t xml:space="preserve"> Anti-hepatitis B core antibody.</w:t>
      </w:r>
    </w:p>
    <w:p w:rsidR="00C5057E" w:rsidRPr="00463038" w:rsidRDefault="00C5057E" w:rsidP="001E275D">
      <w:pPr>
        <w:spacing w:line="360" w:lineRule="auto"/>
        <w:jc w:val="both"/>
        <w:rPr>
          <w:rFonts w:ascii="Book Antiqua" w:hAnsi="Book Antiqua"/>
        </w:rPr>
      </w:pPr>
    </w:p>
    <w:p w:rsidR="00C5057E" w:rsidRPr="00463038" w:rsidRDefault="00C5057E" w:rsidP="001E275D">
      <w:pPr>
        <w:spacing w:line="360" w:lineRule="auto"/>
        <w:jc w:val="both"/>
        <w:rPr>
          <w:rFonts w:ascii="Book Antiqua" w:hAnsi="Book Antiqua"/>
        </w:rPr>
      </w:pPr>
    </w:p>
    <w:p w:rsidR="00C5057E" w:rsidRPr="00463038" w:rsidRDefault="00C5057E" w:rsidP="001E275D">
      <w:pPr>
        <w:spacing w:line="360" w:lineRule="auto"/>
        <w:jc w:val="both"/>
        <w:rPr>
          <w:rFonts w:ascii="Book Antiqua" w:hAnsi="Book Antiqua"/>
        </w:rPr>
      </w:pPr>
    </w:p>
    <w:p w:rsidR="00C5057E" w:rsidRPr="00463038" w:rsidRDefault="00C5057E" w:rsidP="001E275D">
      <w:pPr>
        <w:spacing w:line="360" w:lineRule="auto"/>
        <w:jc w:val="both"/>
        <w:rPr>
          <w:rFonts w:ascii="Book Antiqua" w:hAnsi="Book Antiqua"/>
        </w:rPr>
      </w:pPr>
    </w:p>
    <w:p w:rsidR="00C5057E" w:rsidRPr="00463038" w:rsidRDefault="00C5057E" w:rsidP="001E275D">
      <w:pPr>
        <w:spacing w:line="360" w:lineRule="auto"/>
        <w:jc w:val="both"/>
        <w:rPr>
          <w:rFonts w:ascii="Book Antiqua" w:hAnsi="Book Antiqua"/>
        </w:rPr>
      </w:pPr>
    </w:p>
    <w:p w:rsidR="00C5057E" w:rsidRPr="00463038" w:rsidRDefault="00C5057E" w:rsidP="001E275D">
      <w:pPr>
        <w:spacing w:line="360" w:lineRule="auto"/>
        <w:jc w:val="both"/>
        <w:rPr>
          <w:rFonts w:ascii="Book Antiqua" w:hAnsi="Book Antiqua"/>
        </w:rPr>
      </w:pPr>
    </w:p>
    <w:p w:rsidR="00C5057E" w:rsidRPr="00463038" w:rsidRDefault="00C5057E" w:rsidP="001E275D">
      <w:pPr>
        <w:spacing w:line="360" w:lineRule="auto"/>
        <w:jc w:val="both"/>
        <w:rPr>
          <w:rFonts w:ascii="Book Antiqua" w:hAnsi="Book Antiqua"/>
        </w:rPr>
      </w:pPr>
    </w:p>
    <w:p w:rsidR="00C5057E" w:rsidRPr="00463038" w:rsidRDefault="00C5057E" w:rsidP="001E275D">
      <w:pPr>
        <w:spacing w:line="360" w:lineRule="auto"/>
        <w:jc w:val="both"/>
        <w:rPr>
          <w:rFonts w:ascii="Book Antiqua" w:hAnsi="Book Antiqua"/>
        </w:rPr>
      </w:pPr>
      <w:r w:rsidRPr="00463038">
        <w:rPr>
          <w:rFonts w:ascii="Book Antiqua" w:hAnsi="Book Antiqua"/>
          <w:b/>
        </w:rPr>
        <w:t>Table 2 Summary of medication side effects and management options</w:t>
      </w:r>
      <w:r w:rsidRPr="00463038" w:rsidDel="009C422D">
        <w:rPr>
          <w:rFonts w:ascii="Book Antiqua" w:hAnsi="Book Antiqua"/>
          <w:vertAlign w:val="superscript"/>
          <w:lang w:eastAsia="zh-CN"/>
        </w:rPr>
        <w:t xml:space="preserve"> </w:t>
      </w:r>
    </w:p>
    <w:tbl>
      <w:tblPr>
        <w:tblW w:w="8554" w:type="dxa"/>
        <w:tblCellMar>
          <w:left w:w="0" w:type="dxa"/>
          <w:right w:w="0" w:type="dxa"/>
        </w:tblCellMar>
        <w:tblLook w:val="00A0"/>
      </w:tblPr>
      <w:tblGrid>
        <w:gridCol w:w="1742"/>
        <w:gridCol w:w="1754"/>
        <w:gridCol w:w="2315"/>
        <w:gridCol w:w="2743"/>
      </w:tblGrid>
      <w:tr w:rsidR="00C5057E" w:rsidRPr="006C6CD2" w:rsidTr="00DE6242">
        <w:trPr>
          <w:trHeight w:val="69"/>
        </w:trPr>
        <w:tc>
          <w:tcPr>
            <w:tcW w:w="1742" w:type="dxa"/>
            <w:tcBorders>
              <w:top w:val="single" w:sz="8" w:space="0" w:color="000000"/>
              <w:left w:val="nil"/>
              <w:bottom w:val="single" w:sz="8" w:space="0" w:color="000000"/>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b/>
              </w:rPr>
            </w:pPr>
            <w:r w:rsidRPr="006C6CD2">
              <w:rPr>
                <w:rFonts w:ascii="Book Antiqua" w:hAnsi="Book Antiqua"/>
                <w:b/>
              </w:rPr>
              <w:t>Medication</w:t>
            </w:r>
          </w:p>
        </w:tc>
        <w:tc>
          <w:tcPr>
            <w:tcW w:w="1754" w:type="dxa"/>
            <w:tcBorders>
              <w:top w:val="single" w:sz="8" w:space="0" w:color="000000"/>
              <w:left w:val="nil"/>
              <w:bottom w:val="single" w:sz="8" w:space="0" w:color="000000"/>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b/>
              </w:rPr>
            </w:pPr>
            <w:r w:rsidRPr="006C6CD2">
              <w:rPr>
                <w:rFonts w:ascii="Book Antiqua" w:hAnsi="Book Antiqua"/>
                <w:b/>
              </w:rPr>
              <w:t>Prevalence of liver injury</w:t>
            </w:r>
          </w:p>
        </w:tc>
        <w:tc>
          <w:tcPr>
            <w:tcW w:w="2315" w:type="dxa"/>
            <w:tcBorders>
              <w:top w:val="single" w:sz="8" w:space="0" w:color="000000"/>
              <w:left w:val="nil"/>
              <w:bottom w:val="single" w:sz="8" w:space="0" w:color="000000"/>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b/>
              </w:rPr>
            </w:pPr>
            <w:r w:rsidRPr="006C6CD2">
              <w:rPr>
                <w:rFonts w:ascii="Book Antiqua" w:hAnsi="Book Antiqua"/>
                <w:b/>
              </w:rPr>
              <w:t>Manifestation</w:t>
            </w:r>
          </w:p>
        </w:tc>
        <w:tc>
          <w:tcPr>
            <w:tcW w:w="2743" w:type="dxa"/>
            <w:tcBorders>
              <w:top w:val="single" w:sz="8" w:space="0" w:color="000000"/>
              <w:left w:val="nil"/>
              <w:bottom w:val="single" w:sz="8" w:space="0" w:color="000000"/>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b/>
                <w:vertAlign w:val="superscript"/>
              </w:rPr>
            </w:pPr>
            <w:r w:rsidRPr="006C6CD2">
              <w:rPr>
                <w:rFonts w:ascii="Book Antiqua" w:hAnsi="Book Antiqua"/>
                <w:b/>
              </w:rPr>
              <w:t>Management</w:t>
            </w:r>
            <w:r w:rsidRPr="006C6CD2">
              <w:rPr>
                <w:rFonts w:ascii="Book Antiqua" w:hAnsi="Book Antiqua"/>
                <w:b/>
                <w:vertAlign w:val="superscript"/>
              </w:rPr>
              <w:t>1</w:t>
            </w:r>
          </w:p>
        </w:tc>
      </w:tr>
      <w:tr w:rsidR="00C5057E" w:rsidRPr="006C6CD2" w:rsidTr="00DE6242">
        <w:trPr>
          <w:trHeight w:val="431"/>
        </w:trPr>
        <w:tc>
          <w:tcPr>
            <w:tcW w:w="1742"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 xml:space="preserve">Sulfasalazine </w:t>
            </w:r>
          </w:p>
        </w:tc>
        <w:tc>
          <w:tcPr>
            <w:tcW w:w="1754"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0.4%-2.9%</w:t>
            </w:r>
          </w:p>
        </w:tc>
        <w:tc>
          <w:tcPr>
            <w:tcW w:w="2315" w:type="dxa"/>
            <w:tcBorders>
              <w:top w:val="nil"/>
              <w:left w:val="nil"/>
              <w:bottom w:val="nil"/>
              <w:right w:val="nil"/>
            </w:tcBorders>
            <w:tcMar>
              <w:top w:w="13" w:type="dxa"/>
              <w:left w:w="65" w:type="dxa"/>
              <w:bottom w:w="0" w:type="dxa"/>
              <w:right w:w="65" w:type="dxa"/>
            </w:tcMar>
          </w:tcPr>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Mild liver test abnormalities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Severe systemic hypersensitivity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Granulomatous hepatitis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DRESS syndrome </w:t>
            </w:r>
          </w:p>
          <w:p w:rsidR="00C5057E" w:rsidRPr="006C6CD2" w:rsidRDefault="00C5057E" w:rsidP="001E275D">
            <w:pPr>
              <w:spacing w:line="360" w:lineRule="auto"/>
              <w:jc w:val="both"/>
              <w:rPr>
                <w:rFonts w:ascii="Book Antiqua" w:hAnsi="Book Antiqua"/>
              </w:rPr>
            </w:pPr>
          </w:p>
        </w:tc>
        <w:tc>
          <w:tcPr>
            <w:tcW w:w="2743"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p>
        </w:tc>
      </w:tr>
      <w:tr w:rsidR="00C5057E" w:rsidRPr="006C6CD2" w:rsidTr="00DE6242">
        <w:trPr>
          <w:trHeight w:val="431"/>
        </w:trPr>
        <w:tc>
          <w:tcPr>
            <w:tcW w:w="1742"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 xml:space="preserve">5-ASA </w:t>
            </w:r>
          </w:p>
        </w:tc>
        <w:tc>
          <w:tcPr>
            <w:tcW w:w="1754"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Approximately 2.6%</w:t>
            </w:r>
          </w:p>
        </w:tc>
        <w:tc>
          <w:tcPr>
            <w:tcW w:w="2315" w:type="dxa"/>
            <w:tcBorders>
              <w:top w:val="nil"/>
              <w:left w:val="nil"/>
              <w:bottom w:val="nil"/>
              <w:right w:val="nil"/>
            </w:tcBorders>
            <w:tcMar>
              <w:top w:w="13" w:type="dxa"/>
              <w:left w:w="65" w:type="dxa"/>
              <w:bottom w:w="0" w:type="dxa"/>
              <w:right w:w="65" w:type="dxa"/>
            </w:tcMar>
          </w:tcPr>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Mild liver test abnormalities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Drug induced autoimmune hepatitis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Systemic hypersensitivity reaction </w:t>
            </w:r>
          </w:p>
          <w:p w:rsidR="00C5057E" w:rsidRPr="006C6CD2" w:rsidRDefault="00C5057E" w:rsidP="001E275D">
            <w:pPr>
              <w:spacing w:line="360" w:lineRule="auto"/>
              <w:jc w:val="both"/>
              <w:rPr>
                <w:rFonts w:ascii="Book Antiqua" w:hAnsi="Book Antiqua"/>
              </w:rPr>
            </w:pPr>
          </w:p>
        </w:tc>
        <w:tc>
          <w:tcPr>
            <w:tcW w:w="2743"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p>
        </w:tc>
      </w:tr>
      <w:tr w:rsidR="00C5057E" w:rsidRPr="006C6CD2" w:rsidTr="00DE6242">
        <w:trPr>
          <w:trHeight w:val="647"/>
        </w:trPr>
        <w:tc>
          <w:tcPr>
            <w:tcW w:w="1742"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 xml:space="preserve">AZA/6-MP </w:t>
            </w:r>
          </w:p>
        </w:tc>
        <w:tc>
          <w:tcPr>
            <w:tcW w:w="1754"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1.4%-7.1%</w:t>
            </w:r>
          </w:p>
        </w:tc>
        <w:tc>
          <w:tcPr>
            <w:tcW w:w="2315" w:type="dxa"/>
            <w:tcBorders>
              <w:top w:val="nil"/>
              <w:left w:val="nil"/>
              <w:bottom w:val="nil"/>
              <w:right w:val="nil"/>
            </w:tcBorders>
            <w:tcMar>
              <w:top w:w="13" w:type="dxa"/>
              <w:left w:w="65" w:type="dxa"/>
              <w:bottom w:w="0" w:type="dxa"/>
              <w:right w:w="65" w:type="dxa"/>
            </w:tcMar>
          </w:tcPr>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Hypersensitivity reaction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Cholestasis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Peliosis hepatitis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Disse space fibrosis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Veno-occlussive disease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Nodular regenerative hyperplasia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Hepatosplenic T-cell lymphoma </w:t>
            </w:r>
          </w:p>
          <w:p w:rsidR="00C5057E" w:rsidRPr="006C6CD2" w:rsidRDefault="00C5057E" w:rsidP="001E275D">
            <w:pPr>
              <w:spacing w:line="360" w:lineRule="auto"/>
              <w:jc w:val="both"/>
              <w:rPr>
                <w:rFonts w:ascii="Book Antiqua" w:hAnsi="Book Antiqua"/>
              </w:rPr>
            </w:pPr>
          </w:p>
        </w:tc>
        <w:tc>
          <w:tcPr>
            <w:tcW w:w="2743"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 xml:space="preserve">     Slight liver test elevation</w:t>
            </w:r>
            <w:r w:rsidRPr="006C6CD2">
              <w:rPr>
                <w:rFonts w:ascii="Book Antiqua" w:hAnsi="Book Antiqua"/>
              </w:rPr>
              <w:sym w:font="Wingdings" w:char="F0E0"/>
            </w:r>
            <w:r w:rsidRPr="006C6CD2">
              <w:rPr>
                <w:rFonts w:ascii="Book Antiqua" w:hAnsi="Book Antiqua"/>
              </w:rPr>
              <w:t xml:space="preserve">     </w:t>
            </w:r>
          </w:p>
          <w:p w:rsidR="00C5057E" w:rsidRPr="006C6CD2" w:rsidRDefault="00C5057E" w:rsidP="001E275D">
            <w:pPr>
              <w:spacing w:line="360" w:lineRule="auto"/>
              <w:jc w:val="both"/>
              <w:rPr>
                <w:rFonts w:ascii="Book Antiqua" w:hAnsi="Book Antiqua"/>
              </w:rPr>
            </w:pPr>
            <w:r w:rsidRPr="006C6CD2">
              <w:rPr>
                <w:rFonts w:ascii="Book Antiqua" w:hAnsi="Book Antiqua"/>
              </w:rPr>
              <w:t xml:space="preserve">     Monitor</w:t>
            </w:r>
          </w:p>
          <w:p w:rsidR="00C5057E" w:rsidRPr="006C6CD2" w:rsidRDefault="00C5057E" w:rsidP="001E275D">
            <w:pPr>
              <w:spacing w:line="360" w:lineRule="auto"/>
              <w:jc w:val="both"/>
              <w:rPr>
                <w:rFonts w:ascii="Book Antiqua" w:hAnsi="Book Antiqua"/>
              </w:rPr>
            </w:pPr>
            <w:r w:rsidRPr="006C6CD2">
              <w:rPr>
                <w:rFonts w:ascii="Book Antiqua" w:hAnsi="Book Antiqua"/>
              </w:rPr>
              <w:t xml:space="preserve"> </w:t>
            </w:r>
          </w:p>
          <w:p w:rsidR="00C5057E" w:rsidRPr="006C6CD2" w:rsidRDefault="00C5057E" w:rsidP="001E275D">
            <w:pPr>
              <w:spacing w:line="360" w:lineRule="auto"/>
              <w:jc w:val="both"/>
              <w:rPr>
                <w:rFonts w:ascii="Book Antiqua" w:hAnsi="Book Antiqua"/>
              </w:rPr>
            </w:pPr>
            <w:r w:rsidRPr="006C6CD2">
              <w:rPr>
                <w:rFonts w:ascii="Book Antiqua" w:hAnsi="Book Antiqua"/>
              </w:rPr>
              <w:t xml:space="preserve">     Persistent elevation</w:t>
            </w:r>
            <w:r w:rsidRPr="006C6CD2">
              <w:rPr>
                <w:rFonts w:ascii="Book Antiqua" w:hAnsi="Book Antiqua"/>
              </w:rPr>
              <w:sym w:font="Wingdings" w:char="F0E0"/>
            </w:r>
            <w:r w:rsidRPr="006C6CD2">
              <w:rPr>
                <w:rFonts w:ascii="Book Antiqua" w:hAnsi="Book Antiqua"/>
              </w:rPr>
              <w:t xml:space="preserve">   </w:t>
            </w:r>
          </w:p>
          <w:p w:rsidR="00C5057E" w:rsidRPr="006C6CD2" w:rsidRDefault="00C5057E" w:rsidP="001E275D">
            <w:pPr>
              <w:spacing w:line="360" w:lineRule="auto"/>
              <w:jc w:val="both"/>
              <w:rPr>
                <w:rFonts w:ascii="Book Antiqua" w:hAnsi="Book Antiqua"/>
              </w:rPr>
            </w:pPr>
            <w:r w:rsidRPr="006C6CD2">
              <w:rPr>
                <w:rFonts w:ascii="Book Antiqua" w:hAnsi="Book Antiqua"/>
              </w:rPr>
              <w:t xml:space="preserve">     Consider stopping      medication/reducing dose </w:t>
            </w:r>
          </w:p>
          <w:p w:rsidR="00C5057E" w:rsidRPr="006C6CD2" w:rsidRDefault="00C5057E" w:rsidP="001E275D">
            <w:pPr>
              <w:spacing w:line="360" w:lineRule="auto"/>
              <w:jc w:val="both"/>
              <w:rPr>
                <w:rFonts w:ascii="Book Antiqua" w:hAnsi="Book Antiqua"/>
              </w:rPr>
            </w:pPr>
          </w:p>
          <w:p w:rsidR="00C5057E" w:rsidRPr="006C6CD2" w:rsidRDefault="00C5057E" w:rsidP="001E275D">
            <w:pPr>
              <w:spacing w:line="360" w:lineRule="auto"/>
              <w:jc w:val="both"/>
              <w:rPr>
                <w:rFonts w:ascii="Book Antiqua" w:hAnsi="Book Antiqua"/>
              </w:rPr>
            </w:pPr>
            <w:r w:rsidRPr="006C6CD2">
              <w:rPr>
                <w:rFonts w:ascii="Book Antiqua" w:hAnsi="Book Antiqua"/>
              </w:rPr>
              <w:t xml:space="preserve">     Marked elevation</w:t>
            </w:r>
            <w:r w:rsidRPr="006C6CD2">
              <w:rPr>
                <w:rFonts w:ascii="Book Antiqua" w:hAnsi="Book Antiqua"/>
              </w:rPr>
              <w:sym w:font="Wingdings" w:char="F0E0"/>
            </w:r>
            <w:r w:rsidRPr="006C6CD2">
              <w:rPr>
                <w:rFonts w:ascii="Book Antiqua" w:hAnsi="Book Antiqua"/>
              </w:rPr>
              <w:t xml:space="preserve"> Stop  medication </w:t>
            </w:r>
          </w:p>
        </w:tc>
      </w:tr>
      <w:tr w:rsidR="00C5057E" w:rsidRPr="006C6CD2" w:rsidTr="00DE6242">
        <w:trPr>
          <w:trHeight w:val="144"/>
        </w:trPr>
        <w:tc>
          <w:tcPr>
            <w:tcW w:w="1742"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 xml:space="preserve">Methotrexate </w:t>
            </w:r>
          </w:p>
        </w:tc>
        <w:tc>
          <w:tcPr>
            <w:tcW w:w="1754"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Approximately 10.2%</w:t>
            </w:r>
          </w:p>
        </w:tc>
        <w:tc>
          <w:tcPr>
            <w:tcW w:w="2315" w:type="dxa"/>
            <w:tcBorders>
              <w:top w:val="nil"/>
              <w:left w:val="nil"/>
              <w:bottom w:val="nil"/>
              <w:right w:val="nil"/>
            </w:tcBorders>
            <w:tcMar>
              <w:top w:w="13" w:type="dxa"/>
              <w:left w:w="65" w:type="dxa"/>
              <w:bottom w:w="0" w:type="dxa"/>
              <w:right w:w="65" w:type="dxa"/>
            </w:tcMar>
          </w:tcPr>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Elevated liver tests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Fibrosis </w:t>
            </w:r>
          </w:p>
          <w:p w:rsidR="00C5057E" w:rsidRPr="006C6CD2" w:rsidRDefault="00C5057E" w:rsidP="001E275D">
            <w:pPr>
              <w:spacing w:line="360" w:lineRule="auto"/>
              <w:jc w:val="both"/>
              <w:rPr>
                <w:rFonts w:ascii="Book Antiqua" w:hAnsi="Book Antiqua"/>
              </w:rPr>
            </w:pPr>
          </w:p>
        </w:tc>
        <w:tc>
          <w:tcPr>
            <w:tcW w:w="2743"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Pr>
                <w:noProof/>
                <w:lang w:eastAsia="zh-CN"/>
              </w:rPr>
              <w:pict>
                <v:shapetype id="_x0000_t32" coordsize="21600,21600" o:spt="32" o:oned="t" path="m,l21600,21600e" filled="f">
                  <v:path arrowok="t" fillok="f" o:connecttype="none"/>
                  <o:lock v:ext="edit" shapetype="t"/>
                </v:shapetype>
                <v:shape id="AutoShape 2" o:spid="_x0000_s1026" type="#_x0000_t32" style="position:absolute;left:0;text-align:left;margin-left:61.65pt;margin-top:.4pt;width:0;height:214.35pt;z-index:251658240;visibility:visible;mso-position-horizontal-relative:text;mso-position-vertical-relative:text"/>
              </w:pict>
            </w:r>
          </w:p>
        </w:tc>
      </w:tr>
      <w:tr w:rsidR="00C5057E" w:rsidRPr="006C6CD2" w:rsidTr="00DE6242">
        <w:trPr>
          <w:trHeight w:val="360"/>
        </w:trPr>
        <w:tc>
          <w:tcPr>
            <w:tcW w:w="1742"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Anti-TNF</w:t>
            </w:r>
            <w:r w:rsidRPr="006C6CD2">
              <w:rPr>
                <w:rFonts w:ascii="Book Antiqua" w:hAnsi="Book Antiqua"/>
                <w:lang w:eastAsia="zh-CN"/>
              </w:rPr>
              <w:t>-</w:t>
            </w:r>
            <w:r w:rsidRPr="006C6CD2">
              <w:rPr>
                <w:rFonts w:ascii="Book Antiqua" w:hAnsi="Book Antiqua"/>
                <w:bCs/>
                <w:kern w:val="24"/>
              </w:rPr>
              <w:sym w:font="Symbol" w:char="F061"/>
            </w:r>
            <w:r w:rsidRPr="006C6CD2">
              <w:rPr>
                <w:rFonts w:ascii="Book Antiqua" w:hAnsi="Book Antiqua"/>
              </w:rPr>
              <w:t xml:space="preserve"> agents </w:t>
            </w:r>
          </w:p>
        </w:tc>
        <w:tc>
          <w:tcPr>
            <w:tcW w:w="1754"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0.37%-6.7%</w:t>
            </w:r>
          </w:p>
        </w:tc>
        <w:tc>
          <w:tcPr>
            <w:tcW w:w="2315" w:type="dxa"/>
            <w:tcBorders>
              <w:top w:val="nil"/>
              <w:left w:val="nil"/>
              <w:bottom w:val="nil"/>
              <w:right w:val="nil"/>
            </w:tcBorders>
            <w:tcMar>
              <w:top w:w="13" w:type="dxa"/>
              <w:left w:w="65" w:type="dxa"/>
              <w:bottom w:w="0" w:type="dxa"/>
              <w:right w:w="65" w:type="dxa"/>
            </w:tcMar>
          </w:tcPr>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Hepatocellular injury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Cholestasis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Hepatosplenic T-cell lymphoma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Autoimmune hepatitis </w:t>
            </w:r>
          </w:p>
          <w:p w:rsidR="00C5057E" w:rsidRPr="006C6CD2" w:rsidRDefault="00C5057E" w:rsidP="001E275D">
            <w:pPr>
              <w:spacing w:line="360" w:lineRule="auto"/>
              <w:jc w:val="both"/>
              <w:rPr>
                <w:rFonts w:ascii="Book Antiqua" w:hAnsi="Book Antiqua"/>
              </w:rPr>
            </w:pPr>
          </w:p>
        </w:tc>
        <w:tc>
          <w:tcPr>
            <w:tcW w:w="2743"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p>
        </w:tc>
      </w:tr>
      <w:tr w:rsidR="00C5057E" w:rsidRPr="006C6CD2" w:rsidTr="00DE6242">
        <w:trPr>
          <w:trHeight w:val="288"/>
        </w:trPr>
        <w:tc>
          <w:tcPr>
            <w:tcW w:w="1742"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 xml:space="preserve">Anti-integrin therapy </w:t>
            </w:r>
          </w:p>
        </w:tc>
        <w:tc>
          <w:tcPr>
            <w:tcW w:w="1754"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&lt;</w:t>
            </w:r>
            <w:r w:rsidRPr="006C6CD2">
              <w:rPr>
                <w:rFonts w:ascii="Book Antiqua" w:hAnsi="Book Antiqua"/>
                <w:lang w:eastAsia="zh-CN"/>
              </w:rPr>
              <w:t xml:space="preserve"> </w:t>
            </w:r>
            <w:r w:rsidRPr="006C6CD2">
              <w:rPr>
                <w:rFonts w:ascii="Book Antiqua" w:hAnsi="Book Antiqua"/>
              </w:rPr>
              <w:t>5%</w:t>
            </w:r>
          </w:p>
        </w:tc>
        <w:tc>
          <w:tcPr>
            <w:tcW w:w="2315" w:type="dxa"/>
            <w:tcBorders>
              <w:top w:val="nil"/>
              <w:left w:val="nil"/>
              <w:bottom w:val="nil"/>
              <w:right w:val="nil"/>
            </w:tcBorders>
            <w:tcMar>
              <w:top w:w="13" w:type="dxa"/>
              <w:left w:w="65" w:type="dxa"/>
              <w:bottom w:w="0" w:type="dxa"/>
              <w:right w:w="65" w:type="dxa"/>
            </w:tcMar>
          </w:tcPr>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Hepatocellular injury</w:t>
            </w:r>
          </w:p>
          <w:p w:rsidR="00C5057E" w:rsidRPr="006C6CD2" w:rsidRDefault="00C5057E" w:rsidP="001E275D">
            <w:pPr>
              <w:spacing w:line="360" w:lineRule="auto"/>
              <w:jc w:val="both"/>
              <w:rPr>
                <w:rFonts w:ascii="Book Antiqua" w:hAnsi="Book Antiqua"/>
              </w:rPr>
            </w:pPr>
            <w:r w:rsidRPr="006C6CD2">
              <w:rPr>
                <w:rFonts w:ascii="Book Antiqua" w:hAnsi="Book Antiqua"/>
              </w:rPr>
              <w:t xml:space="preserve"> </w:t>
            </w:r>
            <w:r w:rsidRPr="006C6CD2">
              <w:rPr>
                <w:rFonts w:ascii="Book Antiqua" w:hAnsi="Book Antiqua"/>
                <w:lang w:eastAsia="zh-CN"/>
              </w:rPr>
              <w:t xml:space="preserve">  </w:t>
            </w:r>
            <w:r w:rsidRPr="006C6CD2">
              <w:rPr>
                <w:rFonts w:ascii="Book Antiqua" w:hAnsi="Book Antiqua"/>
              </w:rPr>
              <w:t xml:space="preserve">Cholestasis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Autoimmune hepatitis </w:t>
            </w:r>
          </w:p>
          <w:p w:rsidR="00C5057E" w:rsidRPr="006C6CD2" w:rsidRDefault="00C5057E" w:rsidP="00C5057E">
            <w:pPr>
              <w:spacing w:line="360" w:lineRule="auto"/>
              <w:ind w:firstLineChars="50" w:firstLine="31680"/>
              <w:jc w:val="both"/>
              <w:rPr>
                <w:rFonts w:ascii="Book Antiqua" w:hAnsi="Book Antiqua"/>
              </w:rPr>
            </w:pPr>
            <w:r w:rsidRPr="006C6CD2">
              <w:rPr>
                <w:rFonts w:ascii="Book Antiqua" w:hAnsi="Book Antiqua"/>
              </w:rPr>
              <w:t xml:space="preserve">Liver failure </w:t>
            </w:r>
          </w:p>
          <w:p w:rsidR="00C5057E" w:rsidRPr="006C6CD2" w:rsidRDefault="00C5057E" w:rsidP="001E275D">
            <w:pPr>
              <w:spacing w:line="360" w:lineRule="auto"/>
              <w:jc w:val="both"/>
              <w:rPr>
                <w:rFonts w:ascii="Book Antiqua" w:hAnsi="Book Antiqua"/>
              </w:rPr>
            </w:pPr>
          </w:p>
        </w:tc>
        <w:tc>
          <w:tcPr>
            <w:tcW w:w="2743"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p>
        </w:tc>
      </w:tr>
      <w:tr w:rsidR="00C5057E" w:rsidRPr="006C6CD2" w:rsidTr="00DE6242">
        <w:trPr>
          <w:trHeight w:val="62"/>
        </w:trPr>
        <w:tc>
          <w:tcPr>
            <w:tcW w:w="1742"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p>
        </w:tc>
        <w:tc>
          <w:tcPr>
            <w:tcW w:w="1754"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p>
        </w:tc>
        <w:tc>
          <w:tcPr>
            <w:tcW w:w="2315"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p>
        </w:tc>
        <w:tc>
          <w:tcPr>
            <w:tcW w:w="2743"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p>
        </w:tc>
      </w:tr>
      <w:tr w:rsidR="00C5057E" w:rsidRPr="006C6CD2" w:rsidTr="00DE6242">
        <w:trPr>
          <w:trHeight w:val="72"/>
        </w:trPr>
        <w:tc>
          <w:tcPr>
            <w:tcW w:w="1742"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 xml:space="preserve">Ustekinumab </w:t>
            </w:r>
          </w:p>
        </w:tc>
        <w:tc>
          <w:tcPr>
            <w:tcW w:w="1754"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1.4%</w:t>
            </w:r>
          </w:p>
        </w:tc>
        <w:tc>
          <w:tcPr>
            <w:tcW w:w="2315" w:type="dxa"/>
            <w:tcBorders>
              <w:top w:val="nil"/>
              <w:left w:val="nil"/>
              <w:bottom w:val="nil"/>
              <w:right w:val="nil"/>
            </w:tcBorders>
            <w:tcMar>
              <w:top w:w="13" w:type="dxa"/>
              <w:left w:w="65" w:type="dxa"/>
              <w:bottom w:w="0" w:type="dxa"/>
              <w:right w:w="65" w:type="dxa"/>
            </w:tcMar>
          </w:tcPr>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Elevated liver tests </w:t>
            </w:r>
          </w:p>
          <w:p w:rsidR="00C5057E" w:rsidRPr="006C6CD2" w:rsidRDefault="00C5057E" w:rsidP="001E275D">
            <w:pPr>
              <w:spacing w:line="360" w:lineRule="auto"/>
              <w:jc w:val="both"/>
              <w:rPr>
                <w:rFonts w:ascii="Book Antiqua" w:hAnsi="Book Antiqua"/>
              </w:rPr>
            </w:pPr>
          </w:p>
        </w:tc>
        <w:tc>
          <w:tcPr>
            <w:tcW w:w="2743" w:type="dxa"/>
            <w:tcBorders>
              <w:top w:val="nil"/>
              <w:left w:val="nil"/>
              <w:bottom w:val="nil"/>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p>
        </w:tc>
      </w:tr>
      <w:tr w:rsidR="00C5057E" w:rsidRPr="006C6CD2" w:rsidTr="00DE6242">
        <w:trPr>
          <w:trHeight w:val="216"/>
        </w:trPr>
        <w:tc>
          <w:tcPr>
            <w:tcW w:w="1742" w:type="dxa"/>
            <w:tcBorders>
              <w:top w:val="nil"/>
              <w:left w:val="nil"/>
              <w:bottom w:val="single" w:sz="8" w:space="0" w:color="000000"/>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 xml:space="preserve">Cyclosporine </w:t>
            </w:r>
          </w:p>
        </w:tc>
        <w:tc>
          <w:tcPr>
            <w:tcW w:w="1754" w:type="dxa"/>
            <w:tcBorders>
              <w:top w:val="nil"/>
              <w:left w:val="nil"/>
              <w:bottom w:val="single" w:sz="8" w:space="0" w:color="000000"/>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r w:rsidRPr="006C6CD2">
              <w:rPr>
                <w:rFonts w:ascii="Book Antiqua" w:hAnsi="Book Antiqua"/>
              </w:rPr>
              <w:t>1%-4%</w:t>
            </w:r>
          </w:p>
        </w:tc>
        <w:tc>
          <w:tcPr>
            <w:tcW w:w="2315" w:type="dxa"/>
            <w:tcBorders>
              <w:top w:val="nil"/>
              <w:left w:val="nil"/>
              <w:bottom w:val="single" w:sz="8" w:space="0" w:color="000000"/>
              <w:right w:val="nil"/>
            </w:tcBorders>
            <w:tcMar>
              <w:top w:w="13" w:type="dxa"/>
              <w:left w:w="65" w:type="dxa"/>
              <w:bottom w:w="0" w:type="dxa"/>
              <w:right w:w="65" w:type="dxa"/>
            </w:tcMar>
          </w:tcPr>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Increased bile acids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 xml:space="preserve">Cholestasis </w:t>
            </w:r>
          </w:p>
          <w:p w:rsidR="00C5057E" w:rsidRPr="006C6CD2" w:rsidRDefault="00C5057E" w:rsidP="00C5057E">
            <w:pPr>
              <w:spacing w:line="360" w:lineRule="auto"/>
              <w:ind w:firstLineChars="100" w:firstLine="31680"/>
              <w:jc w:val="both"/>
              <w:rPr>
                <w:rFonts w:ascii="Book Antiqua" w:hAnsi="Book Antiqua"/>
              </w:rPr>
            </w:pPr>
            <w:r w:rsidRPr="006C6CD2">
              <w:rPr>
                <w:rFonts w:ascii="Book Antiqua" w:hAnsi="Book Antiqua"/>
              </w:rPr>
              <w:t>Hepatocellular injury</w:t>
            </w:r>
          </w:p>
        </w:tc>
        <w:tc>
          <w:tcPr>
            <w:tcW w:w="2743" w:type="dxa"/>
            <w:tcBorders>
              <w:top w:val="nil"/>
              <w:left w:val="nil"/>
              <w:bottom w:val="single" w:sz="8" w:space="0" w:color="000000"/>
              <w:right w:val="nil"/>
            </w:tcBorders>
            <w:tcMar>
              <w:top w:w="13" w:type="dxa"/>
              <w:left w:w="65" w:type="dxa"/>
              <w:bottom w:w="0" w:type="dxa"/>
              <w:right w:w="65" w:type="dxa"/>
            </w:tcMar>
          </w:tcPr>
          <w:p w:rsidR="00C5057E" w:rsidRPr="006C6CD2" w:rsidRDefault="00C5057E" w:rsidP="001E275D">
            <w:pPr>
              <w:spacing w:line="360" w:lineRule="auto"/>
              <w:jc w:val="both"/>
              <w:rPr>
                <w:rFonts w:ascii="Book Antiqua" w:hAnsi="Book Antiqua"/>
              </w:rPr>
            </w:pPr>
          </w:p>
        </w:tc>
      </w:tr>
    </w:tbl>
    <w:p w:rsidR="00C5057E" w:rsidRPr="00907283" w:rsidRDefault="00C5057E" w:rsidP="001E275D">
      <w:pPr>
        <w:spacing w:line="360" w:lineRule="auto"/>
        <w:jc w:val="both"/>
        <w:rPr>
          <w:rFonts w:ascii="Book Antiqua" w:hAnsi="Book Antiqua"/>
          <w:lang w:eastAsia="zh-CN"/>
        </w:rPr>
      </w:pPr>
      <w:r w:rsidRPr="00463038">
        <w:rPr>
          <w:rFonts w:ascii="Book Antiqua" w:hAnsi="Book Antiqua"/>
          <w:vertAlign w:val="superscript"/>
          <w:lang w:eastAsia="zh-CN"/>
        </w:rPr>
        <w:t>1</w:t>
      </w:r>
      <w:r w:rsidRPr="00463038">
        <w:rPr>
          <w:rFonts w:ascii="Book Antiqua" w:hAnsi="Book Antiqua"/>
        </w:rPr>
        <w:t>For general management of elevated liver tests. For specific recommendations see text.</w:t>
      </w:r>
      <w:r w:rsidRPr="00463038">
        <w:rPr>
          <w:rFonts w:ascii="Book Antiqua" w:hAnsi="Book Antiqua"/>
          <w:lang w:eastAsia="zh-CN"/>
        </w:rPr>
        <w:t xml:space="preserve"> </w:t>
      </w:r>
      <w:r w:rsidRPr="00463038">
        <w:rPr>
          <w:rFonts w:ascii="Book Antiqua" w:hAnsi="Book Antiqua"/>
        </w:rPr>
        <w:t>ASA</w:t>
      </w:r>
      <w:r w:rsidRPr="00463038">
        <w:rPr>
          <w:rFonts w:ascii="Book Antiqua" w:hAnsi="Book Antiqua"/>
          <w:lang w:eastAsia="zh-CN"/>
        </w:rPr>
        <w:t xml:space="preserve">: </w:t>
      </w:r>
      <w:r w:rsidRPr="00463038">
        <w:rPr>
          <w:rFonts w:ascii="Book Antiqua" w:hAnsi="Book Antiqua"/>
          <w:color w:val="000000"/>
        </w:rPr>
        <w:t>Aminosalicylic acid</w:t>
      </w:r>
      <w:r w:rsidRPr="00463038">
        <w:rPr>
          <w:rFonts w:ascii="Book Antiqua" w:hAnsi="Book Antiqua"/>
          <w:color w:val="000000"/>
          <w:lang w:eastAsia="zh-CN"/>
        </w:rPr>
        <w:t xml:space="preserve">; </w:t>
      </w:r>
      <w:r w:rsidRPr="00463038">
        <w:rPr>
          <w:rFonts w:ascii="Book Antiqua" w:hAnsi="Book Antiqua"/>
        </w:rPr>
        <w:t>AZA</w:t>
      </w:r>
      <w:r w:rsidRPr="00463038">
        <w:rPr>
          <w:rFonts w:ascii="Book Antiqua" w:hAnsi="Book Antiqua"/>
          <w:lang w:eastAsia="zh-CN"/>
        </w:rPr>
        <w:t xml:space="preserve">: </w:t>
      </w:r>
      <w:r w:rsidRPr="00463038">
        <w:rPr>
          <w:rFonts w:ascii="Book Antiqua" w:hAnsi="Book Antiqua"/>
          <w:color w:val="000000"/>
        </w:rPr>
        <w:t>Azathioprine</w:t>
      </w:r>
      <w:r w:rsidRPr="00463038">
        <w:rPr>
          <w:rFonts w:ascii="Book Antiqua" w:hAnsi="Book Antiqua"/>
          <w:color w:val="000000"/>
          <w:lang w:eastAsia="zh-CN"/>
        </w:rPr>
        <w:t xml:space="preserve">; </w:t>
      </w:r>
      <w:r w:rsidRPr="00463038">
        <w:rPr>
          <w:rFonts w:ascii="Book Antiqua" w:hAnsi="Book Antiqua" w:cs="Arial"/>
        </w:rPr>
        <w:t>6-MP</w:t>
      </w:r>
      <w:r w:rsidRPr="00463038">
        <w:rPr>
          <w:rFonts w:ascii="Book Antiqua" w:hAnsi="Book Antiqua" w:cs="Arial"/>
          <w:lang w:eastAsia="zh-CN"/>
        </w:rPr>
        <w:t>:</w:t>
      </w:r>
      <w:r w:rsidRPr="00463038">
        <w:rPr>
          <w:rFonts w:ascii="Book Antiqua" w:hAnsi="Book Antiqua" w:cs="Arial"/>
        </w:rPr>
        <w:t xml:space="preserve"> 6-Mercaptopurine;</w:t>
      </w:r>
      <w:r w:rsidRPr="00463038">
        <w:rPr>
          <w:rFonts w:ascii="Book Antiqua" w:hAnsi="Book Antiqua"/>
        </w:rPr>
        <w:t xml:space="preserve"> TNF</w:t>
      </w:r>
      <w:r w:rsidRPr="00463038">
        <w:rPr>
          <w:rFonts w:ascii="Book Antiqua" w:hAnsi="Book Antiqua"/>
          <w:lang w:eastAsia="zh-CN"/>
        </w:rPr>
        <w:t xml:space="preserve">: </w:t>
      </w:r>
      <w:r w:rsidRPr="00463038">
        <w:rPr>
          <w:rFonts w:ascii="Book Antiqua" w:hAnsi="Book Antiqua"/>
          <w:color w:val="000000"/>
        </w:rPr>
        <w:t>Tumor necrosis factor</w:t>
      </w:r>
      <w:r w:rsidRPr="00463038">
        <w:rPr>
          <w:rFonts w:ascii="Book Antiqua" w:hAnsi="Book Antiqua"/>
          <w:color w:val="000000"/>
          <w:lang w:eastAsia="zh-CN"/>
        </w:rPr>
        <w:t>.</w:t>
      </w:r>
    </w:p>
    <w:p w:rsidR="00C5057E" w:rsidRPr="00907283" w:rsidRDefault="00C5057E" w:rsidP="001E275D">
      <w:pPr>
        <w:spacing w:line="360" w:lineRule="auto"/>
        <w:jc w:val="both"/>
        <w:rPr>
          <w:rFonts w:ascii="Book Antiqua" w:hAnsi="Book Antiqua"/>
        </w:rPr>
      </w:pPr>
    </w:p>
    <w:p w:rsidR="00C5057E" w:rsidRPr="00907283" w:rsidRDefault="00C5057E" w:rsidP="001E275D">
      <w:pPr>
        <w:spacing w:line="360" w:lineRule="auto"/>
        <w:jc w:val="both"/>
        <w:rPr>
          <w:rFonts w:ascii="Book Antiqua" w:hAnsi="Book Antiqua"/>
        </w:rPr>
      </w:pPr>
    </w:p>
    <w:sectPr w:rsidR="00C5057E" w:rsidRPr="00907283" w:rsidSect="005F432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57E" w:rsidRDefault="00C5057E" w:rsidP="00BF6310">
      <w:r>
        <w:separator/>
      </w:r>
    </w:p>
  </w:endnote>
  <w:endnote w:type="continuationSeparator" w:id="0">
    <w:p w:rsidR="00C5057E" w:rsidRDefault="00C5057E" w:rsidP="00BF6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S Mincho">
    <w:altName w:val="昒? 瀡?"/>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yriadPro-Regular">
    <w:altName w:val="PMingLiU"/>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7E" w:rsidRDefault="00C5057E">
    <w:pPr>
      <w:pStyle w:val="Footer"/>
      <w:jc w:val="center"/>
    </w:pPr>
    <w:fldSimple w:instr=" PAGE   \* MERGEFORMAT ">
      <w:r>
        <w:rPr>
          <w:noProof/>
        </w:rPr>
        <w:t>2</w:t>
      </w:r>
    </w:fldSimple>
  </w:p>
  <w:p w:rsidR="00C5057E" w:rsidRDefault="00C50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57E" w:rsidRDefault="00C5057E" w:rsidP="00BF6310">
      <w:r>
        <w:separator/>
      </w:r>
    </w:p>
  </w:footnote>
  <w:footnote w:type="continuationSeparator" w:id="0">
    <w:p w:rsidR="00C5057E" w:rsidRDefault="00C5057E" w:rsidP="00BF6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82450"/>
    <w:multiLevelType w:val="multilevel"/>
    <w:tmpl w:val="B9BCFC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349016C"/>
    <w:multiLevelType w:val="hybridMultilevel"/>
    <w:tmpl w:val="2528CFB6"/>
    <w:lvl w:ilvl="0" w:tplc="0409000F">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B9E239F"/>
    <w:multiLevelType w:val="multilevel"/>
    <w:tmpl w:val="95BE48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3D60345"/>
    <w:multiLevelType w:val="hybridMultilevel"/>
    <w:tmpl w:val="C85CE6E0"/>
    <w:lvl w:ilvl="0" w:tplc="D9CAD9D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73F72"/>
    <w:multiLevelType w:val="hybridMultilevel"/>
    <w:tmpl w:val="BF1C39B0"/>
    <w:lvl w:ilvl="0" w:tplc="9F9A6A8A">
      <w:start w:val="1"/>
      <w:numFmt w:val="decimal"/>
      <w:lvlText w:val="%1."/>
      <w:lvlJc w:val="left"/>
      <w:pPr>
        <w:ind w:left="900" w:hanging="360"/>
      </w:pPr>
      <w:rPr>
        <w:rFonts w:ascii="Book Antiqua" w:hAnsi="Book Antiqua" w:cs="Times New Roman" w:hint="default"/>
        <w:sz w:val="24"/>
        <w:szCs w:val="24"/>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nsid w:val="612210B3"/>
    <w:multiLevelType w:val="hybridMultilevel"/>
    <w:tmpl w:val="811234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99D02543-A5DA-446D-9DDF-A5E3F1ADB8E5}"/>
    <w:docVar w:name="dgnword-eventsink" w:val="68820792"/>
  </w:docVars>
  <w:rsids>
    <w:rsidRoot w:val="0005315F"/>
    <w:rsid w:val="000019F5"/>
    <w:rsid w:val="000049C1"/>
    <w:rsid w:val="000076C3"/>
    <w:rsid w:val="00011262"/>
    <w:rsid w:val="0001276C"/>
    <w:rsid w:val="00022E9B"/>
    <w:rsid w:val="0002393C"/>
    <w:rsid w:val="000244ED"/>
    <w:rsid w:val="000261A4"/>
    <w:rsid w:val="00027243"/>
    <w:rsid w:val="000307FD"/>
    <w:rsid w:val="00031047"/>
    <w:rsid w:val="00032348"/>
    <w:rsid w:val="0003734D"/>
    <w:rsid w:val="00041B75"/>
    <w:rsid w:val="000465C6"/>
    <w:rsid w:val="00046E24"/>
    <w:rsid w:val="00050526"/>
    <w:rsid w:val="000505C3"/>
    <w:rsid w:val="000506AE"/>
    <w:rsid w:val="0005315F"/>
    <w:rsid w:val="000534C8"/>
    <w:rsid w:val="000536F7"/>
    <w:rsid w:val="00061F0F"/>
    <w:rsid w:val="00062A44"/>
    <w:rsid w:val="00075994"/>
    <w:rsid w:val="0008323C"/>
    <w:rsid w:val="000856E2"/>
    <w:rsid w:val="00086681"/>
    <w:rsid w:val="000A1A83"/>
    <w:rsid w:val="000A1CBA"/>
    <w:rsid w:val="000A39EB"/>
    <w:rsid w:val="000A51CC"/>
    <w:rsid w:val="000B049D"/>
    <w:rsid w:val="000B24BB"/>
    <w:rsid w:val="000B4128"/>
    <w:rsid w:val="000B5A50"/>
    <w:rsid w:val="000B5F96"/>
    <w:rsid w:val="000B697D"/>
    <w:rsid w:val="000B6E7A"/>
    <w:rsid w:val="000B7586"/>
    <w:rsid w:val="000C2301"/>
    <w:rsid w:val="000C4228"/>
    <w:rsid w:val="000D4099"/>
    <w:rsid w:val="000E1E32"/>
    <w:rsid w:val="000E1E40"/>
    <w:rsid w:val="000E3748"/>
    <w:rsid w:val="000E52C2"/>
    <w:rsid w:val="000E6C6D"/>
    <w:rsid w:val="000F10B8"/>
    <w:rsid w:val="000F50DB"/>
    <w:rsid w:val="0010366F"/>
    <w:rsid w:val="00106617"/>
    <w:rsid w:val="00110978"/>
    <w:rsid w:val="00110CB1"/>
    <w:rsid w:val="0011187C"/>
    <w:rsid w:val="00117C26"/>
    <w:rsid w:val="0012191D"/>
    <w:rsid w:val="00134643"/>
    <w:rsid w:val="00134AC8"/>
    <w:rsid w:val="00136D04"/>
    <w:rsid w:val="00140747"/>
    <w:rsid w:val="00155927"/>
    <w:rsid w:val="00156443"/>
    <w:rsid w:val="00162BB9"/>
    <w:rsid w:val="0016485E"/>
    <w:rsid w:val="001662E4"/>
    <w:rsid w:val="00166BEE"/>
    <w:rsid w:val="00172A44"/>
    <w:rsid w:val="00181022"/>
    <w:rsid w:val="00181C4A"/>
    <w:rsid w:val="00184D9A"/>
    <w:rsid w:val="00187EFD"/>
    <w:rsid w:val="001909C3"/>
    <w:rsid w:val="0019470C"/>
    <w:rsid w:val="00197E6C"/>
    <w:rsid w:val="001A51A3"/>
    <w:rsid w:val="001B2721"/>
    <w:rsid w:val="001B3126"/>
    <w:rsid w:val="001C316E"/>
    <w:rsid w:val="001D1514"/>
    <w:rsid w:val="001D329B"/>
    <w:rsid w:val="001D5E80"/>
    <w:rsid w:val="001D70C3"/>
    <w:rsid w:val="001D7DE7"/>
    <w:rsid w:val="001E275D"/>
    <w:rsid w:val="001E73E0"/>
    <w:rsid w:val="001F2A15"/>
    <w:rsid w:val="001F336C"/>
    <w:rsid w:val="001F36BB"/>
    <w:rsid w:val="001F6D46"/>
    <w:rsid w:val="0020399C"/>
    <w:rsid w:val="0021305A"/>
    <w:rsid w:val="00213A6C"/>
    <w:rsid w:val="002200A1"/>
    <w:rsid w:val="00220572"/>
    <w:rsid w:val="002245FD"/>
    <w:rsid w:val="0023209F"/>
    <w:rsid w:val="0023481B"/>
    <w:rsid w:val="00234FD6"/>
    <w:rsid w:val="00235CD4"/>
    <w:rsid w:val="00236E97"/>
    <w:rsid w:val="00252E49"/>
    <w:rsid w:val="002539EF"/>
    <w:rsid w:val="002600AB"/>
    <w:rsid w:val="00264E3A"/>
    <w:rsid w:val="002700DC"/>
    <w:rsid w:val="0027048A"/>
    <w:rsid w:val="00274098"/>
    <w:rsid w:val="00276EFE"/>
    <w:rsid w:val="002834BE"/>
    <w:rsid w:val="002942BB"/>
    <w:rsid w:val="002A125D"/>
    <w:rsid w:val="002A1EFE"/>
    <w:rsid w:val="002A49B5"/>
    <w:rsid w:val="002B38AF"/>
    <w:rsid w:val="002B3A0E"/>
    <w:rsid w:val="002B60E1"/>
    <w:rsid w:val="002B6AB7"/>
    <w:rsid w:val="002C0C66"/>
    <w:rsid w:val="002C1AA9"/>
    <w:rsid w:val="002C4F2F"/>
    <w:rsid w:val="002C78B8"/>
    <w:rsid w:val="002C7B99"/>
    <w:rsid w:val="002D0F92"/>
    <w:rsid w:val="002D69CD"/>
    <w:rsid w:val="002E109B"/>
    <w:rsid w:val="002E7064"/>
    <w:rsid w:val="002F05EA"/>
    <w:rsid w:val="002F11B1"/>
    <w:rsid w:val="002F7A6E"/>
    <w:rsid w:val="00303480"/>
    <w:rsid w:val="00305490"/>
    <w:rsid w:val="00305B88"/>
    <w:rsid w:val="00331C2D"/>
    <w:rsid w:val="00337540"/>
    <w:rsid w:val="0034337D"/>
    <w:rsid w:val="00343DFA"/>
    <w:rsid w:val="00344E5B"/>
    <w:rsid w:val="003609AB"/>
    <w:rsid w:val="00367386"/>
    <w:rsid w:val="003832DB"/>
    <w:rsid w:val="00383602"/>
    <w:rsid w:val="00387F7C"/>
    <w:rsid w:val="003A1C12"/>
    <w:rsid w:val="003A3E01"/>
    <w:rsid w:val="003B2348"/>
    <w:rsid w:val="003B3DDC"/>
    <w:rsid w:val="003C7E88"/>
    <w:rsid w:val="003D19E4"/>
    <w:rsid w:val="003D47DA"/>
    <w:rsid w:val="003D49B8"/>
    <w:rsid w:val="003E63C9"/>
    <w:rsid w:val="003E7CA8"/>
    <w:rsid w:val="003F3DA7"/>
    <w:rsid w:val="00402392"/>
    <w:rsid w:val="00402A97"/>
    <w:rsid w:val="004135C0"/>
    <w:rsid w:val="00417514"/>
    <w:rsid w:val="004205E7"/>
    <w:rsid w:val="004226E3"/>
    <w:rsid w:val="0042411F"/>
    <w:rsid w:val="00425842"/>
    <w:rsid w:val="00426B08"/>
    <w:rsid w:val="004310EE"/>
    <w:rsid w:val="00436229"/>
    <w:rsid w:val="00437E01"/>
    <w:rsid w:val="00447C26"/>
    <w:rsid w:val="004562D2"/>
    <w:rsid w:val="00456F61"/>
    <w:rsid w:val="00457E8F"/>
    <w:rsid w:val="00461A02"/>
    <w:rsid w:val="00463038"/>
    <w:rsid w:val="00463290"/>
    <w:rsid w:val="00463653"/>
    <w:rsid w:val="00485273"/>
    <w:rsid w:val="00487A7B"/>
    <w:rsid w:val="004942DF"/>
    <w:rsid w:val="00495663"/>
    <w:rsid w:val="00495ED6"/>
    <w:rsid w:val="004A3B53"/>
    <w:rsid w:val="004A7481"/>
    <w:rsid w:val="004B004C"/>
    <w:rsid w:val="004B286D"/>
    <w:rsid w:val="004B3958"/>
    <w:rsid w:val="004C7930"/>
    <w:rsid w:val="004C7C03"/>
    <w:rsid w:val="004D046D"/>
    <w:rsid w:val="004D15DC"/>
    <w:rsid w:val="004D349E"/>
    <w:rsid w:val="004E148D"/>
    <w:rsid w:val="004E1E19"/>
    <w:rsid w:val="004E1EAF"/>
    <w:rsid w:val="004F44DD"/>
    <w:rsid w:val="004F7F75"/>
    <w:rsid w:val="00503196"/>
    <w:rsid w:val="0050560B"/>
    <w:rsid w:val="0050610D"/>
    <w:rsid w:val="005063D8"/>
    <w:rsid w:val="005104EB"/>
    <w:rsid w:val="0051727F"/>
    <w:rsid w:val="00525B63"/>
    <w:rsid w:val="00527B52"/>
    <w:rsid w:val="00532E1B"/>
    <w:rsid w:val="0053535E"/>
    <w:rsid w:val="0055509E"/>
    <w:rsid w:val="00566140"/>
    <w:rsid w:val="0056707B"/>
    <w:rsid w:val="0057556E"/>
    <w:rsid w:val="0058699B"/>
    <w:rsid w:val="0058713D"/>
    <w:rsid w:val="00592A89"/>
    <w:rsid w:val="0059363B"/>
    <w:rsid w:val="00594F84"/>
    <w:rsid w:val="0059662C"/>
    <w:rsid w:val="00596CB3"/>
    <w:rsid w:val="005A13F7"/>
    <w:rsid w:val="005A2017"/>
    <w:rsid w:val="005A31A3"/>
    <w:rsid w:val="005B489E"/>
    <w:rsid w:val="005B5765"/>
    <w:rsid w:val="005B7645"/>
    <w:rsid w:val="005C1F45"/>
    <w:rsid w:val="005C2FBA"/>
    <w:rsid w:val="005C6330"/>
    <w:rsid w:val="005D02DA"/>
    <w:rsid w:val="005D5D59"/>
    <w:rsid w:val="005E5818"/>
    <w:rsid w:val="005F090D"/>
    <w:rsid w:val="005F4324"/>
    <w:rsid w:val="005F5049"/>
    <w:rsid w:val="005F7B8C"/>
    <w:rsid w:val="00605ED2"/>
    <w:rsid w:val="006141AD"/>
    <w:rsid w:val="00617773"/>
    <w:rsid w:val="006238DD"/>
    <w:rsid w:val="0062573A"/>
    <w:rsid w:val="00647393"/>
    <w:rsid w:val="00652A13"/>
    <w:rsid w:val="00665B00"/>
    <w:rsid w:val="0067063A"/>
    <w:rsid w:val="00671C48"/>
    <w:rsid w:val="00681F5A"/>
    <w:rsid w:val="00682C79"/>
    <w:rsid w:val="00684813"/>
    <w:rsid w:val="006859B3"/>
    <w:rsid w:val="00692191"/>
    <w:rsid w:val="00694C49"/>
    <w:rsid w:val="006972D2"/>
    <w:rsid w:val="006A24F4"/>
    <w:rsid w:val="006A4ABB"/>
    <w:rsid w:val="006C520C"/>
    <w:rsid w:val="006C6CD2"/>
    <w:rsid w:val="006E2DD7"/>
    <w:rsid w:val="007022C4"/>
    <w:rsid w:val="00702365"/>
    <w:rsid w:val="00703CCC"/>
    <w:rsid w:val="00704209"/>
    <w:rsid w:val="00710D46"/>
    <w:rsid w:val="00711BEE"/>
    <w:rsid w:val="00715AA8"/>
    <w:rsid w:val="007239DB"/>
    <w:rsid w:val="00733C42"/>
    <w:rsid w:val="0073771E"/>
    <w:rsid w:val="007533A4"/>
    <w:rsid w:val="007662DB"/>
    <w:rsid w:val="007777C5"/>
    <w:rsid w:val="00780C41"/>
    <w:rsid w:val="00781655"/>
    <w:rsid w:val="00790B8A"/>
    <w:rsid w:val="00793456"/>
    <w:rsid w:val="0079415E"/>
    <w:rsid w:val="00794E69"/>
    <w:rsid w:val="00795A81"/>
    <w:rsid w:val="007966AF"/>
    <w:rsid w:val="00796E10"/>
    <w:rsid w:val="007A0E7E"/>
    <w:rsid w:val="007A2251"/>
    <w:rsid w:val="007A2A61"/>
    <w:rsid w:val="007B04A7"/>
    <w:rsid w:val="007B6037"/>
    <w:rsid w:val="007C39E5"/>
    <w:rsid w:val="007C6AFA"/>
    <w:rsid w:val="007D737A"/>
    <w:rsid w:val="007E44BF"/>
    <w:rsid w:val="007E4D89"/>
    <w:rsid w:val="007E6B5A"/>
    <w:rsid w:val="007F7634"/>
    <w:rsid w:val="00803E9A"/>
    <w:rsid w:val="00804F5D"/>
    <w:rsid w:val="00807083"/>
    <w:rsid w:val="008076AB"/>
    <w:rsid w:val="00822A0C"/>
    <w:rsid w:val="008269DF"/>
    <w:rsid w:val="008314E8"/>
    <w:rsid w:val="0083399E"/>
    <w:rsid w:val="00844066"/>
    <w:rsid w:val="00844129"/>
    <w:rsid w:val="0084522B"/>
    <w:rsid w:val="00851C73"/>
    <w:rsid w:val="0085584B"/>
    <w:rsid w:val="008621DF"/>
    <w:rsid w:val="00874184"/>
    <w:rsid w:val="008748E8"/>
    <w:rsid w:val="00875224"/>
    <w:rsid w:val="00877986"/>
    <w:rsid w:val="00877F3B"/>
    <w:rsid w:val="00885BF4"/>
    <w:rsid w:val="00890CC1"/>
    <w:rsid w:val="00893C8A"/>
    <w:rsid w:val="008A1386"/>
    <w:rsid w:val="008A2CCA"/>
    <w:rsid w:val="008A5D4A"/>
    <w:rsid w:val="008A70D1"/>
    <w:rsid w:val="008A7662"/>
    <w:rsid w:val="008A7E69"/>
    <w:rsid w:val="008B0F03"/>
    <w:rsid w:val="008B5C44"/>
    <w:rsid w:val="008B65A1"/>
    <w:rsid w:val="008C098E"/>
    <w:rsid w:val="008D0079"/>
    <w:rsid w:val="008D0E6F"/>
    <w:rsid w:val="008D75ED"/>
    <w:rsid w:val="008D7B92"/>
    <w:rsid w:val="008E3A5F"/>
    <w:rsid w:val="008F20BC"/>
    <w:rsid w:val="008F30CC"/>
    <w:rsid w:val="008F4C70"/>
    <w:rsid w:val="00907283"/>
    <w:rsid w:val="00913B29"/>
    <w:rsid w:val="00926772"/>
    <w:rsid w:val="009279F9"/>
    <w:rsid w:val="00932D59"/>
    <w:rsid w:val="00934A37"/>
    <w:rsid w:val="00936C62"/>
    <w:rsid w:val="009411BF"/>
    <w:rsid w:val="00947B7A"/>
    <w:rsid w:val="009538B1"/>
    <w:rsid w:val="00957EA6"/>
    <w:rsid w:val="00960E16"/>
    <w:rsid w:val="00962675"/>
    <w:rsid w:val="00962CC4"/>
    <w:rsid w:val="00967DDC"/>
    <w:rsid w:val="00970D9E"/>
    <w:rsid w:val="00975534"/>
    <w:rsid w:val="00975ED6"/>
    <w:rsid w:val="00976FAD"/>
    <w:rsid w:val="00980EC7"/>
    <w:rsid w:val="00981648"/>
    <w:rsid w:val="00985B96"/>
    <w:rsid w:val="009860F8"/>
    <w:rsid w:val="00990C61"/>
    <w:rsid w:val="00997603"/>
    <w:rsid w:val="009A4097"/>
    <w:rsid w:val="009A67A9"/>
    <w:rsid w:val="009B47E6"/>
    <w:rsid w:val="009C0971"/>
    <w:rsid w:val="009C1444"/>
    <w:rsid w:val="009C24CC"/>
    <w:rsid w:val="009C41A0"/>
    <w:rsid w:val="009C422D"/>
    <w:rsid w:val="009C4D5F"/>
    <w:rsid w:val="009C731A"/>
    <w:rsid w:val="009E04E5"/>
    <w:rsid w:val="009E1062"/>
    <w:rsid w:val="009F5106"/>
    <w:rsid w:val="009F765D"/>
    <w:rsid w:val="009F799D"/>
    <w:rsid w:val="00A051A4"/>
    <w:rsid w:val="00A06D22"/>
    <w:rsid w:val="00A2072B"/>
    <w:rsid w:val="00A23C70"/>
    <w:rsid w:val="00A25DD6"/>
    <w:rsid w:val="00A314D2"/>
    <w:rsid w:val="00A40803"/>
    <w:rsid w:val="00A4128E"/>
    <w:rsid w:val="00A41A2F"/>
    <w:rsid w:val="00A504F1"/>
    <w:rsid w:val="00A555CF"/>
    <w:rsid w:val="00A6191D"/>
    <w:rsid w:val="00A64FB2"/>
    <w:rsid w:val="00A70347"/>
    <w:rsid w:val="00A704D0"/>
    <w:rsid w:val="00A73928"/>
    <w:rsid w:val="00A84E16"/>
    <w:rsid w:val="00A917F2"/>
    <w:rsid w:val="00A93764"/>
    <w:rsid w:val="00AA2BEE"/>
    <w:rsid w:val="00AA3B87"/>
    <w:rsid w:val="00AA4E16"/>
    <w:rsid w:val="00AB30E8"/>
    <w:rsid w:val="00AB311F"/>
    <w:rsid w:val="00AB5C27"/>
    <w:rsid w:val="00AB7BA6"/>
    <w:rsid w:val="00AB7C8E"/>
    <w:rsid w:val="00AC4A3F"/>
    <w:rsid w:val="00AD1480"/>
    <w:rsid w:val="00AD3C28"/>
    <w:rsid w:val="00AD7BB2"/>
    <w:rsid w:val="00AE7668"/>
    <w:rsid w:val="00AF033C"/>
    <w:rsid w:val="00AF241E"/>
    <w:rsid w:val="00AF488E"/>
    <w:rsid w:val="00B00A5D"/>
    <w:rsid w:val="00B01425"/>
    <w:rsid w:val="00B21AE5"/>
    <w:rsid w:val="00B22FA1"/>
    <w:rsid w:val="00B23F36"/>
    <w:rsid w:val="00B250A2"/>
    <w:rsid w:val="00B26064"/>
    <w:rsid w:val="00B2644E"/>
    <w:rsid w:val="00B352A0"/>
    <w:rsid w:val="00B40280"/>
    <w:rsid w:val="00B41856"/>
    <w:rsid w:val="00B45125"/>
    <w:rsid w:val="00B46183"/>
    <w:rsid w:val="00B50687"/>
    <w:rsid w:val="00B53AA5"/>
    <w:rsid w:val="00B56E90"/>
    <w:rsid w:val="00B60A2B"/>
    <w:rsid w:val="00B66298"/>
    <w:rsid w:val="00B66392"/>
    <w:rsid w:val="00B7635A"/>
    <w:rsid w:val="00B929AC"/>
    <w:rsid w:val="00B96700"/>
    <w:rsid w:val="00BA6D27"/>
    <w:rsid w:val="00BA6EDF"/>
    <w:rsid w:val="00BB0A88"/>
    <w:rsid w:val="00BB1119"/>
    <w:rsid w:val="00BB2E6E"/>
    <w:rsid w:val="00BB5E12"/>
    <w:rsid w:val="00BC3B22"/>
    <w:rsid w:val="00BD3054"/>
    <w:rsid w:val="00BD4651"/>
    <w:rsid w:val="00BD5447"/>
    <w:rsid w:val="00BE03BC"/>
    <w:rsid w:val="00BE2D70"/>
    <w:rsid w:val="00BE47A2"/>
    <w:rsid w:val="00BF1FB1"/>
    <w:rsid w:val="00BF3EF5"/>
    <w:rsid w:val="00BF6310"/>
    <w:rsid w:val="00C0616E"/>
    <w:rsid w:val="00C120C3"/>
    <w:rsid w:val="00C15DFB"/>
    <w:rsid w:val="00C173EA"/>
    <w:rsid w:val="00C3268D"/>
    <w:rsid w:val="00C33090"/>
    <w:rsid w:val="00C33755"/>
    <w:rsid w:val="00C34EB0"/>
    <w:rsid w:val="00C354D9"/>
    <w:rsid w:val="00C41A03"/>
    <w:rsid w:val="00C434A1"/>
    <w:rsid w:val="00C435AD"/>
    <w:rsid w:val="00C455C6"/>
    <w:rsid w:val="00C5057E"/>
    <w:rsid w:val="00C51AFE"/>
    <w:rsid w:val="00C56042"/>
    <w:rsid w:val="00C610DA"/>
    <w:rsid w:val="00C61DD5"/>
    <w:rsid w:val="00C70B7A"/>
    <w:rsid w:val="00C70FA4"/>
    <w:rsid w:val="00C80DDE"/>
    <w:rsid w:val="00C854FC"/>
    <w:rsid w:val="00C87B58"/>
    <w:rsid w:val="00C914EC"/>
    <w:rsid w:val="00C91A81"/>
    <w:rsid w:val="00CA36CB"/>
    <w:rsid w:val="00CA4837"/>
    <w:rsid w:val="00CB1E31"/>
    <w:rsid w:val="00CB4267"/>
    <w:rsid w:val="00CC3194"/>
    <w:rsid w:val="00CC6FE2"/>
    <w:rsid w:val="00CD4288"/>
    <w:rsid w:val="00CD4BC6"/>
    <w:rsid w:val="00CE18D3"/>
    <w:rsid w:val="00CE543C"/>
    <w:rsid w:val="00CE5522"/>
    <w:rsid w:val="00D036BD"/>
    <w:rsid w:val="00D04D10"/>
    <w:rsid w:val="00D11F25"/>
    <w:rsid w:val="00D13BDE"/>
    <w:rsid w:val="00D232F1"/>
    <w:rsid w:val="00D25663"/>
    <w:rsid w:val="00D257C6"/>
    <w:rsid w:val="00D261C6"/>
    <w:rsid w:val="00D264CE"/>
    <w:rsid w:val="00D267B7"/>
    <w:rsid w:val="00D32464"/>
    <w:rsid w:val="00D32601"/>
    <w:rsid w:val="00D337F7"/>
    <w:rsid w:val="00D359DE"/>
    <w:rsid w:val="00D42630"/>
    <w:rsid w:val="00D4543A"/>
    <w:rsid w:val="00D45FA8"/>
    <w:rsid w:val="00D47C96"/>
    <w:rsid w:val="00D50224"/>
    <w:rsid w:val="00D507F0"/>
    <w:rsid w:val="00D53AA8"/>
    <w:rsid w:val="00D53CCC"/>
    <w:rsid w:val="00D55DF0"/>
    <w:rsid w:val="00D57D2E"/>
    <w:rsid w:val="00D6207F"/>
    <w:rsid w:val="00D6349F"/>
    <w:rsid w:val="00D660F4"/>
    <w:rsid w:val="00D71DCA"/>
    <w:rsid w:val="00D75936"/>
    <w:rsid w:val="00D76FF9"/>
    <w:rsid w:val="00D803DA"/>
    <w:rsid w:val="00D8187F"/>
    <w:rsid w:val="00D83D75"/>
    <w:rsid w:val="00D84356"/>
    <w:rsid w:val="00D85276"/>
    <w:rsid w:val="00D86361"/>
    <w:rsid w:val="00D86378"/>
    <w:rsid w:val="00D906C7"/>
    <w:rsid w:val="00D93703"/>
    <w:rsid w:val="00D947E9"/>
    <w:rsid w:val="00D95C91"/>
    <w:rsid w:val="00D963AD"/>
    <w:rsid w:val="00D979AE"/>
    <w:rsid w:val="00DA3C73"/>
    <w:rsid w:val="00DA5DBB"/>
    <w:rsid w:val="00DA7C75"/>
    <w:rsid w:val="00DB1883"/>
    <w:rsid w:val="00DB22ED"/>
    <w:rsid w:val="00DB3F08"/>
    <w:rsid w:val="00DB58AE"/>
    <w:rsid w:val="00DB7016"/>
    <w:rsid w:val="00DC07F2"/>
    <w:rsid w:val="00DC3ED7"/>
    <w:rsid w:val="00DD0D47"/>
    <w:rsid w:val="00DD1EBA"/>
    <w:rsid w:val="00DD4712"/>
    <w:rsid w:val="00DD5839"/>
    <w:rsid w:val="00DD5F0D"/>
    <w:rsid w:val="00DE1939"/>
    <w:rsid w:val="00DE36F6"/>
    <w:rsid w:val="00DE6242"/>
    <w:rsid w:val="00E003F9"/>
    <w:rsid w:val="00E03B92"/>
    <w:rsid w:val="00E11DA1"/>
    <w:rsid w:val="00E134F1"/>
    <w:rsid w:val="00E13E9B"/>
    <w:rsid w:val="00E23CB4"/>
    <w:rsid w:val="00E31044"/>
    <w:rsid w:val="00E33A83"/>
    <w:rsid w:val="00E35129"/>
    <w:rsid w:val="00E37FDA"/>
    <w:rsid w:val="00E40103"/>
    <w:rsid w:val="00E44A13"/>
    <w:rsid w:val="00E45B78"/>
    <w:rsid w:val="00E46904"/>
    <w:rsid w:val="00E4697D"/>
    <w:rsid w:val="00E5420B"/>
    <w:rsid w:val="00E71E5D"/>
    <w:rsid w:val="00E74E12"/>
    <w:rsid w:val="00E8300C"/>
    <w:rsid w:val="00E8572F"/>
    <w:rsid w:val="00E902F1"/>
    <w:rsid w:val="00E92E23"/>
    <w:rsid w:val="00E95DAB"/>
    <w:rsid w:val="00EA0544"/>
    <w:rsid w:val="00EA7203"/>
    <w:rsid w:val="00EB47FD"/>
    <w:rsid w:val="00EC15BC"/>
    <w:rsid w:val="00EC1EC6"/>
    <w:rsid w:val="00EC5065"/>
    <w:rsid w:val="00EC600B"/>
    <w:rsid w:val="00ED04BA"/>
    <w:rsid w:val="00ED0BC1"/>
    <w:rsid w:val="00ED1A14"/>
    <w:rsid w:val="00ED35DD"/>
    <w:rsid w:val="00ED3F75"/>
    <w:rsid w:val="00ED5BD8"/>
    <w:rsid w:val="00EF390B"/>
    <w:rsid w:val="00EF57B0"/>
    <w:rsid w:val="00F00C40"/>
    <w:rsid w:val="00F01B0F"/>
    <w:rsid w:val="00F16ED4"/>
    <w:rsid w:val="00F24472"/>
    <w:rsid w:val="00F269A7"/>
    <w:rsid w:val="00F40456"/>
    <w:rsid w:val="00F45982"/>
    <w:rsid w:val="00F46A1C"/>
    <w:rsid w:val="00F51676"/>
    <w:rsid w:val="00F536A6"/>
    <w:rsid w:val="00F55C35"/>
    <w:rsid w:val="00F5656A"/>
    <w:rsid w:val="00F652AD"/>
    <w:rsid w:val="00F7277C"/>
    <w:rsid w:val="00F7643E"/>
    <w:rsid w:val="00F82883"/>
    <w:rsid w:val="00F840F2"/>
    <w:rsid w:val="00F8454E"/>
    <w:rsid w:val="00F922BF"/>
    <w:rsid w:val="00F92A26"/>
    <w:rsid w:val="00F95E6A"/>
    <w:rsid w:val="00FA0054"/>
    <w:rsid w:val="00FA5040"/>
    <w:rsid w:val="00FB2BD7"/>
    <w:rsid w:val="00FB4841"/>
    <w:rsid w:val="00FB70EB"/>
    <w:rsid w:val="00FB7426"/>
    <w:rsid w:val="00FC0CBA"/>
    <w:rsid w:val="00FD0BDA"/>
    <w:rsid w:val="00FD3EE6"/>
    <w:rsid w:val="00FD5347"/>
    <w:rsid w:val="00FD6C51"/>
    <w:rsid w:val="00FE0D32"/>
    <w:rsid w:val="00FE2FB0"/>
    <w:rsid w:val="00FF254B"/>
    <w:rsid w:val="00FF4FEC"/>
    <w:rsid w:val="00FF7A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5F"/>
    <w:rPr>
      <w:kern w:val="0"/>
      <w:sz w:val="24"/>
      <w:szCs w:val="24"/>
      <w:lang w:eastAsia="ja-JP"/>
    </w:rPr>
  </w:style>
  <w:style w:type="paragraph" w:styleId="Heading1">
    <w:name w:val="heading 1"/>
    <w:basedOn w:val="Normal"/>
    <w:next w:val="Normal"/>
    <w:link w:val="Heading1Char"/>
    <w:uiPriority w:val="99"/>
    <w:qFormat/>
    <w:rsid w:val="00337540"/>
    <w:pPr>
      <w:keepNext/>
      <w:keepLines/>
      <w:spacing w:before="480"/>
      <w:outlineLvl w:val="0"/>
    </w:pPr>
    <w:rPr>
      <w:rFonts w:ascii="Cambria" w:hAnsi="Cambria"/>
      <w:b/>
      <w:bCs/>
      <w:color w:val="365F91"/>
      <w:sz w:val="28"/>
      <w:szCs w:val="28"/>
    </w:rPr>
  </w:style>
  <w:style w:type="paragraph" w:styleId="Heading3">
    <w:name w:val="heading 3"/>
    <w:basedOn w:val="Normal"/>
    <w:link w:val="Heading3Char"/>
    <w:uiPriority w:val="99"/>
    <w:qFormat/>
    <w:rsid w:val="000B7586"/>
    <w:pPr>
      <w:spacing w:before="100" w:beforeAutospacing="1" w:after="100" w:afterAutospacing="1"/>
      <w:outlineLvl w:val="2"/>
    </w:pPr>
    <w:rPr>
      <w:rFonts w:ascii="Times New Roman" w:hAnsi="Times New Roman"/>
      <w:b/>
      <w:bCs/>
      <w:sz w:val="27"/>
      <w:szCs w:val="27"/>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540"/>
    <w:rPr>
      <w:rFonts w:ascii="Cambria" w:hAnsi="Cambria" w:cs="Times New Roman"/>
      <w:b/>
      <w:bCs/>
      <w:color w:val="365F91"/>
      <w:sz w:val="28"/>
      <w:szCs w:val="28"/>
      <w:lang w:eastAsia="ja-JP"/>
    </w:rPr>
  </w:style>
  <w:style w:type="character" w:customStyle="1" w:styleId="Heading3Char">
    <w:name w:val="Heading 3 Char"/>
    <w:basedOn w:val="DefaultParagraphFont"/>
    <w:link w:val="Heading3"/>
    <w:uiPriority w:val="99"/>
    <w:locked/>
    <w:rsid w:val="000B7586"/>
    <w:rPr>
      <w:rFonts w:ascii="Times New Roman" w:hAnsi="Times New Roman" w:cs="Times New Roman"/>
      <w:b/>
      <w:bCs/>
      <w:sz w:val="27"/>
      <w:szCs w:val="27"/>
    </w:rPr>
  </w:style>
  <w:style w:type="paragraph" w:styleId="NormalWeb">
    <w:name w:val="Normal (Web)"/>
    <w:basedOn w:val="Normal"/>
    <w:uiPriority w:val="99"/>
    <w:rsid w:val="0005315F"/>
    <w:pPr>
      <w:spacing w:after="180" w:line="319" w:lineRule="atLeast"/>
    </w:pPr>
    <w:rPr>
      <w:rFonts w:ascii="Times New Roman" w:eastAsia="MS Mincho" w:hAnsi="Times New Roman"/>
    </w:rPr>
  </w:style>
  <w:style w:type="paragraph" w:styleId="ListParagraph">
    <w:name w:val="List Paragraph"/>
    <w:basedOn w:val="Normal"/>
    <w:uiPriority w:val="99"/>
    <w:qFormat/>
    <w:rsid w:val="000B7586"/>
    <w:pPr>
      <w:spacing w:after="200" w:line="276" w:lineRule="auto"/>
      <w:ind w:left="720"/>
      <w:contextualSpacing/>
    </w:pPr>
    <w:rPr>
      <w:sz w:val="22"/>
      <w:szCs w:val="22"/>
      <w:lang w:eastAsia="en-US"/>
    </w:rPr>
  </w:style>
  <w:style w:type="character" w:customStyle="1" w:styleId="cit-auth">
    <w:name w:val="cit-auth"/>
    <w:basedOn w:val="DefaultParagraphFont"/>
    <w:uiPriority w:val="99"/>
    <w:rsid w:val="000B7586"/>
    <w:rPr>
      <w:rFonts w:cs="Times New Roman"/>
    </w:rPr>
  </w:style>
  <w:style w:type="character" w:customStyle="1" w:styleId="cit-name-surname">
    <w:name w:val="cit-name-surname"/>
    <w:basedOn w:val="DefaultParagraphFont"/>
    <w:uiPriority w:val="99"/>
    <w:rsid w:val="000B7586"/>
    <w:rPr>
      <w:rFonts w:cs="Times New Roman"/>
    </w:rPr>
  </w:style>
  <w:style w:type="character" w:customStyle="1" w:styleId="cit-name-given-names">
    <w:name w:val="cit-name-given-names"/>
    <w:basedOn w:val="DefaultParagraphFont"/>
    <w:uiPriority w:val="99"/>
    <w:rsid w:val="000B7586"/>
    <w:rPr>
      <w:rFonts w:cs="Times New Roman"/>
    </w:rPr>
  </w:style>
  <w:style w:type="character" w:customStyle="1" w:styleId="cit-etal">
    <w:name w:val="cit-etal"/>
    <w:basedOn w:val="DefaultParagraphFont"/>
    <w:uiPriority w:val="99"/>
    <w:rsid w:val="000B7586"/>
    <w:rPr>
      <w:rFonts w:cs="Times New Roman"/>
    </w:rPr>
  </w:style>
  <w:style w:type="character" w:styleId="HTMLCite">
    <w:name w:val="HTML Cite"/>
    <w:basedOn w:val="DefaultParagraphFont"/>
    <w:uiPriority w:val="99"/>
    <w:semiHidden/>
    <w:rsid w:val="000B7586"/>
    <w:rPr>
      <w:rFonts w:cs="Times New Roman"/>
      <w:i/>
      <w:iCs/>
    </w:rPr>
  </w:style>
  <w:style w:type="character" w:customStyle="1" w:styleId="cit-article-title">
    <w:name w:val="cit-article-title"/>
    <w:basedOn w:val="DefaultParagraphFont"/>
    <w:uiPriority w:val="99"/>
    <w:rsid w:val="000B7586"/>
    <w:rPr>
      <w:rFonts w:cs="Times New Roman"/>
    </w:rPr>
  </w:style>
  <w:style w:type="character" w:customStyle="1" w:styleId="cit-pub-date">
    <w:name w:val="cit-pub-date"/>
    <w:basedOn w:val="DefaultParagraphFont"/>
    <w:uiPriority w:val="99"/>
    <w:rsid w:val="000B7586"/>
    <w:rPr>
      <w:rFonts w:cs="Times New Roman"/>
    </w:rPr>
  </w:style>
  <w:style w:type="character" w:customStyle="1" w:styleId="cit-vol">
    <w:name w:val="cit-vol"/>
    <w:basedOn w:val="DefaultParagraphFont"/>
    <w:uiPriority w:val="99"/>
    <w:rsid w:val="000B7586"/>
    <w:rPr>
      <w:rFonts w:cs="Times New Roman"/>
    </w:rPr>
  </w:style>
  <w:style w:type="character" w:customStyle="1" w:styleId="cit-fpage">
    <w:name w:val="cit-fpage"/>
    <w:basedOn w:val="DefaultParagraphFont"/>
    <w:uiPriority w:val="99"/>
    <w:rsid w:val="000B7586"/>
    <w:rPr>
      <w:rFonts w:cs="Times New Roman"/>
    </w:rPr>
  </w:style>
  <w:style w:type="character" w:customStyle="1" w:styleId="cit-lpage">
    <w:name w:val="cit-lpage"/>
    <w:basedOn w:val="DefaultParagraphFont"/>
    <w:uiPriority w:val="99"/>
    <w:rsid w:val="000B7586"/>
    <w:rPr>
      <w:rFonts w:cs="Times New Roman"/>
    </w:rPr>
  </w:style>
  <w:style w:type="character" w:customStyle="1" w:styleId="highlight">
    <w:name w:val="highlight"/>
    <w:basedOn w:val="DefaultParagraphFont"/>
    <w:uiPriority w:val="99"/>
    <w:rsid w:val="000B7586"/>
    <w:rPr>
      <w:rFonts w:cs="Times New Roman"/>
    </w:rPr>
  </w:style>
  <w:style w:type="paragraph" w:styleId="BalloonText">
    <w:name w:val="Balloon Text"/>
    <w:basedOn w:val="Normal"/>
    <w:link w:val="BalloonTextChar"/>
    <w:uiPriority w:val="99"/>
    <w:semiHidden/>
    <w:rsid w:val="000B758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0B7586"/>
    <w:rPr>
      <w:rFonts w:ascii="Tahoma" w:hAnsi="Tahoma" w:cs="Tahoma"/>
      <w:sz w:val="16"/>
      <w:szCs w:val="16"/>
    </w:rPr>
  </w:style>
  <w:style w:type="character" w:styleId="CommentReference">
    <w:name w:val="annotation reference"/>
    <w:basedOn w:val="DefaultParagraphFont"/>
    <w:uiPriority w:val="99"/>
    <w:semiHidden/>
    <w:rsid w:val="000B7586"/>
    <w:rPr>
      <w:rFonts w:cs="Times New Roman"/>
      <w:sz w:val="16"/>
      <w:szCs w:val="16"/>
    </w:rPr>
  </w:style>
  <w:style w:type="paragraph" w:styleId="CommentText">
    <w:name w:val="annotation text"/>
    <w:basedOn w:val="Normal"/>
    <w:link w:val="CommentTextChar"/>
    <w:uiPriority w:val="99"/>
    <w:semiHidden/>
    <w:rsid w:val="000B7586"/>
    <w:pPr>
      <w:spacing w:after="200"/>
    </w:pPr>
    <w:rPr>
      <w:sz w:val="20"/>
      <w:szCs w:val="20"/>
      <w:lang w:eastAsia="en-US"/>
    </w:rPr>
  </w:style>
  <w:style w:type="character" w:customStyle="1" w:styleId="CommentTextChar">
    <w:name w:val="Comment Text Char"/>
    <w:basedOn w:val="DefaultParagraphFont"/>
    <w:link w:val="CommentText"/>
    <w:uiPriority w:val="99"/>
    <w:semiHidden/>
    <w:locked/>
    <w:rsid w:val="000B7586"/>
    <w:rPr>
      <w:rFonts w:cs="Times New Roman"/>
      <w:sz w:val="20"/>
      <w:szCs w:val="20"/>
    </w:rPr>
  </w:style>
  <w:style w:type="paragraph" w:styleId="CommentSubject">
    <w:name w:val="annotation subject"/>
    <w:basedOn w:val="CommentText"/>
    <w:next w:val="CommentText"/>
    <w:link w:val="CommentSubjectChar"/>
    <w:uiPriority w:val="99"/>
    <w:semiHidden/>
    <w:rsid w:val="000B7586"/>
    <w:rPr>
      <w:b/>
      <w:bCs/>
    </w:rPr>
  </w:style>
  <w:style w:type="character" w:customStyle="1" w:styleId="CommentSubjectChar">
    <w:name w:val="Comment Subject Char"/>
    <w:basedOn w:val="CommentTextChar"/>
    <w:link w:val="CommentSubject"/>
    <w:uiPriority w:val="99"/>
    <w:semiHidden/>
    <w:locked/>
    <w:rsid w:val="000B7586"/>
    <w:rPr>
      <w:b/>
      <w:bCs/>
    </w:rPr>
  </w:style>
  <w:style w:type="character" w:customStyle="1" w:styleId="regmark16">
    <w:name w:val="regmark16"/>
    <w:basedOn w:val="DefaultParagraphFont"/>
    <w:uiPriority w:val="99"/>
    <w:rsid w:val="000B7586"/>
    <w:rPr>
      <w:rFonts w:ascii="Arial" w:hAnsi="Arial" w:cs="Arial"/>
      <w:sz w:val="17"/>
      <w:szCs w:val="17"/>
      <w:vertAlign w:val="baseline"/>
    </w:rPr>
  </w:style>
  <w:style w:type="character" w:styleId="Strong">
    <w:name w:val="Strong"/>
    <w:basedOn w:val="DefaultParagraphFont"/>
    <w:uiPriority w:val="99"/>
    <w:qFormat/>
    <w:rsid w:val="000B7586"/>
    <w:rPr>
      <w:rFonts w:cs="Times New Roman"/>
      <w:b/>
      <w:bCs/>
    </w:rPr>
  </w:style>
  <w:style w:type="character" w:styleId="LineNumber">
    <w:name w:val="line number"/>
    <w:basedOn w:val="DefaultParagraphFont"/>
    <w:uiPriority w:val="99"/>
    <w:semiHidden/>
    <w:rsid w:val="000B7586"/>
    <w:rPr>
      <w:rFonts w:cs="Times New Roman"/>
    </w:rPr>
  </w:style>
  <w:style w:type="paragraph" w:styleId="Header">
    <w:name w:val="header"/>
    <w:basedOn w:val="Normal"/>
    <w:link w:val="HeaderChar"/>
    <w:uiPriority w:val="99"/>
    <w:semiHidden/>
    <w:rsid w:val="00BF6310"/>
    <w:pPr>
      <w:tabs>
        <w:tab w:val="center" w:pos="4680"/>
        <w:tab w:val="right" w:pos="9360"/>
      </w:tabs>
    </w:pPr>
  </w:style>
  <w:style w:type="character" w:customStyle="1" w:styleId="HeaderChar">
    <w:name w:val="Header Char"/>
    <w:basedOn w:val="DefaultParagraphFont"/>
    <w:link w:val="Header"/>
    <w:uiPriority w:val="99"/>
    <w:semiHidden/>
    <w:locked/>
    <w:rsid w:val="00BF6310"/>
    <w:rPr>
      <w:rFonts w:eastAsia="Times New Roman" w:cs="Times New Roman"/>
      <w:sz w:val="24"/>
      <w:szCs w:val="24"/>
      <w:lang w:eastAsia="ja-JP"/>
    </w:rPr>
  </w:style>
  <w:style w:type="paragraph" w:styleId="Footer">
    <w:name w:val="footer"/>
    <w:basedOn w:val="Normal"/>
    <w:link w:val="FooterChar"/>
    <w:uiPriority w:val="99"/>
    <w:rsid w:val="00BF6310"/>
    <w:pPr>
      <w:tabs>
        <w:tab w:val="center" w:pos="4680"/>
        <w:tab w:val="right" w:pos="9360"/>
      </w:tabs>
    </w:pPr>
  </w:style>
  <w:style w:type="character" w:customStyle="1" w:styleId="FooterChar">
    <w:name w:val="Footer Char"/>
    <w:basedOn w:val="DefaultParagraphFont"/>
    <w:link w:val="Footer"/>
    <w:uiPriority w:val="99"/>
    <w:locked/>
    <w:rsid w:val="00BF6310"/>
    <w:rPr>
      <w:rFonts w:eastAsia="Times New Roman" w:cs="Times New Roman"/>
      <w:sz w:val="24"/>
      <w:szCs w:val="24"/>
      <w:lang w:eastAsia="ja-JP"/>
    </w:rPr>
  </w:style>
  <w:style w:type="table" w:styleId="TableGrid">
    <w:name w:val="Table Grid"/>
    <w:basedOn w:val="TableNormal"/>
    <w:uiPriority w:val="99"/>
    <w:rsid w:val="00D13BD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F57B0"/>
    <w:rPr>
      <w:rFonts w:cs="Times New Roman"/>
      <w:color w:val="0000FF"/>
      <w:u w:val="single"/>
    </w:rPr>
  </w:style>
  <w:style w:type="character" w:customStyle="1" w:styleId="highlight2">
    <w:name w:val="highlight2"/>
    <w:basedOn w:val="DefaultParagraphFont"/>
    <w:uiPriority w:val="99"/>
    <w:rsid w:val="00C51AFE"/>
    <w:rPr>
      <w:rFonts w:cs="Times New Roman"/>
    </w:rPr>
  </w:style>
  <w:style w:type="character" w:customStyle="1" w:styleId="hui12181">
    <w:name w:val="hui12181"/>
    <w:basedOn w:val="DefaultParagraphFont"/>
    <w:uiPriority w:val="99"/>
    <w:rsid w:val="00437E01"/>
    <w:rPr>
      <w:rFonts w:ascii="Arial" w:hAnsi="Arial" w:cs="Arial"/>
      <w:color w:val="333333"/>
      <w:sz w:val="16"/>
      <w:szCs w:val="16"/>
      <w:u w:val="none"/>
      <w:effect w:val="none"/>
    </w:rPr>
  </w:style>
  <w:style w:type="character" w:customStyle="1" w:styleId="apple-converted-space">
    <w:name w:val="apple-converted-space"/>
    <w:basedOn w:val="DefaultParagraphFont"/>
    <w:uiPriority w:val="99"/>
    <w:rsid w:val="00985B96"/>
    <w:rPr>
      <w:rFonts w:cs="Times New Roman"/>
    </w:rPr>
  </w:style>
  <w:style w:type="character" w:customStyle="1" w:styleId="CharChar1">
    <w:name w:val="Char Char1"/>
    <w:uiPriority w:val="99"/>
    <w:semiHidden/>
    <w:rsid w:val="00985B96"/>
    <w:rPr>
      <w:rFonts w:ascii="Calibri" w:hAnsi="Calibri"/>
      <w:sz w:val="22"/>
      <w:lang w:val="en-US" w:eastAsia="ar-SA" w:bidi="ar-SA"/>
    </w:rPr>
  </w:style>
  <w:style w:type="paragraph" w:customStyle="1" w:styleId="CharChar2">
    <w:name w:val="Char Char2"/>
    <w:basedOn w:val="Normal"/>
    <w:autoRedefine/>
    <w:uiPriority w:val="99"/>
    <w:rsid w:val="00985B96"/>
    <w:pPr>
      <w:widowControl w:val="0"/>
      <w:tabs>
        <w:tab w:val="num" w:pos="360"/>
      </w:tabs>
      <w:ind w:left="360" w:hangingChars="200" w:hanging="360"/>
      <w:jc w:val="both"/>
    </w:pPr>
    <w:rPr>
      <w:rFonts w:ascii="Times New Roman" w:hAnsi="Times New Roman"/>
      <w:kern w:val="2"/>
      <w:lang w:eastAsia="zh-CN"/>
    </w:rPr>
  </w:style>
  <w:style w:type="character" w:customStyle="1" w:styleId="labellist">
    <w:name w:val="label_list"/>
    <w:basedOn w:val="DefaultParagraphFont"/>
    <w:uiPriority w:val="99"/>
    <w:rsid w:val="00C914EC"/>
    <w:rPr>
      <w:rFonts w:cs="Times New Roman"/>
    </w:rPr>
  </w:style>
  <w:style w:type="character" w:styleId="Emphasis">
    <w:name w:val="Emphasis"/>
    <w:basedOn w:val="DefaultParagraphFont"/>
    <w:uiPriority w:val="99"/>
    <w:qFormat/>
    <w:locked/>
    <w:rsid w:val="00D979AE"/>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2118285598">
      <w:marLeft w:val="0"/>
      <w:marRight w:val="0"/>
      <w:marTop w:val="0"/>
      <w:marBottom w:val="0"/>
      <w:divBdr>
        <w:top w:val="none" w:sz="0" w:space="0" w:color="auto"/>
        <w:left w:val="none" w:sz="0" w:space="0" w:color="auto"/>
        <w:bottom w:val="none" w:sz="0" w:space="0" w:color="auto"/>
        <w:right w:val="none" w:sz="0" w:space="0" w:color="auto"/>
      </w:divBdr>
      <w:divsChild>
        <w:div w:id="2118285851">
          <w:marLeft w:val="0"/>
          <w:marRight w:val="1"/>
          <w:marTop w:val="0"/>
          <w:marBottom w:val="0"/>
          <w:divBdr>
            <w:top w:val="none" w:sz="0" w:space="0" w:color="auto"/>
            <w:left w:val="none" w:sz="0" w:space="0" w:color="auto"/>
            <w:bottom w:val="none" w:sz="0" w:space="0" w:color="auto"/>
            <w:right w:val="none" w:sz="0" w:space="0" w:color="auto"/>
          </w:divBdr>
          <w:divsChild>
            <w:div w:id="2118285742">
              <w:marLeft w:val="0"/>
              <w:marRight w:val="0"/>
              <w:marTop w:val="0"/>
              <w:marBottom w:val="0"/>
              <w:divBdr>
                <w:top w:val="none" w:sz="0" w:space="0" w:color="auto"/>
                <w:left w:val="none" w:sz="0" w:space="0" w:color="auto"/>
                <w:bottom w:val="none" w:sz="0" w:space="0" w:color="auto"/>
                <w:right w:val="none" w:sz="0" w:space="0" w:color="auto"/>
              </w:divBdr>
              <w:divsChild>
                <w:div w:id="2118285880">
                  <w:marLeft w:val="0"/>
                  <w:marRight w:val="1"/>
                  <w:marTop w:val="0"/>
                  <w:marBottom w:val="0"/>
                  <w:divBdr>
                    <w:top w:val="none" w:sz="0" w:space="0" w:color="auto"/>
                    <w:left w:val="none" w:sz="0" w:space="0" w:color="auto"/>
                    <w:bottom w:val="none" w:sz="0" w:space="0" w:color="auto"/>
                    <w:right w:val="none" w:sz="0" w:space="0" w:color="auto"/>
                  </w:divBdr>
                  <w:divsChild>
                    <w:div w:id="2118285622">
                      <w:marLeft w:val="0"/>
                      <w:marRight w:val="0"/>
                      <w:marTop w:val="0"/>
                      <w:marBottom w:val="0"/>
                      <w:divBdr>
                        <w:top w:val="none" w:sz="0" w:space="0" w:color="auto"/>
                        <w:left w:val="none" w:sz="0" w:space="0" w:color="auto"/>
                        <w:bottom w:val="none" w:sz="0" w:space="0" w:color="auto"/>
                        <w:right w:val="none" w:sz="0" w:space="0" w:color="auto"/>
                      </w:divBdr>
                      <w:divsChild>
                        <w:div w:id="2118285803">
                          <w:marLeft w:val="0"/>
                          <w:marRight w:val="0"/>
                          <w:marTop w:val="0"/>
                          <w:marBottom w:val="0"/>
                          <w:divBdr>
                            <w:top w:val="none" w:sz="0" w:space="0" w:color="auto"/>
                            <w:left w:val="none" w:sz="0" w:space="0" w:color="auto"/>
                            <w:bottom w:val="none" w:sz="0" w:space="0" w:color="auto"/>
                            <w:right w:val="none" w:sz="0" w:space="0" w:color="auto"/>
                          </w:divBdr>
                          <w:divsChild>
                            <w:div w:id="2118285895">
                              <w:marLeft w:val="0"/>
                              <w:marRight w:val="0"/>
                              <w:marTop w:val="120"/>
                              <w:marBottom w:val="360"/>
                              <w:divBdr>
                                <w:top w:val="none" w:sz="0" w:space="0" w:color="auto"/>
                                <w:left w:val="none" w:sz="0" w:space="0" w:color="auto"/>
                                <w:bottom w:val="none" w:sz="0" w:space="0" w:color="auto"/>
                                <w:right w:val="none" w:sz="0" w:space="0" w:color="auto"/>
                              </w:divBdr>
                              <w:divsChild>
                                <w:div w:id="2118285707">
                                  <w:marLeft w:val="0"/>
                                  <w:marRight w:val="0"/>
                                  <w:marTop w:val="0"/>
                                  <w:marBottom w:val="0"/>
                                  <w:divBdr>
                                    <w:top w:val="none" w:sz="0" w:space="0" w:color="auto"/>
                                    <w:left w:val="none" w:sz="0" w:space="0" w:color="auto"/>
                                    <w:bottom w:val="none" w:sz="0" w:space="0" w:color="auto"/>
                                    <w:right w:val="none" w:sz="0" w:space="0" w:color="auto"/>
                                  </w:divBdr>
                                  <w:divsChild>
                                    <w:div w:id="2118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604">
      <w:marLeft w:val="0"/>
      <w:marRight w:val="0"/>
      <w:marTop w:val="0"/>
      <w:marBottom w:val="0"/>
      <w:divBdr>
        <w:top w:val="none" w:sz="0" w:space="0" w:color="auto"/>
        <w:left w:val="none" w:sz="0" w:space="0" w:color="auto"/>
        <w:bottom w:val="none" w:sz="0" w:space="0" w:color="auto"/>
        <w:right w:val="none" w:sz="0" w:space="0" w:color="auto"/>
      </w:divBdr>
      <w:divsChild>
        <w:div w:id="2118285862">
          <w:marLeft w:val="0"/>
          <w:marRight w:val="1"/>
          <w:marTop w:val="0"/>
          <w:marBottom w:val="0"/>
          <w:divBdr>
            <w:top w:val="none" w:sz="0" w:space="0" w:color="auto"/>
            <w:left w:val="none" w:sz="0" w:space="0" w:color="auto"/>
            <w:bottom w:val="none" w:sz="0" w:space="0" w:color="auto"/>
            <w:right w:val="none" w:sz="0" w:space="0" w:color="auto"/>
          </w:divBdr>
          <w:divsChild>
            <w:div w:id="2118285752">
              <w:marLeft w:val="0"/>
              <w:marRight w:val="0"/>
              <w:marTop w:val="0"/>
              <w:marBottom w:val="0"/>
              <w:divBdr>
                <w:top w:val="none" w:sz="0" w:space="0" w:color="auto"/>
                <w:left w:val="none" w:sz="0" w:space="0" w:color="auto"/>
                <w:bottom w:val="none" w:sz="0" w:space="0" w:color="auto"/>
                <w:right w:val="none" w:sz="0" w:space="0" w:color="auto"/>
              </w:divBdr>
              <w:divsChild>
                <w:div w:id="2118285867">
                  <w:marLeft w:val="0"/>
                  <w:marRight w:val="1"/>
                  <w:marTop w:val="0"/>
                  <w:marBottom w:val="0"/>
                  <w:divBdr>
                    <w:top w:val="none" w:sz="0" w:space="0" w:color="auto"/>
                    <w:left w:val="none" w:sz="0" w:space="0" w:color="auto"/>
                    <w:bottom w:val="none" w:sz="0" w:space="0" w:color="auto"/>
                    <w:right w:val="none" w:sz="0" w:space="0" w:color="auto"/>
                  </w:divBdr>
                  <w:divsChild>
                    <w:div w:id="2118285669">
                      <w:marLeft w:val="0"/>
                      <w:marRight w:val="0"/>
                      <w:marTop w:val="0"/>
                      <w:marBottom w:val="0"/>
                      <w:divBdr>
                        <w:top w:val="none" w:sz="0" w:space="0" w:color="auto"/>
                        <w:left w:val="none" w:sz="0" w:space="0" w:color="auto"/>
                        <w:bottom w:val="none" w:sz="0" w:space="0" w:color="auto"/>
                        <w:right w:val="none" w:sz="0" w:space="0" w:color="auto"/>
                      </w:divBdr>
                      <w:divsChild>
                        <w:div w:id="2118285700">
                          <w:marLeft w:val="0"/>
                          <w:marRight w:val="0"/>
                          <w:marTop w:val="0"/>
                          <w:marBottom w:val="0"/>
                          <w:divBdr>
                            <w:top w:val="none" w:sz="0" w:space="0" w:color="auto"/>
                            <w:left w:val="none" w:sz="0" w:space="0" w:color="auto"/>
                            <w:bottom w:val="none" w:sz="0" w:space="0" w:color="auto"/>
                            <w:right w:val="none" w:sz="0" w:space="0" w:color="auto"/>
                          </w:divBdr>
                          <w:divsChild>
                            <w:div w:id="2118285710">
                              <w:marLeft w:val="0"/>
                              <w:marRight w:val="0"/>
                              <w:marTop w:val="120"/>
                              <w:marBottom w:val="360"/>
                              <w:divBdr>
                                <w:top w:val="none" w:sz="0" w:space="0" w:color="auto"/>
                                <w:left w:val="none" w:sz="0" w:space="0" w:color="auto"/>
                                <w:bottom w:val="none" w:sz="0" w:space="0" w:color="auto"/>
                                <w:right w:val="none" w:sz="0" w:space="0" w:color="auto"/>
                              </w:divBdr>
                              <w:divsChild>
                                <w:div w:id="2118285718">
                                  <w:marLeft w:val="0"/>
                                  <w:marRight w:val="0"/>
                                  <w:marTop w:val="0"/>
                                  <w:marBottom w:val="0"/>
                                  <w:divBdr>
                                    <w:top w:val="none" w:sz="0" w:space="0" w:color="auto"/>
                                    <w:left w:val="none" w:sz="0" w:space="0" w:color="auto"/>
                                    <w:bottom w:val="none" w:sz="0" w:space="0" w:color="auto"/>
                                    <w:right w:val="none" w:sz="0" w:space="0" w:color="auto"/>
                                  </w:divBdr>
                                </w:div>
                                <w:div w:id="21182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605">
      <w:marLeft w:val="0"/>
      <w:marRight w:val="0"/>
      <w:marTop w:val="0"/>
      <w:marBottom w:val="0"/>
      <w:divBdr>
        <w:top w:val="none" w:sz="0" w:space="0" w:color="auto"/>
        <w:left w:val="none" w:sz="0" w:space="0" w:color="auto"/>
        <w:bottom w:val="none" w:sz="0" w:space="0" w:color="auto"/>
        <w:right w:val="none" w:sz="0" w:space="0" w:color="auto"/>
      </w:divBdr>
    </w:div>
    <w:div w:id="2118285611">
      <w:marLeft w:val="0"/>
      <w:marRight w:val="0"/>
      <w:marTop w:val="0"/>
      <w:marBottom w:val="0"/>
      <w:divBdr>
        <w:top w:val="none" w:sz="0" w:space="0" w:color="auto"/>
        <w:left w:val="none" w:sz="0" w:space="0" w:color="auto"/>
        <w:bottom w:val="none" w:sz="0" w:space="0" w:color="auto"/>
        <w:right w:val="none" w:sz="0" w:space="0" w:color="auto"/>
      </w:divBdr>
      <w:divsChild>
        <w:div w:id="2118285786">
          <w:marLeft w:val="0"/>
          <w:marRight w:val="1"/>
          <w:marTop w:val="0"/>
          <w:marBottom w:val="0"/>
          <w:divBdr>
            <w:top w:val="none" w:sz="0" w:space="0" w:color="auto"/>
            <w:left w:val="none" w:sz="0" w:space="0" w:color="auto"/>
            <w:bottom w:val="none" w:sz="0" w:space="0" w:color="auto"/>
            <w:right w:val="none" w:sz="0" w:space="0" w:color="auto"/>
          </w:divBdr>
          <w:divsChild>
            <w:div w:id="2118285702">
              <w:marLeft w:val="0"/>
              <w:marRight w:val="0"/>
              <w:marTop w:val="0"/>
              <w:marBottom w:val="0"/>
              <w:divBdr>
                <w:top w:val="none" w:sz="0" w:space="0" w:color="auto"/>
                <w:left w:val="none" w:sz="0" w:space="0" w:color="auto"/>
                <w:bottom w:val="none" w:sz="0" w:space="0" w:color="auto"/>
                <w:right w:val="none" w:sz="0" w:space="0" w:color="auto"/>
              </w:divBdr>
              <w:divsChild>
                <w:div w:id="2118285855">
                  <w:marLeft w:val="0"/>
                  <w:marRight w:val="1"/>
                  <w:marTop w:val="0"/>
                  <w:marBottom w:val="0"/>
                  <w:divBdr>
                    <w:top w:val="none" w:sz="0" w:space="0" w:color="auto"/>
                    <w:left w:val="none" w:sz="0" w:space="0" w:color="auto"/>
                    <w:bottom w:val="none" w:sz="0" w:space="0" w:color="auto"/>
                    <w:right w:val="none" w:sz="0" w:space="0" w:color="auto"/>
                  </w:divBdr>
                  <w:divsChild>
                    <w:div w:id="2118285941">
                      <w:marLeft w:val="0"/>
                      <w:marRight w:val="0"/>
                      <w:marTop w:val="0"/>
                      <w:marBottom w:val="0"/>
                      <w:divBdr>
                        <w:top w:val="none" w:sz="0" w:space="0" w:color="auto"/>
                        <w:left w:val="none" w:sz="0" w:space="0" w:color="auto"/>
                        <w:bottom w:val="none" w:sz="0" w:space="0" w:color="auto"/>
                        <w:right w:val="none" w:sz="0" w:space="0" w:color="auto"/>
                      </w:divBdr>
                      <w:divsChild>
                        <w:div w:id="2118285653">
                          <w:marLeft w:val="0"/>
                          <w:marRight w:val="0"/>
                          <w:marTop w:val="0"/>
                          <w:marBottom w:val="0"/>
                          <w:divBdr>
                            <w:top w:val="none" w:sz="0" w:space="0" w:color="auto"/>
                            <w:left w:val="none" w:sz="0" w:space="0" w:color="auto"/>
                            <w:bottom w:val="none" w:sz="0" w:space="0" w:color="auto"/>
                            <w:right w:val="none" w:sz="0" w:space="0" w:color="auto"/>
                          </w:divBdr>
                          <w:divsChild>
                            <w:div w:id="2118285602">
                              <w:marLeft w:val="0"/>
                              <w:marRight w:val="0"/>
                              <w:marTop w:val="120"/>
                              <w:marBottom w:val="360"/>
                              <w:divBdr>
                                <w:top w:val="none" w:sz="0" w:space="0" w:color="auto"/>
                                <w:left w:val="none" w:sz="0" w:space="0" w:color="auto"/>
                                <w:bottom w:val="none" w:sz="0" w:space="0" w:color="auto"/>
                                <w:right w:val="none" w:sz="0" w:space="0" w:color="auto"/>
                              </w:divBdr>
                              <w:divsChild>
                                <w:div w:id="2118285818">
                                  <w:marLeft w:val="367"/>
                                  <w:marRight w:val="0"/>
                                  <w:marTop w:val="0"/>
                                  <w:marBottom w:val="0"/>
                                  <w:divBdr>
                                    <w:top w:val="none" w:sz="0" w:space="0" w:color="auto"/>
                                    <w:left w:val="none" w:sz="0" w:space="0" w:color="auto"/>
                                    <w:bottom w:val="none" w:sz="0" w:space="0" w:color="auto"/>
                                    <w:right w:val="none" w:sz="0" w:space="0" w:color="auto"/>
                                  </w:divBdr>
                                  <w:divsChild>
                                    <w:div w:id="2118285686">
                                      <w:marLeft w:val="0"/>
                                      <w:marRight w:val="0"/>
                                      <w:marTop w:val="0"/>
                                      <w:marBottom w:val="0"/>
                                      <w:divBdr>
                                        <w:top w:val="none" w:sz="0" w:space="0" w:color="auto"/>
                                        <w:left w:val="none" w:sz="0" w:space="0" w:color="auto"/>
                                        <w:bottom w:val="none" w:sz="0" w:space="0" w:color="auto"/>
                                        <w:right w:val="none" w:sz="0" w:space="0" w:color="auto"/>
                                      </w:divBdr>
                                      <w:divsChild>
                                        <w:div w:id="2118285911">
                                          <w:marLeft w:val="0"/>
                                          <w:marRight w:val="0"/>
                                          <w:marTop w:val="0"/>
                                          <w:marBottom w:val="0"/>
                                          <w:divBdr>
                                            <w:top w:val="none" w:sz="0" w:space="0" w:color="auto"/>
                                            <w:left w:val="none" w:sz="0" w:space="0" w:color="auto"/>
                                            <w:bottom w:val="none" w:sz="0" w:space="0" w:color="auto"/>
                                            <w:right w:val="none" w:sz="0" w:space="0" w:color="auto"/>
                                          </w:divBdr>
                                        </w:div>
                                      </w:divsChild>
                                    </w:div>
                                    <w:div w:id="21182857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617">
      <w:marLeft w:val="0"/>
      <w:marRight w:val="0"/>
      <w:marTop w:val="0"/>
      <w:marBottom w:val="0"/>
      <w:divBdr>
        <w:top w:val="none" w:sz="0" w:space="0" w:color="auto"/>
        <w:left w:val="none" w:sz="0" w:space="0" w:color="auto"/>
        <w:bottom w:val="none" w:sz="0" w:space="0" w:color="auto"/>
        <w:right w:val="none" w:sz="0" w:space="0" w:color="auto"/>
      </w:divBdr>
      <w:divsChild>
        <w:div w:id="2118285871">
          <w:marLeft w:val="0"/>
          <w:marRight w:val="1"/>
          <w:marTop w:val="0"/>
          <w:marBottom w:val="0"/>
          <w:divBdr>
            <w:top w:val="none" w:sz="0" w:space="0" w:color="auto"/>
            <w:left w:val="none" w:sz="0" w:space="0" w:color="auto"/>
            <w:bottom w:val="none" w:sz="0" w:space="0" w:color="auto"/>
            <w:right w:val="none" w:sz="0" w:space="0" w:color="auto"/>
          </w:divBdr>
          <w:divsChild>
            <w:div w:id="2118285915">
              <w:marLeft w:val="0"/>
              <w:marRight w:val="0"/>
              <w:marTop w:val="0"/>
              <w:marBottom w:val="0"/>
              <w:divBdr>
                <w:top w:val="none" w:sz="0" w:space="0" w:color="auto"/>
                <w:left w:val="none" w:sz="0" w:space="0" w:color="auto"/>
                <w:bottom w:val="none" w:sz="0" w:space="0" w:color="auto"/>
                <w:right w:val="none" w:sz="0" w:space="0" w:color="auto"/>
              </w:divBdr>
              <w:divsChild>
                <w:div w:id="2118285884">
                  <w:marLeft w:val="0"/>
                  <w:marRight w:val="1"/>
                  <w:marTop w:val="0"/>
                  <w:marBottom w:val="0"/>
                  <w:divBdr>
                    <w:top w:val="none" w:sz="0" w:space="0" w:color="auto"/>
                    <w:left w:val="none" w:sz="0" w:space="0" w:color="auto"/>
                    <w:bottom w:val="none" w:sz="0" w:space="0" w:color="auto"/>
                    <w:right w:val="none" w:sz="0" w:space="0" w:color="auto"/>
                  </w:divBdr>
                  <w:divsChild>
                    <w:div w:id="2118285644">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sChild>
                            <w:div w:id="2118285709">
                              <w:marLeft w:val="0"/>
                              <w:marRight w:val="0"/>
                              <w:marTop w:val="120"/>
                              <w:marBottom w:val="360"/>
                              <w:divBdr>
                                <w:top w:val="none" w:sz="0" w:space="0" w:color="auto"/>
                                <w:left w:val="none" w:sz="0" w:space="0" w:color="auto"/>
                                <w:bottom w:val="none" w:sz="0" w:space="0" w:color="auto"/>
                                <w:right w:val="none" w:sz="0" w:space="0" w:color="auto"/>
                              </w:divBdr>
                              <w:divsChild>
                                <w:div w:id="2118285874">
                                  <w:marLeft w:val="367"/>
                                  <w:marRight w:val="0"/>
                                  <w:marTop w:val="0"/>
                                  <w:marBottom w:val="0"/>
                                  <w:divBdr>
                                    <w:top w:val="none" w:sz="0" w:space="0" w:color="auto"/>
                                    <w:left w:val="none" w:sz="0" w:space="0" w:color="auto"/>
                                    <w:bottom w:val="none" w:sz="0" w:space="0" w:color="auto"/>
                                    <w:right w:val="none" w:sz="0" w:space="0" w:color="auto"/>
                                  </w:divBdr>
                                  <w:divsChild>
                                    <w:div w:id="2118285586">
                                      <w:marLeft w:val="0"/>
                                      <w:marRight w:val="0"/>
                                      <w:marTop w:val="0"/>
                                      <w:marBottom w:val="0"/>
                                      <w:divBdr>
                                        <w:top w:val="none" w:sz="0" w:space="0" w:color="auto"/>
                                        <w:left w:val="none" w:sz="0" w:space="0" w:color="auto"/>
                                        <w:bottom w:val="none" w:sz="0" w:space="0" w:color="auto"/>
                                        <w:right w:val="none" w:sz="0" w:space="0" w:color="auto"/>
                                      </w:divBdr>
                                      <w:divsChild>
                                        <w:div w:id="2118285743">
                                          <w:marLeft w:val="0"/>
                                          <w:marRight w:val="0"/>
                                          <w:marTop w:val="0"/>
                                          <w:marBottom w:val="0"/>
                                          <w:divBdr>
                                            <w:top w:val="none" w:sz="0" w:space="0" w:color="auto"/>
                                            <w:left w:val="none" w:sz="0" w:space="0" w:color="auto"/>
                                            <w:bottom w:val="none" w:sz="0" w:space="0" w:color="auto"/>
                                            <w:right w:val="none" w:sz="0" w:space="0" w:color="auto"/>
                                          </w:divBdr>
                                        </w:div>
                                      </w:divsChild>
                                    </w:div>
                                    <w:div w:id="211828558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624">
      <w:marLeft w:val="0"/>
      <w:marRight w:val="0"/>
      <w:marTop w:val="0"/>
      <w:marBottom w:val="0"/>
      <w:divBdr>
        <w:top w:val="none" w:sz="0" w:space="0" w:color="auto"/>
        <w:left w:val="none" w:sz="0" w:space="0" w:color="auto"/>
        <w:bottom w:val="none" w:sz="0" w:space="0" w:color="auto"/>
        <w:right w:val="none" w:sz="0" w:space="0" w:color="auto"/>
      </w:divBdr>
      <w:divsChild>
        <w:div w:id="2118285677">
          <w:marLeft w:val="0"/>
          <w:marRight w:val="1"/>
          <w:marTop w:val="0"/>
          <w:marBottom w:val="0"/>
          <w:divBdr>
            <w:top w:val="none" w:sz="0" w:space="0" w:color="auto"/>
            <w:left w:val="none" w:sz="0" w:space="0" w:color="auto"/>
            <w:bottom w:val="none" w:sz="0" w:space="0" w:color="auto"/>
            <w:right w:val="none" w:sz="0" w:space="0" w:color="auto"/>
          </w:divBdr>
          <w:divsChild>
            <w:div w:id="2118285910">
              <w:marLeft w:val="0"/>
              <w:marRight w:val="0"/>
              <w:marTop w:val="0"/>
              <w:marBottom w:val="0"/>
              <w:divBdr>
                <w:top w:val="none" w:sz="0" w:space="0" w:color="auto"/>
                <w:left w:val="none" w:sz="0" w:space="0" w:color="auto"/>
                <w:bottom w:val="none" w:sz="0" w:space="0" w:color="auto"/>
                <w:right w:val="none" w:sz="0" w:space="0" w:color="auto"/>
              </w:divBdr>
              <w:divsChild>
                <w:div w:id="2118285697">
                  <w:marLeft w:val="0"/>
                  <w:marRight w:val="1"/>
                  <w:marTop w:val="0"/>
                  <w:marBottom w:val="0"/>
                  <w:divBdr>
                    <w:top w:val="none" w:sz="0" w:space="0" w:color="auto"/>
                    <w:left w:val="none" w:sz="0" w:space="0" w:color="auto"/>
                    <w:bottom w:val="none" w:sz="0" w:space="0" w:color="auto"/>
                    <w:right w:val="none" w:sz="0" w:space="0" w:color="auto"/>
                  </w:divBdr>
                  <w:divsChild>
                    <w:div w:id="2118285796">
                      <w:marLeft w:val="0"/>
                      <w:marRight w:val="0"/>
                      <w:marTop w:val="0"/>
                      <w:marBottom w:val="0"/>
                      <w:divBdr>
                        <w:top w:val="none" w:sz="0" w:space="0" w:color="auto"/>
                        <w:left w:val="none" w:sz="0" w:space="0" w:color="auto"/>
                        <w:bottom w:val="none" w:sz="0" w:space="0" w:color="auto"/>
                        <w:right w:val="none" w:sz="0" w:space="0" w:color="auto"/>
                      </w:divBdr>
                      <w:divsChild>
                        <w:div w:id="2118285931">
                          <w:marLeft w:val="0"/>
                          <w:marRight w:val="0"/>
                          <w:marTop w:val="0"/>
                          <w:marBottom w:val="0"/>
                          <w:divBdr>
                            <w:top w:val="none" w:sz="0" w:space="0" w:color="auto"/>
                            <w:left w:val="none" w:sz="0" w:space="0" w:color="auto"/>
                            <w:bottom w:val="none" w:sz="0" w:space="0" w:color="auto"/>
                            <w:right w:val="none" w:sz="0" w:space="0" w:color="auto"/>
                          </w:divBdr>
                          <w:divsChild>
                            <w:div w:id="2118285945">
                              <w:marLeft w:val="0"/>
                              <w:marRight w:val="0"/>
                              <w:marTop w:val="120"/>
                              <w:marBottom w:val="360"/>
                              <w:divBdr>
                                <w:top w:val="none" w:sz="0" w:space="0" w:color="auto"/>
                                <w:left w:val="none" w:sz="0" w:space="0" w:color="auto"/>
                                <w:bottom w:val="none" w:sz="0" w:space="0" w:color="auto"/>
                                <w:right w:val="none" w:sz="0" w:space="0" w:color="auto"/>
                              </w:divBdr>
                              <w:divsChild>
                                <w:div w:id="2118285814">
                                  <w:marLeft w:val="0"/>
                                  <w:marRight w:val="0"/>
                                  <w:marTop w:val="0"/>
                                  <w:marBottom w:val="0"/>
                                  <w:divBdr>
                                    <w:top w:val="none" w:sz="0" w:space="0" w:color="auto"/>
                                    <w:left w:val="none" w:sz="0" w:space="0" w:color="auto"/>
                                    <w:bottom w:val="none" w:sz="0" w:space="0" w:color="auto"/>
                                    <w:right w:val="none" w:sz="0" w:space="0" w:color="auto"/>
                                  </w:divBdr>
                                </w:div>
                                <w:div w:id="21182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633">
      <w:marLeft w:val="0"/>
      <w:marRight w:val="0"/>
      <w:marTop w:val="0"/>
      <w:marBottom w:val="0"/>
      <w:divBdr>
        <w:top w:val="none" w:sz="0" w:space="0" w:color="auto"/>
        <w:left w:val="none" w:sz="0" w:space="0" w:color="auto"/>
        <w:bottom w:val="none" w:sz="0" w:space="0" w:color="auto"/>
        <w:right w:val="none" w:sz="0" w:space="0" w:color="auto"/>
      </w:divBdr>
      <w:divsChild>
        <w:div w:id="2118285843">
          <w:marLeft w:val="0"/>
          <w:marRight w:val="1"/>
          <w:marTop w:val="0"/>
          <w:marBottom w:val="0"/>
          <w:divBdr>
            <w:top w:val="none" w:sz="0" w:space="0" w:color="auto"/>
            <w:left w:val="none" w:sz="0" w:space="0" w:color="auto"/>
            <w:bottom w:val="none" w:sz="0" w:space="0" w:color="auto"/>
            <w:right w:val="none" w:sz="0" w:space="0" w:color="auto"/>
          </w:divBdr>
          <w:divsChild>
            <w:div w:id="2118285725">
              <w:marLeft w:val="0"/>
              <w:marRight w:val="0"/>
              <w:marTop w:val="0"/>
              <w:marBottom w:val="0"/>
              <w:divBdr>
                <w:top w:val="none" w:sz="0" w:space="0" w:color="auto"/>
                <w:left w:val="none" w:sz="0" w:space="0" w:color="auto"/>
                <w:bottom w:val="none" w:sz="0" w:space="0" w:color="auto"/>
                <w:right w:val="none" w:sz="0" w:space="0" w:color="auto"/>
              </w:divBdr>
              <w:divsChild>
                <w:div w:id="2118285944">
                  <w:marLeft w:val="0"/>
                  <w:marRight w:val="1"/>
                  <w:marTop w:val="0"/>
                  <w:marBottom w:val="0"/>
                  <w:divBdr>
                    <w:top w:val="none" w:sz="0" w:space="0" w:color="auto"/>
                    <w:left w:val="none" w:sz="0" w:space="0" w:color="auto"/>
                    <w:bottom w:val="none" w:sz="0" w:space="0" w:color="auto"/>
                    <w:right w:val="none" w:sz="0" w:space="0" w:color="auto"/>
                  </w:divBdr>
                  <w:divsChild>
                    <w:div w:id="2118285594">
                      <w:marLeft w:val="0"/>
                      <w:marRight w:val="0"/>
                      <w:marTop w:val="0"/>
                      <w:marBottom w:val="0"/>
                      <w:divBdr>
                        <w:top w:val="none" w:sz="0" w:space="0" w:color="auto"/>
                        <w:left w:val="none" w:sz="0" w:space="0" w:color="auto"/>
                        <w:bottom w:val="none" w:sz="0" w:space="0" w:color="auto"/>
                        <w:right w:val="none" w:sz="0" w:space="0" w:color="auto"/>
                      </w:divBdr>
                      <w:divsChild>
                        <w:div w:id="2118285745">
                          <w:marLeft w:val="0"/>
                          <w:marRight w:val="0"/>
                          <w:marTop w:val="0"/>
                          <w:marBottom w:val="0"/>
                          <w:divBdr>
                            <w:top w:val="none" w:sz="0" w:space="0" w:color="auto"/>
                            <w:left w:val="none" w:sz="0" w:space="0" w:color="auto"/>
                            <w:bottom w:val="none" w:sz="0" w:space="0" w:color="auto"/>
                            <w:right w:val="none" w:sz="0" w:space="0" w:color="auto"/>
                          </w:divBdr>
                          <w:divsChild>
                            <w:div w:id="2118285770">
                              <w:marLeft w:val="0"/>
                              <w:marRight w:val="0"/>
                              <w:marTop w:val="120"/>
                              <w:marBottom w:val="360"/>
                              <w:divBdr>
                                <w:top w:val="none" w:sz="0" w:space="0" w:color="auto"/>
                                <w:left w:val="none" w:sz="0" w:space="0" w:color="auto"/>
                                <w:bottom w:val="none" w:sz="0" w:space="0" w:color="auto"/>
                                <w:right w:val="none" w:sz="0" w:space="0" w:color="auto"/>
                              </w:divBdr>
                              <w:divsChild>
                                <w:div w:id="2118285703">
                                  <w:marLeft w:val="0"/>
                                  <w:marRight w:val="0"/>
                                  <w:marTop w:val="0"/>
                                  <w:marBottom w:val="0"/>
                                  <w:divBdr>
                                    <w:top w:val="none" w:sz="0" w:space="0" w:color="auto"/>
                                    <w:left w:val="none" w:sz="0" w:space="0" w:color="auto"/>
                                    <w:bottom w:val="none" w:sz="0" w:space="0" w:color="auto"/>
                                    <w:right w:val="none" w:sz="0" w:space="0" w:color="auto"/>
                                  </w:divBdr>
                                </w:div>
                                <w:div w:id="21182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635">
      <w:marLeft w:val="0"/>
      <w:marRight w:val="0"/>
      <w:marTop w:val="0"/>
      <w:marBottom w:val="0"/>
      <w:divBdr>
        <w:top w:val="none" w:sz="0" w:space="0" w:color="auto"/>
        <w:left w:val="none" w:sz="0" w:space="0" w:color="auto"/>
        <w:bottom w:val="none" w:sz="0" w:space="0" w:color="auto"/>
        <w:right w:val="none" w:sz="0" w:space="0" w:color="auto"/>
      </w:divBdr>
      <w:divsChild>
        <w:div w:id="2118285774">
          <w:marLeft w:val="0"/>
          <w:marRight w:val="1"/>
          <w:marTop w:val="0"/>
          <w:marBottom w:val="0"/>
          <w:divBdr>
            <w:top w:val="none" w:sz="0" w:space="0" w:color="auto"/>
            <w:left w:val="none" w:sz="0" w:space="0" w:color="auto"/>
            <w:bottom w:val="none" w:sz="0" w:space="0" w:color="auto"/>
            <w:right w:val="none" w:sz="0" w:space="0" w:color="auto"/>
          </w:divBdr>
          <w:divsChild>
            <w:div w:id="2118285662">
              <w:marLeft w:val="0"/>
              <w:marRight w:val="0"/>
              <w:marTop w:val="0"/>
              <w:marBottom w:val="0"/>
              <w:divBdr>
                <w:top w:val="none" w:sz="0" w:space="0" w:color="auto"/>
                <w:left w:val="none" w:sz="0" w:space="0" w:color="auto"/>
                <w:bottom w:val="none" w:sz="0" w:space="0" w:color="auto"/>
                <w:right w:val="none" w:sz="0" w:space="0" w:color="auto"/>
              </w:divBdr>
              <w:divsChild>
                <w:div w:id="2118285753">
                  <w:marLeft w:val="0"/>
                  <w:marRight w:val="1"/>
                  <w:marTop w:val="0"/>
                  <w:marBottom w:val="0"/>
                  <w:divBdr>
                    <w:top w:val="none" w:sz="0" w:space="0" w:color="auto"/>
                    <w:left w:val="none" w:sz="0" w:space="0" w:color="auto"/>
                    <w:bottom w:val="none" w:sz="0" w:space="0" w:color="auto"/>
                    <w:right w:val="none" w:sz="0" w:space="0" w:color="auto"/>
                  </w:divBdr>
                  <w:divsChild>
                    <w:div w:id="2118285833">
                      <w:marLeft w:val="0"/>
                      <w:marRight w:val="0"/>
                      <w:marTop w:val="0"/>
                      <w:marBottom w:val="0"/>
                      <w:divBdr>
                        <w:top w:val="none" w:sz="0" w:space="0" w:color="auto"/>
                        <w:left w:val="none" w:sz="0" w:space="0" w:color="auto"/>
                        <w:bottom w:val="none" w:sz="0" w:space="0" w:color="auto"/>
                        <w:right w:val="none" w:sz="0" w:space="0" w:color="auto"/>
                      </w:divBdr>
                      <w:divsChild>
                        <w:div w:id="2118285712">
                          <w:marLeft w:val="0"/>
                          <w:marRight w:val="0"/>
                          <w:marTop w:val="0"/>
                          <w:marBottom w:val="0"/>
                          <w:divBdr>
                            <w:top w:val="none" w:sz="0" w:space="0" w:color="auto"/>
                            <w:left w:val="none" w:sz="0" w:space="0" w:color="auto"/>
                            <w:bottom w:val="none" w:sz="0" w:space="0" w:color="auto"/>
                            <w:right w:val="none" w:sz="0" w:space="0" w:color="auto"/>
                          </w:divBdr>
                          <w:divsChild>
                            <w:div w:id="2118285678">
                              <w:marLeft w:val="0"/>
                              <w:marRight w:val="0"/>
                              <w:marTop w:val="120"/>
                              <w:marBottom w:val="360"/>
                              <w:divBdr>
                                <w:top w:val="none" w:sz="0" w:space="0" w:color="auto"/>
                                <w:left w:val="none" w:sz="0" w:space="0" w:color="auto"/>
                                <w:bottom w:val="none" w:sz="0" w:space="0" w:color="auto"/>
                                <w:right w:val="none" w:sz="0" w:space="0" w:color="auto"/>
                              </w:divBdr>
                              <w:divsChild>
                                <w:div w:id="2118285939">
                                  <w:marLeft w:val="0"/>
                                  <w:marRight w:val="0"/>
                                  <w:marTop w:val="0"/>
                                  <w:marBottom w:val="0"/>
                                  <w:divBdr>
                                    <w:top w:val="none" w:sz="0" w:space="0" w:color="auto"/>
                                    <w:left w:val="none" w:sz="0" w:space="0" w:color="auto"/>
                                    <w:bottom w:val="none" w:sz="0" w:space="0" w:color="auto"/>
                                    <w:right w:val="none" w:sz="0" w:space="0" w:color="auto"/>
                                  </w:divBdr>
                                  <w:divsChild>
                                    <w:div w:id="21182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639">
      <w:marLeft w:val="0"/>
      <w:marRight w:val="0"/>
      <w:marTop w:val="0"/>
      <w:marBottom w:val="0"/>
      <w:divBdr>
        <w:top w:val="none" w:sz="0" w:space="0" w:color="auto"/>
        <w:left w:val="none" w:sz="0" w:space="0" w:color="auto"/>
        <w:bottom w:val="none" w:sz="0" w:space="0" w:color="auto"/>
        <w:right w:val="none" w:sz="0" w:space="0" w:color="auto"/>
      </w:divBdr>
      <w:divsChild>
        <w:div w:id="2118285733">
          <w:marLeft w:val="0"/>
          <w:marRight w:val="1"/>
          <w:marTop w:val="0"/>
          <w:marBottom w:val="0"/>
          <w:divBdr>
            <w:top w:val="none" w:sz="0" w:space="0" w:color="auto"/>
            <w:left w:val="none" w:sz="0" w:space="0" w:color="auto"/>
            <w:bottom w:val="none" w:sz="0" w:space="0" w:color="auto"/>
            <w:right w:val="none" w:sz="0" w:space="0" w:color="auto"/>
          </w:divBdr>
          <w:divsChild>
            <w:div w:id="2118285614">
              <w:marLeft w:val="0"/>
              <w:marRight w:val="0"/>
              <w:marTop w:val="0"/>
              <w:marBottom w:val="0"/>
              <w:divBdr>
                <w:top w:val="none" w:sz="0" w:space="0" w:color="auto"/>
                <w:left w:val="none" w:sz="0" w:space="0" w:color="auto"/>
                <w:bottom w:val="none" w:sz="0" w:space="0" w:color="auto"/>
                <w:right w:val="none" w:sz="0" w:space="0" w:color="auto"/>
              </w:divBdr>
              <w:divsChild>
                <w:div w:id="2118285790">
                  <w:marLeft w:val="0"/>
                  <w:marRight w:val="1"/>
                  <w:marTop w:val="0"/>
                  <w:marBottom w:val="0"/>
                  <w:divBdr>
                    <w:top w:val="none" w:sz="0" w:space="0" w:color="auto"/>
                    <w:left w:val="none" w:sz="0" w:space="0" w:color="auto"/>
                    <w:bottom w:val="none" w:sz="0" w:space="0" w:color="auto"/>
                    <w:right w:val="none" w:sz="0" w:space="0" w:color="auto"/>
                  </w:divBdr>
                  <w:divsChild>
                    <w:div w:id="2118285629">
                      <w:marLeft w:val="0"/>
                      <w:marRight w:val="0"/>
                      <w:marTop w:val="0"/>
                      <w:marBottom w:val="0"/>
                      <w:divBdr>
                        <w:top w:val="none" w:sz="0" w:space="0" w:color="auto"/>
                        <w:left w:val="none" w:sz="0" w:space="0" w:color="auto"/>
                        <w:bottom w:val="none" w:sz="0" w:space="0" w:color="auto"/>
                        <w:right w:val="none" w:sz="0" w:space="0" w:color="auto"/>
                      </w:divBdr>
                      <w:divsChild>
                        <w:div w:id="2118285600">
                          <w:marLeft w:val="0"/>
                          <w:marRight w:val="0"/>
                          <w:marTop w:val="0"/>
                          <w:marBottom w:val="0"/>
                          <w:divBdr>
                            <w:top w:val="none" w:sz="0" w:space="0" w:color="auto"/>
                            <w:left w:val="none" w:sz="0" w:space="0" w:color="auto"/>
                            <w:bottom w:val="none" w:sz="0" w:space="0" w:color="auto"/>
                            <w:right w:val="none" w:sz="0" w:space="0" w:color="auto"/>
                          </w:divBdr>
                          <w:divsChild>
                            <w:div w:id="2118285737">
                              <w:marLeft w:val="0"/>
                              <w:marRight w:val="0"/>
                              <w:marTop w:val="120"/>
                              <w:marBottom w:val="360"/>
                              <w:divBdr>
                                <w:top w:val="none" w:sz="0" w:space="0" w:color="auto"/>
                                <w:left w:val="none" w:sz="0" w:space="0" w:color="auto"/>
                                <w:bottom w:val="none" w:sz="0" w:space="0" w:color="auto"/>
                                <w:right w:val="none" w:sz="0" w:space="0" w:color="auto"/>
                              </w:divBdr>
                              <w:divsChild>
                                <w:div w:id="2118285838">
                                  <w:marLeft w:val="0"/>
                                  <w:marRight w:val="0"/>
                                  <w:marTop w:val="0"/>
                                  <w:marBottom w:val="0"/>
                                  <w:divBdr>
                                    <w:top w:val="none" w:sz="0" w:space="0" w:color="auto"/>
                                    <w:left w:val="none" w:sz="0" w:space="0" w:color="auto"/>
                                    <w:bottom w:val="none" w:sz="0" w:space="0" w:color="auto"/>
                                    <w:right w:val="none" w:sz="0" w:space="0" w:color="auto"/>
                                  </w:divBdr>
                                </w:div>
                                <w:div w:id="21182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646">
      <w:marLeft w:val="0"/>
      <w:marRight w:val="0"/>
      <w:marTop w:val="0"/>
      <w:marBottom w:val="0"/>
      <w:divBdr>
        <w:top w:val="none" w:sz="0" w:space="0" w:color="auto"/>
        <w:left w:val="none" w:sz="0" w:space="0" w:color="auto"/>
        <w:bottom w:val="none" w:sz="0" w:space="0" w:color="auto"/>
        <w:right w:val="none" w:sz="0" w:space="0" w:color="auto"/>
      </w:divBdr>
      <w:divsChild>
        <w:div w:id="2118285730">
          <w:marLeft w:val="0"/>
          <w:marRight w:val="1"/>
          <w:marTop w:val="0"/>
          <w:marBottom w:val="0"/>
          <w:divBdr>
            <w:top w:val="none" w:sz="0" w:space="0" w:color="auto"/>
            <w:left w:val="none" w:sz="0" w:space="0" w:color="auto"/>
            <w:bottom w:val="none" w:sz="0" w:space="0" w:color="auto"/>
            <w:right w:val="none" w:sz="0" w:space="0" w:color="auto"/>
          </w:divBdr>
          <w:divsChild>
            <w:div w:id="2118285857">
              <w:marLeft w:val="0"/>
              <w:marRight w:val="0"/>
              <w:marTop w:val="0"/>
              <w:marBottom w:val="0"/>
              <w:divBdr>
                <w:top w:val="none" w:sz="0" w:space="0" w:color="auto"/>
                <w:left w:val="none" w:sz="0" w:space="0" w:color="auto"/>
                <w:bottom w:val="none" w:sz="0" w:space="0" w:color="auto"/>
                <w:right w:val="none" w:sz="0" w:space="0" w:color="auto"/>
              </w:divBdr>
              <w:divsChild>
                <w:div w:id="2118285928">
                  <w:marLeft w:val="0"/>
                  <w:marRight w:val="1"/>
                  <w:marTop w:val="0"/>
                  <w:marBottom w:val="0"/>
                  <w:divBdr>
                    <w:top w:val="none" w:sz="0" w:space="0" w:color="auto"/>
                    <w:left w:val="none" w:sz="0" w:space="0" w:color="auto"/>
                    <w:bottom w:val="none" w:sz="0" w:space="0" w:color="auto"/>
                    <w:right w:val="none" w:sz="0" w:space="0" w:color="auto"/>
                  </w:divBdr>
                  <w:divsChild>
                    <w:div w:id="2118285595">
                      <w:marLeft w:val="0"/>
                      <w:marRight w:val="0"/>
                      <w:marTop w:val="0"/>
                      <w:marBottom w:val="0"/>
                      <w:divBdr>
                        <w:top w:val="none" w:sz="0" w:space="0" w:color="auto"/>
                        <w:left w:val="none" w:sz="0" w:space="0" w:color="auto"/>
                        <w:bottom w:val="none" w:sz="0" w:space="0" w:color="auto"/>
                        <w:right w:val="none" w:sz="0" w:space="0" w:color="auto"/>
                      </w:divBdr>
                      <w:divsChild>
                        <w:div w:id="2118285732">
                          <w:marLeft w:val="0"/>
                          <w:marRight w:val="0"/>
                          <w:marTop w:val="0"/>
                          <w:marBottom w:val="0"/>
                          <w:divBdr>
                            <w:top w:val="none" w:sz="0" w:space="0" w:color="auto"/>
                            <w:left w:val="none" w:sz="0" w:space="0" w:color="auto"/>
                            <w:bottom w:val="none" w:sz="0" w:space="0" w:color="auto"/>
                            <w:right w:val="none" w:sz="0" w:space="0" w:color="auto"/>
                          </w:divBdr>
                          <w:divsChild>
                            <w:div w:id="2118285645">
                              <w:marLeft w:val="0"/>
                              <w:marRight w:val="0"/>
                              <w:marTop w:val="120"/>
                              <w:marBottom w:val="360"/>
                              <w:divBdr>
                                <w:top w:val="none" w:sz="0" w:space="0" w:color="auto"/>
                                <w:left w:val="none" w:sz="0" w:space="0" w:color="auto"/>
                                <w:bottom w:val="none" w:sz="0" w:space="0" w:color="auto"/>
                                <w:right w:val="none" w:sz="0" w:space="0" w:color="auto"/>
                              </w:divBdr>
                              <w:divsChild>
                                <w:div w:id="2118285671">
                                  <w:marLeft w:val="367"/>
                                  <w:marRight w:val="0"/>
                                  <w:marTop w:val="0"/>
                                  <w:marBottom w:val="0"/>
                                  <w:divBdr>
                                    <w:top w:val="none" w:sz="0" w:space="0" w:color="auto"/>
                                    <w:left w:val="none" w:sz="0" w:space="0" w:color="auto"/>
                                    <w:bottom w:val="none" w:sz="0" w:space="0" w:color="auto"/>
                                    <w:right w:val="none" w:sz="0" w:space="0" w:color="auto"/>
                                  </w:divBdr>
                                  <w:divsChild>
                                    <w:div w:id="2118285776">
                                      <w:marLeft w:val="0"/>
                                      <w:marRight w:val="0"/>
                                      <w:marTop w:val="0"/>
                                      <w:marBottom w:val="0"/>
                                      <w:divBdr>
                                        <w:top w:val="none" w:sz="0" w:space="0" w:color="auto"/>
                                        <w:left w:val="none" w:sz="0" w:space="0" w:color="auto"/>
                                        <w:bottom w:val="none" w:sz="0" w:space="0" w:color="auto"/>
                                        <w:right w:val="none" w:sz="0" w:space="0" w:color="auto"/>
                                      </w:divBdr>
                                      <w:divsChild>
                                        <w:div w:id="2118285705">
                                          <w:marLeft w:val="0"/>
                                          <w:marRight w:val="0"/>
                                          <w:marTop w:val="0"/>
                                          <w:marBottom w:val="0"/>
                                          <w:divBdr>
                                            <w:top w:val="none" w:sz="0" w:space="0" w:color="auto"/>
                                            <w:left w:val="none" w:sz="0" w:space="0" w:color="auto"/>
                                            <w:bottom w:val="none" w:sz="0" w:space="0" w:color="auto"/>
                                            <w:right w:val="none" w:sz="0" w:space="0" w:color="auto"/>
                                          </w:divBdr>
                                        </w:div>
                                      </w:divsChild>
                                    </w:div>
                                    <w:div w:id="21182859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655">
      <w:marLeft w:val="0"/>
      <w:marRight w:val="0"/>
      <w:marTop w:val="0"/>
      <w:marBottom w:val="0"/>
      <w:divBdr>
        <w:top w:val="none" w:sz="0" w:space="0" w:color="auto"/>
        <w:left w:val="none" w:sz="0" w:space="0" w:color="auto"/>
        <w:bottom w:val="none" w:sz="0" w:space="0" w:color="auto"/>
        <w:right w:val="none" w:sz="0" w:space="0" w:color="auto"/>
      </w:divBdr>
      <w:divsChild>
        <w:div w:id="2118285852">
          <w:marLeft w:val="0"/>
          <w:marRight w:val="1"/>
          <w:marTop w:val="0"/>
          <w:marBottom w:val="0"/>
          <w:divBdr>
            <w:top w:val="none" w:sz="0" w:space="0" w:color="auto"/>
            <w:left w:val="none" w:sz="0" w:space="0" w:color="auto"/>
            <w:bottom w:val="none" w:sz="0" w:space="0" w:color="auto"/>
            <w:right w:val="none" w:sz="0" w:space="0" w:color="auto"/>
          </w:divBdr>
          <w:divsChild>
            <w:div w:id="2118285666">
              <w:marLeft w:val="0"/>
              <w:marRight w:val="0"/>
              <w:marTop w:val="0"/>
              <w:marBottom w:val="0"/>
              <w:divBdr>
                <w:top w:val="none" w:sz="0" w:space="0" w:color="auto"/>
                <w:left w:val="none" w:sz="0" w:space="0" w:color="auto"/>
                <w:bottom w:val="none" w:sz="0" w:space="0" w:color="auto"/>
                <w:right w:val="none" w:sz="0" w:space="0" w:color="auto"/>
              </w:divBdr>
              <w:divsChild>
                <w:div w:id="2118285766">
                  <w:marLeft w:val="0"/>
                  <w:marRight w:val="1"/>
                  <w:marTop w:val="0"/>
                  <w:marBottom w:val="0"/>
                  <w:divBdr>
                    <w:top w:val="none" w:sz="0" w:space="0" w:color="auto"/>
                    <w:left w:val="none" w:sz="0" w:space="0" w:color="auto"/>
                    <w:bottom w:val="none" w:sz="0" w:space="0" w:color="auto"/>
                    <w:right w:val="none" w:sz="0" w:space="0" w:color="auto"/>
                  </w:divBdr>
                  <w:divsChild>
                    <w:div w:id="2118285751">
                      <w:marLeft w:val="0"/>
                      <w:marRight w:val="0"/>
                      <w:marTop w:val="0"/>
                      <w:marBottom w:val="0"/>
                      <w:divBdr>
                        <w:top w:val="none" w:sz="0" w:space="0" w:color="auto"/>
                        <w:left w:val="none" w:sz="0" w:space="0" w:color="auto"/>
                        <w:bottom w:val="none" w:sz="0" w:space="0" w:color="auto"/>
                        <w:right w:val="none" w:sz="0" w:space="0" w:color="auto"/>
                      </w:divBdr>
                      <w:divsChild>
                        <w:div w:id="2118285902">
                          <w:marLeft w:val="0"/>
                          <w:marRight w:val="0"/>
                          <w:marTop w:val="0"/>
                          <w:marBottom w:val="0"/>
                          <w:divBdr>
                            <w:top w:val="none" w:sz="0" w:space="0" w:color="auto"/>
                            <w:left w:val="none" w:sz="0" w:space="0" w:color="auto"/>
                            <w:bottom w:val="none" w:sz="0" w:space="0" w:color="auto"/>
                            <w:right w:val="none" w:sz="0" w:space="0" w:color="auto"/>
                          </w:divBdr>
                          <w:divsChild>
                            <w:div w:id="2118285698">
                              <w:marLeft w:val="0"/>
                              <w:marRight w:val="0"/>
                              <w:marTop w:val="120"/>
                              <w:marBottom w:val="360"/>
                              <w:divBdr>
                                <w:top w:val="none" w:sz="0" w:space="0" w:color="auto"/>
                                <w:left w:val="none" w:sz="0" w:space="0" w:color="auto"/>
                                <w:bottom w:val="none" w:sz="0" w:space="0" w:color="auto"/>
                                <w:right w:val="none" w:sz="0" w:space="0" w:color="auto"/>
                              </w:divBdr>
                              <w:divsChild>
                                <w:div w:id="2118285650">
                                  <w:marLeft w:val="0"/>
                                  <w:marRight w:val="0"/>
                                  <w:marTop w:val="0"/>
                                  <w:marBottom w:val="0"/>
                                  <w:divBdr>
                                    <w:top w:val="none" w:sz="0" w:space="0" w:color="auto"/>
                                    <w:left w:val="none" w:sz="0" w:space="0" w:color="auto"/>
                                    <w:bottom w:val="none" w:sz="0" w:space="0" w:color="auto"/>
                                    <w:right w:val="none" w:sz="0" w:space="0" w:color="auto"/>
                                  </w:divBdr>
                                </w:div>
                                <w:div w:id="21182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679">
      <w:marLeft w:val="0"/>
      <w:marRight w:val="0"/>
      <w:marTop w:val="0"/>
      <w:marBottom w:val="0"/>
      <w:divBdr>
        <w:top w:val="none" w:sz="0" w:space="0" w:color="auto"/>
        <w:left w:val="none" w:sz="0" w:space="0" w:color="auto"/>
        <w:bottom w:val="none" w:sz="0" w:space="0" w:color="auto"/>
        <w:right w:val="none" w:sz="0" w:space="0" w:color="auto"/>
      </w:divBdr>
      <w:divsChild>
        <w:div w:id="2118285758">
          <w:marLeft w:val="0"/>
          <w:marRight w:val="1"/>
          <w:marTop w:val="0"/>
          <w:marBottom w:val="0"/>
          <w:divBdr>
            <w:top w:val="none" w:sz="0" w:space="0" w:color="auto"/>
            <w:left w:val="none" w:sz="0" w:space="0" w:color="auto"/>
            <w:bottom w:val="none" w:sz="0" w:space="0" w:color="auto"/>
            <w:right w:val="none" w:sz="0" w:space="0" w:color="auto"/>
          </w:divBdr>
          <w:divsChild>
            <w:div w:id="2118285647">
              <w:marLeft w:val="0"/>
              <w:marRight w:val="0"/>
              <w:marTop w:val="0"/>
              <w:marBottom w:val="0"/>
              <w:divBdr>
                <w:top w:val="none" w:sz="0" w:space="0" w:color="auto"/>
                <w:left w:val="none" w:sz="0" w:space="0" w:color="auto"/>
                <w:bottom w:val="none" w:sz="0" w:space="0" w:color="auto"/>
                <w:right w:val="none" w:sz="0" w:space="0" w:color="auto"/>
              </w:divBdr>
              <w:divsChild>
                <w:div w:id="2118285627">
                  <w:marLeft w:val="0"/>
                  <w:marRight w:val="1"/>
                  <w:marTop w:val="0"/>
                  <w:marBottom w:val="0"/>
                  <w:divBdr>
                    <w:top w:val="none" w:sz="0" w:space="0" w:color="auto"/>
                    <w:left w:val="none" w:sz="0" w:space="0" w:color="auto"/>
                    <w:bottom w:val="none" w:sz="0" w:space="0" w:color="auto"/>
                    <w:right w:val="none" w:sz="0" w:space="0" w:color="auto"/>
                  </w:divBdr>
                  <w:divsChild>
                    <w:div w:id="2118285785">
                      <w:marLeft w:val="0"/>
                      <w:marRight w:val="0"/>
                      <w:marTop w:val="0"/>
                      <w:marBottom w:val="0"/>
                      <w:divBdr>
                        <w:top w:val="none" w:sz="0" w:space="0" w:color="auto"/>
                        <w:left w:val="none" w:sz="0" w:space="0" w:color="auto"/>
                        <w:bottom w:val="none" w:sz="0" w:space="0" w:color="auto"/>
                        <w:right w:val="none" w:sz="0" w:space="0" w:color="auto"/>
                      </w:divBdr>
                      <w:divsChild>
                        <w:div w:id="2118285680">
                          <w:marLeft w:val="0"/>
                          <w:marRight w:val="0"/>
                          <w:marTop w:val="0"/>
                          <w:marBottom w:val="0"/>
                          <w:divBdr>
                            <w:top w:val="none" w:sz="0" w:space="0" w:color="auto"/>
                            <w:left w:val="none" w:sz="0" w:space="0" w:color="auto"/>
                            <w:bottom w:val="none" w:sz="0" w:space="0" w:color="auto"/>
                            <w:right w:val="none" w:sz="0" w:space="0" w:color="auto"/>
                          </w:divBdr>
                          <w:divsChild>
                            <w:div w:id="2118285906">
                              <w:marLeft w:val="0"/>
                              <w:marRight w:val="0"/>
                              <w:marTop w:val="120"/>
                              <w:marBottom w:val="360"/>
                              <w:divBdr>
                                <w:top w:val="none" w:sz="0" w:space="0" w:color="auto"/>
                                <w:left w:val="none" w:sz="0" w:space="0" w:color="auto"/>
                                <w:bottom w:val="none" w:sz="0" w:space="0" w:color="auto"/>
                                <w:right w:val="none" w:sz="0" w:space="0" w:color="auto"/>
                              </w:divBdr>
                              <w:divsChild>
                                <w:div w:id="2118285689">
                                  <w:marLeft w:val="0"/>
                                  <w:marRight w:val="0"/>
                                  <w:marTop w:val="0"/>
                                  <w:marBottom w:val="0"/>
                                  <w:divBdr>
                                    <w:top w:val="none" w:sz="0" w:space="0" w:color="auto"/>
                                    <w:left w:val="none" w:sz="0" w:space="0" w:color="auto"/>
                                    <w:bottom w:val="none" w:sz="0" w:space="0" w:color="auto"/>
                                    <w:right w:val="none" w:sz="0" w:space="0" w:color="auto"/>
                                  </w:divBdr>
                                </w:div>
                                <w:div w:id="21182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681">
      <w:marLeft w:val="0"/>
      <w:marRight w:val="0"/>
      <w:marTop w:val="0"/>
      <w:marBottom w:val="0"/>
      <w:divBdr>
        <w:top w:val="none" w:sz="0" w:space="0" w:color="auto"/>
        <w:left w:val="none" w:sz="0" w:space="0" w:color="auto"/>
        <w:bottom w:val="none" w:sz="0" w:space="0" w:color="auto"/>
        <w:right w:val="none" w:sz="0" w:space="0" w:color="auto"/>
      </w:divBdr>
      <w:divsChild>
        <w:div w:id="2118285927">
          <w:marLeft w:val="0"/>
          <w:marRight w:val="1"/>
          <w:marTop w:val="0"/>
          <w:marBottom w:val="0"/>
          <w:divBdr>
            <w:top w:val="none" w:sz="0" w:space="0" w:color="auto"/>
            <w:left w:val="none" w:sz="0" w:space="0" w:color="auto"/>
            <w:bottom w:val="none" w:sz="0" w:space="0" w:color="auto"/>
            <w:right w:val="none" w:sz="0" w:space="0" w:color="auto"/>
          </w:divBdr>
          <w:divsChild>
            <w:div w:id="2118285623">
              <w:marLeft w:val="0"/>
              <w:marRight w:val="0"/>
              <w:marTop w:val="0"/>
              <w:marBottom w:val="0"/>
              <w:divBdr>
                <w:top w:val="none" w:sz="0" w:space="0" w:color="auto"/>
                <w:left w:val="none" w:sz="0" w:space="0" w:color="auto"/>
                <w:bottom w:val="none" w:sz="0" w:space="0" w:color="auto"/>
                <w:right w:val="none" w:sz="0" w:space="0" w:color="auto"/>
              </w:divBdr>
              <w:divsChild>
                <w:div w:id="2118285756">
                  <w:marLeft w:val="0"/>
                  <w:marRight w:val="1"/>
                  <w:marTop w:val="0"/>
                  <w:marBottom w:val="0"/>
                  <w:divBdr>
                    <w:top w:val="none" w:sz="0" w:space="0" w:color="auto"/>
                    <w:left w:val="none" w:sz="0" w:space="0" w:color="auto"/>
                    <w:bottom w:val="none" w:sz="0" w:space="0" w:color="auto"/>
                    <w:right w:val="none" w:sz="0" w:space="0" w:color="auto"/>
                  </w:divBdr>
                  <w:divsChild>
                    <w:div w:id="2118285664">
                      <w:marLeft w:val="0"/>
                      <w:marRight w:val="0"/>
                      <w:marTop w:val="0"/>
                      <w:marBottom w:val="0"/>
                      <w:divBdr>
                        <w:top w:val="none" w:sz="0" w:space="0" w:color="auto"/>
                        <w:left w:val="none" w:sz="0" w:space="0" w:color="auto"/>
                        <w:bottom w:val="none" w:sz="0" w:space="0" w:color="auto"/>
                        <w:right w:val="none" w:sz="0" w:space="0" w:color="auto"/>
                      </w:divBdr>
                      <w:divsChild>
                        <w:div w:id="2118285779">
                          <w:marLeft w:val="0"/>
                          <w:marRight w:val="0"/>
                          <w:marTop w:val="0"/>
                          <w:marBottom w:val="0"/>
                          <w:divBdr>
                            <w:top w:val="none" w:sz="0" w:space="0" w:color="auto"/>
                            <w:left w:val="none" w:sz="0" w:space="0" w:color="auto"/>
                            <w:bottom w:val="none" w:sz="0" w:space="0" w:color="auto"/>
                            <w:right w:val="none" w:sz="0" w:space="0" w:color="auto"/>
                          </w:divBdr>
                          <w:divsChild>
                            <w:div w:id="2118285695">
                              <w:marLeft w:val="0"/>
                              <w:marRight w:val="0"/>
                              <w:marTop w:val="120"/>
                              <w:marBottom w:val="360"/>
                              <w:divBdr>
                                <w:top w:val="none" w:sz="0" w:space="0" w:color="auto"/>
                                <w:left w:val="none" w:sz="0" w:space="0" w:color="auto"/>
                                <w:bottom w:val="none" w:sz="0" w:space="0" w:color="auto"/>
                                <w:right w:val="none" w:sz="0" w:space="0" w:color="auto"/>
                              </w:divBdr>
                              <w:divsChild>
                                <w:div w:id="2118285909">
                                  <w:marLeft w:val="0"/>
                                  <w:marRight w:val="0"/>
                                  <w:marTop w:val="0"/>
                                  <w:marBottom w:val="0"/>
                                  <w:divBdr>
                                    <w:top w:val="none" w:sz="0" w:space="0" w:color="auto"/>
                                    <w:left w:val="none" w:sz="0" w:space="0" w:color="auto"/>
                                    <w:bottom w:val="none" w:sz="0" w:space="0" w:color="auto"/>
                                    <w:right w:val="none" w:sz="0" w:space="0" w:color="auto"/>
                                  </w:divBdr>
                                  <w:divsChild>
                                    <w:div w:id="21182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682">
      <w:marLeft w:val="0"/>
      <w:marRight w:val="0"/>
      <w:marTop w:val="0"/>
      <w:marBottom w:val="0"/>
      <w:divBdr>
        <w:top w:val="none" w:sz="0" w:space="0" w:color="auto"/>
        <w:left w:val="none" w:sz="0" w:space="0" w:color="auto"/>
        <w:bottom w:val="none" w:sz="0" w:space="0" w:color="auto"/>
        <w:right w:val="none" w:sz="0" w:space="0" w:color="auto"/>
      </w:divBdr>
      <w:divsChild>
        <w:div w:id="2118285739">
          <w:marLeft w:val="0"/>
          <w:marRight w:val="1"/>
          <w:marTop w:val="0"/>
          <w:marBottom w:val="0"/>
          <w:divBdr>
            <w:top w:val="none" w:sz="0" w:space="0" w:color="auto"/>
            <w:left w:val="none" w:sz="0" w:space="0" w:color="auto"/>
            <w:bottom w:val="none" w:sz="0" w:space="0" w:color="auto"/>
            <w:right w:val="none" w:sz="0" w:space="0" w:color="auto"/>
          </w:divBdr>
          <w:divsChild>
            <w:div w:id="2118285691">
              <w:marLeft w:val="0"/>
              <w:marRight w:val="0"/>
              <w:marTop w:val="0"/>
              <w:marBottom w:val="0"/>
              <w:divBdr>
                <w:top w:val="none" w:sz="0" w:space="0" w:color="auto"/>
                <w:left w:val="none" w:sz="0" w:space="0" w:color="auto"/>
                <w:bottom w:val="none" w:sz="0" w:space="0" w:color="auto"/>
                <w:right w:val="none" w:sz="0" w:space="0" w:color="auto"/>
              </w:divBdr>
              <w:divsChild>
                <w:div w:id="2118285877">
                  <w:marLeft w:val="0"/>
                  <w:marRight w:val="1"/>
                  <w:marTop w:val="0"/>
                  <w:marBottom w:val="0"/>
                  <w:divBdr>
                    <w:top w:val="none" w:sz="0" w:space="0" w:color="auto"/>
                    <w:left w:val="none" w:sz="0" w:space="0" w:color="auto"/>
                    <w:bottom w:val="none" w:sz="0" w:space="0" w:color="auto"/>
                    <w:right w:val="none" w:sz="0" w:space="0" w:color="auto"/>
                  </w:divBdr>
                  <w:divsChild>
                    <w:div w:id="2118285593">
                      <w:marLeft w:val="0"/>
                      <w:marRight w:val="0"/>
                      <w:marTop w:val="0"/>
                      <w:marBottom w:val="0"/>
                      <w:divBdr>
                        <w:top w:val="none" w:sz="0" w:space="0" w:color="auto"/>
                        <w:left w:val="none" w:sz="0" w:space="0" w:color="auto"/>
                        <w:bottom w:val="none" w:sz="0" w:space="0" w:color="auto"/>
                        <w:right w:val="none" w:sz="0" w:space="0" w:color="auto"/>
                      </w:divBdr>
                      <w:divsChild>
                        <w:div w:id="2118285668">
                          <w:marLeft w:val="0"/>
                          <w:marRight w:val="0"/>
                          <w:marTop w:val="0"/>
                          <w:marBottom w:val="0"/>
                          <w:divBdr>
                            <w:top w:val="none" w:sz="0" w:space="0" w:color="auto"/>
                            <w:left w:val="none" w:sz="0" w:space="0" w:color="auto"/>
                            <w:bottom w:val="none" w:sz="0" w:space="0" w:color="auto"/>
                            <w:right w:val="none" w:sz="0" w:space="0" w:color="auto"/>
                          </w:divBdr>
                          <w:divsChild>
                            <w:div w:id="2118285658">
                              <w:marLeft w:val="0"/>
                              <w:marRight w:val="0"/>
                              <w:marTop w:val="120"/>
                              <w:marBottom w:val="360"/>
                              <w:divBdr>
                                <w:top w:val="none" w:sz="0" w:space="0" w:color="auto"/>
                                <w:left w:val="none" w:sz="0" w:space="0" w:color="auto"/>
                                <w:bottom w:val="none" w:sz="0" w:space="0" w:color="auto"/>
                                <w:right w:val="none" w:sz="0" w:space="0" w:color="auto"/>
                              </w:divBdr>
                              <w:divsChild>
                                <w:div w:id="2118285672">
                                  <w:marLeft w:val="0"/>
                                  <w:marRight w:val="0"/>
                                  <w:marTop w:val="0"/>
                                  <w:marBottom w:val="0"/>
                                  <w:divBdr>
                                    <w:top w:val="none" w:sz="0" w:space="0" w:color="auto"/>
                                    <w:left w:val="none" w:sz="0" w:space="0" w:color="auto"/>
                                    <w:bottom w:val="none" w:sz="0" w:space="0" w:color="auto"/>
                                    <w:right w:val="none" w:sz="0" w:space="0" w:color="auto"/>
                                  </w:divBdr>
                                </w:div>
                                <w:div w:id="21182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683">
      <w:marLeft w:val="0"/>
      <w:marRight w:val="0"/>
      <w:marTop w:val="0"/>
      <w:marBottom w:val="0"/>
      <w:divBdr>
        <w:top w:val="none" w:sz="0" w:space="0" w:color="auto"/>
        <w:left w:val="none" w:sz="0" w:space="0" w:color="auto"/>
        <w:bottom w:val="none" w:sz="0" w:space="0" w:color="auto"/>
        <w:right w:val="none" w:sz="0" w:space="0" w:color="auto"/>
      </w:divBdr>
      <w:divsChild>
        <w:div w:id="2118285805">
          <w:marLeft w:val="0"/>
          <w:marRight w:val="1"/>
          <w:marTop w:val="0"/>
          <w:marBottom w:val="0"/>
          <w:divBdr>
            <w:top w:val="none" w:sz="0" w:space="0" w:color="auto"/>
            <w:left w:val="none" w:sz="0" w:space="0" w:color="auto"/>
            <w:bottom w:val="none" w:sz="0" w:space="0" w:color="auto"/>
            <w:right w:val="none" w:sz="0" w:space="0" w:color="auto"/>
          </w:divBdr>
          <w:divsChild>
            <w:div w:id="2118285868">
              <w:marLeft w:val="0"/>
              <w:marRight w:val="0"/>
              <w:marTop w:val="0"/>
              <w:marBottom w:val="0"/>
              <w:divBdr>
                <w:top w:val="none" w:sz="0" w:space="0" w:color="auto"/>
                <w:left w:val="none" w:sz="0" w:space="0" w:color="auto"/>
                <w:bottom w:val="none" w:sz="0" w:space="0" w:color="auto"/>
                <w:right w:val="none" w:sz="0" w:space="0" w:color="auto"/>
              </w:divBdr>
              <w:divsChild>
                <w:div w:id="2118285735">
                  <w:marLeft w:val="0"/>
                  <w:marRight w:val="1"/>
                  <w:marTop w:val="0"/>
                  <w:marBottom w:val="0"/>
                  <w:divBdr>
                    <w:top w:val="none" w:sz="0" w:space="0" w:color="auto"/>
                    <w:left w:val="none" w:sz="0" w:space="0" w:color="auto"/>
                    <w:bottom w:val="none" w:sz="0" w:space="0" w:color="auto"/>
                    <w:right w:val="none" w:sz="0" w:space="0" w:color="auto"/>
                  </w:divBdr>
                  <w:divsChild>
                    <w:div w:id="2118285953">
                      <w:marLeft w:val="0"/>
                      <w:marRight w:val="0"/>
                      <w:marTop w:val="0"/>
                      <w:marBottom w:val="0"/>
                      <w:divBdr>
                        <w:top w:val="none" w:sz="0" w:space="0" w:color="auto"/>
                        <w:left w:val="none" w:sz="0" w:space="0" w:color="auto"/>
                        <w:bottom w:val="none" w:sz="0" w:space="0" w:color="auto"/>
                        <w:right w:val="none" w:sz="0" w:space="0" w:color="auto"/>
                      </w:divBdr>
                      <w:divsChild>
                        <w:div w:id="2118285918">
                          <w:marLeft w:val="0"/>
                          <w:marRight w:val="0"/>
                          <w:marTop w:val="0"/>
                          <w:marBottom w:val="0"/>
                          <w:divBdr>
                            <w:top w:val="none" w:sz="0" w:space="0" w:color="auto"/>
                            <w:left w:val="none" w:sz="0" w:space="0" w:color="auto"/>
                            <w:bottom w:val="none" w:sz="0" w:space="0" w:color="auto"/>
                            <w:right w:val="none" w:sz="0" w:space="0" w:color="auto"/>
                          </w:divBdr>
                          <w:divsChild>
                            <w:div w:id="2118285864">
                              <w:marLeft w:val="0"/>
                              <w:marRight w:val="0"/>
                              <w:marTop w:val="120"/>
                              <w:marBottom w:val="360"/>
                              <w:divBdr>
                                <w:top w:val="none" w:sz="0" w:space="0" w:color="auto"/>
                                <w:left w:val="none" w:sz="0" w:space="0" w:color="auto"/>
                                <w:bottom w:val="none" w:sz="0" w:space="0" w:color="auto"/>
                                <w:right w:val="none" w:sz="0" w:space="0" w:color="auto"/>
                              </w:divBdr>
                              <w:divsChild>
                                <w:div w:id="2118285640">
                                  <w:marLeft w:val="0"/>
                                  <w:marRight w:val="0"/>
                                  <w:marTop w:val="0"/>
                                  <w:marBottom w:val="0"/>
                                  <w:divBdr>
                                    <w:top w:val="none" w:sz="0" w:space="0" w:color="auto"/>
                                    <w:left w:val="none" w:sz="0" w:space="0" w:color="auto"/>
                                    <w:bottom w:val="none" w:sz="0" w:space="0" w:color="auto"/>
                                    <w:right w:val="none" w:sz="0" w:space="0" w:color="auto"/>
                                  </w:divBdr>
                                </w:div>
                                <w:div w:id="21182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708">
      <w:marLeft w:val="0"/>
      <w:marRight w:val="0"/>
      <w:marTop w:val="0"/>
      <w:marBottom w:val="0"/>
      <w:divBdr>
        <w:top w:val="none" w:sz="0" w:space="0" w:color="auto"/>
        <w:left w:val="none" w:sz="0" w:space="0" w:color="auto"/>
        <w:bottom w:val="none" w:sz="0" w:space="0" w:color="auto"/>
        <w:right w:val="none" w:sz="0" w:space="0" w:color="auto"/>
      </w:divBdr>
    </w:div>
    <w:div w:id="2118285714">
      <w:marLeft w:val="0"/>
      <w:marRight w:val="0"/>
      <w:marTop w:val="0"/>
      <w:marBottom w:val="0"/>
      <w:divBdr>
        <w:top w:val="none" w:sz="0" w:space="0" w:color="auto"/>
        <w:left w:val="none" w:sz="0" w:space="0" w:color="auto"/>
        <w:bottom w:val="none" w:sz="0" w:space="0" w:color="auto"/>
        <w:right w:val="none" w:sz="0" w:space="0" w:color="auto"/>
      </w:divBdr>
      <w:divsChild>
        <w:div w:id="2118285899">
          <w:marLeft w:val="0"/>
          <w:marRight w:val="1"/>
          <w:marTop w:val="0"/>
          <w:marBottom w:val="0"/>
          <w:divBdr>
            <w:top w:val="none" w:sz="0" w:space="0" w:color="auto"/>
            <w:left w:val="none" w:sz="0" w:space="0" w:color="auto"/>
            <w:bottom w:val="none" w:sz="0" w:space="0" w:color="auto"/>
            <w:right w:val="none" w:sz="0" w:space="0" w:color="auto"/>
          </w:divBdr>
          <w:divsChild>
            <w:div w:id="2118285942">
              <w:marLeft w:val="0"/>
              <w:marRight w:val="0"/>
              <w:marTop w:val="0"/>
              <w:marBottom w:val="0"/>
              <w:divBdr>
                <w:top w:val="none" w:sz="0" w:space="0" w:color="auto"/>
                <w:left w:val="none" w:sz="0" w:space="0" w:color="auto"/>
                <w:bottom w:val="none" w:sz="0" w:space="0" w:color="auto"/>
                <w:right w:val="none" w:sz="0" w:space="0" w:color="auto"/>
              </w:divBdr>
              <w:divsChild>
                <w:div w:id="2118285921">
                  <w:marLeft w:val="0"/>
                  <w:marRight w:val="1"/>
                  <w:marTop w:val="0"/>
                  <w:marBottom w:val="0"/>
                  <w:divBdr>
                    <w:top w:val="none" w:sz="0" w:space="0" w:color="auto"/>
                    <w:left w:val="none" w:sz="0" w:space="0" w:color="auto"/>
                    <w:bottom w:val="none" w:sz="0" w:space="0" w:color="auto"/>
                    <w:right w:val="none" w:sz="0" w:space="0" w:color="auto"/>
                  </w:divBdr>
                  <w:divsChild>
                    <w:div w:id="2118285731">
                      <w:marLeft w:val="0"/>
                      <w:marRight w:val="0"/>
                      <w:marTop w:val="0"/>
                      <w:marBottom w:val="0"/>
                      <w:divBdr>
                        <w:top w:val="none" w:sz="0" w:space="0" w:color="auto"/>
                        <w:left w:val="none" w:sz="0" w:space="0" w:color="auto"/>
                        <w:bottom w:val="none" w:sz="0" w:space="0" w:color="auto"/>
                        <w:right w:val="none" w:sz="0" w:space="0" w:color="auto"/>
                      </w:divBdr>
                      <w:divsChild>
                        <w:div w:id="2118285824">
                          <w:marLeft w:val="0"/>
                          <w:marRight w:val="0"/>
                          <w:marTop w:val="0"/>
                          <w:marBottom w:val="0"/>
                          <w:divBdr>
                            <w:top w:val="none" w:sz="0" w:space="0" w:color="auto"/>
                            <w:left w:val="none" w:sz="0" w:space="0" w:color="auto"/>
                            <w:bottom w:val="none" w:sz="0" w:space="0" w:color="auto"/>
                            <w:right w:val="none" w:sz="0" w:space="0" w:color="auto"/>
                          </w:divBdr>
                          <w:divsChild>
                            <w:div w:id="2118285797">
                              <w:marLeft w:val="0"/>
                              <w:marRight w:val="0"/>
                              <w:marTop w:val="120"/>
                              <w:marBottom w:val="360"/>
                              <w:divBdr>
                                <w:top w:val="none" w:sz="0" w:space="0" w:color="auto"/>
                                <w:left w:val="none" w:sz="0" w:space="0" w:color="auto"/>
                                <w:bottom w:val="none" w:sz="0" w:space="0" w:color="auto"/>
                                <w:right w:val="none" w:sz="0" w:space="0" w:color="auto"/>
                              </w:divBdr>
                              <w:divsChild>
                                <w:div w:id="2118285853">
                                  <w:marLeft w:val="0"/>
                                  <w:marRight w:val="0"/>
                                  <w:marTop w:val="0"/>
                                  <w:marBottom w:val="0"/>
                                  <w:divBdr>
                                    <w:top w:val="none" w:sz="0" w:space="0" w:color="auto"/>
                                    <w:left w:val="none" w:sz="0" w:space="0" w:color="auto"/>
                                    <w:bottom w:val="none" w:sz="0" w:space="0" w:color="auto"/>
                                    <w:right w:val="none" w:sz="0" w:space="0" w:color="auto"/>
                                  </w:divBdr>
                                </w:div>
                                <w:div w:id="21182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719">
      <w:marLeft w:val="0"/>
      <w:marRight w:val="0"/>
      <w:marTop w:val="0"/>
      <w:marBottom w:val="0"/>
      <w:divBdr>
        <w:top w:val="none" w:sz="0" w:space="0" w:color="auto"/>
        <w:left w:val="none" w:sz="0" w:space="0" w:color="auto"/>
        <w:bottom w:val="none" w:sz="0" w:space="0" w:color="auto"/>
        <w:right w:val="none" w:sz="0" w:space="0" w:color="auto"/>
      </w:divBdr>
      <w:divsChild>
        <w:div w:id="2118285897">
          <w:marLeft w:val="0"/>
          <w:marRight w:val="1"/>
          <w:marTop w:val="0"/>
          <w:marBottom w:val="0"/>
          <w:divBdr>
            <w:top w:val="none" w:sz="0" w:space="0" w:color="auto"/>
            <w:left w:val="none" w:sz="0" w:space="0" w:color="auto"/>
            <w:bottom w:val="none" w:sz="0" w:space="0" w:color="auto"/>
            <w:right w:val="none" w:sz="0" w:space="0" w:color="auto"/>
          </w:divBdr>
          <w:divsChild>
            <w:div w:id="2118285929">
              <w:marLeft w:val="0"/>
              <w:marRight w:val="0"/>
              <w:marTop w:val="0"/>
              <w:marBottom w:val="0"/>
              <w:divBdr>
                <w:top w:val="none" w:sz="0" w:space="0" w:color="auto"/>
                <w:left w:val="none" w:sz="0" w:space="0" w:color="auto"/>
                <w:bottom w:val="none" w:sz="0" w:space="0" w:color="auto"/>
                <w:right w:val="none" w:sz="0" w:space="0" w:color="auto"/>
              </w:divBdr>
              <w:divsChild>
                <w:div w:id="2118285883">
                  <w:marLeft w:val="0"/>
                  <w:marRight w:val="1"/>
                  <w:marTop w:val="0"/>
                  <w:marBottom w:val="0"/>
                  <w:divBdr>
                    <w:top w:val="none" w:sz="0" w:space="0" w:color="auto"/>
                    <w:left w:val="none" w:sz="0" w:space="0" w:color="auto"/>
                    <w:bottom w:val="none" w:sz="0" w:space="0" w:color="auto"/>
                    <w:right w:val="none" w:sz="0" w:space="0" w:color="auto"/>
                  </w:divBdr>
                  <w:divsChild>
                    <w:div w:id="2118285889">
                      <w:marLeft w:val="0"/>
                      <w:marRight w:val="0"/>
                      <w:marTop w:val="0"/>
                      <w:marBottom w:val="0"/>
                      <w:divBdr>
                        <w:top w:val="none" w:sz="0" w:space="0" w:color="auto"/>
                        <w:left w:val="none" w:sz="0" w:space="0" w:color="auto"/>
                        <w:bottom w:val="none" w:sz="0" w:space="0" w:color="auto"/>
                        <w:right w:val="none" w:sz="0" w:space="0" w:color="auto"/>
                      </w:divBdr>
                      <w:divsChild>
                        <w:div w:id="2118285847">
                          <w:marLeft w:val="0"/>
                          <w:marRight w:val="0"/>
                          <w:marTop w:val="0"/>
                          <w:marBottom w:val="0"/>
                          <w:divBdr>
                            <w:top w:val="none" w:sz="0" w:space="0" w:color="auto"/>
                            <w:left w:val="none" w:sz="0" w:space="0" w:color="auto"/>
                            <w:bottom w:val="none" w:sz="0" w:space="0" w:color="auto"/>
                            <w:right w:val="none" w:sz="0" w:space="0" w:color="auto"/>
                          </w:divBdr>
                          <w:divsChild>
                            <w:div w:id="2118285764">
                              <w:marLeft w:val="0"/>
                              <w:marRight w:val="0"/>
                              <w:marTop w:val="120"/>
                              <w:marBottom w:val="360"/>
                              <w:divBdr>
                                <w:top w:val="none" w:sz="0" w:space="0" w:color="auto"/>
                                <w:left w:val="none" w:sz="0" w:space="0" w:color="auto"/>
                                <w:bottom w:val="none" w:sz="0" w:space="0" w:color="auto"/>
                                <w:right w:val="none" w:sz="0" w:space="0" w:color="auto"/>
                              </w:divBdr>
                              <w:divsChild>
                                <w:div w:id="2118285663">
                                  <w:marLeft w:val="0"/>
                                  <w:marRight w:val="0"/>
                                  <w:marTop w:val="0"/>
                                  <w:marBottom w:val="0"/>
                                  <w:divBdr>
                                    <w:top w:val="none" w:sz="0" w:space="0" w:color="auto"/>
                                    <w:left w:val="none" w:sz="0" w:space="0" w:color="auto"/>
                                    <w:bottom w:val="none" w:sz="0" w:space="0" w:color="auto"/>
                                    <w:right w:val="none" w:sz="0" w:space="0" w:color="auto"/>
                                  </w:divBdr>
                                </w:div>
                                <w:div w:id="21182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721">
      <w:marLeft w:val="0"/>
      <w:marRight w:val="0"/>
      <w:marTop w:val="0"/>
      <w:marBottom w:val="0"/>
      <w:divBdr>
        <w:top w:val="none" w:sz="0" w:space="0" w:color="auto"/>
        <w:left w:val="none" w:sz="0" w:space="0" w:color="auto"/>
        <w:bottom w:val="none" w:sz="0" w:space="0" w:color="auto"/>
        <w:right w:val="none" w:sz="0" w:space="0" w:color="auto"/>
      </w:divBdr>
      <w:divsChild>
        <w:div w:id="2118285615">
          <w:marLeft w:val="0"/>
          <w:marRight w:val="1"/>
          <w:marTop w:val="0"/>
          <w:marBottom w:val="0"/>
          <w:divBdr>
            <w:top w:val="none" w:sz="0" w:space="0" w:color="auto"/>
            <w:left w:val="none" w:sz="0" w:space="0" w:color="auto"/>
            <w:bottom w:val="none" w:sz="0" w:space="0" w:color="auto"/>
            <w:right w:val="none" w:sz="0" w:space="0" w:color="auto"/>
          </w:divBdr>
          <w:divsChild>
            <w:div w:id="2118285938">
              <w:marLeft w:val="0"/>
              <w:marRight w:val="0"/>
              <w:marTop w:val="0"/>
              <w:marBottom w:val="0"/>
              <w:divBdr>
                <w:top w:val="none" w:sz="0" w:space="0" w:color="auto"/>
                <w:left w:val="none" w:sz="0" w:space="0" w:color="auto"/>
                <w:bottom w:val="none" w:sz="0" w:space="0" w:color="auto"/>
                <w:right w:val="none" w:sz="0" w:space="0" w:color="auto"/>
              </w:divBdr>
              <w:divsChild>
                <w:div w:id="2118285608">
                  <w:marLeft w:val="0"/>
                  <w:marRight w:val="1"/>
                  <w:marTop w:val="0"/>
                  <w:marBottom w:val="0"/>
                  <w:divBdr>
                    <w:top w:val="none" w:sz="0" w:space="0" w:color="auto"/>
                    <w:left w:val="none" w:sz="0" w:space="0" w:color="auto"/>
                    <w:bottom w:val="none" w:sz="0" w:space="0" w:color="auto"/>
                    <w:right w:val="none" w:sz="0" w:space="0" w:color="auto"/>
                  </w:divBdr>
                  <w:divsChild>
                    <w:div w:id="2118285754">
                      <w:marLeft w:val="0"/>
                      <w:marRight w:val="0"/>
                      <w:marTop w:val="0"/>
                      <w:marBottom w:val="0"/>
                      <w:divBdr>
                        <w:top w:val="none" w:sz="0" w:space="0" w:color="auto"/>
                        <w:left w:val="none" w:sz="0" w:space="0" w:color="auto"/>
                        <w:bottom w:val="none" w:sz="0" w:space="0" w:color="auto"/>
                        <w:right w:val="none" w:sz="0" w:space="0" w:color="auto"/>
                      </w:divBdr>
                      <w:divsChild>
                        <w:div w:id="2118285793">
                          <w:marLeft w:val="0"/>
                          <w:marRight w:val="0"/>
                          <w:marTop w:val="0"/>
                          <w:marBottom w:val="0"/>
                          <w:divBdr>
                            <w:top w:val="none" w:sz="0" w:space="0" w:color="auto"/>
                            <w:left w:val="none" w:sz="0" w:space="0" w:color="auto"/>
                            <w:bottom w:val="none" w:sz="0" w:space="0" w:color="auto"/>
                            <w:right w:val="none" w:sz="0" w:space="0" w:color="auto"/>
                          </w:divBdr>
                          <w:divsChild>
                            <w:div w:id="2118285673">
                              <w:marLeft w:val="0"/>
                              <w:marRight w:val="0"/>
                              <w:marTop w:val="120"/>
                              <w:marBottom w:val="360"/>
                              <w:divBdr>
                                <w:top w:val="none" w:sz="0" w:space="0" w:color="auto"/>
                                <w:left w:val="none" w:sz="0" w:space="0" w:color="auto"/>
                                <w:bottom w:val="none" w:sz="0" w:space="0" w:color="auto"/>
                                <w:right w:val="none" w:sz="0" w:space="0" w:color="auto"/>
                              </w:divBdr>
                              <w:divsChild>
                                <w:div w:id="2118285748">
                                  <w:marLeft w:val="0"/>
                                  <w:marRight w:val="0"/>
                                  <w:marTop w:val="0"/>
                                  <w:marBottom w:val="0"/>
                                  <w:divBdr>
                                    <w:top w:val="none" w:sz="0" w:space="0" w:color="auto"/>
                                    <w:left w:val="none" w:sz="0" w:space="0" w:color="auto"/>
                                    <w:bottom w:val="none" w:sz="0" w:space="0" w:color="auto"/>
                                    <w:right w:val="none" w:sz="0" w:space="0" w:color="auto"/>
                                  </w:divBdr>
                                </w:div>
                                <w:div w:id="21182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723">
      <w:marLeft w:val="0"/>
      <w:marRight w:val="0"/>
      <w:marTop w:val="0"/>
      <w:marBottom w:val="0"/>
      <w:divBdr>
        <w:top w:val="none" w:sz="0" w:space="0" w:color="auto"/>
        <w:left w:val="none" w:sz="0" w:space="0" w:color="auto"/>
        <w:bottom w:val="none" w:sz="0" w:space="0" w:color="auto"/>
        <w:right w:val="none" w:sz="0" w:space="0" w:color="auto"/>
      </w:divBdr>
      <w:divsChild>
        <w:div w:id="2118285846">
          <w:marLeft w:val="0"/>
          <w:marRight w:val="0"/>
          <w:marTop w:val="0"/>
          <w:marBottom w:val="0"/>
          <w:divBdr>
            <w:top w:val="none" w:sz="0" w:space="0" w:color="auto"/>
            <w:left w:val="none" w:sz="0" w:space="0" w:color="auto"/>
            <w:bottom w:val="none" w:sz="0" w:space="0" w:color="auto"/>
            <w:right w:val="none" w:sz="0" w:space="0" w:color="auto"/>
          </w:divBdr>
          <w:divsChild>
            <w:div w:id="2118285660">
              <w:marLeft w:val="240"/>
              <w:marRight w:val="360"/>
              <w:marTop w:val="240"/>
              <w:marBottom w:val="480"/>
              <w:divBdr>
                <w:top w:val="none" w:sz="0" w:space="0" w:color="auto"/>
                <w:left w:val="none" w:sz="0" w:space="0" w:color="auto"/>
                <w:bottom w:val="none" w:sz="0" w:space="0" w:color="auto"/>
                <w:right w:val="none" w:sz="0" w:space="0" w:color="auto"/>
              </w:divBdr>
              <w:divsChild>
                <w:div w:id="2118285783">
                  <w:marLeft w:val="0"/>
                  <w:marRight w:val="0"/>
                  <w:marTop w:val="0"/>
                  <w:marBottom w:val="0"/>
                  <w:divBdr>
                    <w:top w:val="single" w:sz="18" w:space="5" w:color="000000"/>
                    <w:left w:val="none" w:sz="0" w:space="0" w:color="auto"/>
                    <w:bottom w:val="none" w:sz="0" w:space="0" w:color="auto"/>
                    <w:right w:val="none" w:sz="0" w:space="0" w:color="auto"/>
                  </w:divBdr>
                  <w:divsChild>
                    <w:div w:id="2118285854">
                      <w:marLeft w:val="0"/>
                      <w:marRight w:val="0"/>
                      <w:marTop w:val="0"/>
                      <w:marBottom w:val="0"/>
                      <w:divBdr>
                        <w:top w:val="none" w:sz="0" w:space="0" w:color="auto"/>
                        <w:left w:val="none" w:sz="0" w:space="0" w:color="auto"/>
                        <w:bottom w:val="none" w:sz="0" w:space="0" w:color="auto"/>
                        <w:right w:val="none" w:sz="0" w:space="0" w:color="auto"/>
                      </w:divBdr>
                      <w:divsChild>
                        <w:div w:id="2118285755">
                          <w:marLeft w:val="0"/>
                          <w:marRight w:val="0"/>
                          <w:marTop w:val="0"/>
                          <w:marBottom w:val="0"/>
                          <w:divBdr>
                            <w:top w:val="none" w:sz="0" w:space="0" w:color="auto"/>
                            <w:left w:val="none" w:sz="0" w:space="0" w:color="auto"/>
                            <w:bottom w:val="none" w:sz="0" w:space="0" w:color="auto"/>
                            <w:right w:val="none" w:sz="0" w:space="0" w:color="auto"/>
                          </w:divBdr>
                        </w:div>
                        <w:div w:id="21182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85727">
      <w:marLeft w:val="0"/>
      <w:marRight w:val="0"/>
      <w:marTop w:val="0"/>
      <w:marBottom w:val="0"/>
      <w:divBdr>
        <w:top w:val="none" w:sz="0" w:space="0" w:color="auto"/>
        <w:left w:val="none" w:sz="0" w:space="0" w:color="auto"/>
        <w:bottom w:val="none" w:sz="0" w:space="0" w:color="auto"/>
        <w:right w:val="none" w:sz="0" w:space="0" w:color="auto"/>
      </w:divBdr>
      <w:divsChild>
        <w:div w:id="2118285722">
          <w:marLeft w:val="0"/>
          <w:marRight w:val="1"/>
          <w:marTop w:val="0"/>
          <w:marBottom w:val="0"/>
          <w:divBdr>
            <w:top w:val="none" w:sz="0" w:space="0" w:color="auto"/>
            <w:left w:val="none" w:sz="0" w:space="0" w:color="auto"/>
            <w:bottom w:val="none" w:sz="0" w:space="0" w:color="auto"/>
            <w:right w:val="none" w:sz="0" w:space="0" w:color="auto"/>
          </w:divBdr>
          <w:divsChild>
            <w:div w:id="2118285715">
              <w:marLeft w:val="0"/>
              <w:marRight w:val="0"/>
              <w:marTop w:val="0"/>
              <w:marBottom w:val="0"/>
              <w:divBdr>
                <w:top w:val="none" w:sz="0" w:space="0" w:color="auto"/>
                <w:left w:val="none" w:sz="0" w:space="0" w:color="auto"/>
                <w:bottom w:val="none" w:sz="0" w:space="0" w:color="auto"/>
                <w:right w:val="none" w:sz="0" w:space="0" w:color="auto"/>
              </w:divBdr>
              <w:divsChild>
                <w:div w:id="2118285830">
                  <w:marLeft w:val="0"/>
                  <w:marRight w:val="1"/>
                  <w:marTop w:val="0"/>
                  <w:marBottom w:val="0"/>
                  <w:divBdr>
                    <w:top w:val="none" w:sz="0" w:space="0" w:color="auto"/>
                    <w:left w:val="none" w:sz="0" w:space="0" w:color="auto"/>
                    <w:bottom w:val="none" w:sz="0" w:space="0" w:color="auto"/>
                    <w:right w:val="none" w:sz="0" w:space="0" w:color="auto"/>
                  </w:divBdr>
                  <w:divsChild>
                    <w:div w:id="2118285841">
                      <w:marLeft w:val="0"/>
                      <w:marRight w:val="0"/>
                      <w:marTop w:val="0"/>
                      <w:marBottom w:val="0"/>
                      <w:divBdr>
                        <w:top w:val="none" w:sz="0" w:space="0" w:color="auto"/>
                        <w:left w:val="none" w:sz="0" w:space="0" w:color="auto"/>
                        <w:bottom w:val="none" w:sz="0" w:space="0" w:color="auto"/>
                        <w:right w:val="none" w:sz="0" w:space="0" w:color="auto"/>
                      </w:divBdr>
                      <w:divsChild>
                        <w:div w:id="2118285913">
                          <w:marLeft w:val="0"/>
                          <w:marRight w:val="0"/>
                          <w:marTop w:val="0"/>
                          <w:marBottom w:val="0"/>
                          <w:divBdr>
                            <w:top w:val="none" w:sz="0" w:space="0" w:color="auto"/>
                            <w:left w:val="none" w:sz="0" w:space="0" w:color="auto"/>
                            <w:bottom w:val="none" w:sz="0" w:space="0" w:color="auto"/>
                            <w:right w:val="none" w:sz="0" w:space="0" w:color="auto"/>
                          </w:divBdr>
                          <w:divsChild>
                            <w:div w:id="2118285825">
                              <w:marLeft w:val="0"/>
                              <w:marRight w:val="0"/>
                              <w:marTop w:val="120"/>
                              <w:marBottom w:val="360"/>
                              <w:divBdr>
                                <w:top w:val="none" w:sz="0" w:space="0" w:color="auto"/>
                                <w:left w:val="none" w:sz="0" w:space="0" w:color="auto"/>
                                <w:bottom w:val="none" w:sz="0" w:space="0" w:color="auto"/>
                                <w:right w:val="none" w:sz="0" w:space="0" w:color="auto"/>
                              </w:divBdr>
                              <w:divsChild>
                                <w:div w:id="2118285720">
                                  <w:marLeft w:val="0"/>
                                  <w:marRight w:val="0"/>
                                  <w:marTop w:val="0"/>
                                  <w:marBottom w:val="0"/>
                                  <w:divBdr>
                                    <w:top w:val="none" w:sz="0" w:space="0" w:color="auto"/>
                                    <w:left w:val="none" w:sz="0" w:space="0" w:color="auto"/>
                                    <w:bottom w:val="none" w:sz="0" w:space="0" w:color="auto"/>
                                    <w:right w:val="none" w:sz="0" w:space="0" w:color="auto"/>
                                  </w:divBdr>
                                </w:div>
                                <w:div w:id="21182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736">
      <w:marLeft w:val="0"/>
      <w:marRight w:val="0"/>
      <w:marTop w:val="0"/>
      <w:marBottom w:val="0"/>
      <w:divBdr>
        <w:top w:val="none" w:sz="0" w:space="0" w:color="auto"/>
        <w:left w:val="none" w:sz="0" w:space="0" w:color="auto"/>
        <w:bottom w:val="none" w:sz="0" w:space="0" w:color="auto"/>
        <w:right w:val="none" w:sz="0" w:space="0" w:color="auto"/>
      </w:divBdr>
      <w:divsChild>
        <w:div w:id="2118285870">
          <w:marLeft w:val="0"/>
          <w:marRight w:val="1"/>
          <w:marTop w:val="0"/>
          <w:marBottom w:val="0"/>
          <w:divBdr>
            <w:top w:val="none" w:sz="0" w:space="0" w:color="auto"/>
            <w:left w:val="none" w:sz="0" w:space="0" w:color="auto"/>
            <w:bottom w:val="none" w:sz="0" w:space="0" w:color="auto"/>
            <w:right w:val="none" w:sz="0" w:space="0" w:color="auto"/>
          </w:divBdr>
          <w:divsChild>
            <w:div w:id="2118285936">
              <w:marLeft w:val="0"/>
              <w:marRight w:val="0"/>
              <w:marTop w:val="0"/>
              <w:marBottom w:val="0"/>
              <w:divBdr>
                <w:top w:val="none" w:sz="0" w:space="0" w:color="auto"/>
                <w:left w:val="none" w:sz="0" w:space="0" w:color="auto"/>
                <w:bottom w:val="none" w:sz="0" w:space="0" w:color="auto"/>
                <w:right w:val="none" w:sz="0" w:space="0" w:color="auto"/>
              </w:divBdr>
              <w:divsChild>
                <w:div w:id="2118285621">
                  <w:marLeft w:val="0"/>
                  <w:marRight w:val="1"/>
                  <w:marTop w:val="0"/>
                  <w:marBottom w:val="0"/>
                  <w:divBdr>
                    <w:top w:val="none" w:sz="0" w:space="0" w:color="auto"/>
                    <w:left w:val="none" w:sz="0" w:space="0" w:color="auto"/>
                    <w:bottom w:val="none" w:sz="0" w:space="0" w:color="auto"/>
                    <w:right w:val="none" w:sz="0" w:space="0" w:color="auto"/>
                  </w:divBdr>
                  <w:divsChild>
                    <w:div w:id="2118285811">
                      <w:marLeft w:val="0"/>
                      <w:marRight w:val="0"/>
                      <w:marTop w:val="0"/>
                      <w:marBottom w:val="0"/>
                      <w:divBdr>
                        <w:top w:val="none" w:sz="0" w:space="0" w:color="auto"/>
                        <w:left w:val="none" w:sz="0" w:space="0" w:color="auto"/>
                        <w:bottom w:val="none" w:sz="0" w:space="0" w:color="auto"/>
                        <w:right w:val="none" w:sz="0" w:space="0" w:color="auto"/>
                      </w:divBdr>
                      <w:divsChild>
                        <w:div w:id="2118285869">
                          <w:marLeft w:val="0"/>
                          <w:marRight w:val="0"/>
                          <w:marTop w:val="0"/>
                          <w:marBottom w:val="0"/>
                          <w:divBdr>
                            <w:top w:val="none" w:sz="0" w:space="0" w:color="auto"/>
                            <w:left w:val="none" w:sz="0" w:space="0" w:color="auto"/>
                            <w:bottom w:val="none" w:sz="0" w:space="0" w:color="auto"/>
                            <w:right w:val="none" w:sz="0" w:space="0" w:color="auto"/>
                          </w:divBdr>
                          <w:divsChild>
                            <w:div w:id="2118285687">
                              <w:marLeft w:val="0"/>
                              <w:marRight w:val="0"/>
                              <w:marTop w:val="120"/>
                              <w:marBottom w:val="360"/>
                              <w:divBdr>
                                <w:top w:val="none" w:sz="0" w:space="0" w:color="auto"/>
                                <w:left w:val="none" w:sz="0" w:space="0" w:color="auto"/>
                                <w:bottom w:val="none" w:sz="0" w:space="0" w:color="auto"/>
                                <w:right w:val="none" w:sz="0" w:space="0" w:color="auto"/>
                              </w:divBdr>
                              <w:divsChild>
                                <w:div w:id="2118285652">
                                  <w:marLeft w:val="0"/>
                                  <w:marRight w:val="0"/>
                                  <w:marTop w:val="0"/>
                                  <w:marBottom w:val="0"/>
                                  <w:divBdr>
                                    <w:top w:val="none" w:sz="0" w:space="0" w:color="auto"/>
                                    <w:left w:val="none" w:sz="0" w:space="0" w:color="auto"/>
                                    <w:bottom w:val="none" w:sz="0" w:space="0" w:color="auto"/>
                                    <w:right w:val="none" w:sz="0" w:space="0" w:color="auto"/>
                                  </w:divBdr>
                                  <w:divsChild>
                                    <w:div w:id="21182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738">
      <w:marLeft w:val="0"/>
      <w:marRight w:val="0"/>
      <w:marTop w:val="0"/>
      <w:marBottom w:val="0"/>
      <w:divBdr>
        <w:top w:val="none" w:sz="0" w:space="0" w:color="auto"/>
        <w:left w:val="none" w:sz="0" w:space="0" w:color="auto"/>
        <w:bottom w:val="none" w:sz="0" w:space="0" w:color="auto"/>
        <w:right w:val="none" w:sz="0" w:space="0" w:color="auto"/>
      </w:divBdr>
      <w:divsChild>
        <w:div w:id="2118285648">
          <w:marLeft w:val="0"/>
          <w:marRight w:val="1"/>
          <w:marTop w:val="0"/>
          <w:marBottom w:val="0"/>
          <w:divBdr>
            <w:top w:val="none" w:sz="0" w:space="0" w:color="auto"/>
            <w:left w:val="none" w:sz="0" w:space="0" w:color="auto"/>
            <w:bottom w:val="none" w:sz="0" w:space="0" w:color="auto"/>
            <w:right w:val="none" w:sz="0" w:space="0" w:color="auto"/>
          </w:divBdr>
          <w:divsChild>
            <w:div w:id="2118285585">
              <w:marLeft w:val="0"/>
              <w:marRight w:val="0"/>
              <w:marTop w:val="0"/>
              <w:marBottom w:val="0"/>
              <w:divBdr>
                <w:top w:val="none" w:sz="0" w:space="0" w:color="auto"/>
                <w:left w:val="none" w:sz="0" w:space="0" w:color="auto"/>
                <w:bottom w:val="none" w:sz="0" w:space="0" w:color="auto"/>
                <w:right w:val="none" w:sz="0" w:space="0" w:color="auto"/>
              </w:divBdr>
              <w:divsChild>
                <w:div w:id="2118285817">
                  <w:marLeft w:val="0"/>
                  <w:marRight w:val="1"/>
                  <w:marTop w:val="0"/>
                  <w:marBottom w:val="0"/>
                  <w:divBdr>
                    <w:top w:val="none" w:sz="0" w:space="0" w:color="auto"/>
                    <w:left w:val="none" w:sz="0" w:space="0" w:color="auto"/>
                    <w:bottom w:val="none" w:sz="0" w:space="0" w:color="auto"/>
                    <w:right w:val="none" w:sz="0" w:space="0" w:color="auto"/>
                  </w:divBdr>
                  <w:divsChild>
                    <w:div w:id="2118285782">
                      <w:marLeft w:val="0"/>
                      <w:marRight w:val="0"/>
                      <w:marTop w:val="0"/>
                      <w:marBottom w:val="0"/>
                      <w:divBdr>
                        <w:top w:val="none" w:sz="0" w:space="0" w:color="auto"/>
                        <w:left w:val="none" w:sz="0" w:space="0" w:color="auto"/>
                        <w:bottom w:val="none" w:sz="0" w:space="0" w:color="auto"/>
                        <w:right w:val="none" w:sz="0" w:space="0" w:color="auto"/>
                      </w:divBdr>
                      <w:divsChild>
                        <w:div w:id="2118285892">
                          <w:marLeft w:val="0"/>
                          <w:marRight w:val="0"/>
                          <w:marTop w:val="0"/>
                          <w:marBottom w:val="0"/>
                          <w:divBdr>
                            <w:top w:val="none" w:sz="0" w:space="0" w:color="auto"/>
                            <w:left w:val="none" w:sz="0" w:space="0" w:color="auto"/>
                            <w:bottom w:val="none" w:sz="0" w:space="0" w:color="auto"/>
                            <w:right w:val="none" w:sz="0" w:space="0" w:color="auto"/>
                          </w:divBdr>
                          <w:divsChild>
                            <w:div w:id="2118285661">
                              <w:marLeft w:val="0"/>
                              <w:marRight w:val="0"/>
                              <w:marTop w:val="120"/>
                              <w:marBottom w:val="360"/>
                              <w:divBdr>
                                <w:top w:val="none" w:sz="0" w:space="0" w:color="auto"/>
                                <w:left w:val="none" w:sz="0" w:space="0" w:color="auto"/>
                                <w:bottom w:val="none" w:sz="0" w:space="0" w:color="auto"/>
                                <w:right w:val="none" w:sz="0" w:space="0" w:color="auto"/>
                              </w:divBdr>
                              <w:divsChild>
                                <w:div w:id="2118285626">
                                  <w:marLeft w:val="0"/>
                                  <w:marRight w:val="0"/>
                                  <w:marTop w:val="0"/>
                                  <w:marBottom w:val="0"/>
                                  <w:divBdr>
                                    <w:top w:val="none" w:sz="0" w:space="0" w:color="auto"/>
                                    <w:left w:val="none" w:sz="0" w:space="0" w:color="auto"/>
                                    <w:bottom w:val="none" w:sz="0" w:space="0" w:color="auto"/>
                                    <w:right w:val="none" w:sz="0" w:space="0" w:color="auto"/>
                                  </w:divBdr>
                                </w:div>
                                <w:div w:id="21182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792">
      <w:marLeft w:val="0"/>
      <w:marRight w:val="0"/>
      <w:marTop w:val="0"/>
      <w:marBottom w:val="0"/>
      <w:divBdr>
        <w:top w:val="none" w:sz="0" w:space="0" w:color="auto"/>
        <w:left w:val="none" w:sz="0" w:space="0" w:color="auto"/>
        <w:bottom w:val="none" w:sz="0" w:space="0" w:color="auto"/>
        <w:right w:val="none" w:sz="0" w:space="0" w:color="auto"/>
      </w:divBdr>
      <w:divsChild>
        <w:div w:id="2118285810">
          <w:marLeft w:val="0"/>
          <w:marRight w:val="1"/>
          <w:marTop w:val="0"/>
          <w:marBottom w:val="0"/>
          <w:divBdr>
            <w:top w:val="none" w:sz="0" w:space="0" w:color="auto"/>
            <w:left w:val="none" w:sz="0" w:space="0" w:color="auto"/>
            <w:bottom w:val="none" w:sz="0" w:space="0" w:color="auto"/>
            <w:right w:val="none" w:sz="0" w:space="0" w:color="auto"/>
          </w:divBdr>
          <w:divsChild>
            <w:div w:id="2118285674">
              <w:marLeft w:val="0"/>
              <w:marRight w:val="0"/>
              <w:marTop w:val="0"/>
              <w:marBottom w:val="0"/>
              <w:divBdr>
                <w:top w:val="none" w:sz="0" w:space="0" w:color="auto"/>
                <w:left w:val="none" w:sz="0" w:space="0" w:color="auto"/>
                <w:bottom w:val="none" w:sz="0" w:space="0" w:color="auto"/>
                <w:right w:val="none" w:sz="0" w:space="0" w:color="auto"/>
              </w:divBdr>
              <w:divsChild>
                <w:div w:id="2118285935">
                  <w:marLeft w:val="0"/>
                  <w:marRight w:val="1"/>
                  <w:marTop w:val="0"/>
                  <w:marBottom w:val="0"/>
                  <w:divBdr>
                    <w:top w:val="none" w:sz="0" w:space="0" w:color="auto"/>
                    <w:left w:val="none" w:sz="0" w:space="0" w:color="auto"/>
                    <w:bottom w:val="none" w:sz="0" w:space="0" w:color="auto"/>
                    <w:right w:val="none" w:sz="0" w:space="0" w:color="auto"/>
                  </w:divBdr>
                  <w:divsChild>
                    <w:div w:id="2118285828">
                      <w:marLeft w:val="0"/>
                      <w:marRight w:val="0"/>
                      <w:marTop w:val="0"/>
                      <w:marBottom w:val="0"/>
                      <w:divBdr>
                        <w:top w:val="none" w:sz="0" w:space="0" w:color="auto"/>
                        <w:left w:val="none" w:sz="0" w:space="0" w:color="auto"/>
                        <w:bottom w:val="none" w:sz="0" w:space="0" w:color="auto"/>
                        <w:right w:val="none" w:sz="0" w:space="0" w:color="auto"/>
                      </w:divBdr>
                      <w:divsChild>
                        <w:div w:id="2118285643">
                          <w:marLeft w:val="0"/>
                          <w:marRight w:val="0"/>
                          <w:marTop w:val="0"/>
                          <w:marBottom w:val="0"/>
                          <w:divBdr>
                            <w:top w:val="none" w:sz="0" w:space="0" w:color="auto"/>
                            <w:left w:val="none" w:sz="0" w:space="0" w:color="auto"/>
                            <w:bottom w:val="none" w:sz="0" w:space="0" w:color="auto"/>
                            <w:right w:val="none" w:sz="0" w:space="0" w:color="auto"/>
                          </w:divBdr>
                          <w:divsChild>
                            <w:div w:id="2118285692">
                              <w:marLeft w:val="0"/>
                              <w:marRight w:val="0"/>
                              <w:marTop w:val="120"/>
                              <w:marBottom w:val="360"/>
                              <w:divBdr>
                                <w:top w:val="none" w:sz="0" w:space="0" w:color="auto"/>
                                <w:left w:val="none" w:sz="0" w:space="0" w:color="auto"/>
                                <w:bottom w:val="none" w:sz="0" w:space="0" w:color="auto"/>
                                <w:right w:val="none" w:sz="0" w:space="0" w:color="auto"/>
                              </w:divBdr>
                              <w:divsChild>
                                <w:div w:id="2118285904">
                                  <w:marLeft w:val="0"/>
                                  <w:marRight w:val="0"/>
                                  <w:marTop w:val="0"/>
                                  <w:marBottom w:val="0"/>
                                  <w:divBdr>
                                    <w:top w:val="none" w:sz="0" w:space="0" w:color="auto"/>
                                    <w:left w:val="none" w:sz="0" w:space="0" w:color="auto"/>
                                    <w:bottom w:val="none" w:sz="0" w:space="0" w:color="auto"/>
                                    <w:right w:val="none" w:sz="0" w:space="0" w:color="auto"/>
                                  </w:divBdr>
                                  <w:divsChild>
                                    <w:div w:id="21182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800">
      <w:marLeft w:val="0"/>
      <w:marRight w:val="0"/>
      <w:marTop w:val="0"/>
      <w:marBottom w:val="0"/>
      <w:divBdr>
        <w:top w:val="none" w:sz="0" w:space="0" w:color="auto"/>
        <w:left w:val="none" w:sz="0" w:space="0" w:color="auto"/>
        <w:bottom w:val="none" w:sz="0" w:space="0" w:color="auto"/>
        <w:right w:val="none" w:sz="0" w:space="0" w:color="auto"/>
      </w:divBdr>
      <w:divsChild>
        <w:div w:id="2118285831">
          <w:marLeft w:val="0"/>
          <w:marRight w:val="1"/>
          <w:marTop w:val="0"/>
          <w:marBottom w:val="0"/>
          <w:divBdr>
            <w:top w:val="none" w:sz="0" w:space="0" w:color="auto"/>
            <w:left w:val="none" w:sz="0" w:space="0" w:color="auto"/>
            <w:bottom w:val="none" w:sz="0" w:space="0" w:color="auto"/>
            <w:right w:val="none" w:sz="0" w:space="0" w:color="auto"/>
          </w:divBdr>
          <w:divsChild>
            <w:div w:id="2118285905">
              <w:marLeft w:val="0"/>
              <w:marRight w:val="0"/>
              <w:marTop w:val="0"/>
              <w:marBottom w:val="0"/>
              <w:divBdr>
                <w:top w:val="none" w:sz="0" w:space="0" w:color="auto"/>
                <w:left w:val="none" w:sz="0" w:space="0" w:color="auto"/>
                <w:bottom w:val="none" w:sz="0" w:space="0" w:color="auto"/>
                <w:right w:val="none" w:sz="0" w:space="0" w:color="auto"/>
              </w:divBdr>
              <w:divsChild>
                <w:div w:id="2118285955">
                  <w:marLeft w:val="0"/>
                  <w:marRight w:val="1"/>
                  <w:marTop w:val="0"/>
                  <w:marBottom w:val="0"/>
                  <w:divBdr>
                    <w:top w:val="none" w:sz="0" w:space="0" w:color="auto"/>
                    <w:left w:val="none" w:sz="0" w:space="0" w:color="auto"/>
                    <w:bottom w:val="none" w:sz="0" w:space="0" w:color="auto"/>
                    <w:right w:val="none" w:sz="0" w:space="0" w:color="auto"/>
                  </w:divBdr>
                  <w:divsChild>
                    <w:div w:id="2118285601">
                      <w:marLeft w:val="0"/>
                      <w:marRight w:val="0"/>
                      <w:marTop w:val="0"/>
                      <w:marBottom w:val="0"/>
                      <w:divBdr>
                        <w:top w:val="none" w:sz="0" w:space="0" w:color="auto"/>
                        <w:left w:val="none" w:sz="0" w:space="0" w:color="auto"/>
                        <w:bottom w:val="none" w:sz="0" w:space="0" w:color="auto"/>
                        <w:right w:val="none" w:sz="0" w:space="0" w:color="auto"/>
                      </w:divBdr>
                      <w:divsChild>
                        <w:div w:id="2118285620">
                          <w:marLeft w:val="0"/>
                          <w:marRight w:val="0"/>
                          <w:marTop w:val="0"/>
                          <w:marBottom w:val="0"/>
                          <w:divBdr>
                            <w:top w:val="none" w:sz="0" w:space="0" w:color="auto"/>
                            <w:left w:val="none" w:sz="0" w:space="0" w:color="auto"/>
                            <w:bottom w:val="none" w:sz="0" w:space="0" w:color="auto"/>
                            <w:right w:val="none" w:sz="0" w:space="0" w:color="auto"/>
                          </w:divBdr>
                          <w:divsChild>
                            <w:div w:id="2118285789">
                              <w:marLeft w:val="0"/>
                              <w:marRight w:val="0"/>
                              <w:marTop w:val="120"/>
                              <w:marBottom w:val="360"/>
                              <w:divBdr>
                                <w:top w:val="none" w:sz="0" w:space="0" w:color="auto"/>
                                <w:left w:val="none" w:sz="0" w:space="0" w:color="auto"/>
                                <w:bottom w:val="none" w:sz="0" w:space="0" w:color="auto"/>
                                <w:right w:val="none" w:sz="0" w:space="0" w:color="auto"/>
                              </w:divBdr>
                              <w:divsChild>
                                <w:div w:id="2118285592">
                                  <w:marLeft w:val="0"/>
                                  <w:marRight w:val="0"/>
                                  <w:marTop w:val="0"/>
                                  <w:marBottom w:val="0"/>
                                  <w:divBdr>
                                    <w:top w:val="none" w:sz="0" w:space="0" w:color="auto"/>
                                    <w:left w:val="none" w:sz="0" w:space="0" w:color="auto"/>
                                    <w:bottom w:val="none" w:sz="0" w:space="0" w:color="auto"/>
                                    <w:right w:val="none" w:sz="0" w:space="0" w:color="auto"/>
                                  </w:divBdr>
                                  <w:divsChild>
                                    <w:div w:id="2118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813">
      <w:marLeft w:val="0"/>
      <w:marRight w:val="0"/>
      <w:marTop w:val="0"/>
      <w:marBottom w:val="0"/>
      <w:divBdr>
        <w:top w:val="none" w:sz="0" w:space="0" w:color="auto"/>
        <w:left w:val="none" w:sz="0" w:space="0" w:color="auto"/>
        <w:bottom w:val="none" w:sz="0" w:space="0" w:color="auto"/>
        <w:right w:val="none" w:sz="0" w:space="0" w:color="auto"/>
      </w:divBdr>
      <w:divsChild>
        <w:div w:id="2118285713">
          <w:marLeft w:val="0"/>
          <w:marRight w:val="1"/>
          <w:marTop w:val="0"/>
          <w:marBottom w:val="0"/>
          <w:divBdr>
            <w:top w:val="none" w:sz="0" w:space="0" w:color="auto"/>
            <w:left w:val="none" w:sz="0" w:space="0" w:color="auto"/>
            <w:bottom w:val="none" w:sz="0" w:space="0" w:color="auto"/>
            <w:right w:val="none" w:sz="0" w:space="0" w:color="auto"/>
          </w:divBdr>
          <w:divsChild>
            <w:div w:id="2118285630">
              <w:marLeft w:val="0"/>
              <w:marRight w:val="0"/>
              <w:marTop w:val="0"/>
              <w:marBottom w:val="0"/>
              <w:divBdr>
                <w:top w:val="none" w:sz="0" w:space="0" w:color="auto"/>
                <w:left w:val="none" w:sz="0" w:space="0" w:color="auto"/>
                <w:bottom w:val="none" w:sz="0" w:space="0" w:color="auto"/>
                <w:right w:val="none" w:sz="0" w:space="0" w:color="auto"/>
              </w:divBdr>
              <w:divsChild>
                <w:div w:id="2118285746">
                  <w:marLeft w:val="0"/>
                  <w:marRight w:val="1"/>
                  <w:marTop w:val="0"/>
                  <w:marBottom w:val="0"/>
                  <w:divBdr>
                    <w:top w:val="none" w:sz="0" w:space="0" w:color="auto"/>
                    <w:left w:val="none" w:sz="0" w:space="0" w:color="auto"/>
                    <w:bottom w:val="none" w:sz="0" w:space="0" w:color="auto"/>
                    <w:right w:val="none" w:sz="0" w:space="0" w:color="auto"/>
                  </w:divBdr>
                  <w:divsChild>
                    <w:div w:id="2118285912">
                      <w:marLeft w:val="0"/>
                      <w:marRight w:val="0"/>
                      <w:marTop w:val="0"/>
                      <w:marBottom w:val="0"/>
                      <w:divBdr>
                        <w:top w:val="none" w:sz="0" w:space="0" w:color="auto"/>
                        <w:left w:val="none" w:sz="0" w:space="0" w:color="auto"/>
                        <w:bottom w:val="none" w:sz="0" w:space="0" w:color="auto"/>
                        <w:right w:val="none" w:sz="0" w:space="0" w:color="auto"/>
                      </w:divBdr>
                      <w:divsChild>
                        <w:div w:id="2118285879">
                          <w:marLeft w:val="0"/>
                          <w:marRight w:val="0"/>
                          <w:marTop w:val="0"/>
                          <w:marBottom w:val="0"/>
                          <w:divBdr>
                            <w:top w:val="none" w:sz="0" w:space="0" w:color="auto"/>
                            <w:left w:val="none" w:sz="0" w:space="0" w:color="auto"/>
                            <w:bottom w:val="none" w:sz="0" w:space="0" w:color="auto"/>
                            <w:right w:val="none" w:sz="0" w:space="0" w:color="auto"/>
                          </w:divBdr>
                          <w:divsChild>
                            <w:div w:id="2118285771">
                              <w:marLeft w:val="0"/>
                              <w:marRight w:val="0"/>
                              <w:marTop w:val="120"/>
                              <w:marBottom w:val="360"/>
                              <w:divBdr>
                                <w:top w:val="none" w:sz="0" w:space="0" w:color="auto"/>
                                <w:left w:val="none" w:sz="0" w:space="0" w:color="auto"/>
                                <w:bottom w:val="none" w:sz="0" w:space="0" w:color="auto"/>
                                <w:right w:val="none" w:sz="0" w:space="0" w:color="auto"/>
                              </w:divBdr>
                              <w:divsChild>
                                <w:div w:id="2118285728">
                                  <w:marLeft w:val="0"/>
                                  <w:marRight w:val="0"/>
                                  <w:marTop w:val="0"/>
                                  <w:marBottom w:val="0"/>
                                  <w:divBdr>
                                    <w:top w:val="none" w:sz="0" w:space="0" w:color="auto"/>
                                    <w:left w:val="none" w:sz="0" w:space="0" w:color="auto"/>
                                    <w:bottom w:val="none" w:sz="0" w:space="0" w:color="auto"/>
                                    <w:right w:val="none" w:sz="0" w:space="0" w:color="auto"/>
                                  </w:divBdr>
                                </w:div>
                                <w:div w:id="21182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821">
      <w:marLeft w:val="0"/>
      <w:marRight w:val="0"/>
      <w:marTop w:val="0"/>
      <w:marBottom w:val="0"/>
      <w:divBdr>
        <w:top w:val="none" w:sz="0" w:space="0" w:color="auto"/>
        <w:left w:val="none" w:sz="0" w:space="0" w:color="auto"/>
        <w:bottom w:val="none" w:sz="0" w:space="0" w:color="auto"/>
        <w:right w:val="none" w:sz="0" w:space="0" w:color="auto"/>
      </w:divBdr>
      <w:divsChild>
        <w:div w:id="2118285610">
          <w:marLeft w:val="0"/>
          <w:marRight w:val="1"/>
          <w:marTop w:val="0"/>
          <w:marBottom w:val="0"/>
          <w:divBdr>
            <w:top w:val="none" w:sz="0" w:space="0" w:color="auto"/>
            <w:left w:val="none" w:sz="0" w:space="0" w:color="auto"/>
            <w:bottom w:val="none" w:sz="0" w:space="0" w:color="auto"/>
            <w:right w:val="none" w:sz="0" w:space="0" w:color="auto"/>
          </w:divBdr>
          <w:divsChild>
            <w:div w:id="2118285704">
              <w:marLeft w:val="0"/>
              <w:marRight w:val="0"/>
              <w:marTop w:val="0"/>
              <w:marBottom w:val="0"/>
              <w:divBdr>
                <w:top w:val="none" w:sz="0" w:space="0" w:color="auto"/>
                <w:left w:val="none" w:sz="0" w:space="0" w:color="auto"/>
                <w:bottom w:val="none" w:sz="0" w:space="0" w:color="auto"/>
                <w:right w:val="none" w:sz="0" w:space="0" w:color="auto"/>
              </w:divBdr>
              <w:divsChild>
                <w:div w:id="2118285801">
                  <w:marLeft w:val="0"/>
                  <w:marRight w:val="1"/>
                  <w:marTop w:val="0"/>
                  <w:marBottom w:val="0"/>
                  <w:divBdr>
                    <w:top w:val="none" w:sz="0" w:space="0" w:color="auto"/>
                    <w:left w:val="none" w:sz="0" w:space="0" w:color="auto"/>
                    <w:bottom w:val="none" w:sz="0" w:space="0" w:color="auto"/>
                    <w:right w:val="none" w:sz="0" w:space="0" w:color="auto"/>
                  </w:divBdr>
                  <w:divsChild>
                    <w:div w:id="2118285613">
                      <w:marLeft w:val="0"/>
                      <w:marRight w:val="0"/>
                      <w:marTop w:val="0"/>
                      <w:marBottom w:val="0"/>
                      <w:divBdr>
                        <w:top w:val="none" w:sz="0" w:space="0" w:color="auto"/>
                        <w:left w:val="none" w:sz="0" w:space="0" w:color="auto"/>
                        <w:bottom w:val="none" w:sz="0" w:space="0" w:color="auto"/>
                        <w:right w:val="none" w:sz="0" w:space="0" w:color="auto"/>
                      </w:divBdr>
                      <w:divsChild>
                        <w:div w:id="2118285685">
                          <w:marLeft w:val="0"/>
                          <w:marRight w:val="0"/>
                          <w:marTop w:val="0"/>
                          <w:marBottom w:val="0"/>
                          <w:divBdr>
                            <w:top w:val="none" w:sz="0" w:space="0" w:color="auto"/>
                            <w:left w:val="none" w:sz="0" w:space="0" w:color="auto"/>
                            <w:bottom w:val="none" w:sz="0" w:space="0" w:color="auto"/>
                            <w:right w:val="none" w:sz="0" w:space="0" w:color="auto"/>
                          </w:divBdr>
                          <w:divsChild>
                            <w:div w:id="2118285916">
                              <w:marLeft w:val="0"/>
                              <w:marRight w:val="0"/>
                              <w:marTop w:val="120"/>
                              <w:marBottom w:val="360"/>
                              <w:divBdr>
                                <w:top w:val="none" w:sz="0" w:space="0" w:color="auto"/>
                                <w:left w:val="none" w:sz="0" w:space="0" w:color="auto"/>
                                <w:bottom w:val="none" w:sz="0" w:space="0" w:color="auto"/>
                                <w:right w:val="none" w:sz="0" w:space="0" w:color="auto"/>
                              </w:divBdr>
                              <w:divsChild>
                                <w:div w:id="2118285616">
                                  <w:marLeft w:val="0"/>
                                  <w:marRight w:val="0"/>
                                  <w:marTop w:val="0"/>
                                  <w:marBottom w:val="0"/>
                                  <w:divBdr>
                                    <w:top w:val="none" w:sz="0" w:space="0" w:color="auto"/>
                                    <w:left w:val="none" w:sz="0" w:space="0" w:color="auto"/>
                                    <w:bottom w:val="none" w:sz="0" w:space="0" w:color="auto"/>
                                    <w:right w:val="none" w:sz="0" w:space="0" w:color="auto"/>
                                  </w:divBdr>
                                </w:div>
                                <w:div w:id="21182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827">
      <w:marLeft w:val="0"/>
      <w:marRight w:val="0"/>
      <w:marTop w:val="0"/>
      <w:marBottom w:val="0"/>
      <w:divBdr>
        <w:top w:val="none" w:sz="0" w:space="0" w:color="auto"/>
        <w:left w:val="none" w:sz="0" w:space="0" w:color="auto"/>
        <w:bottom w:val="none" w:sz="0" w:space="0" w:color="auto"/>
        <w:right w:val="none" w:sz="0" w:space="0" w:color="auto"/>
      </w:divBdr>
      <w:divsChild>
        <w:div w:id="2118285920">
          <w:marLeft w:val="0"/>
          <w:marRight w:val="1"/>
          <w:marTop w:val="0"/>
          <w:marBottom w:val="0"/>
          <w:divBdr>
            <w:top w:val="none" w:sz="0" w:space="0" w:color="auto"/>
            <w:left w:val="none" w:sz="0" w:space="0" w:color="auto"/>
            <w:bottom w:val="none" w:sz="0" w:space="0" w:color="auto"/>
            <w:right w:val="none" w:sz="0" w:space="0" w:color="auto"/>
          </w:divBdr>
          <w:divsChild>
            <w:div w:id="2118285844">
              <w:marLeft w:val="0"/>
              <w:marRight w:val="0"/>
              <w:marTop w:val="0"/>
              <w:marBottom w:val="0"/>
              <w:divBdr>
                <w:top w:val="none" w:sz="0" w:space="0" w:color="auto"/>
                <w:left w:val="none" w:sz="0" w:space="0" w:color="auto"/>
                <w:bottom w:val="none" w:sz="0" w:space="0" w:color="auto"/>
                <w:right w:val="none" w:sz="0" w:space="0" w:color="auto"/>
              </w:divBdr>
              <w:divsChild>
                <w:div w:id="2118285946">
                  <w:marLeft w:val="0"/>
                  <w:marRight w:val="1"/>
                  <w:marTop w:val="0"/>
                  <w:marBottom w:val="0"/>
                  <w:divBdr>
                    <w:top w:val="none" w:sz="0" w:space="0" w:color="auto"/>
                    <w:left w:val="none" w:sz="0" w:space="0" w:color="auto"/>
                    <w:bottom w:val="none" w:sz="0" w:space="0" w:color="auto"/>
                    <w:right w:val="none" w:sz="0" w:space="0" w:color="auto"/>
                  </w:divBdr>
                  <w:divsChild>
                    <w:div w:id="2118285822">
                      <w:marLeft w:val="0"/>
                      <w:marRight w:val="0"/>
                      <w:marTop w:val="0"/>
                      <w:marBottom w:val="0"/>
                      <w:divBdr>
                        <w:top w:val="none" w:sz="0" w:space="0" w:color="auto"/>
                        <w:left w:val="none" w:sz="0" w:space="0" w:color="auto"/>
                        <w:bottom w:val="none" w:sz="0" w:space="0" w:color="auto"/>
                        <w:right w:val="none" w:sz="0" w:space="0" w:color="auto"/>
                      </w:divBdr>
                      <w:divsChild>
                        <w:div w:id="2118285876">
                          <w:marLeft w:val="0"/>
                          <w:marRight w:val="0"/>
                          <w:marTop w:val="0"/>
                          <w:marBottom w:val="0"/>
                          <w:divBdr>
                            <w:top w:val="none" w:sz="0" w:space="0" w:color="auto"/>
                            <w:left w:val="none" w:sz="0" w:space="0" w:color="auto"/>
                            <w:bottom w:val="none" w:sz="0" w:space="0" w:color="auto"/>
                            <w:right w:val="none" w:sz="0" w:space="0" w:color="auto"/>
                          </w:divBdr>
                          <w:divsChild>
                            <w:div w:id="2118285603">
                              <w:marLeft w:val="0"/>
                              <w:marRight w:val="0"/>
                              <w:marTop w:val="120"/>
                              <w:marBottom w:val="360"/>
                              <w:divBdr>
                                <w:top w:val="none" w:sz="0" w:space="0" w:color="auto"/>
                                <w:left w:val="none" w:sz="0" w:space="0" w:color="auto"/>
                                <w:bottom w:val="none" w:sz="0" w:space="0" w:color="auto"/>
                                <w:right w:val="none" w:sz="0" w:space="0" w:color="auto"/>
                              </w:divBdr>
                              <w:divsChild>
                                <w:div w:id="2118285772">
                                  <w:marLeft w:val="0"/>
                                  <w:marRight w:val="0"/>
                                  <w:marTop w:val="0"/>
                                  <w:marBottom w:val="0"/>
                                  <w:divBdr>
                                    <w:top w:val="none" w:sz="0" w:space="0" w:color="auto"/>
                                    <w:left w:val="none" w:sz="0" w:space="0" w:color="auto"/>
                                    <w:bottom w:val="none" w:sz="0" w:space="0" w:color="auto"/>
                                    <w:right w:val="none" w:sz="0" w:space="0" w:color="auto"/>
                                  </w:divBdr>
                                </w:div>
                                <w:div w:id="21182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848">
      <w:marLeft w:val="0"/>
      <w:marRight w:val="0"/>
      <w:marTop w:val="0"/>
      <w:marBottom w:val="0"/>
      <w:divBdr>
        <w:top w:val="none" w:sz="0" w:space="0" w:color="auto"/>
        <w:left w:val="none" w:sz="0" w:space="0" w:color="auto"/>
        <w:bottom w:val="none" w:sz="0" w:space="0" w:color="auto"/>
        <w:right w:val="none" w:sz="0" w:space="0" w:color="auto"/>
      </w:divBdr>
      <w:divsChild>
        <w:div w:id="2118285943">
          <w:marLeft w:val="0"/>
          <w:marRight w:val="1"/>
          <w:marTop w:val="0"/>
          <w:marBottom w:val="0"/>
          <w:divBdr>
            <w:top w:val="none" w:sz="0" w:space="0" w:color="auto"/>
            <w:left w:val="none" w:sz="0" w:space="0" w:color="auto"/>
            <w:bottom w:val="none" w:sz="0" w:space="0" w:color="auto"/>
            <w:right w:val="none" w:sz="0" w:space="0" w:color="auto"/>
          </w:divBdr>
          <w:divsChild>
            <w:div w:id="2118285778">
              <w:marLeft w:val="0"/>
              <w:marRight w:val="0"/>
              <w:marTop w:val="0"/>
              <w:marBottom w:val="0"/>
              <w:divBdr>
                <w:top w:val="none" w:sz="0" w:space="0" w:color="auto"/>
                <w:left w:val="none" w:sz="0" w:space="0" w:color="auto"/>
                <w:bottom w:val="none" w:sz="0" w:space="0" w:color="auto"/>
                <w:right w:val="none" w:sz="0" w:space="0" w:color="auto"/>
              </w:divBdr>
              <w:divsChild>
                <w:div w:id="2118285760">
                  <w:marLeft w:val="0"/>
                  <w:marRight w:val="1"/>
                  <w:marTop w:val="0"/>
                  <w:marBottom w:val="0"/>
                  <w:divBdr>
                    <w:top w:val="none" w:sz="0" w:space="0" w:color="auto"/>
                    <w:left w:val="none" w:sz="0" w:space="0" w:color="auto"/>
                    <w:bottom w:val="none" w:sz="0" w:space="0" w:color="auto"/>
                    <w:right w:val="none" w:sz="0" w:space="0" w:color="auto"/>
                  </w:divBdr>
                  <w:divsChild>
                    <w:div w:id="2118285688">
                      <w:marLeft w:val="0"/>
                      <w:marRight w:val="0"/>
                      <w:marTop w:val="0"/>
                      <w:marBottom w:val="0"/>
                      <w:divBdr>
                        <w:top w:val="none" w:sz="0" w:space="0" w:color="auto"/>
                        <w:left w:val="none" w:sz="0" w:space="0" w:color="auto"/>
                        <w:bottom w:val="none" w:sz="0" w:space="0" w:color="auto"/>
                        <w:right w:val="none" w:sz="0" w:space="0" w:color="auto"/>
                      </w:divBdr>
                      <w:divsChild>
                        <w:div w:id="2118285637">
                          <w:marLeft w:val="0"/>
                          <w:marRight w:val="0"/>
                          <w:marTop w:val="0"/>
                          <w:marBottom w:val="0"/>
                          <w:divBdr>
                            <w:top w:val="none" w:sz="0" w:space="0" w:color="auto"/>
                            <w:left w:val="none" w:sz="0" w:space="0" w:color="auto"/>
                            <w:bottom w:val="none" w:sz="0" w:space="0" w:color="auto"/>
                            <w:right w:val="none" w:sz="0" w:space="0" w:color="auto"/>
                          </w:divBdr>
                          <w:divsChild>
                            <w:div w:id="2118285589">
                              <w:marLeft w:val="0"/>
                              <w:marRight w:val="0"/>
                              <w:marTop w:val="120"/>
                              <w:marBottom w:val="360"/>
                              <w:divBdr>
                                <w:top w:val="none" w:sz="0" w:space="0" w:color="auto"/>
                                <w:left w:val="none" w:sz="0" w:space="0" w:color="auto"/>
                                <w:bottom w:val="none" w:sz="0" w:space="0" w:color="auto"/>
                                <w:right w:val="none" w:sz="0" w:space="0" w:color="auto"/>
                              </w:divBdr>
                              <w:divsChild>
                                <w:div w:id="2118285849">
                                  <w:marLeft w:val="367"/>
                                  <w:marRight w:val="0"/>
                                  <w:marTop w:val="0"/>
                                  <w:marBottom w:val="0"/>
                                  <w:divBdr>
                                    <w:top w:val="none" w:sz="0" w:space="0" w:color="auto"/>
                                    <w:left w:val="none" w:sz="0" w:space="0" w:color="auto"/>
                                    <w:bottom w:val="none" w:sz="0" w:space="0" w:color="auto"/>
                                    <w:right w:val="none" w:sz="0" w:space="0" w:color="auto"/>
                                  </w:divBdr>
                                  <w:divsChild>
                                    <w:div w:id="2118285836">
                                      <w:marLeft w:val="0"/>
                                      <w:marRight w:val="0"/>
                                      <w:marTop w:val="0"/>
                                      <w:marBottom w:val="0"/>
                                      <w:divBdr>
                                        <w:top w:val="none" w:sz="0" w:space="0" w:color="auto"/>
                                        <w:left w:val="none" w:sz="0" w:space="0" w:color="auto"/>
                                        <w:bottom w:val="none" w:sz="0" w:space="0" w:color="auto"/>
                                        <w:right w:val="none" w:sz="0" w:space="0" w:color="auto"/>
                                      </w:divBdr>
                                      <w:divsChild>
                                        <w:div w:id="2118285956">
                                          <w:marLeft w:val="0"/>
                                          <w:marRight w:val="0"/>
                                          <w:marTop w:val="0"/>
                                          <w:marBottom w:val="0"/>
                                          <w:divBdr>
                                            <w:top w:val="none" w:sz="0" w:space="0" w:color="auto"/>
                                            <w:left w:val="none" w:sz="0" w:space="0" w:color="auto"/>
                                            <w:bottom w:val="none" w:sz="0" w:space="0" w:color="auto"/>
                                            <w:right w:val="none" w:sz="0" w:space="0" w:color="auto"/>
                                          </w:divBdr>
                                        </w:div>
                                      </w:divsChild>
                                    </w:div>
                                    <w:div w:id="21182859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859">
      <w:marLeft w:val="0"/>
      <w:marRight w:val="0"/>
      <w:marTop w:val="0"/>
      <w:marBottom w:val="0"/>
      <w:divBdr>
        <w:top w:val="none" w:sz="0" w:space="0" w:color="auto"/>
        <w:left w:val="none" w:sz="0" w:space="0" w:color="auto"/>
        <w:bottom w:val="none" w:sz="0" w:space="0" w:color="auto"/>
        <w:right w:val="none" w:sz="0" w:space="0" w:color="auto"/>
      </w:divBdr>
      <w:divsChild>
        <w:div w:id="2118285885">
          <w:marLeft w:val="0"/>
          <w:marRight w:val="1"/>
          <w:marTop w:val="0"/>
          <w:marBottom w:val="0"/>
          <w:divBdr>
            <w:top w:val="none" w:sz="0" w:space="0" w:color="auto"/>
            <w:left w:val="none" w:sz="0" w:space="0" w:color="auto"/>
            <w:bottom w:val="none" w:sz="0" w:space="0" w:color="auto"/>
            <w:right w:val="none" w:sz="0" w:space="0" w:color="auto"/>
          </w:divBdr>
          <w:divsChild>
            <w:div w:id="2118285826">
              <w:marLeft w:val="0"/>
              <w:marRight w:val="0"/>
              <w:marTop w:val="0"/>
              <w:marBottom w:val="0"/>
              <w:divBdr>
                <w:top w:val="none" w:sz="0" w:space="0" w:color="auto"/>
                <w:left w:val="none" w:sz="0" w:space="0" w:color="auto"/>
                <w:bottom w:val="none" w:sz="0" w:space="0" w:color="auto"/>
                <w:right w:val="none" w:sz="0" w:space="0" w:color="auto"/>
              </w:divBdr>
              <w:divsChild>
                <w:div w:id="2118285891">
                  <w:marLeft w:val="0"/>
                  <w:marRight w:val="1"/>
                  <w:marTop w:val="0"/>
                  <w:marBottom w:val="0"/>
                  <w:divBdr>
                    <w:top w:val="none" w:sz="0" w:space="0" w:color="auto"/>
                    <w:left w:val="none" w:sz="0" w:space="0" w:color="auto"/>
                    <w:bottom w:val="none" w:sz="0" w:space="0" w:color="auto"/>
                    <w:right w:val="none" w:sz="0" w:space="0" w:color="auto"/>
                  </w:divBdr>
                  <w:divsChild>
                    <w:div w:id="2118285729">
                      <w:marLeft w:val="0"/>
                      <w:marRight w:val="0"/>
                      <w:marTop w:val="0"/>
                      <w:marBottom w:val="0"/>
                      <w:divBdr>
                        <w:top w:val="none" w:sz="0" w:space="0" w:color="auto"/>
                        <w:left w:val="none" w:sz="0" w:space="0" w:color="auto"/>
                        <w:bottom w:val="none" w:sz="0" w:space="0" w:color="auto"/>
                        <w:right w:val="none" w:sz="0" w:space="0" w:color="auto"/>
                      </w:divBdr>
                      <w:divsChild>
                        <w:div w:id="2118285950">
                          <w:marLeft w:val="0"/>
                          <w:marRight w:val="0"/>
                          <w:marTop w:val="0"/>
                          <w:marBottom w:val="0"/>
                          <w:divBdr>
                            <w:top w:val="none" w:sz="0" w:space="0" w:color="auto"/>
                            <w:left w:val="none" w:sz="0" w:space="0" w:color="auto"/>
                            <w:bottom w:val="none" w:sz="0" w:space="0" w:color="auto"/>
                            <w:right w:val="none" w:sz="0" w:space="0" w:color="auto"/>
                          </w:divBdr>
                          <w:divsChild>
                            <w:div w:id="2118285816">
                              <w:marLeft w:val="0"/>
                              <w:marRight w:val="0"/>
                              <w:marTop w:val="120"/>
                              <w:marBottom w:val="360"/>
                              <w:divBdr>
                                <w:top w:val="none" w:sz="0" w:space="0" w:color="auto"/>
                                <w:left w:val="none" w:sz="0" w:space="0" w:color="auto"/>
                                <w:bottom w:val="none" w:sz="0" w:space="0" w:color="auto"/>
                                <w:right w:val="none" w:sz="0" w:space="0" w:color="auto"/>
                              </w:divBdr>
                              <w:divsChild>
                                <w:div w:id="2118285856">
                                  <w:marLeft w:val="0"/>
                                  <w:marRight w:val="0"/>
                                  <w:marTop w:val="0"/>
                                  <w:marBottom w:val="0"/>
                                  <w:divBdr>
                                    <w:top w:val="none" w:sz="0" w:space="0" w:color="auto"/>
                                    <w:left w:val="none" w:sz="0" w:space="0" w:color="auto"/>
                                    <w:bottom w:val="none" w:sz="0" w:space="0" w:color="auto"/>
                                    <w:right w:val="none" w:sz="0" w:space="0" w:color="auto"/>
                                  </w:divBdr>
                                </w:div>
                                <w:div w:id="21182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866">
      <w:marLeft w:val="0"/>
      <w:marRight w:val="0"/>
      <w:marTop w:val="0"/>
      <w:marBottom w:val="0"/>
      <w:divBdr>
        <w:top w:val="none" w:sz="0" w:space="0" w:color="auto"/>
        <w:left w:val="none" w:sz="0" w:space="0" w:color="auto"/>
        <w:bottom w:val="none" w:sz="0" w:space="0" w:color="auto"/>
        <w:right w:val="none" w:sz="0" w:space="0" w:color="auto"/>
      </w:divBdr>
      <w:divsChild>
        <w:div w:id="2118285954">
          <w:marLeft w:val="0"/>
          <w:marRight w:val="1"/>
          <w:marTop w:val="0"/>
          <w:marBottom w:val="0"/>
          <w:divBdr>
            <w:top w:val="none" w:sz="0" w:space="0" w:color="auto"/>
            <w:left w:val="none" w:sz="0" w:space="0" w:color="auto"/>
            <w:bottom w:val="none" w:sz="0" w:space="0" w:color="auto"/>
            <w:right w:val="none" w:sz="0" w:space="0" w:color="auto"/>
          </w:divBdr>
          <w:divsChild>
            <w:div w:id="2118285684">
              <w:marLeft w:val="0"/>
              <w:marRight w:val="0"/>
              <w:marTop w:val="0"/>
              <w:marBottom w:val="0"/>
              <w:divBdr>
                <w:top w:val="none" w:sz="0" w:space="0" w:color="auto"/>
                <w:left w:val="none" w:sz="0" w:space="0" w:color="auto"/>
                <w:bottom w:val="none" w:sz="0" w:space="0" w:color="auto"/>
                <w:right w:val="none" w:sz="0" w:space="0" w:color="auto"/>
              </w:divBdr>
              <w:divsChild>
                <w:div w:id="2118285872">
                  <w:marLeft w:val="0"/>
                  <w:marRight w:val="1"/>
                  <w:marTop w:val="0"/>
                  <w:marBottom w:val="0"/>
                  <w:divBdr>
                    <w:top w:val="none" w:sz="0" w:space="0" w:color="auto"/>
                    <w:left w:val="none" w:sz="0" w:space="0" w:color="auto"/>
                    <w:bottom w:val="none" w:sz="0" w:space="0" w:color="auto"/>
                    <w:right w:val="none" w:sz="0" w:space="0" w:color="auto"/>
                  </w:divBdr>
                  <w:divsChild>
                    <w:div w:id="2118285799">
                      <w:marLeft w:val="0"/>
                      <w:marRight w:val="0"/>
                      <w:marTop w:val="0"/>
                      <w:marBottom w:val="0"/>
                      <w:divBdr>
                        <w:top w:val="none" w:sz="0" w:space="0" w:color="auto"/>
                        <w:left w:val="none" w:sz="0" w:space="0" w:color="auto"/>
                        <w:bottom w:val="none" w:sz="0" w:space="0" w:color="auto"/>
                        <w:right w:val="none" w:sz="0" w:space="0" w:color="auto"/>
                      </w:divBdr>
                      <w:divsChild>
                        <w:div w:id="2118285744">
                          <w:marLeft w:val="0"/>
                          <w:marRight w:val="0"/>
                          <w:marTop w:val="0"/>
                          <w:marBottom w:val="0"/>
                          <w:divBdr>
                            <w:top w:val="none" w:sz="0" w:space="0" w:color="auto"/>
                            <w:left w:val="none" w:sz="0" w:space="0" w:color="auto"/>
                            <w:bottom w:val="none" w:sz="0" w:space="0" w:color="auto"/>
                            <w:right w:val="none" w:sz="0" w:space="0" w:color="auto"/>
                          </w:divBdr>
                          <w:divsChild>
                            <w:div w:id="2118285845">
                              <w:marLeft w:val="0"/>
                              <w:marRight w:val="0"/>
                              <w:marTop w:val="120"/>
                              <w:marBottom w:val="360"/>
                              <w:divBdr>
                                <w:top w:val="none" w:sz="0" w:space="0" w:color="auto"/>
                                <w:left w:val="none" w:sz="0" w:space="0" w:color="auto"/>
                                <w:bottom w:val="none" w:sz="0" w:space="0" w:color="auto"/>
                                <w:right w:val="none" w:sz="0" w:space="0" w:color="auto"/>
                              </w:divBdr>
                              <w:divsChild>
                                <w:div w:id="2118285940">
                                  <w:marLeft w:val="0"/>
                                  <w:marRight w:val="0"/>
                                  <w:marTop w:val="0"/>
                                  <w:marBottom w:val="0"/>
                                  <w:divBdr>
                                    <w:top w:val="none" w:sz="0" w:space="0" w:color="auto"/>
                                    <w:left w:val="none" w:sz="0" w:space="0" w:color="auto"/>
                                    <w:bottom w:val="none" w:sz="0" w:space="0" w:color="auto"/>
                                    <w:right w:val="none" w:sz="0" w:space="0" w:color="auto"/>
                                  </w:divBdr>
                                  <w:divsChild>
                                    <w:div w:id="21182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873">
      <w:marLeft w:val="0"/>
      <w:marRight w:val="0"/>
      <w:marTop w:val="0"/>
      <w:marBottom w:val="0"/>
      <w:divBdr>
        <w:top w:val="none" w:sz="0" w:space="0" w:color="auto"/>
        <w:left w:val="none" w:sz="0" w:space="0" w:color="auto"/>
        <w:bottom w:val="none" w:sz="0" w:space="0" w:color="auto"/>
        <w:right w:val="none" w:sz="0" w:space="0" w:color="auto"/>
      </w:divBdr>
      <w:divsChild>
        <w:div w:id="2118285777">
          <w:marLeft w:val="0"/>
          <w:marRight w:val="1"/>
          <w:marTop w:val="0"/>
          <w:marBottom w:val="0"/>
          <w:divBdr>
            <w:top w:val="none" w:sz="0" w:space="0" w:color="auto"/>
            <w:left w:val="none" w:sz="0" w:space="0" w:color="auto"/>
            <w:bottom w:val="none" w:sz="0" w:space="0" w:color="auto"/>
            <w:right w:val="none" w:sz="0" w:space="0" w:color="auto"/>
          </w:divBdr>
          <w:divsChild>
            <w:div w:id="2118285806">
              <w:marLeft w:val="0"/>
              <w:marRight w:val="0"/>
              <w:marTop w:val="0"/>
              <w:marBottom w:val="0"/>
              <w:divBdr>
                <w:top w:val="none" w:sz="0" w:space="0" w:color="auto"/>
                <w:left w:val="none" w:sz="0" w:space="0" w:color="auto"/>
                <w:bottom w:val="none" w:sz="0" w:space="0" w:color="auto"/>
                <w:right w:val="none" w:sz="0" w:space="0" w:color="auto"/>
              </w:divBdr>
              <w:divsChild>
                <w:div w:id="2118285863">
                  <w:marLeft w:val="0"/>
                  <w:marRight w:val="1"/>
                  <w:marTop w:val="0"/>
                  <w:marBottom w:val="0"/>
                  <w:divBdr>
                    <w:top w:val="none" w:sz="0" w:space="0" w:color="auto"/>
                    <w:left w:val="none" w:sz="0" w:space="0" w:color="auto"/>
                    <w:bottom w:val="none" w:sz="0" w:space="0" w:color="auto"/>
                    <w:right w:val="none" w:sz="0" w:space="0" w:color="auto"/>
                  </w:divBdr>
                  <w:divsChild>
                    <w:div w:id="2118285591">
                      <w:marLeft w:val="0"/>
                      <w:marRight w:val="0"/>
                      <w:marTop w:val="0"/>
                      <w:marBottom w:val="0"/>
                      <w:divBdr>
                        <w:top w:val="none" w:sz="0" w:space="0" w:color="auto"/>
                        <w:left w:val="none" w:sz="0" w:space="0" w:color="auto"/>
                        <w:bottom w:val="none" w:sz="0" w:space="0" w:color="auto"/>
                        <w:right w:val="none" w:sz="0" w:space="0" w:color="auto"/>
                      </w:divBdr>
                      <w:divsChild>
                        <w:div w:id="2118285773">
                          <w:marLeft w:val="0"/>
                          <w:marRight w:val="0"/>
                          <w:marTop w:val="0"/>
                          <w:marBottom w:val="0"/>
                          <w:divBdr>
                            <w:top w:val="none" w:sz="0" w:space="0" w:color="auto"/>
                            <w:left w:val="none" w:sz="0" w:space="0" w:color="auto"/>
                            <w:bottom w:val="none" w:sz="0" w:space="0" w:color="auto"/>
                            <w:right w:val="none" w:sz="0" w:space="0" w:color="auto"/>
                          </w:divBdr>
                          <w:divsChild>
                            <w:div w:id="2118285588">
                              <w:marLeft w:val="0"/>
                              <w:marRight w:val="0"/>
                              <w:marTop w:val="120"/>
                              <w:marBottom w:val="360"/>
                              <w:divBdr>
                                <w:top w:val="none" w:sz="0" w:space="0" w:color="auto"/>
                                <w:left w:val="none" w:sz="0" w:space="0" w:color="auto"/>
                                <w:bottom w:val="none" w:sz="0" w:space="0" w:color="auto"/>
                                <w:right w:val="none" w:sz="0" w:space="0" w:color="auto"/>
                              </w:divBdr>
                              <w:divsChild>
                                <w:div w:id="2118285656">
                                  <w:marLeft w:val="0"/>
                                  <w:marRight w:val="0"/>
                                  <w:marTop w:val="0"/>
                                  <w:marBottom w:val="0"/>
                                  <w:divBdr>
                                    <w:top w:val="none" w:sz="0" w:space="0" w:color="auto"/>
                                    <w:left w:val="none" w:sz="0" w:space="0" w:color="auto"/>
                                    <w:bottom w:val="none" w:sz="0" w:space="0" w:color="auto"/>
                                    <w:right w:val="none" w:sz="0" w:space="0" w:color="auto"/>
                                  </w:divBdr>
                                  <w:divsChild>
                                    <w:div w:id="21182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875">
      <w:marLeft w:val="0"/>
      <w:marRight w:val="0"/>
      <w:marTop w:val="0"/>
      <w:marBottom w:val="0"/>
      <w:divBdr>
        <w:top w:val="none" w:sz="0" w:space="0" w:color="auto"/>
        <w:left w:val="none" w:sz="0" w:space="0" w:color="auto"/>
        <w:bottom w:val="none" w:sz="0" w:space="0" w:color="auto"/>
        <w:right w:val="none" w:sz="0" w:space="0" w:color="auto"/>
      </w:divBdr>
    </w:div>
    <w:div w:id="2118285878">
      <w:marLeft w:val="0"/>
      <w:marRight w:val="0"/>
      <w:marTop w:val="0"/>
      <w:marBottom w:val="0"/>
      <w:divBdr>
        <w:top w:val="none" w:sz="0" w:space="0" w:color="auto"/>
        <w:left w:val="none" w:sz="0" w:space="0" w:color="auto"/>
        <w:bottom w:val="none" w:sz="0" w:space="0" w:color="auto"/>
        <w:right w:val="none" w:sz="0" w:space="0" w:color="auto"/>
      </w:divBdr>
      <w:divsChild>
        <w:div w:id="2118285612">
          <w:marLeft w:val="0"/>
          <w:marRight w:val="1"/>
          <w:marTop w:val="0"/>
          <w:marBottom w:val="0"/>
          <w:divBdr>
            <w:top w:val="none" w:sz="0" w:space="0" w:color="auto"/>
            <w:left w:val="none" w:sz="0" w:space="0" w:color="auto"/>
            <w:bottom w:val="none" w:sz="0" w:space="0" w:color="auto"/>
            <w:right w:val="none" w:sz="0" w:space="0" w:color="auto"/>
          </w:divBdr>
          <w:divsChild>
            <w:div w:id="2118285829">
              <w:marLeft w:val="0"/>
              <w:marRight w:val="0"/>
              <w:marTop w:val="0"/>
              <w:marBottom w:val="0"/>
              <w:divBdr>
                <w:top w:val="none" w:sz="0" w:space="0" w:color="auto"/>
                <w:left w:val="none" w:sz="0" w:space="0" w:color="auto"/>
                <w:bottom w:val="none" w:sz="0" w:space="0" w:color="auto"/>
                <w:right w:val="none" w:sz="0" w:space="0" w:color="auto"/>
              </w:divBdr>
              <w:divsChild>
                <w:div w:id="2118285654">
                  <w:marLeft w:val="0"/>
                  <w:marRight w:val="1"/>
                  <w:marTop w:val="0"/>
                  <w:marBottom w:val="0"/>
                  <w:divBdr>
                    <w:top w:val="none" w:sz="0" w:space="0" w:color="auto"/>
                    <w:left w:val="none" w:sz="0" w:space="0" w:color="auto"/>
                    <w:bottom w:val="none" w:sz="0" w:space="0" w:color="auto"/>
                    <w:right w:val="none" w:sz="0" w:space="0" w:color="auto"/>
                  </w:divBdr>
                  <w:divsChild>
                    <w:div w:id="2118285665">
                      <w:marLeft w:val="0"/>
                      <w:marRight w:val="0"/>
                      <w:marTop w:val="0"/>
                      <w:marBottom w:val="0"/>
                      <w:divBdr>
                        <w:top w:val="none" w:sz="0" w:space="0" w:color="auto"/>
                        <w:left w:val="none" w:sz="0" w:space="0" w:color="auto"/>
                        <w:bottom w:val="none" w:sz="0" w:space="0" w:color="auto"/>
                        <w:right w:val="none" w:sz="0" w:space="0" w:color="auto"/>
                      </w:divBdr>
                      <w:divsChild>
                        <w:div w:id="2118285690">
                          <w:marLeft w:val="0"/>
                          <w:marRight w:val="0"/>
                          <w:marTop w:val="0"/>
                          <w:marBottom w:val="0"/>
                          <w:divBdr>
                            <w:top w:val="none" w:sz="0" w:space="0" w:color="auto"/>
                            <w:left w:val="none" w:sz="0" w:space="0" w:color="auto"/>
                            <w:bottom w:val="none" w:sz="0" w:space="0" w:color="auto"/>
                            <w:right w:val="none" w:sz="0" w:space="0" w:color="auto"/>
                          </w:divBdr>
                          <w:divsChild>
                            <w:div w:id="2118285757">
                              <w:marLeft w:val="0"/>
                              <w:marRight w:val="0"/>
                              <w:marTop w:val="120"/>
                              <w:marBottom w:val="360"/>
                              <w:divBdr>
                                <w:top w:val="none" w:sz="0" w:space="0" w:color="auto"/>
                                <w:left w:val="none" w:sz="0" w:space="0" w:color="auto"/>
                                <w:bottom w:val="none" w:sz="0" w:space="0" w:color="auto"/>
                                <w:right w:val="none" w:sz="0" w:space="0" w:color="auto"/>
                              </w:divBdr>
                              <w:divsChild>
                                <w:div w:id="2118285832">
                                  <w:marLeft w:val="0"/>
                                  <w:marRight w:val="0"/>
                                  <w:marTop w:val="0"/>
                                  <w:marBottom w:val="0"/>
                                  <w:divBdr>
                                    <w:top w:val="none" w:sz="0" w:space="0" w:color="auto"/>
                                    <w:left w:val="none" w:sz="0" w:space="0" w:color="auto"/>
                                    <w:bottom w:val="none" w:sz="0" w:space="0" w:color="auto"/>
                                    <w:right w:val="none" w:sz="0" w:space="0" w:color="auto"/>
                                  </w:divBdr>
                                  <w:divsChild>
                                    <w:div w:id="21182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881">
      <w:marLeft w:val="0"/>
      <w:marRight w:val="0"/>
      <w:marTop w:val="0"/>
      <w:marBottom w:val="0"/>
      <w:divBdr>
        <w:top w:val="none" w:sz="0" w:space="0" w:color="auto"/>
        <w:left w:val="none" w:sz="0" w:space="0" w:color="auto"/>
        <w:bottom w:val="none" w:sz="0" w:space="0" w:color="auto"/>
        <w:right w:val="none" w:sz="0" w:space="0" w:color="auto"/>
      </w:divBdr>
      <w:divsChild>
        <w:div w:id="2118285812">
          <w:marLeft w:val="0"/>
          <w:marRight w:val="1"/>
          <w:marTop w:val="0"/>
          <w:marBottom w:val="0"/>
          <w:divBdr>
            <w:top w:val="none" w:sz="0" w:space="0" w:color="auto"/>
            <w:left w:val="none" w:sz="0" w:space="0" w:color="auto"/>
            <w:bottom w:val="none" w:sz="0" w:space="0" w:color="auto"/>
            <w:right w:val="none" w:sz="0" w:space="0" w:color="auto"/>
          </w:divBdr>
          <w:divsChild>
            <w:div w:id="2118285636">
              <w:marLeft w:val="0"/>
              <w:marRight w:val="0"/>
              <w:marTop w:val="0"/>
              <w:marBottom w:val="0"/>
              <w:divBdr>
                <w:top w:val="none" w:sz="0" w:space="0" w:color="auto"/>
                <w:left w:val="none" w:sz="0" w:space="0" w:color="auto"/>
                <w:bottom w:val="none" w:sz="0" w:space="0" w:color="auto"/>
                <w:right w:val="none" w:sz="0" w:space="0" w:color="auto"/>
              </w:divBdr>
              <w:divsChild>
                <w:div w:id="2118285618">
                  <w:marLeft w:val="0"/>
                  <w:marRight w:val="1"/>
                  <w:marTop w:val="0"/>
                  <w:marBottom w:val="0"/>
                  <w:divBdr>
                    <w:top w:val="none" w:sz="0" w:space="0" w:color="auto"/>
                    <w:left w:val="none" w:sz="0" w:space="0" w:color="auto"/>
                    <w:bottom w:val="none" w:sz="0" w:space="0" w:color="auto"/>
                    <w:right w:val="none" w:sz="0" w:space="0" w:color="auto"/>
                  </w:divBdr>
                  <w:divsChild>
                    <w:div w:id="2118285882">
                      <w:marLeft w:val="0"/>
                      <w:marRight w:val="0"/>
                      <w:marTop w:val="0"/>
                      <w:marBottom w:val="0"/>
                      <w:divBdr>
                        <w:top w:val="none" w:sz="0" w:space="0" w:color="auto"/>
                        <w:left w:val="none" w:sz="0" w:space="0" w:color="auto"/>
                        <w:bottom w:val="none" w:sz="0" w:space="0" w:color="auto"/>
                        <w:right w:val="none" w:sz="0" w:space="0" w:color="auto"/>
                      </w:divBdr>
                      <w:divsChild>
                        <w:div w:id="2118285716">
                          <w:marLeft w:val="0"/>
                          <w:marRight w:val="0"/>
                          <w:marTop w:val="0"/>
                          <w:marBottom w:val="0"/>
                          <w:divBdr>
                            <w:top w:val="none" w:sz="0" w:space="0" w:color="auto"/>
                            <w:left w:val="none" w:sz="0" w:space="0" w:color="auto"/>
                            <w:bottom w:val="none" w:sz="0" w:space="0" w:color="auto"/>
                            <w:right w:val="none" w:sz="0" w:space="0" w:color="auto"/>
                          </w:divBdr>
                          <w:divsChild>
                            <w:div w:id="2118285809">
                              <w:marLeft w:val="0"/>
                              <w:marRight w:val="0"/>
                              <w:marTop w:val="120"/>
                              <w:marBottom w:val="360"/>
                              <w:divBdr>
                                <w:top w:val="none" w:sz="0" w:space="0" w:color="auto"/>
                                <w:left w:val="none" w:sz="0" w:space="0" w:color="auto"/>
                                <w:bottom w:val="none" w:sz="0" w:space="0" w:color="auto"/>
                                <w:right w:val="none" w:sz="0" w:space="0" w:color="auto"/>
                              </w:divBdr>
                              <w:divsChild>
                                <w:div w:id="2118285634">
                                  <w:marLeft w:val="0"/>
                                  <w:marRight w:val="0"/>
                                  <w:marTop w:val="0"/>
                                  <w:marBottom w:val="0"/>
                                  <w:divBdr>
                                    <w:top w:val="none" w:sz="0" w:space="0" w:color="auto"/>
                                    <w:left w:val="none" w:sz="0" w:space="0" w:color="auto"/>
                                    <w:bottom w:val="none" w:sz="0" w:space="0" w:color="auto"/>
                                    <w:right w:val="none" w:sz="0" w:space="0" w:color="auto"/>
                                  </w:divBdr>
                                </w:div>
                                <w:div w:id="21182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886">
      <w:marLeft w:val="0"/>
      <w:marRight w:val="0"/>
      <w:marTop w:val="0"/>
      <w:marBottom w:val="0"/>
      <w:divBdr>
        <w:top w:val="none" w:sz="0" w:space="0" w:color="auto"/>
        <w:left w:val="none" w:sz="0" w:space="0" w:color="auto"/>
        <w:bottom w:val="none" w:sz="0" w:space="0" w:color="auto"/>
        <w:right w:val="none" w:sz="0" w:space="0" w:color="auto"/>
      </w:divBdr>
    </w:div>
    <w:div w:id="2118285888">
      <w:marLeft w:val="0"/>
      <w:marRight w:val="0"/>
      <w:marTop w:val="0"/>
      <w:marBottom w:val="0"/>
      <w:divBdr>
        <w:top w:val="none" w:sz="0" w:space="0" w:color="auto"/>
        <w:left w:val="none" w:sz="0" w:space="0" w:color="auto"/>
        <w:bottom w:val="none" w:sz="0" w:space="0" w:color="auto"/>
        <w:right w:val="none" w:sz="0" w:space="0" w:color="auto"/>
      </w:divBdr>
      <w:divsChild>
        <w:div w:id="2118285631">
          <w:marLeft w:val="0"/>
          <w:marRight w:val="1"/>
          <w:marTop w:val="0"/>
          <w:marBottom w:val="0"/>
          <w:divBdr>
            <w:top w:val="none" w:sz="0" w:space="0" w:color="auto"/>
            <w:left w:val="none" w:sz="0" w:space="0" w:color="auto"/>
            <w:bottom w:val="none" w:sz="0" w:space="0" w:color="auto"/>
            <w:right w:val="none" w:sz="0" w:space="0" w:color="auto"/>
          </w:divBdr>
          <w:divsChild>
            <w:div w:id="2118285795">
              <w:marLeft w:val="0"/>
              <w:marRight w:val="0"/>
              <w:marTop w:val="0"/>
              <w:marBottom w:val="0"/>
              <w:divBdr>
                <w:top w:val="none" w:sz="0" w:space="0" w:color="auto"/>
                <w:left w:val="none" w:sz="0" w:space="0" w:color="auto"/>
                <w:bottom w:val="none" w:sz="0" w:space="0" w:color="auto"/>
                <w:right w:val="none" w:sz="0" w:space="0" w:color="auto"/>
              </w:divBdr>
              <w:divsChild>
                <w:div w:id="2118285599">
                  <w:marLeft w:val="0"/>
                  <w:marRight w:val="1"/>
                  <w:marTop w:val="0"/>
                  <w:marBottom w:val="0"/>
                  <w:divBdr>
                    <w:top w:val="none" w:sz="0" w:space="0" w:color="auto"/>
                    <w:left w:val="none" w:sz="0" w:space="0" w:color="auto"/>
                    <w:bottom w:val="none" w:sz="0" w:space="0" w:color="auto"/>
                    <w:right w:val="none" w:sz="0" w:space="0" w:color="auto"/>
                  </w:divBdr>
                  <w:divsChild>
                    <w:div w:id="2118285775">
                      <w:marLeft w:val="0"/>
                      <w:marRight w:val="0"/>
                      <w:marTop w:val="0"/>
                      <w:marBottom w:val="0"/>
                      <w:divBdr>
                        <w:top w:val="none" w:sz="0" w:space="0" w:color="auto"/>
                        <w:left w:val="none" w:sz="0" w:space="0" w:color="auto"/>
                        <w:bottom w:val="none" w:sz="0" w:space="0" w:color="auto"/>
                        <w:right w:val="none" w:sz="0" w:space="0" w:color="auto"/>
                      </w:divBdr>
                      <w:divsChild>
                        <w:div w:id="2118285596">
                          <w:marLeft w:val="0"/>
                          <w:marRight w:val="0"/>
                          <w:marTop w:val="0"/>
                          <w:marBottom w:val="0"/>
                          <w:divBdr>
                            <w:top w:val="none" w:sz="0" w:space="0" w:color="auto"/>
                            <w:left w:val="none" w:sz="0" w:space="0" w:color="auto"/>
                            <w:bottom w:val="none" w:sz="0" w:space="0" w:color="auto"/>
                            <w:right w:val="none" w:sz="0" w:space="0" w:color="auto"/>
                          </w:divBdr>
                          <w:divsChild>
                            <w:div w:id="2118285642">
                              <w:marLeft w:val="0"/>
                              <w:marRight w:val="0"/>
                              <w:marTop w:val="120"/>
                              <w:marBottom w:val="360"/>
                              <w:divBdr>
                                <w:top w:val="none" w:sz="0" w:space="0" w:color="auto"/>
                                <w:left w:val="none" w:sz="0" w:space="0" w:color="auto"/>
                                <w:bottom w:val="none" w:sz="0" w:space="0" w:color="auto"/>
                                <w:right w:val="none" w:sz="0" w:space="0" w:color="auto"/>
                              </w:divBdr>
                              <w:divsChild>
                                <w:div w:id="2118285781">
                                  <w:marLeft w:val="0"/>
                                  <w:marRight w:val="0"/>
                                  <w:marTop w:val="0"/>
                                  <w:marBottom w:val="0"/>
                                  <w:divBdr>
                                    <w:top w:val="none" w:sz="0" w:space="0" w:color="auto"/>
                                    <w:left w:val="none" w:sz="0" w:space="0" w:color="auto"/>
                                    <w:bottom w:val="none" w:sz="0" w:space="0" w:color="auto"/>
                                    <w:right w:val="none" w:sz="0" w:space="0" w:color="auto"/>
                                  </w:divBdr>
                                </w:div>
                                <w:div w:id="21182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893">
      <w:marLeft w:val="0"/>
      <w:marRight w:val="0"/>
      <w:marTop w:val="0"/>
      <w:marBottom w:val="0"/>
      <w:divBdr>
        <w:top w:val="none" w:sz="0" w:space="0" w:color="auto"/>
        <w:left w:val="none" w:sz="0" w:space="0" w:color="auto"/>
        <w:bottom w:val="none" w:sz="0" w:space="0" w:color="auto"/>
        <w:right w:val="none" w:sz="0" w:space="0" w:color="auto"/>
      </w:divBdr>
      <w:divsChild>
        <w:div w:id="2118285694">
          <w:marLeft w:val="0"/>
          <w:marRight w:val="1"/>
          <w:marTop w:val="0"/>
          <w:marBottom w:val="0"/>
          <w:divBdr>
            <w:top w:val="none" w:sz="0" w:space="0" w:color="auto"/>
            <w:left w:val="none" w:sz="0" w:space="0" w:color="auto"/>
            <w:bottom w:val="none" w:sz="0" w:space="0" w:color="auto"/>
            <w:right w:val="none" w:sz="0" w:space="0" w:color="auto"/>
          </w:divBdr>
          <w:divsChild>
            <w:div w:id="2118285625">
              <w:marLeft w:val="0"/>
              <w:marRight w:val="0"/>
              <w:marTop w:val="0"/>
              <w:marBottom w:val="0"/>
              <w:divBdr>
                <w:top w:val="none" w:sz="0" w:space="0" w:color="auto"/>
                <w:left w:val="none" w:sz="0" w:space="0" w:color="auto"/>
                <w:bottom w:val="none" w:sz="0" w:space="0" w:color="auto"/>
                <w:right w:val="none" w:sz="0" w:space="0" w:color="auto"/>
              </w:divBdr>
              <w:divsChild>
                <w:div w:id="2118285763">
                  <w:marLeft w:val="0"/>
                  <w:marRight w:val="1"/>
                  <w:marTop w:val="0"/>
                  <w:marBottom w:val="0"/>
                  <w:divBdr>
                    <w:top w:val="none" w:sz="0" w:space="0" w:color="auto"/>
                    <w:left w:val="none" w:sz="0" w:space="0" w:color="auto"/>
                    <w:bottom w:val="none" w:sz="0" w:space="0" w:color="auto"/>
                    <w:right w:val="none" w:sz="0" w:space="0" w:color="auto"/>
                  </w:divBdr>
                  <w:divsChild>
                    <w:div w:id="2118285834">
                      <w:marLeft w:val="0"/>
                      <w:marRight w:val="0"/>
                      <w:marTop w:val="0"/>
                      <w:marBottom w:val="0"/>
                      <w:divBdr>
                        <w:top w:val="none" w:sz="0" w:space="0" w:color="auto"/>
                        <w:left w:val="none" w:sz="0" w:space="0" w:color="auto"/>
                        <w:bottom w:val="none" w:sz="0" w:space="0" w:color="auto"/>
                        <w:right w:val="none" w:sz="0" w:space="0" w:color="auto"/>
                      </w:divBdr>
                      <w:divsChild>
                        <w:div w:id="2118285659">
                          <w:marLeft w:val="0"/>
                          <w:marRight w:val="0"/>
                          <w:marTop w:val="0"/>
                          <w:marBottom w:val="0"/>
                          <w:divBdr>
                            <w:top w:val="none" w:sz="0" w:space="0" w:color="auto"/>
                            <w:left w:val="none" w:sz="0" w:space="0" w:color="auto"/>
                            <w:bottom w:val="none" w:sz="0" w:space="0" w:color="auto"/>
                            <w:right w:val="none" w:sz="0" w:space="0" w:color="auto"/>
                          </w:divBdr>
                          <w:divsChild>
                            <w:div w:id="2118285638">
                              <w:marLeft w:val="0"/>
                              <w:marRight w:val="0"/>
                              <w:marTop w:val="120"/>
                              <w:marBottom w:val="360"/>
                              <w:divBdr>
                                <w:top w:val="none" w:sz="0" w:space="0" w:color="auto"/>
                                <w:left w:val="none" w:sz="0" w:space="0" w:color="auto"/>
                                <w:bottom w:val="none" w:sz="0" w:space="0" w:color="auto"/>
                                <w:right w:val="none" w:sz="0" w:space="0" w:color="auto"/>
                              </w:divBdr>
                              <w:divsChild>
                                <w:div w:id="2118285923">
                                  <w:marLeft w:val="367"/>
                                  <w:marRight w:val="0"/>
                                  <w:marTop w:val="0"/>
                                  <w:marBottom w:val="0"/>
                                  <w:divBdr>
                                    <w:top w:val="none" w:sz="0" w:space="0" w:color="auto"/>
                                    <w:left w:val="none" w:sz="0" w:space="0" w:color="auto"/>
                                    <w:bottom w:val="none" w:sz="0" w:space="0" w:color="auto"/>
                                    <w:right w:val="none" w:sz="0" w:space="0" w:color="auto"/>
                                  </w:divBdr>
                                  <w:divsChild>
                                    <w:div w:id="2118285597">
                                      <w:marLeft w:val="0"/>
                                      <w:marRight w:val="0"/>
                                      <w:marTop w:val="0"/>
                                      <w:marBottom w:val="0"/>
                                      <w:divBdr>
                                        <w:top w:val="none" w:sz="0" w:space="0" w:color="auto"/>
                                        <w:left w:val="none" w:sz="0" w:space="0" w:color="auto"/>
                                        <w:bottom w:val="none" w:sz="0" w:space="0" w:color="auto"/>
                                        <w:right w:val="none" w:sz="0" w:space="0" w:color="auto"/>
                                      </w:divBdr>
                                      <w:divsChild>
                                        <w:div w:id="2118285675">
                                          <w:marLeft w:val="0"/>
                                          <w:marRight w:val="0"/>
                                          <w:marTop w:val="0"/>
                                          <w:marBottom w:val="0"/>
                                          <w:divBdr>
                                            <w:top w:val="none" w:sz="0" w:space="0" w:color="auto"/>
                                            <w:left w:val="none" w:sz="0" w:space="0" w:color="auto"/>
                                            <w:bottom w:val="none" w:sz="0" w:space="0" w:color="auto"/>
                                            <w:right w:val="none" w:sz="0" w:space="0" w:color="auto"/>
                                          </w:divBdr>
                                        </w:div>
                                      </w:divsChild>
                                    </w:div>
                                    <w:div w:id="21182856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898">
      <w:marLeft w:val="0"/>
      <w:marRight w:val="0"/>
      <w:marTop w:val="0"/>
      <w:marBottom w:val="0"/>
      <w:divBdr>
        <w:top w:val="none" w:sz="0" w:space="0" w:color="auto"/>
        <w:left w:val="none" w:sz="0" w:space="0" w:color="auto"/>
        <w:bottom w:val="none" w:sz="0" w:space="0" w:color="auto"/>
        <w:right w:val="none" w:sz="0" w:space="0" w:color="auto"/>
      </w:divBdr>
      <w:divsChild>
        <w:div w:id="2118285706">
          <w:marLeft w:val="0"/>
          <w:marRight w:val="1"/>
          <w:marTop w:val="0"/>
          <w:marBottom w:val="0"/>
          <w:divBdr>
            <w:top w:val="none" w:sz="0" w:space="0" w:color="auto"/>
            <w:left w:val="none" w:sz="0" w:space="0" w:color="auto"/>
            <w:bottom w:val="none" w:sz="0" w:space="0" w:color="auto"/>
            <w:right w:val="none" w:sz="0" w:space="0" w:color="auto"/>
          </w:divBdr>
          <w:divsChild>
            <w:div w:id="2118285819">
              <w:marLeft w:val="0"/>
              <w:marRight w:val="0"/>
              <w:marTop w:val="0"/>
              <w:marBottom w:val="0"/>
              <w:divBdr>
                <w:top w:val="none" w:sz="0" w:space="0" w:color="auto"/>
                <w:left w:val="none" w:sz="0" w:space="0" w:color="auto"/>
                <w:bottom w:val="none" w:sz="0" w:space="0" w:color="auto"/>
                <w:right w:val="none" w:sz="0" w:space="0" w:color="auto"/>
              </w:divBdr>
              <w:divsChild>
                <w:div w:id="2118285651">
                  <w:marLeft w:val="0"/>
                  <w:marRight w:val="1"/>
                  <w:marTop w:val="0"/>
                  <w:marBottom w:val="0"/>
                  <w:divBdr>
                    <w:top w:val="none" w:sz="0" w:space="0" w:color="auto"/>
                    <w:left w:val="none" w:sz="0" w:space="0" w:color="auto"/>
                    <w:bottom w:val="none" w:sz="0" w:space="0" w:color="auto"/>
                    <w:right w:val="none" w:sz="0" w:space="0" w:color="auto"/>
                  </w:divBdr>
                  <w:divsChild>
                    <w:div w:id="2118285840">
                      <w:marLeft w:val="0"/>
                      <w:marRight w:val="0"/>
                      <w:marTop w:val="0"/>
                      <w:marBottom w:val="0"/>
                      <w:divBdr>
                        <w:top w:val="none" w:sz="0" w:space="0" w:color="auto"/>
                        <w:left w:val="none" w:sz="0" w:space="0" w:color="auto"/>
                        <w:bottom w:val="none" w:sz="0" w:space="0" w:color="auto"/>
                        <w:right w:val="none" w:sz="0" w:space="0" w:color="auto"/>
                      </w:divBdr>
                      <w:divsChild>
                        <w:div w:id="2118285894">
                          <w:marLeft w:val="0"/>
                          <w:marRight w:val="0"/>
                          <w:marTop w:val="0"/>
                          <w:marBottom w:val="0"/>
                          <w:divBdr>
                            <w:top w:val="none" w:sz="0" w:space="0" w:color="auto"/>
                            <w:left w:val="none" w:sz="0" w:space="0" w:color="auto"/>
                            <w:bottom w:val="none" w:sz="0" w:space="0" w:color="auto"/>
                            <w:right w:val="none" w:sz="0" w:space="0" w:color="auto"/>
                          </w:divBdr>
                          <w:divsChild>
                            <w:div w:id="2118285860">
                              <w:marLeft w:val="0"/>
                              <w:marRight w:val="0"/>
                              <w:marTop w:val="120"/>
                              <w:marBottom w:val="360"/>
                              <w:divBdr>
                                <w:top w:val="none" w:sz="0" w:space="0" w:color="auto"/>
                                <w:left w:val="none" w:sz="0" w:space="0" w:color="auto"/>
                                <w:bottom w:val="none" w:sz="0" w:space="0" w:color="auto"/>
                                <w:right w:val="none" w:sz="0" w:space="0" w:color="auto"/>
                              </w:divBdr>
                              <w:divsChild>
                                <w:div w:id="2118285787">
                                  <w:marLeft w:val="0"/>
                                  <w:marRight w:val="0"/>
                                  <w:marTop w:val="0"/>
                                  <w:marBottom w:val="0"/>
                                  <w:divBdr>
                                    <w:top w:val="none" w:sz="0" w:space="0" w:color="auto"/>
                                    <w:left w:val="none" w:sz="0" w:space="0" w:color="auto"/>
                                    <w:bottom w:val="none" w:sz="0" w:space="0" w:color="auto"/>
                                    <w:right w:val="none" w:sz="0" w:space="0" w:color="auto"/>
                                  </w:divBdr>
                                </w:div>
                                <w:div w:id="21182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900">
      <w:marLeft w:val="0"/>
      <w:marRight w:val="0"/>
      <w:marTop w:val="0"/>
      <w:marBottom w:val="0"/>
      <w:divBdr>
        <w:top w:val="none" w:sz="0" w:space="0" w:color="auto"/>
        <w:left w:val="none" w:sz="0" w:space="0" w:color="auto"/>
        <w:bottom w:val="none" w:sz="0" w:space="0" w:color="auto"/>
        <w:right w:val="none" w:sz="0" w:space="0" w:color="auto"/>
      </w:divBdr>
      <w:divsChild>
        <w:div w:id="2118285667">
          <w:marLeft w:val="0"/>
          <w:marRight w:val="1"/>
          <w:marTop w:val="0"/>
          <w:marBottom w:val="0"/>
          <w:divBdr>
            <w:top w:val="none" w:sz="0" w:space="0" w:color="auto"/>
            <w:left w:val="none" w:sz="0" w:space="0" w:color="auto"/>
            <w:bottom w:val="none" w:sz="0" w:space="0" w:color="auto"/>
            <w:right w:val="none" w:sz="0" w:space="0" w:color="auto"/>
          </w:divBdr>
          <w:divsChild>
            <w:div w:id="2118285791">
              <w:marLeft w:val="0"/>
              <w:marRight w:val="0"/>
              <w:marTop w:val="0"/>
              <w:marBottom w:val="0"/>
              <w:divBdr>
                <w:top w:val="none" w:sz="0" w:space="0" w:color="auto"/>
                <w:left w:val="none" w:sz="0" w:space="0" w:color="auto"/>
                <w:bottom w:val="none" w:sz="0" w:space="0" w:color="auto"/>
                <w:right w:val="none" w:sz="0" w:space="0" w:color="auto"/>
              </w:divBdr>
              <w:divsChild>
                <w:div w:id="2118285734">
                  <w:marLeft w:val="0"/>
                  <w:marRight w:val="1"/>
                  <w:marTop w:val="0"/>
                  <w:marBottom w:val="0"/>
                  <w:divBdr>
                    <w:top w:val="none" w:sz="0" w:space="0" w:color="auto"/>
                    <w:left w:val="none" w:sz="0" w:space="0" w:color="auto"/>
                    <w:bottom w:val="none" w:sz="0" w:space="0" w:color="auto"/>
                    <w:right w:val="none" w:sz="0" w:space="0" w:color="auto"/>
                  </w:divBdr>
                  <w:divsChild>
                    <w:div w:id="2118285850">
                      <w:marLeft w:val="0"/>
                      <w:marRight w:val="0"/>
                      <w:marTop w:val="0"/>
                      <w:marBottom w:val="0"/>
                      <w:divBdr>
                        <w:top w:val="none" w:sz="0" w:space="0" w:color="auto"/>
                        <w:left w:val="none" w:sz="0" w:space="0" w:color="auto"/>
                        <w:bottom w:val="none" w:sz="0" w:space="0" w:color="auto"/>
                        <w:right w:val="none" w:sz="0" w:space="0" w:color="auto"/>
                      </w:divBdr>
                      <w:divsChild>
                        <w:div w:id="2118285609">
                          <w:marLeft w:val="0"/>
                          <w:marRight w:val="0"/>
                          <w:marTop w:val="0"/>
                          <w:marBottom w:val="0"/>
                          <w:divBdr>
                            <w:top w:val="none" w:sz="0" w:space="0" w:color="auto"/>
                            <w:left w:val="none" w:sz="0" w:space="0" w:color="auto"/>
                            <w:bottom w:val="none" w:sz="0" w:space="0" w:color="auto"/>
                            <w:right w:val="none" w:sz="0" w:space="0" w:color="auto"/>
                          </w:divBdr>
                          <w:divsChild>
                            <w:div w:id="2118285649">
                              <w:marLeft w:val="0"/>
                              <w:marRight w:val="0"/>
                              <w:marTop w:val="120"/>
                              <w:marBottom w:val="360"/>
                              <w:divBdr>
                                <w:top w:val="none" w:sz="0" w:space="0" w:color="auto"/>
                                <w:left w:val="none" w:sz="0" w:space="0" w:color="auto"/>
                                <w:bottom w:val="none" w:sz="0" w:space="0" w:color="auto"/>
                                <w:right w:val="none" w:sz="0" w:space="0" w:color="auto"/>
                              </w:divBdr>
                              <w:divsChild>
                                <w:div w:id="2118285788">
                                  <w:marLeft w:val="0"/>
                                  <w:marRight w:val="0"/>
                                  <w:marTop w:val="0"/>
                                  <w:marBottom w:val="0"/>
                                  <w:divBdr>
                                    <w:top w:val="none" w:sz="0" w:space="0" w:color="auto"/>
                                    <w:left w:val="none" w:sz="0" w:space="0" w:color="auto"/>
                                    <w:bottom w:val="none" w:sz="0" w:space="0" w:color="auto"/>
                                    <w:right w:val="none" w:sz="0" w:space="0" w:color="auto"/>
                                  </w:divBdr>
                                  <w:divsChild>
                                    <w:div w:id="21182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914">
      <w:marLeft w:val="0"/>
      <w:marRight w:val="0"/>
      <w:marTop w:val="0"/>
      <w:marBottom w:val="0"/>
      <w:divBdr>
        <w:top w:val="none" w:sz="0" w:space="0" w:color="auto"/>
        <w:left w:val="none" w:sz="0" w:space="0" w:color="auto"/>
        <w:bottom w:val="none" w:sz="0" w:space="0" w:color="auto"/>
        <w:right w:val="none" w:sz="0" w:space="0" w:color="auto"/>
      </w:divBdr>
      <w:divsChild>
        <w:div w:id="2118285724">
          <w:marLeft w:val="0"/>
          <w:marRight w:val="1"/>
          <w:marTop w:val="0"/>
          <w:marBottom w:val="0"/>
          <w:divBdr>
            <w:top w:val="none" w:sz="0" w:space="0" w:color="auto"/>
            <w:left w:val="none" w:sz="0" w:space="0" w:color="auto"/>
            <w:bottom w:val="none" w:sz="0" w:space="0" w:color="auto"/>
            <w:right w:val="none" w:sz="0" w:space="0" w:color="auto"/>
          </w:divBdr>
          <w:divsChild>
            <w:div w:id="2118285762">
              <w:marLeft w:val="0"/>
              <w:marRight w:val="0"/>
              <w:marTop w:val="0"/>
              <w:marBottom w:val="0"/>
              <w:divBdr>
                <w:top w:val="none" w:sz="0" w:space="0" w:color="auto"/>
                <w:left w:val="none" w:sz="0" w:space="0" w:color="auto"/>
                <w:bottom w:val="none" w:sz="0" w:space="0" w:color="auto"/>
                <w:right w:val="none" w:sz="0" w:space="0" w:color="auto"/>
              </w:divBdr>
              <w:divsChild>
                <w:div w:id="2118285802">
                  <w:marLeft w:val="0"/>
                  <w:marRight w:val="1"/>
                  <w:marTop w:val="0"/>
                  <w:marBottom w:val="0"/>
                  <w:divBdr>
                    <w:top w:val="none" w:sz="0" w:space="0" w:color="auto"/>
                    <w:left w:val="none" w:sz="0" w:space="0" w:color="auto"/>
                    <w:bottom w:val="none" w:sz="0" w:space="0" w:color="auto"/>
                    <w:right w:val="none" w:sz="0" w:space="0" w:color="auto"/>
                  </w:divBdr>
                  <w:divsChild>
                    <w:div w:id="2118285740">
                      <w:marLeft w:val="0"/>
                      <w:marRight w:val="0"/>
                      <w:marTop w:val="0"/>
                      <w:marBottom w:val="0"/>
                      <w:divBdr>
                        <w:top w:val="none" w:sz="0" w:space="0" w:color="auto"/>
                        <w:left w:val="none" w:sz="0" w:space="0" w:color="auto"/>
                        <w:bottom w:val="none" w:sz="0" w:space="0" w:color="auto"/>
                        <w:right w:val="none" w:sz="0" w:space="0" w:color="auto"/>
                      </w:divBdr>
                      <w:divsChild>
                        <w:div w:id="2118285769">
                          <w:marLeft w:val="0"/>
                          <w:marRight w:val="0"/>
                          <w:marTop w:val="0"/>
                          <w:marBottom w:val="0"/>
                          <w:divBdr>
                            <w:top w:val="none" w:sz="0" w:space="0" w:color="auto"/>
                            <w:left w:val="none" w:sz="0" w:space="0" w:color="auto"/>
                            <w:bottom w:val="none" w:sz="0" w:space="0" w:color="auto"/>
                            <w:right w:val="none" w:sz="0" w:space="0" w:color="auto"/>
                          </w:divBdr>
                          <w:divsChild>
                            <w:div w:id="2118285641">
                              <w:marLeft w:val="0"/>
                              <w:marRight w:val="0"/>
                              <w:marTop w:val="120"/>
                              <w:marBottom w:val="360"/>
                              <w:divBdr>
                                <w:top w:val="none" w:sz="0" w:space="0" w:color="auto"/>
                                <w:left w:val="none" w:sz="0" w:space="0" w:color="auto"/>
                                <w:bottom w:val="none" w:sz="0" w:space="0" w:color="auto"/>
                                <w:right w:val="none" w:sz="0" w:space="0" w:color="auto"/>
                              </w:divBdr>
                              <w:divsChild>
                                <w:div w:id="2118285726">
                                  <w:marLeft w:val="0"/>
                                  <w:marRight w:val="0"/>
                                  <w:marTop w:val="0"/>
                                  <w:marBottom w:val="0"/>
                                  <w:divBdr>
                                    <w:top w:val="none" w:sz="0" w:space="0" w:color="auto"/>
                                    <w:left w:val="none" w:sz="0" w:space="0" w:color="auto"/>
                                    <w:bottom w:val="none" w:sz="0" w:space="0" w:color="auto"/>
                                    <w:right w:val="none" w:sz="0" w:space="0" w:color="auto"/>
                                  </w:divBdr>
                                </w:div>
                                <w:div w:id="21182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5925">
      <w:marLeft w:val="0"/>
      <w:marRight w:val="0"/>
      <w:marTop w:val="0"/>
      <w:marBottom w:val="0"/>
      <w:divBdr>
        <w:top w:val="none" w:sz="0" w:space="0" w:color="auto"/>
        <w:left w:val="none" w:sz="0" w:space="0" w:color="auto"/>
        <w:bottom w:val="none" w:sz="0" w:space="0" w:color="auto"/>
        <w:right w:val="none" w:sz="0" w:space="0" w:color="auto"/>
      </w:divBdr>
      <w:divsChild>
        <w:div w:id="2118285947">
          <w:marLeft w:val="0"/>
          <w:marRight w:val="0"/>
          <w:marTop w:val="0"/>
          <w:marBottom w:val="0"/>
          <w:divBdr>
            <w:top w:val="none" w:sz="0" w:space="0" w:color="auto"/>
            <w:left w:val="none" w:sz="0" w:space="0" w:color="auto"/>
            <w:bottom w:val="none" w:sz="0" w:space="0" w:color="auto"/>
            <w:right w:val="none" w:sz="0" w:space="0" w:color="auto"/>
          </w:divBdr>
          <w:divsChild>
            <w:div w:id="2118285917">
              <w:marLeft w:val="240"/>
              <w:marRight w:val="360"/>
              <w:marTop w:val="240"/>
              <w:marBottom w:val="480"/>
              <w:divBdr>
                <w:top w:val="none" w:sz="0" w:space="0" w:color="auto"/>
                <w:left w:val="none" w:sz="0" w:space="0" w:color="auto"/>
                <w:bottom w:val="none" w:sz="0" w:space="0" w:color="auto"/>
                <w:right w:val="none" w:sz="0" w:space="0" w:color="auto"/>
              </w:divBdr>
              <w:divsChild>
                <w:div w:id="2118285839">
                  <w:marLeft w:val="0"/>
                  <w:marRight w:val="0"/>
                  <w:marTop w:val="0"/>
                  <w:marBottom w:val="0"/>
                  <w:divBdr>
                    <w:top w:val="single" w:sz="18" w:space="5" w:color="000000"/>
                    <w:left w:val="none" w:sz="0" w:space="0" w:color="auto"/>
                    <w:bottom w:val="none" w:sz="0" w:space="0" w:color="auto"/>
                    <w:right w:val="none" w:sz="0" w:space="0" w:color="auto"/>
                  </w:divBdr>
                  <w:divsChild>
                    <w:div w:id="2118285820">
                      <w:marLeft w:val="0"/>
                      <w:marRight w:val="0"/>
                      <w:marTop w:val="0"/>
                      <w:marBottom w:val="0"/>
                      <w:divBdr>
                        <w:top w:val="none" w:sz="0" w:space="0" w:color="auto"/>
                        <w:left w:val="none" w:sz="0" w:space="0" w:color="auto"/>
                        <w:bottom w:val="none" w:sz="0" w:space="0" w:color="auto"/>
                        <w:right w:val="none" w:sz="0" w:space="0" w:color="auto"/>
                      </w:divBdr>
                      <w:divsChild>
                        <w:div w:id="2118285632">
                          <w:marLeft w:val="0"/>
                          <w:marRight w:val="0"/>
                          <w:marTop w:val="0"/>
                          <w:marBottom w:val="0"/>
                          <w:divBdr>
                            <w:top w:val="none" w:sz="0" w:space="0" w:color="auto"/>
                            <w:left w:val="none" w:sz="0" w:space="0" w:color="auto"/>
                            <w:bottom w:val="none" w:sz="0" w:space="0" w:color="auto"/>
                            <w:right w:val="none" w:sz="0" w:space="0" w:color="auto"/>
                          </w:divBdr>
                        </w:div>
                        <w:div w:id="21182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85926">
      <w:marLeft w:val="0"/>
      <w:marRight w:val="0"/>
      <w:marTop w:val="0"/>
      <w:marBottom w:val="0"/>
      <w:divBdr>
        <w:top w:val="none" w:sz="0" w:space="0" w:color="auto"/>
        <w:left w:val="none" w:sz="0" w:space="0" w:color="auto"/>
        <w:bottom w:val="none" w:sz="0" w:space="0" w:color="auto"/>
        <w:right w:val="none" w:sz="0" w:space="0" w:color="auto"/>
      </w:divBdr>
      <w:divsChild>
        <w:div w:id="2118285765">
          <w:marLeft w:val="0"/>
          <w:marRight w:val="1"/>
          <w:marTop w:val="0"/>
          <w:marBottom w:val="0"/>
          <w:divBdr>
            <w:top w:val="none" w:sz="0" w:space="0" w:color="auto"/>
            <w:left w:val="none" w:sz="0" w:space="0" w:color="auto"/>
            <w:bottom w:val="none" w:sz="0" w:space="0" w:color="auto"/>
            <w:right w:val="none" w:sz="0" w:space="0" w:color="auto"/>
          </w:divBdr>
          <w:divsChild>
            <w:div w:id="2118285767">
              <w:marLeft w:val="0"/>
              <w:marRight w:val="0"/>
              <w:marTop w:val="0"/>
              <w:marBottom w:val="0"/>
              <w:divBdr>
                <w:top w:val="none" w:sz="0" w:space="0" w:color="auto"/>
                <w:left w:val="none" w:sz="0" w:space="0" w:color="auto"/>
                <w:bottom w:val="none" w:sz="0" w:space="0" w:color="auto"/>
                <w:right w:val="none" w:sz="0" w:space="0" w:color="auto"/>
              </w:divBdr>
              <w:divsChild>
                <w:div w:id="2118285835">
                  <w:marLeft w:val="0"/>
                  <w:marRight w:val="1"/>
                  <w:marTop w:val="0"/>
                  <w:marBottom w:val="0"/>
                  <w:divBdr>
                    <w:top w:val="none" w:sz="0" w:space="0" w:color="auto"/>
                    <w:left w:val="none" w:sz="0" w:space="0" w:color="auto"/>
                    <w:bottom w:val="none" w:sz="0" w:space="0" w:color="auto"/>
                    <w:right w:val="none" w:sz="0" w:space="0" w:color="auto"/>
                  </w:divBdr>
                  <w:divsChild>
                    <w:div w:id="2118285768">
                      <w:marLeft w:val="0"/>
                      <w:marRight w:val="0"/>
                      <w:marTop w:val="0"/>
                      <w:marBottom w:val="0"/>
                      <w:divBdr>
                        <w:top w:val="none" w:sz="0" w:space="0" w:color="auto"/>
                        <w:left w:val="none" w:sz="0" w:space="0" w:color="auto"/>
                        <w:bottom w:val="none" w:sz="0" w:space="0" w:color="auto"/>
                        <w:right w:val="none" w:sz="0" w:space="0" w:color="auto"/>
                      </w:divBdr>
                      <w:divsChild>
                        <w:div w:id="2118285837">
                          <w:marLeft w:val="0"/>
                          <w:marRight w:val="0"/>
                          <w:marTop w:val="0"/>
                          <w:marBottom w:val="0"/>
                          <w:divBdr>
                            <w:top w:val="none" w:sz="0" w:space="0" w:color="auto"/>
                            <w:left w:val="none" w:sz="0" w:space="0" w:color="auto"/>
                            <w:bottom w:val="none" w:sz="0" w:space="0" w:color="auto"/>
                            <w:right w:val="none" w:sz="0" w:space="0" w:color="auto"/>
                          </w:divBdr>
                          <w:divsChild>
                            <w:div w:id="2118285717">
                              <w:marLeft w:val="0"/>
                              <w:marRight w:val="0"/>
                              <w:marTop w:val="120"/>
                              <w:marBottom w:val="360"/>
                              <w:divBdr>
                                <w:top w:val="none" w:sz="0" w:space="0" w:color="auto"/>
                                <w:left w:val="none" w:sz="0" w:space="0" w:color="auto"/>
                                <w:bottom w:val="none" w:sz="0" w:space="0" w:color="auto"/>
                                <w:right w:val="none" w:sz="0" w:space="0" w:color="auto"/>
                              </w:divBdr>
                              <w:divsChild>
                                <w:div w:id="2118285759">
                                  <w:marLeft w:val="0"/>
                                  <w:marRight w:val="0"/>
                                  <w:marTop w:val="0"/>
                                  <w:marBottom w:val="0"/>
                                  <w:divBdr>
                                    <w:top w:val="none" w:sz="0" w:space="0" w:color="auto"/>
                                    <w:left w:val="none" w:sz="0" w:space="0" w:color="auto"/>
                                    <w:bottom w:val="none" w:sz="0" w:space="0" w:color="auto"/>
                                    <w:right w:val="none" w:sz="0" w:space="0" w:color="auto"/>
                                  </w:divBdr>
                                  <w:divsChild>
                                    <w:div w:id="21182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951">
      <w:marLeft w:val="0"/>
      <w:marRight w:val="0"/>
      <w:marTop w:val="0"/>
      <w:marBottom w:val="0"/>
      <w:divBdr>
        <w:top w:val="none" w:sz="0" w:space="0" w:color="auto"/>
        <w:left w:val="none" w:sz="0" w:space="0" w:color="auto"/>
        <w:bottom w:val="none" w:sz="0" w:space="0" w:color="auto"/>
        <w:right w:val="none" w:sz="0" w:space="0" w:color="auto"/>
      </w:divBdr>
      <w:divsChild>
        <w:div w:id="2118285807">
          <w:marLeft w:val="0"/>
          <w:marRight w:val="1"/>
          <w:marTop w:val="0"/>
          <w:marBottom w:val="0"/>
          <w:divBdr>
            <w:top w:val="none" w:sz="0" w:space="0" w:color="auto"/>
            <w:left w:val="none" w:sz="0" w:space="0" w:color="auto"/>
            <w:bottom w:val="none" w:sz="0" w:space="0" w:color="auto"/>
            <w:right w:val="none" w:sz="0" w:space="0" w:color="auto"/>
          </w:divBdr>
          <w:divsChild>
            <w:div w:id="2118285693">
              <w:marLeft w:val="0"/>
              <w:marRight w:val="0"/>
              <w:marTop w:val="0"/>
              <w:marBottom w:val="0"/>
              <w:divBdr>
                <w:top w:val="none" w:sz="0" w:space="0" w:color="auto"/>
                <w:left w:val="none" w:sz="0" w:space="0" w:color="auto"/>
                <w:bottom w:val="none" w:sz="0" w:space="0" w:color="auto"/>
                <w:right w:val="none" w:sz="0" w:space="0" w:color="auto"/>
              </w:divBdr>
              <w:divsChild>
                <w:div w:id="2118285749">
                  <w:marLeft w:val="0"/>
                  <w:marRight w:val="1"/>
                  <w:marTop w:val="0"/>
                  <w:marBottom w:val="0"/>
                  <w:divBdr>
                    <w:top w:val="none" w:sz="0" w:space="0" w:color="auto"/>
                    <w:left w:val="none" w:sz="0" w:space="0" w:color="auto"/>
                    <w:bottom w:val="none" w:sz="0" w:space="0" w:color="auto"/>
                    <w:right w:val="none" w:sz="0" w:space="0" w:color="auto"/>
                  </w:divBdr>
                  <w:divsChild>
                    <w:div w:id="2118285619">
                      <w:marLeft w:val="0"/>
                      <w:marRight w:val="0"/>
                      <w:marTop w:val="0"/>
                      <w:marBottom w:val="0"/>
                      <w:divBdr>
                        <w:top w:val="none" w:sz="0" w:space="0" w:color="auto"/>
                        <w:left w:val="none" w:sz="0" w:space="0" w:color="auto"/>
                        <w:bottom w:val="none" w:sz="0" w:space="0" w:color="auto"/>
                        <w:right w:val="none" w:sz="0" w:space="0" w:color="auto"/>
                      </w:divBdr>
                      <w:divsChild>
                        <w:div w:id="2118285808">
                          <w:marLeft w:val="0"/>
                          <w:marRight w:val="0"/>
                          <w:marTop w:val="0"/>
                          <w:marBottom w:val="0"/>
                          <w:divBdr>
                            <w:top w:val="none" w:sz="0" w:space="0" w:color="auto"/>
                            <w:left w:val="none" w:sz="0" w:space="0" w:color="auto"/>
                            <w:bottom w:val="none" w:sz="0" w:space="0" w:color="auto"/>
                            <w:right w:val="none" w:sz="0" w:space="0" w:color="auto"/>
                          </w:divBdr>
                          <w:divsChild>
                            <w:div w:id="2118285670">
                              <w:marLeft w:val="0"/>
                              <w:marRight w:val="0"/>
                              <w:marTop w:val="120"/>
                              <w:marBottom w:val="360"/>
                              <w:divBdr>
                                <w:top w:val="none" w:sz="0" w:space="0" w:color="auto"/>
                                <w:left w:val="none" w:sz="0" w:space="0" w:color="auto"/>
                                <w:bottom w:val="none" w:sz="0" w:space="0" w:color="auto"/>
                                <w:right w:val="none" w:sz="0" w:space="0" w:color="auto"/>
                              </w:divBdr>
                              <w:divsChild>
                                <w:div w:id="2118285890">
                                  <w:marLeft w:val="367"/>
                                  <w:marRight w:val="0"/>
                                  <w:marTop w:val="0"/>
                                  <w:marBottom w:val="0"/>
                                  <w:divBdr>
                                    <w:top w:val="none" w:sz="0" w:space="0" w:color="auto"/>
                                    <w:left w:val="none" w:sz="0" w:space="0" w:color="auto"/>
                                    <w:bottom w:val="none" w:sz="0" w:space="0" w:color="auto"/>
                                    <w:right w:val="none" w:sz="0" w:space="0" w:color="auto"/>
                                  </w:divBdr>
                                  <w:divsChild>
                                    <w:div w:id="2118285696">
                                      <w:marLeft w:val="0"/>
                                      <w:marRight w:val="0"/>
                                      <w:marTop w:val="34"/>
                                      <w:marBottom w:val="34"/>
                                      <w:divBdr>
                                        <w:top w:val="none" w:sz="0" w:space="0" w:color="auto"/>
                                        <w:left w:val="none" w:sz="0" w:space="0" w:color="auto"/>
                                        <w:bottom w:val="none" w:sz="0" w:space="0" w:color="auto"/>
                                        <w:right w:val="none" w:sz="0" w:space="0" w:color="auto"/>
                                      </w:divBdr>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21182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285957">
      <w:marLeft w:val="0"/>
      <w:marRight w:val="0"/>
      <w:marTop w:val="0"/>
      <w:marBottom w:val="0"/>
      <w:divBdr>
        <w:top w:val="none" w:sz="0" w:space="0" w:color="auto"/>
        <w:left w:val="none" w:sz="0" w:space="0" w:color="auto"/>
        <w:bottom w:val="none" w:sz="0" w:space="0" w:color="auto"/>
        <w:right w:val="none" w:sz="0" w:space="0" w:color="auto"/>
      </w:divBdr>
    </w:div>
    <w:div w:id="2118285964">
      <w:marLeft w:val="0"/>
      <w:marRight w:val="0"/>
      <w:marTop w:val="0"/>
      <w:marBottom w:val="0"/>
      <w:divBdr>
        <w:top w:val="none" w:sz="0" w:space="0" w:color="auto"/>
        <w:left w:val="none" w:sz="0" w:space="0" w:color="auto"/>
        <w:bottom w:val="none" w:sz="0" w:space="0" w:color="auto"/>
        <w:right w:val="none" w:sz="0" w:space="0" w:color="auto"/>
      </w:divBdr>
      <w:divsChild>
        <w:div w:id="2118285958">
          <w:marLeft w:val="0"/>
          <w:marRight w:val="0"/>
          <w:marTop w:val="0"/>
          <w:marBottom w:val="0"/>
          <w:divBdr>
            <w:top w:val="none" w:sz="0" w:space="0" w:color="auto"/>
            <w:left w:val="none" w:sz="0" w:space="0" w:color="auto"/>
            <w:bottom w:val="none" w:sz="0" w:space="0" w:color="auto"/>
            <w:right w:val="none" w:sz="0" w:space="0" w:color="auto"/>
          </w:divBdr>
        </w:div>
        <w:div w:id="2118285959">
          <w:marLeft w:val="0"/>
          <w:marRight w:val="0"/>
          <w:marTop w:val="0"/>
          <w:marBottom w:val="0"/>
          <w:divBdr>
            <w:top w:val="none" w:sz="0" w:space="0" w:color="auto"/>
            <w:left w:val="none" w:sz="0" w:space="0" w:color="auto"/>
            <w:bottom w:val="none" w:sz="0" w:space="0" w:color="auto"/>
            <w:right w:val="none" w:sz="0" w:space="0" w:color="auto"/>
          </w:divBdr>
        </w:div>
        <w:div w:id="2118285960">
          <w:marLeft w:val="0"/>
          <w:marRight w:val="0"/>
          <w:marTop w:val="0"/>
          <w:marBottom w:val="0"/>
          <w:divBdr>
            <w:top w:val="none" w:sz="0" w:space="0" w:color="auto"/>
            <w:left w:val="none" w:sz="0" w:space="0" w:color="auto"/>
            <w:bottom w:val="none" w:sz="0" w:space="0" w:color="auto"/>
            <w:right w:val="none" w:sz="0" w:space="0" w:color="auto"/>
          </w:divBdr>
        </w:div>
        <w:div w:id="2118285961">
          <w:marLeft w:val="0"/>
          <w:marRight w:val="0"/>
          <w:marTop w:val="0"/>
          <w:marBottom w:val="0"/>
          <w:divBdr>
            <w:top w:val="none" w:sz="0" w:space="0" w:color="auto"/>
            <w:left w:val="none" w:sz="0" w:space="0" w:color="auto"/>
            <w:bottom w:val="none" w:sz="0" w:space="0" w:color="auto"/>
            <w:right w:val="none" w:sz="0" w:space="0" w:color="auto"/>
          </w:divBdr>
        </w:div>
        <w:div w:id="2118285962">
          <w:marLeft w:val="0"/>
          <w:marRight w:val="0"/>
          <w:marTop w:val="0"/>
          <w:marBottom w:val="0"/>
          <w:divBdr>
            <w:top w:val="none" w:sz="0" w:space="0" w:color="auto"/>
            <w:left w:val="none" w:sz="0" w:space="0" w:color="auto"/>
            <w:bottom w:val="none" w:sz="0" w:space="0" w:color="auto"/>
            <w:right w:val="none" w:sz="0" w:space="0" w:color="auto"/>
          </w:divBdr>
        </w:div>
        <w:div w:id="2118285963">
          <w:marLeft w:val="0"/>
          <w:marRight w:val="0"/>
          <w:marTop w:val="0"/>
          <w:marBottom w:val="0"/>
          <w:divBdr>
            <w:top w:val="none" w:sz="0" w:space="0" w:color="auto"/>
            <w:left w:val="none" w:sz="0" w:space="0" w:color="auto"/>
            <w:bottom w:val="none" w:sz="0" w:space="0" w:color="auto"/>
            <w:right w:val="none" w:sz="0" w:space="0" w:color="auto"/>
          </w:divBdr>
        </w:div>
        <w:div w:id="2118285965">
          <w:marLeft w:val="0"/>
          <w:marRight w:val="0"/>
          <w:marTop w:val="0"/>
          <w:marBottom w:val="0"/>
          <w:divBdr>
            <w:top w:val="none" w:sz="0" w:space="0" w:color="auto"/>
            <w:left w:val="none" w:sz="0" w:space="0" w:color="auto"/>
            <w:bottom w:val="none" w:sz="0" w:space="0" w:color="auto"/>
            <w:right w:val="none" w:sz="0" w:space="0" w:color="auto"/>
          </w:divBdr>
        </w:div>
        <w:div w:id="2118285966">
          <w:marLeft w:val="0"/>
          <w:marRight w:val="0"/>
          <w:marTop w:val="0"/>
          <w:marBottom w:val="0"/>
          <w:divBdr>
            <w:top w:val="none" w:sz="0" w:space="0" w:color="auto"/>
            <w:left w:val="none" w:sz="0" w:space="0" w:color="auto"/>
            <w:bottom w:val="none" w:sz="0" w:space="0" w:color="auto"/>
            <w:right w:val="none" w:sz="0" w:space="0" w:color="auto"/>
          </w:divBdr>
        </w:div>
        <w:div w:id="2118285967">
          <w:marLeft w:val="0"/>
          <w:marRight w:val="0"/>
          <w:marTop w:val="0"/>
          <w:marBottom w:val="0"/>
          <w:divBdr>
            <w:top w:val="none" w:sz="0" w:space="0" w:color="auto"/>
            <w:left w:val="none" w:sz="0" w:space="0" w:color="auto"/>
            <w:bottom w:val="none" w:sz="0" w:space="0" w:color="auto"/>
            <w:right w:val="none" w:sz="0" w:space="0" w:color="auto"/>
          </w:divBdr>
        </w:div>
        <w:div w:id="2118285968">
          <w:marLeft w:val="0"/>
          <w:marRight w:val="0"/>
          <w:marTop w:val="0"/>
          <w:marBottom w:val="0"/>
          <w:divBdr>
            <w:top w:val="none" w:sz="0" w:space="0" w:color="auto"/>
            <w:left w:val="none" w:sz="0" w:space="0" w:color="auto"/>
            <w:bottom w:val="none" w:sz="0" w:space="0" w:color="auto"/>
            <w:right w:val="none" w:sz="0" w:space="0" w:color="auto"/>
          </w:divBdr>
        </w:div>
        <w:div w:id="2118285969">
          <w:marLeft w:val="0"/>
          <w:marRight w:val="0"/>
          <w:marTop w:val="0"/>
          <w:marBottom w:val="0"/>
          <w:divBdr>
            <w:top w:val="none" w:sz="0" w:space="0" w:color="auto"/>
            <w:left w:val="none" w:sz="0" w:space="0" w:color="auto"/>
            <w:bottom w:val="none" w:sz="0" w:space="0" w:color="auto"/>
            <w:right w:val="none" w:sz="0" w:space="0" w:color="auto"/>
          </w:divBdr>
        </w:div>
        <w:div w:id="2118285970">
          <w:marLeft w:val="0"/>
          <w:marRight w:val="0"/>
          <w:marTop w:val="0"/>
          <w:marBottom w:val="0"/>
          <w:divBdr>
            <w:top w:val="none" w:sz="0" w:space="0" w:color="auto"/>
            <w:left w:val="none" w:sz="0" w:space="0" w:color="auto"/>
            <w:bottom w:val="none" w:sz="0" w:space="0" w:color="auto"/>
            <w:right w:val="none" w:sz="0" w:space="0" w:color="auto"/>
          </w:divBdr>
        </w:div>
        <w:div w:id="2118285971">
          <w:marLeft w:val="0"/>
          <w:marRight w:val="0"/>
          <w:marTop w:val="0"/>
          <w:marBottom w:val="0"/>
          <w:divBdr>
            <w:top w:val="none" w:sz="0" w:space="0" w:color="auto"/>
            <w:left w:val="none" w:sz="0" w:space="0" w:color="auto"/>
            <w:bottom w:val="none" w:sz="0" w:space="0" w:color="auto"/>
            <w:right w:val="none" w:sz="0" w:space="0" w:color="auto"/>
          </w:divBdr>
        </w:div>
        <w:div w:id="2118285972">
          <w:marLeft w:val="0"/>
          <w:marRight w:val="0"/>
          <w:marTop w:val="0"/>
          <w:marBottom w:val="0"/>
          <w:divBdr>
            <w:top w:val="none" w:sz="0" w:space="0" w:color="auto"/>
            <w:left w:val="none" w:sz="0" w:space="0" w:color="auto"/>
            <w:bottom w:val="none" w:sz="0" w:space="0" w:color="auto"/>
            <w:right w:val="none" w:sz="0" w:space="0" w:color="auto"/>
          </w:divBdr>
        </w:div>
        <w:div w:id="2118285973">
          <w:marLeft w:val="0"/>
          <w:marRight w:val="0"/>
          <w:marTop w:val="0"/>
          <w:marBottom w:val="0"/>
          <w:divBdr>
            <w:top w:val="none" w:sz="0" w:space="0" w:color="auto"/>
            <w:left w:val="none" w:sz="0" w:space="0" w:color="auto"/>
            <w:bottom w:val="none" w:sz="0" w:space="0" w:color="auto"/>
            <w:right w:val="none" w:sz="0" w:space="0" w:color="auto"/>
          </w:divBdr>
        </w:div>
        <w:div w:id="2118285974">
          <w:marLeft w:val="0"/>
          <w:marRight w:val="0"/>
          <w:marTop w:val="0"/>
          <w:marBottom w:val="0"/>
          <w:divBdr>
            <w:top w:val="none" w:sz="0" w:space="0" w:color="auto"/>
            <w:left w:val="none" w:sz="0" w:space="0" w:color="auto"/>
            <w:bottom w:val="none" w:sz="0" w:space="0" w:color="auto"/>
            <w:right w:val="none" w:sz="0" w:space="0" w:color="auto"/>
          </w:divBdr>
        </w:div>
        <w:div w:id="2118285975">
          <w:marLeft w:val="0"/>
          <w:marRight w:val="0"/>
          <w:marTop w:val="0"/>
          <w:marBottom w:val="0"/>
          <w:divBdr>
            <w:top w:val="none" w:sz="0" w:space="0" w:color="auto"/>
            <w:left w:val="none" w:sz="0" w:space="0" w:color="auto"/>
            <w:bottom w:val="none" w:sz="0" w:space="0" w:color="auto"/>
            <w:right w:val="none" w:sz="0" w:space="0" w:color="auto"/>
          </w:divBdr>
        </w:div>
        <w:div w:id="2118285976">
          <w:marLeft w:val="0"/>
          <w:marRight w:val="0"/>
          <w:marTop w:val="0"/>
          <w:marBottom w:val="0"/>
          <w:divBdr>
            <w:top w:val="none" w:sz="0" w:space="0" w:color="auto"/>
            <w:left w:val="none" w:sz="0" w:space="0" w:color="auto"/>
            <w:bottom w:val="none" w:sz="0" w:space="0" w:color="auto"/>
            <w:right w:val="none" w:sz="0" w:space="0" w:color="auto"/>
          </w:divBdr>
        </w:div>
        <w:div w:id="2118285977">
          <w:marLeft w:val="0"/>
          <w:marRight w:val="0"/>
          <w:marTop w:val="0"/>
          <w:marBottom w:val="0"/>
          <w:divBdr>
            <w:top w:val="none" w:sz="0" w:space="0" w:color="auto"/>
            <w:left w:val="none" w:sz="0" w:space="0" w:color="auto"/>
            <w:bottom w:val="none" w:sz="0" w:space="0" w:color="auto"/>
            <w:right w:val="none" w:sz="0" w:space="0" w:color="auto"/>
          </w:divBdr>
        </w:div>
        <w:div w:id="2118285978">
          <w:marLeft w:val="0"/>
          <w:marRight w:val="0"/>
          <w:marTop w:val="0"/>
          <w:marBottom w:val="0"/>
          <w:divBdr>
            <w:top w:val="none" w:sz="0" w:space="0" w:color="auto"/>
            <w:left w:val="none" w:sz="0" w:space="0" w:color="auto"/>
            <w:bottom w:val="none" w:sz="0" w:space="0" w:color="auto"/>
            <w:right w:val="none" w:sz="0" w:space="0" w:color="auto"/>
          </w:divBdr>
        </w:div>
        <w:div w:id="2118285979">
          <w:marLeft w:val="0"/>
          <w:marRight w:val="0"/>
          <w:marTop w:val="0"/>
          <w:marBottom w:val="0"/>
          <w:divBdr>
            <w:top w:val="none" w:sz="0" w:space="0" w:color="auto"/>
            <w:left w:val="none" w:sz="0" w:space="0" w:color="auto"/>
            <w:bottom w:val="none" w:sz="0" w:space="0" w:color="auto"/>
            <w:right w:val="none" w:sz="0" w:space="0" w:color="auto"/>
          </w:divBdr>
        </w:div>
        <w:div w:id="2118285980">
          <w:marLeft w:val="0"/>
          <w:marRight w:val="0"/>
          <w:marTop w:val="0"/>
          <w:marBottom w:val="0"/>
          <w:divBdr>
            <w:top w:val="none" w:sz="0" w:space="0" w:color="auto"/>
            <w:left w:val="none" w:sz="0" w:space="0" w:color="auto"/>
            <w:bottom w:val="none" w:sz="0" w:space="0" w:color="auto"/>
            <w:right w:val="none" w:sz="0" w:space="0" w:color="auto"/>
          </w:divBdr>
        </w:div>
        <w:div w:id="2118285981">
          <w:marLeft w:val="0"/>
          <w:marRight w:val="0"/>
          <w:marTop w:val="0"/>
          <w:marBottom w:val="0"/>
          <w:divBdr>
            <w:top w:val="none" w:sz="0" w:space="0" w:color="auto"/>
            <w:left w:val="none" w:sz="0" w:space="0" w:color="auto"/>
            <w:bottom w:val="none" w:sz="0" w:space="0" w:color="auto"/>
            <w:right w:val="none" w:sz="0" w:space="0" w:color="auto"/>
          </w:divBdr>
        </w:div>
        <w:div w:id="2118285982">
          <w:marLeft w:val="0"/>
          <w:marRight w:val="0"/>
          <w:marTop w:val="0"/>
          <w:marBottom w:val="0"/>
          <w:divBdr>
            <w:top w:val="none" w:sz="0" w:space="0" w:color="auto"/>
            <w:left w:val="none" w:sz="0" w:space="0" w:color="auto"/>
            <w:bottom w:val="none" w:sz="0" w:space="0" w:color="auto"/>
            <w:right w:val="none" w:sz="0" w:space="0" w:color="auto"/>
          </w:divBdr>
        </w:div>
        <w:div w:id="2118285983">
          <w:marLeft w:val="0"/>
          <w:marRight w:val="0"/>
          <w:marTop w:val="0"/>
          <w:marBottom w:val="0"/>
          <w:divBdr>
            <w:top w:val="none" w:sz="0" w:space="0" w:color="auto"/>
            <w:left w:val="none" w:sz="0" w:space="0" w:color="auto"/>
            <w:bottom w:val="none" w:sz="0" w:space="0" w:color="auto"/>
            <w:right w:val="none" w:sz="0" w:space="0" w:color="auto"/>
          </w:divBdr>
        </w:div>
        <w:div w:id="2118285984">
          <w:marLeft w:val="0"/>
          <w:marRight w:val="0"/>
          <w:marTop w:val="0"/>
          <w:marBottom w:val="0"/>
          <w:divBdr>
            <w:top w:val="none" w:sz="0" w:space="0" w:color="auto"/>
            <w:left w:val="none" w:sz="0" w:space="0" w:color="auto"/>
            <w:bottom w:val="none" w:sz="0" w:space="0" w:color="auto"/>
            <w:right w:val="none" w:sz="0" w:space="0" w:color="auto"/>
          </w:divBdr>
        </w:div>
        <w:div w:id="2118285985">
          <w:marLeft w:val="0"/>
          <w:marRight w:val="0"/>
          <w:marTop w:val="0"/>
          <w:marBottom w:val="0"/>
          <w:divBdr>
            <w:top w:val="none" w:sz="0" w:space="0" w:color="auto"/>
            <w:left w:val="none" w:sz="0" w:space="0" w:color="auto"/>
            <w:bottom w:val="none" w:sz="0" w:space="0" w:color="auto"/>
            <w:right w:val="none" w:sz="0" w:space="0" w:color="auto"/>
          </w:divBdr>
        </w:div>
        <w:div w:id="2118285986">
          <w:marLeft w:val="0"/>
          <w:marRight w:val="0"/>
          <w:marTop w:val="0"/>
          <w:marBottom w:val="0"/>
          <w:divBdr>
            <w:top w:val="none" w:sz="0" w:space="0" w:color="auto"/>
            <w:left w:val="none" w:sz="0" w:space="0" w:color="auto"/>
            <w:bottom w:val="none" w:sz="0" w:space="0" w:color="auto"/>
            <w:right w:val="none" w:sz="0" w:space="0" w:color="auto"/>
          </w:divBdr>
        </w:div>
        <w:div w:id="2118285987">
          <w:marLeft w:val="0"/>
          <w:marRight w:val="0"/>
          <w:marTop w:val="0"/>
          <w:marBottom w:val="0"/>
          <w:divBdr>
            <w:top w:val="none" w:sz="0" w:space="0" w:color="auto"/>
            <w:left w:val="none" w:sz="0" w:space="0" w:color="auto"/>
            <w:bottom w:val="none" w:sz="0" w:space="0" w:color="auto"/>
            <w:right w:val="none" w:sz="0" w:space="0" w:color="auto"/>
          </w:divBdr>
        </w:div>
        <w:div w:id="2118285988">
          <w:marLeft w:val="0"/>
          <w:marRight w:val="0"/>
          <w:marTop w:val="0"/>
          <w:marBottom w:val="0"/>
          <w:divBdr>
            <w:top w:val="none" w:sz="0" w:space="0" w:color="auto"/>
            <w:left w:val="none" w:sz="0" w:space="0" w:color="auto"/>
            <w:bottom w:val="none" w:sz="0" w:space="0" w:color="auto"/>
            <w:right w:val="none" w:sz="0" w:space="0" w:color="auto"/>
          </w:divBdr>
        </w:div>
        <w:div w:id="2118285989">
          <w:marLeft w:val="0"/>
          <w:marRight w:val="0"/>
          <w:marTop w:val="0"/>
          <w:marBottom w:val="0"/>
          <w:divBdr>
            <w:top w:val="none" w:sz="0" w:space="0" w:color="auto"/>
            <w:left w:val="none" w:sz="0" w:space="0" w:color="auto"/>
            <w:bottom w:val="none" w:sz="0" w:space="0" w:color="auto"/>
            <w:right w:val="none" w:sz="0" w:space="0" w:color="auto"/>
          </w:divBdr>
        </w:div>
        <w:div w:id="2118285990">
          <w:marLeft w:val="0"/>
          <w:marRight w:val="0"/>
          <w:marTop w:val="0"/>
          <w:marBottom w:val="0"/>
          <w:divBdr>
            <w:top w:val="none" w:sz="0" w:space="0" w:color="auto"/>
            <w:left w:val="none" w:sz="0" w:space="0" w:color="auto"/>
            <w:bottom w:val="none" w:sz="0" w:space="0" w:color="auto"/>
            <w:right w:val="none" w:sz="0" w:space="0" w:color="auto"/>
          </w:divBdr>
        </w:div>
        <w:div w:id="2118285991">
          <w:marLeft w:val="0"/>
          <w:marRight w:val="0"/>
          <w:marTop w:val="0"/>
          <w:marBottom w:val="0"/>
          <w:divBdr>
            <w:top w:val="none" w:sz="0" w:space="0" w:color="auto"/>
            <w:left w:val="none" w:sz="0" w:space="0" w:color="auto"/>
            <w:bottom w:val="none" w:sz="0" w:space="0" w:color="auto"/>
            <w:right w:val="none" w:sz="0" w:space="0" w:color="auto"/>
          </w:divBdr>
        </w:div>
        <w:div w:id="2118285992">
          <w:marLeft w:val="0"/>
          <w:marRight w:val="0"/>
          <w:marTop w:val="0"/>
          <w:marBottom w:val="0"/>
          <w:divBdr>
            <w:top w:val="none" w:sz="0" w:space="0" w:color="auto"/>
            <w:left w:val="none" w:sz="0" w:space="0" w:color="auto"/>
            <w:bottom w:val="none" w:sz="0" w:space="0" w:color="auto"/>
            <w:right w:val="none" w:sz="0" w:space="0" w:color="auto"/>
          </w:divBdr>
        </w:div>
        <w:div w:id="2118285993">
          <w:marLeft w:val="0"/>
          <w:marRight w:val="0"/>
          <w:marTop w:val="0"/>
          <w:marBottom w:val="0"/>
          <w:divBdr>
            <w:top w:val="none" w:sz="0" w:space="0" w:color="auto"/>
            <w:left w:val="none" w:sz="0" w:space="0" w:color="auto"/>
            <w:bottom w:val="none" w:sz="0" w:space="0" w:color="auto"/>
            <w:right w:val="none" w:sz="0" w:space="0" w:color="auto"/>
          </w:divBdr>
        </w:div>
        <w:div w:id="2118285994">
          <w:marLeft w:val="0"/>
          <w:marRight w:val="0"/>
          <w:marTop w:val="0"/>
          <w:marBottom w:val="0"/>
          <w:divBdr>
            <w:top w:val="none" w:sz="0" w:space="0" w:color="auto"/>
            <w:left w:val="none" w:sz="0" w:space="0" w:color="auto"/>
            <w:bottom w:val="none" w:sz="0" w:space="0" w:color="auto"/>
            <w:right w:val="none" w:sz="0" w:space="0" w:color="auto"/>
          </w:divBdr>
        </w:div>
        <w:div w:id="2118285995">
          <w:marLeft w:val="0"/>
          <w:marRight w:val="0"/>
          <w:marTop w:val="0"/>
          <w:marBottom w:val="0"/>
          <w:divBdr>
            <w:top w:val="none" w:sz="0" w:space="0" w:color="auto"/>
            <w:left w:val="none" w:sz="0" w:space="0" w:color="auto"/>
            <w:bottom w:val="none" w:sz="0" w:space="0" w:color="auto"/>
            <w:right w:val="none" w:sz="0" w:space="0" w:color="auto"/>
          </w:divBdr>
        </w:div>
        <w:div w:id="2118285996">
          <w:marLeft w:val="0"/>
          <w:marRight w:val="0"/>
          <w:marTop w:val="0"/>
          <w:marBottom w:val="0"/>
          <w:divBdr>
            <w:top w:val="none" w:sz="0" w:space="0" w:color="auto"/>
            <w:left w:val="none" w:sz="0" w:space="0" w:color="auto"/>
            <w:bottom w:val="none" w:sz="0" w:space="0" w:color="auto"/>
            <w:right w:val="none" w:sz="0" w:space="0" w:color="auto"/>
          </w:divBdr>
        </w:div>
        <w:div w:id="2118285997">
          <w:marLeft w:val="0"/>
          <w:marRight w:val="0"/>
          <w:marTop w:val="0"/>
          <w:marBottom w:val="0"/>
          <w:divBdr>
            <w:top w:val="none" w:sz="0" w:space="0" w:color="auto"/>
            <w:left w:val="none" w:sz="0" w:space="0" w:color="auto"/>
            <w:bottom w:val="none" w:sz="0" w:space="0" w:color="auto"/>
            <w:right w:val="none" w:sz="0" w:space="0" w:color="auto"/>
          </w:divBdr>
        </w:div>
        <w:div w:id="2118285998">
          <w:marLeft w:val="0"/>
          <w:marRight w:val="0"/>
          <w:marTop w:val="0"/>
          <w:marBottom w:val="0"/>
          <w:divBdr>
            <w:top w:val="none" w:sz="0" w:space="0" w:color="auto"/>
            <w:left w:val="none" w:sz="0" w:space="0" w:color="auto"/>
            <w:bottom w:val="none" w:sz="0" w:space="0" w:color="auto"/>
            <w:right w:val="none" w:sz="0" w:space="0" w:color="auto"/>
          </w:divBdr>
        </w:div>
        <w:div w:id="2118285999">
          <w:marLeft w:val="0"/>
          <w:marRight w:val="0"/>
          <w:marTop w:val="0"/>
          <w:marBottom w:val="0"/>
          <w:divBdr>
            <w:top w:val="none" w:sz="0" w:space="0" w:color="auto"/>
            <w:left w:val="none" w:sz="0" w:space="0" w:color="auto"/>
            <w:bottom w:val="none" w:sz="0" w:space="0" w:color="auto"/>
            <w:right w:val="none" w:sz="0" w:space="0" w:color="auto"/>
          </w:divBdr>
        </w:div>
        <w:div w:id="2118286000">
          <w:marLeft w:val="0"/>
          <w:marRight w:val="0"/>
          <w:marTop w:val="0"/>
          <w:marBottom w:val="0"/>
          <w:divBdr>
            <w:top w:val="none" w:sz="0" w:space="0" w:color="auto"/>
            <w:left w:val="none" w:sz="0" w:space="0" w:color="auto"/>
            <w:bottom w:val="none" w:sz="0" w:space="0" w:color="auto"/>
            <w:right w:val="none" w:sz="0" w:space="0" w:color="auto"/>
          </w:divBdr>
        </w:div>
        <w:div w:id="2118286001">
          <w:marLeft w:val="0"/>
          <w:marRight w:val="0"/>
          <w:marTop w:val="0"/>
          <w:marBottom w:val="0"/>
          <w:divBdr>
            <w:top w:val="none" w:sz="0" w:space="0" w:color="auto"/>
            <w:left w:val="none" w:sz="0" w:space="0" w:color="auto"/>
            <w:bottom w:val="none" w:sz="0" w:space="0" w:color="auto"/>
            <w:right w:val="none" w:sz="0" w:space="0" w:color="auto"/>
          </w:divBdr>
        </w:div>
        <w:div w:id="2118286002">
          <w:marLeft w:val="0"/>
          <w:marRight w:val="0"/>
          <w:marTop w:val="0"/>
          <w:marBottom w:val="0"/>
          <w:divBdr>
            <w:top w:val="none" w:sz="0" w:space="0" w:color="auto"/>
            <w:left w:val="none" w:sz="0" w:space="0" w:color="auto"/>
            <w:bottom w:val="none" w:sz="0" w:space="0" w:color="auto"/>
            <w:right w:val="none" w:sz="0" w:space="0" w:color="auto"/>
          </w:divBdr>
        </w:div>
        <w:div w:id="2118286003">
          <w:marLeft w:val="0"/>
          <w:marRight w:val="0"/>
          <w:marTop w:val="0"/>
          <w:marBottom w:val="0"/>
          <w:divBdr>
            <w:top w:val="none" w:sz="0" w:space="0" w:color="auto"/>
            <w:left w:val="none" w:sz="0" w:space="0" w:color="auto"/>
            <w:bottom w:val="none" w:sz="0" w:space="0" w:color="auto"/>
            <w:right w:val="none" w:sz="0" w:space="0" w:color="auto"/>
          </w:divBdr>
        </w:div>
        <w:div w:id="2118286004">
          <w:marLeft w:val="0"/>
          <w:marRight w:val="0"/>
          <w:marTop w:val="0"/>
          <w:marBottom w:val="0"/>
          <w:divBdr>
            <w:top w:val="none" w:sz="0" w:space="0" w:color="auto"/>
            <w:left w:val="none" w:sz="0" w:space="0" w:color="auto"/>
            <w:bottom w:val="none" w:sz="0" w:space="0" w:color="auto"/>
            <w:right w:val="none" w:sz="0" w:space="0" w:color="auto"/>
          </w:divBdr>
        </w:div>
        <w:div w:id="2118286005">
          <w:marLeft w:val="0"/>
          <w:marRight w:val="0"/>
          <w:marTop w:val="0"/>
          <w:marBottom w:val="0"/>
          <w:divBdr>
            <w:top w:val="none" w:sz="0" w:space="0" w:color="auto"/>
            <w:left w:val="none" w:sz="0" w:space="0" w:color="auto"/>
            <w:bottom w:val="none" w:sz="0" w:space="0" w:color="auto"/>
            <w:right w:val="none" w:sz="0" w:space="0" w:color="auto"/>
          </w:divBdr>
        </w:div>
        <w:div w:id="2118286006">
          <w:marLeft w:val="0"/>
          <w:marRight w:val="0"/>
          <w:marTop w:val="0"/>
          <w:marBottom w:val="0"/>
          <w:divBdr>
            <w:top w:val="none" w:sz="0" w:space="0" w:color="auto"/>
            <w:left w:val="none" w:sz="0" w:space="0" w:color="auto"/>
            <w:bottom w:val="none" w:sz="0" w:space="0" w:color="auto"/>
            <w:right w:val="none" w:sz="0" w:space="0" w:color="auto"/>
          </w:divBdr>
        </w:div>
        <w:div w:id="2118286007">
          <w:marLeft w:val="0"/>
          <w:marRight w:val="0"/>
          <w:marTop w:val="0"/>
          <w:marBottom w:val="0"/>
          <w:divBdr>
            <w:top w:val="none" w:sz="0" w:space="0" w:color="auto"/>
            <w:left w:val="none" w:sz="0" w:space="0" w:color="auto"/>
            <w:bottom w:val="none" w:sz="0" w:space="0" w:color="auto"/>
            <w:right w:val="none" w:sz="0" w:space="0" w:color="auto"/>
          </w:divBdr>
        </w:div>
        <w:div w:id="2118286008">
          <w:marLeft w:val="0"/>
          <w:marRight w:val="0"/>
          <w:marTop w:val="0"/>
          <w:marBottom w:val="0"/>
          <w:divBdr>
            <w:top w:val="none" w:sz="0" w:space="0" w:color="auto"/>
            <w:left w:val="none" w:sz="0" w:space="0" w:color="auto"/>
            <w:bottom w:val="none" w:sz="0" w:space="0" w:color="auto"/>
            <w:right w:val="none" w:sz="0" w:space="0" w:color="auto"/>
          </w:divBdr>
        </w:div>
        <w:div w:id="2118286009">
          <w:marLeft w:val="0"/>
          <w:marRight w:val="0"/>
          <w:marTop w:val="0"/>
          <w:marBottom w:val="0"/>
          <w:divBdr>
            <w:top w:val="none" w:sz="0" w:space="0" w:color="auto"/>
            <w:left w:val="none" w:sz="0" w:space="0" w:color="auto"/>
            <w:bottom w:val="none" w:sz="0" w:space="0" w:color="auto"/>
            <w:right w:val="none" w:sz="0" w:space="0" w:color="auto"/>
          </w:divBdr>
        </w:div>
        <w:div w:id="2118286010">
          <w:marLeft w:val="0"/>
          <w:marRight w:val="0"/>
          <w:marTop w:val="0"/>
          <w:marBottom w:val="0"/>
          <w:divBdr>
            <w:top w:val="none" w:sz="0" w:space="0" w:color="auto"/>
            <w:left w:val="none" w:sz="0" w:space="0" w:color="auto"/>
            <w:bottom w:val="none" w:sz="0" w:space="0" w:color="auto"/>
            <w:right w:val="none" w:sz="0" w:space="0" w:color="auto"/>
          </w:divBdr>
        </w:div>
        <w:div w:id="2118286011">
          <w:marLeft w:val="0"/>
          <w:marRight w:val="0"/>
          <w:marTop w:val="0"/>
          <w:marBottom w:val="0"/>
          <w:divBdr>
            <w:top w:val="none" w:sz="0" w:space="0" w:color="auto"/>
            <w:left w:val="none" w:sz="0" w:space="0" w:color="auto"/>
            <w:bottom w:val="none" w:sz="0" w:space="0" w:color="auto"/>
            <w:right w:val="none" w:sz="0" w:space="0" w:color="auto"/>
          </w:divBdr>
        </w:div>
        <w:div w:id="2118286012">
          <w:marLeft w:val="0"/>
          <w:marRight w:val="0"/>
          <w:marTop w:val="0"/>
          <w:marBottom w:val="0"/>
          <w:divBdr>
            <w:top w:val="none" w:sz="0" w:space="0" w:color="auto"/>
            <w:left w:val="none" w:sz="0" w:space="0" w:color="auto"/>
            <w:bottom w:val="none" w:sz="0" w:space="0" w:color="auto"/>
            <w:right w:val="none" w:sz="0" w:space="0" w:color="auto"/>
          </w:divBdr>
        </w:div>
        <w:div w:id="2118286013">
          <w:marLeft w:val="0"/>
          <w:marRight w:val="0"/>
          <w:marTop w:val="0"/>
          <w:marBottom w:val="0"/>
          <w:divBdr>
            <w:top w:val="none" w:sz="0" w:space="0" w:color="auto"/>
            <w:left w:val="none" w:sz="0" w:space="0" w:color="auto"/>
            <w:bottom w:val="none" w:sz="0" w:space="0" w:color="auto"/>
            <w:right w:val="none" w:sz="0" w:space="0" w:color="auto"/>
          </w:divBdr>
        </w:div>
        <w:div w:id="2118286014">
          <w:marLeft w:val="0"/>
          <w:marRight w:val="0"/>
          <w:marTop w:val="0"/>
          <w:marBottom w:val="0"/>
          <w:divBdr>
            <w:top w:val="none" w:sz="0" w:space="0" w:color="auto"/>
            <w:left w:val="none" w:sz="0" w:space="0" w:color="auto"/>
            <w:bottom w:val="none" w:sz="0" w:space="0" w:color="auto"/>
            <w:right w:val="none" w:sz="0" w:space="0" w:color="auto"/>
          </w:divBdr>
        </w:div>
        <w:div w:id="2118286015">
          <w:marLeft w:val="0"/>
          <w:marRight w:val="0"/>
          <w:marTop w:val="0"/>
          <w:marBottom w:val="0"/>
          <w:divBdr>
            <w:top w:val="none" w:sz="0" w:space="0" w:color="auto"/>
            <w:left w:val="none" w:sz="0" w:space="0" w:color="auto"/>
            <w:bottom w:val="none" w:sz="0" w:space="0" w:color="auto"/>
            <w:right w:val="none" w:sz="0" w:space="0" w:color="auto"/>
          </w:divBdr>
        </w:div>
        <w:div w:id="2118286016">
          <w:marLeft w:val="0"/>
          <w:marRight w:val="0"/>
          <w:marTop w:val="0"/>
          <w:marBottom w:val="0"/>
          <w:divBdr>
            <w:top w:val="none" w:sz="0" w:space="0" w:color="auto"/>
            <w:left w:val="none" w:sz="0" w:space="0" w:color="auto"/>
            <w:bottom w:val="none" w:sz="0" w:space="0" w:color="auto"/>
            <w:right w:val="none" w:sz="0" w:space="0" w:color="auto"/>
          </w:divBdr>
        </w:div>
        <w:div w:id="2118286017">
          <w:marLeft w:val="0"/>
          <w:marRight w:val="0"/>
          <w:marTop w:val="0"/>
          <w:marBottom w:val="0"/>
          <w:divBdr>
            <w:top w:val="none" w:sz="0" w:space="0" w:color="auto"/>
            <w:left w:val="none" w:sz="0" w:space="0" w:color="auto"/>
            <w:bottom w:val="none" w:sz="0" w:space="0" w:color="auto"/>
            <w:right w:val="none" w:sz="0" w:space="0" w:color="auto"/>
          </w:divBdr>
        </w:div>
        <w:div w:id="2118286018">
          <w:marLeft w:val="0"/>
          <w:marRight w:val="0"/>
          <w:marTop w:val="0"/>
          <w:marBottom w:val="0"/>
          <w:divBdr>
            <w:top w:val="none" w:sz="0" w:space="0" w:color="auto"/>
            <w:left w:val="none" w:sz="0" w:space="0" w:color="auto"/>
            <w:bottom w:val="none" w:sz="0" w:space="0" w:color="auto"/>
            <w:right w:val="none" w:sz="0" w:space="0" w:color="auto"/>
          </w:divBdr>
        </w:div>
        <w:div w:id="2118286019">
          <w:marLeft w:val="0"/>
          <w:marRight w:val="0"/>
          <w:marTop w:val="0"/>
          <w:marBottom w:val="0"/>
          <w:divBdr>
            <w:top w:val="none" w:sz="0" w:space="0" w:color="auto"/>
            <w:left w:val="none" w:sz="0" w:space="0" w:color="auto"/>
            <w:bottom w:val="none" w:sz="0" w:space="0" w:color="auto"/>
            <w:right w:val="none" w:sz="0" w:space="0" w:color="auto"/>
          </w:divBdr>
        </w:div>
        <w:div w:id="2118286020">
          <w:marLeft w:val="0"/>
          <w:marRight w:val="0"/>
          <w:marTop w:val="0"/>
          <w:marBottom w:val="0"/>
          <w:divBdr>
            <w:top w:val="none" w:sz="0" w:space="0" w:color="auto"/>
            <w:left w:val="none" w:sz="0" w:space="0" w:color="auto"/>
            <w:bottom w:val="none" w:sz="0" w:space="0" w:color="auto"/>
            <w:right w:val="none" w:sz="0" w:space="0" w:color="auto"/>
          </w:divBdr>
        </w:div>
        <w:div w:id="2118286021">
          <w:marLeft w:val="0"/>
          <w:marRight w:val="0"/>
          <w:marTop w:val="0"/>
          <w:marBottom w:val="0"/>
          <w:divBdr>
            <w:top w:val="none" w:sz="0" w:space="0" w:color="auto"/>
            <w:left w:val="none" w:sz="0" w:space="0" w:color="auto"/>
            <w:bottom w:val="none" w:sz="0" w:space="0" w:color="auto"/>
            <w:right w:val="none" w:sz="0" w:space="0" w:color="auto"/>
          </w:divBdr>
        </w:div>
        <w:div w:id="2118286022">
          <w:marLeft w:val="0"/>
          <w:marRight w:val="0"/>
          <w:marTop w:val="0"/>
          <w:marBottom w:val="0"/>
          <w:divBdr>
            <w:top w:val="none" w:sz="0" w:space="0" w:color="auto"/>
            <w:left w:val="none" w:sz="0" w:space="0" w:color="auto"/>
            <w:bottom w:val="none" w:sz="0" w:space="0" w:color="auto"/>
            <w:right w:val="none" w:sz="0" w:space="0" w:color="auto"/>
          </w:divBdr>
        </w:div>
        <w:div w:id="2118286023">
          <w:marLeft w:val="0"/>
          <w:marRight w:val="0"/>
          <w:marTop w:val="0"/>
          <w:marBottom w:val="0"/>
          <w:divBdr>
            <w:top w:val="none" w:sz="0" w:space="0" w:color="auto"/>
            <w:left w:val="none" w:sz="0" w:space="0" w:color="auto"/>
            <w:bottom w:val="none" w:sz="0" w:space="0" w:color="auto"/>
            <w:right w:val="none" w:sz="0" w:space="0" w:color="auto"/>
          </w:divBdr>
        </w:div>
        <w:div w:id="2118286024">
          <w:marLeft w:val="0"/>
          <w:marRight w:val="0"/>
          <w:marTop w:val="0"/>
          <w:marBottom w:val="0"/>
          <w:divBdr>
            <w:top w:val="none" w:sz="0" w:space="0" w:color="auto"/>
            <w:left w:val="none" w:sz="0" w:space="0" w:color="auto"/>
            <w:bottom w:val="none" w:sz="0" w:space="0" w:color="auto"/>
            <w:right w:val="none" w:sz="0" w:space="0" w:color="auto"/>
          </w:divBdr>
        </w:div>
        <w:div w:id="2118286025">
          <w:marLeft w:val="0"/>
          <w:marRight w:val="0"/>
          <w:marTop w:val="0"/>
          <w:marBottom w:val="0"/>
          <w:divBdr>
            <w:top w:val="none" w:sz="0" w:space="0" w:color="auto"/>
            <w:left w:val="none" w:sz="0" w:space="0" w:color="auto"/>
            <w:bottom w:val="none" w:sz="0" w:space="0" w:color="auto"/>
            <w:right w:val="none" w:sz="0" w:space="0" w:color="auto"/>
          </w:divBdr>
        </w:div>
        <w:div w:id="2118286026">
          <w:marLeft w:val="0"/>
          <w:marRight w:val="0"/>
          <w:marTop w:val="0"/>
          <w:marBottom w:val="0"/>
          <w:divBdr>
            <w:top w:val="none" w:sz="0" w:space="0" w:color="auto"/>
            <w:left w:val="none" w:sz="0" w:space="0" w:color="auto"/>
            <w:bottom w:val="none" w:sz="0" w:space="0" w:color="auto"/>
            <w:right w:val="none" w:sz="0" w:space="0" w:color="auto"/>
          </w:divBdr>
        </w:div>
        <w:div w:id="2118286027">
          <w:marLeft w:val="0"/>
          <w:marRight w:val="0"/>
          <w:marTop w:val="0"/>
          <w:marBottom w:val="0"/>
          <w:divBdr>
            <w:top w:val="none" w:sz="0" w:space="0" w:color="auto"/>
            <w:left w:val="none" w:sz="0" w:space="0" w:color="auto"/>
            <w:bottom w:val="none" w:sz="0" w:space="0" w:color="auto"/>
            <w:right w:val="none" w:sz="0" w:space="0" w:color="auto"/>
          </w:divBdr>
        </w:div>
        <w:div w:id="2118286028">
          <w:marLeft w:val="0"/>
          <w:marRight w:val="0"/>
          <w:marTop w:val="0"/>
          <w:marBottom w:val="0"/>
          <w:divBdr>
            <w:top w:val="none" w:sz="0" w:space="0" w:color="auto"/>
            <w:left w:val="none" w:sz="0" w:space="0" w:color="auto"/>
            <w:bottom w:val="none" w:sz="0" w:space="0" w:color="auto"/>
            <w:right w:val="none" w:sz="0" w:space="0" w:color="auto"/>
          </w:divBdr>
        </w:div>
        <w:div w:id="2118286029">
          <w:marLeft w:val="0"/>
          <w:marRight w:val="0"/>
          <w:marTop w:val="0"/>
          <w:marBottom w:val="0"/>
          <w:divBdr>
            <w:top w:val="none" w:sz="0" w:space="0" w:color="auto"/>
            <w:left w:val="none" w:sz="0" w:space="0" w:color="auto"/>
            <w:bottom w:val="none" w:sz="0" w:space="0" w:color="auto"/>
            <w:right w:val="none" w:sz="0" w:space="0" w:color="auto"/>
          </w:divBdr>
        </w:div>
        <w:div w:id="2118286030">
          <w:marLeft w:val="0"/>
          <w:marRight w:val="0"/>
          <w:marTop w:val="0"/>
          <w:marBottom w:val="0"/>
          <w:divBdr>
            <w:top w:val="none" w:sz="0" w:space="0" w:color="auto"/>
            <w:left w:val="none" w:sz="0" w:space="0" w:color="auto"/>
            <w:bottom w:val="none" w:sz="0" w:space="0" w:color="auto"/>
            <w:right w:val="none" w:sz="0" w:space="0" w:color="auto"/>
          </w:divBdr>
        </w:div>
        <w:div w:id="2118286031">
          <w:marLeft w:val="0"/>
          <w:marRight w:val="0"/>
          <w:marTop w:val="0"/>
          <w:marBottom w:val="0"/>
          <w:divBdr>
            <w:top w:val="none" w:sz="0" w:space="0" w:color="auto"/>
            <w:left w:val="none" w:sz="0" w:space="0" w:color="auto"/>
            <w:bottom w:val="none" w:sz="0" w:space="0" w:color="auto"/>
            <w:right w:val="none" w:sz="0" w:space="0" w:color="auto"/>
          </w:divBdr>
        </w:div>
        <w:div w:id="2118286032">
          <w:marLeft w:val="0"/>
          <w:marRight w:val="0"/>
          <w:marTop w:val="0"/>
          <w:marBottom w:val="0"/>
          <w:divBdr>
            <w:top w:val="none" w:sz="0" w:space="0" w:color="auto"/>
            <w:left w:val="none" w:sz="0" w:space="0" w:color="auto"/>
            <w:bottom w:val="none" w:sz="0" w:space="0" w:color="auto"/>
            <w:right w:val="none" w:sz="0" w:space="0" w:color="auto"/>
          </w:divBdr>
        </w:div>
        <w:div w:id="2118286033">
          <w:marLeft w:val="0"/>
          <w:marRight w:val="0"/>
          <w:marTop w:val="0"/>
          <w:marBottom w:val="0"/>
          <w:divBdr>
            <w:top w:val="none" w:sz="0" w:space="0" w:color="auto"/>
            <w:left w:val="none" w:sz="0" w:space="0" w:color="auto"/>
            <w:bottom w:val="none" w:sz="0" w:space="0" w:color="auto"/>
            <w:right w:val="none" w:sz="0" w:space="0" w:color="auto"/>
          </w:divBdr>
        </w:div>
        <w:div w:id="2118286034">
          <w:marLeft w:val="0"/>
          <w:marRight w:val="0"/>
          <w:marTop w:val="0"/>
          <w:marBottom w:val="0"/>
          <w:divBdr>
            <w:top w:val="none" w:sz="0" w:space="0" w:color="auto"/>
            <w:left w:val="none" w:sz="0" w:space="0" w:color="auto"/>
            <w:bottom w:val="none" w:sz="0" w:space="0" w:color="auto"/>
            <w:right w:val="none" w:sz="0" w:space="0" w:color="auto"/>
          </w:divBdr>
        </w:div>
        <w:div w:id="2118286035">
          <w:marLeft w:val="0"/>
          <w:marRight w:val="0"/>
          <w:marTop w:val="0"/>
          <w:marBottom w:val="0"/>
          <w:divBdr>
            <w:top w:val="none" w:sz="0" w:space="0" w:color="auto"/>
            <w:left w:val="none" w:sz="0" w:space="0" w:color="auto"/>
            <w:bottom w:val="none" w:sz="0" w:space="0" w:color="auto"/>
            <w:right w:val="none" w:sz="0" w:space="0" w:color="auto"/>
          </w:divBdr>
        </w:div>
        <w:div w:id="2118286036">
          <w:marLeft w:val="0"/>
          <w:marRight w:val="0"/>
          <w:marTop w:val="0"/>
          <w:marBottom w:val="0"/>
          <w:divBdr>
            <w:top w:val="none" w:sz="0" w:space="0" w:color="auto"/>
            <w:left w:val="none" w:sz="0" w:space="0" w:color="auto"/>
            <w:bottom w:val="none" w:sz="0" w:space="0" w:color="auto"/>
            <w:right w:val="none" w:sz="0" w:space="0" w:color="auto"/>
          </w:divBdr>
        </w:div>
        <w:div w:id="2118286037">
          <w:marLeft w:val="0"/>
          <w:marRight w:val="0"/>
          <w:marTop w:val="0"/>
          <w:marBottom w:val="0"/>
          <w:divBdr>
            <w:top w:val="none" w:sz="0" w:space="0" w:color="auto"/>
            <w:left w:val="none" w:sz="0" w:space="0" w:color="auto"/>
            <w:bottom w:val="none" w:sz="0" w:space="0" w:color="auto"/>
            <w:right w:val="none" w:sz="0" w:space="0" w:color="auto"/>
          </w:divBdr>
        </w:div>
        <w:div w:id="2118286038">
          <w:marLeft w:val="0"/>
          <w:marRight w:val="0"/>
          <w:marTop w:val="0"/>
          <w:marBottom w:val="0"/>
          <w:divBdr>
            <w:top w:val="none" w:sz="0" w:space="0" w:color="auto"/>
            <w:left w:val="none" w:sz="0" w:space="0" w:color="auto"/>
            <w:bottom w:val="none" w:sz="0" w:space="0" w:color="auto"/>
            <w:right w:val="none" w:sz="0" w:space="0" w:color="auto"/>
          </w:divBdr>
        </w:div>
        <w:div w:id="2118286039">
          <w:marLeft w:val="0"/>
          <w:marRight w:val="0"/>
          <w:marTop w:val="0"/>
          <w:marBottom w:val="0"/>
          <w:divBdr>
            <w:top w:val="none" w:sz="0" w:space="0" w:color="auto"/>
            <w:left w:val="none" w:sz="0" w:space="0" w:color="auto"/>
            <w:bottom w:val="none" w:sz="0" w:space="0" w:color="auto"/>
            <w:right w:val="none" w:sz="0" w:space="0" w:color="auto"/>
          </w:divBdr>
        </w:div>
        <w:div w:id="2118286040">
          <w:marLeft w:val="0"/>
          <w:marRight w:val="0"/>
          <w:marTop w:val="0"/>
          <w:marBottom w:val="0"/>
          <w:divBdr>
            <w:top w:val="none" w:sz="0" w:space="0" w:color="auto"/>
            <w:left w:val="none" w:sz="0" w:space="0" w:color="auto"/>
            <w:bottom w:val="none" w:sz="0" w:space="0" w:color="auto"/>
            <w:right w:val="none" w:sz="0" w:space="0" w:color="auto"/>
          </w:divBdr>
        </w:div>
        <w:div w:id="2118286041">
          <w:marLeft w:val="0"/>
          <w:marRight w:val="0"/>
          <w:marTop w:val="0"/>
          <w:marBottom w:val="0"/>
          <w:divBdr>
            <w:top w:val="none" w:sz="0" w:space="0" w:color="auto"/>
            <w:left w:val="none" w:sz="0" w:space="0" w:color="auto"/>
            <w:bottom w:val="none" w:sz="0" w:space="0" w:color="auto"/>
            <w:right w:val="none" w:sz="0" w:space="0" w:color="auto"/>
          </w:divBdr>
        </w:div>
        <w:div w:id="2118286042">
          <w:marLeft w:val="0"/>
          <w:marRight w:val="0"/>
          <w:marTop w:val="0"/>
          <w:marBottom w:val="0"/>
          <w:divBdr>
            <w:top w:val="none" w:sz="0" w:space="0" w:color="auto"/>
            <w:left w:val="none" w:sz="0" w:space="0" w:color="auto"/>
            <w:bottom w:val="none" w:sz="0" w:space="0" w:color="auto"/>
            <w:right w:val="none" w:sz="0" w:space="0" w:color="auto"/>
          </w:divBdr>
        </w:div>
        <w:div w:id="2118286043">
          <w:marLeft w:val="0"/>
          <w:marRight w:val="0"/>
          <w:marTop w:val="0"/>
          <w:marBottom w:val="0"/>
          <w:divBdr>
            <w:top w:val="none" w:sz="0" w:space="0" w:color="auto"/>
            <w:left w:val="none" w:sz="0" w:space="0" w:color="auto"/>
            <w:bottom w:val="none" w:sz="0" w:space="0" w:color="auto"/>
            <w:right w:val="none" w:sz="0" w:space="0" w:color="auto"/>
          </w:divBdr>
        </w:div>
        <w:div w:id="2118286044">
          <w:marLeft w:val="0"/>
          <w:marRight w:val="0"/>
          <w:marTop w:val="0"/>
          <w:marBottom w:val="0"/>
          <w:divBdr>
            <w:top w:val="none" w:sz="0" w:space="0" w:color="auto"/>
            <w:left w:val="none" w:sz="0" w:space="0" w:color="auto"/>
            <w:bottom w:val="none" w:sz="0" w:space="0" w:color="auto"/>
            <w:right w:val="none" w:sz="0" w:space="0" w:color="auto"/>
          </w:divBdr>
        </w:div>
        <w:div w:id="2118286045">
          <w:marLeft w:val="0"/>
          <w:marRight w:val="0"/>
          <w:marTop w:val="0"/>
          <w:marBottom w:val="0"/>
          <w:divBdr>
            <w:top w:val="none" w:sz="0" w:space="0" w:color="auto"/>
            <w:left w:val="none" w:sz="0" w:space="0" w:color="auto"/>
            <w:bottom w:val="none" w:sz="0" w:space="0" w:color="auto"/>
            <w:right w:val="none" w:sz="0" w:space="0" w:color="auto"/>
          </w:divBdr>
        </w:div>
        <w:div w:id="2118286046">
          <w:marLeft w:val="0"/>
          <w:marRight w:val="0"/>
          <w:marTop w:val="0"/>
          <w:marBottom w:val="0"/>
          <w:divBdr>
            <w:top w:val="none" w:sz="0" w:space="0" w:color="auto"/>
            <w:left w:val="none" w:sz="0" w:space="0" w:color="auto"/>
            <w:bottom w:val="none" w:sz="0" w:space="0" w:color="auto"/>
            <w:right w:val="none" w:sz="0" w:space="0" w:color="auto"/>
          </w:divBdr>
        </w:div>
        <w:div w:id="2118286047">
          <w:marLeft w:val="0"/>
          <w:marRight w:val="0"/>
          <w:marTop w:val="0"/>
          <w:marBottom w:val="0"/>
          <w:divBdr>
            <w:top w:val="none" w:sz="0" w:space="0" w:color="auto"/>
            <w:left w:val="none" w:sz="0" w:space="0" w:color="auto"/>
            <w:bottom w:val="none" w:sz="0" w:space="0" w:color="auto"/>
            <w:right w:val="none" w:sz="0" w:space="0" w:color="auto"/>
          </w:divBdr>
        </w:div>
        <w:div w:id="2118286048">
          <w:marLeft w:val="0"/>
          <w:marRight w:val="0"/>
          <w:marTop w:val="0"/>
          <w:marBottom w:val="0"/>
          <w:divBdr>
            <w:top w:val="none" w:sz="0" w:space="0" w:color="auto"/>
            <w:left w:val="none" w:sz="0" w:space="0" w:color="auto"/>
            <w:bottom w:val="none" w:sz="0" w:space="0" w:color="auto"/>
            <w:right w:val="none" w:sz="0" w:space="0" w:color="auto"/>
          </w:divBdr>
        </w:div>
        <w:div w:id="2118286049">
          <w:marLeft w:val="0"/>
          <w:marRight w:val="0"/>
          <w:marTop w:val="0"/>
          <w:marBottom w:val="0"/>
          <w:divBdr>
            <w:top w:val="none" w:sz="0" w:space="0" w:color="auto"/>
            <w:left w:val="none" w:sz="0" w:space="0" w:color="auto"/>
            <w:bottom w:val="none" w:sz="0" w:space="0" w:color="auto"/>
            <w:right w:val="none" w:sz="0" w:space="0" w:color="auto"/>
          </w:divBdr>
        </w:div>
        <w:div w:id="2118286050">
          <w:marLeft w:val="0"/>
          <w:marRight w:val="0"/>
          <w:marTop w:val="0"/>
          <w:marBottom w:val="0"/>
          <w:divBdr>
            <w:top w:val="none" w:sz="0" w:space="0" w:color="auto"/>
            <w:left w:val="none" w:sz="0" w:space="0" w:color="auto"/>
            <w:bottom w:val="none" w:sz="0" w:space="0" w:color="auto"/>
            <w:right w:val="none" w:sz="0" w:space="0" w:color="auto"/>
          </w:divBdr>
        </w:div>
        <w:div w:id="2118286051">
          <w:marLeft w:val="0"/>
          <w:marRight w:val="0"/>
          <w:marTop w:val="0"/>
          <w:marBottom w:val="0"/>
          <w:divBdr>
            <w:top w:val="none" w:sz="0" w:space="0" w:color="auto"/>
            <w:left w:val="none" w:sz="0" w:space="0" w:color="auto"/>
            <w:bottom w:val="none" w:sz="0" w:space="0" w:color="auto"/>
            <w:right w:val="none" w:sz="0" w:space="0" w:color="auto"/>
          </w:divBdr>
        </w:div>
        <w:div w:id="2118286052">
          <w:marLeft w:val="0"/>
          <w:marRight w:val="0"/>
          <w:marTop w:val="0"/>
          <w:marBottom w:val="0"/>
          <w:divBdr>
            <w:top w:val="none" w:sz="0" w:space="0" w:color="auto"/>
            <w:left w:val="none" w:sz="0" w:space="0" w:color="auto"/>
            <w:bottom w:val="none" w:sz="0" w:space="0" w:color="auto"/>
            <w:right w:val="none" w:sz="0" w:space="0" w:color="auto"/>
          </w:divBdr>
        </w:div>
        <w:div w:id="2118286053">
          <w:marLeft w:val="0"/>
          <w:marRight w:val="0"/>
          <w:marTop w:val="0"/>
          <w:marBottom w:val="0"/>
          <w:divBdr>
            <w:top w:val="none" w:sz="0" w:space="0" w:color="auto"/>
            <w:left w:val="none" w:sz="0" w:space="0" w:color="auto"/>
            <w:bottom w:val="none" w:sz="0" w:space="0" w:color="auto"/>
            <w:right w:val="none" w:sz="0" w:space="0" w:color="auto"/>
          </w:divBdr>
        </w:div>
        <w:div w:id="2118286054">
          <w:marLeft w:val="0"/>
          <w:marRight w:val="0"/>
          <w:marTop w:val="0"/>
          <w:marBottom w:val="0"/>
          <w:divBdr>
            <w:top w:val="none" w:sz="0" w:space="0" w:color="auto"/>
            <w:left w:val="none" w:sz="0" w:space="0" w:color="auto"/>
            <w:bottom w:val="none" w:sz="0" w:space="0" w:color="auto"/>
            <w:right w:val="none" w:sz="0" w:space="0" w:color="auto"/>
          </w:divBdr>
        </w:div>
        <w:div w:id="2118286055">
          <w:marLeft w:val="0"/>
          <w:marRight w:val="0"/>
          <w:marTop w:val="0"/>
          <w:marBottom w:val="0"/>
          <w:divBdr>
            <w:top w:val="none" w:sz="0" w:space="0" w:color="auto"/>
            <w:left w:val="none" w:sz="0" w:space="0" w:color="auto"/>
            <w:bottom w:val="none" w:sz="0" w:space="0" w:color="auto"/>
            <w:right w:val="none" w:sz="0" w:space="0" w:color="auto"/>
          </w:divBdr>
        </w:div>
        <w:div w:id="2118286056">
          <w:marLeft w:val="0"/>
          <w:marRight w:val="0"/>
          <w:marTop w:val="0"/>
          <w:marBottom w:val="0"/>
          <w:divBdr>
            <w:top w:val="none" w:sz="0" w:space="0" w:color="auto"/>
            <w:left w:val="none" w:sz="0" w:space="0" w:color="auto"/>
            <w:bottom w:val="none" w:sz="0" w:space="0" w:color="auto"/>
            <w:right w:val="none" w:sz="0" w:space="0" w:color="auto"/>
          </w:divBdr>
        </w:div>
        <w:div w:id="2118286057">
          <w:marLeft w:val="0"/>
          <w:marRight w:val="0"/>
          <w:marTop w:val="0"/>
          <w:marBottom w:val="0"/>
          <w:divBdr>
            <w:top w:val="none" w:sz="0" w:space="0" w:color="auto"/>
            <w:left w:val="none" w:sz="0" w:space="0" w:color="auto"/>
            <w:bottom w:val="none" w:sz="0" w:space="0" w:color="auto"/>
            <w:right w:val="none" w:sz="0" w:space="0" w:color="auto"/>
          </w:divBdr>
        </w:div>
        <w:div w:id="2118286058">
          <w:marLeft w:val="0"/>
          <w:marRight w:val="0"/>
          <w:marTop w:val="0"/>
          <w:marBottom w:val="0"/>
          <w:divBdr>
            <w:top w:val="none" w:sz="0" w:space="0" w:color="auto"/>
            <w:left w:val="none" w:sz="0" w:space="0" w:color="auto"/>
            <w:bottom w:val="none" w:sz="0" w:space="0" w:color="auto"/>
            <w:right w:val="none" w:sz="0" w:space="0" w:color="auto"/>
          </w:divBdr>
        </w:div>
        <w:div w:id="2118286059">
          <w:marLeft w:val="0"/>
          <w:marRight w:val="0"/>
          <w:marTop w:val="0"/>
          <w:marBottom w:val="0"/>
          <w:divBdr>
            <w:top w:val="none" w:sz="0" w:space="0" w:color="auto"/>
            <w:left w:val="none" w:sz="0" w:space="0" w:color="auto"/>
            <w:bottom w:val="none" w:sz="0" w:space="0" w:color="auto"/>
            <w:right w:val="none" w:sz="0" w:space="0" w:color="auto"/>
          </w:divBdr>
        </w:div>
        <w:div w:id="2118286060">
          <w:marLeft w:val="0"/>
          <w:marRight w:val="0"/>
          <w:marTop w:val="0"/>
          <w:marBottom w:val="0"/>
          <w:divBdr>
            <w:top w:val="none" w:sz="0" w:space="0" w:color="auto"/>
            <w:left w:val="none" w:sz="0" w:space="0" w:color="auto"/>
            <w:bottom w:val="none" w:sz="0" w:space="0" w:color="auto"/>
            <w:right w:val="none" w:sz="0" w:space="0" w:color="auto"/>
          </w:divBdr>
        </w:div>
        <w:div w:id="2118286061">
          <w:marLeft w:val="0"/>
          <w:marRight w:val="0"/>
          <w:marTop w:val="0"/>
          <w:marBottom w:val="0"/>
          <w:divBdr>
            <w:top w:val="none" w:sz="0" w:space="0" w:color="auto"/>
            <w:left w:val="none" w:sz="0" w:space="0" w:color="auto"/>
            <w:bottom w:val="none" w:sz="0" w:space="0" w:color="auto"/>
            <w:right w:val="none" w:sz="0" w:space="0" w:color="auto"/>
          </w:divBdr>
        </w:div>
        <w:div w:id="2118286062">
          <w:marLeft w:val="0"/>
          <w:marRight w:val="0"/>
          <w:marTop w:val="0"/>
          <w:marBottom w:val="0"/>
          <w:divBdr>
            <w:top w:val="none" w:sz="0" w:space="0" w:color="auto"/>
            <w:left w:val="none" w:sz="0" w:space="0" w:color="auto"/>
            <w:bottom w:val="none" w:sz="0" w:space="0" w:color="auto"/>
            <w:right w:val="none" w:sz="0" w:space="0" w:color="auto"/>
          </w:divBdr>
        </w:div>
        <w:div w:id="2118286063">
          <w:marLeft w:val="0"/>
          <w:marRight w:val="0"/>
          <w:marTop w:val="0"/>
          <w:marBottom w:val="0"/>
          <w:divBdr>
            <w:top w:val="none" w:sz="0" w:space="0" w:color="auto"/>
            <w:left w:val="none" w:sz="0" w:space="0" w:color="auto"/>
            <w:bottom w:val="none" w:sz="0" w:space="0" w:color="auto"/>
            <w:right w:val="none" w:sz="0" w:space="0" w:color="auto"/>
          </w:divBdr>
        </w:div>
        <w:div w:id="2118286064">
          <w:marLeft w:val="0"/>
          <w:marRight w:val="0"/>
          <w:marTop w:val="0"/>
          <w:marBottom w:val="0"/>
          <w:divBdr>
            <w:top w:val="none" w:sz="0" w:space="0" w:color="auto"/>
            <w:left w:val="none" w:sz="0" w:space="0" w:color="auto"/>
            <w:bottom w:val="none" w:sz="0" w:space="0" w:color="auto"/>
            <w:right w:val="none" w:sz="0" w:space="0" w:color="auto"/>
          </w:divBdr>
        </w:div>
        <w:div w:id="2118286065">
          <w:marLeft w:val="0"/>
          <w:marRight w:val="0"/>
          <w:marTop w:val="0"/>
          <w:marBottom w:val="0"/>
          <w:divBdr>
            <w:top w:val="none" w:sz="0" w:space="0" w:color="auto"/>
            <w:left w:val="none" w:sz="0" w:space="0" w:color="auto"/>
            <w:bottom w:val="none" w:sz="0" w:space="0" w:color="auto"/>
            <w:right w:val="none" w:sz="0" w:space="0" w:color="auto"/>
          </w:divBdr>
        </w:div>
        <w:div w:id="2118286066">
          <w:marLeft w:val="0"/>
          <w:marRight w:val="0"/>
          <w:marTop w:val="0"/>
          <w:marBottom w:val="0"/>
          <w:divBdr>
            <w:top w:val="none" w:sz="0" w:space="0" w:color="auto"/>
            <w:left w:val="none" w:sz="0" w:space="0" w:color="auto"/>
            <w:bottom w:val="none" w:sz="0" w:space="0" w:color="auto"/>
            <w:right w:val="none" w:sz="0" w:space="0" w:color="auto"/>
          </w:divBdr>
        </w:div>
        <w:div w:id="2118286067">
          <w:marLeft w:val="0"/>
          <w:marRight w:val="0"/>
          <w:marTop w:val="0"/>
          <w:marBottom w:val="0"/>
          <w:divBdr>
            <w:top w:val="none" w:sz="0" w:space="0" w:color="auto"/>
            <w:left w:val="none" w:sz="0" w:space="0" w:color="auto"/>
            <w:bottom w:val="none" w:sz="0" w:space="0" w:color="auto"/>
            <w:right w:val="none" w:sz="0" w:space="0" w:color="auto"/>
          </w:divBdr>
        </w:div>
        <w:div w:id="2118286068">
          <w:marLeft w:val="0"/>
          <w:marRight w:val="0"/>
          <w:marTop w:val="0"/>
          <w:marBottom w:val="0"/>
          <w:divBdr>
            <w:top w:val="none" w:sz="0" w:space="0" w:color="auto"/>
            <w:left w:val="none" w:sz="0" w:space="0" w:color="auto"/>
            <w:bottom w:val="none" w:sz="0" w:space="0" w:color="auto"/>
            <w:right w:val="none" w:sz="0" w:space="0" w:color="auto"/>
          </w:divBdr>
        </w:div>
        <w:div w:id="2118286069">
          <w:marLeft w:val="0"/>
          <w:marRight w:val="0"/>
          <w:marTop w:val="0"/>
          <w:marBottom w:val="0"/>
          <w:divBdr>
            <w:top w:val="none" w:sz="0" w:space="0" w:color="auto"/>
            <w:left w:val="none" w:sz="0" w:space="0" w:color="auto"/>
            <w:bottom w:val="none" w:sz="0" w:space="0" w:color="auto"/>
            <w:right w:val="none" w:sz="0" w:space="0" w:color="auto"/>
          </w:divBdr>
        </w:div>
        <w:div w:id="2118286070">
          <w:marLeft w:val="0"/>
          <w:marRight w:val="0"/>
          <w:marTop w:val="0"/>
          <w:marBottom w:val="0"/>
          <w:divBdr>
            <w:top w:val="none" w:sz="0" w:space="0" w:color="auto"/>
            <w:left w:val="none" w:sz="0" w:space="0" w:color="auto"/>
            <w:bottom w:val="none" w:sz="0" w:space="0" w:color="auto"/>
            <w:right w:val="none" w:sz="0" w:space="0" w:color="auto"/>
          </w:divBdr>
        </w:div>
        <w:div w:id="2118286071">
          <w:marLeft w:val="0"/>
          <w:marRight w:val="0"/>
          <w:marTop w:val="0"/>
          <w:marBottom w:val="0"/>
          <w:divBdr>
            <w:top w:val="none" w:sz="0" w:space="0" w:color="auto"/>
            <w:left w:val="none" w:sz="0" w:space="0" w:color="auto"/>
            <w:bottom w:val="none" w:sz="0" w:space="0" w:color="auto"/>
            <w:right w:val="none" w:sz="0" w:space="0" w:color="auto"/>
          </w:divBdr>
        </w:div>
        <w:div w:id="2118286072">
          <w:marLeft w:val="0"/>
          <w:marRight w:val="0"/>
          <w:marTop w:val="0"/>
          <w:marBottom w:val="0"/>
          <w:divBdr>
            <w:top w:val="none" w:sz="0" w:space="0" w:color="auto"/>
            <w:left w:val="none" w:sz="0" w:space="0" w:color="auto"/>
            <w:bottom w:val="none" w:sz="0" w:space="0" w:color="auto"/>
            <w:right w:val="none" w:sz="0" w:space="0" w:color="auto"/>
          </w:divBdr>
        </w:div>
        <w:div w:id="2118286073">
          <w:marLeft w:val="0"/>
          <w:marRight w:val="0"/>
          <w:marTop w:val="0"/>
          <w:marBottom w:val="0"/>
          <w:divBdr>
            <w:top w:val="none" w:sz="0" w:space="0" w:color="auto"/>
            <w:left w:val="none" w:sz="0" w:space="0" w:color="auto"/>
            <w:bottom w:val="none" w:sz="0" w:space="0" w:color="auto"/>
            <w:right w:val="none" w:sz="0" w:space="0" w:color="auto"/>
          </w:divBdr>
        </w:div>
        <w:div w:id="2118286074">
          <w:marLeft w:val="0"/>
          <w:marRight w:val="0"/>
          <w:marTop w:val="0"/>
          <w:marBottom w:val="0"/>
          <w:divBdr>
            <w:top w:val="none" w:sz="0" w:space="0" w:color="auto"/>
            <w:left w:val="none" w:sz="0" w:space="0" w:color="auto"/>
            <w:bottom w:val="none" w:sz="0" w:space="0" w:color="auto"/>
            <w:right w:val="none" w:sz="0" w:space="0" w:color="auto"/>
          </w:divBdr>
        </w:div>
        <w:div w:id="2118286075">
          <w:marLeft w:val="0"/>
          <w:marRight w:val="0"/>
          <w:marTop w:val="0"/>
          <w:marBottom w:val="0"/>
          <w:divBdr>
            <w:top w:val="none" w:sz="0" w:space="0" w:color="auto"/>
            <w:left w:val="none" w:sz="0" w:space="0" w:color="auto"/>
            <w:bottom w:val="none" w:sz="0" w:space="0" w:color="auto"/>
            <w:right w:val="none" w:sz="0" w:space="0" w:color="auto"/>
          </w:divBdr>
        </w:div>
        <w:div w:id="2118286076">
          <w:marLeft w:val="0"/>
          <w:marRight w:val="0"/>
          <w:marTop w:val="0"/>
          <w:marBottom w:val="0"/>
          <w:divBdr>
            <w:top w:val="none" w:sz="0" w:space="0" w:color="auto"/>
            <w:left w:val="none" w:sz="0" w:space="0" w:color="auto"/>
            <w:bottom w:val="none" w:sz="0" w:space="0" w:color="auto"/>
            <w:right w:val="none" w:sz="0" w:space="0" w:color="auto"/>
          </w:divBdr>
        </w:div>
        <w:div w:id="2118286077">
          <w:marLeft w:val="0"/>
          <w:marRight w:val="0"/>
          <w:marTop w:val="0"/>
          <w:marBottom w:val="0"/>
          <w:divBdr>
            <w:top w:val="none" w:sz="0" w:space="0" w:color="auto"/>
            <w:left w:val="none" w:sz="0" w:space="0" w:color="auto"/>
            <w:bottom w:val="none" w:sz="0" w:space="0" w:color="auto"/>
            <w:right w:val="none" w:sz="0" w:space="0" w:color="auto"/>
          </w:divBdr>
        </w:div>
        <w:div w:id="2118286078">
          <w:marLeft w:val="0"/>
          <w:marRight w:val="0"/>
          <w:marTop w:val="0"/>
          <w:marBottom w:val="0"/>
          <w:divBdr>
            <w:top w:val="none" w:sz="0" w:space="0" w:color="auto"/>
            <w:left w:val="none" w:sz="0" w:space="0" w:color="auto"/>
            <w:bottom w:val="none" w:sz="0" w:space="0" w:color="auto"/>
            <w:right w:val="none" w:sz="0" w:space="0" w:color="auto"/>
          </w:divBdr>
        </w:div>
        <w:div w:id="2118286079">
          <w:marLeft w:val="0"/>
          <w:marRight w:val="0"/>
          <w:marTop w:val="0"/>
          <w:marBottom w:val="0"/>
          <w:divBdr>
            <w:top w:val="none" w:sz="0" w:space="0" w:color="auto"/>
            <w:left w:val="none" w:sz="0" w:space="0" w:color="auto"/>
            <w:bottom w:val="none" w:sz="0" w:space="0" w:color="auto"/>
            <w:right w:val="none" w:sz="0" w:space="0" w:color="auto"/>
          </w:divBdr>
        </w:div>
        <w:div w:id="2118286080">
          <w:marLeft w:val="0"/>
          <w:marRight w:val="0"/>
          <w:marTop w:val="0"/>
          <w:marBottom w:val="0"/>
          <w:divBdr>
            <w:top w:val="none" w:sz="0" w:space="0" w:color="auto"/>
            <w:left w:val="none" w:sz="0" w:space="0" w:color="auto"/>
            <w:bottom w:val="none" w:sz="0" w:space="0" w:color="auto"/>
            <w:right w:val="none" w:sz="0" w:space="0" w:color="auto"/>
          </w:divBdr>
        </w:div>
        <w:div w:id="2118286081">
          <w:marLeft w:val="0"/>
          <w:marRight w:val="0"/>
          <w:marTop w:val="0"/>
          <w:marBottom w:val="0"/>
          <w:divBdr>
            <w:top w:val="none" w:sz="0" w:space="0" w:color="auto"/>
            <w:left w:val="none" w:sz="0" w:space="0" w:color="auto"/>
            <w:bottom w:val="none" w:sz="0" w:space="0" w:color="auto"/>
            <w:right w:val="none" w:sz="0" w:space="0" w:color="auto"/>
          </w:divBdr>
        </w:div>
        <w:div w:id="2118286082">
          <w:marLeft w:val="0"/>
          <w:marRight w:val="0"/>
          <w:marTop w:val="0"/>
          <w:marBottom w:val="0"/>
          <w:divBdr>
            <w:top w:val="none" w:sz="0" w:space="0" w:color="auto"/>
            <w:left w:val="none" w:sz="0" w:space="0" w:color="auto"/>
            <w:bottom w:val="none" w:sz="0" w:space="0" w:color="auto"/>
            <w:right w:val="none" w:sz="0" w:space="0" w:color="auto"/>
          </w:divBdr>
        </w:div>
        <w:div w:id="2118286083">
          <w:marLeft w:val="0"/>
          <w:marRight w:val="0"/>
          <w:marTop w:val="0"/>
          <w:marBottom w:val="0"/>
          <w:divBdr>
            <w:top w:val="none" w:sz="0" w:space="0" w:color="auto"/>
            <w:left w:val="none" w:sz="0" w:space="0" w:color="auto"/>
            <w:bottom w:val="none" w:sz="0" w:space="0" w:color="auto"/>
            <w:right w:val="none" w:sz="0" w:space="0" w:color="auto"/>
          </w:divBdr>
        </w:div>
        <w:div w:id="2118286084">
          <w:marLeft w:val="0"/>
          <w:marRight w:val="0"/>
          <w:marTop w:val="0"/>
          <w:marBottom w:val="0"/>
          <w:divBdr>
            <w:top w:val="none" w:sz="0" w:space="0" w:color="auto"/>
            <w:left w:val="none" w:sz="0" w:space="0" w:color="auto"/>
            <w:bottom w:val="none" w:sz="0" w:space="0" w:color="auto"/>
            <w:right w:val="none" w:sz="0" w:space="0" w:color="auto"/>
          </w:divBdr>
        </w:div>
        <w:div w:id="2118286085">
          <w:marLeft w:val="0"/>
          <w:marRight w:val="0"/>
          <w:marTop w:val="0"/>
          <w:marBottom w:val="0"/>
          <w:divBdr>
            <w:top w:val="none" w:sz="0" w:space="0" w:color="auto"/>
            <w:left w:val="none" w:sz="0" w:space="0" w:color="auto"/>
            <w:bottom w:val="none" w:sz="0" w:space="0" w:color="auto"/>
            <w:right w:val="none" w:sz="0" w:space="0" w:color="auto"/>
          </w:divBdr>
        </w:div>
        <w:div w:id="2118286086">
          <w:marLeft w:val="0"/>
          <w:marRight w:val="0"/>
          <w:marTop w:val="0"/>
          <w:marBottom w:val="0"/>
          <w:divBdr>
            <w:top w:val="none" w:sz="0" w:space="0" w:color="auto"/>
            <w:left w:val="none" w:sz="0" w:space="0" w:color="auto"/>
            <w:bottom w:val="none" w:sz="0" w:space="0" w:color="auto"/>
            <w:right w:val="none" w:sz="0" w:space="0" w:color="auto"/>
          </w:divBdr>
        </w:div>
        <w:div w:id="2118286087">
          <w:marLeft w:val="0"/>
          <w:marRight w:val="0"/>
          <w:marTop w:val="0"/>
          <w:marBottom w:val="0"/>
          <w:divBdr>
            <w:top w:val="none" w:sz="0" w:space="0" w:color="auto"/>
            <w:left w:val="none" w:sz="0" w:space="0" w:color="auto"/>
            <w:bottom w:val="none" w:sz="0" w:space="0" w:color="auto"/>
            <w:right w:val="none" w:sz="0" w:space="0" w:color="auto"/>
          </w:divBdr>
        </w:div>
        <w:div w:id="211828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cbi.nlm.nih.gov/pubmed/?term=Centers%20for%20Disease%20Control%20and%20Prevention%20(CDC)%5BCorporate%20Author%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12226</Words>
  <Characters>-32766</Characters>
  <Application>Microsoft Office Outlook</Application>
  <DocSecurity>0</DocSecurity>
  <Lines>0</Lines>
  <Paragraphs>0</Paragraphs>
  <ScaleCrop>false</ScaleCrop>
  <Company>NSLIJHS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Xue-Mei Gong</cp:lastModifiedBy>
  <cp:revision>3</cp:revision>
  <dcterms:created xsi:type="dcterms:W3CDTF">2015-11-14T00:31:00Z</dcterms:created>
  <dcterms:modified xsi:type="dcterms:W3CDTF">2015-11-16T02:59:00Z</dcterms:modified>
</cp:coreProperties>
</file>