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CB" w:rsidRPr="000D5F6F" w:rsidRDefault="004D2ECB" w:rsidP="00D06B71">
      <w:pPr>
        <w:spacing w:line="360" w:lineRule="auto"/>
        <w:jc w:val="both"/>
        <w:rPr>
          <w:rFonts w:ascii="Book Antiqua" w:hAnsi="Book Antiqua" w:cs="Book Antiqua"/>
          <w:b/>
          <w:bCs/>
          <w:lang w:val="en-GB"/>
        </w:rPr>
      </w:pPr>
      <w:r w:rsidRPr="000D5F6F">
        <w:rPr>
          <w:rFonts w:ascii="Book Antiqua" w:hAnsi="Book Antiqua" w:cs="Book Antiqua"/>
          <w:b/>
          <w:bCs/>
          <w:lang w:val="en-GB"/>
        </w:rPr>
        <w:t xml:space="preserve">Name of Journal: </w:t>
      </w:r>
      <w:r w:rsidRPr="000D5F6F">
        <w:rPr>
          <w:rFonts w:ascii="Book Antiqua" w:hAnsi="Book Antiqua" w:cs="Book Antiqua"/>
          <w:b/>
          <w:bCs/>
          <w:i/>
          <w:lang w:val="en-GB"/>
        </w:rPr>
        <w:t>World Journal of Methodology</w:t>
      </w:r>
    </w:p>
    <w:p w:rsidR="004D2ECB" w:rsidRPr="000D5F6F" w:rsidRDefault="004D2ECB" w:rsidP="00D06B71">
      <w:pPr>
        <w:spacing w:line="360" w:lineRule="auto"/>
        <w:jc w:val="both"/>
        <w:rPr>
          <w:rFonts w:ascii="Book Antiqua" w:hAnsi="Book Antiqua" w:cs="Book Antiqua"/>
          <w:b/>
          <w:bCs/>
          <w:lang w:val="en-GB"/>
        </w:rPr>
      </w:pPr>
      <w:r w:rsidRPr="000D5F6F">
        <w:rPr>
          <w:rFonts w:ascii="Book Antiqua" w:hAnsi="Book Antiqua" w:cs="Book Antiqua"/>
          <w:b/>
          <w:bCs/>
          <w:lang w:val="en-GB"/>
        </w:rPr>
        <w:t>ESPS Manuscript NO: 21044</w:t>
      </w:r>
    </w:p>
    <w:p w:rsidR="004D2ECB" w:rsidRPr="000D5F6F" w:rsidRDefault="004D2ECB" w:rsidP="00D06B71">
      <w:pPr>
        <w:spacing w:line="360" w:lineRule="auto"/>
        <w:jc w:val="both"/>
        <w:rPr>
          <w:rFonts w:ascii="Book Antiqua" w:hAnsi="Book Antiqua" w:cs="Book Antiqua"/>
          <w:b/>
          <w:bCs/>
          <w:lang w:val="en-GB"/>
        </w:rPr>
      </w:pPr>
      <w:r w:rsidRPr="000D5F6F">
        <w:rPr>
          <w:rFonts w:ascii="Book Antiqua" w:hAnsi="Book Antiqua" w:cs="Book Antiqua"/>
          <w:b/>
          <w:bCs/>
          <w:lang w:val="en-GB"/>
        </w:rPr>
        <w:t>Manuscript Type: Minireviews</w:t>
      </w:r>
    </w:p>
    <w:p w:rsidR="004D2ECB" w:rsidRPr="000D5F6F" w:rsidRDefault="004D2ECB" w:rsidP="00D06B71">
      <w:pPr>
        <w:spacing w:line="360" w:lineRule="auto"/>
        <w:jc w:val="both"/>
        <w:rPr>
          <w:rFonts w:ascii="Book Antiqua" w:hAnsi="Book Antiqua" w:cs="Times New Roman"/>
          <w:b/>
          <w:bCs/>
          <w:lang w:val="en-GB" w:eastAsia="zh-CN"/>
        </w:rPr>
      </w:pPr>
    </w:p>
    <w:p w:rsidR="004D2ECB" w:rsidRPr="000D5F6F" w:rsidRDefault="004D2ECB" w:rsidP="00D06B71">
      <w:pPr>
        <w:spacing w:line="360" w:lineRule="auto"/>
        <w:jc w:val="both"/>
        <w:rPr>
          <w:rFonts w:ascii="Book Antiqua" w:hAnsi="Book Antiqua" w:cs="Book Antiqua"/>
          <w:b/>
          <w:lang w:val="en-GB" w:eastAsia="zh-CN"/>
        </w:rPr>
      </w:pPr>
      <w:r w:rsidRPr="000D5F6F">
        <w:rPr>
          <w:rFonts w:ascii="Book Antiqua" w:hAnsi="Book Antiqua" w:cs="Book Antiqua"/>
          <w:b/>
          <w:lang w:val="en-GB"/>
        </w:rPr>
        <w:t>Monitoring anticoagulant therapy with new oral agents</w:t>
      </w:r>
    </w:p>
    <w:p w:rsidR="004D2ECB" w:rsidRPr="000D5F6F" w:rsidRDefault="004D2ECB" w:rsidP="00D06B71">
      <w:pPr>
        <w:spacing w:line="360" w:lineRule="auto"/>
        <w:jc w:val="both"/>
        <w:rPr>
          <w:rFonts w:ascii="Book Antiqua" w:hAnsi="Book Antiqua" w:cs="Book Antiqua"/>
          <w:lang w:val="en-GB" w:eastAsia="zh-CN"/>
        </w:rPr>
      </w:pPr>
    </w:p>
    <w:p w:rsidR="004D2ECB" w:rsidRPr="000D5F6F" w:rsidRDefault="004D2ECB" w:rsidP="00D06B71">
      <w:pPr>
        <w:spacing w:line="360" w:lineRule="auto"/>
        <w:jc w:val="both"/>
        <w:rPr>
          <w:rFonts w:ascii="Book Antiqua" w:hAnsi="Book Antiqua" w:cs="Book Antiqua"/>
          <w:lang w:val="en-GB" w:eastAsia="zh-CN"/>
        </w:rPr>
      </w:pPr>
      <w:r w:rsidRPr="000D5F6F">
        <w:rPr>
          <w:rFonts w:ascii="Book Antiqua" w:hAnsi="Book Antiqua" w:cs="Book Antiqua"/>
          <w:lang w:val="es-CR"/>
        </w:rPr>
        <w:t>Ramos-Esquivel</w:t>
      </w:r>
      <w:r w:rsidRPr="000D5F6F">
        <w:rPr>
          <w:rFonts w:ascii="Book Antiqua" w:eastAsia="宋体" w:hAnsi="Book Antiqua" w:cs="Book Antiqua"/>
          <w:lang w:val="es-CR" w:eastAsia="zh-CN"/>
        </w:rPr>
        <w:t xml:space="preserve"> A</w:t>
      </w:r>
      <w:r w:rsidRPr="000D5F6F">
        <w:rPr>
          <w:rFonts w:ascii="Book Antiqua" w:eastAsia="宋体" w:hAnsi="Book Antiqua" w:cs="Book Antiqua"/>
          <w:bCs/>
          <w:lang w:val="en-GB" w:eastAsia="zh-CN"/>
        </w:rPr>
        <w:t>.</w:t>
      </w:r>
      <w:r w:rsidRPr="000D5F6F">
        <w:rPr>
          <w:rFonts w:ascii="Book Antiqua" w:hAnsi="Book Antiqua" w:cs="Book Antiqua"/>
          <w:lang w:val="en-GB"/>
        </w:rPr>
        <w:t xml:space="preserve"> Anticoagulation monitoring</w:t>
      </w:r>
    </w:p>
    <w:p w:rsidR="004D2ECB" w:rsidRPr="000D5F6F" w:rsidRDefault="004D2ECB" w:rsidP="00D06B71">
      <w:pPr>
        <w:spacing w:line="360" w:lineRule="auto"/>
        <w:jc w:val="both"/>
        <w:rPr>
          <w:rFonts w:ascii="Book Antiqua" w:hAnsi="Book Antiqua" w:cs="Book Antiqua"/>
          <w:b/>
          <w:lang w:val="en-GB"/>
        </w:rPr>
      </w:pPr>
    </w:p>
    <w:p w:rsidR="004D2ECB" w:rsidRPr="000D5F6F" w:rsidRDefault="004D2ECB" w:rsidP="00D06B71">
      <w:pPr>
        <w:spacing w:line="360" w:lineRule="auto"/>
        <w:jc w:val="both"/>
        <w:rPr>
          <w:rFonts w:ascii="Book Antiqua" w:eastAsia="宋体" w:hAnsi="Book Antiqua" w:cs="Book Antiqua"/>
          <w:b/>
          <w:lang w:val="es-CR" w:eastAsia="zh-CN"/>
        </w:rPr>
      </w:pPr>
      <w:r w:rsidRPr="000D5F6F">
        <w:rPr>
          <w:rFonts w:ascii="Book Antiqua" w:hAnsi="Book Antiqua" w:cs="Book Antiqua"/>
          <w:b/>
          <w:lang w:val="es-CR"/>
        </w:rPr>
        <w:t>Allan Ramos-Esquivel</w:t>
      </w:r>
    </w:p>
    <w:p w:rsidR="004D2ECB" w:rsidRPr="000D5F6F" w:rsidRDefault="004D2ECB" w:rsidP="00D06B71">
      <w:pPr>
        <w:spacing w:line="360" w:lineRule="auto"/>
        <w:jc w:val="both"/>
        <w:rPr>
          <w:rFonts w:ascii="Book Antiqua" w:hAnsi="Book Antiqua" w:cs="Book Antiqua"/>
          <w:b/>
          <w:bCs/>
          <w:lang w:val="en-GB"/>
        </w:rPr>
      </w:pPr>
    </w:p>
    <w:p w:rsidR="004D2ECB" w:rsidRPr="000D5F6F" w:rsidRDefault="004D2ECB" w:rsidP="00D06B71">
      <w:pPr>
        <w:spacing w:line="360" w:lineRule="auto"/>
        <w:jc w:val="both"/>
        <w:rPr>
          <w:rFonts w:ascii="Book Antiqua" w:eastAsia="宋体" w:hAnsi="Book Antiqua" w:cs="Times New Roman"/>
          <w:bCs/>
          <w:lang w:val="en-GB" w:eastAsia="zh-CN"/>
        </w:rPr>
      </w:pPr>
      <w:r w:rsidRPr="000D5F6F">
        <w:rPr>
          <w:rFonts w:ascii="Book Antiqua" w:hAnsi="Book Antiqua" w:cs="Book Antiqua"/>
          <w:b/>
          <w:lang w:val="es-CR"/>
        </w:rPr>
        <w:t>Allan Ramos-Esquivel</w:t>
      </w:r>
      <w:r w:rsidRPr="000D5F6F">
        <w:rPr>
          <w:rFonts w:ascii="Book Antiqua" w:eastAsia="宋体" w:hAnsi="Book Antiqua" w:cs="Book Antiqua"/>
          <w:b/>
          <w:lang w:val="es-CR" w:eastAsia="zh-CN"/>
        </w:rPr>
        <w:t>,</w:t>
      </w:r>
      <w:r w:rsidRPr="000D5F6F">
        <w:rPr>
          <w:rFonts w:ascii="Book Antiqua" w:eastAsia="宋体" w:hAnsi="Book Antiqua" w:cs="Book Antiqua"/>
          <w:b/>
          <w:lang w:val="en-GB" w:eastAsia="zh-CN"/>
        </w:rPr>
        <w:t xml:space="preserve"> </w:t>
      </w:r>
      <w:r w:rsidRPr="000D5F6F">
        <w:rPr>
          <w:rFonts w:ascii="Book Antiqua" w:hAnsi="Book Antiqua" w:cs="Book Antiqua"/>
          <w:lang w:val="en-GB"/>
        </w:rPr>
        <w:t>Department of Pharmacology</w:t>
      </w:r>
      <w:r w:rsidRPr="000D5F6F">
        <w:rPr>
          <w:rFonts w:ascii="Book Antiqua" w:eastAsia="宋体" w:hAnsi="Book Antiqua" w:cs="Book Antiqua"/>
          <w:lang w:val="en-GB" w:eastAsia="zh-CN"/>
        </w:rPr>
        <w:t xml:space="preserve">, </w:t>
      </w:r>
      <w:r w:rsidRPr="000D5F6F">
        <w:rPr>
          <w:rFonts w:ascii="Book Antiqua" w:hAnsi="Book Antiqua" w:cs="Book Antiqua"/>
          <w:lang w:val="en-GB"/>
        </w:rPr>
        <w:t>School of Medicine</w:t>
      </w:r>
      <w:r w:rsidRPr="000D5F6F">
        <w:rPr>
          <w:rFonts w:ascii="Book Antiqua" w:eastAsia="宋体" w:hAnsi="Book Antiqua" w:cs="Book Antiqua"/>
          <w:lang w:val="en-GB" w:eastAsia="zh-CN"/>
        </w:rPr>
        <w:t>,</w:t>
      </w:r>
      <w:r w:rsidRPr="000D5F6F">
        <w:rPr>
          <w:rFonts w:ascii="Book Antiqua" w:eastAsia="宋体" w:hAnsi="Book Antiqua" w:cs="Book Antiqua"/>
          <w:b/>
          <w:lang w:val="en-GB" w:eastAsia="zh-CN"/>
        </w:rPr>
        <w:t xml:space="preserve"> </w:t>
      </w:r>
      <w:r w:rsidRPr="000D5F6F">
        <w:rPr>
          <w:rFonts w:ascii="Book Antiqua" w:hAnsi="Book Antiqua" w:cs="Book Antiqua"/>
          <w:lang w:val="en-GB"/>
        </w:rPr>
        <w:t>University of Costa Rica</w:t>
      </w:r>
      <w:r w:rsidRPr="000D5F6F">
        <w:rPr>
          <w:rFonts w:ascii="Book Antiqua" w:eastAsia="宋体" w:hAnsi="Book Antiqua" w:cs="Book Antiqua"/>
          <w:lang w:val="en-GB" w:eastAsia="zh-CN"/>
        </w:rPr>
        <w:t xml:space="preserve">, </w:t>
      </w:r>
      <w:r w:rsidRPr="000D5F6F">
        <w:rPr>
          <w:rFonts w:ascii="Book Antiqua" w:hAnsi="Book Antiqua" w:cs="Book Antiqua"/>
          <w:lang w:val="en-GB"/>
        </w:rPr>
        <w:t>San José</w:t>
      </w:r>
      <w:r w:rsidRPr="000D5F6F">
        <w:rPr>
          <w:rFonts w:ascii="Book Antiqua" w:eastAsia="宋体" w:hAnsi="Book Antiqua" w:cs="Book Antiqua"/>
          <w:lang w:val="en-GB" w:eastAsia="zh-CN"/>
        </w:rPr>
        <w:t xml:space="preserve"> </w:t>
      </w:r>
      <w:r w:rsidRPr="000D5F6F">
        <w:rPr>
          <w:rFonts w:ascii="Book Antiqua" w:hAnsi="Book Antiqua" w:cs="Times New Roman"/>
          <w:bCs/>
          <w:lang w:val="en-GB" w:eastAsia="zh-CN"/>
        </w:rPr>
        <w:t>11501-2060</w:t>
      </w:r>
      <w:r w:rsidRPr="000D5F6F">
        <w:rPr>
          <w:rFonts w:ascii="Book Antiqua" w:hAnsi="Book Antiqua" w:cs="Book Antiqua"/>
          <w:lang w:val="en-GB"/>
        </w:rPr>
        <w:t>, Costa Rica</w:t>
      </w:r>
    </w:p>
    <w:p w:rsidR="004D2ECB" w:rsidRPr="000D5F6F" w:rsidRDefault="004D2ECB" w:rsidP="00D06B71">
      <w:pPr>
        <w:spacing w:line="360" w:lineRule="auto"/>
        <w:jc w:val="both"/>
        <w:rPr>
          <w:rFonts w:ascii="Book Antiqua" w:eastAsia="宋体" w:hAnsi="Book Antiqua" w:cs="Times New Roman"/>
          <w:bCs/>
          <w:lang w:val="en-GB" w:eastAsia="zh-CN"/>
        </w:rPr>
      </w:pPr>
    </w:p>
    <w:p w:rsidR="004D2ECB" w:rsidRPr="000D5F6F" w:rsidRDefault="004D2ECB" w:rsidP="00D06B71">
      <w:pPr>
        <w:spacing w:line="360" w:lineRule="auto"/>
        <w:jc w:val="both"/>
        <w:rPr>
          <w:rFonts w:ascii="Book Antiqua" w:eastAsia="宋体" w:hAnsi="Book Antiqua"/>
          <w:b/>
          <w:lang w:eastAsia="zh-CN"/>
        </w:rPr>
      </w:pPr>
      <w:r w:rsidRPr="000D5F6F">
        <w:rPr>
          <w:rFonts w:ascii="Book Antiqua" w:hAnsi="Book Antiqua"/>
          <w:b/>
        </w:rPr>
        <w:t>Author contributions:</w:t>
      </w:r>
      <w:r w:rsidRPr="000D5F6F">
        <w:rPr>
          <w:rFonts w:ascii="Book Antiqua" w:eastAsia="宋体" w:hAnsi="Book Antiqua"/>
          <w:b/>
          <w:lang w:eastAsia="zh-CN"/>
        </w:rPr>
        <w:t xml:space="preserve"> </w:t>
      </w:r>
      <w:r w:rsidRPr="000D5F6F">
        <w:rPr>
          <w:rFonts w:ascii="Book Antiqua" w:eastAsia="宋体" w:hAnsi="Book Antiqua"/>
          <w:lang w:eastAsia="zh-CN"/>
        </w:rPr>
        <w:t>The author solely contributed to this paper.</w:t>
      </w:r>
    </w:p>
    <w:p w:rsidR="004D2ECB" w:rsidRPr="000D5F6F" w:rsidRDefault="004D2ECB" w:rsidP="00D06B71">
      <w:pPr>
        <w:spacing w:line="360" w:lineRule="auto"/>
        <w:jc w:val="both"/>
        <w:rPr>
          <w:rFonts w:ascii="Book Antiqua" w:eastAsia="宋体" w:hAnsi="Book Antiqua" w:cs="Times New Roman"/>
          <w:bCs/>
          <w:lang w:val="en-GB" w:eastAsia="zh-CN"/>
        </w:rPr>
      </w:pPr>
    </w:p>
    <w:p w:rsidR="004D2ECB" w:rsidRPr="000D5F6F" w:rsidRDefault="004D2ECB" w:rsidP="00D06B71">
      <w:pPr>
        <w:spacing w:line="360" w:lineRule="auto"/>
        <w:jc w:val="both"/>
        <w:rPr>
          <w:rFonts w:ascii="Book Antiqua" w:eastAsia="宋体" w:hAnsi="Book Antiqua" w:cs="Book Antiqua"/>
          <w:lang w:val="en-GB" w:eastAsia="zh-CN"/>
        </w:rPr>
      </w:pPr>
      <w:r w:rsidRPr="000D5F6F">
        <w:rPr>
          <w:rFonts w:ascii="Book Antiqua" w:hAnsi="Book Antiqua"/>
          <w:b/>
        </w:rPr>
        <w:t xml:space="preserve">Conflict-of-interest statement: </w:t>
      </w:r>
      <w:r w:rsidRPr="000D5F6F">
        <w:rPr>
          <w:rFonts w:ascii="Book Antiqua" w:hAnsi="Book Antiqua" w:cs="Book Antiqua"/>
          <w:lang w:val="en-GB"/>
        </w:rPr>
        <w:t>There are not any conflicts of interest to disclose</w:t>
      </w:r>
      <w:r w:rsidRPr="000D5F6F">
        <w:rPr>
          <w:rFonts w:ascii="Book Antiqua" w:eastAsia="宋体" w:hAnsi="Book Antiqua" w:cs="Book Antiqua"/>
          <w:lang w:val="en-GB" w:eastAsia="zh-CN"/>
        </w:rPr>
        <w:t>.</w:t>
      </w:r>
    </w:p>
    <w:p w:rsidR="004D2ECB" w:rsidRPr="000D5F6F" w:rsidRDefault="004D2ECB" w:rsidP="00D06B71">
      <w:pPr>
        <w:spacing w:line="360" w:lineRule="auto"/>
        <w:jc w:val="both"/>
        <w:rPr>
          <w:rFonts w:ascii="Book Antiqua" w:eastAsia="宋体" w:hAnsi="Book Antiqua" w:cs="Book Antiqua"/>
          <w:lang w:val="en-GB" w:eastAsia="zh-CN"/>
        </w:rPr>
      </w:pPr>
    </w:p>
    <w:p w:rsidR="004D2ECB" w:rsidRPr="000D5F6F" w:rsidRDefault="004D2ECB" w:rsidP="00D06B71">
      <w:pPr>
        <w:spacing w:line="360" w:lineRule="auto"/>
        <w:jc w:val="both"/>
        <w:rPr>
          <w:rFonts w:ascii="Book Antiqua" w:hAnsi="Book Antiqua"/>
        </w:rPr>
      </w:pPr>
      <w:bookmarkStart w:id="0" w:name="OLE_LINK507"/>
      <w:bookmarkStart w:id="1" w:name="OLE_LINK506"/>
      <w:bookmarkStart w:id="2" w:name="OLE_LINK496"/>
      <w:bookmarkStart w:id="3" w:name="OLE_LINK479"/>
      <w:r w:rsidRPr="000D5F6F">
        <w:rPr>
          <w:rFonts w:ascii="Book Antiqua" w:hAnsi="Book Antiqua"/>
          <w:b/>
        </w:rPr>
        <w:t xml:space="preserve">Open-Access: </w:t>
      </w:r>
      <w:r w:rsidRPr="000D5F6F">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D2ECB" w:rsidRPr="000D5F6F" w:rsidRDefault="004D2ECB" w:rsidP="00D06B71">
      <w:pPr>
        <w:spacing w:line="360" w:lineRule="auto"/>
        <w:jc w:val="both"/>
        <w:rPr>
          <w:rFonts w:ascii="Book Antiqua" w:eastAsia="宋体" w:hAnsi="Book Antiqua" w:cs="Book Antiqua"/>
          <w:lang w:val="en-GB" w:eastAsia="zh-CN"/>
        </w:rPr>
      </w:pP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b/>
        </w:rPr>
        <w:t>Correspondence to:</w:t>
      </w:r>
      <w:r w:rsidRPr="000D5F6F">
        <w:rPr>
          <w:rFonts w:ascii="Book Antiqua" w:eastAsia="宋体" w:hAnsi="Book Antiqua" w:cs="Arial"/>
          <w:b/>
          <w:bCs/>
          <w:lang w:eastAsia="zh-CN"/>
        </w:rPr>
        <w:t xml:space="preserve"> </w:t>
      </w:r>
      <w:r w:rsidRPr="000D5F6F">
        <w:rPr>
          <w:rFonts w:ascii="Book Antiqua" w:hAnsi="Book Antiqua" w:cs="Book Antiqua"/>
          <w:b/>
          <w:lang w:val="es-CR"/>
        </w:rPr>
        <w:t>Allan Ramos-Esquivel</w:t>
      </w:r>
      <w:r w:rsidRPr="000D5F6F">
        <w:rPr>
          <w:rFonts w:ascii="Book Antiqua" w:eastAsia="宋体" w:hAnsi="Book Antiqua" w:cs="Book Antiqua"/>
          <w:b/>
          <w:lang w:val="es-CR" w:eastAsia="zh-CN"/>
        </w:rPr>
        <w:t>,</w:t>
      </w:r>
      <w:r w:rsidRPr="000D5F6F">
        <w:rPr>
          <w:rFonts w:ascii="Book Antiqua" w:eastAsia="宋体" w:hAnsi="Book Antiqua" w:cs="Book Antiqua"/>
          <w:lang w:val="es-CR" w:eastAsia="zh-CN"/>
        </w:rPr>
        <w:t xml:space="preserve"> </w:t>
      </w:r>
      <w:r w:rsidRPr="000D5F6F">
        <w:rPr>
          <w:rFonts w:ascii="Book Antiqua" w:eastAsia="宋体" w:hAnsi="Book Antiqua" w:cs="Book Antiqua"/>
          <w:b/>
          <w:lang w:val="es-CR" w:eastAsia="zh-CN"/>
        </w:rPr>
        <w:t>MD, MSc,</w:t>
      </w:r>
      <w:r w:rsidRPr="000D5F6F">
        <w:rPr>
          <w:rFonts w:ascii="Book Antiqua" w:eastAsia="宋体" w:hAnsi="Book Antiqua" w:cs="Book Antiqua"/>
          <w:lang w:val="es-CR" w:eastAsia="zh-CN"/>
        </w:rPr>
        <w:t xml:space="preserve"> </w:t>
      </w:r>
      <w:r w:rsidRPr="000D5F6F">
        <w:rPr>
          <w:rFonts w:ascii="Book Antiqua" w:hAnsi="Book Antiqua" w:cs="Book Antiqua"/>
          <w:lang w:val="en-GB"/>
        </w:rPr>
        <w:t>Department of Pharmacology</w:t>
      </w:r>
      <w:r w:rsidRPr="000D5F6F">
        <w:rPr>
          <w:rFonts w:ascii="Book Antiqua" w:eastAsia="宋体" w:hAnsi="Book Antiqua" w:cs="Book Antiqua"/>
          <w:lang w:val="en-GB" w:eastAsia="zh-CN"/>
        </w:rPr>
        <w:t xml:space="preserve">, </w:t>
      </w:r>
      <w:r w:rsidRPr="000D5F6F">
        <w:rPr>
          <w:rFonts w:ascii="Book Antiqua" w:hAnsi="Book Antiqua" w:cs="Book Antiqua"/>
          <w:lang w:val="en-GB"/>
        </w:rPr>
        <w:t>School of Medicine</w:t>
      </w:r>
      <w:r w:rsidRPr="000D5F6F">
        <w:rPr>
          <w:rFonts w:ascii="Book Antiqua" w:eastAsia="宋体" w:hAnsi="Book Antiqua" w:cs="Book Antiqua"/>
          <w:lang w:val="en-GB" w:eastAsia="zh-CN"/>
        </w:rPr>
        <w:t xml:space="preserve">, </w:t>
      </w:r>
      <w:r w:rsidRPr="000D5F6F">
        <w:rPr>
          <w:rFonts w:ascii="Book Antiqua" w:hAnsi="Book Antiqua" w:cs="Book Antiqua"/>
          <w:lang w:val="en-GB"/>
        </w:rPr>
        <w:t>University of Costa Rica</w:t>
      </w:r>
      <w:r w:rsidRPr="000D5F6F">
        <w:rPr>
          <w:rFonts w:ascii="Book Antiqua" w:eastAsia="宋体" w:hAnsi="Book Antiqua" w:cs="Book Antiqua"/>
          <w:lang w:val="en-GB" w:eastAsia="zh-CN"/>
        </w:rPr>
        <w:t>,</w:t>
      </w:r>
      <w:r w:rsidRPr="000D5F6F">
        <w:rPr>
          <w:rFonts w:ascii="Book Antiqua" w:eastAsia="宋体" w:hAnsi="Book Antiqua" w:cs="Arial"/>
          <w:b/>
          <w:bCs/>
          <w:lang w:eastAsia="zh-CN"/>
        </w:rPr>
        <w:t xml:space="preserve"> </w:t>
      </w:r>
      <w:r w:rsidRPr="000D5F6F">
        <w:rPr>
          <w:rFonts w:ascii="Book Antiqua" w:hAnsi="Book Antiqua" w:cs="Book Antiqua"/>
          <w:lang w:val="es-CR"/>
        </w:rPr>
        <w:t xml:space="preserve">Sede Rodrigo Facio, </w:t>
      </w:r>
      <w:r w:rsidRPr="000D5F6F">
        <w:rPr>
          <w:rFonts w:ascii="Book Antiqua" w:hAnsi="Book Antiqua" w:cs="Book Antiqua"/>
          <w:lang w:val="en-GB"/>
        </w:rPr>
        <w:t>San Pedro Calle 27</w:t>
      </w:r>
      <w:r w:rsidRPr="000D5F6F">
        <w:rPr>
          <w:rFonts w:ascii="Book Antiqua" w:eastAsia="宋体" w:hAnsi="Book Antiqua" w:cs="Book Antiqua"/>
          <w:lang w:val="en-GB" w:eastAsia="zh-CN"/>
        </w:rPr>
        <w:t xml:space="preserve">, </w:t>
      </w:r>
      <w:r w:rsidRPr="000D5F6F">
        <w:rPr>
          <w:rFonts w:ascii="Book Antiqua" w:hAnsi="Book Antiqua" w:cs="Book Antiqua"/>
          <w:lang w:val="es-CR"/>
        </w:rPr>
        <w:t>San José</w:t>
      </w:r>
      <w:r w:rsidRPr="000D5F6F">
        <w:rPr>
          <w:rFonts w:ascii="Book Antiqua" w:eastAsia="宋体" w:hAnsi="Book Antiqua" w:cs="Book Antiqua"/>
          <w:lang w:val="es-CR" w:eastAsia="zh-CN"/>
        </w:rPr>
        <w:t xml:space="preserve"> </w:t>
      </w:r>
      <w:r w:rsidRPr="000D5F6F">
        <w:rPr>
          <w:rFonts w:ascii="Book Antiqua" w:hAnsi="Book Antiqua" w:cs="Times New Roman"/>
          <w:bCs/>
          <w:lang w:val="en-GB" w:eastAsia="zh-CN"/>
        </w:rPr>
        <w:t>11501-2060</w:t>
      </w:r>
      <w:r w:rsidRPr="000D5F6F">
        <w:rPr>
          <w:rFonts w:ascii="Book Antiqua" w:hAnsi="Book Antiqua" w:cs="Book Antiqua"/>
          <w:lang w:val="es-CR"/>
        </w:rPr>
        <w:t>, Costa Rica</w:t>
      </w:r>
      <w:r w:rsidRPr="000D5F6F">
        <w:rPr>
          <w:rFonts w:ascii="Book Antiqua" w:eastAsia="宋体" w:hAnsi="Book Antiqua" w:cs="Book Antiqua"/>
          <w:lang w:val="es-CR" w:eastAsia="zh-CN"/>
        </w:rPr>
        <w:t xml:space="preserve">. </w:t>
      </w:r>
      <w:r w:rsidRPr="000D5F6F">
        <w:rPr>
          <w:rFonts w:ascii="Book Antiqua" w:hAnsi="Book Antiqua" w:cs="Book Antiqua"/>
          <w:lang w:val="en-GB"/>
        </w:rPr>
        <w:t>allanramoscr@gmail.com</w:t>
      </w:r>
    </w:p>
    <w:p w:rsidR="004D2ECB" w:rsidRPr="000D5F6F" w:rsidRDefault="004D2ECB" w:rsidP="00D06B71">
      <w:pPr>
        <w:spacing w:line="360" w:lineRule="auto"/>
        <w:jc w:val="both"/>
        <w:rPr>
          <w:rFonts w:ascii="Book Antiqua" w:eastAsia="宋体" w:hAnsi="Book Antiqua" w:cs="Book Antiqua"/>
          <w:b/>
          <w:bCs/>
          <w:lang w:val="en-GB" w:eastAsia="zh-CN"/>
        </w:rPr>
      </w:pP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b/>
          <w:bCs/>
          <w:lang w:val="en-GB"/>
        </w:rPr>
        <w:t>Telephone:</w:t>
      </w:r>
      <w:r w:rsidRPr="000D5F6F">
        <w:rPr>
          <w:rFonts w:ascii="Book Antiqua" w:hAnsi="Book Antiqua" w:cs="Book Antiqua"/>
          <w:lang w:val="en-GB"/>
        </w:rPr>
        <w:t xml:space="preserve"> +506-8844-8187</w:t>
      </w:r>
    </w:p>
    <w:p w:rsidR="004D2ECB" w:rsidRPr="000D5F6F" w:rsidRDefault="004D2ECB" w:rsidP="00D06B71">
      <w:pPr>
        <w:spacing w:line="360" w:lineRule="auto"/>
        <w:jc w:val="both"/>
        <w:rPr>
          <w:rFonts w:ascii="Book Antiqua" w:eastAsia="宋体" w:hAnsi="Book Antiqua" w:cs="Book Antiqua"/>
          <w:lang w:val="en-GB" w:eastAsia="zh-CN"/>
        </w:rPr>
      </w:pPr>
      <w:r w:rsidRPr="000D5F6F">
        <w:rPr>
          <w:rFonts w:ascii="Book Antiqua" w:hAnsi="Book Antiqua" w:cs="Book Antiqua"/>
          <w:b/>
          <w:bCs/>
          <w:lang w:val="en-GB"/>
        </w:rPr>
        <w:t xml:space="preserve">Fax: </w:t>
      </w:r>
      <w:r w:rsidRPr="000D5F6F">
        <w:rPr>
          <w:rFonts w:ascii="Book Antiqua" w:hAnsi="Book Antiqua" w:cs="Book Antiqua"/>
          <w:lang w:val="en-GB"/>
        </w:rPr>
        <w:t>+506-2237-3930</w:t>
      </w:r>
    </w:p>
    <w:p w:rsidR="004D2ECB" w:rsidRPr="000D5F6F" w:rsidRDefault="004D2ECB" w:rsidP="00D06B71">
      <w:pPr>
        <w:spacing w:line="360" w:lineRule="auto"/>
        <w:jc w:val="both"/>
        <w:rPr>
          <w:rFonts w:ascii="Book Antiqua" w:eastAsia="宋体" w:hAnsi="Book Antiqua" w:cs="Book Antiqua"/>
          <w:lang w:val="en-GB" w:eastAsia="zh-CN"/>
        </w:rPr>
      </w:pPr>
    </w:p>
    <w:p w:rsidR="004D2ECB" w:rsidRPr="000D5F6F" w:rsidRDefault="004D2ECB" w:rsidP="002B1010">
      <w:pPr>
        <w:spacing w:line="360" w:lineRule="auto"/>
        <w:jc w:val="both"/>
        <w:rPr>
          <w:rFonts w:ascii="Book Antiqua" w:eastAsia="宋体" w:hAnsi="Book Antiqua"/>
          <w:b/>
          <w:lang w:eastAsia="zh-CN"/>
        </w:rPr>
      </w:pPr>
      <w:r w:rsidRPr="000D5F6F">
        <w:rPr>
          <w:rFonts w:ascii="Book Antiqua" w:hAnsi="Book Antiqua"/>
          <w:b/>
        </w:rPr>
        <w:t>Received:</w:t>
      </w:r>
      <w:r w:rsidRPr="000D5F6F">
        <w:rPr>
          <w:rFonts w:ascii="Book Antiqua" w:eastAsia="宋体" w:hAnsi="Book Antiqua"/>
          <w:lang w:eastAsia="zh-CN"/>
        </w:rPr>
        <w:t xml:space="preserve"> June 28, 2015</w:t>
      </w:r>
    </w:p>
    <w:p w:rsidR="004D2ECB" w:rsidRPr="000D5F6F" w:rsidRDefault="004D2ECB" w:rsidP="002B1010">
      <w:pPr>
        <w:spacing w:line="360" w:lineRule="auto"/>
        <w:jc w:val="both"/>
        <w:rPr>
          <w:rFonts w:ascii="Book Antiqua" w:eastAsia="宋体" w:hAnsi="Book Antiqua"/>
          <w:b/>
          <w:lang w:eastAsia="zh-CN"/>
        </w:rPr>
      </w:pPr>
      <w:r w:rsidRPr="000D5F6F">
        <w:rPr>
          <w:rFonts w:ascii="Book Antiqua" w:hAnsi="Book Antiqua"/>
          <w:b/>
        </w:rPr>
        <w:t>Peer-review started:</w:t>
      </w:r>
      <w:r w:rsidRPr="000D5F6F">
        <w:rPr>
          <w:rFonts w:ascii="Book Antiqua" w:eastAsia="宋体" w:hAnsi="Book Antiqua"/>
          <w:lang w:eastAsia="zh-CN"/>
        </w:rPr>
        <w:t xml:space="preserve"> July 5, 2015</w:t>
      </w:r>
    </w:p>
    <w:p w:rsidR="004D2ECB" w:rsidRPr="000D5F6F" w:rsidRDefault="004D2ECB" w:rsidP="002B1010">
      <w:pPr>
        <w:spacing w:line="360" w:lineRule="auto"/>
        <w:jc w:val="both"/>
        <w:rPr>
          <w:rFonts w:ascii="Book Antiqua" w:eastAsia="宋体" w:hAnsi="Book Antiqua"/>
          <w:b/>
          <w:lang w:eastAsia="zh-CN"/>
        </w:rPr>
      </w:pPr>
      <w:r w:rsidRPr="000D5F6F">
        <w:rPr>
          <w:rFonts w:ascii="Book Antiqua" w:hAnsi="Book Antiqua"/>
          <w:b/>
        </w:rPr>
        <w:t>First decision:</w:t>
      </w:r>
      <w:r w:rsidRPr="000D5F6F">
        <w:rPr>
          <w:rFonts w:ascii="Book Antiqua" w:eastAsia="宋体" w:hAnsi="Book Antiqua"/>
          <w:b/>
          <w:lang w:eastAsia="zh-CN"/>
        </w:rPr>
        <w:t xml:space="preserve"> </w:t>
      </w:r>
      <w:r w:rsidRPr="000D5F6F">
        <w:rPr>
          <w:rFonts w:ascii="Book Antiqua" w:eastAsia="宋体" w:hAnsi="Book Antiqua"/>
          <w:lang w:eastAsia="zh-CN"/>
        </w:rPr>
        <w:t>July 28, 2015</w:t>
      </w:r>
    </w:p>
    <w:p w:rsidR="004D2ECB" w:rsidRPr="000D5F6F" w:rsidRDefault="004D2ECB" w:rsidP="002B1010">
      <w:pPr>
        <w:spacing w:line="360" w:lineRule="auto"/>
        <w:rPr>
          <w:rFonts w:ascii="Book Antiqua" w:eastAsia="宋体" w:hAnsi="Book Antiqua"/>
          <w:lang w:eastAsia="zh-CN"/>
        </w:rPr>
      </w:pPr>
      <w:r w:rsidRPr="000D5F6F">
        <w:rPr>
          <w:rFonts w:ascii="Book Antiqua" w:hAnsi="Book Antiqua"/>
          <w:b/>
        </w:rPr>
        <w:t xml:space="preserve">Revised: </w:t>
      </w:r>
      <w:r w:rsidRPr="000D5F6F">
        <w:rPr>
          <w:rFonts w:ascii="Book Antiqua" w:hAnsi="Book Antiqua"/>
        </w:rPr>
        <w:t>September</w:t>
      </w:r>
      <w:r w:rsidRPr="000D5F6F">
        <w:rPr>
          <w:rFonts w:ascii="Book Antiqua" w:eastAsia="宋体" w:hAnsi="Book Antiqua"/>
          <w:lang w:eastAsia="zh-CN"/>
        </w:rPr>
        <w:t xml:space="preserve"> 22, 2015</w:t>
      </w:r>
    </w:p>
    <w:p w:rsidR="004D2ECB" w:rsidRPr="00DF3051" w:rsidRDefault="004D2ECB" w:rsidP="002B1010">
      <w:pPr>
        <w:spacing w:line="360" w:lineRule="auto"/>
        <w:rPr>
          <w:rFonts w:ascii="Book Antiqua" w:hAnsi="Book Antiqua"/>
          <w:iCs/>
        </w:rPr>
      </w:pPr>
      <w:r w:rsidRPr="000D5F6F">
        <w:rPr>
          <w:rFonts w:ascii="Book Antiqua" w:hAnsi="Book Antiqua"/>
          <w:b/>
        </w:rPr>
        <w:t xml:space="preserve">Accepted: </w:t>
      </w:r>
      <w:r>
        <w:rPr>
          <w:rStyle w:val="Emphasis"/>
          <w:rFonts w:cs="Cambria"/>
          <w:iCs/>
        </w:rPr>
        <w:t>October 12</w:t>
      </w:r>
      <w:r w:rsidRPr="00235CD4">
        <w:rPr>
          <w:rStyle w:val="Emphasis"/>
          <w:rFonts w:cs="Cambria"/>
          <w:iCs/>
        </w:rPr>
        <w:t>, 2015</w:t>
      </w:r>
      <w:bookmarkStart w:id="4" w:name="_GoBack"/>
      <w:bookmarkEnd w:id="4"/>
    </w:p>
    <w:p w:rsidR="004D2ECB" w:rsidRPr="000D5F6F" w:rsidRDefault="004D2ECB" w:rsidP="002B1010">
      <w:pPr>
        <w:spacing w:line="360" w:lineRule="auto"/>
        <w:jc w:val="both"/>
        <w:rPr>
          <w:rFonts w:ascii="Book Antiqua" w:hAnsi="Book Antiqua"/>
          <w:b/>
        </w:rPr>
      </w:pPr>
      <w:r w:rsidRPr="000D5F6F">
        <w:rPr>
          <w:rFonts w:ascii="Book Antiqua" w:hAnsi="Book Antiqua"/>
          <w:b/>
        </w:rPr>
        <w:t>Article in press:</w:t>
      </w:r>
    </w:p>
    <w:p w:rsidR="004D2ECB" w:rsidRPr="000D5F6F" w:rsidRDefault="004D2ECB" w:rsidP="002B1010">
      <w:pPr>
        <w:spacing w:line="360" w:lineRule="auto"/>
        <w:jc w:val="both"/>
        <w:rPr>
          <w:rFonts w:ascii="Book Antiqua" w:hAnsi="Book Antiqua"/>
          <w:b/>
        </w:rPr>
      </w:pPr>
      <w:r w:rsidRPr="000D5F6F">
        <w:rPr>
          <w:rFonts w:ascii="Book Antiqua" w:hAnsi="Book Antiqua"/>
          <w:b/>
        </w:rPr>
        <w:t xml:space="preserve">Published online: </w:t>
      </w:r>
    </w:p>
    <w:p w:rsidR="004D2ECB" w:rsidRPr="000D5F6F" w:rsidRDefault="004D2ECB" w:rsidP="00D06B71">
      <w:pPr>
        <w:spacing w:line="360" w:lineRule="auto"/>
        <w:jc w:val="both"/>
        <w:rPr>
          <w:rFonts w:ascii="Book Antiqua" w:eastAsia="宋体" w:hAnsi="Book Antiqua" w:cs="Book Antiqua"/>
          <w:lang w:val="en-GB" w:eastAsia="zh-CN"/>
        </w:rPr>
      </w:pP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bCs/>
          <w:lang w:val="en-GB"/>
        </w:rPr>
      </w:pPr>
      <w:r w:rsidRPr="000D5F6F">
        <w:rPr>
          <w:rFonts w:ascii="Book Antiqua" w:hAnsi="Book Antiqua" w:cs="Book Antiqua"/>
          <w:lang w:val="en-GB"/>
        </w:rPr>
        <w:br w:type="page"/>
      </w:r>
      <w:r w:rsidRPr="000D5F6F">
        <w:rPr>
          <w:rFonts w:ascii="Book Antiqua" w:hAnsi="Book Antiqua" w:cs="Book Antiqua"/>
          <w:b/>
          <w:bCs/>
          <w:lang w:val="en-GB"/>
        </w:rPr>
        <w:t>Abstract</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Thromboembolic disease is a major leading cause of mortality and morbidity in industrialized countries. Currently, the management of these patients is challenging due to the availability of new drugs with proven efficacy and security compared to traditional oral vitamin K antagonists. These compounds are characterized by a predictable pharmacokinetic profile for which blood monitoring is not routinely needed. Nevertheless, some data have suggested inter-patient variability in the anticoagulant effect of these drugs, raising concerns about their effectiveness and safety. Although mass-spectrometry is the gold standard to determine drug plasma concentrations, this method is not widely available in every-day practice and some coagulation assays are commonly used to determine the anticoagulant effect of these drugs. The present review aims to summarize the current knowledge regarding the clinical question of how and when to monitor patients with new anticoagulant oral agents. </w:t>
      </w:r>
    </w:p>
    <w:p w:rsidR="004D2ECB" w:rsidRPr="000D5F6F" w:rsidRDefault="004D2ECB" w:rsidP="00D06B71">
      <w:pPr>
        <w:spacing w:line="360" w:lineRule="auto"/>
        <w:jc w:val="both"/>
        <w:rPr>
          <w:rFonts w:ascii="Book Antiqua" w:hAnsi="Book Antiqua" w:cs="Times New Roman"/>
          <w:lang w:val="en-GB" w:eastAsia="zh-CN"/>
        </w:rPr>
      </w:pPr>
    </w:p>
    <w:p w:rsidR="004D2ECB" w:rsidRPr="000D5F6F" w:rsidRDefault="004D2ECB" w:rsidP="00D06B71">
      <w:pPr>
        <w:spacing w:line="360" w:lineRule="auto"/>
        <w:jc w:val="both"/>
        <w:rPr>
          <w:rFonts w:ascii="Book Antiqua" w:eastAsia="宋体" w:hAnsi="Book Antiqua" w:cs="Times New Roman"/>
          <w:lang w:val="en-GB" w:eastAsia="zh-CN"/>
        </w:rPr>
      </w:pPr>
      <w:r w:rsidRPr="000D5F6F">
        <w:rPr>
          <w:rFonts w:ascii="Book Antiqua" w:hAnsi="Book Antiqua" w:cs="Book Antiqua"/>
          <w:b/>
          <w:bCs/>
          <w:lang w:val="en-GB"/>
        </w:rPr>
        <w:t>Key words:</w:t>
      </w:r>
      <w:r w:rsidRPr="000D5F6F">
        <w:rPr>
          <w:rFonts w:ascii="Book Antiqua" w:hAnsi="Book Antiqua" w:cs="Book Antiqua"/>
          <w:lang w:val="en-GB"/>
        </w:rPr>
        <w:t xml:space="preserve"> Anticoagulant agents; Apixaban; Dabigatran; Drug monitoring; Rivaroxaban</w:t>
      </w:r>
    </w:p>
    <w:p w:rsidR="004D2ECB" w:rsidRPr="000D5F6F" w:rsidRDefault="004D2ECB" w:rsidP="00D06B71">
      <w:pPr>
        <w:spacing w:line="360" w:lineRule="auto"/>
        <w:jc w:val="both"/>
        <w:rPr>
          <w:rFonts w:ascii="Book Antiqua" w:eastAsia="宋体" w:hAnsi="Book Antiqua" w:cs="Times New Roman"/>
          <w:lang w:val="en-GB" w:eastAsia="zh-CN"/>
        </w:rPr>
      </w:pPr>
    </w:p>
    <w:p w:rsidR="004D2ECB" w:rsidRPr="000D5F6F" w:rsidRDefault="004D2ECB" w:rsidP="00D06B71">
      <w:pPr>
        <w:snapToGrid w:val="0"/>
        <w:spacing w:line="360" w:lineRule="auto"/>
        <w:jc w:val="both"/>
        <w:rPr>
          <w:rFonts w:ascii="Book Antiqua" w:hAnsi="Book Antiqua"/>
        </w:rPr>
      </w:pPr>
      <w:r w:rsidRPr="000D5F6F">
        <w:rPr>
          <w:rFonts w:ascii="Book Antiqua" w:hAnsi="Book Antiqua"/>
        </w:rPr>
        <w:t xml:space="preserve">© </w:t>
      </w:r>
      <w:r w:rsidRPr="000D5F6F">
        <w:rPr>
          <w:rFonts w:ascii="Book Antiqua" w:hAnsi="Book Antiqua"/>
          <w:b/>
        </w:rPr>
        <w:t>The Author(s) 2015</w:t>
      </w:r>
      <w:r w:rsidRPr="000D5F6F">
        <w:rPr>
          <w:rFonts w:ascii="Book Antiqua" w:hAnsi="Book Antiqua"/>
        </w:rPr>
        <w:t>. Published by Baishideng Publishing Group Inc. All rights reserved.</w:t>
      </w:r>
    </w:p>
    <w:p w:rsidR="004D2ECB" w:rsidRPr="000D5F6F" w:rsidRDefault="004D2ECB" w:rsidP="00D06B71">
      <w:pPr>
        <w:spacing w:line="360" w:lineRule="auto"/>
        <w:jc w:val="both"/>
        <w:rPr>
          <w:rFonts w:ascii="Book Antiqua" w:eastAsia="宋体" w:hAnsi="Book Antiqua" w:cs="Times New Roman"/>
          <w:lang w:val="en-GB" w:eastAsia="zh-CN"/>
        </w:rPr>
      </w:pPr>
    </w:p>
    <w:p w:rsidR="004D2ECB" w:rsidRPr="000D5F6F" w:rsidRDefault="004D2ECB" w:rsidP="00D06B71">
      <w:pPr>
        <w:pStyle w:val="CommentText"/>
        <w:spacing w:before="0" w:after="0" w:line="360" w:lineRule="auto"/>
        <w:jc w:val="both"/>
        <w:rPr>
          <w:rFonts w:ascii="Book Antiqua" w:hAnsi="Book Antiqua"/>
          <w:sz w:val="24"/>
          <w:szCs w:val="24"/>
          <w:lang w:val="en-GB" w:eastAsia="zh-CN"/>
        </w:rPr>
      </w:pPr>
      <w:r w:rsidRPr="000D5F6F">
        <w:rPr>
          <w:rFonts w:ascii="Book Antiqua" w:hAnsi="Book Antiqua"/>
          <w:b/>
          <w:sz w:val="24"/>
          <w:szCs w:val="24"/>
          <w:lang w:eastAsia="zh-CN"/>
        </w:rPr>
        <w:t xml:space="preserve">Core tip: </w:t>
      </w:r>
      <w:bookmarkStart w:id="5" w:name="OLE_LINK1"/>
      <w:bookmarkStart w:id="6" w:name="OLE_LINK2"/>
      <w:r w:rsidRPr="000D5F6F">
        <w:rPr>
          <w:rFonts w:ascii="Book Antiqua" w:hAnsi="Book Antiqua"/>
          <w:sz w:val="24"/>
          <w:szCs w:val="24"/>
        </w:rPr>
        <w:t xml:space="preserve">New oral anticoagulants are replacing oral vitamin K antagonists for some practical advantages, like unnecessary monitoring and a better pharmacokinetic profile. Nevertheless, in some circumstances, their anticoagulant activity must be monitored in order to prevent adverse outcomes. In this minireview a list of the available laboratory test are reviewed to better understand the pros and cons of each analysis. </w:t>
      </w:r>
    </w:p>
    <w:p w:rsidR="004D2ECB" w:rsidRPr="000D5F6F" w:rsidRDefault="004D2ECB" w:rsidP="00D06B71">
      <w:pPr>
        <w:spacing w:line="360" w:lineRule="auto"/>
        <w:jc w:val="both"/>
        <w:rPr>
          <w:rFonts w:ascii="Book Antiqua" w:hAnsi="Book Antiqua" w:cs="Book Antiqua"/>
          <w:b/>
          <w:bCs/>
          <w:lang w:val="en-GB"/>
        </w:rPr>
      </w:pPr>
    </w:p>
    <w:bookmarkEnd w:id="5"/>
    <w:bookmarkEnd w:id="6"/>
    <w:p w:rsidR="004D2ECB" w:rsidRPr="000D5F6F" w:rsidRDefault="004D2ECB" w:rsidP="00D06B71">
      <w:pPr>
        <w:spacing w:line="360" w:lineRule="auto"/>
        <w:jc w:val="both"/>
        <w:rPr>
          <w:rFonts w:ascii="Book Antiqua" w:eastAsia="宋体" w:hAnsi="Book Antiqua" w:cs="Book Antiqua"/>
          <w:lang w:val="en-GB" w:eastAsia="zh-CN"/>
        </w:rPr>
      </w:pPr>
      <w:r w:rsidRPr="000D5F6F">
        <w:rPr>
          <w:rFonts w:ascii="Book Antiqua" w:hAnsi="Book Antiqua" w:cs="Book Antiqua"/>
          <w:lang w:val="es-CR"/>
        </w:rPr>
        <w:t>Ramos-Esquivel</w:t>
      </w:r>
      <w:r w:rsidRPr="000D5F6F">
        <w:rPr>
          <w:rFonts w:ascii="Book Antiqua" w:eastAsia="宋体" w:hAnsi="Book Antiqua" w:cs="Book Antiqua"/>
          <w:lang w:val="es-CR" w:eastAsia="zh-CN"/>
        </w:rPr>
        <w:t xml:space="preserve"> A. </w:t>
      </w:r>
      <w:r w:rsidRPr="000D5F6F">
        <w:rPr>
          <w:rFonts w:ascii="Book Antiqua" w:hAnsi="Book Antiqua" w:cs="Book Antiqua"/>
          <w:lang w:val="en-GB"/>
        </w:rPr>
        <w:t>Monitoring anticoagulant therapy with new oral agents</w:t>
      </w:r>
      <w:r w:rsidRPr="000D5F6F">
        <w:rPr>
          <w:rFonts w:ascii="Book Antiqua" w:eastAsia="宋体" w:hAnsi="Book Antiqua" w:cs="Book Antiqua"/>
          <w:lang w:val="en-GB" w:eastAsia="zh-CN"/>
        </w:rPr>
        <w:t xml:space="preserve">. </w:t>
      </w:r>
      <w:r w:rsidRPr="000D5F6F">
        <w:rPr>
          <w:rFonts w:ascii="Book Antiqua" w:hAnsi="Book Antiqua"/>
          <w:i/>
          <w:iCs/>
        </w:rPr>
        <w:t>World J Methodol</w:t>
      </w:r>
      <w:r w:rsidRPr="000D5F6F">
        <w:rPr>
          <w:rFonts w:ascii="Book Antiqua" w:eastAsia="宋体" w:hAnsi="Book Antiqua"/>
          <w:iCs/>
          <w:lang w:eastAsia="zh-CN"/>
        </w:rPr>
        <w:t xml:space="preserve"> 2015; In press</w:t>
      </w: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bCs/>
          <w:lang w:val="en-GB"/>
        </w:rPr>
      </w:pPr>
      <w:r w:rsidRPr="000D5F6F">
        <w:rPr>
          <w:rFonts w:ascii="Book Antiqua" w:hAnsi="Book Antiqua" w:cs="Book Antiqua"/>
          <w:b/>
          <w:bCs/>
          <w:lang w:val="en-GB"/>
        </w:rPr>
        <w:t>INTRODUCTION</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The management of thromboembolic disease has always been challenging since current treatments involve an inherent risk of bleeding that must be counterbalanced by the anticoagulant effect of each drug. </w:t>
      </w:r>
    </w:p>
    <w:p w:rsidR="004D2ECB" w:rsidRPr="000D5F6F" w:rsidRDefault="004D2ECB" w:rsidP="002B1010">
      <w:pPr>
        <w:spacing w:line="360" w:lineRule="auto"/>
        <w:ind w:firstLineChars="100" w:firstLine="31680"/>
        <w:jc w:val="both"/>
        <w:rPr>
          <w:rFonts w:ascii="Book Antiqua" w:hAnsi="Book Antiqua" w:cs="Book Antiqua"/>
          <w:lang w:val="en-GB"/>
        </w:rPr>
      </w:pPr>
      <w:r w:rsidRPr="000D5F6F">
        <w:rPr>
          <w:rFonts w:ascii="Book Antiqua" w:hAnsi="Book Antiqua" w:cs="Book Antiqua"/>
          <w:lang w:val="en-GB"/>
        </w:rPr>
        <w:t>The use of vitamin K antagonists, such as warfarin, implies the monitoring of their anticoagulant effect through frequent blood tests and the education of patients about potential drug and food interactions, making their use puzzling and difficult for many clinicians. In contrast, new agents have shown some advantages over vitamin K antagonists, since no dose adjustment and monitoring is routinely needed, as a consequence of a “more favorable pharmacokinetic profile”. In addition, these new drugs, usually mentioned as new oral anticoagulants (NOACs), have demonstrated clinical efficacy and a better security profile than warfarin in various clinical trials, making attractive their use in clinical practice</w:t>
      </w:r>
      <w:r w:rsidRPr="000D5F6F">
        <w:rPr>
          <w:rFonts w:ascii="Book Antiqua" w:hAnsi="Book Antiqua" w:cs="Book Antiqua"/>
          <w:vertAlign w:val="superscript"/>
          <w:lang w:val="en-GB"/>
        </w:rPr>
        <w:t>[1-3]</w:t>
      </w:r>
      <w:r w:rsidRPr="000D5F6F">
        <w:rPr>
          <w:rFonts w:ascii="Book Antiqua" w:hAnsi="Book Antiqua" w:cs="Book Antiqua"/>
          <w:lang w:val="en-GB"/>
        </w:rPr>
        <w:t xml:space="preserve">. </w:t>
      </w:r>
    </w:p>
    <w:p w:rsidR="004D2ECB" w:rsidRPr="000D5F6F" w:rsidRDefault="004D2ECB" w:rsidP="002B1010">
      <w:pPr>
        <w:spacing w:line="360" w:lineRule="auto"/>
        <w:ind w:firstLineChars="100" w:firstLine="31680"/>
        <w:jc w:val="both"/>
        <w:rPr>
          <w:rFonts w:ascii="Book Antiqua" w:hAnsi="Book Antiqua" w:cs="Book Antiqua"/>
          <w:lang w:val="en-GB"/>
        </w:rPr>
      </w:pPr>
      <w:r w:rsidRPr="000D5F6F">
        <w:rPr>
          <w:rFonts w:ascii="Book Antiqua" w:hAnsi="Book Antiqua" w:cs="Book Antiqua"/>
          <w:lang w:val="en-GB"/>
        </w:rPr>
        <w:t>However, recent data have emerged regarding a potential role for monitoring the anticoagulant effect of these drugs particularly in patients with specific circumstances and comorbidities in order to reduce side effects and improve efficacy</w:t>
      </w:r>
      <w:r w:rsidRPr="000D5F6F">
        <w:rPr>
          <w:rFonts w:ascii="Book Antiqua" w:hAnsi="Book Antiqua" w:cs="Book Antiqua"/>
          <w:vertAlign w:val="superscript"/>
          <w:lang w:val="en-GB"/>
        </w:rPr>
        <w:t>[4-7]</w:t>
      </w:r>
      <w:r w:rsidRPr="000D5F6F">
        <w:rPr>
          <w:rFonts w:ascii="Book Antiqua" w:hAnsi="Book Antiqua" w:cs="Book Antiqua"/>
          <w:lang w:val="en-GB"/>
        </w:rPr>
        <w:t xml:space="preserve">. </w:t>
      </w:r>
    </w:p>
    <w:p w:rsidR="004D2ECB" w:rsidRPr="000D5F6F" w:rsidRDefault="004D2ECB" w:rsidP="002B1010">
      <w:pPr>
        <w:spacing w:line="360" w:lineRule="auto"/>
        <w:ind w:firstLineChars="100" w:firstLine="31680"/>
        <w:jc w:val="both"/>
        <w:rPr>
          <w:rFonts w:ascii="Book Antiqua" w:eastAsia="宋体" w:hAnsi="Book Antiqua" w:cs="Book Antiqua"/>
          <w:lang w:val="en-GB" w:eastAsia="zh-CN"/>
        </w:rPr>
      </w:pPr>
      <w:r w:rsidRPr="000D5F6F">
        <w:rPr>
          <w:rFonts w:ascii="Book Antiqua" w:hAnsi="Book Antiqua"/>
          <w:lang w:val="en-GB"/>
        </w:rPr>
        <w:t>Some recommendations to measure the anticoagulant effect of NOACs include the following scenarios</w:t>
      </w:r>
      <w:r w:rsidRPr="000D5F6F">
        <w:rPr>
          <w:rFonts w:ascii="Book Antiqua" w:hAnsi="Book Antiqua"/>
          <w:vertAlign w:val="superscript"/>
          <w:lang w:val="en-GB"/>
        </w:rPr>
        <w:t>[8,9]</w:t>
      </w:r>
      <w:r w:rsidRPr="000D5F6F">
        <w:rPr>
          <w:rFonts w:ascii="Book Antiqua" w:hAnsi="Book Antiqua"/>
          <w:lang w:val="en-GB"/>
        </w:rPr>
        <w:t>:</w:t>
      </w:r>
      <w:r w:rsidRPr="000D5F6F">
        <w:rPr>
          <w:rFonts w:ascii="Book Antiqua" w:eastAsia="宋体" w:hAnsi="Book Antiqua"/>
          <w:lang w:val="en-GB" w:eastAsia="zh-CN"/>
        </w:rPr>
        <w:t xml:space="preserve"> (1) </w:t>
      </w:r>
      <w:r w:rsidRPr="000D5F6F">
        <w:rPr>
          <w:rFonts w:ascii="Book Antiqua" w:hAnsi="Book Antiqua"/>
          <w:lang w:val="en-GB"/>
        </w:rPr>
        <w:t>Bleeding or recurrence of thrombosis;</w:t>
      </w:r>
      <w:r w:rsidRPr="000D5F6F">
        <w:rPr>
          <w:rFonts w:ascii="Book Antiqua" w:eastAsia="宋体" w:hAnsi="Book Antiqua"/>
          <w:lang w:val="en-GB" w:eastAsia="zh-CN"/>
        </w:rPr>
        <w:t xml:space="preserve"> </w:t>
      </w:r>
      <w:r w:rsidRPr="000D5F6F">
        <w:rPr>
          <w:rFonts w:ascii="Book Antiqua" w:eastAsia="宋体" w:hAnsi="Book Antiqua" w:cs="Book Antiqua"/>
          <w:lang w:val="en-GB" w:eastAsia="zh-CN"/>
        </w:rPr>
        <w:t xml:space="preserve">(2) </w:t>
      </w:r>
      <w:r w:rsidRPr="000D5F6F">
        <w:rPr>
          <w:rFonts w:ascii="Book Antiqua" w:hAnsi="Book Antiqua" w:cs="Book Antiqua"/>
          <w:lang w:val="en-GB"/>
        </w:rPr>
        <w:t>Before surgery or any invasive procedure when the patient has taken the drug in the previous 24 h or longer if creatinine clearance is less than 50 mL/min;</w:t>
      </w:r>
      <w:r w:rsidRPr="000D5F6F">
        <w:rPr>
          <w:rFonts w:ascii="Book Antiqua" w:eastAsia="宋体" w:hAnsi="Book Antiqua" w:cs="Book Antiqua"/>
          <w:lang w:val="en-GB" w:eastAsia="zh-CN"/>
        </w:rPr>
        <w:t xml:space="preserve"> (3) </w:t>
      </w:r>
      <w:r w:rsidRPr="000D5F6F">
        <w:rPr>
          <w:rFonts w:ascii="Book Antiqua" w:hAnsi="Book Antiqua" w:cs="Book Antiqua"/>
          <w:lang w:val="en-GB"/>
        </w:rPr>
        <w:t>Identification of supra or subtherapeutic levels in patients taking other drugs with potential interactions, or in patients with extreme body weight;</w:t>
      </w:r>
      <w:r w:rsidRPr="000D5F6F">
        <w:rPr>
          <w:rFonts w:ascii="Book Antiqua" w:eastAsia="宋体" w:hAnsi="Book Antiqua" w:cs="Book Antiqua"/>
          <w:lang w:val="en-GB" w:eastAsia="zh-CN"/>
        </w:rPr>
        <w:t xml:space="preserve"> (4) </w:t>
      </w:r>
      <w:r w:rsidRPr="000D5F6F">
        <w:rPr>
          <w:rFonts w:ascii="Book Antiqua" w:hAnsi="Book Antiqua" w:cs="Book Antiqua"/>
          <w:lang w:val="en-GB"/>
        </w:rPr>
        <w:t xml:space="preserve">Patients with renal failure or prompt to it; </w:t>
      </w:r>
      <w:r w:rsidRPr="000D5F6F">
        <w:rPr>
          <w:rFonts w:ascii="Book Antiqua" w:eastAsia="宋体" w:hAnsi="Book Antiqua" w:cs="Book Antiqua"/>
          <w:lang w:val="en-GB" w:eastAsia="zh-CN"/>
        </w:rPr>
        <w:t xml:space="preserve">(5) </w:t>
      </w:r>
      <w:r w:rsidRPr="000D5F6F">
        <w:rPr>
          <w:rFonts w:ascii="Book Antiqua" w:hAnsi="Book Antiqua" w:cs="Book Antiqua"/>
          <w:lang w:val="en-GB"/>
        </w:rPr>
        <w:t xml:space="preserve">Reversal of anticoagulation; </w:t>
      </w:r>
      <w:r w:rsidRPr="000D5F6F">
        <w:rPr>
          <w:rFonts w:ascii="Book Antiqua" w:eastAsia="宋体" w:hAnsi="Book Antiqua" w:cs="Book Antiqua"/>
          <w:lang w:val="en-GB" w:eastAsia="zh-CN"/>
        </w:rPr>
        <w:t xml:space="preserve">(6) </w:t>
      </w:r>
      <w:r w:rsidRPr="000D5F6F">
        <w:rPr>
          <w:rFonts w:ascii="Book Antiqua" w:hAnsi="Book Antiqua" w:cs="Book Antiqua"/>
          <w:lang w:val="en-GB"/>
        </w:rPr>
        <w:t>Suspicion of drug overdose;</w:t>
      </w:r>
      <w:r w:rsidRPr="000D5F6F">
        <w:rPr>
          <w:rFonts w:ascii="Book Antiqua" w:eastAsia="宋体" w:hAnsi="Book Antiqua" w:cs="Book Antiqua"/>
          <w:lang w:val="en-GB" w:eastAsia="zh-CN"/>
        </w:rPr>
        <w:t xml:space="preserve"> (7) </w:t>
      </w:r>
      <w:r w:rsidRPr="000D5F6F">
        <w:rPr>
          <w:rFonts w:ascii="Book Antiqua" w:hAnsi="Book Antiqua" w:cs="Book Antiqua"/>
          <w:lang w:val="en-GB"/>
        </w:rPr>
        <w:t>Patients with genetic mutations (</w:t>
      </w:r>
      <w:r w:rsidRPr="000D5F6F">
        <w:rPr>
          <w:rFonts w:ascii="Book Antiqua" w:hAnsi="Book Antiqua" w:cs="Book Antiqua"/>
          <w:i/>
          <w:lang w:val="en-GB"/>
        </w:rPr>
        <w:t>e.g.</w:t>
      </w:r>
      <w:r w:rsidRPr="000D5F6F">
        <w:rPr>
          <w:rFonts w:ascii="Book Antiqua" w:hAnsi="Book Antiqua" w:cs="Book Antiqua"/>
          <w:lang w:val="en-GB"/>
        </w:rPr>
        <w:t>, rs2244613 minor allele carriers for dabigatran etexilate);</w:t>
      </w:r>
      <w:r w:rsidRPr="000D5F6F">
        <w:rPr>
          <w:rFonts w:ascii="Book Antiqua" w:eastAsia="宋体" w:hAnsi="Book Antiqua" w:cs="Book Antiqua"/>
          <w:lang w:val="en-GB" w:eastAsia="zh-CN"/>
        </w:rPr>
        <w:t xml:space="preserve"> and (8) </w:t>
      </w:r>
      <w:r w:rsidRPr="000D5F6F">
        <w:rPr>
          <w:rFonts w:ascii="Book Antiqua" w:hAnsi="Book Antiqua" w:cs="Book Antiqua"/>
          <w:lang w:val="en-GB"/>
        </w:rPr>
        <w:t xml:space="preserve">Assessment of compliance. </w:t>
      </w:r>
    </w:p>
    <w:p w:rsidR="004D2ECB" w:rsidRPr="000D5F6F" w:rsidRDefault="004D2ECB" w:rsidP="002B1010">
      <w:pPr>
        <w:spacing w:line="360" w:lineRule="auto"/>
        <w:ind w:firstLineChars="100" w:firstLine="31680"/>
        <w:jc w:val="both"/>
        <w:rPr>
          <w:rFonts w:ascii="Book Antiqua" w:eastAsia="宋体" w:hAnsi="Book Antiqua" w:cs="Book Antiqua"/>
          <w:lang w:val="en-GB" w:eastAsia="zh-CN"/>
        </w:rPr>
      </w:pPr>
      <w:r w:rsidRPr="000D5F6F">
        <w:rPr>
          <w:rFonts w:ascii="Book Antiqua" w:hAnsi="Book Antiqua"/>
          <w:lang w:val="en-GB"/>
        </w:rPr>
        <w:t>Although it is desirable to explore the anticoagulant effect of these drugs in the aforementioned circumstances, some cons have also emerged and detractors of routine monitoring include the following reasons in their arguments</w:t>
      </w:r>
      <w:r w:rsidRPr="000D5F6F">
        <w:rPr>
          <w:rFonts w:ascii="Book Antiqua" w:hAnsi="Book Antiqua"/>
          <w:vertAlign w:val="superscript"/>
          <w:lang w:val="en-GB"/>
        </w:rPr>
        <w:t>[10]</w:t>
      </w:r>
      <w:r w:rsidRPr="000D5F6F">
        <w:rPr>
          <w:rFonts w:ascii="Book Antiqua" w:hAnsi="Book Antiqua"/>
          <w:lang w:val="en-GB"/>
        </w:rPr>
        <w:t xml:space="preserve">: </w:t>
      </w:r>
      <w:r w:rsidRPr="000D5F6F">
        <w:rPr>
          <w:rFonts w:ascii="Book Antiqua" w:eastAsia="宋体" w:hAnsi="Book Antiqua"/>
          <w:lang w:val="en-GB" w:eastAsia="zh-CN"/>
        </w:rPr>
        <w:t xml:space="preserve">(1) </w:t>
      </w:r>
      <w:r w:rsidRPr="000D5F6F">
        <w:rPr>
          <w:rFonts w:ascii="Book Antiqua" w:hAnsi="Book Antiqua"/>
          <w:lang w:val="en-GB"/>
        </w:rPr>
        <w:t xml:space="preserve">Lack of measures in clinical trials; </w:t>
      </w:r>
      <w:r w:rsidRPr="000D5F6F">
        <w:rPr>
          <w:rFonts w:ascii="Book Antiqua" w:eastAsia="宋体" w:hAnsi="Book Antiqua" w:cs="Book Antiqua"/>
          <w:lang w:val="en-GB" w:eastAsia="zh-CN"/>
        </w:rPr>
        <w:t xml:space="preserve">(2) </w:t>
      </w:r>
      <w:r w:rsidRPr="000D5F6F">
        <w:rPr>
          <w:rFonts w:ascii="Book Antiqua" w:hAnsi="Book Antiqua" w:cs="Book Antiqua"/>
          <w:lang w:val="en-GB"/>
        </w:rPr>
        <w:t>Wide therapeutic window of some of these agents;</w:t>
      </w:r>
      <w:r w:rsidRPr="000D5F6F">
        <w:rPr>
          <w:rFonts w:ascii="Book Antiqua" w:eastAsia="宋体" w:hAnsi="Book Antiqua" w:cs="Book Antiqua"/>
          <w:lang w:val="en-GB" w:eastAsia="zh-CN"/>
        </w:rPr>
        <w:t xml:space="preserve"> (3) </w:t>
      </w:r>
      <w:r w:rsidRPr="000D5F6F">
        <w:rPr>
          <w:rFonts w:ascii="Book Antiqua" w:hAnsi="Book Antiqua" w:cs="Book Antiqua"/>
          <w:lang w:val="en-GB"/>
        </w:rPr>
        <w:t>There is no a standardized clinical method to detect the anticoagulant effect or it is not yet available;</w:t>
      </w:r>
      <w:r w:rsidRPr="000D5F6F">
        <w:rPr>
          <w:rFonts w:ascii="Book Antiqua" w:eastAsia="宋体" w:hAnsi="Book Antiqua" w:cs="Book Antiqua"/>
          <w:lang w:val="en-GB" w:eastAsia="zh-CN"/>
        </w:rPr>
        <w:t xml:space="preserve"> and (4) </w:t>
      </w:r>
      <w:r w:rsidRPr="000D5F6F">
        <w:rPr>
          <w:rFonts w:ascii="Book Antiqua" w:hAnsi="Book Antiqua" w:cs="Book Antiqua"/>
          <w:lang w:val="en-GB"/>
        </w:rPr>
        <w:t xml:space="preserve">The interpretation and dose adjustments have not been established.  </w:t>
      </w:r>
    </w:p>
    <w:p w:rsidR="004D2ECB" w:rsidRPr="000D5F6F" w:rsidRDefault="004D2ECB" w:rsidP="00BA310C">
      <w:pPr>
        <w:spacing w:line="360" w:lineRule="auto"/>
        <w:jc w:val="both"/>
        <w:rPr>
          <w:rFonts w:ascii="Book Antiqua" w:eastAsia="宋体" w:hAnsi="Book Antiqua" w:cs="Book Antiqua"/>
          <w:lang w:val="en-GB" w:eastAsia="zh-CN"/>
        </w:rPr>
      </w:pPr>
    </w:p>
    <w:p w:rsidR="004D2ECB" w:rsidRPr="000D5F6F" w:rsidRDefault="004D2ECB" w:rsidP="00D06B71">
      <w:pPr>
        <w:spacing w:line="360" w:lineRule="auto"/>
        <w:jc w:val="both"/>
        <w:rPr>
          <w:rFonts w:ascii="Book Antiqua" w:eastAsia="宋体" w:hAnsi="Book Antiqua" w:cs="Book Antiqua"/>
          <w:b/>
          <w:bCs/>
          <w:lang w:val="en-GB" w:eastAsia="zh-CN"/>
        </w:rPr>
      </w:pPr>
      <w:r w:rsidRPr="000D5F6F">
        <w:rPr>
          <w:rFonts w:ascii="Book Antiqua" w:hAnsi="Book Antiqua" w:cs="Book Antiqua"/>
          <w:b/>
          <w:bCs/>
          <w:lang w:val="en-GB"/>
        </w:rPr>
        <w:t>PHARMACOLOGY OF NOACS</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NOACs are categorized according to their site of action; apixaban and rivaroxaban act by inhibiting factor Xa, thereby decreasing the conversion of prothrombin to thrombin. On the other hand, dabigatran acts by directly inhibiting thrombin. Table 1 summarizes some pharmacokinetics features of clinical utility for these agents. Of particular interest is the renal clearance of these drugs that modifies or prohibits their use in case of severe kidney failure. </w:t>
      </w:r>
    </w:p>
    <w:p w:rsidR="004D2ECB" w:rsidRPr="000D5F6F" w:rsidRDefault="004D2ECB" w:rsidP="002B1010">
      <w:pPr>
        <w:spacing w:line="360" w:lineRule="auto"/>
        <w:ind w:firstLineChars="100" w:firstLine="31680"/>
        <w:jc w:val="both"/>
        <w:rPr>
          <w:rFonts w:ascii="Book Antiqua" w:hAnsi="Book Antiqua" w:cs="Book Antiqua"/>
          <w:lang w:val="en-GB"/>
        </w:rPr>
      </w:pPr>
      <w:r w:rsidRPr="000D5F6F">
        <w:rPr>
          <w:rFonts w:ascii="Book Antiqua" w:hAnsi="Book Antiqua" w:cs="Book Antiqua"/>
          <w:lang w:val="en-GB"/>
        </w:rPr>
        <w:t>Although it is thought that there are fewer drug interactions for NOACs than for warfarin, clinical data suggest moderate to severe drug-drug interactions when dabigatran is used in combination with verapamil, amiodarone, and dronedarone</w:t>
      </w:r>
      <w:r w:rsidRPr="000D5F6F">
        <w:rPr>
          <w:rFonts w:ascii="Book Antiqua" w:hAnsi="Book Antiqua" w:cs="Book Antiqua"/>
          <w:vertAlign w:val="superscript"/>
          <w:lang w:val="en-GB"/>
        </w:rPr>
        <w:t>[13,14]</w:t>
      </w:r>
      <w:r w:rsidRPr="000D5F6F">
        <w:rPr>
          <w:rFonts w:ascii="Book Antiqua" w:hAnsi="Book Antiqua" w:cs="Book Antiqua"/>
          <w:lang w:val="en-GB"/>
        </w:rPr>
        <w:t xml:space="preserve">. </w:t>
      </w:r>
    </w:p>
    <w:p w:rsidR="004D2ECB" w:rsidRPr="000D5F6F" w:rsidRDefault="004D2ECB" w:rsidP="002B1010">
      <w:pPr>
        <w:spacing w:line="360" w:lineRule="auto"/>
        <w:ind w:firstLineChars="100" w:firstLine="31680"/>
        <w:jc w:val="both"/>
        <w:rPr>
          <w:rFonts w:ascii="Book Antiqua" w:eastAsia="宋体" w:hAnsi="Book Antiqua" w:cs="Book Antiqua"/>
          <w:lang w:val="en-GB" w:eastAsia="zh-CN"/>
        </w:rPr>
      </w:pPr>
      <w:r w:rsidRPr="000D5F6F">
        <w:rPr>
          <w:rFonts w:ascii="Book Antiqua" w:hAnsi="Book Antiqua" w:cs="Book Antiqua"/>
          <w:lang w:val="en-GB"/>
        </w:rPr>
        <w:t xml:space="preserve">Similarly, some other drugs commonly known as CYP inhibitors such as ketoconazole, itraconazole, macrolides, human immunodeficiency virus protease inhibitors can increase the serum NOACs concentration. On the other hand, some CYP inductors, such as phenytoin, phenobarbital, rifampicin and carbamazepine can decrease the anticoagulant effect of NOACs and thus are not generally recommended in these patients. </w:t>
      </w:r>
    </w:p>
    <w:p w:rsidR="004D2ECB" w:rsidRPr="000D5F6F" w:rsidRDefault="004D2ECB" w:rsidP="00211770">
      <w:pPr>
        <w:spacing w:line="360" w:lineRule="auto"/>
        <w:jc w:val="both"/>
        <w:rPr>
          <w:rFonts w:ascii="Book Antiqua" w:eastAsia="宋体" w:hAnsi="Book Antiqua" w:cs="Book Antiqua"/>
          <w:lang w:val="en-GB" w:eastAsia="zh-CN"/>
        </w:rPr>
      </w:pPr>
    </w:p>
    <w:p w:rsidR="004D2ECB" w:rsidRPr="000D5F6F" w:rsidRDefault="004D2ECB" w:rsidP="00D06B71">
      <w:pPr>
        <w:spacing w:line="360" w:lineRule="auto"/>
        <w:jc w:val="both"/>
        <w:rPr>
          <w:rFonts w:ascii="Book Antiqua" w:hAnsi="Book Antiqua" w:cs="Book Antiqua"/>
          <w:b/>
          <w:bCs/>
          <w:lang w:val="en-GB"/>
        </w:rPr>
      </w:pPr>
      <w:r w:rsidRPr="000D5F6F">
        <w:rPr>
          <w:rFonts w:ascii="Book Antiqua" w:hAnsi="Book Antiqua" w:cs="Book Antiqua"/>
          <w:b/>
          <w:bCs/>
          <w:lang w:val="en-GB"/>
        </w:rPr>
        <w:t>DETERMINING ANTICOAGULATION LEVELS WITH THE NOACS</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The gold standard to measure plasma drug concentrations is mass-spectrometry. Nevertheless, the availability and laboratory expertise for doing this specialized technique is not fulfilled in the majority of clinical centers. For this reason, some other test must be carried out in order to determine the anticoagulant effect of NOACs. Table 2 resumes the advantages and drawbacks of available coagulation tests that have been used to determine the anticoagulat effect of NOACs in clinical settings. </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b/>
          <w:i/>
          <w:lang w:val="en-GB"/>
        </w:rPr>
      </w:pPr>
      <w:r w:rsidRPr="000D5F6F">
        <w:rPr>
          <w:rFonts w:ascii="Book Antiqua" w:hAnsi="Book Antiqua" w:cs="Book Antiqua"/>
          <w:b/>
          <w:i/>
          <w:lang w:val="en-GB"/>
        </w:rPr>
        <w:t xml:space="preserve">Dabigatran </w:t>
      </w:r>
    </w:p>
    <w:p w:rsidR="004D2ECB" w:rsidRPr="000D5F6F" w:rsidRDefault="004D2ECB" w:rsidP="00D06B71">
      <w:pPr>
        <w:spacing w:line="360" w:lineRule="auto"/>
        <w:jc w:val="both"/>
        <w:rPr>
          <w:rFonts w:ascii="Book Antiqua" w:hAnsi="Book Antiqua" w:cs="Book Antiqua"/>
          <w:iCs/>
          <w:lang w:val="en-GB"/>
        </w:rPr>
      </w:pPr>
      <w:r w:rsidRPr="000D5F6F">
        <w:rPr>
          <w:rFonts w:ascii="Book Antiqua" w:hAnsi="Book Antiqua" w:cs="Book Antiqua"/>
          <w:b/>
          <w:iCs/>
          <w:lang w:val="en-GB"/>
        </w:rPr>
        <w:t>Activated partial thromboplastin time and thrombin time:</w:t>
      </w:r>
      <w:r w:rsidRPr="000D5F6F">
        <w:rPr>
          <w:rFonts w:ascii="Book Antiqua" w:eastAsia="宋体" w:hAnsi="Book Antiqua" w:cs="Book Antiqua"/>
          <w:b/>
          <w:iCs/>
          <w:lang w:val="en-GB" w:eastAsia="zh-CN"/>
        </w:rPr>
        <w:t xml:space="preserve"> </w:t>
      </w:r>
      <w:r w:rsidRPr="000D5F6F">
        <w:rPr>
          <w:rFonts w:ascii="Book Antiqua" w:hAnsi="Book Antiqua" w:cs="Book Antiqua"/>
          <w:lang w:val="en-GB"/>
        </w:rPr>
        <w:t xml:space="preserve">These are very sensitive assays that do not accurately reflect plasma dabigatran concentrations. Although they are widely available, they are affected by a lot of variables such as inappropriate collection, improper handling and storage. Besides neither are strong predictors of bleeding, and patients may present any kind of hemorrhage even when the </w:t>
      </w:r>
      <w:r w:rsidRPr="000D5F6F">
        <w:rPr>
          <w:rFonts w:ascii="Book Antiqua" w:hAnsi="Book Antiqua" w:cs="Book Antiqua"/>
          <w:iCs/>
          <w:lang w:val="en-GB"/>
        </w:rPr>
        <w:t>activated partial thromboplastin time</w:t>
      </w:r>
      <w:r w:rsidRPr="000D5F6F">
        <w:rPr>
          <w:rFonts w:ascii="Book Antiqua" w:hAnsi="Book Antiqua" w:cs="Book Antiqua"/>
          <w:lang w:val="en-GB"/>
        </w:rPr>
        <w:t xml:space="preserve"> and/or </w:t>
      </w:r>
      <w:r w:rsidRPr="000D5F6F">
        <w:rPr>
          <w:rFonts w:ascii="Book Antiqua" w:hAnsi="Book Antiqua" w:cs="Book Antiqua"/>
          <w:iCs/>
          <w:lang w:val="en-GB"/>
        </w:rPr>
        <w:t>thrombin time</w:t>
      </w:r>
      <w:r w:rsidRPr="000D5F6F">
        <w:rPr>
          <w:rFonts w:ascii="Book Antiqua" w:hAnsi="Book Antiqua" w:cs="Book Antiqua"/>
          <w:lang w:val="en-GB"/>
        </w:rPr>
        <w:t xml:space="preserve"> are within normal range</w:t>
      </w:r>
      <w:r w:rsidRPr="000D5F6F">
        <w:rPr>
          <w:rFonts w:ascii="Book Antiqua" w:hAnsi="Book Antiqua" w:cs="Book Antiqua"/>
          <w:vertAlign w:val="superscript"/>
          <w:lang w:val="en-GB"/>
        </w:rPr>
        <w:t>[15]</w:t>
      </w: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 xml:space="preserve">Diluted thrombin time: </w:t>
      </w:r>
      <w:r w:rsidRPr="000D5F6F">
        <w:rPr>
          <w:rFonts w:ascii="Book Antiqua" w:hAnsi="Book Antiqua" w:cs="Book Antiqua"/>
          <w:lang w:val="en-GB"/>
        </w:rPr>
        <w:t>Since assays to evaluate thrombin activity are very sensitive to determine the anticoagulant effect of dabigatran, the use of diluted plasma in conjunction with the Hemoclot thrombin inhibitor permits to easily measure dabigatran anticoagulant activity</w:t>
      </w:r>
      <w:r w:rsidRPr="000D5F6F">
        <w:rPr>
          <w:rFonts w:ascii="Book Antiqua" w:hAnsi="Book Antiqua" w:cs="Book Antiqua"/>
          <w:vertAlign w:val="superscript"/>
          <w:lang w:val="en-GB"/>
        </w:rPr>
        <w:t>[16]</w:t>
      </w: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Ecarin clotting time and ecarin chromogenic assay:</w:t>
      </w:r>
      <w:r w:rsidRPr="000D5F6F">
        <w:rPr>
          <w:rFonts w:ascii="Book Antiqua" w:eastAsia="宋体" w:hAnsi="Book Antiqua" w:cs="Book Antiqua"/>
          <w:b/>
          <w:iCs/>
          <w:lang w:val="en-GB" w:eastAsia="zh-CN"/>
        </w:rPr>
        <w:t xml:space="preserve"> </w:t>
      </w:r>
      <w:r w:rsidRPr="000D5F6F">
        <w:rPr>
          <w:rFonts w:ascii="Book Antiqua" w:hAnsi="Book Antiqua" w:cs="Book Antiqua"/>
          <w:lang w:val="en-GB"/>
        </w:rPr>
        <w:t>These assays are not widely available and calibration is required to perform these tests. They use a metalloprotease called ecarin and are very specific for anti thrombin inhibitors due to the fact that prothrombin is a substrate for these analyses</w:t>
      </w:r>
      <w:r w:rsidRPr="000D5F6F">
        <w:rPr>
          <w:rFonts w:ascii="Book Antiqua" w:hAnsi="Book Antiqua" w:cs="Book Antiqua"/>
          <w:vertAlign w:val="superscript"/>
          <w:lang w:val="en-GB"/>
        </w:rPr>
        <w:t>[17]</w:t>
      </w: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i/>
          <w:lang w:val="en-GB"/>
        </w:rPr>
      </w:pPr>
      <w:r w:rsidRPr="000D5F6F">
        <w:rPr>
          <w:rFonts w:ascii="Book Antiqua" w:hAnsi="Book Antiqua" w:cs="Book Antiqua"/>
          <w:b/>
          <w:i/>
          <w:lang w:val="en-GB"/>
        </w:rPr>
        <w:t xml:space="preserve">Rivaroxaban </w:t>
      </w: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Prothrombin time:</w:t>
      </w:r>
      <w:r w:rsidRPr="000D5F6F">
        <w:rPr>
          <w:rFonts w:ascii="Book Antiqua" w:eastAsia="宋体" w:hAnsi="Book Antiqua" w:cs="Book Antiqua"/>
          <w:b/>
          <w:iCs/>
          <w:lang w:val="en-GB" w:eastAsia="zh-CN"/>
        </w:rPr>
        <w:t xml:space="preserve"> </w:t>
      </w:r>
      <w:r w:rsidRPr="000D5F6F">
        <w:rPr>
          <w:rFonts w:ascii="Book Antiqua" w:hAnsi="Book Antiqua" w:cs="Book Antiqua"/>
          <w:lang w:val="en-GB"/>
        </w:rPr>
        <w:t>The Subcommittee of Control of Anticoagulation of the Scientific and Standardization Committee recommends that this assay can determine the relative intensity of anticoagulation in patients taking rivaroxaban but it is not useful to extrapolate plasma concentrations. Besides, it has different sensitivities according to the type of the employed reagent with high variability among laboratories</w:t>
      </w:r>
      <w:r w:rsidRPr="000D5F6F">
        <w:rPr>
          <w:rFonts w:ascii="Book Antiqua" w:hAnsi="Book Antiqua" w:cs="Book Antiqua"/>
          <w:vertAlign w:val="superscript"/>
          <w:lang w:val="en-GB"/>
        </w:rPr>
        <w:t>[8,18]</w:t>
      </w: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 xml:space="preserve">Dilute Russell’s viper venom time: </w:t>
      </w:r>
      <w:r w:rsidRPr="000D5F6F">
        <w:rPr>
          <w:rFonts w:ascii="Book Antiqua" w:hAnsi="Book Antiqua" w:cs="Book Antiqua"/>
          <w:lang w:val="en-GB"/>
        </w:rPr>
        <w:t>This is a useful test to determine the anticoagulant effect of Xa and thrombin inhibitors since Russell’s viper venom contains a potent activator of factor X and II. Nevertheless, validation and calibrations are technical issues that must be explored in future trials to determine a valid cut off and their sensitivity is low</w:t>
      </w:r>
      <w:r w:rsidRPr="000D5F6F">
        <w:rPr>
          <w:rFonts w:ascii="Book Antiqua" w:hAnsi="Book Antiqua" w:cs="Book Antiqua"/>
          <w:vertAlign w:val="superscript"/>
          <w:lang w:val="en-GB"/>
        </w:rPr>
        <w:t>[19]</w:t>
      </w:r>
      <w:r w:rsidRPr="000D5F6F">
        <w:rPr>
          <w:rFonts w:ascii="Book Antiqua" w:hAnsi="Book Antiqua" w:cs="Book Antiqua"/>
          <w:lang w:val="en-GB"/>
        </w:rPr>
        <w:t>.</w:t>
      </w: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Chromogenic anti-Xa assay:</w:t>
      </w:r>
      <w:r w:rsidRPr="000D5F6F">
        <w:rPr>
          <w:rFonts w:ascii="Book Antiqua" w:eastAsia="宋体" w:hAnsi="Book Antiqua" w:cs="Book Antiqua"/>
          <w:b/>
          <w:iCs/>
          <w:lang w:val="en-GB" w:eastAsia="zh-CN"/>
        </w:rPr>
        <w:t xml:space="preserve"> </w:t>
      </w:r>
      <w:r w:rsidRPr="000D5F6F">
        <w:rPr>
          <w:rFonts w:ascii="Book Antiqua" w:hAnsi="Book Antiqua" w:cs="Book Antiqua"/>
          <w:lang w:val="en-GB"/>
        </w:rPr>
        <w:t>Plasma concentrations of rivaroxaban and anti-Xa levels correlate fairly well and it is the preferred method to estimate plasma concentrations. This method is less affected by sample handling or clotting factors in patients. However, a major limitation is the standardization and the availability of laboratories with specific calibrators and controls</w:t>
      </w:r>
      <w:r w:rsidRPr="000D5F6F">
        <w:rPr>
          <w:rFonts w:ascii="Book Antiqua" w:hAnsi="Book Antiqua" w:cs="Book Antiqua"/>
          <w:vertAlign w:val="superscript"/>
          <w:lang w:val="en-GB"/>
        </w:rPr>
        <w:t>[20]</w:t>
      </w: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hAnsi="Book Antiqua" w:cs="Book Antiqua"/>
          <w:lang w:val="en-GB"/>
        </w:rPr>
      </w:pPr>
    </w:p>
    <w:p w:rsidR="004D2ECB" w:rsidRPr="000D5F6F" w:rsidRDefault="004D2ECB" w:rsidP="00D06B71">
      <w:pPr>
        <w:spacing w:line="360" w:lineRule="auto"/>
        <w:jc w:val="both"/>
        <w:rPr>
          <w:rFonts w:ascii="Book Antiqua" w:hAnsi="Book Antiqua" w:cs="Book Antiqua"/>
          <w:b/>
          <w:i/>
          <w:lang w:val="en-GB"/>
        </w:rPr>
      </w:pPr>
      <w:r w:rsidRPr="000D5F6F">
        <w:rPr>
          <w:rFonts w:ascii="Book Antiqua" w:hAnsi="Book Antiqua" w:cs="Book Antiqua"/>
          <w:b/>
          <w:i/>
          <w:lang w:val="en-GB"/>
        </w:rPr>
        <w:t>Apixaban</w:t>
      </w: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 xml:space="preserve">Dilute Russell’s viper venom time: </w:t>
      </w:r>
      <w:r w:rsidRPr="000D5F6F">
        <w:rPr>
          <w:rFonts w:ascii="Book Antiqua" w:hAnsi="Book Antiqua" w:cs="Book Antiqua"/>
          <w:lang w:val="en-GB"/>
        </w:rPr>
        <w:t>As pointed before, this test is very useful and sensitive to determine the anticoagulant effect of apixaban, but with a low specificity.</w:t>
      </w:r>
    </w:p>
    <w:p w:rsidR="004D2ECB" w:rsidRPr="000D5F6F" w:rsidRDefault="004D2ECB" w:rsidP="00D06B71">
      <w:pPr>
        <w:spacing w:line="360" w:lineRule="auto"/>
        <w:jc w:val="both"/>
        <w:rPr>
          <w:rFonts w:ascii="Book Antiqua" w:hAnsi="Book Antiqua" w:cs="Book Antiqua"/>
          <w:i/>
          <w:iCs/>
          <w:lang w:val="en-GB"/>
        </w:rPr>
      </w:pPr>
    </w:p>
    <w:p w:rsidR="004D2ECB" w:rsidRPr="000D5F6F" w:rsidRDefault="004D2ECB" w:rsidP="00D06B71">
      <w:pPr>
        <w:spacing w:line="360" w:lineRule="auto"/>
        <w:jc w:val="both"/>
        <w:rPr>
          <w:rFonts w:ascii="Book Antiqua" w:hAnsi="Book Antiqua" w:cs="Book Antiqua"/>
          <w:b/>
          <w:iCs/>
          <w:lang w:val="en-GB"/>
        </w:rPr>
      </w:pPr>
      <w:r w:rsidRPr="000D5F6F">
        <w:rPr>
          <w:rFonts w:ascii="Book Antiqua" w:hAnsi="Book Antiqua" w:cs="Book Antiqua"/>
          <w:b/>
          <w:iCs/>
          <w:lang w:val="en-GB"/>
        </w:rPr>
        <w:t>Chromogenic anti-Xa assay:</w:t>
      </w:r>
      <w:r w:rsidRPr="000D5F6F">
        <w:rPr>
          <w:rFonts w:ascii="Book Antiqua" w:eastAsia="宋体" w:hAnsi="Book Antiqua" w:cs="Book Antiqua"/>
          <w:b/>
          <w:iCs/>
          <w:lang w:val="en-GB" w:eastAsia="zh-CN"/>
        </w:rPr>
        <w:t xml:space="preserve"> </w:t>
      </w:r>
      <w:r w:rsidRPr="000D5F6F">
        <w:rPr>
          <w:rFonts w:ascii="Book Antiqua" w:hAnsi="Book Antiqua" w:cs="Book Antiqua"/>
          <w:lang w:val="en-GB"/>
        </w:rPr>
        <w:t>It is the most sensitive assay to determine the inhibition of factor Xa by apixaban and it is recommended to estimate plasma concentrations of this drug. Nevertheless, this test is not widely available and it is time consuming</w:t>
      </w:r>
      <w:r w:rsidRPr="000D5F6F">
        <w:rPr>
          <w:rFonts w:ascii="Book Antiqua" w:hAnsi="Book Antiqua" w:cs="Book Antiqua"/>
          <w:vertAlign w:val="superscript"/>
          <w:lang w:val="en-GB"/>
        </w:rPr>
        <w:t>[21]</w:t>
      </w:r>
      <w:r w:rsidRPr="000D5F6F">
        <w:rPr>
          <w:rFonts w:ascii="Book Antiqua" w:hAnsi="Book Antiqua" w:cs="Book Antiqua"/>
          <w:lang w:val="en-GB"/>
        </w:rPr>
        <w:t>.</w:t>
      </w:r>
      <w:r w:rsidRPr="000D5F6F">
        <w:rPr>
          <w:rFonts w:ascii="Book Antiqua" w:hAnsi="Book Antiqua" w:cs="Book Antiqua"/>
          <w:vertAlign w:val="superscript"/>
          <w:lang w:val="en-GB"/>
        </w:rPr>
        <w:t xml:space="preserve"> </w:t>
      </w:r>
    </w:p>
    <w:p w:rsidR="004D2ECB" w:rsidRPr="000D5F6F" w:rsidRDefault="004D2ECB" w:rsidP="00D06B71">
      <w:pPr>
        <w:spacing w:line="360" w:lineRule="auto"/>
        <w:jc w:val="both"/>
        <w:rPr>
          <w:rFonts w:ascii="Book Antiqua" w:hAnsi="Book Antiqua" w:cs="Book Antiqua"/>
          <w:b/>
          <w:lang w:val="en-GB"/>
        </w:rPr>
      </w:pPr>
    </w:p>
    <w:p w:rsidR="004D2ECB" w:rsidRPr="000D5F6F" w:rsidRDefault="004D2ECB" w:rsidP="00D06B71">
      <w:pPr>
        <w:spacing w:line="360" w:lineRule="auto"/>
        <w:jc w:val="both"/>
        <w:rPr>
          <w:rFonts w:ascii="Book Antiqua" w:hAnsi="Book Antiqua" w:cs="Book Antiqua"/>
          <w:b/>
          <w:lang w:val="en-GB"/>
        </w:rPr>
      </w:pPr>
      <w:r w:rsidRPr="000D5F6F">
        <w:rPr>
          <w:rFonts w:ascii="Book Antiqua" w:hAnsi="Book Antiqua" w:cs="Book Antiqua"/>
          <w:b/>
          <w:lang w:val="en-GB"/>
        </w:rPr>
        <w:t>SPECIAL CONSIDERATIONS</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It is important to point out that any of these analyses have been tested in special populations such as elderly patients and children, as well as pregnant women and individuals with multiple morbidities</w:t>
      </w:r>
      <w:r w:rsidRPr="000D5F6F">
        <w:rPr>
          <w:rFonts w:ascii="Book Antiqua" w:hAnsi="Book Antiqua" w:cs="Book Antiqua"/>
          <w:vertAlign w:val="superscript"/>
          <w:lang w:val="en-GB"/>
        </w:rPr>
        <w:t>[22,23]</w:t>
      </w:r>
      <w:r w:rsidRPr="000D5F6F">
        <w:rPr>
          <w:rFonts w:ascii="Book Antiqua" w:hAnsi="Book Antiqua" w:cs="Book Antiqua"/>
          <w:lang w:val="en-GB"/>
        </w:rPr>
        <w:t>. Besides, some methodological issues regarding sample collection must be accomplished to avoid misinterpretations and biases. For example, plasma concentrations of the NOACs can vary among 10 to 20 times between peak and trough concentrations. Therefore, the assessment of the anticoagulant activity of each drug should be obtained immediately prior to the next scheduled dose</w:t>
      </w:r>
      <w:r w:rsidRPr="000D5F6F">
        <w:rPr>
          <w:rFonts w:ascii="Book Antiqua" w:hAnsi="Book Antiqua" w:cs="Book Antiqua"/>
          <w:vertAlign w:val="superscript"/>
          <w:lang w:val="en-GB"/>
        </w:rPr>
        <w:t>[22]</w:t>
      </w:r>
      <w:r w:rsidRPr="000D5F6F">
        <w:rPr>
          <w:rFonts w:ascii="Book Antiqua" w:hAnsi="Book Antiqua" w:cs="Book Antiqua"/>
          <w:lang w:val="en-GB"/>
        </w:rPr>
        <w:t xml:space="preserve">. Furthermore there are few reports regarding a correlation between any of these tests and the efficacy and security of any NOAC and the clinical significance of these analyses must be interpreted cautiously.  </w:t>
      </w:r>
    </w:p>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 </w:t>
      </w:r>
    </w:p>
    <w:p w:rsidR="004D2ECB" w:rsidRPr="000D5F6F" w:rsidRDefault="004D2ECB" w:rsidP="00D06B71">
      <w:pPr>
        <w:spacing w:line="360" w:lineRule="auto"/>
        <w:jc w:val="both"/>
        <w:rPr>
          <w:rFonts w:ascii="Book Antiqua" w:eastAsia="宋体" w:hAnsi="Book Antiqua" w:cs="Book Antiqua"/>
          <w:b/>
          <w:bCs/>
          <w:lang w:val="en-GB" w:eastAsia="zh-CN"/>
        </w:rPr>
      </w:pPr>
      <w:r w:rsidRPr="000D5F6F">
        <w:rPr>
          <w:rFonts w:ascii="Book Antiqua" w:hAnsi="Book Antiqua" w:cs="Book Antiqua"/>
          <w:lang w:val="en-GB"/>
        </w:rPr>
        <w:br w:type="page"/>
      </w:r>
      <w:r w:rsidRPr="000D5F6F">
        <w:rPr>
          <w:rFonts w:ascii="Book Antiqua" w:hAnsi="Book Antiqua" w:cs="Book Antiqua"/>
          <w:b/>
          <w:bCs/>
          <w:lang w:val="en-GB"/>
        </w:rPr>
        <w:t>CONCLUSIONS</w:t>
      </w:r>
    </w:p>
    <w:p w:rsidR="004D2ECB" w:rsidRPr="000D5F6F" w:rsidRDefault="004D2ECB" w:rsidP="00D06B71">
      <w:pPr>
        <w:spacing w:line="360" w:lineRule="auto"/>
        <w:jc w:val="both"/>
        <w:rPr>
          <w:rFonts w:ascii="Book Antiqua" w:eastAsia="宋体" w:hAnsi="Book Antiqua" w:cs="Book Antiqua"/>
          <w:lang w:val="en-GB" w:eastAsia="zh-CN"/>
        </w:rPr>
      </w:pPr>
      <w:r w:rsidRPr="000D5F6F">
        <w:rPr>
          <w:rFonts w:ascii="Book Antiqua" w:hAnsi="Book Antiqua" w:cs="Book Antiqua"/>
          <w:lang w:val="en-GB"/>
        </w:rPr>
        <w:t xml:space="preserve">Despite of the potentials scenarios in which the role of monitoring the anticoagulant effect of NOAC can be clinically valid, it must be point out that there is no trial which has compared results of these drugs with or without coagulation monitoring and there are no guidelines to determine the steps to follow in order to improve the quality of the anticoagulation therapy. Nevertheless, with the broad use of NOACs in clinical practice we must keep in mind the inter-patient variability of these drugs that can result in loss of efficacy and security. </w:t>
      </w:r>
    </w:p>
    <w:p w:rsidR="004D2ECB" w:rsidRPr="000D5F6F" w:rsidRDefault="004D2ECB" w:rsidP="00D06B71">
      <w:pPr>
        <w:spacing w:line="360" w:lineRule="auto"/>
        <w:jc w:val="both"/>
        <w:rPr>
          <w:rFonts w:ascii="Book Antiqua" w:eastAsia="宋体" w:hAnsi="Book Antiqua" w:cs="Book Antiqua"/>
          <w:b/>
          <w:bCs/>
          <w:lang w:val="en-GB" w:eastAsia="zh-CN"/>
        </w:rPr>
      </w:pPr>
      <w:r w:rsidRPr="000D5F6F">
        <w:rPr>
          <w:rFonts w:ascii="Book Antiqua" w:hAnsi="Book Antiqua" w:cs="Book Antiqua"/>
          <w:lang w:val="en-GB"/>
        </w:rPr>
        <w:br w:type="page"/>
      </w:r>
      <w:r w:rsidRPr="000D5F6F">
        <w:rPr>
          <w:rFonts w:ascii="Book Antiqua" w:hAnsi="Book Antiqua" w:cs="Book Antiqua"/>
          <w:b/>
          <w:bCs/>
          <w:lang w:val="en-GB"/>
        </w:rPr>
        <w:t>REFERENCES</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1 </w:t>
      </w:r>
      <w:r w:rsidRPr="000D5F6F">
        <w:rPr>
          <w:rFonts w:ascii="Book Antiqua" w:eastAsia="宋体" w:hAnsi="Book Antiqua" w:cs="宋体"/>
          <w:b/>
          <w:bCs/>
          <w:color w:val="000000"/>
          <w:lang w:val="en-US" w:eastAsia="zh-CN"/>
        </w:rPr>
        <w:t>Patel MR</w:t>
      </w:r>
      <w:r w:rsidRPr="000D5F6F">
        <w:rPr>
          <w:rFonts w:ascii="Book Antiqua" w:eastAsia="宋体" w:hAnsi="Book Antiqua" w:cs="宋体"/>
          <w:color w:val="000000"/>
          <w:lang w:val="en-US" w:eastAsia="zh-CN"/>
        </w:rPr>
        <w:t>, Mahaffey KW, Garg J, Pan G, Singer DE, Hacke W, Breithardt G, Halperin JL, Hankey GJ, Piccini JP, Becker RC, Nessel CC, Paolini JF, Berkowitz SD, Fox KA, Califf RM. Rivaroxaban versus warfarin in nonvalvular atrial fibrillation. </w:t>
      </w:r>
      <w:r w:rsidRPr="000D5F6F">
        <w:rPr>
          <w:rFonts w:ascii="Book Antiqua" w:eastAsia="宋体" w:hAnsi="Book Antiqua" w:cs="宋体"/>
          <w:i/>
          <w:iCs/>
          <w:color w:val="000000"/>
          <w:lang w:val="en-US" w:eastAsia="zh-CN"/>
        </w:rPr>
        <w:t>N Engl J Med</w:t>
      </w:r>
      <w:r w:rsidRPr="000D5F6F">
        <w:rPr>
          <w:rFonts w:ascii="Book Antiqua" w:eastAsia="宋体" w:hAnsi="Book Antiqua" w:cs="宋体"/>
          <w:color w:val="000000"/>
          <w:lang w:val="en-US" w:eastAsia="zh-CN"/>
        </w:rPr>
        <w:t> 2011; </w:t>
      </w:r>
      <w:r w:rsidRPr="000D5F6F">
        <w:rPr>
          <w:rFonts w:ascii="Book Antiqua" w:eastAsia="宋体" w:hAnsi="Book Antiqua" w:cs="宋体"/>
          <w:b/>
          <w:bCs/>
          <w:color w:val="000000"/>
          <w:lang w:val="en-US" w:eastAsia="zh-CN"/>
        </w:rPr>
        <w:t>365</w:t>
      </w:r>
      <w:r w:rsidRPr="000D5F6F">
        <w:rPr>
          <w:rFonts w:ascii="Book Antiqua" w:eastAsia="宋体" w:hAnsi="Book Antiqua" w:cs="宋体"/>
          <w:color w:val="000000"/>
          <w:lang w:val="en-US" w:eastAsia="zh-CN"/>
        </w:rPr>
        <w:t>: 883-891 [PMID: 21830957 DOI: 10.1056/NEJMoa1009638]</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2 </w:t>
      </w:r>
      <w:r w:rsidRPr="000D5F6F">
        <w:rPr>
          <w:rFonts w:ascii="Book Antiqua" w:eastAsia="宋体" w:hAnsi="Book Antiqua" w:cs="宋体"/>
          <w:b/>
          <w:bCs/>
          <w:color w:val="000000"/>
          <w:lang w:val="en-US" w:eastAsia="zh-CN"/>
        </w:rPr>
        <w:t>Granger CB</w:t>
      </w:r>
      <w:r w:rsidRPr="000D5F6F">
        <w:rPr>
          <w:rFonts w:ascii="Book Antiqua" w:eastAsia="宋体" w:hAnsi="Book Antiqua" w:cs="宋体"/>
          <w:color w:val="000000"/>
          <w:lang w:val="en-US" w:eastAsia="zh-CN"/>
        </w:rPr>
        <w:t>,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Apixaban versus warfarin in patients with atrial fibrillation. </w:t>
      </w:r>
      <w:r w:rsidRPr="000D5F6F">
        <w:rPr>
          <w:rFonts w:ascii="Book Antiqua" w:eastAsia="宋体" w:hAnsi="Book Antiqua" w:cs="宋体"/>
          <w:i/>
          <w:iCs/>
          <w:color w:val="000000"/>
          <w:lang w:val="en-US" w:eastAsia="zh-CN"/>
        </w:rPr>
        <w:t>N Engl J Med</w:t>
      </w:r>
      <w:r w:rsidRPr="000D5F6F">
        <w:rPr>
          <w:rFonts w:ascii="Book Antiqua" w:eastAsia="宋体" w:hAnsi="Book Antiqua" w:cs="宋体"/>
          <w:color w:val="000000"/>
          <w:lang w:val="en-US" w:eastAsia="zh-CN"/>
        </w:rPr>
        <w:t> 2011; </w:t>
      </w:r>
      <w:r w:rsidRPr="000D5F6F">
        <w:rPr>
          <w:rFonts w:ascii="Book Antiqua" w:eastAsia="宋体" w:hAnsi="Book Antiqua" w:cs="宋体"/>
          <w:b/>
          <w:bCs/>
          <w:color w:val="000000"/>
          <w:lang w:val="en-US" w:eastAsia="zh-CN"/>
        </w:rPr>
        <w:t>365</w:t>
      </w:r>
      <w:r w:rsidRPr="000D5F6F">
        <w:rPr>
          <w:rFonts w:ascii="Book Antiqua" w:eastAsia="宋体" w:hAnsi="Book Antiqua" w:cs="宋体"/>
          <w:color w:val="000000"/>
          <w:lang w:val="en-US" w:eastAsia="zh-CN"/>
        </w:rPr>
        <w:t>: 981-992 [PMID: 21870978 DOI: 10.1056/NEJMoa1107039]</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3 </w:t>
      </w:r>
      <w:r w:rsidRPr="000D5F6F">
        <w:rPr>
          <w:rFonts w:ascii="Book Antiqua" w:eastAsia="宋体" w:hAnsi="Book Antiqua" w:cs="宋体"/>
          <w:b/>
          <w:bCs/>
          <w:color w:val="000000"/>
          <w:lang w:val="en-US" w:eastAsia="zh-CN"/>
        </w:rPr>
        <w:t>Connolly SJ</w:t>
      </w:r>
      <w:r w:rsidRPr="000D5F6F">
        <w:rPr>
          <w:rFonts w:ascii="Book Antiqua" w:eastAsia="宋体" w:hAnsi="Book Antiqua" w:cs="宋体"/>
          <w:color w:val="000000"/>
          <w:lang w:val="en-US" w:eastAsia="zh-CN"/>
        </w:rPr>
        <w:t>, Ezekowitz MD, Yusuf S, Eikelboom J, Oldgren J, Parekh A, Pogue J, Reilly PA, Themeles E, Varrone J, Wang S, Alings M, Xavier D, Zhu J, Diaz R, Lewis BS, Darius H, Diener HC, Joyner CD, Wallentin L. Dabigatran versus warfarin in patients with atrial fibrillation. </w:t>
      </w:r>
      <w:r w:rsidRPr="000D5F6F">
        <w:rPr>
          <w:rFonts w:ascii="Book Antiqua" w:eastAsia="宋体" w:hAnsi="Book Antiqua" w:cs="宋体"/>
          <w:i/>
          <w:iCs/>
          <w:color w:val="000000"/>
          <w:lang w:val="en-US" w:eastAsia="zh-CN"/>
        </w:rPr>
        <w:t>N Engl J Med</w:t>
      </w:r>
      <w:r w:rsidRPr="000D5F6F">
        <w:rPr>
          <w:rFonts w:ascii="Book Antiqua" w:eastAsia="宋体" w:hAnsi="Book Antiqua" w:cs="宋体"/>
          <w:color w:val="000000"/>
          <w:lang w:val="en-US" w:eastAsia="zh-CN"/>
        </w:rPr>
        <w:t> 2009; </w:t>
      </w:r>
      <w:r w:rsidRPr="000D5F6F">
        <w:rPr>
          <w:rFonts w:ascii="Book Antiqua" w:eastAsia="宋体" w:hAnsi="Book Antiqua" w:cs="宋体"/>
          <w:b/>
          <w:bCs/>
          <w:color w:val="000000"/>
          <w:lang w:val="en-US" w:eastAsia="zh-CN"/>
        </w:rPr>
        <w:t>361</w:t>
      </w:r>
      <w:r w:rsidRPr="000D5F6F">
        <w:rPr>
          <w:rFonts w:ascii="Book Antiqua" w:eastAsia="宋体" w:hAnsi="Book Antiqua" w:cs="宋体"/>
          <w:color w:val="000000"/>
          <w:lang w:val="en-US" w:eastAsia="zh-CN"/>
        </w:rPr>
        <w:t>: 1139-1151 [PMID: 19717844 DOI: 10.1056/NEJMoa0905561]</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4 </w:t>
      </w:r>
      <w:r w:rsidRPr="000D5F6F">
        <w:rPr>
          <w:rFonts w:ascii="Book Antiqua" w:eastAsia="宋体" w:hAnsi="Book Antiqua" w:cs="宋体"/>
          <w:b/>
          <w:bCs/>
          <w:color w:val="000000"/>
          <w:lang w:val="en-US" w:eastAsia="zh-CN"/>
        </w:rPr>
        <w:t>Freyburger G</w:t>
      </w:r>
      <w:r w:rsidRPr="000D5F6F">
        <w:rPr>
          <w:rFonts w:ascii="Book Antiqua" w:eastAsia="宋体" w:hAnsi="Book Antiqua" w:cs="宋体"/>
          <w:color w:val="000000"/>
          <w:lang w:val="en-US" w:eastAsia="zh-CN"/>
        </w:rPr>
        <w:t>, Macouillard G, Labrouche S, Sztark F. Coagulation parameters in patients receiving dabigatran etexilate or rivaroxaban: two observational studies in patients undergoing total hip or total knee replacement. </w:t>
      </w:r>
      <w:r w:rsidRPr="000D5F6F">
        <w:rPr>
          <w:rFonts w:ascii="Book Antiqua" w:eastAsia="宋体" w:hAnsi="Book Antiqua" w:cs="宋体"/>
          <w:i/>
          <w:iCs/>
          <w:color w:val="000000"/>
          <w:lang w:val="en-US" w:eastAsia="zh-CN"/>
        </w:rPr>
        <w:t>Thromb Res</w:t>
      </w:r>
      <w:r w:rsidRPr="000D5F6F">
        <w:rPr>
          <w:rFonts w:ascii="Book Antiqua" w:eastAsia="宋体" w:hAnsi="Book Antiqua" w:cs="宋体"/>
          <w:color w:val="000000"/>
          <w:lang w:val="en-US" w:eastAsia="zh-CN"/>
        </w:rPr>
        <w:t> 2011; </w:t>
      </w:r>
      <w:r w:rsidRPr="000D5F6F">
        <w:rPr>
          <w:rFonts w:ascii="Book Antiqua" w:eastAsia="宋体" w:hAnsi="Book Antiqua" w:cs="宋体"/>
          <w:b/>
          <w:bCs/>
          <w:color w:val="000000"/>
          <w:lang w:val="en-US" w:eastAsia="zh-CN"/>
        </w:rPr>
        <w:t>127</w:t>
      </w:r>
      <w:r w:rsidRPr="000D5F6F">
        <w:rPr>
          <w:rFonts w:ascii="Book Antiqua" w:eastAsia="宋体" w:hAnsi="Book Antiqua" w:cs="宋体"/>
          <w:color w:val="000000"/>
          <w:lang w:val="en-US" w:eastAsia="zh-CN"/>
        </w:rPr>
        <w:t>: 457-465 [PMID: 21277622 DOI: 10.1016/j.thromres.2011.01.001]</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5 </w:t>
      </w:r>
      <w:r w:rsidRPr="000D5F6F">
        <w:rPr>
          <w:rFonts w:ascii="Book Antiqua" w:eastAsia="宋体" w:hAnsi="Book Antiqua" w:cs="宋体"/>
          <w:b/>
          <w:bCs/>
          <w:color w:val="000000"/>
          <w:lang w:val="en-US" w:eastAsia="zh-CN"/>
        </w:rPr>
        <w:t>Paré G</w:t>
      </w:r>
      <w:r w:rsidRPr="000D5F6F">
        <w:rPr>
          <w:rFonts w:ascii="Book Antiqua" w:eastAsia="宋体" w:hAnsi="Book Antiqua" w:cs="宋体"/>
          <w:color w:val="000000"/>
          <w:lang w:val="en-US" w:eastAsia="zh-CN"/>
        </w:rPr>
        <w:t>, Eriksson N, Lehr T, Connolly S, Eikelboom J, Ezekowitz MD, Axelsson T, Haertter S, Oldgren J, Reilly P, Siegbahn A, Syvanen AC, Wadelius C, Wadelius M, Zimdahl-Gelling H, Yusuf S, Wallentin L. Genetic determinants of dabigatran plasma levels and their relation to bleeding. </w:t>
      </w:r>
      <w:r w:rsidRPr="000D5F6F">
        <w:rPr>
          <w:rFonts w:ascii="Book Antiqua" w:eastAsia="宋体" w:hAnsi="Book Antiqua" w:cs="宋体"/>
          <w:i/>
          <w:iCs/>
          <w:color w:val="000000"/>
          <w:lang w:val="en-US" w:eastAsia="zh-CN"/>
        </w:rPr>
        <w:t>Circulation</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127</w:t>
      </w:r>
      <w:r w:rsidRPr="000D5F6F">
        <w:rPr>
          <w:rFonts w:ascii="Book Antiqua" w:eastAsia="宋体" w:hAnsi="Book Antiqua" w:cs="宋体"/>
          <w:color w:val="000000"/>
          <w:lang w:val="en-US" w:eastAsia="zh-CN"/>
        </w:rPr>
        <w:t>: 1404-1412 [PMID: 23467860 DOI: 10.1161/CIRCULATIONAHA.112.001233]</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6 </w:t>
      </w:r>
      <w:r w:rsidRPr="000D5F6F">
        <w:rPr>
          <w:rFonts w:ascii="Book Antiqua" w:eastAsia="宋体" w:hAnsi="Book Antiqua" w:cs="宋体"/>
          <w:b/>
          <w:bCs/>
          <w:color w:val="000000"/>
          <w:lang w:val="en-US" w:eastAsia="zh-CN"/>
        </w:rPr>
        <w:t>Reilly PA</w:t>
      </w:r>
      <w:r w:rsidRPr="000D5F6F">
        <w:rPr>
          <w:rFonts w:ascii="Book Antiqua" w:eastAsia="宋体" w:hAnsi="Book Antiqua" w:cs="宋体"/>
          <w:color w:val="000000"/>
          <w:lang w:val="en-US" w:eastAsia="zh-CN"/>
        </w:rPr>
        <w:t xml:space="preserve">, Lehr T, Haertter S, Connolly SJ, Yusuf S, Eikelboom JW, Ezekowitz MD, Nehmiz G, Wang S, Wallentin L; </w:t>
      </w:r>
      <w:hyperlink r:id="rId7" w:history="1">
        <w:r w:rsidRPr="000D5F6F">
          <w:rPr>
            <w:rFonts w:ascii="Book Antiqua" w:eastAsia="宋体" w:hAnsi="Book Antiqua" w:cs="宋体"/>
            <w:color w:val="000000"/>
            <w:lang w:val="en-US" w:eastAsia="zh-CN"/>
          </w:rPr>
          <w:t>RE-LY Investigators</w:t>
        </w:r>
      </w:hyperlink>
      <w:r w:rsidRPr="000D5F6F">
        <w:rPr>
          <w:rFonts w:ascii="Book Antiqua" w:eastAsia="宋体" w:hAnsi="Book Antiqua" w:cs="宋体"/>
          <w:color w:val="000000"/>
          <w:lang w:val="en-US" w:eastAsia="zh-CN"/>
        </w:rPr>
        <w:t>. The effect of dabigatran plasma concentrations and patient characteristics on the frequency of ischemic stroke and major bleeding in atrial fibrillation patients: the RE-LY Trial (Randomized Evaluation of Long-Term Anticoagulation Therapy). </w:t>
      </w:r>
      <w:r w:rsidRPr="000D5F6F">
        <w:rPr>
          <w:rFonts w:ascii="Book Antiqua" w:eastAsia="宋体" w:hAnsi="Book Antiqua" w:cs="宋体"/>
          <w:i/>
          <w:iCs/>
          <w:color w:val="000000"/>
          <w:lang w:val="en-US" w:eastAsia="zh-CN"/>
        </w:rPr>
        <w:t>J Am Coll Cardiol</w:t>
      </w:r>
      <w:r w:rsidRPr="000D5F6F">
        <w:rPr>
          <w:rFonts w:ascii="Book Antiqua" w:eastAsia="宋体" w:hAnsi="Book Antiqua" w:cs="宋体"/>
          <w:color w:val="000000"/>
          <w:lang w:val="en-US" w:eastAsia="zh-CN"/>
        </w:rPr>
        <w:t> 2014; </w:t>
      </w:r>
      <w:r w:rsidRPr="000D5F6F">
        <w:rPr>
          <w:rFonts w:ascii="Book Antiqua" w:eastAsia="宋体" w:hAnsi="Book Antiqua" w:cs="宋体"/>
          <w:b/>
          <w:bCs/>
          <w:color w:val="000000"/>
          <w:lang w:val="en-US" w:eastAsia="zh-CN"/>
        </w:rPr>
        <w:t>63</w:t>
      </w:r>
      <w:r w:rsidRPr="000D5F6F">
        <w:rPr>
          <w:rFonts w:ascii="Book Antiqua" w:eastAsia="宋体" w:hAnsi="Book Antiqua" w:cs="宋体"/>
          <w:color w:val="000000"/>
          <w:lang w:val="en-US" w:eastAsia="zh-CN"/>
        </w:rPr>
        <w:t>: 321-328 [PMID: 24076487 DOI: 10.1016/j.jacc.2013.07.104]</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7 </w:t>
      </w:r>
      <w:r w:rsidRPr="000D5F6F">
        <w:rPr>
          <w:rFonts w:ascii="Book Antiqua" w:eastAsia="宋体" w:hAnsi="Book Antiqua" w:cs="宋体"/>
          <w:b/>
          <w:bCs/>
          <w:color w:val="000000"/>
          <w:lang w:val="en-US" w:eastAsia="zh-CN"/>
        </w:rPr>
        <w:t>Southworth MR</w:t>
      </w:r>
      <w:r w:rsidRPr="000D5F6F">
        <w:rPr>
          <w:rFonts w:ascii="Book Antiqua" w:eastAsia="宋体" w:hAnsi="Book Antiqua" w:cs="宋体"/>
          <w:color w:val="000000"/>
          <w:lang w:val="en-US" w:eastAsia="zh-CN"/>
        </w:rPr>
        <w:t>, Reichman ME, Unger EF. Dabigatran and postmarketing reports of bleeding. </w:t>
      </w:r>
      <w:r w:rsidRPr="000D5F6F">
        <w:rPr>
          <w:rFonts w:ascii="Book Antiqua" w:eastAsia="宋体" w:hAnsi="Book Antiqua" w:cs="宋体"/>
          <w:i/>
          <w:iCs/>
          <w:color w:val="000000"/>
          <w:lang w:val="en-US" w:eastAsia="zh-CN"/>
        </w:rPr>
        <w:t>N Engl J Med</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368</w:t>
      </w:r>
      <w:r w:rsidRPr="000D5F6F">
        <w:rPr>
          <w:rFonts w:ascii="Book Antiqua" w:eastAsia="宋体" w:hAnsi="Book Antiqua" w:cs="宋体"/>
          <w:color w:val="000000"/>
          <w:lang w:val="en-US" w:eastAsia="zh-CN"/>
        </w:rPr>
        <w:t>: 1272-1274 [PMID: 23484796 DOI: 10.1056/NEJMp1302834]</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 xml:space="preserve">8 </w:t>
      </w:r>
      <w:hyperlink r:id="rId8" w:history="1">
        <w:r w:rsidRPr="000D5F6F">
          <w:rPr>
            <w:rFonts w:ascii="Book Antiqua" w:eastAsia="宋体" w:hAnsi="Book Antiqua" w:cs="宋体"/>
            <w:b/>
            <w:color w:val="000000"/>
            <w:lang w:val="en-US" w:eastAsia="zh-CN"/>
          </w:rPr>
          <w:t>Baglin T</w:t>
        </w:r>
      </w:hyperlink>
      <w:r w:rsidRPr="000D5F6F">
        <w:rPr>
          <w:rFonts w:ascii="Book Antiqua" w:eastAsia="宋体" w:hAnsi="Book Antiqua" w:cs="宋体"/>
          <w:color w:val="000000"/>
          <w:lang w:val="en-US" w:eastAsia="zh-CN"/>
        </w:rPr>
        <w:t>,</w:t>
      </w:r>
      <w:r w:rsidRPr="000D5F6F">
        <w:rPr>
          <w:rFonts w:ascii="Book Antiqua" w:eastAsia="宋体" w:hAnsi="Book Antiqua" w:cs="宋体"/>
          <w:lang w:val="en-US" w:eastAsia="zh-CN"/>
        </w:rPr>
        <w:t> </w:t>
      </w:r>
      <w:hyperlink r:id="rId9" w:history="1">
        <w:r w:rsidRPr="000D5F6F">
          <w:rPr>
            <w:rFonts w:ascii="Book Antiqua" w:eastAsia="宋体" w:hAnsi="Book Antiqua" w:cs="宋体"/>
            <w:color w:val="000000"/>
            <w:lang w:val="en-US" w:eastAsia="zh-CN"/>
          </w:rPr>
          <w:t>Hillarp A</w:t>
        </w:r>
      </w:hyperlink>
      <w:r w:rsidRPr="000D5F6F">
        <w:rPr>
          <w:rFonts w:ascii="Book Antiqua" w:eastAsia="宋体" w:hAnsi="Book Antiqua" w:cs="宋体"/>
          <w:color w:val="000000"/>
          <w:lang w:val="en-US" w:eastAsia="zh-CN"/>
        </w:rPr>
        <w:t>,</w:t>
      </w:r>
      <w:r w:rsidRPr="000D5F6F">
        <w:rPr>
          <w:rFonts w:ascii="Book Antiqua" w:eastAsia="宋体" w:hAnsi="Book Antiqua" w:cs="宋体"/>
          <w:lang w:val="en-US" w:eastAsia="zh-CN"/>
        </w:rPr>
        <w:t> </w:t>
      </w:r>
      <w:hyperlink r:id="rId10" w:history="1">
        <w:r w:rsidRPr="000D5F6F">
          <w:rPr>
            <w:rFonts w:ascii="Book Antiqua" w:eastAsia="宋体" w:hAnsi="Book Antiqua" w:cs="宋体"/>
            <w:color w:val="000000"/>
            <w:lang w:val="en-US" w:eastAsia="zh-CN"/>
          </w:rPr>
          <w:t>Tripodi A</w:t>
        </w:r>
      </w:hyperlink>
      <w:r w:rsidRPr="000D5F6F">
        <w:rPr>
          <w:rFonts w:ascii="Book Antiqua" w:eastAsia="宋体" w:hAnsi="Book Antiqua" w:cs="宋体"/>
          <w:color w:val="000000"/>
          <w:lang w:val="en-US" w:eastAsia="zh-CN"/>
        </w:rPr>
        <w:t>,</w:t>
      </w:r>
      <w:r w:rsidRPr="000D5F6F">
        <w:rPr>
          <w:rFonts w:ascii="Book Antiqua" w:eastAsia="宋体" w:hAnsi="Book Antiqua" w:cs="宋体"/>
          <w:lang w:val="en-US" w:eastAsia="zh-CN"/>
        </w:rPr>
        <w:t> </w:t>
      </w:r>
      <w:hyperlink r:id="rId11" w:history="1">
        <w:r w:rsidRPr="000D5F6F">
          <w:rPr>
            <w:rFonts w:ascii="Book Antiqua" w:eastAsia="宋体" w:hAnsi="Book Antiqua" w:cs="宋体"/>
            <w:color w:val="000000"/>
            <w:lang w:val="en-US" w:eastAsia="zh-CN"/>
          </w:rPr>
          <w:t>Elalamy I</w:t>
        </w:r>
      </w:hyperlink>
      <w:r w:rsidRPr="000D5F6F">
        <w:rPr>
          <w:rFonts w:ascii="Book Antiqua" w:eastAsia="宋体" w:hAnsi="Book Antiqua" w:cs="宋体"/>
          <w:color w:val="000000"/>
          <w:lang w:val="en-US" w:eastAsia="zh-CN"/>
        </w:rPr>
        <w:t>,</w:t>
      </w:r>
      <w:r w:rsidRPr="000D5F6F">
        <w:rPr>
          <w:rFonts w:ascii="Book Antiqua" w:eastAsia="宋体" w:hAnsi="Book Antiqua" w:cs="宋体"/>
          <w:lang w:val="en-US" w:eastAsia="zh-CN"/>
        </w:rPr>
        <w:t> </w:t>
      </w:r>
      <w:hyperlink r:id="rId12" w:history="1">
        <w:r w:rsidRPr="000D5F6F">
          <w:rPr>
            <w:rFonts w:ascii="Book Antiqua" w:eastAsia="宋体" w:hAnsi="Book Antiqua" w:cs="宋体"/>
            <w:color w:val="000000"/>
            <w:lang w:val="en-US" w:eastAsia="zh-CN"/>
          </w:rPr>
          <w:t>Buller H</w:t>
        </w:r>
      </w:hyperlink>
      <w:r w:rsidRPr="000D5F6F">
        <w:rPr>
          <w:rFonts w:ascii="Book Antiqua" w:eastAsia="宋体" w:hAnsi="Book Antiqua" w:cs="宋体"/>
          <w:color w:val="000000"/>
          <w:lang w:val="en-US" w:eastAsia="zh-CN"/>
        </w:rPr>
        <w:t>,</w:t>
      </w:r>
      <w:r w:rsidRPr="000D5F6F">
        <w:rPr>
          <w:rFonts w:ascii="Book Antiqua" w:eastAsia="宋体" w:hAnsi="Book Antiqua" w:cs="宋体"/>
          <w:lang w:val="en-US" w:eastAsia="zh-CN"/>
        </w:rPr>
        <w:t> </w:t>
      </w:r>
      <w:hyperlink r:id="rId13" w:history="1">
        <w:r w:rsidRPr="000D5F6F">
          <w:rPr>
            <w:rFonts w:ascii="Book Antiqua" w:eastAsia="宋体" w:hAnsi="Book Antiqua" w:cs="宋体"/>
            <w:color w:val="000000"/>
            <w:lang w:val="en-US" w:eastAsia="zh-CN"/>
          </w:rPr>
          <w:t>Ageno W</w:t>
        </w:r>
      </w:hyperlink>
      <w:r w:rsidRPr="000D5F6F">
        <w:rPr>
          <w:rFonts w:ascii="Book Antiqua" w:eastAsia="宋体" w:hAnsi="Book Antiqua" w:cs="宋体"/>
          <w:color w:val="000000"/>
          <w:lang w:val="en-US" w:eastAsia="zh-CN"/>
        </w:rPr>
        <w:t>. Measuring Oral Direct Inhibitors (ODIs) of thrombin and factor Xa: A recommendation from the Subcommittee on Control of Anticoagulation of the Scientific and Standardisation Committee of the International Society on Thrombosis and Haemostasis. </w:t>
      </w:r>
      <w:r w:rsidRPr="000D5F6F">
        <w:rPr>
          <w:rFonts w:ascii="Book Antiqua" w:eastAsia="宋体" w:hAnsi="Book Antiqua" w:cs="宋体"/>
          <w:i/>
          <w:iCs/>
          <w:color w:val="000000"/>
          <w:lang w:val="en-US" w:eastAsia="zh-CN"/>
        </w:rPr>
        <w:t>J Thromb Haemost</w:t>
      </w:r>
      <w:r w:rsidRPr="000D5F6F">
        <w:rPr>
          <w:rFonts w:ascii="Book Antiqua" w:eastAsia="宋体" w:hAnsi="Book Antiqua" w:cs="宋体"/>
          <w:color w:val="000000"/>
          <w:lang w:val="en-US" w:eastAsia="zh-CN"/>
        </w:rPr>
        <w:t> 2013 Jan 24; Epub ahead of print [PMID: 23347120 DOI: 10.1111/jth.12149]</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9 </w:t>
      </w:r>
      <w:r w:rsidRPr="000D5F6F">
        <w:rPr>
          <w:rFonts w:ascii="Book Antiqua" w:eastAsia="宋体" w:hAnsi="Book Antiqua" w:cs="宋体"/>
          <w:b/>
          <w:bCs/>
          <w:color w:val="000000"/>
          <w:lang w:val="en-US" w:eastAsia="zh-CN"/>
        </w:rPr>
        <w:t>Douxfils J</w:t>
      </w:r>
      <w:r w:rsidRPr="000D5F6F">
        <w:rPr>
          <w:rFonts w:ascii="Book Antiqua" w:eastAsia="宋体" w:hAnsi="Book Antiqua" w:cs="宋体"/>
          <w:color w:val="000000"/>
          <w:lang w:val="en-US" w:eastAsia="zh-CN"/>
        </w:rPr>
        <w:t>, Mani H, Minet V, Devalet B, Chatelain B, Dogné JM, Mullier F. Non-VKA Oral Anticoagulants: Accurate Measurement of Plasma Drug Concentrations. </w:t>
      </w:r>
      <w:r w:rsidRPr="000D5F6F">
        <w:rPr>
          <w:rFonts w:ascii="Book Antiqua" w:eastAsia="宋体" w:hAnsi="Book Antiqua" w:cs="宋体"/>
          <w:i/>
          <w:iCs/>
          <w:color w:val="000000"/>
          <w:lang w:val="en-US" w:eastAsia="zh-CN"/>
        </w:rPr>
        <w:t>Biomed Res Int</w:t>
      </w:r>
      <w:r w:rsidRPr="000D5F6F">
        <w:rPr>
          <w:rFonts w:ascii="Book Antiqua" w:eastAsia="宋体" w:hAnsi="Book Antiqua" w:cs="宋体"/>
          <w:color w:val="000000"/>
          <w:lang w:val="en-US" w:eastAsia="zh-CN"/>
        </w:rPr>
        <w:t> 2015; </w:t>
      </w:r>
      <w:r w:rsidRPr="000D5F6F">
        <w:rPr>
          <w:rFonts w:ascii="Book Antiqua" w:eastAsia="宋体" w:hAnsi="Book Antiqua" w:cs="宋体"/>
          <w:b/>
          <w:bCs/>
          <w:color w:val="000000"/>
          <w:lang w:val="en-US" w:eastAsia="zh-CN"/>
        </w:rPr>
        <w:t>2015</w:t>
      </w:r>
      <w:r w:rsidRPr="000D5F6F">
        <w:rPr>
          <w:rFonts w:ascii="Book Antiqua" w:eastAsia="宋体" w:hAnsi="Book Antiqua" w:cs="宋体"/>
          <w:color w:val="000000"/>
          <w:lang w:val="en-US" w:eastAsia="zh-CN"/>
        </w:rPr>
        <w:t>: 345138 [PMID: 26090400 DOI: 10.1155/2015/345138]</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10 </w:t>
      </w:r>
      <w:r w:rsidRPr="000D5F6F">
        <w:rPr>
          <w:rFonts w:ascii="Book Antiqua" w:eastAsia="宋体" w:hAnsi="Book Antiqua" w:cs="宋体"/>
          <w:b/>
          <w:bCs/>
          <w:color w:val="000000"/>
          <w:lang w:val="en-US" w:eastAsia="zh-CN"/>
        </w:rPr>
        <w:t>Samama MM</w:t>
      </w:r>
      <w:r w:rsidRPr="000D5F6F">
        <w:rPr>
          <w:rFonts w:ascii="Book Antiqua" w:eastAsia="宋体" w:hAnsi="Book Antiqua" w:cs="宋体"/>
          <w:color w:val="000000"/>
          <w:lang w:val="en-US" w:eastAsia="zh-CN"/>
        </w:rPr>
        <w:t>, Guinet C, Le Flem L. Do new oral anticoagulants require laboratory monitoring? The clinician point of view. </w:t>
      </w:r>
      <w:r w:rsidRPr="000D5F6F">
        <w:rPr>
          <w:rFonts w:ascii="Book Antiqua" w:eastAsia="宋体" w:hAnsi="Book Antiqua" w:cs="宋体"/>
          <w:i/>
          <w:iCs/>
          <w:color w:val="000000"/>
          <w:lang w:val="en-US" w:eastAsia="zh-CN"/>
        </w:rPr>
        <w:t>Thromb Res</w:t>
      </w:r>
      <w:r w:rsidRPr="000D5F6F">
        <w:rPr>
          <w:rFonts w:ascii="Book Antiqua" w:eastAsia="宋体" w:hAnsi="Book Antiqua" w:cs="宋体"/>
          <w:color w:val="000000"/>
          <w:lang w:val="en-US" w:eastAsia="zh-CN"/>
        </w:rPr>
        <w:t> 2012; </w:t>
      </w:r>
      <w:r w:rsidRPr="000D5F6F">
        <w:rPr>
          <w:rFonts w:ascii="Book Antiqua" w:eastAsia="宋体" w:hAnsi="Book Antiqua" w:cs="宋体"/>
          <w:b/>
          <w:bCs/>
          <w:color w:val="000000"/>
          <w:lang w:val="en-US" w:eastAsia="zh-CN"/>
        </w:rPr>
        <w:t xml:space="preserve">130 </w:t>
      </w:r>
      <w:r w:rsidRPr="000D5F6F">
        <w:rPr>
          <w:rFonts w:ascii="Book Antiqua" w:eastAsia="宋体" w:hAnsi="Book Antiqua" w:cs="宋体"/>
          <w:bCs/>
          <w:color w:val="000000"/>
          <w:lang w:val="en-US" w:eastAsia="zh-CN"/>
        </w:rPr>
        <w:t>Suppl 1</w:t>
      </w:r>
      <w:r w:rsidRPr="000D5F6F">
        <w:rPr>
          <w:rFonts w:ascii="Book Antiqua" w:eastAsia="宋体" w:hAnsi="Book Antiqua" w:cs="宋体"/>
          <w:color w:val="000000"/>
          <w:lang w:val="en-US" w:eastAsia="zh-CN"/>
        </w:rPr>
        <w:t>: S88-S89 [PMID: 23026675 DOI: 10.1016/j.thromres.2012.08.286]</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11 </w:t>
      </w:r>
      <w:r w:rsidRPr="000D5F6F">
        <w:rPr>
          <w:rFonts w:ascii="Book Antiqua" w:eastAsia="宋体" w:hAnsi="Book Antiqua" w:cs="宋体"/>
          <w:b/>
          <w:bCs/>
          <w:color w:val="000000"/>
          <w:lang w:val="en-US" w:eastAsia="zh-CN"/>
        </w:rPr>
        <w:t>Eriksson BI</w:t>
      </w:r>
      <w:r w:rsidRPr="000D5F6F">
        <w:rPr>
          <w:rFonts w:ascii="Book Antiqua" w:eastAsia="宋体" w:hAnsi="Book Antiqua" w:cs="宋体"/>
          <w:color w:val="000000"/>
          <w:lang w:val="en-US" w:eastAsia="zh-CN"/>
        </w:rPr>
        <w:t>, Quinlan DJ, Weitz JI. Comparative pharmacodynamics and pharmacokinetics of oral direct thrombin and factor xa inhibitors in development. </w:t>
      </w:r>
      <w:r w:rsidRPr="000D5F6F">
        <w:rPr>
          <w:rFonts w:ascii="Book Antiqua" w:eastAsia="宋体" w:hAnsi="Book Antiqua" w:cs="宋体"/>
          <w:i/>
          <w:iCs/>
          <w:color w:val="000000"/>
          <w:lang w:val="en-US" w:eastAsia="zh-CN"/>
        </w:rPr>
        <w:t>Clin Pharmacokinet</w:t>
      </w:r>
      <w:r w:rsidRPr="000D5F6F">
        <w:rPr>
          <w:rFonts w:ascii="Book Antiqua" w:eastAsia="宋体" w:hAnsi="Book Antiqua" w:cs="宋体"/>
          <w:color w:val="000000"/>
          <w:lang w:val="en-US" w:eastAsia="zh-CN"/>
        </w:rPr>
        <w:t> 2009; </w:t>
      </w:r>
      <w:r w:rsidRPr="000D5F6F">
        <w:rPr>
          <w:rFonts w:ascii="Book Antiqua" w:eastAsia="宋体" w:hAnsi="Book Antiqua" w:cs="宋体"/>
          <w:b/>
          <w:bCs/>
          <w:color w:val="000000"/>
          <w:lang w:val="en-US" w:eastAsia="zh-CN"/>
        </w:rPr>
        <w:t>48</w:t>
      </w:r>
      <w:r w:rsidRPr="000D5F6F">
        <w:rPr>
          <w:rFonts w:ascii="Book Antiqua" w:eastAsia="宋体" w:hAnsi="Book Antiqua" w:cs="宋体"/>
          <w:color w:val="000000"/>
          <w:lang w:val="en-US" w:eastAsia="zh-CN"/>
        </w:rPr>
        <w:t>: 1-22 [PMID: 19071881 DOI: 10.2165/0003088-200948010-00001]</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12 </w:t>
      </w:r>
      <w:r w:rsidRPr="000D5F6F">
        <w:rPr>
          <w:rFonts w:ascii="Book Antiqua" w:eastAsia="宋体" w:hAnsi="Book Antiqua" w:cs="宋体"/>
          <w:b/>
          <w:bCs/>
          <w:color w:val="000000"/>
          <w:lang w:val="en-US" w:eastAsia="zh-CN"/>
        </w:rPr>
        <w:t>Poulsen BK</w:t>
      </w:r>
      <w:r w:rsidRPr="000D5F6F">
        <w:rPr>
          <w:rFonts w:ascii="Book Antiqua" w:eastAsia="宋体" w:hAnsi="Book Antiqua" w:cs="宋体"/>
          <w:color w:val="000000"/>
          <w:lang w:val="en-US" w:eastAsia="zh-CN"/>
        </w:rPr>
        <w:t>, Grove EL, Husted SE. New oral anticoagulants: a review of the literature with particular emphasis on patients with impaired renal function. </w:t>
      </w:r>
      <w:r w:rsidRPr="000D5F6F">
        <w:rPr>
          <w:rFonts w:ascii="Book Antiqua" w:eastAsia="宋体" w:hAnsi="Book Antiqua" w:cs="宋体"/>
          <w:i/>
          <w:iCs/>
          <w:color w:val="000000"/>
          <w:lang w:val="en-US" w:eastAsia="zh-CN"/>
        </w:rPr>
        <w:t>Drugs</w:t>
      </w:r>
      <w:r w:rsidRPr="000D5F6F">
        <w:rPr>
          <w:rFonts w:ascii="Book Antiqua" w:eastAsia="宋体" w:hAnsi="Book Antiqua" w:cs="宋体"/>
          <w:color w:val="000000"/>
          <w:lang w:val="en-US" w:eastAsia="zh-CN"/>
        </w:rPr>
        <w:t> 2012; </w:t>
      </w:r>
      <w:r w:rsidRPr="000D5F6F">
        <w:rPr>
          <w:rFonts w:ascii="Book Antiqua" w:eastAsia="宋体" w:hAnsi="Book Antiqua" w:cs="宋体"/>
          <w:b/>
          <w:bCs/>
          <w:color w:val="000000"/>
          <w:lang w:val="en-US" w:eastAsia="zh-CN"/>
        </w:rPr>
        <w:t>72</w:t>
      </w:r>
      <w:r w:rsidRPr="000D5F6F">
        <w:rPr>
          <w:rFonts w:ascii="Book Antiqua" w:eastAsia="宋体" w:hAnsi="Book Antiqua" w:cs="宋体"/>
          <w:color w:val="000000"/>
          <w:lang w:val="en-US" w:eastAsia="zh-CN"/>
        </w:rPr>
        <w:t>: 1739-1753 [PMID: 22931521 DOI: 10.2165/11635730-000000000-00000]</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13 </w:t>
      </w:r>
      <w:r w:rsidRPr="000D5F6F">
        <w:rPr>
          <w:rFonts w:ascii="Book Antiqua" w:eastAsia="宋体" w:hAnsi="Book Antiqua" w:cs="宋体"/>
          <w:b/>
          <w:bCs/>
          <w:color w:val="000000"/>
          <w:lang w:val="en-US" w:eastAsia="zh-CN"/>
        </w:rPr>
        <w:t>Liesenfeld KH</w:t>
      </w:r>
      <w:r w:rsidRPr="000D5F6F">
        <w:rPr>
          <w:rFonts w:ascii="Book Antiqua" w:eastAsia="宋体" w:hAnsi="Book Antiqua" w:cs="宋体"/>
          <w:color w:val="000000"/>
          <w:lang w:val="en-US" w:eastAsia="zh-CN"/>
        </w:rPr>
        <w:t>, Lehr T, Dansirikul C, Reilly PA, Connolly SJ, Ezekowitz MD, Yusuf S, Wallentin L, Haertter S, Staab A. Population pharmacokinetic analysis of the oral thrombin inhibitor dabigatran etexilate in patients with non-valvular atrial fibrillation from the RE-LY trial. </w:t>
      </w:r>
      <w:r w:rsidRPr="000D5F6F">
        <w:rPr>
          <w:rFonts w:ascii="Book Antiqua" w:eastAsia="宋体" w:hAnsi="Book Antiqua" w:cs="宋体"/>
          <w:i/>
          <w:iCs/>
          <w:color w:val="000000"/>
          <w:lang w:val="en-US" w:eastAsia="zh-CN"/>
        </w:rPr>
        <w:t>J Thromb Haemost</w:t>
      </w:r>
      <w:r w:rsidRPr="000D5F6F">
        <w:rPr>
          <w:rFonts w:ascii="Book Antiqua" w:eastAsia="宋体" w:hAnsi="Book Antiqua" w:cs="宋体"/>
          <w:color w:val="000000"/>
          <w:lang w:val="en-US" w:eastAsia="zh-CN"/>
        </w:rPr>
        <w:t> 2011; </w:t>
      </w:r>
      <w:r w:rsidRPr="000D5F6F">
        <w:rPr>
          <w:rFonts w:ascii="Book Antiqua" w:eastAsia="宋体" w:hAnsi="Book Antiqua" w:cs="宋体"/>
          <w:b/>
          <w:bCs/>
          <w:color w:val="000000"/>
          <w:lang w:val="en-US" w:eastAsia="zh-CN"/>
        </w:rPr>
        <w:t>9</w:t>
      </w:r>
      <w:r w:rsidRPr="000D5F6F">
        <w:rPr>
          <w:rFonts w:ascii="Book Antiqua" w:eastAsia="宋体" w:hAnsi="Book Antiqua" w:cs="宋体"/>
          <w:color w:val="000000"/>
          <w:lang w:val="en-US" w:eastAsia="zh-CN"/>
        </w:rPr>
        <w:t>: 2168-2175 [PMID: 21972820 DOI: 10.1111/j.1538-7836.2011.04498.x]</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14 </w:t>
      </w:r>
      <w:r w:rsidRPr="000D5F6F">
        <w:rPr>
          <w:rFonts w:ascii="Book Antiqua" w:eastAsia="宋体" w:hAnsi="Book Antiqua" w:cs="宋体"/>
          <w:b/>
          <w:bCs/>
          <w:color w:val="000000"/>
          <w:lang w:val="en-US" w:eastAsia="zh-CN"/>
        </w:rPr>
        <w:t>Mueck W</w:t>
      </w:r>
      <w:r w:rsidRPr="000D5F6F">
        <w:rPr>
          <w:rFonts w:ascii="Book Antiqua" w:eastAsia="宋体" w:hAnsi="Book Antiqua" w:cs="宋体"/>
          <w:color w:val="000000"/>
          <w:lang w:val="en-US" w:eastAsia="zh-CN"/>
        </w:rPr>
        <w:t>, Kubitza D, Becka M. Co-administration of rivaroxaban with drugs that share its elimination pathways: pharmacokinetic effects in healthy subjects. </w:t>
      </w:r>
      <w:r w:rsidRPr="000D5F6F">
        <w:rPr>
          <w:rFonts w:ascii="Book Antiqua" w:eastAsia="宋体" w:hAnsi="Book Antiqua" w:cs="宋体"/>
          <w:i/>
          <w:iCs/>
          <w:color w:val="000000"/>
          <w:lang w:val="en-US" w:eastAsia="zh-CN"/>
        </w:rPr>
        <w:t>Br J Clin Pharmacol</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76</w:t>
      </w:r>
      <w:r w:rsidRPr="000D5F6F">
        <w:rPr>
          <w:rFonts w:ascii="Book Antiqua" w:eastAsia="宋体" w:hAnsi="Book Antiqua" w:cs="宋体"/>
          <w:color w:val="000000"/>
          <w:lang w:val="en-US" w:eastAsia="zh-CN"/>
        </w:rPr>
        <w:t>: 455-466 [PMID: 23305158 DOI: 10.1111/bcp.12075]</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15 </w:t>
      </w:r>
      <w:r w:rsidRPr="000D5F6F">
        <w:rPr>
          <w:rFonts w:ascii="Book Antiqua" w:eastAsia="宋体" w:hAnsi="Book Antiqua" w:cs="宋体"/>
          <w:b/>
          <w:bCs/>
          <w:color w:val="000000"/>
          <w:lang w:val="en-US" w:eastAsia="zh-CN"/>
        </w:rPr>
        <w:t>Stangier J</w:t>
      </w:r>
      <w:r w:rsidRPr="000D5F6F">
        <w:rPr>
          <w:rFonts w:ascii="Book Antiqua" w:eastAsia="宋体" w:hAnsi="Book Antiqua" w:cs="宋体"/>
          <w:color w:val="000000"/>
          <w:lang w:val="en-US" w:eastAsia="zh-CN"/>
        </w:rPr>
        <w:t>, Rathgen K, Stähle H, Gansser D, Roth W. The pharmacokinetics, pharmacodynamics and tolerability of dabigatran etexilate, a new oral direct thrombin inhibitor, in healthy male subjects. </w:t>
      </w:r>
      <w:r w:rsidRPr="000D5F6F">
        <w:rPr>
          <w:rFonts w:ascii="Book Antiqua" w:eastAsia="宋体" w:hAnsi="Book Antiqua" w:cs="宋体"/>
          <w:i/>
          <w:iCs/>
          <w:color w:val="000000"/>
          <w:lang w:val="en-US" w:eastAsia="zh-CN"/>
        </w:rPr>
        <w:t>Br J Clin Pharmacol</w:t>
      </w:r>
      <w:r w:rsidRPr="000D5F6F">
        <w:rPr>
          <w:rFonts w:ascii="Book Antiqua" w:eastAsia="宋体" w:hAnsi="Book Antiqua" w:cs="宋体"/>
          <w:color w:val="000000"/>
          <w:lang w:val="en-US" w:eastAsia="zh-CN"/>
        </w:rPr>
        <w:t> 2007; </w:t>
      </w:r>
      <w:r w:rsidRPr="000D5F6F">
        <w:rPr>
          <w:rFonts w:ascii="Book Antiqua" w:eastAsia="宋体" w:hAnsi="Book Antiqua" w:cs="宋体"/>
          <w:b/>
          <w:bCs/>
          <w:color w:val="000000"/>
          <w:lang w:val="en-US" w:eastAsia="zh-CN"/>
        </w:rPr>
        <w:t>64</w:t>
      </w:r>
      <w:r w:rsidRPr="000D5F6F">
        <w:rPr>
          <w:rFonts w:ascii="Book Antiqua" w:eastAsia="宋体" w:hAnsi="Book Antiqua" w:cs="宋体"/>
          <w:color w:val="000000"/>
          <w:lang w:val="en-US" w:eastAsia="zh-CN"/>
        </w:rPr>
        <w:t>: 292-303 [PMID: 17506785 DOI: 10.1111/j.1365-2125.2007.02899.x]</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16 </w:t>
      </w:r>
      <w:r w:rsidRPr="000D5F6F">
        <w:rPr>
          <w:rFonts w:ascii="Book Antiqua" w:eastAsia="宋体" w:hAnsi="Book Antiqua" w:cs="宋体"/>
          <w:b/>
          <w:bCs/>
          <w:color w:val="000000"/>
          <w:lang w:val="en-US" w:eastAsia="zh-CN"/>
        </w:rPr>
        <w:t>Hapgood G</w:t>
      </w:r>
      <w:r w:rsidRPr="000D5F6F">
        <w:rPr>
          <w:rFonts w:ascii="Book Antiqua" w:eastAsia="宋体" w:hAnsi="Book Antiqua" w:cs="宋体"/>
          <w:color w:val="000000"/>
          <w:lang w:val="en-US" w:eastAsia="zh-CN"/>
        </w:rPr>
        <w:t>, Butler J, Malan E, Chunilal S, Tran H. The effect of dabigatran on the activated partial thromboplastin time and thrombin time as determined by the Hemoclot thrombin inhibitor assay in patient plasma samples. </w:t>
      </w:r>
      <w:r w:rsidRPr="000D5F6F">
        <w:rPr>
          <w:rFonts w:ascii="Book Antiqua" w:eastAsia="宋体" w:hAnsi="Book Antiqua" w:cs="宋体"/>
          <w:i/>
          <w:iCs/>
          <w:color w:val="000000"/>
          <w:lang w:val="en-US" w:eastAsia="zh-CN"/>
        </w:rPr>
        <w:t>Thromb Haemost</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110</w:t>
      </w:r>
      <w:r w:rsidRPr="000D5F6F">
        <w:rPr>
          <w:rFonts w:ascii="Book Antiqua" w:eastAsia="宋体" w:hAnsi="Book Antiqua" w:cs="宋体"/>
          <w:color w:val="000000"/>
          <w:lang w:val="en-US" w:eastAsia="zh-CN"/>
        </w:rPr>
        <w:t>: 308-315 [PMID: 23783268 DOI: 10.1160/TH13-04-0301]</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17 </w:t>
      </w:r>
      <w:r w:rsidRPr="000D5F6F">
        <w:rPr>
          <w:rFonts w:ascii="Book Antiqua" w:eastAsia="宋体" w:hAnsi="Book Antiqua" w:cs="宋体"/>
          <w:b/>
          <w:bCs/>
          <w:color w:val="000000"/>
          <w:lang w:val="en-US" w:eastAsia="zh-CN"/>
        </w:rPr>
        <w:t>Antovic JP</w:t>
      </w:r>
      <w:r w:rsidRPr="000D5F6F">
        <w:rPr>
          <w:rFonts w:ascii="Book Antiqua" w:eastAsia="宋体" w:hAnsi="Book Antiqua" w:cs="宋体"/>
          <w:color w:val="000000"/>
          <w:lang w:val="en-US" w:eastAsia="zh-CN"/>
        </w:rPr>
        <w:t>, Skeppholm M, Eintrei J, Boija EE, Söderblom L, Norberg EM, Onelöv L, Rönquist-Nii Y, Pohanka A, Beck O, Hjemdahl P, Malmström RE. Evaluation of coagulation assays versus LC-MS/MS for determinations of dabigatran concentrations in plasma. </w:t>
      </w:r>
      <w:r w:rsidRPr="000D5F6F">
        <w:rPr>
          <w:rFonts w:ascii="Book Antiqua" w:eastAsia="宋体" w:hAnsi="Book Antiqua" w:cs="宋体"/>
          <w:i/>
          <w:iCs/>
          <w:color w:val="000000"/>
          <w:lang w:val="en-US" w:eastAsia="zh-CN"/>
        </w:rPr>
        <w:t>Eur J Clin Pharmacol</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69</w:t>
      </w:r>
      <w:r w:rsidRPr="000D5F6F">
        <w:rPr>
          <w:rFonts w:ascii="Book Antiqua" w:eastAsia="宋体" w:hAnsi="Book Antiqua" w:cs="宋体"/>
          <w:color w:val="000000"/>
          <w:lang w:val="en-US" w:eastAsia="zh-CN"/>
        </w:rPr>
        <w:t>: 1875-1881 [PMID: 23784008 DOI: 10.1007/s00228-013-1550-4]</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18 </w:t>
      </w:r>
      <w:r w:rsidRPr="000D5F6F">
        <w:rPr>
          <w:rFonts w:ascii="Book Antiqua" w:eastAsia="宋体" w:hAnsi="Book Antiqua" w:cs="宋体"/>
          <w:b/>
          <w:bCs/>
          <w:color w:val="000000"/>
          <w:lang w:val="en-US" w:eastAsia="zh-CN"/>
        </w:rPr>
        <w:t>van Veen JJ</w:t>
      </w:r>
      <w:r w:rsidRPr="000D5F6F">
        <w:rPr>
          <w:rFonts w:ascii="Book Antiqua" w:eastAsia="宋体" w:hAnsi="Book Antiqua" w:cs="宋体"/>
          <w:color w:val="000000"/>
          <w:lang w:val="en-US" w:eastAsia="zh-CN"/>
        </w:rPr>
        <w:t>, Smith J, Kitchen S, Makris M. Normal prothrombin time in the presence of therapeutic levels of rivaroxaban. </w:t>
      </w:r>
      <w:r w:rsidRPr="000D5F6F">
        <w:rPr>
          <w:rFonts w:ascii="Book Antiqua" w:eastAsia="宋体" w:hAnsi="Book Antiqua" w:cs="宋体"/>
          <w:i/>
          <w:iCs/>
          <w:color w:val="000000"/>
          <w:lang w:val="en-US" w:eastAsia="zh-CN"/>
        </w:rPr>
        <w:t>Br J Haematol</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160</w:t>
      </w:r>
      <w:r w:rsidRPr="000D5F6F">
        <w:rPr>
          <w:rFonts w:ascii="Book Antiqua" w:eastAsia="宋体" w:hAnsi="Book Antiqua" w:cs="宋体"/>
          <w:color w:val="000000"/>
          <w:lang w:val="en-US" w:eastAsia="zh-CN"/>
        </w:rPr>
        <w:t>: 859-861 [PMID: 23278675 DOI: 10.1111/bjh.12173]</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19 </w:t>
      </w:r>
      <w:r w:rsidRPr="000D5F6F">
        <w:rPr>
          <w:rFonts w:ascii="Book Antiqua" w:eastAsia="宋体" w:hAnsi="Book Antiqua" w:cs="宋体"/>
          <w:b/>
          <w:bCs/>
          <w:color w:val="000000"/>
          <w:lang w:val="en-US" w:eastAsia="zh-CN"/>
        </w:rPr>
        <w:t>Exner T</w:t>
      </w:r>
      <w:r w:rsidRPr="000D5F6F">
        <w:rPr>
          <w:rFonts w:ascii="Book Antiqua" w:eastAsia="宋体" w:hAnsi="Book Antiqua" w:cs="宋体"/>
          <w:color w:val="000000"/>
          <w:lang w:val="en-US" w:eastAsia="zh-CN"/>
        </w:rPr>
        <w:t>, Ellwood L, Rubie J, Barancewicz A. Testing for new oral anticoagulants with LA-resistant Russells viper venom reagents. An in vitro study. </w:t>
      </w:r>
      <w:r w:rsidRPr="000D5F6F">
        <w:rPr>
          <w:rFonts w:ascii="Book Antiqua" w:eastAsia="宋体" w:hAnsi="Book Antiqua" w:cs="宋体"/>
          <w:i/>
          <w:iCs/>
          <w:color w:val="000000"/>
          <w:lang w:val="en-US" w:eastAsia="zh-CN"/>
        </w:rPr>
        <w:t>Thromb Haemost</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109</w:t>
      </w:r>
      <w:r w:rsidRPr="000D5F6F">
        <w:rPr>
          <w:rFonts w:ascii="Book Antiqua" w:eastAsia="宋体" w:hAnsi="Book Antiqua" w:cs="宋体"/>
          <w:color w:val="000000"/>
          <w:lang w:val="en-US" w:eastAsia="zh-CN"/>
        </w:rPr>
        <w:t>: 762-765 [PMID: 23364321 DOI: 10.1160/TH12-11-0842]</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20 </w:t>
      </w:r>
      <w:r w:rsidRPr="000D5F6F">
        <w:rPr>
          <w:rFonts w:ascii="Book Antiqua" w:eastAsia="宋体" w:hAnsi="Book Antiqua" w:cs="宋体"/>
          <w:b/>
          <w:bCs/>
          <w:color w:val="000000"/>
          <w:lang w:val="en-US" w:eastAsia="zh-CN"/>
        </w:rPr>
        <w:t>Douxfils J</w:t>
      </w:r>
      <w:r w:rsidRPr="000D5F6F">
        <w:rPr>
          <w:rFonts w:ascii="Book Antiqua" w:eastAsia="宋体" w:hAnsi="Book Antiqua" w:cs="宋体"/>
          <w:color w:val="000000"/>
          <w:lang w:val="en-US" w:eastAsia="zh-CN"/>
        </w:rPr>
        <w:t>, Tamigniau A, Chatelain B, Chatelain C, Wallemacq P, Dogné JM, Mullier F. Comparison of calibrated chromogenic anti-Xa assay and PT tests with LC-MS/MS for the therapeutic monitoring of patients treated with rivaroxaban. </w:t>
      </w:r>
      <w:r w:rsidRPr="000D5F6F">
        <w:rPr>
          <w:rFonts w:ascii="Book Antiqua" w:eastAsia="宋体" w:hAnsi="Book Antiqua" w:cs="宋体"/>
          <w:i/>
          <w:iCs/>
          <w:color w:val="000000"/>
          <w:lang w:val="en-US" w:eastAsia="zh-CN"/>
        </w:rPr>
        <w:t>Thromb Haemost</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110</w:t>
      </w:r>
      <w:r w:rsidRPr="000D5F6F">
        <w:rPr>
          <w:rFonts w:ascii="Book Antiqua" w:eastAsia="宋体" w:hAnsi="Book Antiqua" w:cs="宋体"/>
          <w:color w:val="000000"/>
          <w:lang w:val="en-US" w:eastAsia="zh-CN"/>
        </w:rPr>
        <w:t>: 723-731 [PMID: 23846172 DOI: 10.1160/TH13-04-0274]</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21 </w:t>
      </w:r>
      <w:r w:rsidRPr="000D5F6F">
        <w:rPr>
          <w:rFonts w:ascii="Book Antiqua" w:eastAsia="宋体" w:hAnsi="Book Antiqua" w:cs="宋体"/>
          <w:b/>
          <w:bCs/>
          <w:color w:val="000000"/>
          <w:lang w:val="en-US" w:eastAsia="zh-CN"/>
        </w:rPr>
        <w:t>Frost C</w:t>
      </w:r>
      <w:r w:rsidRPr="000D5F6F">
        <w:rPr>
          <w:rFonts w:ascii="Book Antiqua" w:eastAsia="宋体" w:hAnsi="Book Antiqua" w:cs="宋体"/>
          <w:color w:val="000000"/>
          <w:lang w:val="en-US" w:eastAsia="zh-CN"/>
        </w:rPr>
        <w:t>, Nepal S, Wang J, Schuster A, Byon W, Boyd RA, Yu Z, Shenker A, Barrett YC, Mosqueda-Garcia R, Lacreta F. Safety, pharmacokinetics and pharmacodynamics of multiple oral doses of apixaban, a factor Xa inhibitor, in healthy subjects. </w:t>
      </w:r>
      <w:r w:rsidRPr="000D5F6F">
        <w:rPr>
          <w:rFonts w:ascii="Book Antiqua" w:eastAsia="宋体" w:hAnsi="Book Antiqua" w:cs="宋体"/>
          <w:i/>
          <w:iCs/>
          <w:color w:val="000000"/>
          <w:lang w:val="en-US" w:eastAsia="zh-CN"/>
        </w:rPr>
        <w:t>Br J Clin Pharmacol</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76</w:t>
      </w:r>
      <w:r w:rsidRPr="000D5F6F">
        <w:rPr>
          <w:rFonts w:ascii="Book Antiqua" w:eastAsia="宋体" w:hAnsi="Book Antiqua" w:cs="宋体"/>
          <w:color w:val="000000"/>
          <w:lang w:val="en-US" w:eastAsia="zh-CN"/>
        </w:rPr>
        <w:t>: 776-786 [PMID: 23451769 DOI: 10.1111/bcp.12106]</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22 </w:t>
      </w:r>
      <w:r w:rsidRPr="000D5F6F">
        <w:rPr>
          <w:rFonts w:ascii="Book Antiqua" w:eastAsia="宋体" w:hAnsi="Book Antiqua" w:cs="宋体"/>
          <w:b/>
          <w:bCs/>
          <w:color w:val="000000"/>
          <w:lang w:val="en-US" w:eastAsia="zh-CN"/>
        </w:rPr>
        <w:t>Garcia D</w:t>
      </w:r>
      <w:r w:rsidRPr="000D5F6F">
        <w:rPr>
          <w:rFonts w:ascii="Book Antiqua" w:eastAsia="宋体" w:hAnsi="Book Antiqua" w:cs="宋体"/>
          <w:color w:val="000000"/>
          <w:lang w:val="en-US" w:eastAsia="zh-CN"/>
        </w:rPr>
        <w:t>, Barrett YC, Ramacciotti E, Weitz JI. Laboratory assessment of the anticoagulant effects of the next generation of oral anticoagulants. </w:t>
      </w:r>
      <w:r w:rsidRPr="000D5F6F">
        <w:rPr>
          <w:rFonts w:ascii="Book Antiqua" w:eastAsia="宋体" w:hAnsi="Book Antiqua" w:cs="宋体"/>
          <w:i/>
          <w:iCs/>
          <w:color w:val="000000"/>
          <w:lang w:val="en-US" w:eastAsia="zh-CN"/>
        </w:rPr>
        <w:t>J Thromb Haemost</w:t>
      </w:r>
      <w:r w:rsidRPr="000D5F6F">
        <w:rPr>
          <w:rFonts w:ascii="Book Antiqua" w:eastAsia="宋体" w:hAnsi="Book Antiqua" w:cs="宋体"/>
          <w:color w:val="000000"/>
          <w:lang w:val="en-US" w:eastAsia="zh-CN"/>
        </w:rPr>
        <w:t> 2013; </w:t>
      </w:r>
      <w:r w:rsidRPr="000D5F6F">
        <w:rPr>
          <w:rFonts w:ascii="Book Antiqua" w:eastAsia="宋体" w:hAnsi="Book Antiqua" w:cs="宋体"/>
          <w:b/>
          <w:bCs/>
          <w:color w:val="000000"/>
          <w:lang w:val="en-US" w:eastAsia="zh-CN"/>
        </w:rPr>
        <w:t>11</w:t>
      </w:r>
      <w:r w:rsidRPr="000D5F6F">
        <w:rPr>
          <w:rFonts w:ascii="Book Antiqua" w:eastAsia="宋体" w:hAnsi="Book Antiqua" w:cs="宋体"/>
          <w:color w:val="000000"/>
          <w:lang w:val="en-US" w:eastAsia="zh-CN"/>
        </w:rPr>
        <w:t>: 245-252 [PMID: 23216682 DOI: 10.1111/jth.12096]</w:t>
      </w:r>
    </w:p>
    <w:p w:rsidR="004D2ECB" w:rsidRPr="000D5F6F" w:rsidRDefault="004D2ECB" w:rsidP="00D06B71">
      <w:pPr>
        <w:spacing w:line="360" w:lineRule="auto"/>
        <w:jc w:val="both"/>
        <w:rPr>
          <w:rFonts w:ascii="Book Antiqua" w:eastAsia="宋体" w:hAnsi="Book Antiqua" w:cs="宋体"/>
          <w:color w:val="000000"/>
          <w:lang w:val="en-US" w:eastAsia="zh-CN"/>
        </w:rPr>
      </w:pPr>
      <w:r w:rsidRPr="000D5F6F">
        <w:rPr>
          <w:rFonts w:ascii="Book Antiqua" w:eastAsia="宋体" w:hAnsi="Book Antiqua" w:cs="宋体"/>
          <w:color w:val="000000"/>
          <w:lang w:val="en-US" w:eastAsia="zh-CN"/>
        </w:rPr>
        <w:t>23 </w:t>
      </w:r>
      <w:r w:rsidRPr="000D5F6F">
        <w:rPr>
          <w:rFonts w:ascii="Book Antiqua" w:eastAsia="宋体" w:hAnsi="Book Antiqua" w:cs="宋体"/>
          <w:b/>
          <w:bCs/>
          <w:color w:val="000000"/>
          <w:lang w:val="en-US" w:eastAsia="zh-CN"/>
        </w:rPr>
        <w:t>Favaloro EJ</w:t>
      </w:r>
      <w:r w:rsidRPr="000D5F6F">
        <w:rPr>
          <w:rFonts w:ascii="Book Antiqua" w:eastAsia="宋体" w:hAnsi="Book Antiqua" w:cs="宋体"/>
          <w:color w:val="000000"/>
          <w:lang w:val="en-US" w:eastAsia="zh-CN"/>
        </w:rPr>
        <w:t>, Lippi G. The new oral anticoagulants and the future of haemostasis laboratory testing. </w:t>
      </w:r>
      <w:r w:rsidRPr="000D5F6F">
        <w:rPr>
          <w:rFonts w:ascii="Book Antiqua" w:eastAsia="宋体" w:hAnsi="Book Antiqua" w:cs="宋体"/>
          <w:i/>
          <w:iCs/>
          <w:color w:val="000000"/>
          <w:lang w:val="en-US" w:eastAsia="zh-CN"/>
        </w:rPr>
        <w:t xml:space="preserve">Biochem Med </w:t>
      </w:r>
      <w:r w:rsidRPr="000D5F6F">
        <w:rPr>
          <w:rFonts w:ascii="Book Antiqua" w:eastAsia="宋体" w:hAnsi="Book Antiqua" w:cs="宋体"/>
          <w:iCs/>
          <w:color w:val="000000"/>
          <w:lang w:val="en-US" w:eastAsia="zh-CN"/>
        </w:rPr>
        <w:t>(Zagreb)</w:t>
      </w:r>
      <w:r w:rsidRPr="000D5F6F">
        <w:rPr>
          <w:rFonts w:ascii="Book Antiqua" w:eastAsia="宋体" w:hAnsi="Book Antiqua" w:cs="宋体"/>
          <w:color w:val="000000"/>
          <w:lang w:val="en-US" w:eastAsia="zh-CN"/>
        </w:rPr>
        <w:t> 2012; </w:t>
      </w:r>
      <w:r w:rsidRPr="000D5F6F">
        <w:rPr>
          <w:rFonts w:ascii="Book Antiqua" w:eastAsia="宋体" w:hAnsi="Book Antiqua" w:cs="宋体"/>
          <w:b/>
          <w:bCs/>
          <w:color w:val="000000"/>
          <w:lang w:val="en-US" w:eastAsia="zh-CN"/>
        </w:rPr>
        <w:t>22</w:t>
      </w:r>
      <w:r w:rsidRPr="000D5F6F">
        <w:rPr>
          <w:rFonts w:ascii="Book Antiqua" w:eastAsia="宋体" w:hAnsi="Book Antiqua" w:cs="宋体"/>
          <w:color w:val="000000"/>
          <w:lang w:val="en-US" w:eastAsia="zh-CN"/>
        </w:rPr>
        <w:t>: 329-341 [PMID: 23092064 DOI: 10.11613/BM.2012.035]</w:t>
      </w:r>
    </w:p>
    <w:p w:rsidR="004D2ECB" w:rsidRPr="000D5F6F" w:rsidRDefault="004D2ECB" w:rsidP="00D06B71">
      <w:pPr>
        <w:spacing w:line="360" w:lineRule="auto"/>
        <w:jc w:val="both"/>
        <w:rPr>
          <w:rFonts w:ascii="Book Antiqua" w:eastAsia="宋体" w:hAnsi="Book Antiqua" w:cs="Book Antiqua"/>
          <w:lang w:val="en-GB" w:eastAsia="zh-CN"/>
        </w:rPr>
      </w:pPr>
    </w:p>
    <w:p w:rsidR="004D2ECB" w:rsidRPr="000D5F6F" w:rsidRDefault="004D2ECB" w:rsidP="002B1010">
      <w:pPr>
        <w:wordWrap w:val="0"/>
        <w:spacing w:line="360" w:lineRule="auto"/>
        <w:ind w:left="31680" w:hangingChars="200" w:firstLine="31680"/>
        <w:jc w:val="right"/>
        <w:rPr>
          <w:rFonts w:ascii="Book Antiqua" w:hAnsi="Book Antiqua"/>
          <w:color w:val="000000"/>
        </w:rPr>
      </w:pPr>
      <w:r w:rsidRPr="000D5F6F">
        <w:rPr>
          <w:rFonts w:ascii="Book Antiqua" w:hAnsi="Book Antiqua"/>
          <w:b/>
        </w:rPr>
        <w:t>P- Reviewer:</w:t>
      </w:r>
      <w:r w:rsidRPr="000D5F6F">
        <w:rPr>
          <w:rFonts w:ascii="Book Antiqua" w:eastAsia="宋体" w:hAnsi="Book Antiqua"/>
          <w:b/>
          <w:lang w:eastAsia="zh-CN"/>
        </w:rPr>
        <w:t xml:space="preserve"> </w:t>
      </w:r>
      <w:r w:rsidRPr="000D5F6F">
        <w:rPr>
          <w:rFonts w:ascii="Book Antiqua" w:eastAsia="宋体" w:hAnsi="Book Antiqua" w:cs="宋体"/>
          <w:color w:val="000000"/>
          <w:lang w:val="en-US" w:eastAsia="zh-CN"/>
        </w:rPr>
        <w:t xml:space="preserve">Fukuda S, Redondo PC </w:t>
      </w:r>
      <w:r w:rsidRPr="000D5F6F">
        <w:rPr>
          <w:rFonts w:ascii="Book Antiqua" w:hAnsi="Book Antiqua"/>
          <w:color w:val="000000"/>
        </w:rPr>
        <w:t xml:space="preserve">  </w:t>
      </w:r>
      <w:r w:rsidRPr="000D5F6F">
        <w:rPr>
          <w:rFonts w:ascii="Book Antiqua" w:hAnsi="Book Antiqua"/>
          <w:b/>
        </w:rPr>
        <w:t>S- Editor:</w:t>
      </w:r>
      <w:r w:rsidRPr="000D5F6F">
        <w:rPr>
          <w:rFonts w:ascii="Book Antiqua" w:hAnsi="Book Antiqua"/>
        </w:rPr>
        <w:t xml:space="preserve"> Gong XM</w:t>
      </w:r>
    </w:p>
    <w:p w:rsidR="004D2ECB" w:rsidRPr="000D5F6F" w:rsidRDefault="004D2ECB" w:rsidP="002B1010">
      <w:pPr>
        <w:spacing w:line="360" w:lineRule="auto"/>
        <w:ind w:left="31680" w:hangingChars="200" w:firstLine="31680"/>
        <w:jc w:val="right"/>
        <w:rPr>
          <w:rFonts w:ascii="Book Antiqua" w:hAnsi="Book Antiqua"/>
          <w:b/>
        </w:rPr>
      </w:pPr>
      <w:r w:rsidRPr="000D5F6F">
        <w:rPr>
          <w:rFonts w:ascii="Book Antiqua" w:hAnsi="Book Antiqua"/>
          <w:b/>
        </w:rPr>
        <w:t xml:space="preserve"> L- Editor:</w:t>
      </w:r>
      <w:r w:rsidRPr="000D5F6F">
        <w:rPr>
          <w:rFonts w:ascii="Book Antiqua" w:hAnsi="Book Antiqua"/>
        </w:rPr>
        <w:t xml:space="preserve"> </w:t>
      </w:r>
      <w:r w:rsidRPr="000D5F6F">
        <w:rPr>
          <w:rFonts w:ascii="Book Antiqua" w:hAnsi="Book Antiqua"/>
          <w:b/>
        </w:rPr>
        <w:t>E- Editor:</w:t>
      </w:r>
    </w:p>
    <w:p w:rsidR="004D2ECB" w:rsidRPr="000D5F6F" w:rsidRDefault="004D2ECB" w:rsidP="00D06B71">
      <w:pPr>
        <w:spacing w:line="360" w:lineRule="auto"/>
        <w:jc w:val="both"/>
        <w:rPr>
          <w:rFonts w:ascii="Book Antiqua" w:eastAsia="宋体" w:hAnsi="Book Antiqua" w:cs="Book Antiqua"/>
          <w:lang w:val="en-GB" w:eastAsia="zh-CN"/>
        </w:rPr>
      </w:pPr>
    </w:p>
    <w:p w:rsidR="004D2ECB" w:rsidRPr="000D5F6F" w:rsidRDefault="004D2ECB" w:rsidP="00D06B71">
      <w:pPr>
        <w:spacing w:line="360" w:lineRule="auto"/>
        <w:jc w:val="both"/>
        <w:rPr>
          <w:rFonts w:ascii="Book Antiqua" w:hAnsi="Book Antiqua" w:cs="Book Antiqua"/>
          <w:b/>
          <w:lang w:val="en-GB"/>
        </w:rPr>
      </w:pPr>
      <w:r w:rsidRPr="000D5F6F">
        <w:rPr>
          <w:rFonts w:ascii="Book Antiqua" w:hAnsi="Book Antiqua" w:cs="Book Antiqua"/>
          <w:lang w:val="en-GB"/>
        </w:rPr>
        <w:br w:type="page"/>
      </w:r>
      <w:r w:rsidRPr="000D5F6F">
        <w:rPr>
          <w:rFonts w:ascii="Book Antiqua" w:hAnsi="Book Antiqua" w:cs="Book Antiqua"/>
          <w:b/>
          <w:lang w:val="en-GB"/>
        </w:rPr>
        <w:t>Table 1 Pharmacokinetic features of new oral anticoagulants</w:t>
      </w:r>
      <w:r w:rsidRPr="000D5F6F">
        <w:rPr>
          <w:rFonts w:ascii="Book Antiqua" w:hAnsi="Book Antiqua" w:cs="Book Antiqua"/>
          <w:b/>
          <w:vertAlign w:val="superscript"/>
          <w:lang w:val="en-GB"/>
        </w:rPr>
        <w:t>[11,12]</w:t>
      </w:r>
    </w:p>
    <w:tbl>
      <w:tblPr>
        <w:tblW w:w="8798" w:type="dxa"/>
        <w:tblInd w:w="-885" w:type="dxa"/>
        <w:tblBorders>
          <w:top w:val="single" w:sz="4" w:space="0" w:color="auto"/>
          <w:left w:val="single" w:sz="4" w:space="0" w:color="auto"/>
          <w:bottom w:val="single" w:sz="4" w:space="0" w:color="auto"/>
          <w:right w:val="single" w:sz="4" w:space="0" w:color="auto"/>
        </w:tblBorders>
        <w:tblLook w:val="00A0"/>
      </w:tblPr>
      <w:tblGrid>
        <w:gridCol w:w="1771"/>
        <w:gridCol w:w="2342"/>
        <w:gridCol w:w="2342"/>
        <w:gridCol w:w="2343"/>
      </w:tblGrid>
      <w:tr w:rsidR="004D2ECB" w:rsidRPr="000D5F6F" w:rsidTr="00610253">
        <w:tc>
          <w:tcPr>
            <w:tcW w:w="1771" w:type="dxa"/>
            <w:tcBorders>
              <w:top w:val="single" w:sz="4" w:space="0" w:color="auto"/>
            </w:tcBorders>
          </w:tcPr>
          <w:p w:rsidR="004D2ECB" w:rsidRPr="000D5F6F" w:rsidRDefault="004D2ECB" w:rsidP="00D06B71">
            <w:pPr>
              <w:spacing w:line="360" w:lineRule="auto"/>
              <w:jc w:val="both"/>
              <w:rPr>
                <w:rFonts w:ascii="Book Antiqua" w:hAnsi="Book Antiqua" w:cs="Book Antiqua"/>
                <w:lang w:val="en-GB"/>
              </w:rPr>
            </w:pPr>
          </w:p>
        </w:tc>
        <w:tc>
          <w:tcPr>
            <w:tcW w:w="2342" w:type="dxa"/>
            <w:tcBorders>
              <w:top w:val="single" w:sz="4" w:space="0" w:color="auto"/>
            </w:tcBorders>
          </w:tcPr>
          <w:p w:rsidR="004D2ECB" w:rsidRPr="000D5F6F" w:rsidRDefault="004D2ECB" w:rsidP="00D06B71">
            <w:pPr>
              <w:spacing w:line="360" w:lineRule="auto"/>
              <w:jc w:val="both"/>
              <w:rPr>
                <w:rFonts w:ascii="Book Antiqua" w:hAnsi="Book Antiqua" w:cs="Book Antiqua"/>
                <w:b/>
                <w:lang w:val="en-GB"/>
              </w:rPr>
            </w:pPr>
            <w:r w:rsidRPr="000D5F6F">
              <w:rPr>
                <w:rFonts w:ascii="Book Antiqua" w:hAnsi="Book Antiqua" w:cs="Book Antiqua"/>
                <w:b/>
                <w:lang w:val="en-GB"/>
              </w:rPr>
              <w:t>Apixaban</w:t>
            </w:r>
          </w:p>
        </w:tc>
        <w:tc>
          <w:tcPr>
            <w:tcW w:w="2342" w:type="dxa"/>
            <w:tcBorders>
              <w:top w:val="single" w:sz="4" w:space="0" w:color="auto"/>
            </w:tcBorders>
          </w:tcPr>
          <w:p w:rsidR="004D2ECB" w:rsidRPr="000D5F6F" w:rsidRDefault="004D2ECB" w:rsidP="00D06B71">
            <w:pPr>
              <w:spacing w:line="360" w:lineRule="auto"/>
              <w:jc w:val="both"/>
              <w:rPr>
                <w:rFonts w:ascii="Book Antiqua" w:hAnsi="Book Antiqua" w:cs="Book Antiqua"/>
                <w:b/>
                <w:lang w:val="en-GB"/>
              </w:rPr>
            </w:pPr>
            <w:r w:rsidRPr="000D5F6F">
              <w:rPr>
                <w:rFonts w:ascii="Book Antiqua" w:hAnsi="Book Antiqua" w:cs="Book Antiqua"/>
                <w:b/>
                <w:lang w:val="en-GB"/>
              </w:rPr>
              <w:t>Rivaroxaban</w:t>
            </w:r>
          </w:p>
        </w:tc>
        <w:tc>
          <w:tcPr>
            <w:tcW w:w="2343" w:type="dxa"/>
            <w:tcBorders>
              <w:top w:val="single" w:sz="4" w:space="0" w:color="auto"/>
            </w:tcBorders>
          </w:tcPr>
          <w:p w:rsidR="004D2ECB" w:rsidRPr="000D5F6F" w:rsidRDefault="004D2ECB" w:rsidP="00D06B71">
            <w:pPr>
              <w:spacing w:line="360" w:lineRule="auto"/>
              <w:jc w:val="both"/>
              <w:rPr>
                <w:rFonts w:ascii="Book Antiqua" w:hAnsi="Book Antiqua" w:cs="Book Antiqua"/>
                <w:b/>
                <w:lang w:val="en-GB"/>
              </w:rPr>
            </w:pPr>
            <w:r w:rsidRPr="000D5F6F">
              <w:rPr>
                <w:rFonts w:ascii="Book Antiqua" w:hAnsi="Book Antiqua" w:cs="Book Antiqua"/>
                <w:b/>
                <w:lang w:val="en-GB"/>
              </w:rPr>
              <w:t>Dabigatran</w:t>
            </w:r>
          </w:p>
          <w:p w:rsidR="004D2ECB" w:rsidRPr="000D5F6F" w:rsidRDefault="004D2ECB" w:rsidP="00D06B71">
            <w:pPr>
              <w:spacing w:line="360" w:lineRule="auto"/>
              <w:jc w:val="both"/>
              <w:rPr>
                <w:rFonts w:ascii="Book Antiqua" w:hAnsi="Book Antiqua" w:cs="Book Antiqua"/>
                <w:b/>
                <w:lang w:val="en-GB"/>
              </w:rPr>
            </w:pPr>
          </w:p>
        </w:tc>
      </w:tr>
      <w:tr w:rsidR="004D2ECB" w:rsidRPr="000D5F6F" w:rsidTr="00610253">
        <w:tc>
          <w:tcPr>
            <w:tcW w:w="1771"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Posology</w:t>
            </w:r>
          </w:p>
          <w:p w:rsidR="004D2ECB" w:rsidRPr="000D5F6F" w:rsidRDefault="004D2ECB" w:rsidP="00D06B71">
            <w:pPr>
              <w:spacing w:line="360" w:lineRule="auto"/>
              <w:jc w:val="both"/>
              <w:rPr>
                <w:rFonts w:ascii="Book Antiqua" w:hAnsi="Book Antiqua" w:cs="Book Antiqua"/>
                <w:lang w:val="en-GB"/>
              </w:rPr>
            </w:pPr>
          </w:p>
        </w:tc>
        <w:tc>
          <w:tcPr>
            <w:tcW w:w="2342"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Twice daily</w:t>
            </w:r>
          </w:p>
        </w:tc>
        <w:tc>
          <w:tcPr>
            <w:tcW w:w="2342"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Once daily</w:t>
            </w:r>
          </w:p>
        </w:tc>
        <w:tc>
          <w:tcPr>
            <w:tcW w:w="2343"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Twice daily</w:t>
            </w:r>
          </w:p>
        </w:tc>
      </w:tr>
      <w:tr w:rsidR="004D2ECB" w:rsidRPr="000D5F6F" w:rsidTr="00610253">
        <w:tc>
          <w:tcPr>
            <w:tcW w:w="1771"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 xml:space="preserve">Oral bioavailability </w:t>
            </w:r>
          </w:p>
          <w:p w:rsidR="004D2ECB" w:rsidRPr="000D5F6F" w:rsidRDefault="004D2ECB" w:rsidP="00D06B71">
            <w:pPr>
              <w:spacing w:line="360" w:lineRule="auto"/>
              <w:jc w:val="both"/>
              <w:rPr>
                <w:rFonts w:ascii="Book Antiqua" w:hAnsi="Book Antiqua" w:cs="Book Antiqua"/>
                <w:lang w:val="en-GB"/>
              </w:rPr>
            </w:pPr>
          </w:p>
        </w:tc>
        <w:tc>
          <w:tcPr>
            <w:tcW w:w="2342"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45%</w:t>
            </w:r>
          </w:p>
        </w:tc>
        <w:tc>
          <w:tcPr>
            <w:tcW w:w="2342"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&gt; 80%</w:t>
            </w:r>
          </w:p>
        </w:tc>
        <w:tc>
          <w:tcPr>
            <w:tcW w:w="2343"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6%</w:t>
            </w:r>
          </w:p>
        </w:tc>
      </w:tr>
      <w:tr w:rsidR="004D2ECB" w:rsidRPr="000D5F6F" w:rsidTr="00610253">
        <w:tc>
          <w:tcPr>
            <w:tcW w:w="1771"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Half life</w:t>
            </w:r>
          </w:p>
        </w:tc>
        <w:tc>
          <w:tcPr>
            <w:tcW w:w="2342"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12 h</w:t>
            </w:r>
          </w:p>
        </w:tc>
        <w:tc>
          <w:tcPr>
            <w:tcW w:w="2342"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7-11 h</w:t>
            </w:r>
          </w:p>
          <w:p w:rsidR="004D2ECB" w:rsidRPr="000D5F6F" w:rsidRDefault="004D2ECB" w:rsidP="00D06B71">
            <w:pPr>
              <w:spacing w:line="360" w:lineRule="auto"/>
              <w:jc w:val="both"/>
              <w:rPr>
                <w:rFonts w:ascii="Book Antiqua" w:hAnsi="Book Antiqua" w:cs="Book Antiqua"/>
                <w:lang w:val="en-GB"/>
              </w:rPr>
            </w:pPr>
          </w:p>
        </w:tc>
        <w:tc>
          <w:tcPr>
            <w:tcW w:w="2343" w:type="dxa"/>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12-17 h</w:t>
            </w:r>
          </w:p>
        </w:tc>
      </w:tr>
      <w:tr w:rsidR="004D2ECB" w:rsidRPr="000D5F6F" w:rsidTr="00610253">
        <w:tc>
          <w:tcPr>
            <w:tcW w:w="1771" w:type="dxa"/>
            <w:tcBorders>
              <w:bottom w:val="single" w:sz="4" w:space="0" w:color="auto"/>
            </w:tcBorders>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Excretion</w:t>
            </w:r>
          </w:p>
        </w:tc>
        <w:tc>
          <w:tcPr>
            <w:tcW w:w="2342" w:type="dxa"/>
            <w:tcBorders>
              <w:bottom w:val="single" w:sz="4" w:space="0" w:color="auto"/>
            </w:tcBorders>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25% renal</w:t>
            </w:r>
          </w:p>
        </w:tc>
        <w:tc>
          <w:tcPr>
            <w:tcW w:w="2342" w:type="dxa"/>
            <w:tcBorders>
              <w:bottom w:val="single" w:sz="4" w:space="0" w:color="auto"/>
            </w:tcBorders>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66% renal (active and inactive)</w:t>
            </w:r>
          </w:p>
        </w:tc>
        <w:tc>
          <w:tcPr>
            <w:tcW w:w="2343" w:type="dxa"/>
            <w:tcBorders>
              <w:bottom w:val="single" w:sz="4" w:space="0" w:color="auto"/>
            </w:tcBorders>
          </w:tcPr>
          <w:p w:rsidR="004D2ECB" w:rsidRPr="000D5F6F" w:rsidRDefault="004D2ECB" w:rsidP="00D06B71">
            <w:pPr>
              <w:spacing w:line="360" w:lineRule="auto"/>
              <w:jc w:val="both"/>
              <w:rPr>
                <w:rFonts w:ascii="Book Antiqua" w:hAnsi="Book Antiqua" w:cs="Book Antiqua"/>
                <w:lang w:val="en-GB"/>
              </w:rPr>
            </w:pPr>
            <w:r w:rsidRPr="000D5F6F">
              <w:rPr>
                <w:rFonts w:ascii="Book Antiqua" w:hAnsi="Book Antiqua" w:cs="Book Antiqua"/>
                <w:lang w:val="en-GB"/>
              </w:rPr>
              <w:t>80% renal</w:t>
            </w:r>
          </w:p>
        </w:tc>
      </w:tr>
    </w:tbl>
    <w:p w:rsidR="004D2ECB" w:rsidRPr="000D5F6F" w:rsidRDefault="004D2ECB" w:rsidP="00D06B71">
      <w:pPr>
        <w:spacing w:line="360" w:lineRule="auto"/>
        <w:jc w:val="both"/>
        <w:rPr>
          <w:rFonts w:ascii="Book Antiqua" w:eastAsia="宋体" w:hAnsi="Book Antiqua" w:cs="Book Antiqua"/>
          <w:b/>
          <w:lang w:val="en-GB" w:eastAsia="zh-CN"/>
        </w:rPr>
      </w:pPr>
      <w:r w:rsidRPr="000D5F6F">
        <w:rPr>
          <w:rFonts w:ascii="Book Antiqua" w:hAnsi="Book Antiqua" w:cs="Book Antiqua"/>
          <w:lang w:val="en-GB"/>
        </w:rPr>
        <w:br w:type="page"/>
      </w:r>
      <w:r w:rsidRPr="000D5F6F">
        <w:rPr>
          <w:rFonts w:ascii="Book Antiqua" w:hAnsi="Book Antiqua" w:cs="Book Antiqua"/>
          <w:b/>
          <w:lang w:val="en-GB"/>
        </w:rPr>
        <w:t>Table 2 Available coagulation tests to determine the anticoagulant effect of oral anticoagulants</w:t>
      </w:r>
    </w:p>
    <w:tbl>
      <w:tblPr>
        <w:tblpPr w:leftFromText="180" w:rightFromText="180" w:vertAnchor="text" w:horzAnchor="margin" w:tblpY="29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2"/>
        <w:gridCol w:w="1694"/>
        <w:gridCol w:w="2541"/>
        <w:gridCol w:w="2848"/>
      </w:tblGrid>
      <w:tr w:rsidR="004D2ECB" w:rsidRPr="000D5F6F" w:rsidTr="00C34462">
        <w:tc>
          <w:tcPr>
            <w:tcW w:w="2982" w:type="dxa"/>
            <w:tcBorders>
              <w:right w:val="nil"/>
            </w:tcBorders>
          </w:tcPr>
          <w:p w:rsidR="004D2ECB" w:rsidRPr="000D5F6F" w:rsidRDefault="004D2ECB" w:rsidP="00C34462">
            <w:pPr>
              <w:spacing w:line="360" w:lineRule="auto"/>
              <w:jc w:val="both"/>
              <w:rPr>
                <w:rFonts w:ascii="Book Antiqua" w:hAnsi="Book Antiqua" w:cs="Book Antiqua"/>
                <w:b/>
                <w:lang w:val="en-GB"/>
              </w:rPr>
            </w:pPr>
            <w:r w:rsidRPr="000D5F6F">
              <w:rPr>
                <w:rFonts w:ascii="Book Antiqua" w:hAnsi="Book Antiqua" w:cs="Book Antiqua"/>
                <w:b/>
                <w:lang w:val="en-GB"/>
              </w:rPr>
              <w:t>Drug</w:t>
            </w:r>
          </w:p>
        </w:tc>
        <w:tc>
          <w:tcPr>
            <w:tcW w:w="1694" w:type="dxa"/>
            <w:tcBorders>
              <w:left w:val="nil"/>
              <w:right w:val="nil"/>
            </w:tcBorders>
          </w:tcPr>
          <w:p w:rsidR="004D2ECB" w:rsidRPr="000D5F6F" w:rsidRDefault="004D2ECB" w:rsidP="00C34462">
            <w:pPr>
              <w:spacing w:line="360" w:lineRule="auto"/>
              <w:jc w:val="both"/>
              <w:rPr>
                <w:rFonts w:ascii="Book Antiqua" w:hAnsi="Book Antiqua" w:cs="Book Antiqua"/>
                <w:b/>
                <w:lang w:val="en-GB"/>
              </w:rPr>
            </w:pPr>
            <w:r w:rsidRPr="000D5F6F">
              <w:rPr>
                <w:rFonts w:ascii="Book Antiqua" w:hAnsi="Book Antiqua" w:cs="Book Antiqua"/>
                <w:b/>
                <w:lang w:val="en-GB"/>
              </w:rPr>
              <w:t>Coagulation test</w:t>
            </w:r>
          </w:p>
        </w:tc>
        <w:tc>
          <w:tcPr>
            <w:tcW w:w="2541" w:type="dxa"/>
            <w:tcBorders>
              <w:left w:val="nil"/>
              <w:right w:val="nil"/>
            </w:tcBorders>
          </w:tcPr>
          <w:p w:rsidR="004D2ECB" w:rsidRPr="000D5F6F" w:rsidRDefault="004D2ECB" w:rsidP="00C34462">
            <w:pPr>
              <w:spacing w:line="360" w:lineRule="auto"/>
              <w:jc w:val="both"/>
              <w:rPr>
                <w:rFonts w:ascii="Book Antiqua" w:hAnsi="Book Antiqua" w:cs="Book Antiqua"/>
                <w:b/>
                <w:lang w:val="en-GB"/>
              </w:rPr>
            </w:pPr>
            <w:r w:rsidRPr="000D5F6F">
              <w:rPr>
                <w:rFonts w:ascii="Book Antiqua" w:hAnsi="Book Antiqua" w:cs="Book Antiqua"/>
                <w:b/>
                <w:lang w:val="en-GB"/>
              </w:rPr>
              <w:t>Pros</w:t>
            </w:r>
          </w:p>
        </w:tc>
        <w:tc>
          <w:tcPr>
            <w:tcW w:w="2848" w:type="dxa"/>
            <w:tcBorders>
              <w:left w:val="nil"/>
            </w:tcBorders>
          </w:tcPr>
          <w:p w:rsidR="004D2ECB" w:rsidRPr="000D5F6F" w:rsidRDefault="004D2ECB" w:rsidP="00C34462">
            <w:pPr>
              <w:spacing w:line="360" w:lineRule="auto"/>
              <w:jc w:val="both"/>
              <w:rPr>
                <w:rFonts w:ascii="Book Antiqua" w:hAnsi="Book Antiqua" w:cs="Book Antiqua"/>
                <w:b/>
                <w:lang w:val="en-GB"/>
              </w:rPr>
            </w:pPr>
            <w:r w:rsidRPr="000D5F6F">
              <w:rPr>
                <w:rFonts w:ascii="Book Antiqua" w:hAnsi="Book Antiqua" w:cs="Book Antiqua"/>
                <w:b/>
                <w:lang w:val="en-GB"/>
              </w:rPr>
              <w:t>Cons</w:t>
            </w:r>
          </w:p>
        </w:tc>
      </w:tr>
      <w:tr w:rsidR="004D2ECB" w:rsidRPr="000D5F6F" w:rsidTr="00C34462">
        <w:tc>
          <w:tcPr>
            <w:tcW w:w="2982" w:type="dxa"/>
            <w:vMerge w:val="restart"/>
            <w:tcBorders>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Dabigatran</w:t>
            </w:r>
          </w:p>
        </w:tc>
        <w:tc>
          <w:tcPr>
            <w:tcW w:w="1694" w:type="dxa"/>
            <w:tcBorders>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aPTT</w:t>
            </w:r>
          </w:p>
        </w:tc>
        <w:tc>
          <w:tcPr>
            <w:tcW w:w="2541" w:type="dxa"/>
            <w:tcBorders>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Highly available</w:t>
            </w:r>
          </w:p>
        </w:tc>
        <w:tc>
          <w:tcPr>
            <w:tcW w:w="2848" w:type="dxa"/>
            <w:tcBorders>
              <w:left w:val="nil"/>
              <w:bottom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Do not reflect the intensity of coagulation</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p w:rsidR="004D2ECB" w:rsidRPr="000D5F6F" w:rsidRDefault="004D2ECB" w:rsidP="00C34462">
            <w:pPr>
              <w:spacing w:line="360" w:lineRule="auto"/>
              <w:jc w:val="both"/>
              <w:rPr>
                <w:rFonts w:ascii="Book Antiqua" w:hAnsi="Book Antiqua" w:cs="Book Antiqua"/>
                <w:lang w:val="en-GB"/>
              </w:rPr>
            </w:pPr>
          </w:p>
        </w:tc>
      </w:tr>
      <w:tr w:rsidR="004D2ECB" w:rsidRPr="000D5F6F" w:rsidTr="00C34462">
        <w:tc>
          <w:tcPr>
            <w:tcW w:w="2982" w:type="dxa"/>
            <w:vMerge/>
            <w:tcBorders>
              <w:right w:val="nil"/>
            </w:tcBorders>
          </w:tcPr>
          <w:p w:rsidR="004D2ECB" w:rsidRPr="000D5F6F" w:rsidRDefault="004D2ECB" w:rsidP="00C34462">
            <w:pPr>
              <w:spacing w:line="360" w:lineRule="auto"/>
              <w:jc w:val="both"/>
              <w:rPr>
                <w:rFonts w:ascii="Book Antiqua" w:hAnsi="Book Antiqua" w:cs="Book Antiqua"/>
                <w:lang w:val="en-GB"/>
              </w:rPr>
            </w:pPr>
          </w:p>
        </w:tc>
        <w:tc>
          <w:tcPr>
            <w:tcW w:w="1694"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TT</w:t>
            </w:r>
          </w:p>
        </w:tc>
        <w:tc>
          <w:tcPr>
            <w:tcW w:w="2541"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Highly available</w:t>
            </w:r>
          </w:p>
        </w:tc>
        <w:tc>
          <w:tcPr>
            <w:tcW w:w="2848" w:type="dxa"/>
            <w:tcBorders>
              <w:top w:val="nil"/>
              <w:left w:val="nil"/>
              <w:bottom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It only determines the effect of dabigatran but lacks specificity</w:t>
            </w:r>
          </w:p>
          <w:p w:rsidR="004D2ECB" w:rsidRPr="000D5F6F" w:rsidRDefault="004D2ECB" w:rsidP="00C34462">
            <w:pPr>
              <w:spacing w:line="360" w:lineRule="auto"/>
              <w:jc w:val="both"/>
              <w:rPr>
                <w:rFonts w:ascii="Book Antiqua" w:hAnsi="Book Antiqua" w:cs="Book Antiqua"/>
                <w:lang w:val="en-GB"/>
              </w:rPr>
            </w:pPr>
          </w:p>
        </w:tc>
      </w:tr>
      <w:tr w:rsidR="004D2ECB" w:rsidRPr="000D5F6F" w:rsidTr="00C34462">
        <w:tc>
          <w:tcPr>
            <w:tcW w:w="2982" w:type="dxa"/>
            <w:vMerge/>
            <w:tcBorders>
              <w:right w:val="nil"/>
            </w:tcBorders>
          </w:tcPr>
          <w:p w:rsidR="004D2ECB" w:rsidRPr="000D5F6F" w:rsidRDefault="004D2ECB" w:rsidP="00C34462">
            <w:pPr>
              <w:spacing w:line="360" w:lineRule="auto"/>
              <w:jc w:val="both"/>
              <w:rPr>
                <w:rFonts w:ascii="Book Antiqua" w:hAnsi="Book Antiqua" w:cs="Book Antiqua"/>
                <w:lang w:val="en-GB"/>
              </w:rPr>
            </w:pPr>
          </w:p>
        </w:tc>
        <w:tc>
          <w:tcPr>
            <w:tcW w:w="1694"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dTT</w:t>
            </w:r>
          </w:p>
        </w:tc>
        <w:tc>
          <w:tcPr>
            <w:tcW w:w="2541"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Very accurate and precise to estimates plasma concentrations of dabigatran</w:t>
            </w:r>
          </w:p>
        </w:tc>
        <w:tc>
          <w:tcPr>
            <w:tcW w:w="2848" w:type="dxa"/>
            <w:tcBorders>
              <w:top w:val="nil"/>
              <w:left w:val="nil"/>
              <w:bottom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Requires specific calibrators and controls in specialized laboratories with trained personal</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p w:rsidR="004D2ECB" w:rsidRPr="000D5F6F" w:rsidRDefault="004D2ECB" w:rsidP="00C34462">
            <w:pPr>
              <w:spacing w:line="360" w:lineRule="auto"/>
              <w:jc w:val="both"/>
              <w:rPr>
                <w:rFonts w:ascii="Book Antiqua" w:hAnsi="Book Antiqua" w:cs="Book Antiqua"/>
                <w:lang w:val="en-GB"/>
              </w:rPr>
            </w:pPr>
          </w:p>
        </w:tc>
      </w:tr>
      <w:tr w:rsidR="004D2ECB" w:rsidRPr="000D5F6F" w:rsidTr="00C34462">
        <w:tc>
          <w:tcPr>
            <w:tcW w:w="2982" w:type="dxa"/>
            <w:vMerge/>
            <w:tcBorders>
              <w:right w:val="nil"/>
            </w:tcBorders>
          </w:tcPr>
          <w:p w:rsidR="004D2ECB" w:rsidRPr="000D5F6F" w:rsidRDefault="004D2ECB" w:rsidP="00C34462">
            <w:pPr>
              <w:spacing w:line="360" w:lineRule="auto"/>
              <w:jc w:val="both"/>
              <w:rPr>
                <w:rFonts w:ascii="Book Antiqua" w:hAnsi="Book Antiqua" w:cs="Book Antiqua"/>
                <w:lang w:val="en-GB"/>
              </w:rPr>
            </w:pPr>
          </w:p>
        </w:tc>
        <w:tc>
          <w:tcPr>
            <w:tcW w:w="1694"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ECT</w:t>
            </w:r>
          </w:p>
        </w:tc>
        <w:tc>
          <w:tcPr>
            <w:tcW w:w="2541"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p>
        </w:tc>
        <w:tc>
          <w:tcPr>
            <w:tcW w:w="2848" w:type="dxa"/>
            <w:tcBorders>
              <w:top w:val="nil"/>
              <w:left w:val="nil"/>
              <w:bottom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Requires specific calibrators and controls in specialized laboratories with trained personal</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Limited standardization and validation required</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Interlot variability reported</w:t>
            </w:r>
          </w:p>
          <w:p w:rsidR="004D2ECB" w:rsidRPr="000D5F6F" w:rsidRDefault="004D2ECB" w:rsidP="00C34462">
            <w:pPr>
              <w:spacing w:line="360" w:lineRule="auto"/>
              <w:jc w:val="both"/>
              <w:rPr>
                <w:rFonts w:ascii="Book Antiqua" w:hAnsi="Book Antiqua" w:cs="Book Antiqua"/>
                <w:lang w:val="en-GB"/>
              </w:rPr>
            </w:pPr>
          </w:p>
        </w:tc>
      </w:tr>
      <w:tr w:rsidR="004D2ECB" w:rsidRPr="000D5F6F" w:rsidTr="00C34462">
        <w:tc>
          <w:tcPr>
            <w:tcW w:w="2982" w:type="dxa"/>
            <w:vMerge/>
            <w:tcBorders>
              <w:right w:val="nil"/>
            </w:tcBorders>
          </w:tcPr>
          <w:p w:rsidR="004D2ECB" w:rsidRPr="000D5F6F" w:rsidRDefault="004D2ECB" w:rsidP="00C34462">
            <w:pPr>
              <w:spacing w:line="360" w:lineRule="auto"/>
              <w:jc w:val="both"/>
              <w:rPr>
                <w:rFonts w:ascii="Book Antiqua" w:hAnsi="Book Antiqua" w:cs="Book Antiqua"/>
                <w:lang w:val="en-GB"/>
              </w:rPr>
            </w:pPr>
          </w:p>
        </w:tc>
        <w:tc>
          <w:tcPr>
            <w:tcW w:w="1694"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ECA</w:t>
            </w:r>
          </w:p>
        </w:tc>
        <w:tc>
          <w:tcPr>
            <w:tcW w:w="2541" w:type="dxa"/>
            <w:tcBorders>
              <w:top w:val="nil"/>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Very accurate and precise to estimates plasma concentrations of dabigatran</w:t>
            </w:r>
          </w:p>
        </w:tc>
        <w:tc>
          <w:tcPr>
            <w:tcW w:w="2848" w:type="dxa"/>
            <w:tcBorders>
              <w:top w:val="nil"/>
              <w:left w:val="nil"/>
              <w:bottom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Requires specific calibrators and controls in specialized laboratories with trained personal</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p w:rsidR="004D2ECB" w:rsidRPr="000D5F6F" w:rsidRDefault="004D2ECB" w:rsidP="00C34462">
            <w:pPr>
              <w:spacing w:line="360" w:lineRule="auto"/>
              <w:jc w:val="both"/>
              <w:rPr>
                <w:rFonts w:ascii="Book Antiqua" w:hAnsi="Book Antiqua" w:cs="Book Antiqua"/>
                <w:lang w:val="en-GB"/>
              </w:rPr>
            </w:pPr>
          </w:p>
        </w:tc>
      </w:tr>
      <w:tr w:rsidR="004D2ECB" w:rsidRPr="000D5F6F" w:rsidTr="00C34462">
        <w:tc>
          <w:tcPr>
            <w:tcW w:w="2982" w:type="dxa"/>
            <w:vMerge/>
            <w:tcBorders>
              <w:right w:val="nil"/>
            </w:tcBorders>
          </w:tcPr>
          <w:p w:rsidR="004D2ECB" w:rsidRPr="000D5F6F" w:rsidRDefault="004D2ECB" w:rsidP="00C34462">
            <w:pPr>
              <w:spacing w:line="360" w:lineRule="auto"/>
              <w:jc w:val="both"/>
              <w:rPr>
                <w:rFonts w:ascii="Book Antiqua" w:hAnsi="Book Antiqua" w:cs="Book Antiqua"/>
                <w:lang w:val="en-GB"/>
              </w:rPr>
            </w:pPr>
          </w:p>
        </w:tc>
        <w:tc>
          <w:tcPr>
            <w:tcW w:w="1694" w:type="dxa"/>
            <w:tcBorders>
              <w:top w:val="nil"/>
              <w:left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DRVV-T</w:t>
            </w:r>
          </w:p>
        </w:tc>
        <w:tc>
          <w:tcPr>
            <w:tcW w:w="2541" w:type="dxa"/>
            <w:tcBorders>
              <w:top w:val="nil"/>
              <w:left w:val="nil"/>
              <w:right w:val="nil"/>
            </w:tcBorders>
          </w:tcPr>
          <w:p w:rsidR="004D2ECB" w:rsidRPr="000D5F6F" w:rsidRDefault="004D2ECB" w:rsidP="00C34462">
            <w:pPr>
              <w:spacing w:line="360" w:lineRule="auto"/>
              <w:jc w:val="both"/>
              <w:rPr>
                <w:rFonts w:ascii="Book Antiqua" w:hAnsi="Book Antiqua" w:cs="Book Antiqua"/>
                <w:lang w:val="en-GB"/>
              </w:rPr>
            </w:pPr>
          </w:p>
        </w:tc>
        <w:tc>
          <w:tcPr>
            <w:tcW w:w="2848" w:type="dxa"/>
            <w:tcBorders>
              <w:top w:val="nil"/>
              <w:lef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Requires specific calibrators and controls in specialized laboratories with trained personal</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tc>
      </w:tr>
      <w:tr w:rsidR="004D2ECB" w:rsidRPr="000D5F6F" w:rsidTr="00C34462">
        <w:tc>
          <w:tcPr>
            <w:tcW w:w="2982" w:type="dxa"/>
            <w:tcBorders>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Rivaroxaban</w:t>
            </w:r>
          </w:p>
        </w:tc>
        <w:tc>
          <w:tcPr>
            <w:tcW w:w="1694" w:type="dxa"/>
            <w:tcBorders>
              <w:left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PT</w:t>
            </w:r>
          </w:p>
        </w:tc>
        <w:tc>
          <w:tcPr>
            <w:tcW w:w="2541" w:type="dxa"/>
            <w:tcBorders>
              <w:left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Highly available</w:t>
            </w:r>
          </w:p>
        </w:tc>
        <w:tc>
          <w:tcPr>
            <w:tcW w:w="2848" w:type="dxa"/>
            <w:tcBorders>
              <w:lef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Do not reflect the intensity of coagulation</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tc>
      </w:tr>
      <w:tr w:rsidR="004D2ECB" w:rsidRPr="000D5F6F" w:rsidTr="00C34462">
        <w:tc>
          <w:tcPr>
            <w:tcW w:w="2982" w:type="dxa"/>
            <w:vMerge w:val="restart"/>
            <w:tcBorders>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Rivaroxaban and Apixaban</w:t>
            </w:r>
          </w:p>
          <w:p w:rsidR="004D2ECB" w:rsidRPr="000D5F6F" w:rsidRDefault="004D2ECB" w:rsidP="00C34462">
            <w:pPr>
              <w:spacing w:line="360" w:lineRule="auto"/>
              <w:jc w:val="both"/>
              <w:rPr>
                <w:rFonts w:ascii="Book Antiqua" w:hAnsi="Book Antiqua" w:cs="Book Antiqua"/>
                <w:lang w:val="en-GB"/>
              </w:rPr>
            </w:pPr>
          </w:p>
        </w:tc>
        <w:tc>
          <w:tcPr>
            <w:tcW w:w="1694" w:type="dxa"/>
            <w:tcBorders>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Chromogenic anti-Xa assays</w:t>
            </w:r>
          </w:p>
        </w:tc>
        <w:tc>
          <w:tcPr>
            <w:tcW w:w="2541" w:type="dxa"/>
            <w:tcBorders>
              <w:left w:val="nil"/>
              <w:bottom w:val="nil"/>
              <w:right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Very accurate and precise to estimates plasma concentrations of dabigatran</w:t>
            </w:r>
          </w:p>
        </w:tc>
        <w:tc>
          <w:tcPr>
            <w:tcW w:w="2848" w:type="dxa"/>
            <w:tcBorders>
              <w:left w:val="nil"/>
              <w:bottom w:val="nil"/>
            </w:tcBorders>
          </w:tcPr>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Requires specific calibrators and controls in specialized laboratories with trained personal</w:t>
            </w:r>
          </w:p>
          <w:p w:rsidR="004D2ECB" w:rsidRPr="000D5F6F" w:rsidRDefault="004D2ECB" w:rsidP="00C34462">
            <w:pPr>
              <w:spacing w:line="360" w:lineRule="auto"/>
              <w:jc w:val="both"/>
              <w:rPr>
                <w:rFonts w:ascii="Book Antiqua" w:hAnsi="Book Antiqua" w:cs="Book Antiqua"/>
                <w:lang w:val="en-GB"/>
              </w:rPr>
            </w:pPr>
          </w:p>
        </w:tc>
      </w:tr>
      <w:tr w:rsidR="004D2ECB" w:rsidRPr="000D5F6F" w:rsidTr="00C34462">
        <w:tc>
          <w:tcPr>
            <w:tcW w:w="2982" w:type="dxa"/>
            <w:vMerge/>
            <w:tcBorders>
              <w:top w:val="nil"/>
              <w:right w:val="nil"/>
            </w:tcBorders>
          </w:tcPr>
          <w:p w:rsidR="004D2ECB" w:rsidRPr="000D5F6F" w:rsidRDefault="004D2ECB" w:rsidP="00C34462">
            <w:pPr>
              <w:spacing w:line="360" w:lineRule="auto"/>
              <w:jc w:val="both"/>
              <w:rPr>
                <w:rFonts w:ascii="Book Antiqua" w:hAnsi="Book Antiqua" w:cs="Book Antiqua"/>
                <w:lang w:val="en-GB"/>
              </w:rPr>
            </w:pPr>
          </w:p>
        </w:tc>
        <w:tc>
          <w:tcPr>
            <w:tcW w:w="1694" w:type="dxa"/>
            <w:tcBorders>
              <w:top w:val="nil"/>
              <w:left w:val="nil"/>
              <w:right w:val="nil"/>
            </w:tcBorders>
          </w:tcPr>
          <w:p w:rsidR="004D2ECB" w:rsidRPr="000D5F6F" w:rsidRDefault="004D2ECB" w:rsidP="00C34462">
            <w:pPr>
              <w:spacing w:line="360" w:lineRule="auto"/>
              <w:jc w:val="both"/>
              <w:rPr>
                <w:rFonts w:ascii="Book Antiqua" w:hAnsi="Book Antiqua" w:cs="Book Antiqua"/>
                <w:lang w:val="en-GB"/>
              </w:rPr>
            </w:pP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DRVV-T</w:t>
            </w:r>
          </w:p>
        </w:tc>
        <w:tc>
          <w:tcPr>
            <w:tcW w:w="2541" w:type="dxa"/>
            <w:tcBorders>
              <w:top w:val="nil"/>
              <w:left w:val="nil"/>
              <w:right w:val="nil"/>
            </w:tcBorders>
          </w:tcPr>
          <w:p w:rsidR="004D2ECB" w:rsidRPr="000D5F6F" w:rsidRDefault="004D2ECB" w:rsidP="00C34462">
            <w:pPr>
              <w:spacing w:line="360" w:lineRule="auto"/>
              <w:jc w:val="both"/>
              <w:rPr>
                <w:rFonts w:ascii="Book Antiqua" w:hAnsi="Book Antiqua" w:cs="Book Antiqua"/>
                <w:lang w:val="en-GB"/>
              </w:rPr>
            </w:pPr>
          </w:p>
        </w:tc>
        <w:tc>
          <w:tcPr>
            <w:tcW w:w="2848" w:type="dxa"/>
            <w:tcBorders>
              <w:top w:val="nil"/>
              <w:left w:val="nil"/>
            </w:tcBorders>
          </w:tcPr>
          <w:p w:rsidR="004D2ECB" w:rsidRPr="000D5F6F" w:rsidRDefault="004D2ECB" w:rsidP="00C34462">
            <w:pPr>
              <w:spacing w:line="360" w:lineRule="auto"/>
              <w:jc w:val="both"/>
              <w:rPr>
                <w:rFonts w:ascii="Book Antiqua" w:hAnsi="Book Antiqua" w:cs="Book Antiqua"/>
                <w:lang w:val="en-GB"/>
              </w:rPr>
            </w:pP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Requires specific calibrators and controls in specialized laboratories with trained personal</w:t>
            </w:r>
          </w:p>
          <w:p w:rsidR="004D2ECB" w:rsidRPr="000D5F6F" w:rsidRDefault="004D2ECB" w:rsidP="00C34462">
            <w:pPr>
              <w:spacing w:line="360" w:lineRule="auto"/>
              <w:jc w:val="both"/>
              <w:rPr>
                <w:rFonts w:ascii="Book Antiqua" w:hAnsi="Book Antiqua" w:cs="Book Antiqua"/>
                <w:lang w:val="en-GB"/>
              </w:rPr>
            </w:pPr>
            <w:r w:rsidRPr="000D5F6F">
              <w:rPr>
                <w:rFonts w:ascii="Book Antiqua" w:hAnsi="Book Antiqua" w:cs="Book Antiqua"/>
                <w:lang w:val="en-GB"/>
              </w:rPr>
              <w:t>Low specificity</w:t>
            </w:r>
          </w:p>
        </w:tc>
      </w:tr>
    </w:tbl>
    <w:p w:rsidR="004D2ECB" w:rsidRPr="00ED4E08" w:rsidRDefault="004D2ECB" w:rsidP="00D06B71">
      <w:pPr>
        <w:spacing w:line="360" w:lineRule="auto"/>
        <w:jc w:val="both"/>
        <w:rPr>
          <w:rFonts w:ascii="Book Antiqua" w:eastAsia="宋体" w:hAnsi="Book Antiqua" w:cs="Book Antiqua"/>
          <w:lang w:val="en-GB" w:eastAsia="zh-CN"/>
        </w:rPr>
      </w:pPr>
      <w:r w:rsidRPr="000D5F6F">
        <w:rPr>
          <w:rFonts w:ascii="Book Antiqua" w:hAnsi="Book Antiqua" w:cs="Book Antiqua"/>
          <w:lang w:val="en-GB"/>
        </w:rPr>
        <w:t>Any of these tests have been associated with clinical endpoints and data regarding their use in special populations are scarce.</w:t>
      </w:r>
      <w:r w:rsidRPr="000D5F6F">
        <w:rPr>
          <w:rFonts w:ascii="Book Antiqua" w:eastAsia="宋体" w:hAnsi="Book Antiqua" w:cs="Book Antiqua"/>
          <w:lang w:val="en-GB" w:eastAsia="zh-CN"/>
        </w:rPr>
        <w:t xml:space="preserve"> </w:t>
      </w:r>
      <w:r w:rsidRPr="000D5F6F">
        <w:rPr>
          <w:rFonts w:ascii="Book Antiqua" w:hAnsi="Book Antiqua" w:cs="Book Antiqua"/>
          <w:lang w:val="en-GB"/>
        </w:rPr>
        <w:t>aPTT: Activated partial thromboplastin time; DRVV-T: Dilute Russell’s viper venom time; dTT: Dilute thrombin time; ECA: Ecarin chromogenic assay; ECT: Ecarin clotting time; PT: Prothrombin time; TT: Thrombin time.</w:t>
      </w:r>
    </w:p>
    <w:sectPr w:rsidR="004D2ECB" w:rsidRPr="00ED4E08" w:rsidSect="00AC7B6A">
      <w:footerReference w:type="even" r:id="rId14"/>
      <w:footerReference w:type="default" r:id="rId15"/>
      <w:pgSz w:w="12240" w:h="15840" w:code="1"/>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CB" w:rsidRDefault="004D2ECB" w:rsidP="006B1AD2">
      <w:pPr>
        <w:rPr>
          <w:rFonts w:cs="Times New Roman"/>
        </w:rPr>
      </w:pPr>
      <w:r>
        <w:rPr>
          <w:rFonts w:cs="Times New Roman"/>
        </w:rPr>
        <w:separator/>
      </w:r>
    </w:p>
  </w:endnote>
  <w:endnote w:type="continuationSeparator" w:id="0">
    <w:p w:rsidR="004D2ECB" w:rsidRDefault="004D2ECB" w:rsidP="006B1AD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ﾍ｣ﾓ ﾃｯ">
    <w:altName w:val="昒? 嫛???"/>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CB" w:rsidRDefault="004D2ECB" w:rsidP="006222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ECB" w:rsidRDefault="004D2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CB" w:rsidRDefault="004D2ECB" w:rsidP="00003B1D">
    <w:pPr>
      <w:pStyle w:val="Footer"/>
      <w:framePr w:wrap="around" w:vAnchor="text" w:hAnchor="margin" w:xAlign="center" w:y="1"/>
      <w:rPr>
        <w:rStyle w:val="PageNumber"/>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2</w:t>
    </w:r>
    <w:r>
      <w:rPr>
        <w:rStyle w:val="PageNumber"/>
        <w:rFonts w:cs="Cambria"/>
      </w:rPr>
      <w:fldChar w:fldCharType="end"/>
    </w:r>
  </w:p>
  <w:p w:rsidR="004D2ECB" w:rsidRDefault="004D2ECB" w:rsidP="006B1AD2">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CB" w:rsidRDefault="004D2ECB" w:rsidP="006B1AD2">
      <w:pPr>
        <w:rPr>
          <w:rFonts w:cs="Times New Roman"/>
        </w:rPr>
      </w:pPr>
      <w:r>
        <w:rPr>
          <w:rFonts w:cs="Times New Roman"/>
        </w:rPr>
        <w:separator/>
      </w:r>
    </w:p>
  </w:footnote>
  <w:footnote w:type="continuationSeparator" w:id="0">
    <w:p w:rsidR="004D2ECB" w:rsidRDefault="004D2ECB" w:rsidP="006B1AD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83B"/>
    <w:multiLevelType w:val="hybridMultilevel"/>
    <w:tmpl w:val="81806FE8"/>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C9C71F2"/>
    <w:multiLevelType w:val="hybridMultilevel"/>
    <w:tmpl w:val="8DF8FA0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14F43D4"/>
    <w:multiLevelType w:val="hybridMultilevel"/>
    <w:tmpl w:val="56AC6F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E7768D3"/>
    <w:multiLevelType w:val="hybridMultilevel"/>
    <w:tmpl w:val="84927E8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3D9"/>
    <w:rsid w:val="00003B1D"/>
    <w:rsid w:val="0000501D"/>
    <w:rsid w:val="00033C38"/>
    <w:rsid w:val="000543D4"/>
    <w:rsid w:val="0006079E"/>
    <w:rsid w:val="0007447C"/>
    <w:rsid w:val="00077176"/>
    <w:rsid w:val="000D04F9"/>
    <w:rsid w:val="000D5F6F"/>
    <w:rsid w:val="000E55C4"/>
    <w:rsid w:val="00101C5C"/>
    <w:rsid w:val="001749E9"/>
    <w:rsid w:val="001A1D53"/>
    <w:rsid w:val="001A3C85"/>
    <w:rsid w:val="001A7C65"/>
    <w:rsid w:val="001D0628"/>
    <w:rsid w:val="001D62E5"/>
    <w:rsid w:val="00203653"/>
    <w:rsid w:val="00211770"/>
    <w:rsid w:val="00211825"/>
    <w:rsid w:val="00213425"/>
    <w:rsid w:val="002266A3"/>
    <w:rsid w:val="00230B41"/>
    <w:rsid w:val="00235CD4"/>
    <w:rsid w:val="00240154"/>
    <w:rsid w:val="00266732"/>
    <w:rsid w:val="0027068E"/>
    <w:rsid w:val="002A210B"/>
    <w:rsid w:val="002A7D52"/>
    <w:rsid w:val="002B1010"/>
    <w:rsid w:val="002B1BCF"/>
    <w:rsid w:val="002D1DCE"/>
    <w:rsid w:val="00327167"/>
    <w:rsid w:val="00330A79"/>
    <w:rsid w:val="00333483"/>
    <w:rsid w:val="003471C0"/>
    <w:rsid w:val="003846DF"/>
    <w:rsid w:val="003A2E45"/>
    <w:rsid w:val="003B4328"/>
    <w:rsid w:val="003D37C8"/>
    <w:rsid w:val="003E4181"/>
    <w:rsid w:val="003E7E54"/>
    <w:rsid w:val="00405292"/>
    <w:rsid w:val="0042594C"/>
    <w:rsid w:val="004701CC"/>
    <w:rsid w:val="00477C0C"/>
    <w:rsid w:val="00490341"/>
    <w:rsid w:val="004A52AA"/>
    <w:rsid w:val="004C4DE8"/>
    <w:rsid w:val="004D2ECB"/>
    <w:rsid w:val="004D43B2"/>
    <w:rsid w:val="004E437C"/>
    <w:rsid w:val="004F2703"/>
    <w:rsid w:val="004F3484"/>
    <w:rsid w:val="004F360B"/>
    <w:rsid w:val="00524AF7"/>
    <w:rsid w:val="00525DE2"/>
    <w:rsid w:val="005310FE"/>
    <w:rsid w:val="005341A6"/>
    <w:rsid w:val="0057358B"/>
    <w:rsid w:val="005816C3"/>
    <w:rsid w:val="00584F38"/>
    <w:rsid w:val="005905F9"/>
    <w:rsid w:val="00595D29"/>
    <w:rsid w:val="005B3CB3"/>
    <w:rsid w:val="005E0345"/>
    <w:rsid w:val="00602426"/>
    <w:rsid w:val="00610253"/>
    <w:rsid w:val="006222C8"/>
    <w:rsid w:val="006268E3"/>
    <w:rsid w:val="00647C43"/>
    <w:rsid w:val="006534C3"/>
    <w:rsid w:val="00661565"/>
    <w:rsid w:val="0066464A"/>
    <w:rsid w:val="00693F8E"/>
    <w:rsid w:val="006A6A20"/>
    <w:rsid w:val="006B1912"/>
    <w:rsid w:val="006B1AD2"/>
    <w:rsid w:val="00702037"/>
    <w:rsid w:val="00714294"/>
    <w:rsid w:val="007524B1"/>
    <w:rsid w:val="00757B51"/>
    <w:rsid w:val="007B5414"/>
    <w:rsid w:val="007D3037"/>
    <w:rsid w:val="007E3C26"/>
    <w:rsid w:val="00803091"/>
    <w:rsid w:val="008123D9"/>
    <w:rsid w:val="008162E0"/>
    <w:rsid w:val="00831387"/>
    <w:rsid w:val="00831B7D"/>
    <w:rsid w:val="00845356"/>
    <w:rsid w:val="00845BC9"/>
    <w:rsid w:val="00846C2E"/>
    <w:rsid w:val="00857453"/>
    <w:rsid w:val="0085781A"/>
    <w:rsid w:val="008740FD"/>
    <w:rsid w:val="008773F8"/>
    <w:rsid w:val="00880BB1"/>
    <w:rsid w:val="00890FA3"/>
    <w:rsid w:val="008B3FA7"/>
    <w:rsid w:val="008B497C"/>
    <w:rsid w:val="008D2430"/>
    <w:rsid w:val="008D6A50"/>
    <w:rsid w:val="00902122"/>
    <w:rsid w:val="0091448C"/>
    <w:rsid w:val="009346AB"/>
    <w:rsid w:val="0095243D"/>
    <w:rsid w:val="00962318"/>
    <w:rsid w:val="00970D9E"/>
    <w:rsid w:val="009A69CD"/>
    <w:rsid w:val="009B70CD"/>
    <w:rsid w:val="009C64D3"/>
    <w:rsid w:val="009E207B"/>
    <w:rsid w:val="009E44BB"/>
    <w:rsid w:val="009E7EA4"/>
    <w:rsid w:val="00A458C5"/>
    <w:rsid w:val="00A57A87"/>
    <w:rsid w:val="00A62CF3"/>
    <w:rsid w:val="00A9066D"/>
    <w:rsid w:val="00A96C51"/>
    <w:rsid w:val="00AB4DAD"/>
    <w:rsid w:val="00AC7B6A"/>
    <w:rsid w:val="00AF6B36"/>
    <w:rsid w:val="00B02E34"/>
    <w:rsid w:val="00B16BD8"/>
    <w:rsid w:val="00B21D48"/>
    <w:rsid w:val="00B23538"/>
    <w:rsid w:val="00B402F2"/>
    <w:rsid w:val="00B42351"/>
    <w:rsid w:val="00B4368A"/>
    <w:rsid w:val="00B872A7"/>
    <w:rsid w:val="00B9410C"/>
    <w:rsid w:val="00BA310C"/>
    <w:rsid w:val="00BB030A"/>
    <w:rsid w:val="00BB04EF"/>
    <w:rsid w:val="00BC4BFF"/>
    <w:rsid w:val="00BD244E"/>
    <w:rsid w:val="00BF0411"/>
    <w:rsid w:val="00BF792C"/>
    <w:rsid w:val="00C20D1C"/>
    <w:rsid w:val="00C34462"/>
    <w:rsid w:val="00C71D3C"/>
    <w:rsid w:val="00C84658"/>
    <w:rsid w:val="00C85384"/>
    <w:rsid w:val="00CA06A2"/>
    <w:rsid w:val="00CB6D45"/>
    <w:rsid w:val="00CE3ECC"/>
    <w:rsid w:val="00CE7B05"/>
    <w:rsid w:val="00D06B71"/>
    <w:rsid w:val="00D55F4F"/>
    <w:rsid w:val="00D83005"/>
    <w:rsid w:val="00DB075A"/>
    <w:rsid w:val="00DB1372"/>
    <w:rsid w:val="00DC476D"/>
    <w:rsid w:val="00DC565A"/>
    <w:rsid w:val="00DD0DE5"/>
    <w:rsid w:val="00DD3BAA"/>
    <w:rsid w:val="00DE052D"/>
    <w:rsid w:val="00DF3051"/>
    <w:rsid w:val="00E0372B"/>
    <w:rsid w:val="00E17F92"/>
    <w:rsid w:val="00E40C94"/>
    <w:rsid w:val="00E55ABD"/>
    <w:rsid w:val="00E56D50"/>
    <w:rsid w:val="00E81D94"/>
    <w:rsid w:val="00ED4E08"/>
    <w:rsid w:val="00ED7CF0"/>
    <w:rsid w:val="00F11E5B"/>
    <w:rsid w:val="00F141D4"/>
    <w:rsid w:val="00F23E8D"/>
    <w:rsid w:val="00F241F2"/>
    <w:rsid w:val="00F307CA"/>
    <w:rsid w:val="00F532EB"/>
    <w:rsid w:val="00F645A3"/>
    <w:rsid w:val="00F72F0F"/>
    <w:rsid w:val="00F77603"/>
    <w:rsid w:val="00F80662"/>
    <w:rsid w:val="00F87AD5"/>
    <w:rsid w:val="00FA459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1"/>
    <w:rPr>
      <w:rFonts w:cs="Cambria"/>
      <w:kern w:val="0"/>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732"/>
    <w:pPr>
      <w:ind w:left="720"/>
    </w:pPr>
  </w:style>
  <w:style w:type="table" w:styleId="TableGrid">
    <w:name w:val="Table Grid"/>
    <w:basedOn w:val="TableNormal"/>
    <w:uiPriority w:val="99"/>
    <w:rsid w:val="00266732"/>
    <w:rPr>
      <w:rFonts w:cs="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99"/>
    <w:rsid w:val="006534C3"/>
    <w:rPr>
      <w:rFonts w:cs="Cambria"/>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libri" w:eastAsia="Times New Roman" w:hAnsi="Calibri" w:cs="Calibr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Times New Roman" w:hAnsi="Calibri" w:cs="Calibr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Calibri"/>
        <w:b/>
        <w:bCs/>
      </w:rPr>
    </w:tblStylePr>
    <w:tblStylePr w:type="lastCol">
      <w:rPr>
        <w:rFonts w:ascii="Calibri" w:eastAsia="Times New Roman" w:hAnsi="Calibri" w:cs="Calibri"/>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Cambria"/>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Cambria"/>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Cambria"/>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Footer">
    <w:name w:val="footer"/>
    <w:basedOn w:val="Normal"/>
    <w:link w:val="FooterChar"/>
    <w:uiPriority w:val="99"/>
    <w:rsid w:val="006B1AD2"/>
    <w:pPr>
      <w:tabs>
        <w:tab w:val="center" w:pos="4153"/>
        <w:tab w:val="right" w:pos="8306"/>
      </w:tabs>
    </w:pPr>
  </w:style>
  <w:style w:type="character" w:customStyle="1" w:styleId="FooterChar">
    <w:name w:val="Footer Char"/>
    <w:basedOn w:val="DefaultParagraphFont"/>
    <w:link w:val="Footer"/>
    <w:uiPriority w:val="99"/>
    <w:locked/>
    <w:rsid w:val="006B1AD2"/>
    <w:rPr>
      <w:rFonts w:cs="Times New Roman"/>
    </w:rPr>
  </w:style>
  <w:style w:type="character" w:styleId="PageNumber">
    <w:name w:val="page number"/>
    <w:basedOn w:val="DefaultParagraphFont"/>
    <w:uiPriority w:val="99"/>
    <w:semiHidden/>
    <w:rsid w:val="006B1AD2"/>
    <w:rPr>
      <w:rFonts w:cs="Times New Roman"/>
    </w:rPr>
  </w:style>
  <w:style w:type="character" w:styleId="Hyperlink">
    <w:name w:val="Hyperlink"/>
    <w:basedOn w:val="DefaultParagraphFont"/>
    <w:uiPriority w:val="99"/>
    <w:rsid w:val="000D04F9"/>
    <w:rPr>
      <w:rFonts w:cs="Times New Roman"/>
      <w:color w:val="0000FF"/>
      <w:u w:val="single"/>
    </w:rPr>
  </w:style>
  <w:style w:type="character" w:styleId="LineNumber">
    <w:name w:val="line number"/>
    <w:basedOn w:val="DefaultParagraphFont"/>
    <w:uiPriority w:val="99"/>
    <w:semiHidden/>
    <w:rsid w:val="009E7EA4"/>
    <w:rPr>
      <w:rFonts w:cs="Times New Roman"/>
    </w:rPr>
  </w:style>
  <w:style w:type="paragraph" w:customStyle="1" w:styleId="CharChar2">
    <w:name w:val="Char Char2"/>
    <w:basedOn w:val="Normal"/>
    <w:autoRedefine/>
    <w:uiPriority w:val="99"/>
    <w:rsid w:val="004F360B"/>
    <w:pPr>
      <w:widowControl w:val="0"/>
      <w:tabs>
        <w:tab w:val="num" w:pos="360"/>
      </w:tabs>
      <w:ind w:left="360" w:hangingChars="200" w:hanging="360"/>
      <w:jc w:val="both"/>
    </w:pPr>
    <w:rPr>
      <w:rFonts w:ascii="Times New Roman" w:hAnsi="Times New Roman" w:cs="Times New Roman"/>
      <w:kern w:val="2"/>
      <w:lang w:val="en-US" w:eastAsia="zh-CN"/>
    </w:rPr>
  </w:style>
  <w:style w:type="paragraph" w:styleId="CommentText">
    <w:name w:val="annotation text"/>
    <w:basedOn w:val="Normal"/>
    <w:link w:val="CommentTextChar1"/>
    <w:uiPriority w:val="99"/>
    <w:semiHidden/>
    <w:rsid w:val="004F360B"/>
    <w:pPr>
      <w:suppressAutoHyphens/>
      <w:spacing w:before="120" w:after="120"/>
    </w:pPr>
    <w:rPr>
      <w:rFonts w:ascii="Calibri" w:hAnsi="Calibri" w:cs="Times New Roman"/>
      <w:sz w:val="22"/>
      <w:szCs w:val="20"/>
      <w:lang w:val="en-US" w:eastAsia="ar-SA"/>
    </w:rPr>
  </w:style>
  <w:style w:type="character" w:customStyle="1" w:styleId="CommentTextChar">
    <w:name w:val="Comment Text Char"/>
    <w:basedOn w:val="DefaultParagraphFont"/>
    <w:link w:val="CommentText"/>
    <w:uiPriority w:val="99"/>
    <w:semiHidden/>
    <w:locked/>
    <w:rsid w:val="00F77603"/>
    <w:rPr>
      <w:rFonts w:cs="Cambria"/>
      <w:kern w:val="0"/>
      <w:sz w:val="24"/>
      <w:szCs w:val="24"/>
      <w:lang w:val="es-ES_tradnl" w:eastAsia="en-US"/>
    </w:rPr>
  </w:style>
  <w:style w:type="character" w:customStyle="1" w:styleId="CommentTextChar1">
    <w:name w:val="Comment Text Char1"/>
    <w:link w:val="CommentText"/>
    <w:uiPriority w:val="99"/>
    <w:semiHidden/>
    <w:locked/>
    <w:rsid w:val="004F360B"/>
    <w:rPr>
      <w:rFonts w:ascii="Calibri" w:hAnsi="Calibri"/>
      <w:sz w:val="22"/>
      <w:lang w:val="en-US" w:eastAsia="ar-SA" w:bidi="ar-SA"/>
    </w:rPr>
  </w:style>
  <w:style w:type="character" w:styleId="CommentReference">
    <w:name w:val="annotation reference"/>
    <w:basedOn w:val="DefaultParagraphFont"/>
    <w:uiPriority w:val="99"/>
    <w:semiHidden/>
    <w:rsid w:val="004F360B"/>
    <w:rPr>
      <w:rFonts w:cs="Times New Roman"/>
      <w:sz w:val="21"/>
      <w:szCs w:val="21"/>
    </w:rPr>
  </w:style>
  <w:style w:type="paragraph" w:styleId="CommentSubject">
    <w:name w:val="annotation subject"/>
    <w:basedOn w:val="CommentText"/>
    <w:next w:val="CommentText"/>
    <w:link w:val="CommentSubjectChar"/>
    <w:uiPriority w:val="99"/>
    <w:semiHidden/>
    <w:rsid w:val="004F360B"/>
    <w:pPr>
      <w:suppressAutoHyphens w:val="0"/>
      <w:spacing w:before="0" w:after="0"/>
    </w:pPr>
    <w:rPr>
      <w:rFonts w:ascii="Cambria" w:hAnsi="Cambria" w:cs="Cambria"/>
      <w:b/>
      <w:bCs/>
      <w:sz w:val="24"/>
      <w:szCs w:val="24"/>
      <w:lang w:val="es-ES_tradnl" w:eastAsia="en-US"/>
    </w:rPr>
  </w:style>
  <w:style w:type="character" w:customStyle="1" w:styleId="CommentSubjectChar">
    <w:name w:val="Comment Subject Char"/>
    <w:basedOn w:val="CommentTextChar1"/>
    <w:link w:val="CommentSubject"/>
    <w:uiPriority w:val="99"/>
    <w:semiHidden/>
    <w:locked/>
    <w:rsid w:val="00F77603"/>
    <w:rPr>
      <w:rFonts w:cs="Cambria"/>
      <w:b/>
      <w:bCs/>
      <w:kern w:val="0"/>
      <w:sz w:val="24"/>
      <w:szCs w:val="24"/>
      <w:lang w:val="es-ES_tradnl" w:eastAsia="en-US"/>
    </w:rPr>
  </w:style>
  <w:style w:type="paragraph" w:styleId="BalloonText">
    <w:name w:val="Balloon Text"/>
    <w:basedOn w:val="Normal"/>
    <w:link w:val="BalloonTextChar"/>
    <w:uiPriority w:val="99"/>
    <w:semiHidden/>
    <w:rsid w:val="004F360B"/>
    <w:rPr>
      <w:sz w:val="18"/>
      <w:szCs w:val="18"/>
    </w:rPr>
  </w:style>
  <w:style w:type="character" w:customStyle="1" w:styleId="BalloonTextChar">
    <w:name w:val="Balloon Text Char"/>
    <w:basedOn w:val="DefaultParagraphFont"/>
    <w:link w:val="BalloonText"/>
    <w:uiPriority w:val="99"/>
    <w:semiHidden/>
    <w:locked/>
    <w:rsid w:val="00F77603"/>
    <w:rPr>
      <w:rFonts w:cs="Cambria"/>
      <w:kern w:val="0"/>
      <w:sz w:val="2"/>
      <w:lang w:val="es-ES_tradnl" w:eastAsia="en-US"/>
    </w:rPr>
  </w:style>
  <w:style w:type="character" w:customStyle="1" w:styleId="apple-converted-space">
    <w:name w:val="apple-converted-space"/>
    <w:basedOn w:val="DefaultParagraphFont"/>
    <w:uiPriority w:val="99"/>
    <w:rsid w:val="00BC4BFF"/>
    <w:rPr>
      <w:rFonts w:cs="Times New Roman"/>
    </w:rPr>
  </w:style>
  <w:style w:type="paragraph" w:customStyle="1" w:styleId="CharChar21">
    <w:name w:val="Char Char21"/>
    <w:basedOn w:val="Normal"/>
    <w:autoRedefine/>
    <w:uiPriority w:val="99"/>
    <w:rsid w:val="00831387"/>
    <w:pPr>
      <w:widowControl w:val="0"/>
      <w:tabs>
        <w:tab w:val="num" w:pos="360"/>
      </w:tabs>
      <w:ind w:left="360" w:hangingChars="200" w:hanging="360"/>
      <w:jc w:val="both"/>
    </w:pPr>
    <w:rPr>
      <w:rFonts w:ascii="Times New Roman" w:hAnsi="Times New Roman" w:cs="Times New Roman"/>
      <w:kern w:val="2"/>
      <w:lang w:val="en-US" w:eastAsia="zh-CN"/>
    </w:rPr>
  </w:style>
  <w:style w:type="character" w:styleId="Emphasis">
    <w:name w:val="Emphasis"/>
    <w:basedOn w:val="DefaultParagraphFont"/>
    <w:uiPriority w:val="99"/>
    <w:qFormat/>
    <w:locked/>
    <w:rsid w:val="00DF3051"/>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979652703">
      <w:marLeft w:val="0"/>
      <w:marRight w:val="0"/>
      <w:marTop w:val="0"/>
      <w:marBottom w:val="0"/>
      <w:divBdr>
        <w:top w:val="none" w:sz="0" w:space="0" w:color="auto"/>
        <w:left w:val="none" w:sz="0" w:space="0" w:color="auto"/>
        <w:bottom w:val="none" w:sz="0" w:space="0" w:color="auto"/>
        <w:right w:val="none" w:sz="0" w:space="0" w:color="auto"/>
      </w:divBdr>
    </w:div>
    <w:div w:id="979652725">
      <w:marLeft w:val="0"/>
      <w:marRight w:val="0"/>
      <w:marTop w:val="0"/>
      <w:marBottom w:val="0"/>
      <w:divBdr>
        <w:top w:val="none" w:sz="0" w:space="0" w:color="auto"/>
        <w:left w:val="none" w:sz="0" w:space="0" w:color="auto"/>
        <w:bottom w:val="none" w:sz="0" w:space="0" w:color="auto"/>
        <w:right w:val="none" w:sz="0" w:space="0" w:color="auto"/>
      </w:divBdr>
      <w:divsChild>
        <w:div w:id="979652704">
          <w:marLeft w:val="0"/>
          <w:marRight w:val="0"/>
          <w:marTop w:val="0"/>
          <w:marBottom w:val="0"/>
          <w:divBdr>
            <w:top w:val="none" w:sz="0" w:space="0" w:color="auto"/>
            <w:left w:val="none" w:sz="0" w:space="0" w:color="auto"/>
            <w:bottom w:val="none" w:sz="0" w:space="0" w:color="auto"/>
            <w:right w:val="none" w:sz="0" w:space="0" w:color="auto"/>
          </w:divBdr>
        </w:div>
        <w:div w:id="979652705">
          <w:marLeft w:val="0"/>
          <w:marRight w:val="0"/>
          <w:marTop w:val="0"/>
          <w:marBottom w:val="0"/>
          <w:divBdr>
            <w:top w:val="none" w:sz="0" w:space="0" w:color="auto"/>
            <w:left w:val="none" w:sz="0" w:space="0" w:color="auto"/>
            <w:bottom w:val="none" w:sz="0" w:space="0" w:color="auto"/>
            <w:right w:val="none" w:sz="0" w:space="0" w:color="auto"/>
          </w:divBdr>
        </w:div>
        <w:div w:id="979652706">
          <w:marLeft w:val="0"/>
          <w:marRight w:val="0"/>
          <w:marTop w:val="0"/>
          <w:marBottom w:val="0"/>
          <w:divBdr>
            <w:top w:val="none" w:sz="0" w:space="0" w:color="auto"/>
            <w:left w:val="none" w:sz="0" w:space="0" w:color="auto"/>
            <w:bottom w:val="none" w:sz="0" w:space="0" w:color="auto"/>
            <w:right w:val="none" w:sz="0" w:space="0" w:color="auto"/>
          </w:divBdr>
        </w:div>
        <w:div w:id="979652707">
          <w:marLeft w:val="0"/>
          <w:marRight w:val="0"/>
          <w:marTop w:val="0"/>
          <w:marBottom w:val="0"/>
          <w:divBdr>
            <w:top w:val="none" w:sz="0" w:space="0" w:color="auto"/>
            <w:left w:val="none" w:sz="0" w:space="0" w:color="auto"/>
            <w:bottom w:val="none" w:sz="0" w:space="0" w:color="auto"/>
            <w:right w:val="none" w:sz="0" w:space="0" w:color="auto"/>
          </w:divBdr>
        </w:div>
        <w:div w:id="979652708">
          <w:marLeft w:val="0"/>
          <w:marRight w:val="0"/>
          <w:marTop w:val="0"/>
          <w:marBottom w:val="0"/>
          <w:divBdr>
            <w:top w:val="none" w:sz="0" w:space="0" w:color="auto"/>
            <w:left w:val="none" w:sz="0" w:space="0" w:color="auto"/>
            <w:bottom w:val="none" w:sz="0" w:space="0" w:color="auto"/>
            <w:right w:val="none" w:sz="0" w:space="0" w:color="auto"/>
          </w:divBdr>
        </w:div>
        <w:div w:id="979652709">
          <w:marLeft w:val="0"/>
          <w:marRight w:val="0"/>
          <w:marTop w:val="0"/>
          <w:marBottom w:val="0"/>
          <w:divBdr>
            <w:top w:val="none" w:sz="0" w:space="0" w:color="auto"/>
            <w:left w:val="none" w:sz="0" w:space="0" w:color="auto"/>
            <w:bottom w:val="none" w:sz="0" w:space="0" w:color="auto"/>
            <w:right w:val="none" w:sz="0" w:space="0" w:color="auto"/>
          </w:divBdr>
        </w:div>
        <w:div w:id="979652710">
          <w:marLeft w:val="0"/>
          <w:marRight w:val="0"/>
          <w:marTop w:val="0"/>
          <w:marBottom w:val="0"/>
          <w:divBdr>
            <w:top w:val="none" w:sz="0" w:space="0" w:color="auto"/>
            <w:left w:val="none" w:sz="0" w:space="0" w:color="auto"/>
            <w:bottom w:val="none" w:sz="0" w:space="0" w:color="auto"/>
            <w:right w:val="none" w:sz="0" w:space="0" w:color="auto"/>
          </w:divBdr>
        </w:div>
        <w:div w:id="979652711">
          <w:marLeft w:val="0"/>
          <w:marRight w:val="0"/>
          <w:marTop w:val="0"/>
          <w:marBottom w:val="0"/>
          <w:divBdr>
            <w:top w:val="none" w:sz="0" w:space="0" w:color="auto"/>
            <w:left w:val="none" w:sz="0" w:space="0" w:color="auto"/>
            <w:bottom w:val="none" w:sz="0" w:space="0" w:color="auto"/>
            <w:right w:val="none" w:sz="0" w:space="0" w:color="auto"/>
          </w:divBdr>
        </w:div>
        <w:div w:id="979652712">
          <w:marLeft w:val="0"/>
          <w:marRight w:val="0"/>
          <w:marTop w:val="0"/>
          <w:marBottom w:val="0"/>
          <w:divBdr>
            <w:top w:val="none" w:sz="0" w:space="0" w:color="auto"/>
            <w:left w:val="none" w:sz="0" w:space="0" w:color="auto"/>
            <w:bottom w:val="none" w:sz="0" w:space="0" w:color="auto"/>
            <w:right w:val="none" w:sz="0" w:space="0" w:color="auto"/>
          </w:divBdr>
        </w:div>
        <w:div w:id="979652713">
          <w:marLeft w:val="0"/>
          <w:marRight w:val="0"/>
          <w:marTop w:val="0"/>
          <w:marBottom w:val="0"/>
          <w:divBdr>
            <w:top w:val="none" w:sz="0" w:space="0" w:color="auto"/>
            <w:left w:val="none" w:sz="0" w:space="0" w:color="auto"/>
            <w:bottom w:val="none" w:sz="0" w:space="0" w:color="auto"/>
            <w:right w:val="none" w:sz="0" w:space="0" w:color="auto"/>
          </w:divBdr>
        </w:div>
        <w:div w:id="979652714">
          <w:marLeft w:val="0"/>
          <w:marRight w:val="0"/>
          <w:marTop w:val="0"/>
          <w:marBottom w:val="0"/>
          <w:divBdr>
            <w:top w:val="none" w:sz="0" w:space="0" w:color="auto"/>
            <w:left w:val="none" w:sz="0" w:space="0" w:color="auto"/>
            <w:bottom w:val="none" w:sz="0" w:space="0" w:color="auto"/>
            <w:right w:val="none" w:sz="0" w:space="0" w:color="auto"/>
          </w:divBdr>
        </w:div>
        <w:div w:id="979652715">
          <w:marLeft w:val="0"/>
          <w:marRight w:val="0"/>
          <w:marTop w:val="0"/>
          <w:marBottom w:val="0"/>
          <w:divBdr>
            <w:top w:val="none" w:sz="0" w:space="0" w:color="auto"/>
            <w:left w:val="none" w:sz="0" w:space="0" w:color="auto"/>
            <w:bottom w:val="none" w:sz="0" w:space="0" w:color="auto"/>
            <w:right w:val="none" w:sz="0" w:space="0" w:color="auto"/>
          </w:divBdr>
        </w:div>
        <w:div w:id="979652716">
          <w:marLeft w:val="0"/>
          <w:marRight w:val="0"/>
          <w:marTop w:val="0"/>
          <w:marBottom w:val="0"/>
          <w:divBdr>
            <w:top w:val="none" w:sz="0" w:space="0" w:color="auto"/>
            <w:left w:val="none" w:sz="0" w:space="0" w:color="auto"/>
            <w:bottom w:val="none" w:sz="0" w:space="0" w:color="auto"/>
            <w:right w:val="none" w:sz="0" w:space="0" w:color="auto"/>
          </w:divBdr>
        </w:div>
        <w:div w:id="979652717">
          <w:marLeft w:val="0"/>
          <w:marRight w:val="0"/>
          <w:marTop w:val="0"/>
          <w:marBottom w:val="0"/>
          <w:divBdr>
            <w:top w:val="none" w:sz="0" w:space="0" w:color="auto"/>
            <w:left w:val="none" w:sz="0" w:space="0" w:color="auto"/>
            <w:bottom w:val="none" w:sz="0" w:space="0" w:color="auto"/>
            <w:right w:val="none" w:sz="0" w:space="0" w:color="auto"/>
          </w:divBdr>
        </w:div>
        <w:div w:id="979652718">
          <w:marLeft w:val="0"/>
          <w:marRight w:val="0"/>
          <w:marTop w:val="0"/>
          <w:marBottom w:val="0"/>
          <w:divBdr>
            <w:top w:val="none" w:sz="0" w:space="0" w:color="auto"/>
            <w:left w:val="none" w:sz="0" w:space="0" w:color="auto"/>
            <w:bottom w:val="none" w:sz="0" w:space="0" w:color="auto"/>
            <w:right w:val="none" w:sz="0" w:space="0" w:color="auto"/>
          </w:divBdr>
        </w:div>
        <w:div w:id="979652719">
          <w:marLeft w:val="0"/>
          <w:marRight w:val="0"/>
          <w:marTop w:val="0"/>
          <w:marBottom w:val="0"/>
          <w:divBdr>
            <w:top w:val="none" w:sz="0" w:space="0" w:color="auto"/>
            <w:left w:val="none" w:sz="0" w:space="0" w:color="auto"/>
            <w:bottom w:val="none" w:sz="0" w:space="0" w:color="auto"/>
            <w:right w:val="none" w:sz="0" w:space="0" w:color="auto"/>
          </w:divBdr>
        </w:div>
        <w:div w:id="979652720">
          <w:marLeft w:val="0"/>
          <w:marRight w:val="0"/>
          <w:marTop w:val="0"/>
          <w:marBottom w:val="0"/>
          <w:divBdr>
            <w:top w:val="none" w:sz="0" w:space="0" w:color="auto"/>
            <w:left w:val="none" w:sz="0" w:space="0" w:color="auto"/>
            <w:bottom w:val="none" w:sz="0" w:space="0" w:color="auto"/>
            <w:right w:val="none" w:sz="0" w:space="0" w:color="auto"/>
          </w:divBdr>
        </w:div>
        <w:div w:id="979652721">
          <w:marLeft w:val="0"/>
          <w:marRight w:val="0"/>
          <w:marTop w:val="0"/>
          <w:marBottom w:val="0"/>
          <w:divBdr>
            <w:top w:val="none" w:sz="0" w:space="0" w:color="auto"/>
            <w:left w:val="none" w:sz="0" w:space="0" w:color="auto"/>
            <w:bottom w:val="none" w:sz="0" w:space="0" w:color="auto"/>
            <w:right w:val="none" w:sz="0" w:space="0" w:color="auto"/>
          </w:divBdr>
        </w:div>
        <w:div w:id="979652722">
          <w:marLeft w:val="0"/>
          <w:marRight w:val="0"/>
          <w:marTop w:val="0"/>
          <w:marBottom w:val="0"/>
          <w:divBdr>
            <w:top w:val="none" w:sz="0" w:space="0" w:color="auto"/>
            <w:left w:val="none" w:sz="0" w:space="0" w:color="auto"/>
            <w:bottom w:val="none" w:sz="0" w:space="0" w:color="auto"/>
            <w:right w:val="none" w:sz="0" w:space="0" w:color="auto"/>
          </w:divBdr>
        </w:div>
        <w:div w:id="979652723">
          <w:marLeft w:val="0"/>
          <w:marRight w:val="0"/>
          <w:marTop w:val="0"/>
          <w:marBottom w:val="0"/>
          <w:divBdr>
            <w:top w:val="none" w:sz="0" w:space="0" w:color="auto"/>
            <w:left w:val="none" w:sz="0" w:space="0" w:color="auto"/>
            <w:bottom w:val="none" w:sz="0" w:space="0" w:color="auto"/>
            <w:right w:val="none" w:sz="0" w:space="0" w:color="auto"/>
          </w:divBdr>
        </w:div>
        <w:div w:id="979652724">
          <w:marLeft w:val="0"/>
          <w:marRight w:val="0"/>
          <w:marTop w:val="0"/>
          <w:marBottom w:val="0"/>
          <w:divBdr>
            <w:top w:val="none" w:sz="0" w:space="0" w:color="auto"/>
            <w:left w:val="none" w:sz="0" w:space="0" w:color="auto"/>
            <w:bottom w:val="none" w:sz="0" w:space="0" w:color="auto"/>
            <w:right w:val="none" w:sz="0" w:space="0" w:color="auto"/>
          </w:divBdr>
        </w:div>
        <w:div w:id="979652726">
          <w:marLeft w:val="0"/>
          <w:marRight w:val="0"/>
          <w:marTop w:val="0"/>
          <w:marBottom w:val="0"/>
          <w:divBdr>
            <w:top w:val="none" w:sz="0" w:space="0" w:color="auto"/>
            <w:left w:val="none" w:sz="0" w:space="0" w:color="auto"/>
            <w:bottom w:val="none" w:sz="0" w:space="0" w:color="auto"/>
            <w:right w:val="none" w:sz="0" w:space="0" w:color="auto"/>
          </w:divBdr>
        </w:div>
        <w:div w:id="97965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glin%20T%5BAuthor%5D&amp;cauthor=true&amp;cauthor_uid=23347120" TargetMode="External"/><Relationship Id="rId13" Type="http://schemas.openxmlformats.org/officeDocument/2006/relationships/hyperlink" Target="http://www.ncbi.nlm.nih.gov/pubmed/?term=Ageno%20W%5BAuthor%5D&amp;cauthor=true&amp;cauthor_uid=23347120" TargetMode="External"/><Relationship Id="rId3" Type="http://schemas.openxmlformats.org/officeDocument/2006/relationships/settings" Target="settings.xml"/><Relationship Id="rId7" Type="http://schemas.openxmlformats.org/officeDocument/2006/relationships/hyperlink" Target="http://www.ncbi.nlm.nih.gov/pubmed/?term=RE-LY%20Investigators%5BCorporate%20Author%5D" TargetMode="External"/><Relationship Id="rId12" Type="http://schemas.openxmlformats.org/officeDocument/2006/relationships/hyperlink" Target="http://www.ncbi.nlm.nih.gov/pubmed/?term=Buller%20H%5BAuthor%5D&amp;cauthor=true&amp;cauthor_uid=233471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Elalamy%20I%5BAuthor%5D&amp;cauthor=true&amp;cauthor_uid=2334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cbi.nlm.nih.gov/pubmed/?term=Tripodi%20A%5BAuthor%5D&amp;cauthor=true&amp;cauthor_uid=23347120" TargetMode="External"/><Relationship Id="rId4" Type="http://schemas.openxmlformats.org/officeDocument/2006/relationships/webSettings" Target="webSettings.xml"/><Relationship Id="rId9" Type="http://schemas.openxmlformats.org/officeDocument/2006/relationships/hyperlink" Target="http://www.ncbi.nlm.nih.gov/pubmed/?term=Hillarp%20A%5BAuthor%5D&amp;cauthor=true&amp;cauthor_uid=233471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3159</Words>
  <Characters>18011</Characters>
  <Application>Microsoft Office Outlook</Application>
  <DocSecurity>0</DocSecurity>
  <Lines>0</Lines>
  <Paragraphs>0</Paragraphs>
  <ScaleCrop>false</ScaleCrop>
  <Company>Oncologia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ramos</dc:creator>
  <cp:keywords/>
  <dc:description/>
  <cp:lastModifiedBy>Xue-Mei Gong</cp:lastModifiedBy>
  <cp:revision>3</cp:revision>
  <dcterms:created xsi:type="dcterms:W3CDTF">2015-10-13T04:00:00Z</dcterms:created>
  <dcterms:modified xsi:type="dcterms:W3CDTF">2015-10-13T07:24:00Z</dcterms:modified>
</cp:coreProperties>
</file>