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Name of Journal: </w:t>
      </w:r>
      <w:r w:rsidRPr="00A02FDE">
        <w:rPr>
          <w:rFonts w:ascii="Book Antiqua" w:hAnsi="Book Antiqua"/>
          <w:b/>
          <w:i/>
          <w:iCs/>
          <w:sz w:val="24"/>
          <w:szCs w:val="24"/>
        </w:rPr>
        <w:t>World Journal of Obstetrics and Gynecology</w:t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ESPS Manuscript NO: </w:t>
      </w:r>
      <w:r w:rsidRPr="00A02FDE">
        <w:rPr>
          <w:rFonts w:ascii="Book Antiqua" w:hAnsi="Book Antiqua"/>
          <w:b/>
          <w:sz w:val="24"/>
          <w:szCs w:val="24"/>
          <w:lang w:eastAsia="zh-CN"/>
        </w:rPr>
        <w:t>21099</w:t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>Manuscript Type: Editorial</w:t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DA283D" w:rsidRPr="00A02FDE" w:rsidRDefault="00E67D6F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A02FDE">
        <w:rPr>
          <w:rFonts w:ascii="Book Antiqua" w:hAnsi="Book Antiqua" w:cs="Arial"/>
          <w:b/>
          <w:sz w:val="24"/>
          <w:szCs w:val="24"/>
          <w:lang w:val="en-US"/>
        </w:rPr>
        <w:t xml:space="preserve">Clinical </w:t>
      </w:r>
      <w:r w:rsidR="005C3B7B" w:rsidRPr="00A02FDE">
        <w:rPr>
          <w:rFonts w:ascii="Book Antiqua" w:hAnsi="Book Antiqua" w:cs="Arial"/>
          <w:b/>
          <w:sz w:val="24"/>
          <w:szCs w:val="24"/>
          <w:lang w:val="en-US"/>
        </w:rPr>
        <w:t>applicability of immunotherapy of cervical intraepithelial ne</w:t>
      </w:r>
      <w:r w:rsidR="00DF3F18" w:rsidRPr="00A02FDE">
        <w:rPr>
          <w:rFonts w:ascii="Book Antiqua" w:hAnsi="Book Antiqua" w:cs="Arial"/>
          <w:b/>
          <w:sz w:val="24"/>
          <w:szCs w:val="24"/>
          <w:lang w:val="en-US"/>
        </w:rPr>
        <w:t>oplasia</w:t>
      </w:r>
    </w:p>
    <w:p w:rsidR="005C3B7B" w:rsidRPr="00A02FDE" w:rsidRDefault="005C3B7B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D709BB" w:rsidRPr="00A02FDE" w:rsidRDefault="00D709BB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Koeneman</w:t>
      </w:r>
      <w:proofErr w:type="spellEnd"/>
      <w:r w:rsidRPr="00A02FDE">
        <w:rPr>
          <w:rFonts w:ascii="Book Antiqua" w:hAnsi="Book Antiqua"/>
          <w:sz w:val="24"/>
          <w:szCs w:val="24"/>
        </w:rPr>
        <w:t xml:space="preserve"> </w:t>
      </w:r>
      <w:r w:rsidRPr="00A02FDE">
        <w:rPr>
          <w:rFonts w:ascii="Book Antiqua" w:hAnsi="Book Antiqua"/>
          <w:sz w:val="24"/>
          <w:szCs w:val="24"/>
          <w:lang w:eastAsia="zh-CN"/>
        </w:rPr>
        <w:t xml:space="preserve">M </w:t>
      </w:r>
      <w:r w:rsidRPr="00A02FDE">
        <w:rPr>
          <w:rFonts w:ascii="Book Antiqua" w:hAnsi="Book Antiqua"/>
          <w:i/>
          <w:sz w:val="24"/>
          <w:szCs w:val="24"/>
          <w:lang w:eastAsia="zh-CN"/>
        </w:rPr>
        <w:t xml:space="preserve">et al. </w:t>
      </w:r>
      <w:r w:rsidRPr="00A02FDE">
        <w:rPr>
          <w:rFonts w:ascii="Book Antiqua" w:hAnsi="Book Antiqua"/>
          <w:sz w:val="24"/>
          <w:szCs w:val="24"/>
        </w:rPr>
        <w:t>Immunotherapy for CIN</w:t>
      </w:r>
    </w:p>
    <w:p w:rsidR="00D709BB" w:rsidRPr="00A02FDE" w:rsidRDefault="00D709BB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5C3B7B" w:rsidRPr="00920FB9" w:rsidRDefault="005C3B7B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920FB9">
        <w:rPr>
          <w:rFonts w:ascii="Book Antiqua" w:hAnsi="Book Antiqua" w:cs="Arial"/>
          <w:b/>
          <w:sz w:val="24"/>
          <w:szCs w:val="24"/>
          <w:lang w:val="en-US"/>
        </w:rPr>
        <w:t xml:space="preserve">Margot </w:t>
      </w:r>
      <w:proofErr w:type="spellStart"/>
      <w:r w:rsidRPr="00920FB9">
        <w:rPr>
          <w:rFonts w:ascii="Book Antiqua" w:hAnsi="Book Antiqua" w:cs="Arial"/>
          <w:b/>
          <w:sz w:val="24"/>
          <w:szCs w:val="24"/>
          <w:lang w:val="en-US"/>
        </w:rPr>
        <w:t>Koeneman</w:t>
      </w:r>
      <w:proofErr w:type="spellEnd"/>
      <w:r w:rsidRPr="00920FB9">
        <w:rPr>
          <w:rFonts w:ascii="Book Antiqua" w:hAnsi="Book Antiqua" w:cs="Arial"/>
          <w:b/>
          <w:sz w:val="24"/>
          <w:szCs w:val="24"/>
          <w:lang w:val="en-US"/>
        </w:rPr>
        <w:t xml:space="preserve">, Roy </w:t>
      </w:r>
      <w:proofErr w:type="spellStart"/>
      <w:r w:rsidRPr="00920FB9">
        <w:rPr>
          <w:rFonts w:ascii="Book Antiqua" w:hAnsi="Book Antiqua" w:cs="Arial"/>
          <w:b/>
          <w:sz w:val="24"/>
          <w:szCs w:val="24"/>
          <w:lang w:val="en-US"/>
        </w:rPr>
        <w:t>Kruitwagen</w:t>
      </w:r>
      <w:proofErr w:type="spellEnd"/>
      <w:r w:rsidRPr="00920FB9">
        <w:rPr>
          <w:rFonts w:ascii="Book Antiqua" w:hAnsi="Book Antiqua" w:cs="Arial"/>
          <w:b/>
          <w:sz w:val="24"/>
          <w:szCs w:val="24"/>
          <w:lang w:val="en-US"/>
        </w:rPr>
        <w:t>, Arnold-Jan Kruse</w:t>
      </w:r>
    </w:p>
    <w:p w:rsidR="00DF3F18" w:rsidRPr="00A02FDE" w:rsidRDefault="00DF3F18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DF3F18" w:rsidRPr="00A02FDE" w:rsidRDefault="00D709BB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A02FDE">
        <w:rPr>
          <w:rFonts w:ascii="Book Antiqua" w:hAnsi="Book Antiqua" w:cs="Arial"/>
          <w:b/>
          <w:sz w:val="24"/>
          <w:szCs w:val="24"/>
          <w:lang w:val="en-US"/>
        </w:rPr>
        <w:t xml:space="preserve">Margot </w:t>
      </w:r>
      <w:proofErr w:type="spellStart"/>
      <w:r w:rsidRPr="00A02FDE">
        <w:rPr>
          <w:rFonts w:ascii="Book Antiqua" w:hAnsi="Book Antiqua" w:cs="Arial"/>
          <w:b/>
          <w:sz w:val="24"/>
          <w:szCs w:val="24"/>
          <w:lang w:val="en-US"/>
        </w:rPr>
        <w:t>Koeneman</w:t>
      </w:r>
      <w:proofErr w:type="spellEnd"/>
      <w:r w:rsidRPr="00A02FDE">
        <w:rPr>
          <w:rFonts w:ascii="Book Antiqua" w:hAnsi="Book Antiqua" w:cs="Arial"/>
          <w:b/>
          <w:sz w:val="24"/>
          <w:szCs w:val="24"/>
          <w:lang w:val="en-US"/>
        </w:rPr>
        <w:t xml:space="preserve">, Roy </w:t>
      </w:r>
      <w:proofErr w:type="spellStart"/>
      <w:r w:rsidRPr="00A02FDE">
        <w:rPr>
          <w:rFonts w:ascii="Book Antiqua" w:hAnsi="Book Antiqua" w:cs="Arial"/>
          <w:b/>
          <w:sz w:val="24"/>
          <w:szCs w:val="24"/>
          <w:lang w:val="en-US"/>
        </w:rPr>
        <w:t>Kruitwagen</w:t>
      </w:r>
      <w:proofErr w:type="spellEnd"/>
      <w:r w:rsidRPr="00A02FDE">
        <w:rPr>
          <w:rFonts w:ascii="Book Antiqua" w:hAnsi="Book Antiqua" w:cs="Arial"/>
          <w:b/>
          <w:sz w:val="24"/>
          <w:szCs w:val="24"/>
          <w:lang w:val="en-US"/>
        </w:rPr>
        <w:t>, Arnold-Jan Kruse</w:t>
      </w:r>
      <w:r w:rsidRPr="00A02FDE">
        <w:rPr>
          <w:rFonts w:ascii="Book Antiqua" w:hAnsi="Book Antiqua" w:cs="Arial"/>
          <w:b/>
          <w:sz w:val="24"/>
          <w:szCs w:val="24"/>
          <w:lang w:val="en-US" w:eastAsia="zh-CN"/>
        </w:rPr>
        <w:t xml:space="preserve">, </w:t>
      </w:r>
      <w:r w:rsidR="00DF3F18"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>Department of Obstetrics and Gynecology, Maastricht University Medical Cente</w:t>
      </w:r>
      <w:r w:rsidR="00920AA7"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>r</w:t>
      </w:r>
      <w:r w:rsidR="00DF3F18"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>,</w:t>
      </w:r>
      <w:r w:rsid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6202 AZ</w:t>
      </w:r>
      <w:r w:rsidR="00DF3F18"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Maastricht, the Netherlands</w:t>
      </w:r>
    </w:p>
    <w:p w:rsidR="00D709BB" w:rsidRPr="00A02FDE" w:rsidRDefault="00D709BB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DF3F18" w:rsidRPr="00A02FDE" w:rsidRDefault="00D709BB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A02FDE">
        <w:rPr>
          <w:rFonts w:ascii="Book Antiqua" w:hAnsi="Book Antiqua" w:cs="Arial"/>
          <w:b/>
          <w:sz w:val="24"/>
          <w:szCs w:val="24"/>
          <w:lang w:val="en-US"/>
        </w:rPr>
        <w:t xml:space="preserve">Margot </w:t>
      </w:r>
      <w:proofErr w:type="spellStart"/>
      <w:r w:rsidRPr="00A02FDE">
        <w:rPr>
          <w:rFonts w:ascii="Book Antiqua" w:hAnsi="Book Antiqua" w:cs="Arial"/>
          <w:b/>
          <w:sz w:val="24"/>
          <w:szCs w:val="24"/>
          <w:lang w:val="en-US"/>
        </w:rPr>
        <w:t>Koeneman</w:t>
      </w:r>
      <w:proofErr w:type="spellEnd"/>
      <w:r w:rsidRPr="00A02FDE">
        <w:rPr>
          <w:rFonts w:ascii="Book Antiqua" w:hAnsi="Book Antiqua" w:cs="Arial"/>
          <w:b/>
          <w:sz w:val="24"/>
          <w:szCs w:val="24"/>
          <w:lang w:val="en-US"/>
        </w:rPr>
        <w:t xml:space="preserve">, Roy </w:t>
      </w:r>
      <w:proofErr w:type="spellStart"/>
      <w:r w:rsidRPr="00A02FDE">
        <w:rPr>
          <w:rFonts w:ascii="Book Antiqua" w:hAnsi="Book Antiqua" w:cs="Arial"/>
          <w:b/>
          <w:sz w:val="24"/>
          <w:szCs w:val="24"/>
          <w:lang w:val="en-US"/>
        </w:rPr>
        <w:t>Kruitwagen</w:t>
      </w:r>
      <w:proofErr w:type="spellEnd"/>
      <w:r w:rsidRPr="00A02FDE">
        <w:rPr>
          <w:rFonts w:ascii="Book Antiqua" w:hAnsi="Book Antiqua" w:cs="Arial"/>
          <w:b/>
          <w:sz w:val="24"/>
          <w:szCs w:val="24"/>
          <w:lang w:val="en-US"/>
        </w:rPr>
        <w:t>, Arnold-Jan Kruse</w:t>
      </w:r>
      <w:r w:rsidRPr="00A02FDE">
        <w:rPr>
          <w:rFonts w:ascii="Book Antiqua" w:hAnsi="Book Antiqua" w:cs="Arial"/>
          <w:b/>
          <w:sz w:val="24"/>
          <w:szCs w:val="24"/>
          <w:lang w:val="en-US" w:eastAsia="zh-CN"/>
        </w:rPr>
        <w:t>,</w:t>
      </w:r>
      <w:r w:rsidR="00DF3F18"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GROW - School for Oncology and Developmental Biology, Maastricht University,</w:t>
      </w:r>
      <w:r w:rsid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6202 AZ</w:t>
      </w:r>
      <w:r w:rsidR="00DF3F18"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Maastricht, the Netherlands</w:t>
      </w:r>
    </w:p>
    <w:p w:rsidR="00D709BB" w:rsidRPr="00A02FDE" w:rsidRDefault="00D709BB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CD79B5" w:rsidRPr="00A02FDE" w:rsidRDefault="00D709BB" w:rsidP="00A02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 w:eastAsia="zh-CN"/>
        </w:rPr>
      </w:pPr>
      <w:r w:rsidRPr="00A02FDE">
        <w:rPr>
          <w:rFonts w:ascii="Book Antiqua" w:hAnsi="Book Antiqua"/>
          <w:b/>
          <w:sz w:val="24"/>
          <w:szCs w:val="24"/>
        </w:rPr>
        <w:t>Author contributions:</w:t>
      </w:r>
      <w:r w:rsidR="008E14C1" w:rsidRPr="00A02FDE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proofErr w:type="spellStart"/>
      <w:r w:rsidR="008E14C1" w:rsidRPr="00A02FDE">
        <w:rPr>
          <w:rFonts w:ascii="Book Antiqua" w:hAnsi="Book Antiqua" w:cs="Book Antiqua"/>
          <w:sz w:val="24"/>
          <w:szCs w:val="24"/>
          <w:lang w:val="en-US"/>
        </w:rPr>
        <w:t>Koeneman</w:t>
      </w:r>
      <w:proofErr w:type="spellEnd"/>
      <w:r w:rsidRPr="00A02FDE">
        <w:rPr>
          <w:rFonts w:ascii="Book Antiqua" w:hAnsi="Book Antiqua" w:cs="Book Antiqua"/>
          <w:sz w:val="24"/>
          <w:szCs w:val="24"/>
          <w:lang w:val="en-US" w:eastAsia="zh-CN"/>
        </w:rPr>
        <w:t xml:space="preserve"> M</w:t>
      </w:r>
      <w:r w:rsidR="00E0701D" w:rsidRPr="00A02FDE">
        <w:rPr>
          <w:rFonts w:ascii="Book Antiqua" w:hAnsi="Book Antiqua" w:cs="Book Antiqua"/>
          <w:sz w:val="24"/>
          <w:szCs w:val="24"/>
          <w:lang w:val="en-US"/>
        </w:rPr>
        <w:t xml:space="preserve">, </w:t>
      </w:r>
      <w:proofErr w:type="spellStart"/>
      <w:r w:rsidR="00E0701D" w:rsidRPr="00A02FDE">
        <w:rPr>
          <w:rFonts w:ascii="Book Antiqua" w:hAnsi="Book Antiqua" w:cs="Book Antiqua"/>
          <w:sz w:val="24"/>
          <w:szCs w:val="24"/>
          <w:lang w:val="en-US"/>
        </w:rPr>
        <w:t>Kruitwagen</w:t>
      </w:r>
      <w:proofErr w:type="spellEnd"/>
      <w:r w:rsidRPr="00A02FDE">
        <w:rPr>
          <w:rFonts w:ascii="Book Antiqua" w:hAnsi="Book Antiqua" w:cs="Book Antiqua"/>
          <w:sz w:val="24"/>
          <w:szCs w:val="24"/>
          <w:lang w:val="en-US" w:eastAsia="zh-CN"/>
        </w:rPr>
        <w:t xml:space="preserve"> R</w:t>
      </w:r>
      <w:r w:rsidR="008E14C1" w:rsidRPr="00A02FDE">
        <w:rPr>
          <w:rFonts w:ascii="Book Antiqua" w:hAnsi="Book Antiqua" w:cs="Book Antiqua"/>
          <w:sz w:val="24"/>
          <w:szCs w:val="24"/>
          <w:lang w:val="en-US"/>
        </w:rPr>
        <w:t xml:space="preserve"> and Kruse </w:t>
      </w:r>
      <w:r w:rsidRPr="00A02FDE">
        <w:rPr>
          <w:rFonts w:ascii="Book Antiqua" w:hAnsi="Book Antiqua" w:cs="Book Antiqua"/>
          <w:sz w:val="24"/>
          <w:szCs w:val="24"/>
          <w:lang w:val="en-US" w:eastAsia="zh-CN"/>
        </w:rPr>
        <w:t xml:space="preserve">AJ </w:t>
      </w:r>
      <w:r w:rsidR="008E14C1" w:rsidRPr="00A02FDE">
        <w:rPr>
          <w:rFonts w:ascii="Book Antiqua" w:hAnsi="Book Antiqua" w:cs="Book Antiqua"/>
          <w:sz w:val="24"/>
          <w:szCs w:val="24"/>
          <w:lang w:val="en-US"/>
        </w:rPr>
        <w:t xml:space="preserve">conceived the issues which formed the content of the manuscript and wrote the manuscript. </w:t>
      </w:r>
    </w:p>
    <w:p w:rsidR="00BC0998" w:rsidRPr="00A02FDE" w:rsidRDefault="00BC0998" w:rsidP="00A02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 w:eastAsia="zh-CN"/>
        </w:rPr>
      </w:pP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A02FDE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A02FDE">
        <w:rPr>
          <w:rFonts w:ascii="Book Antiqua" w:hAnsi="Book Antiqua"/>
          <w:sz w:val="24"/>
          <w:szCs w:val="24"/>
        </w:rPr>
        <w:t xml:space="preserve"> </w:t>
      </w:r>
      <w:r w:rsidRPr="00A02FDE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A02FDE">
        <w:rPr>
          <w:rFonts w:ascii="Book Antiqua" w:hAnsi="Book Antiqua" w:cs="Book Antiqua"/>
          <w:sz w:val="24"/>
          <w:szCs w:val="24"/>
          <w:lang w:val="en-US"/>
        </w:rPr>
        <w:t>The authors have no conflicts of interest.</w:t>
      </w: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:rsidR="00BC0998" w:rsidRPr="008243EC" w:rsidRDefault="00BC0998" w:rsidP="00A02F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A02FDE">
        <w:rPr>
          <w:rFonts w:ascii="Book Antiqua" w:hAnsi="Book Antiqua"/>
          <w:b/>
          <w:sz w:val="24"/>
          <w:szCs w:val="24"/>
        </w:rPr>
        <w:t xml:space="preserve">Open-Access: </w:t>
      </w:r>
      <w:r w:rsidRPr="008243EC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8243E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BC0998" w:rsidRPr="00A02FDE" w:rsidRDefault="00BC0998" w:rsidP="00A02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 w:eastAsia="zh-CN"/>
        </w:rPr>
      </w:pPr>
    </w:p>
    <w:p w:rsidR="00CD79B5" w:rsidRPr="00A02FDE" w:rsidRDefault="004D7AE8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de-DE"/>
        </w:rPr>
      </w:pPr>
      <w:r w:rsidRPr="00A02FDE">
        <w:rPr>
          <w:rFonts w:ascii="Book Antiqua" w:hAnsi="Book Antiqua"/>
          <w:b/>
          <w:sz w:val="24"/>
          <w:szCs w:val="24"/>
        </w:rPr>
        <w:t>Correspondence to:</w:t>
      </w:r>
      <w:r w:rsidRPr="00A02FD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D79B5" w:rsidRPr="00A02FDE">
        <w:rPr>
          <w:rFonts w:ascii="Book Antiqua" w:eastAsia="Times New Roman" w:hAnsi="Book Antiqua" w:cs="Arial"/>
          <w:b/>
          <w:sz w:val="24"/>
          <w:szCs w:val="24"/>
          <w:lang w:val="en-US" w:eastAsia="nl-NL"/>
        </w:rPr>
        <w:t>Arnold</w:t>
      </w:r>
      <w:r w:rsidR="00920AA7" w:rsidRPr="00A02FDE">
        <w:rPr>
          <w:rFonts w:ascii="Book Antiqua" w:eastAsia="Times New Roman" w:hAnsi="Book Antiqua" w:cs="Arial"/>
          <w:b/>
          <w:sz w:val="24"/>
          <w:szCs w:val="24"/>
          <w:lang w:val="en-US" w:eastAsia="nl-NL"/>
        </w:rPr>
        <w:t>-</w:t>
      </w:r>
      <w:r w:rsidR="00CD79B5" w:rsidRPr="00A02FDE">
        <w:rPr>
          <w:rFonts w:ascii="Book Antiqua" w:eastAsia="Times New Roman" w:hAnsi="Book Antiqua" w:cs="Arial"/>
          <w:b/>
          <w:sz w:val="24"/>
          <w:szCs w:val="24"/>
          <w:lang w:val="en-US" w:eastAsia="nl-NL"/>
        </w:rPr>
        <w:t>Jan Kruse, MD</w:t>
      </w:r>
      <w:r w:rsidRPr="00A02FDE">
        <w:rPr>
          <w:rFonts w:ascii="Book Antiqua" w:hAnsi="Book Antiqua" w:cs="Arial"/>
          <w:b/>
          <w:sz w:val="24"/>
          <w:szCs w:val="24"/>
          <w:lang w:val="en-US" w:eastAsia="zh-CN"/>
        </w:rPr>
        <w:t>,</w:t>
      </w:r>
      <w:r w:rsidR="00CD79B5" w:rsidRPr="00A02FDE">
        <w:rPr>
          <w:rFonts w:ascii="Book Antiqua" w:eastAsia="Times New Roman" w:hAnsi="Book Antiqua" w:cs="Arial"/>
          <w:b/>
          <w:sz w:val="24"/>
          <w:szCs w:val="24"/>
          <w:lang w:val="en-US" w:eastAsia="nl-NL"/>
        </w:rPr>
        <w:t xml:space="preserve"> PhD</w:t>
      </w:r>
      <w:r w:rsidRPr="00A02FDE">
        <w:rPr>
          <w:rFonts w:ascii="Book Antiqua" w:hAnsi="Book Antiqua" w:cs="Arial"/>
          <w:b/>
          <w:sz w:val="24"/>
          <w:szCs w:val="24"/>
          <w:lang w:val="en-US" w:eastAsia="zh-CN"/>
        </w:rPr>
        <w:t>,</w:t>
      </w:r>
      <w:r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Department of Obstetrics and Gynecology, Maastricht University Medical Center, </w:t>
      </w:r>
      <w:r w:rsidRPr="00A02FDE">
        <w:rPr>
          <w:rFonts w:ascii="Book Antiqua" w:hAnsi="Book Antiqua" w:cs="Arial"/>
          <w:sz w:val="24"/>
          <w:szCs w:val="24"/>
          <w:lang w:val="de-DE"/>
        </w:rPr>
        <w:t>Postbus 5800</w:t>
      </w:r>
      <w:r w:rsidRPr="00A02FDE">
        <w:rPr>
          <w:rFonts w:ascii="Book Antiqua" w:hAnsi="Book Antiqua" w:cs="Arial"/>
          <w:sz w:val="24"/>
          <w:szCs w:val="24"/>
          <w:lang w:val="de-DE" w:eastAsia="zh-CN"/>
        </w:rPr>
        <w:t xml:space="preserve">, </w:t>
      </w:r>
      <w:r w:rsid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>6202 AZ</w:t>
      </w:r>
      <w:r w:rsidRPr="00A02FDE">
        <w:rPr>
          <w:rFonts w:ascii="Book Antiqua" w:eastAsia="Times New Roman" w:hAnsi="Book Antiqua" w:cs="Arial"/>
          <w:sz w:val="24"/>
          <w:szCs w:val="24"/>
          <w:lang w:val="en-US" w:eastAsia="nl-NL"/>
        </w:rPr>
        <w:t xml:space="preserve"> Maastricht, the Netherlands</w:t>
      </w:r>
      <w:r w:rsidRPr="00A02FDE">
        <w:rPr>
          <w:rFonts w:ascii="Book Antiqua" w:hAnsi="Book Antiqua" w:cs="Arial"/>
          <w:sz w:val="24"/>
          <w:szCs w:val="24"/>
          <w:lang w:val="de-DE" w:eastAsia="zh-CN"/>
        </w:rPr>
        <w:t xml:space="preserve">. </w:t>
      </w:r>
      <w:hyperlink r:id="rId9" w:history="1">
        <w:r w:rsidR="00CD79B5" w:rsidRPr="00A02FDE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  <w:lang w:val="de-DE"/>
          </w:rPr>
          <w:t>arnoldjankruse@hotmail.com</w:t>
        </w:r>
      </w:hyperlink>
    </w:p>
    <w:p w:rsidR="00CD79B5" w:rsidRPr="00A02FDE" w:rsidRDefault="00577775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A02FDE">
        <w:rPr>
          <w:rFonts w:ascii="Book Antiqua" w:hAnsi="Book Antiqua" w:cs="Arial"/>
          <w:b/>
          <w:sz w:val="24"/>
          <w:szCs w:val="24"/>
          <w:lang w:val="en-US"/>
        </w:rPr>
        <w:t xml:space="preserve">Telephone: </w:t>
      </w:r>
      <w:r w:rsidRPr="00A02FDE">
        <w:rPr>
          <w:rStyle w:val="ecx890500014-14042010"/>
          <w:rFonts w:ascii="Book Antiqua" w:hAnsi="Book Antiqua" w:cs="Arial"/>
          <w:sz w:val="24"/>
          <w:szCs w:val="24"/>
          <w:lang w:val="en-US"/>
        </w:rPr>
        <w:t>+31</w:t>
      </w:r>
      <w:r w:rsidR="004D7AE8" w:rsidRPr="00A02FDE">
        <w:rPr>
          <w:rStyle w:val="ecx890500014-14042010"/>
          <w:rFonts w:ascii="Book Antiqua" w:hAnsi="Book Antiqua" w:cs="Arial"/>
          <w:sz w:val="24"/>
          <w:szCs w:val="24"/>
          <w:lang w:val="en-US" w:eastAsia="zh-CN"/>
        </w:rPr>
        <w:t>-</w:t>
      </w:r>
      <w:r w:rsidRPr="00A02FDE">
        <w:rPr>
          <w:rStyle w:val="ecx890500014-14042010"/>
          <w:rFonts w:ascii="Book Antiqua" w:hAnsi="Book Antiqua" w:cs="Arial"/>
          <w:sz w:val="24"/>
          <w:szCs w:val="24"/>
          <w:lang w:val="en-US"/>
        </w:rPr>
        <w:t>43</w:t>
      </w:r>
      <w:r w:rsidR="004D7AE8" w:rsidRPr="00A02FDE">
        <w:rPr>
          <w:rStyle w:val="ecx890500014-14042010"/>
          <w:rFonts w:ascii="Book Antiqua" w:hAnsi="Book Antiqua" w:cs="Arial"/>
          <w:sz w:val="24"/>
          <w:szCs w:val="24"/>
          <w:lang w:val="en-US" w:eastAsia="zh-CN"/>
        </w:rPr>
        <w:t>-</w:t>
      </w:r>
      <w:r w:rsidR="004D7AE8" w:rsidRPr="00A02FDE">
        <w:rPr>
          <w:rStyle w:val="ecx890500014-14042010"/>
          <w:rFonts w:ascii="Book Antiqua" w:hAnsi="Book Antiqua" w:cs="Arial"/>
          <w:sz w:val="24"/>
          <w:szCs w:val="24"/>
          <w:lang w:val="en-US"/>
        </w:rPr>
        <w:t>387</w:t>
      </w:r>
      <w:r w:rsidRPr="00A02FDE">
        <w:rPr>
          <w:rStyle w:val="ecx890500014-14042010"/>
          <w:rFonts w:ascii="Book Antiqua" w:hAnsi="Book Antiqua" w:cs="Arial"/>
          <w:sz w:val="24"/>
          <w:szCs w:val="24"/>
          <w:lang w:val="en-US"/>
        </w:rPr>
        <w:t>4242</w:t>
      </w:r>
    </w:p>
    <w:p w:rsidR="00CD79B5" w:rsidRPr="00A02FDE" w:rsidRDefault="00CD79B5" w:rsidP="00A02FD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n-US" w:eastAsia="nl-NL"/>
        </w:rPr>
      </w:pP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Received: </w:t>
      </w:r>
      <w:r w:rsidR="00A02FDE" w:rsidRPr="00A02FDE">
        <w:rPr>
          <w:rFonts w:ascii="Book Antiqua" w:hAnsi="Book Antiqua"/>
          <w:sz w:val="24"/>
          <w:szCs w:val="24"/>
          <w:lang w:eastAsia="zh-CN"/>
        </w:rPr>
        <w:t>June 29, 2015</w:t>
      </w:r>
      <w:r w:rsidRPr="00A02FDE">
        <w:rPr>
          <w:rFonts w:ascii="Book Antiqua" w:hAnsi="Book Antiqua"/>
          <w:sz w:val="24"/>
          <w:szCs w:val="24"/>
        </w:rPr>
        <w:t xml:space="preserve">  </w:t>
      </w: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>Peer-review started:</w:t>
      </w:r>
      <w:r w:rsidR="00A02FDE" w:rsidRPr="00A02FDE">
        <w:rPr>
          <w:rFonts w:ascii="Book Antiqua" w:hAnsi="Book Antiqua"/>
          <w:sz w:val="24"/>
          <w:szCs w:val="24"/>
          <w:lang w:eastAsia="zh-CN"/>
        </w:rPr>
        <w:t xml:space="preserve"> July 1, 2015</w:t>
      </w:r>
      <w:r w:rsidR="00A02FDE" w:rsidRPr="00A02FDE">
        <w:rPr>
          <w:rFonts w:ascii="Book Antiqua" w:hAnsi="Book Antiqua"/>
          <w:sz w:val="24"/>
          <w:szCs w:val="24"/>
        </w:rPr>
        <w:t xml:space="preserve">  </w:t>
      </w: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>First decision:</w:t>
      </w:r>
      <w:r w:rsidR="00A02FDE" w:rsidRPr="00A02FDE">
        <w:rPr>
          <w:rFonts w:ascii="Book Antiqua" w:hAnsi="Book Antiqua"/>
          <w:sz w:val="24"/>
          <w:szCs w:val="24"/>
          <w:lang w:eastAsia="zh-CN"/>
        </w:rPr>
        <w:t xml:space="preserve"> September 30, 2015</w:t>
      </w:r>
      <w:r w:rsidR="00A02FDE" w:rsidRPr="00A02FDE">
        <w:rPr>
          <w:rFonts w:ascii="Book Antiqua" w:hAnsi="Book Antiqua"/>
          <w:sz w:val="24"/>
          <w:szCs w:val="24"/>
        </w:rPr>
        <w:t xml:space="preserve">  </w:t>
      </w: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Revised:  </w:t>
      </w:r>
      <w:r w:rsidR="00A02FDE" w:rsidRPr="00A02FDE">
        <w:rPr>
          <w:rFonts w:ascii="Book Antiqua" w:hAnsi="Book Antiqua"/>
          <w:sz w:val="24"/>
          <w:szCs w:val="24"/>
          <w:lang w:eastAsia="zh-CN"/>
        </w:rPr>
        <w:t>October 10, 2015</w:t>
      </w:r>
      <w:r w:rsidR="00A02FDE" w:rsidRPr="00A02FDE">
        <w:rPr>
          <w:rFonts w:ascii="Book Antiqua" w:hAnsi="Book Antiqua"/>
          <w:sz w:val="24"/>
          <w:szCs w:val="24"/>
        </w:rPr>
        <w:t xml:space="preserve">  </w:t>
      </w:r>
    </w:p>
    <w:p w:rsidR="00BC0998" w:rsidRPr="00351EAF" w:rsidRDefault="00BC0998" w:rsidP="00351EAF">
      <w:pPr>
        <w:rPr>
          <w:rFonts w:ascii="Book Antiqua" w:hAnsi="Book Antiqua"/>
          <w:iCs/>
          <w:sz w:val="24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Accepted: </w:t>
      </w:r>
      <w:r w:rsidR="00351EAF">
        <w:rPr>
          <w:rStyle w:val="Emphasis"/>
        </w:rPr>
        <w:t>November 10</w:t>
      </w:r>
      <w:r w:rsidR="00351EAF" w:rsidRPr="00235CD4">
        <w:rPr>
          <w:rStyle w:val="Emphasis"/>
        </w:rPr>
        <w:t>, 2015</w:t>
      </w:r>
      <w:bookmarkStart w:id="4" w:name="_GoBack"/>
      <w:bookmarkEnd w:id="4"/>
      <w:r w:rsidRPr="00A02FDE">
        <w:rPr>
          <w:rFonts w:ascii="Book Antiqua" w:hAnsi="Book Antiqua"/>
          <w:b/>
          <w:sz w:val="24"/>
          <w:szCs w:val="24"/>
        </w:rPr>
        <w:t xml:space="preserve"> </w:t>
      </w: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>Article in press:</w:t>
      </w:r>
      <w:r w:rsidRPr="00A02FDE">
        <w:rPr>
          <w:rFonts w:ascii="Book Antiqua" w:hAnsi="Book Antiqua"/>
          <w:sz w:val="24"/>
          <w:szCs w:val="24"/>
        </w:rPr>
        <w:t xml:space="preserve">    </w:t>
      </w:r>
    </w:p>
    <w:p w:rsidR="00BC0998" w:rsidRPr="00A02FDE" w:rsidRDefault="00BC0998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A02FDE" w:rsidRPr="00A02FDE" w:rsidRDefault="00A02FDE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br w:type="page"/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A02FDE">
        <w:rPr>
          <w:rFonts w:ascii="Book Antiqua" w:hAnsi="Book Antiqua"/>
          <w:b/>
          <w:sz w:val="24"/>
          <w:szCs w:val="24"/>
        </w:rPr>
        <w:lastRenderedPageBreak/>
        <w:t xml:space="preserve">Abstract </w:t>
      </w:r>
    </w:p>
    <w:p w:rsidR="00CD1592" w:rsidRPr="00A02FDE" w:rsidRDefault="00CD1592" w:rsidP="00A02FDE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</w:rPr>
      </w:pPr>
      <w:r w:rsidRPr="00A02FDE">
        <w:rPr>
          <w:rFonts w:ascii="Book Antiqua" w:eastAsia="Arial Unicode MS" w:hAnsi="Book Antiqua" w:cs="Arial Unicode MS"/>
          <w:sz w:val="24"/>
          <w:szCs w:val="24"/>
        </w:rPr>
        <w:t>I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mmunotherapy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129BC" w:rsidRPr="00A02FDE">
        <w:rPr>
          <w:rFonts w:ascii="Book Antiqua" w:hAnsi="Book Antiqua" w:cs="Arial"/>
          <w:sz w:val="24"/>
          <w:szCs w:val="24"/>
          <w:lang w:val="en-US"/>
        </w:rPr>
        <w:t>for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>cervical intraepithelial neoplasia (</w:t>
      </w:r>
      <w:r w:rsidRPr="00A02FDE">
        <w:rPr>
          <w:rFonts w:ascii="Book Antiqua" w:hAnsi="Book Antiqua" w:cs="Arial"/>
          <w:sz w:val="24"/>
          <w:szCs w:val="24"/>
          <w:lang w:val="en-US"/>
        </w:rPr>
        <w:t>CIN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>)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has not yet reached clinical applicability, but seems sensible and shows promising preliminary results. 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One of the most promising forms of immunotherapy </w:t>
      </w:r>
      <w:r w:rsidR="001129BC" w:rsidRPr="00A02FDE">
        <w:rPr>
          <w:rFonts w:ascii="Book Antiqua" w:hAnsi="Book Antiqua" w:cs="Arial"/>
          <w:sz w:val="24"/>
          <w:szCs w:val="24"/>
          <w:lang w:val="en-GB"/>
        </w:rPr>
        <w:t>for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 CIN may currently be </w:t>
      </w:r>
      <w:proofErr w:type="spellStart"/>
      <w:r w:rsidRPr="00A02FDE">
        <w:rPr>
          <w:rFonts w:ascii="Book Antiqua" w:hAnsi="Book Antiqua" w:cs="Arial"/>
          <w:sz w:val="24"/>
          <w:szCs w:val="24"/>
          <w:lang w:val="en-GB"/>
        </w:rPr>
        <w:t>imiquimod</w:t>
      </w:r>
      <w:proofErr w:type="spellEnd"/>
      <w:r w:rsidRPr="00A02FDE">
        <w:rPr>
          <w:rFonts w:ascii="Book Antiqua" w:hAnsi="Book Antiqua" w:cs="Arial"/>
          <w:sz w:val="24"/>
          <w:szCs w:val="24"/>
          <w:lang w:val="en-GB"/>
        </w:rPr>
        <w:t xml:space="preserve">, because of its established role in other </w:t>
      </w:r>
      <w:r w:rsidR="003923C0" w:rsidRPr="00A02FDE">
        <w:rPr>
          <w:rFonts w:ascii="Book Antiqua" w:hAnsi="Book Antiqua" w:cs="Arial"/>
          <w:sz w:val="24"/>
          <w:szCs w:val="24"/>
          <w:lang w:val="en-GB"/>
        </w:rPr>
        <w:t>human papillomavirus (</w:t>
      </w:r>
      <w:r w:rsidRPr="00A02FDE">
        <w:rPr>
          <w:rFonts w:ascii="Book Antiqua" w:hAnsi="Book Antiqua" w:cs="Arial"/>
          <w:sz w:val="24"/>
          <w:szCs w:val="24"/>
          <w:lang w:val="en-GB"/>
        </w:rPr>
        <w:t>HPV</w:t>
      </w:r>
      <w:r w:rsidR="003923C0" w:rsidRPr="00A02FDE">
        <w:rPr>
          <w:rFonts w:ascii="Book Antiqua" w:hAnsi="Book Antiqua" w:cs="Arial"/>
          <w:sz w:val="24"/>
          <w:szCs w:val="24"/>
          <w:lang w:val="en-GB"/>
        </w:rPr>
        <w:t>)</w:t>
      </w:r>
      <w:r w:rsidRPr="00A02FDE">
        <w:rPr>
          <w:rFonts w:ascii="Book Antiqua" w:hAnsi="Book Antiqua" w:cs="Arial"/>
          <w:sz w:val="24"/>
          <w:szCs w:val="24"/>
          <w:lang w:val="en-GB"/>
        </w:rPr>
        <w:t>-induced genital conditions, its promising treatment efficacy in high-grade CIN</w:t>
      </w:r>
      <w:r w:rsidR="003923C0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 and its off-label availability. 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Although 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cannot yet replace the current gold 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 xml:space="preserve">standard 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treatment 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>for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CIN (</w:t>
      </w:r>
      <w:r w:rsidR="00697E31" w:rsidRPr="00A02FDE">
        <w:rPr>
          <w:rFonts w:ascii="Book Antiqua" w:hAnsi="Book Antiqua" w:cs="Arial"/>
          <w:i/>
          <w:sz w:val="24"/>
          <w:szCs w:val="24"/>
          <w:lang w:val="en-US"/>
        </w:rPr>
        <w:t>i.e.</w:t>
      </w:r>
      <w:r w:rsidR="00697E31" w:rsidRPr="00A02FDE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 xml:space="preserve">large loop excision of the transformation zone; </w:t>
      </w:r>
      <w:r w:rsidRPr="00A02FDE">
        <w:rPr>
          <w:rFonts w:ascii="Book Antiqua" w:hAnsi="Book Antiqua" w:cs="Arial"/>
          <w:sz w:val="24"/>
          <w:szCs w:val="24"/>
          <w:lang w:val="en-US"/>
        </w:rPr>
        <w:t>LLETZ) in all patients, it may be considered in subgroups of patients</w:t>
      </w:r>
      <w:r w:rsidR="00697E31" w:rsidRPr="00A02FDE">
        <w:rPr>
          <w:rFonts w:ascii="Book Antiqua" w:hAnsi="Book Antiqua" w:cs="Arial"/>
          <w:sz w:val="24"/>
          <w:szCs w:val="24"/>
          <w:lang w:val="en-US"/>
        </w:rPr>
        <w:t>;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for example</w:t>
      </w:r>
      <w:r w:rsidR="00697E31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young women 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>who may wish to become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pregnan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>t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923C0" w:rsidRPr="00A02FDE">
        <w:rPr>
          <w:rFonts w:ascii="Book Antiqua" w:hAnsi="Book Antiqua" w:cs="Arial"/>
          <w:sz w:val="24"/>
          <w:szCs w:val="24"/>
          <w:lang w:val="en-US"/>
        </w:rPr>
        <w:t>in the future</w:t>
      </w:r>
      <w:r w:rsidR="00697E31" w:rsidRPr="00A02FDE">
        <w:rPr>
          <w:rFonts w:ascii="Book Antiqua" w:hAnsi="Book Antiqua" w:cs="Arial"/>
          <w:sz w:val="24"/>
          <w:szCs w:val="24"/>
          <w:lang w:val="en-US"/>
        </w:rPr>
        <w:t>, or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patients with recurrent CIN lesions in whom a second LLETZ is to be avoided. Immunotherapy of CIN could be extended to post-treatment vaccination, in order to prevent new HPV infections and disease recurrence. </w:t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1077A3" w:rsidRPr="00A02FDE" w:rsidRDefault="008E30ED" w:rsidP="00A02F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>Key words:</w:t>
      </w:r>
      <w:r w:rsidRPr="00A02FDE">
        <w:rPr>
          <w:rFonts w:ascii="Book Antiqua" w:hAnsi="Book Antiqua"/>
          <w:sz w:val="24"/>
          <w:szCs w:val="24"/>
        </w:rPr>
        <w:t xml:space="preserve"> </w:t>
      </w:r>
      <w:r w:rsidR="001077A3" w:rsidRPr="00A02FDE">
        <w:rPr>
          <w:rFonts w:ascii="Book Antiqua" w:hAnsi="Book Antiqua"/>
          <w:sz w:val="24"/>
          <w:szCs w:val="24"/>
        </w:rPr>
        <w:t xml:space="preserve">Cervix; </w:t>
      </w:r>
      <w:r w:rsidR="00A02FDE" w:rsidRPr="00A02FDE">
        <w:rPr>
          <w:rFonts w:ascii="Book Antiqua" w:hAnsi="Book Antiqua" w:cs="Arial"/>
          <w:sz w:val="24"/>
          <w:szCs w:val="24"/>
          <w:lang w:val="en-US"/>
        </w:rPr>
        <w:t>Cervical intraepithelial neoplasia</w:t>
      </w:r>
      <w:r w:rsidR="001077A3" w:rsidRPr="00A02FDE">
        <w:rPr>
          <w:rFonts w:ascii="Book Antiqua" w:hAnsi="Book Antiqua"/>
          <w:sz w:val="24"/>
          <w:szCs w:val="24"/>
        </w:rPr>
        <w:t>;</w:t>
      </w:r>
      <w:r w:rsidR="00A02FDE" w:rsidRPr="00A02FDE">
        <w:rPr>
          <w:rFonts w:ascii="Book Antiqua" w:hAnsi="Book Antiqua" w:cs="Arial"/>
          <w:sz w:val="24"/>
          <w:szCs w:val="24"/>
          <w:lang w:val="en-US"/>
        </w:rPr>
        <w:t xml:space="preserve"> Large loop excision of the transformation zone</w:t>
      </w:r>
      <w:r w:rsidR="001077A3" w:rsidRPr="00A02FDE">
        <w:rPr>
          <w:rFonts w:ascii="Book Antiqua" w:hAnsi="Book Antiqua"/>
          <w:sz w:val="24"/>
          <w:szCs w:val="24"/>
        </w:rPr>
        <w:t>;</w:t>
      </w:r>
      <w:r w:rsidR="00A02FDE" w:rsidRPr="00A02FDE">
        <w:rPr>
          <w:rFonts w:ascii="Book Antiqua" w:hAnsi="Book Antiqua"/>
          <w:sz w:val="24"/>
          <w:szCs w:val="24"/>
        </w:rPr>
        <w:t xml:space="preserve"> I</w:t>
      </w:r>
      <w:r w:rsidR="001077A3" w:rsidRPr="00A02FDE">
        <w:rPr>
          <w:rFonts w:ascii="Book Antiqua" w:hAnsi="Book Antiqua"/>
          <w:sz w:val="24"/>
          <w:szCs w:val="24"/>
        </w:rPr>
        <w:t xml:space="preserve">mmunotherapy; </w:t>
      </w:r>
      <w:r w:rsidR="00A02FDE" w:rsidRPr="00A02FDE">
        <w:rPr>
          <w:rFonts w:ascii="Book Antiqua" w:hAnsi="Book Antiqua"/>
          <w:sz w:val="24"/>
          <w:szCs w:val="24"/>
        </w:rPr>
        <w:t>R</w:t>
      </w:r>
      <w:r w:rsidR="001077A3" w:rsidRPr="00A02FDE">
        <w:rPr>
          <w:rFonts w:ascii="Book Antiqua" w:hAnsi="Book Antiqua"/>
          <w:sz w:val="24"/>
          <w:szCs w:val="24"/>
        </w:rPr>
        <w:t xml:space="preserve">egression; </w:t>
      </w:r>
      <w:r w:rsidR="00A02FDE" w:rsidRPr="00A02FDE">
        <w:rPr>
          <w:rFonts w:ascii="Book Antiqua" w:hAnsi="Book Antiqua" w:cs="Arial"/>
          <w:sz w:val="24"/>
          <w:szCs w:val="24"/>
          <w:lang w:val="en-GB"/>
        </w:rPr>
        <w:t>Human papillomavirus</w:t>
      </w:r>
    </w:p>
    <w:p w:rsidR="008E30ED" w:rsidRPr="00A02FDE" w:rsidRDefault="008E30ED" w:rsidP="00A02FD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02FDE" w:rsidRPr="00A02FDE" w:rsidRDefault="00A02FDE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02FDE">
        <w:rPr>
          <w:rFonts w:ascii="Book Antiqua" w:hAnsi="Book Antiqua"/>
          <w:b/>
          <w:sz w:val="24"/>
          <w:szCs w:val="24"/>
        </w:rPr>
        <w:t xml:space="preserve">© </w:t>
      </w:r>
      <w:r w:rsidRPr="00A02FDE">
        <w:rPr>
          <w:rFonts w:ascii="Book Antiqua" w:hAnsi="Book Antiqua" w:cs="Arial"/>
          <w:b/>
          <w:sz w:val="24"/>
          <w:szCs w:val="24"/>
        </w:rPr>
        <w:t>The Author(s) 2015.</w:t>
      </w:r>
      <w:r w:rsidRPr="00A02FDE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A02FDE" w:rsidRPr="00A02FDE" w:rsidRDefault="00A02FDE" w:rsidP="00A02FD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CD1592" w:rsidRPr="00A02FDE" w:rsidRDefault="008E30ED" w:rsidP="00A02FDE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A02FDE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A02FDE" w:rsidRPr="00A02FDE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A02FDE" w:rsidRPr="00A02FDE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CD1592" w:rsidRPr="00A02FDE">
        <w:rPr>
          <w:rFonts w:ascii="Book Antiqua" w:eastAsia="Arial Unicode MS" w:hAnsi="Book Antiqua" w:cs="Arial Unicode MS"/>
          <w:sz w:val="24"/>
          <w:szCs w:val="24"/>
        </w:rPr>
        <w:t xml:space="preserve">Immunotherapy for </w:t>
      </w:r>
      <w:r w:rsidR="00A02FDE" w:rsidRPr="00A02FDE">
        <w:rPr>
          <w:rFonts w:ascii="Book Antiqua" w:hAnsi="Book Antiqua" w:cs="Arial"/>
          <w:sz w:val="24"/>
          <w:szCs w:val="24"/>
          <w:lang w:val="en-US"/>
        </w:rPr>
        <w:t>cervical intraepithelial neoplasia (CIN)</w:t>
      </w:r>
      <w:r w:rsidR="00CD1592" w:rsidRPr="00A02FDE">
        <w:rPr>
          <w:rFonts w:ascii="Book Antiqua" w:eastAsia="Arial Unicode MS" w:hAnsi="Book Antiqua" w:cs="Arial Unicode MS"/>
          <w:sz w:val="24"/>
          <w:szCs w:val="24"/>
        </w:rPr>
        <w:t xml:space="preserve"> is discussed in light of the natural history of CIN</w:t>
      </w:r>
      <w:r w:rsidR="00F26D69" w:rsidRPr="00A02FDE">
        <w:rPr>
          <w:rFonts w:ascii="Book Antiqua" w:eastAsia="Arial Unicode MS" w:hAnsi="Book Antiqua" w:cs="Arial Unicode MS"/>
          <w:sz w:val="24"/>
          <w:szCs w:val="24"/>
        </w:rPr>
        <w:t>.</w:t>
      </w:r>
      <w:r w:rsidR="00CD1592" w:rsidRPr="00A02FD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F26D69" w:rsidRPr="00A02FDE">
        <w:rPr>
          <w:rFonts w:ascii="Book Antiqua" w:eastAsia="Arial Unicode MS" w:hAnsi="Book Antiqua" w:cs="Arial Unicode MS"/>
          <w:sz w:val="24"/>
          <w:szCs w:val="24"/>
        </w:rPr>
        <w:t xml:space="preserve">The pros and cons of </w:t>
      </w:r>
      <w:r w:rsidR="00697E31" w:rsidRPr="00A02FDE">
        <w:rPr>
          <w:rFonts w:ascii="Book Antiqua" w:eastAsia="Arial Unicode MS" w:hAnsi="Book Antiqua" w:cs="Arial Unicode MS"/>
          <w:sz w:val="24"/>
          <w:szCs w:val="24"/>
        </w:rPr>
        <w:t xml:space="preserve">the </w:t>
      </w:r>
      <w:r w:rsidR="00CD1592" w:rsidRPr="00A02FDE">
        <w:rPr>
          <w:rFonts w:ascii="Book Antiqua" w:eastAsia="Arial Unicode MS" w:hAnsi="Book Antiqua" w:cs="Arial Unicode MS"/>
          <w:sz w:val="24"/>
          <w:szCs w:val="24"/>
        </w:rPr>
        <w:t>current standard therapy</w:t>
      </w:r>
      <w:r w:rsidR="0049762C" w:rsidRPr="00A02FDE">
        <w:rPr>
          <w:rFonts w:ascii="Book Antiqua" w:eastAsia="Arial Unicode MS" w:hAnsi="Book Antiqua" w:cs="Arial Unicode MS"/>
          <w:sz w:val="24"/>
          <w:szCs w:val="24"/>
        </w:rPr>
        <w:t xml:space="preserve"> (</w:t>
      </w:r>
      <w:r w:rsidR="00A02FDE" w:rsidRPr="00A02FDE">
        <w:rPr>
          <w:rFonts w:ascii="Book Antiqua" w:hAnsi="Book Antiqua" w:cs="Arial"/>
          <w:sz w:val="24"/>
          <w:szCs w:val="24"/>
          <w:lang w:val="en-US"/>
        </w:rPr>
        <w:t>large loop excision of the transformation zone</w:t>
      </w:r>
      <w:r w:rsidR="0049762C" w:rsidRPr="00A02FDE">
        <w:rPr>
          <w:rFonts w:ascii="Book Antiqua" w:eastAsia="Arial Unicode MS" w:hAnsi="Book Antiqua" w:cs="Arial Unicode MS"/>
          <w:sz w:val="24"/>
          <w:szCs w:val="24"/>
        </w:rPr>
        <w:t>)</w:t>
      </w:r>
      <w:r w:rsidR="00CD1592" w:rsidRPr="00A02FD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49762C" w:rsidRPr="00A02FDE">
        <w:rPr>
          <w:rFonts w:ascii="Book Antiqua" w:eastAsia="Arial Unicode MS" w:hAnsi="Book Antiqua" w:cs="Arial Unicode MS"/>
          <w:sz w:val="24"/>
          <w:szCs w:val="24"/>
        </w:rPr>
        <w:t>and immunotherapy</w:t>
      </w:r>
      <w:r w:rsidR="00CF0AC4" w:rsidRPr="00A02FDE">
        <w:rPr>
          <w:rFonts w:ascii="Book Antiqua" w:eastAsia="Arial Unicode MS" w:hAnsi="Book Antiqua" w:cs="Arial Unicode MS"/>
          <w:sz w:val="24"/>
          <w:szCs w:val="24"/>
        </w:rPr>
        <w:t xml:space="preserve">, </w:t>
      </w:r>
      <w:r w:rsidR="00F26D69" w:rsidRPr="00A02FDE">
        <w:rPr>
          <w:rFonts w:ascii="Book Antiqua" w:eastAsia="Arial Unicode MS" w:hAnsi="Book Antiqua" w:cs="Arial Unicode MS"/>
          <w:sz w:val="24"/>
          <w:szCs w:val="24"/>
        </w:rPr>
        <w:t xml:space="preserve">potential side effects, </w:t>
      </w:r>
      <w:r w:rsidR="00CF0AC4" w:rsidRPr="00A02FDE">
        <w:rPr>
          <w:rFonts w:ascii="Book Antiqua" w:eastAsia="Arial Unicode MS" w:hAnsi="Book Antiqua" w:cs="Arial Unicode MS"/>
          <w:sz w:val="24"/>
          <w:szCs w:val="24"/>
        </w:rPr>
        <w:t>and available evidence</w:t>
      </w:r>
      <w:r w:rsidR="0049762C" w:rsidRPr="00A02FD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F26D69" w:rsidRPr="00A02FDE">
        <w:rPr>
          <w:rFonts w:ascii="Book Antiqua" w:eastAsia="Arial Unicode MS" w:hAnsi="Book Antiqua" w:cs="Arial Unicode MS"/>
          <w:sz w:val="24"/>
          <w:szCs w:val="24"/>
        </w:rPr>
        <w:t xml:space="preserve">supporting the use of </w:t>
      </w:r>
      <w:r w:rsidR="0049762C" w:rsidRPr="00A02FDE">
        <w:rPr>
          <w:rFonts w:ascii="Book Antiqua" w:eastAsia="Arial Unicode MS" w:hAnsi="Book Antiqua" w:cs="Arial Unicode MS"/>
          <w:sz w:val="24"/>
          <w:szCs w:val="24"/>
        </w:rPr>
        <w:t>immunotherapy</w:t>
      </w:r>
      <w:r w:rsidR="00916E18" w:rsidRPr="00A02FDE">
        <w:rPr>
          <w:rFonts w:ascii="Book Antiqua" w:eastAsia="Arial Unicode MS" w:hAnsi="Book Antiqua" w:cs="Arial Unicode MS"/>
          <w:sz w:val="24"/>
          <w:szCs w:val="24"/>
        </w:rPr>
        <w:t xml:space="preserve"> in CIN</w:t>
      </w:r>
      <w:r w:rsidR="00F26D69" w:rsidRPr="00A02FDE">
        <w:rPr>
          <w:rFonts w:ascii="Book Antiqua" w:eastAsia="Arial Unicode MS" w:hAnsi="Book Antiqua" w:cs="Arial Unicode MS"/>
          <w:sz w:val="24"/>
          <w:szCs w:val="24"/>
        </w:rPr>
        <w:t xml:space="preserve"> are addressed</w:t>
      </w:r>
      <w:r w:rsidR="00CF0AC4" w:rsidRPr="00A02FDE">
        <w:rPr>
          <w:rFonts w:ascii="Book Antiqua" w:eastAsia="Arial Unicode MS" w:hAnsi="Book Antiqua" w:cs="Arial Unicode MS"/>
          <w:sz w:val="24"/>
          <w:szCs w:val="24"/>
        </w:rPr>
        <w:t xml:space="preserve">. </w:t>
      </w:r>
    </w:p>
    <w:p w:rsidR="00A02FDE" w:rsidRPr="00A02FDE" w:rsidRDefault="00A02FDE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A02FDE" w:rsidRPr="00A02FDE" w:rsidRDefault="00A02FDE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Koeneman</w:t>
      </w:r>
      <w:proofErr w:type="spellEnd"/>
      <w:r w:rsidRPr="00A02FDE">
        <w:rPr>
          <w:rFonts w:ascii="Book Antiqua" w:hAnsi="Book Antiqua" w:cs="Arial"/>
          <w:sz w:val="24"/>
          <w:szCs w:val="24"/>
          <w:lang w:val="en-US" w:eastAsia="zh-CN"/>
        </w:rPr>
        <w:t xml:space="preserve"> M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Kruitwagen</w:t>
      </w:r>
      <w:proofErr w:type="spellEnd"/>
      <w:r w:rsidRPr="00A02FDE">
        <w:rPr>
          <w:rFonts w:ascii="Book Antiqua" w:hAnsi="Book Antiqua" w:cs="Arial"/>
          <w:sz w:val="24"/>
          <w:szCs w:val="24"/>
          <w:lang w:val="en-US" w:eastAsia="zh-CN"/>
        </w:rPr>
        <w:t xml:space="preserve"> R</w:t>
      </w:r>
      <w:r w:rsidRPr="00A02FDE">
        <w:rPr>
          <w:rFonts w:ascii="Book Antiqua" w:hAnsi="Book Antiqua" w:cs="Arial"/>
          <w:sz w:val="24"/>
          <w:szCs w:val="24"/>
          <w:lang w:val="en-US"/>
        </w:rPr>
        <w:t>, Kruse</w:t>
      </w:r>
      <w:r w:rsidRPr="00A02FDE">
        <w:rPr>
          <w:rFonts w:ascii="Book Antiqua" w:hAnsi="Book Antiqua" w:cs="Arial"/>
          <w:sz w:val="24"/>
          <w:szCs w:val="24"/>
          <w:lang w:val="en-US" w:eastAsia="zh-CN"/>
        </w:rPr>
        <w:t xml:space="preserve"> AJ.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Pr="00A02FDE">
        <w:rPr>
          <w:rFonts w:ascii="Book Antiqua" w:hAnsi="Book Antiqua" w:cs="Arial"/>
          <w:sz w:val="24"/>
          <w:szCs w:val="24"/>
          <w:lang w:val="en-US"/>
        </w:rPr>
        <w:t>Clinical applicability of immunotherapy of cervical intraepithelial neoplasia</w:t>
      </w:r>
      <w:r w:rsidRPr="00A02FDE">
        <w:rPr>
          <w:rFonts w:ascii="Book Antiqua" w:hAnsi="Book Antiqua" w:cs="Arial"/>
          <w:sz w:val="24"/>
          <w:szCs w:val="24"/>
          <w:lang w:val="en-US" w:eastAsia="zh-CN"/>
        </w:rPr>
        <w:t>.</w:t>
      </w:r>
      <w:proofErr w:type="gramEnd"/>
      <w:r w:rsidRPr="00A02FDE">
        <w:rPr>
          <w:rFonts w:ascii="Book Antiqua" w:hAnsi="Book Antiqua" w:cs="Arial"/>
          <w:sz w:val="24"/>
          <w:szCs w:val="24"/>
          <w:lang w:val="en-US" w:eastAsia="zh-CN"/>
        </w:rPr>
        <w:t xml:space="preserve"> </w:t>
      </w:r>
      <w:r w:rsidRPr="00A02FDE">
        <w:rPr>
          <w:rFonts w:ascii="Book Antiqua" w:hAnsi="Book Antiqua"/>
          <w:i/>
          <w:iCs/>
          <w:sz w:val="24"/>
          <w:szCs w:val="24"/>
        </w:rPr>
        <w:t>World J Obstet Gynecol</w:t>
      </w:r>
      <w:r w:rsidRPr="00A02FD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A02FDE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:rsidR="00F678D9" w:rsidRPr="00A02FDE" w:rsidRDefault="00CD79B5" w:rsidP="00A02FDE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A02FDE">
        <w:rPr>
          <w:rFonts w:ascii="Book Antiqua" w:hAnsi="Book Antiqua" w:cs="Arial"/>
          <w:b/>
          <w:sz w:val="24"/>
          <w:szCs w:val="24"/>
          <w:lang w:val="en-US"/>
        </w:rPr>
        <w:br w:type="page"/>
      </w:r>
      <w:r w:rsidR="00A02FDE" w:rsidRPr="00A02FDE">
        <w:rPr>
          <w:rFonts w:ascii="Book Antiqua" w:hAnsi="Book Antiqua" w:cs="Arial"/>
          <w:b/>
          <w:sz w:val="24"/>
          <w:szCs w:val="24"/>
          <w:lang w:val="en-US"/>
        </w:rPr>
        <w:lastRenderedPageBreak/>
        <w:t>IMMUNOTHERAPY OF CERVICAL INTRAEPITHELIAL NEOPLASIA</w:t>
      </w:r>
    </w:p>
    <w:p w:rsidR="00277431" w:rsidRPr="00A02FDE" w:rsidRDefault="00A02FDE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A02FDE">
        <w:rPr>
          <w:rFonts w:ascii="Book Antiqua" w:hAnsi="Book Antiqua" w:cs="Arial"/>
          <w:sz w:val="24"/>
          <w:szCs w:val="24"/>
          <w:lang w:val="en-US"/>
        </w:rPr>
        <w:t>Cervical intraepithelial neoplasia (CIN)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is 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 xml:space="preserve">caused by infection with human papillomavirus (HPV). 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>Low-grade lesions are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 primarily caused by low-risk HPV types and are 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the result of productive infections, in which viral replication takes </w:t>
      </w:r>
      <w:proofErr w:type="gramStart"/>
      <w:r w:rsidR="00F678D9" w:rsidRPr="00A02FDE">
        <w:rPr>
          <w:rFonts w:ascii="Book Antiqua" w:hAnsi="Book Antiqua" w:cs="Arial"/>
          <w:sz w:val="24"/>
          <w:szCs w:val="24"/>
          <w:lang w:val="en-GB"/>
        </w:rPr>
        <w:t>place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1,2]</w:t>
      </w:r>
      <w:r w:rsidR="00342F46" w:rsidRPr="00A02FDE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Most of these lesions are effectively cleared by the host immune </w:t>
      </w:r>
      <w:proofErr w:type="gramStart"/>
      <w:r w:rsidR="00F678D9" w:rsidRPr="00A02FDE">
        <w:rPr>
          <w:rFonts w:ascii="Book Antiqua" w:hAnsi="Book Antiqua" w:cs="Arial"/>
          <w:sz w:val="24"/>
          <w:szCs w:val="24"/>
          <w:lang w:val="en-GB"/>
        </w:rPr>
        <w:t>response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3]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342F46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High-grade lesions are 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primarily caused by the more oncogenic high-risk HPV types (mainly HPV-16 and -18) and are 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 xml:space="preserve">the result of a transforming infection 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of cells of the </w:t>
      </w:r>
      <w:proofErr w:type="spellStart"/>
      <w:r w:rsidR="00F678D9" w:rsidRPr="00A02FDE">
        <w:rPr>
          <w:rFonts w:ascii="Book Antiqua" w:hAnsi="Book Antiqua" w:cs="Arial"/>
          <w:sz w:val="24"/>
          <w:szCs w:val="24"/>
          <w:lang w:val="en-GB"/>
        </w:rPr>
        <w:t>squamocolumnar</w:t>
      </w:r>
      <w:proofErr w:type="spellEnd"/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 junction. In these infections, 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>normal viral gene expression</w:t>
      </w:r>
      <w:r w:rsidR="00F678D9" w:rsidRPr="00A02FDE">
        <w:rPr>
          <w:rFonts w:ascii="Book Antiqua" w:hAnsi="Book Antiqua" w:cs="Arial"/>
          <w:sz w:val="24"/>
          <w:szCs w:val="24"/>
          <w:lang w:val="en-GB"/>
        </w:rPr>
        <w:t xml:space="preserve"> is deregulated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>: overexpression of early viral genes in the basal cell layers leads to uncontrolled cell proliferation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 and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 cell immortalization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 and makes the cell susceptible to chromosomal instability. Subsequent viral integration and epigenetic effects further enhance early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viral 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gene expression and genomic instability, resulting in a proliferating cell population with chromosomal aberrations </w:t>
      </w:r>
      <w:r w:rsidR="00A01572" w:rsidRPr="00A02FDE">
        <w:rPr>
          <w:rFonts w:ascii="Book Antiqua" w:hAnsi="Book Antiqua" w:cs="Arial"/>
          <w:sz w:val="24"/>
          <w:szCs w:val="24"/>
          <w:lang w:val="en-GB"/>
        </w:rPr>
        <w:t xml:space="preserve">and leading ultimately to 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cervical </w:t>
      </w:r>
      <w:proofErr w:type="gramStart"/>
      <w:r w:rsidR="00D93FE8" w:rsidRPr="00A02FDE">
        <w:rPr>
          <w:rFonts w:ascii="Book Antiqua" w:hAnsi="Book Antiqua" w:cs="Arial"/>
          <w:sz w:val="24"/>
          <w:szCs w:val="24"/>
          <w:lang w:val="en-GB"/>
        </w:rPr>
        <w:t>carcinogenesis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1,2]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E84122" w:rsidRPr="00A02FDE">
        <w:rPr>
          <w:rFonts w:ascii="Book Antiqua" w:hAnsi="Book Antiqua" w:cs="Arial"/>
          <w:sz w:val="24"/>
          <w:szCs w:val="24"/>
          <w:lang w:val="en-GB"/>
        </w:rPr>
        <w:t xml:space="preserve"> However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>, not all HPV infections lead to high-grade CIN</w:t>
      </w:r>
      <w:r w:rsidR="00E84122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 and not all high-grade CIN lesions lead to cervical cancer.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>S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>pontaneous regression of high-grade CIN occurs in approximately 20</w:t>
      </w:r>
      <w:r>
        <w:rPr>
          <w:rFonts w:ascii="Book Antiqua" w:hAnsi="Book Antiqua" w:cs="Arial" w:hint="eastAsia"/>
          <w:sz w:val="24"/>
          <w:szCs w:val="24"/>
          <w:lang w:val="en-GB" w:eastAsia="zh-CN"/>
        </w:rPr>
        <w:t>%-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 xml:space="preserve">40% of high-grade lesions, while approximately 30% of high-grade CIN progresses to cervical </w:t>
      </w:r>
      <w:proofErr w:type="gramStart"/>
      <w:r w:rsidR="00D93FE8" w:rsidRPr="00A02FDE">
        <w:rPr>
          <w:rFonts w:ascii="Book Antiqua" w:hAnsi="Book Antiqua" w:cs="Arial"/>
          <w:sz w:val="24"/>
          <w:szCs w:val="24"/>
          <w:lang w:val="en-GB"/>
        </w:rPr>
        <w:t>cancer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4-7]</w:t>
      </w:r>
      <w:r w:rsidR="00D93FE8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342F46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This suggests that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the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>development of HPV-induced cervical pathology not only depends on the cellular changes induced by HPV infection, but is in fact determined by complex interaction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s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among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 viral factors, functional cellular mechanisms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 and the immune system. Clearance of HPV infection and HPV-induced lesions is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mediated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by the innate and adaptive immune </w:t>
      </w:r>
      <w:proofErr w:type="gramStart"/>
      <w:r w:rsidR="001B2663" w:rsidRPr="00A02FDE">
        <w:rPr>
          <w:rFonts w:ascii="Book Antiqua" w:hAnsi="Book Antiqua" w:cs="Arial"/>
          <w:sz w:val="24"/>
          <w:szCs w:val="24"/>
          <w:lang w:val="en-GB"/>
        </w:rPr>
        <w:t>system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3]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342F46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This immune response is a </w:t>
      </w:r>
      <w:r w:rsidR="00903FC2" w:rsidRPr="00A02FDE">
        <w:rPr>
          <w:rFonts w:ascii="Book Antiqua" w:hAnsi="Book Antiqua" w:cs="Arial"/>
          <w:sz w:val="24"/>
          <w:szCs w:val="24"/>
          <w:lang w:val="en-GB"/>
        </w:rPr>
        <w:t xml:space="preserve">largely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local process and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depends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on the individual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characteristics of the host’s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immune 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system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>, but is also influenced by characteristics of the virus and the infectious process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 HPV </w:t>
      </w:r>
      <w:r w:rsidR="00E746E8" w:rsidRPr="00A02FDE">
        <w:rPr>
          <w:rFonts w:ascii="Book Antiqua" w:hAnsi="Book Antiqua" w:cs="Arial"/>
          <w:sz w:val="24"/>
          <w:szCs w:val="24"/>
          <w:lang w:val="en-GB"/>
        </w:rPr>
        <w:t>utilizes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 several 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 xml:space="preserve">effective 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>immune evasion strategies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1B2663" w:rsidRPr="00A02FDE">
        <w:rPr>
          <w:rFonts w:ascii="Book Antiqua" w:hAnsi="Book Antiqua" w:cs="Arial"/>
          <w:sz w:val="24"/>
          <w:szCs w:val="24"/>
          <w:lang w:val="en-GB"/>
        </w:rPr>
        <w:t xml:space="preserve"> and infection leads to active downregulation of immune responses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>. This leads to persistent HPV</w:t>
      </w:r>
      <w:r w:rsidR="00916E18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 xml:space="preserve">infections </w:t>
      </w:r>
      <w:r w:rsidR="00E746E8" w:rsidRPr="00A02FDE">
        <w:rPr>
          <w:rFonts w:ascii="Book Antiqua" w:hAnsi="Book Antiqua" w:cs="Arial"/>
          <w:sz w:val="24"/>
          <w:szCs w:val="24"/>
          <w:lang w:val="en-GB"/>
        </w:rPr>
        <w:t xml:space="preserve">and HPV-induced cervical lesions 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 xml:space="preserve">in </w:t>
      </w:r>
      <w:r w:rsidR="00E746E8" w:rsidRPr="00A02FDE">
        <w:rPr>
          <w:rFonts w:ascii="Book Antiqua" w:hAnsi="Book Antiqua" w:cs="Arial"/>
          <w:sz w:val="24"/>
          <w:szCs w:val="24"/>
          <w:lang w:val="en-GB"/>
        </w:rPr>
        <w:t>a subset of patients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 xml:space="preserve">In </w:t>
      </w:r>
      <w:r w:rsidR="00E746E8" w:rsidRPr="00A02FDE">
        <w:rPr>
          <w:rFonts w:ascii="Book Antiqua" w:hAnsi="Book Antiqua" w:cs="Arial"/>
          <w:sz w:val="24"/>
          <w:szCs w:val="24"/>
          <w:lang w:val="en-GB"/>
        </w:rPr>
        <w:t>patients who are unable to clear the infection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 xml:space="preserve">, 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>HPV reside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>s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 xml:space="preserve"> in the host epithelium for a long time, leading to alteration of cellular processes as previously described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277431" w:rsidRPr="00A02FDE">
        <w:rPr>
          <w:rFonts w:ascii="Book Antiqua" w:hAnsi="Book Antiqua" w:cs="Arial"/>
          <w:sz w:val="24"/>
          <w:szCs w:val="24"/>
          <w:lang w:val="en-GB"/>
        </w:rPr>
        <w:t xml:space="preserve"> with neoplastic progression as a result.</w:t>
      </w:r>
      <w:r w:rsidR="00DE7FD0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</w:p>
    <w:p w:rsidR="00DE7FD0" w:rsidRPr="00A02FDE" w:rsidRDefault="008A424C" w:rsidP="008002AB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A02FDE">
        <w:rPr>
          <w:rFonts w:ascii="Book Antiqua" w:hAnsi="Book Antiqua" w:cs="Arial"/>
          <w:sz w:val="24"/>
          <w:szCs w:val="24"/>
          <w:lang w:val="en-GB"/>
        </w:rPr>
        <w:t xml:space="preserve">Ideally, lesions that will regress spontaneously should be differentiated from those that will </w:t>
      </w:r>
      <w:r w:rsidR="001705DA" w:rsidRPr="00A02FDE">
        <w:rPr>
          <w:rFonts w:ascii="Book Antiqua" w:hAnsi="Book Antiqua" w:cs="Arial"/>
          <w:sz w:val="24"/>
          <w:szCs w:val="24"/>
          <w:lang w:val="en-GB"/>
        </w:rPr>
        <w:t>persist or progress into invasive disease</w:t>
      </w:r>
      <w:r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4E1D45" w:rsidRPr="00A02FDE">
        <w:rPr>
          <w:rFonts w:ascii="Book Antiqua" w:hAnsi="Book Antiqua" w:cs="Arial"/>
          <w:sz w:val="24"/>
          <w:szCs w:val="24"/>
          <w:lang w:val="en-GB"/>
        </w:rPr>
        <w:t xml:space="preserve"> thus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 allowing for watchful waiting in the subgroup of patients in which spontaneous regression is expected. </w:t>
      </w:r>
      <w:r w:rsidR="00520EF7" w:rsidRPr="00A02FDE">
        <w:rPr>
          <w:rFonts w:ascii="Book Antiqua" w:hAnsi="Book Antiqua" w:cs="Arial"/>
          <w:sz w:val="24"/>
          <w:szCs w:val="24"/>
          <w:lang w:val="en-GB"/>
        </w:rPr>
        <w:t>Biomarkers could be used to predict the natural history of CIN lesions</w:t>
      </w:r>
      <w:r w:rsidR="000739BF" w:rsidRPr="00A02FDE">
        <w:rPr>
          <w:rFonts w:ascii="Book Antiqua" w:hAnsi="Book Antiqua" w:cs="Arial"/>
          <w:sz w:val="24"/>
          <w:szCs w:val="24"/>
          <w:lang w:val="en-GB"/>
        </w:rPr>
        <w:t>. Indeed, a recent</w:t>
      </w:r>
      <w:r w:rsidR="00520EF7" w:rsidRPr="00A02FDE">
        <w:rPr>
          <w:rFonts w:ascii="Book Antiqua" w:hAnsi="Book Antiqua" w:cs="Arial"/>
          <w:sz w:val="24"/>
          <w:szCs w:val="24"/>
          <w:lang w:val="en-GB"/>
        </w:rPr>
        <w:t xml:space="preserve"> review identified several </w:t>
      </w:r>
      <w:r w:rsidR="00520EF7" w:rsidRPr="00A02FDE">
        <w:rPr>
          <w:rFonts w:ascii="Book Antiqua" w:hAnsi="Book Antiqua" w:cs="Arial"/>
          <w:sz w:val="24"/>
          <w:szCs w:val="24"/>
          <w:lang w:val="en-GB"/>
        </w:rPr>
        <w:lastRenderedPageBreak/>
        <w:t xml:space="preserve">promising biomarkers in this regard, but none have yet reached clinical </w:t>
      </w:r>
      <w:proofErr w:type="gramStart"/>
      <w:r w:rsidR="00520EF7" w:rsidRPr="00A02FDE">
        <w:rPr>
          <w:rFonts w:ascii="Book Antiqua" w:hAnsi="Book Antiqua" w:cs="Arial"/>
          <w:sz w:val="24"/>
          <w:szCs w:val="24"/>
          <w:lang w:val="en-GB"/>
        </w:rPr>
        <w:t>implementation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8]</w:t>
      </w:r>
      <w:r w:rsidR="00520EF7" w:rsidRPr="00A02FDE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1705DA" w:rsidRPr="00A02FDE">
        <w:rPr>
          <w:rFonts w:ascii="Book Antiqua" w:hAnsi="Book Antiqua" w:cs="Arial"/>
          <w:sz w:val="24"/>
          <w:szCs w:val="24"/>
          <w:lang w:val="en-GB"/>
        </w:rPr>
        <w:t>As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 the natural history of high-grade CIN</w:t>
      </w:r>
      <w:r w:rsidR="001705DA" w:rsidRPr="00A02FDE">
        <w:rPr>
          <w:rFonts w:ascii="Book Antiqua" w:hAnsi="Book Antiqua" w:cs="Arial"/>
          <w:sz w:val="24"/>
          <w:szCs w:val="24"/>
          <w:lang w:val="en-GB"/>
        </w:rPr>
        <w:t xml:space="preserve"> currently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 remains unpredictable</w:t>
      </w:r>
      <w:r w:rsidR="001705DA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4C16EC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treatment </w:t>
      </w:r>
      <w:r w:rsidR="009B7D4D" w:rsidRPr="00A02FDE">
        <w:rPr>
          <w:rFonts w:ascii="Book Antiqua" w:hAnsi="Book Antiqua" w:cs="Arial"/>
          <w:sz w:val="24"/>
          <w:szCs w:val="24"/>
          <w:lang w:val="en-GB"/>
        </w:rPr>
        <w:t>of high-grade CIN is advised</w:t>
      </w:r>
      <w:r w:rsidRPr="00A02FDE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 xml:space="preserve">Currently, </w:t>
      </w:r>
      <w:r w:rsidR="009B7D4D" w:rsidRPr="00A02FDE">
        <w:rPr>
          <w:rFonts w:ascii="Book Antiqua" w:hAnsi="Book Antiqua" w:cs="Arial"/>
          <w:sz w:val="24"/>
          <w:szCs w:val="24"/>
          <w:lang w:val="en-GB"/>
        </w:rPr>
        <w:t xml:space="preserve">the 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>standard therapy for high-grade CIN lesions is surgical excision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>, which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 xml:space="preserve"> is usually done by large loop excision of the transformation zone (LLETZ).</w:t>
      </w:r>
      <w:r w:rsidR="001F7B5F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E7FD0" w:rsidRPr="00A02FDE">
        <w:rPr>
          <w:rFonts w:ascii="Book Antiqua" w:hAnsi="Book Antiqua" w:cs="Arial"/>
          <w:sz w:val="24"/>
          <w:szCs w:val="24"/>
          <w:lang w:val="en-GB"/>
        </w:rPr>
        <w:t>LLETZ is an effective treatment modality</w:t>
      </w:r>
      <w:r w:rsidR="00E84122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2C7AB4" w:rsidRPr="00A02FDE">
        <w:rPr>
          <w:rFonts w:ascii="Book Antiqua" w:hAnsi="Book Antiqua" w:cs="Arial"/>
          <w:sz w:val="24"/>
          <w:szCs w:val="24"/>
          <w:lang w:val="en-GB"/>
        </w:rPr>
        <w:t xml:space="preserve"> but has two important disadvantages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>First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577775" w:rsidRPr="00A02FDE">
        <w:rPr>
          <w:rFonts w:ascii="Book Antiqua" w:hAnsi="Book Antiqua" w:cs="Arial"/>
          <w:sz w:val="24"/>
          <w:szCs w:val="24"/>
          <w:lang w:val="en-US"/>
        </w:rPr>
        <w:t xml:space="preserve">residual and 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>recurre</w:t>
      </w:r>
      <w:r w:rsidR="00577775" w:rsidRPr="00A02FDE">
        <w:rPr>
          <w:rFonts w:ascii="Book Antiqua" w:hAnsi="Book Antiqua" w:cs="Arial"/>
          <w:sz w:val="24"/>
          <w:szCs w:val="24"/>
          <w:lang w:val="en-US"/>
        </w:rPr>
        <w:t>nt disease occurs frequently</w:t>
      </w:r>
      <w:r w:rsidR="00A76477" w:rsidRPr="00A02FDE">
        <w:rPr>
          <w:rFonts w:ascii="Book Antiqua" w:hAnsi="Book Antiqua" w:cs="Arial"/>
          <w:sz w:val="24"/>
          <w:szCs w:val="24"/>
          <w:lang w:val="en-US"/>
        </w:rPr>
        <w:t>.</w:t>
      </w:r>
      <w:r w:rsidR="004C16EC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76477" w:rsidRPr="00A02FDE">
        <w:rPr>
          <w:rFonts w:ascii="Book Antiqua" w:hAnsi="Book Antiqua" w:cs="Arial"/>
          <w:sz w:val="24"/>
          <w:szCs w:val="24"/>
          <w:lang w:val="en-US"/>
        </w:rPr>
        <w:t>R</w:t>
      </w:r>
      <w:r w:rsidR="00577775" w:rsidRPr="00A02FDE">
        <w:rPr>
          <w:rFonts w:ascii="Book Antiqua" w:hAnsi="Book Antiqua" w:cs="Arial"/>
          <w:sz w:val="24"/>
          <w:szCs w:val="24"/>
          <w:lang w:val="en-US"/>
        </w:rPr>
        <w:t>ecent studies show residual and recurrent disease rates of 14</w:t>
      </w:r>
      <w:r w:rsidR="008002AB">
        <w:rPr>
          <w:rFonts w:ascii="Book Antiqua" w:hAnsi="Book Antiqua" w:cs="Arial" w:hint="eastAsia"/>
          <w:sz w:val="24"/>
          <w:szCs w:val="24"/>
          <w:lang w:val="en-US" w:eastAsia="zh-CN"/>
        </w:rPr>
        <w:t>%-</w:t>
      </w:r>
      <w:r w:rsidR="00577775" w:rsidRPr="00A02FDE">
        <w:rPr>
          <w:rFonts w:ascii="Book Antiqua" w:hAnsi="Book Antiqua" w:cs="Arial"/>
          <w:sz w:val="24"/>
          <w:szCs w:val="24"/>
          <w:lang w:val="en-US"/>
        </w:rPr>
        <w:t>23% after treatment for high-grade CIN or persistent low-grade CIN. Persistent or recurrent high-grade CIN occurred in 3</w:t>
      </w:r>
      <w:r w:rsidR="008002AB">
        <w:rPr>
          <w:rFonts w:ascii="Book Antiqua" w:hAnsi="Book Antiqua" w:cs="Arial" w:hint="eastAsia"/>
          <w:sz w:val="24"/>
          <w:szCs w:val="24"/>
          <w:lang w:val="en-US" w:eastAsia="zh-CN"/>
        </w:rPr>
        <w:t>%-</w:t>
      </w:r>
      <w:r w:rsidR="00577775" w:rsidRPr="00A02FDE">
        <w:rPr>
          <w:rFonts w:ascii="Book Antiqua" w:hAnsi="Book Antiqua" w:cs="Arial"/>
          <w:sz w:val="24"/>
          <w:szCs w:val="24"/>
          <w:lang w:val="en-US"/>
        </w:rPr>
        <w:t xml:space="preserve">10% of these </w:t>
      </w:r>
      <w:proofErr w:type="gramStart"/>
      <w:r w:rsidR="00577775" w:rsidRPr="00A02FDE">
        <w:rPr>
          <w:rFonts w:ascii="Book Antiqua" w:hAnsi="Book Antiqua" w:cs="Arial"/>
          <w:sz w:val="24"/>
          <w:szCs w:val="24"/>
          <w:lang w:val="en-US"/>
        </w:rPr>
        <w:t>patients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US"/>
        </w:rPr>
        <w:t>9-13]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>.</w:t>
      </w:r>
      <w:r w:rsidR="00342F46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 xml:space="preserve">Second, LLETZ is 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>associated with an important long</w:t>
      </w:r>
      <w:r w:rsidR="00E746E8" w:rsidRPr="00A02FDE">
        <w:rPr>
          <w:rFonts w:ascii="Book Antiqua" w:hAnsi="Book Antiqua" w:cs="Arial"/>
          <w:sz w:val="24"/>
          <w:szCs w:val="24"/>
          <w:lang w:val="en-US"/>
        </w:rPr>
        <w:t>-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>term complication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>, namely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 xml:space="preserve"> a two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>-</w:t>
      </w:r>
      <w:r w:rsidR="00DE7FD0" w:rsidRPr="00A02FDE">
        <w:rPr>
          <w:rFonts w:ascii="Book Antiqua" w:hAnsi="Book Antiqua" w:cs="Arial"/>
          <w:sz w:val="24"/>
          <w:szCs w:val="24"/>
          <w:lang w:val="en-US"/>
        </w:rPr>
        <w:t>fold increase in premature birth seen in pregnancies after a LLETZ procedure,</w:t>
      </w:r>
      <w:r w:rsidR="005A5B57" w:rsidRPr="00A02FDE">
        <w:rPr>
          <w:rFonts w:ascii="Book Antiqua" w:hAnsi="Book Antiqua" w:cs="Arial"/>
          <w:sz w:val="24"/>
          <w:szCs w:val="24"/>
          <w:lang w:val="en-GB"/>
        </w:rPr>
        <w:t xml:space="preserve"> most probably as a result of cervical </w:t>
      </w:r>
      <w:proofErr w:type="gramStart"/>
      <w:r w:rsidR="005A5B57" w:rsidRPr="00A02FDE">
        <w:rPr>
          <w:rFonts w:ascii="Book Antiqua" w:hAnsi="Book Antiqua" w:cs="Arial"/>
          <w:sz w:val="24"/>
          <w:szCs w:val="24"/>
          <w:lang w:val="en-GB"/>
        </w:rPr>
        <w:t>insufficiency</w:t>
      </w:r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14,15]</w:t>
      </w:r>
      <w:r w:rsidR="001F7B5F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342F46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4C16EC" w:rsidRPr="00A02FDE">
        <w:rPr>
          <w:rFonts w:ascii="Book Antiqua" w:hAnsi="Book Antiqua" w:cs="Arial"/>
          <w:sz w:val="24"/>
          <w:szCs w:val="24"/>
          <w:lang w:val="en-GB"/>
        </w:rPr>
        <w:t>Although some biomarkers may be promising for regression risk prediction, a considerable number of high-grade CIN lesions will not regress spontaneously</w:t>
      </w:r>
      <w:r w:rsidR="00520EF7" w:rsidRPr="00A02FDE">
        <w:rPr>
          <w:rFonts w:ascii="Book Antiqua" w:hAnsi="Book Antiqua" w:cs="Arial"/>
          <w:sz w:val="24"/>
          <w:szCs w:val="24"/>
          <w:lang w:val="en-GB"/>
        </w:rPr>
        <w:t>, making effective treatment modalities necessary</w:t>
      </w:r>
      <w:r w:rsidR="004C16EC" w:rsidRPr="00A02FDE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E84122" w:rsidRPr="00A02FDE">
        <w:rPr>
          <w:rFonts w:ascii="Book Antiqua" w:hAnsi="Book Antiqua" w:cs="Arial"/>
          <w:sz w:val="24"/>
          <w:szCs w:val="24"/>
          <w:lang w:val="en-GB"/>
        </w:rPr>
        <w:t>T</w:t>
      </w:r>
      <w:r w:rsidR="001705DA" w:rsidRPr="00A02FDE">
        <w:rPr>
          <w:rFonts w:ascii="Book Antiqua" w:hAnsi="Book Antiqua" w:cs="Arial"/>
          <w:sz w:val="24"/>
          <w:szCs w:val="24"/>
          <w:lang w:val="en-GB"/>
        </w:rPr>
        <w:t>o reduce unnecessary surgical treatment</w:t>
      </w:r>
      <w:r w:rsidR="002C7AB4" w:rsidRPr="00A02FDE">
        <w:rPr>
          <w:rFonts w:ascii="Book Antiqua" w:hAnsi="Book Antiqua" w:cs="Arial"/>
          <w:sz w:val="24"/>
          <w:szCs w:val="24"/>
          <w:lang w:val="en-GB"/>
        </w:rPr>
        <w:t>, alternative non-invasive treatment modalities for high-grade CIN are being studied. Since high-grade CIN is the result of an HPV</w:t>
      </w:r>
      <w:r w:rsidR="00A76477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2C7AB4" w:rsidRPr="00A02FDE">
        <w:rPr>
          <w:rFonts w:ascii="Book Antiqua" w:hAnsi="Book Antiqua" w:cs="Arial"/>
          <w:sz w:val="24"/>
          <w:szCs w:val="24"/>
          <w:lang w:val="en-GB"/>
        </w:rPr>
        <w:t>infection that is not adequately cleared by the infected host, immunotherapy of CIN may be an effective alternative to conventional surgical treatment</w:t>
      </w:r>
      <w:r w:rsidR="004C16EC" w:rsidRPr="00A02FDE">
        <w:rPr>
          <w:rFonts w:ascii="Book Antiqua" w:hAnsi="Book Antiqua" w:cs="Arial"/>
          <w:sz w:val="24"/>
          <w:szCs w:val="24"/>
          <w:lang w:val="en-GB"/>
        </w:rPr>
        <w:t xml:space="preserve"> and/or watchful waiting. </w:t>
      </w:r>
    </w:p>
    <w:p w:rsidR="009C0C58" w:rsidRPr="00A02FDE" w:rsidRDefault="00593FDB" w:rsidP="008002AB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A02FDE">
        <w:rPr>
          <w:rFonts w:ascii="Book Antiqua" w:hAnsi="Book Antiqua" w:cs="Arial"/>
          <w:sz w:val="24"/>
          <w:szCs w:val="24"/>
          <w:lang w:val="en-GB"/>
        </w:rPr>
        <w:t xml:space="preserve">Several forms of immunotherapy 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>have been studied for the treatment of high-grade CIN</w:t>
      </w:r>
      <w:r w:rsidR="00EF723B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406231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EF723B" w:rsidRPr="00A02FDE">
        <w:rPr>
          <w:rFonts w:ascii="Book Antiqua" w:hAnsi="Book Antiqua" w:cs="Arial"/>
          <w:sz w:val="24"/>
          <w:szCs w:val="24"/>
          <w:lang w:val="en-GB"/>
        </w:rPr>
        <w:t>with varying results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BA78D8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 xml:space="preserve">These include both </w:t>
      </w:r>
      <w:r w:rsidR="000B4582" w:rsidRPr="00A02FDE">
        <w:rPr>
          <w:rFonts w:ascii="Book Antiqua" w:hAnsi="Book Antiqua" w:cs="Arial"/>
          <w:sz w:val="24"/>
          <w:szCs w:val="24"/>
          <w:lang w:val="en-GB"/>
        </w:rPr>
        <w:t xml:space="preserve">systemic 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 xml:space="preserve">forms of </w:t>
      </w:r>
      <w:r w:rsidR="000B4582" w:rsidRPr="00A02FDE">
        <w:rPr>
          <w:rFonts w:ascii="Book Antiqua" w:hAnsi="Book Antiqua" w:cs="Arial"/>
          <w:sz w:val="24"/>
          <w:szCs w:val="24"/>
          <w:lang w:val="en-GB"/>
        </w:rPr>
        <w:t>immunotherapy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>, such as</w:t>
      </w:r>
      <w:r w:rsidR="005446B2" w:rsidRPr="00A02FDE">
        <w:rPr>
          <w:rFonts w:ascii="Book Antiqua" w:hAnsi="Book Antiqua" w:cs="Arial"/>
          <w:sz w:val="24"/>
          <w:szCs w:val="24"/>
          <w:lang w:val="en-GB"/>
        </w:rPr>
        <w:t xml:space="preserve"> therapeutic vaccines,</w:t>
      </w:r>
      <w:r w:rsidR="000B4582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BA78D8" w:rsidRPr="00A02FDE">
        <w:rPr>
          <w:rFonts w:ascii="Book Antiqua" w:hAnsi="Book Antiqua" w:cs="Arial"/>
          <w:sz w:val="24"/>
          <w:szCs w:val="24"/>
          <w:lang w:val="en-GB"/>
        </w:rPr>
        <w:t>interferon</w:t>
      </w:r>
      <w:r w:rsidR="00406231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0B4582" w:rsidRPr="00A02FDE">
        <w:rPr>
          <w:rFonts w:ascii="Book Antiqua" w:hAnsi="Book Antiqua" w:cs="Arial"/>
          <w:sz w:val="24"/>
          <w:szCs w:val="24"/>
          <w:lang w:val="en-GB"/>
        </w:rPr>
        <w:t xml:space="preserve"> and cyclooxygenase-2 inhibitors, </w:t>
      </w:r>
      <w:r w:rsidR="00370AA2" w:rsidRPr="00A02FDE">
        <w:rPr>
          <w:rFonts w:ascii="Book Antiqua" w:hAnsi="Book Antiqua" w:cs="Arial"/>
          <w:sz w:val="24"/>
          <w:szCs w:val="24"/>
          <w:lang w:val="en-GB"/>
        </w:rPr>
        <w:t xml:space="preserve">and </w:t>
      </w:r>
      <w:r w:rsidR="005446B2" w:rsidRPr="00A02FDE">
        <w:rPr>
          <w:rFonts w:ascii="Book Antiqua" w:hAnsi="Book Antiqua" w:cs="Arial"/>
          <w:sz w:val="24"/>
          <w:szCs w:val="24"/>
          <w:lang w:val="en-GB"/>
        </w:rPr>
        <w:t xml:space="preserve">local 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 xml:space="preserve">forms </w:t>
      </w:r>
      <w:r w:rsidR="00EF723B" w:rsidRPr="00A02FDE">
        <w:rPr>
          <w:rFonts w:ascii="Book Antiqua" w:hAnsi="Book Antiqua" w:cs="Arial"/>
          <w:sz w:val="24"/>
          <w:szCs w:val="24"/>
          <w:lang w:val="en-GB"/>
        </w:rPr>
        <w:t xml:space="preserve">of </w:t>
      </w:r>
      <w:r w:rsidR="005446B2" w:rsidRPr="00A02FDE">
        <w:rPr>
          <w:rFonts w:ascii="Book Antiqua" w:hAnsi="Book Antiqua" w:cs="Arial"/>
          <w:sz w:val="24"/>
          <w:szCs w:val="24"/>
          <w:lang w:val="en-GB"/>
        </w:rPr>
        <w:t>immunotherapy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 xml:space="preserve">, such as topical or </w:t>
      </w:r>
      <w:proofErr w:type="spellStart"/>
      <w:r w:rsidR="00EA1A89" w:rsidRPr="00A02FDE">
        <w:rPr>
          <w:rFonts w:ascii="Book Antiqua" w:hAnsi="Book Antiqua" w:cs="Arial"/>
          <w:sz w:val="24"/>
          <w:szCs w:val="24"/>
          <w:lang w:val="en-GB"/>
        </w:rPr>
        <w:t>intralesional</w:t>
      </w:r>
      <w:proofErr w:type="spellEnd"/>
      <w:r w:rsidR="00EA1A89" w:rsidRPr="00A02FDE">
        <w:rPr>
          <w:rFonts w:ascii="Book Antiqua" w:hAnsi="Book Antiqua" w:cs="Arial"/>
          <w:sz w:val="24"/>
          <w:szCs w:val="24"/>
          <w:lang w:val="en-GB"/>
        </w:rPr>
        <w:t xml:space="preserve"> interferons and </w:t>
      </w:r>
      <w:proofErr w:type="spellStart"/>
      <w:proofErr w:type="gramStart"/>
      <w:r w:rsidR="00EA1A89" w:rsidRPr="00A02FDE">
        <w:rPr>
          <w:rFonts w:ascii="Book Antiqua" w:hAnsi="Book Antiqua" w:cs="Arial"/>
          <w:sz w:val="24"/>
          <w:szCs w:val="24"/>
          <w:lang w:val="en-GB"/>
        </w:rPr>
        <w:t>imiquimod</w:t>
      </w:r>
      <w:proofErr w:type="spell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342F46" w:rsidRPr="00A02FDE">
        <w:rPr>
          <w:rFonts w:ascii="Book Antiqua" w:hAnsi="Book Antiqua" w:cs="Arial"/>
          <w:sz w:val="24"/>
          <w:szCs w:val="24"/>
          <w:vertAlign w:val="superscript"/>
          <w:lang w:val="en-GB"/>
        </w:rPr>
        <w:t>4,16-21]</w:t>
      </w:r>
      <w:r w:rsidR="00EA1A89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0B4582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Some agents show therapeutic effects, but none </w:t>
      </w:r>
      <w:r w:rsidR="00ED424B" w:rsidRPr="00A02FDE">
        <w:rPr>
          <w:rFonts w:ascii="Book Antiqua" w:hAnsi="Book Antiqua" w:cs="Arial"/>
          <w:sz w:val="24"/>
          <w:szCs w:val="24"/>
          <w:lang w:val="en-US"/>
        </w:rPr>
        <w:t>have yet reached clinical applicability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>. This is due to limited evidence, generally modest treatment results</w:t>
      </w:r>
      <w:r w:rsidR="00406231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406231" w:rsidRPr="00A02FDE">
        <w:rPr>
          <w:rFonts w:ascii="Book Antiqua" w:hAnsi="Book Antiqua" w:cs="Arial"/>
          <w:sz w:val="24"/>
          <w:szCs w:val="24"/>
          <w:lang w:val="en-US"/>
        </w:rPr>
        <w:t xml:space="preserve">a high 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rate</w:t>
      </w:r>
      <w:r w:rsidR="00406231" w:rsidRPr="00A02FDE">
        <w:rPr>
          <w:rFonts w:ascii="Book Antiqua" w:hAnsi="Book Antiqua" w:cs="Arial"/>
          <w:sz w:val="24"/>
          <w:szCs w:val="24"/>
          <w:lang w:val="en-US"/>
        </w:rPr>
        <w:t xml:space="preserve"> of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side effects</w:t>
      </w:r>
      <w:r w:rsidR="00ED424B" w:rsidRPr="00A02FD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6D5EF9" w:rsidRPr="00A02FDE">
        <w:rPr>
          <w:rFonts w:ascii="Book Antiqua" w:hAnsi="Book Antiqua" w:cs="Arial"/>
          <w:sz w:val="24"/>
          <w:szCs w:val="24"/>
          <w:lang w:val="en-US"/>
        </w:rPr>
        <w:t xml:space="preserve">We currently consider </w:t>
      </w:r>
      <w:proofErr w:type="spellStart"/>
      <w:r w:rsidR="006D5EF9" w:rsidRPr="00A02FDE">
        <w:rPr>
          <w:rFonts w:ascii="Book Antiqua" w:hAnsi="Book Antiqua" w:cs="Arial"/>
          <w:sz w:val="24"/>
          <w:szCs w:val="24"/>
          <w:lang w:val="en-GB"/>
        </w:rPr>
        <w:t>imiquimod</w:t>
      </w:r>
      <w:proofErr w:type="spellEnd"/>
      <w:r w:rsidR="006D5EF9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6D5EF9" w:rsidRPr="00A02FDE">
        <w:rPr>
          <w:rFonts w:ascii="Book Antiqua" w:hAnsi="Book Antiqua" w:cs="Arial"/>
          <w:sz w:val="24"/>
          <w:szCs w:val="24"/>
          <w:lang w:val="en-US"/>
        </w:rPr>
        <w:t>(</w:t>
      </w:r>
      <w:proofErr w:type="spellStart"/>
      <w:r w:rsidR="006D5EF9" w:rsidRPr="00A02FDE">
        <w:rPr>
          <w:rFonts w:ascii="Book Antiqua" w:hAnsi="Book Antiqua" w:cs="Arial"/>
          <w:sz w:val="24"/>
          <w:szCs w:val="24"/>
          <w:lang w:val="en-US"/>
        </w:rPr>
        <w:t>Aldara</w:t>
      </w:r>
      <w:proofErr w:type="spellEnd"/>
      <w:r w:rsidR="006D5EF9" w:rsidRPr="00A02FDE">
        <w:rPr>
          <w:rFonts w:ascii="Book Antiqua" w:hAnsi="Book Antiqua" w:cs="Arial"/>
          <w:sz w:val="24"/>
          <w:szCs w:val="24"/>
          <w:lang w:val="en-US"/>
        </w:rPr>
        <w:t xml:space="preserve">) to be the </w:t>
      </w:r>
      <w:r w:rsidR="00EF723B" w:rsidRPr="00A02FDE">
        <w:rPr>
          <w:rFonts w:ascii="Book Antiqua" w:hAnsi="Book Antiqua" w:cs="Arial"/>
          <w:sz w:val="24"/>
          <w:szCs w:val="24"/>
          <w:lang w:val="en-GB"/>
        </w:rPr>
        <w:t xml:space="preserve">most </w:t>
      </w:r>
      <w:r w:rsidR="002C7AB4" w:rsidRPr="00A02FDE">
        <w:rPr>
          <w:rFonts w:ascii="Book Antiqua" w:hAnsi="Book Antiqua" w:cs="Arial"/>
          <w:sz w:val="24"/>
          <w:szCs w:val="24"/>
          <w:lang w:val="en-GB"/>
        </w:rPr>
        <w:t>pr</w:t>
      </w:r>
      <w:r w:rsidR="00E12321" w:rsidRPr="00A02FDE">
        <w:rPr>
          <w:rFonts w:ascii="Book Antiqua" w:hAnsi="Book Antiqua" w:cs="Arial"/>
          <w:sz w:val="24"/>
          <w:szCs w:val="24"/>
          <w:lang w:val="en-GB"/>
        </w:rPr>
        <w:t>omising form of immunotherapy for high-grade</w:t>
      </w:r>
      <w:r w:rsidR="002C7AB4" w:rsidRPr="00A02FDE">
        <w:rPr>
          <w:rFonts w:ascii="Book Antiqua" w:hAnsi="Book Antiqua" w:cs="Arial"/>
          <w:sz w:val="24"/>
          <w:szCs w:val="24"/>
          <w:lang w:val="en-GB"/>
        </w:rPr>
        <w:t xml:space="preserve"> CIN</w:t>
      </w:r>
      <w:r w:rsidR="006D5EF9" w:rsidRPr="00A02FDE">
        <w:rPr>
          <w:rFonts w:ascii="Book Antiqua" w:hAnsi="Book Antiqua" w:cs="Arial"/>
          <w:sz w:val="24"/>
          <w:szCs w:val="24"/>
          <w:lang w:val="en-GB"/>
        </w:rPr>
        <w:t>.</w:t>
      </w:r>
      <w:r w:rsidR="002C7AB4" w:rsidRPr="00A02FDE">
        <w:rPr>
          <w:rFonts w:ascii="Book Antiqua" w:hAnsi="Book Antiqua" w:cs="Arial"/>
          <w:sz w:val="24"/>
          <w:szCs w:val="24"/>
          <w:lang w:val="en-GB"/>
        </w:rPr>
        <w:t xml:space="preserve"> </w:t>
      </w:r>
      <w:proofErr w:type="spellStart"/>
      <w:r w:rsidR="006D5EF9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6D5EF9" w:rsidRPr="00A02FDE">
        <w:rPr>
          <w:rFonts w:ascii="Book Antiqua" w:hAnsi="Book Antiqua" w:cs="Arial"/>
          <w:sz w:val="24"/>
          <w:szCs w:val="24"/>
          <w:lang w:val="en-US"/>
        </w:rPr>
        <w:t xml:space="preserve"> is 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7E722E" w:rsidRPr="00A02FDE">
        <w:rPr>
          <w:rFonts w:ascii="Book Antiqua" w:hAnsi="Book Antiqua" w:cs="Arial"/>
          <w:sz w:val="24"/>
          <w:szCs w:val="24"/>
          <w:lang w:val="en-US"/>
        </w:rPr>
        <w:t>T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>oll-like receptor agonist with antiviral and anti-tumor properties</w:t>
      </w:r>
      <w:r w:rsidR="009D4F95" w:rsidRPr="00A02FDE">
        <w:rPr>
          <w:rFonts w:ascii="Book Antiqua" w:hAnsi="Book Antiqua" w:cs="Arial"/>
          <w:sz w:val="24"/>
          <w:szCs w:val="24"/>
          <w:lang w:val="en-US"/>
        </w:rPr>
        <w:t>.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D5EF9" w:rsidRPr="00A02FDE">
        <w:rPr>
          <w:rFonts w:ascii="Book Antiqua" w:hAnsi="Book Antiqua" w:cs="Arial"/>
          <w:sz w:val="24"/>
          <w:szCs w:val="24"/>
          <w:lang w:val="en-US"/>
        </w:rPr>
        <w:t xml:space="preserve">It 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>is readily available for off-label use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;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 its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efficacy in several HPV-induced genital conditions, such as genital warts and 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>vulvar intraepithelial neoplasia</w:t>
      </w:r>
      <w:r w:rsidR="007E722E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 xml:space="preserve">is 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>already established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;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 and recent </w:t>
      </w:r>
      <w:r w:rsidR="00FE02B0" w:rsidRPr="00A02FDE">
        <w:rPr>
          <w:rFonts w:ascii="Book Antiqua" w:hAnsi="Book Antiqua" w:cs="Arial"/>
          <w:sz w:val="24"/>
          <w:szCs w:val="24"/>
          <w:lang w:val="en-US"/>
        </w:rPr>
        <w:t>stud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>ies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 show promising results in the treatment of high-grade CIN</w:t>
      </w:r>
      <w:r w:rsidR="002C7AB4" w:rsidRPr="00A02FD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8002AB">
        <w:rPr>
          <w:rFonts w:ascii="Book Antiqua" w:hAnsi="Book Antiqua" w:cs="Arial"/>
          <w:sz w:val="24"/>
          <w:szCs w:val="24"/>
          <w:lang w:val="en-US"/>
        </w:rPr>
        <w:t xml:space="preserve">Lin </w:t>
      </w:r>
      <w:r w:rsidR="008002AB" w:rsidRPr="008002AB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8002AB" w:rsidRPr="008002AB">
        <w:rPr>
          <w:rFonts w:ascii="Book Antiqua" w:hAnsi="Book Antiqua" w:cs="Arial"/>
          <w:i/>
          <w:sz w:val="24"/>
          <w:szCs w:val="24"/>
          <w:lang w:val="en-US"/>
        </w:rPr>
        <w:t>al</w:t>
      </w:r>
      <w:r w:rsidR="008002AB" w:rsidRPr="00A02FDE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8002AB" w:rsidRPr="00A02FDE">
        <w:rPr>
          <w:rFonts w:ascii="Book Antiqua" w:hAnsi="Book Antiqua" w:cs="Arial"/>
          <w:sz w:val="24"/>
          <w:szCs w:val="24"/>
          <w:vertAlign w:val="superscript"/>
          <w:lang w:val="en-US"/>
        </w:rPr>
        <w:t>19]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studied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EF723B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treatment of genital HPV infections and 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both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vaginal intraepithelial neoplasia (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>VAIN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)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>CIN lesions.</w:t>
      </w:r>
      <w:r w:rsidR="00342F46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They showed significantly more HPV clearance in 26 patients treated with 12 doses of </w:t>
      </w:r>
      <w:proofErr w:type="spellStart"/>
      <w:r w:rsidR="009C0C58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cream 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>than in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a historic control group (65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>%</w:t>
      </w:r>
      <w:r w:rsidR="009C0C58" w:rsidRPr="008002AB">
        <w:rPr>
          <w:rFonts w:ascii="Book Antiqua" w:hAnsi="Book Antiqua" w:cs="Arial"/>
          <w:i/>
          <w:sz w:val="24"/>
          <w:szCs w:val="24"/>
          <w:lang w:val="en-US"/>
        </w:rPr>
        <w:t xml:space="preserve"> vs 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30%). 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A limited number of six patients with high-grade VAIN or CIN lesions 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were treated with </w:t>
      </w:r>
      <w:proofErr w:type="spellStart"/>
      <w:r w:rsidR="00EF723B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, of which four (66%) showed disease remission. 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Treatment efficacy of </w:t>
      </w:r>
      <w:proofErr w:type="spellStart"/>
      <w:r w:rsidR="009C0C58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in high-grade CIN 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>was more systematically studied by</w:t>
      </w:r>
      <w:r w:rsidR="009C0C58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Grimm </w:t>
      </w:r>
      <w:r w:rsidR="008A424C" w:rsidRPr="008243EC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8A424C" w:rsidRPr="008243EC">
        <w:rPr>
          <w:rFonts w:ascii="Book Antiqua" w:hAnsi="Book Antiqua" w:cs="Arial"/>
          <w:i/>
          <w:sz w:val="24"/>
          <w:szCs w:val="24"/>
          <w:lang w:val="en-US"/>
        </w:rPr>
        <w:t>al</w:t>
      </w:r>
      <w:r w:rsidR="008243EC" w:rsidRPr="008002AB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8243EC" w:rsidRPr="008002AB">
        <w:rPr>
          <w:rFonts w:ascii="Book Antiqua" w:hAnsi="Book Antiqua" w:cs="Arial"/>
          <w:sz w:val="24"/>
          <w:szCs w:val="24"/>
          <w:vertAlign w:val="superscript"/>
          <w:lang w:val="en-US"/>
        </w:rPr>
        <w:t>4]</w:t>
      </w:r>
      <w:r w:rsidR="00EF723B" w:rsidRPr="00A02FDE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>a placebo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-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>controlled randomized controlled trial. They included 59 patients with high-grade CIN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 who were treated with one to three application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s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 of </w:t>
      </w:r>
      <w:proofErr w:type="spellStart"/>
      <w:r w:rsidR="008A424C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404E6C" w:rsidRPr="00A02FDE">
        <w:rPr>
          <w:rFonts w:ascii="Book Antiqua" w:hAnsi="Book Antiqua" w:cs="Arial"/>
          <w:sz w:val="24"/>
          <w:szCs w:val="24"/>
          <w:lang w:val="en-US"/>
        </w:rPr>
        <w:t xml:space="preserve"> per week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 xml:space="preserve"> for</w:t>
      </w:r>
      <w:r w:rsidR="008002AB">
        <w:rPr>
          <w:rFonts w:ascii="Book Antiqua" w:hAnsi="Book Antiqua" w:cs="Arial"/>
          <w:sz w:val="24"/>
          <w:szCs w:val="24"/>
          <w:lang w:val="en-US"/>
        </w:rPr>
        <w:t xml:space="preserve"> 16 wk</w:t>
      </w:r>
      <w:r w:rsidR="00404E6C" w:rsidRPr="00A02FDE">
        <w:rPr>
          <w:rFonts w:ascii="Book Antiqua" w:hAnsi="Book Antiqua" w:cs="Arial"/>
          <w:sz w:val="24"/>
          <w:szCs w:val="24"/>
          <w:lang w:val="en-US"/>
        </w:rPr>
        <w:t>.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 Significantly more histologic regression and remission was observed in the </w:t>
      </w:r>
      <w:proofErr w:type="spellStart"/>
      <w:r w:rsidR="008A424C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 group (73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>%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A424C" w:rsidRPr="008002AB">
        <w:rPr>
          <w:rFonts w:ascii="Book Antiqua" w:hAnsi="Book Antiqua" w:cs="Arial"/>
          <w:i/>
          <w:sz w:val="24"/>
          <w:szCs w:val="24"/>
          <w:lang w:val="en-US"/>
        </w:rPr>
        <w:t>vs</w:t>
      </w:r>
      <w:r w:rsidR="008A424C" w:rsidRPr="00A02FDE">
        <w:rPr>
          <w:rFonts w:ascii="Book Antiqua" w:hAnsi="Book Antiqua" w:cs="Arial"/>
          <w:sz w:val="24"/>
          <w:szCs w:val="24"/>
          <w:lang w:val="en-US"/>
        </w:rPr>
        <w:t xml:space="preserve"> 39%).</w:t>
      </w:r>
      <w:r w:rsidR="00537F57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5E1F07" w:rsidRPr="00A02FDE" w:rsidRDefault="00370AA2" w:rsidP="008002AB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A02FDE">
        <w:rPr>
          <w:rFonts w:ascii="Book Antiqua" w:hAnsi="Book Antiqua" w:cs="Arial"/>
          <w:sz w:val="24"/>
          <w:szCs w:val="24"/>
          <w:lang w:val="en-US"/>
        </w:rPr>
        <w:t xml:space="preserve">Although promising, it is unlikely that 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will </w:t>
      </w:r>
      <w:r w:rsidR="00E84122" w:rsidRPr="00A02FDE">
        <w:rPr>
          <w:rFonts w:ascii="Book Antiqua" w:hAnsi="Book Antiqua" w:cs="Arial"/>
          <w:sz w:val="24"/>
          <w:szCs w:val="24"/>
          <w:lang w:val="en-US"/>
        </w:rPr>
        <w:t xml:space="preserve">completely 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replace LLETZ as the </w:t>
      </w:r>
      <w:r w:rsidR="009D4F95" w:rsidRPr="00A02FDE">
        <w:rPr>
          <w:rFonts w:ascii="Book Antiqua" w:hAnsi="Book Antiqua" w:cs="Arial"/>
          <w:sz w:val="24"/>
          <w:szCs w:val="24"/>
          <w:lang w:val="en-US"/>
        </w:rPr>
        <w:t>standard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treatment strategy for high-grade CIN. 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>T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 xml:space="preserve">he 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efficacy of </w:t>
      </w:r>
      <w:proofErr w:type="spellStart"/>
      <w:r w:rsidR="005E1F07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and other immunotherapies 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has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not yet reach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ed</w:t>
      </w:r>
      <w:r w:rsidR="00920AA7" w:rsidRPr="00A02FDE">
        <w:rPr>
          <w:rFonts w:ascii="Book Antiqua" w:hAnsi="Book Antiqua" w:cs="Arial"/>
          <w:sz w:val="24"/>
          <w:szCs w:val="24"/>
          <w:lang w:val="en-US"/>
        </w:rPr>
        <w:t xml:space="preserve"> that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of LLETZ. Furthermore, </w:t>
      </w:r>
      <w:proofErr w:type="spellStart"/>
      <w:r w:rsidR="005E1F07" w:rsidRPr="00A02FDE">
        <w:rPr>
          <w:rFonts w:ascii="Book Antiqua" w:hAnsi="Book Antiqua" w:cs="Arial"/>
          <w:sz w:val="24"/>
          <w:szCs w:val="24"/>
          <w:lang w:val="en-US"/>
        </w:rPr>
        <w:t>i</w:t>
      </w:r>
      <w:r w:rsidRPr="00A02FDE">
        <w:rPr>
          <w:rFonts w:ascii="Book Antiqua" w:hAnsi="Book Antiqua" w:cs="Arial"/>
          <w:sz w:val="24"/>
          <w:szCs w:val="24"/>
          <w:lang w:val="en-US"/>
        </w:rPr>
        <w:t>miquimod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treatment is labor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-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intensive 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>and time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-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>consuming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="00282F90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and is associated with frequent,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>albeit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generally mild-to</w:t>
      </w:r>
      <w:r w:rsidR="00B20554" w:rsidRPr="00A02FDE">
        <w:rPr>
          <w:rFonts w:ascii="Book Antiqua" w:hAnsi="Book Antiqua" w:cs="Arial"/>
          <w:sz w:val="24"/>
          <w:szCs w:val="24"/>
          <w:lang w:val="en-US"/>
        </w:rPr>
        <w:t>-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>moderate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side effects. 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Moreover, </w:t>
      </w:r>
      <w:proofErr w:type="spellStart"/>
      <w:r w:rsidR="005E1F07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and other forms of immunotherapy may treat current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>cervical lesions and HPV</w:t>
      </w:r>
      <w:r w:rsidR="006B1B26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>infections, but do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not protect against new infections. The risk of future CIN and cervical carcinoma therefor</w:t>
      </w:r>
      <w:r w:rsidR="009D4F95" w:rsidRPr="00A02FDE">
        <w:rPr>
          <w:rFonts w:ascii="Book Antiqua" w:hAnsi="Book Antiqua" w:cs="Arial"/>
          <w:sz w:val="24"/>
          <w:szCs w:val="24"/>
          <w:lang w:val="en-US"/>
        </w:rPr>
        <w:t>e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persists. Recent new insights in the pathophysiology of high-grade CIN suggest that disease recurrence after LLETZ may in fact be the result of incomplete resection of the transformation zone in combination with persistent or new HPV infection. </w:t>
      </w:r>
      <w:proofErr w:type="spellStart"/>
      <w:r w:rsidR="005E1F07" w:rsidRPr="00A02FDE">
        <w:rPr>
          <w:rFonts w:ascii="Book Antiqua" w:hAnsi="Book Antiqua" w:cs="Arial"/>
          <w:sz w:val="24"/>
          <w:szCs w:val="24"/>
          <w:lang w:val="en-US"/>
        </w:rPr>
        <w:t>Herfs</w:t>
      </w:r>
      <w:proofErr w:type="spellEnd"/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E1F07" w:rsidRPr="00FE077C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5E1F07" w:rsidRPr="00FE077C">
        <w:rPr>
          <w:rFonts w:ascii="Book Antiqua" w:hAnsi="Book Antiqua" w:cs="Arial"/>
          <w:i/>
          <w:sz w:val="24"/>
          <w:szCs w:val="24"/>
          <w:lang w:val="en-US"/>
        </w:rPr>
        <w:t>al</w:t>
      </w:r>
      <w:r w:rsidR="00FE077C" w:rsidRPr="00FE077C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FE077C" w:rsidRPr="00FE077C">
        <w:rPr>
          <w:rFonts w:ascii="Book Antiqua" w:hAnsi="Book Antiqua" w:cs="Arial"/>
          <w:sz w:val="24"/>
          <w:szCs w:val="24"/>
          <w:vertAlign w:val="superscript"/>
          <w:lang w:val="en-US"/>
        </w:rPr>
        <w:t>22]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demonstrated that high-grade CIN may originate exclusively from cells of the </w:t>
      </w:r>
      <w:proofErr w:type="spellStart"/>
      <w:r w:rsidR="005E1F07" w:rsidRPr="00A02FDE">
        <w:rPr>
          <w:rFonts w:ascii="Book Antiqua" w:hAnsi="Book Antiqua" w:cs="Arial"/>
          <w:sz w:val="24"/>
          <w:szCs w:val="24"/>
          <w:lang w:val="en-US"/>
        </w:rPr>
        <w:t>squamocolumnar</w:t>
      </w:r>
      <w:proofErr w:type="spellEnd"/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junction.</w:t>
      </w:r>
      <w:r w:rsidR="00AD6948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If their observations are correct, disease recurrence could be effectively be prevented by complete resection of the </w:t>
      </w:r>
      <w:proofErr w:type="spellStart"/>
      <w:r w:rsidR="005E1F07" w:rsidRPr="00A02FDE">
        <w:rPr>
          <w:rFonts w:ascii="Book Antiqua" w:hAnsi="Book Antiqua" w:cs="Arial"/>
          <w:sz w:val="24"/>
          <w:szCs w:val="24"/>
          <w:lang w:val="en-US"/>
        </w:rPr>
        <w:t>squamocolumnar</w:t>
      </w:r>
      <w:proofErr w:type="spellEnd"/>
      <w:r w:rsidR="005E1F07" w:rsidRPr="00A02FDE">
        <w:rPr>
          <w:rFonts w:ascii="Book Antiqua" w:hAnsi="Book Antiqua" w:cs="Arial"/>
          <w:sz w:val="24"/>
          <w:szCs w:val="24"/>
          <w:lang w:val="en-US"/>
        </w:rPr>
        <w:t xml:space="preserve"> junction. Alternatively, adjuvant vaccination may 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 xml:space="preserve">provide protection against future infections and disease recurrence. Indeed, </w:t>
      </w:r>
      <w:r w:rsidR="00753A83" w:rsidRPr="00A02FDE">
        <w:rPr>
          <w:rFonts w:ascii="Book Antiqua" w:hAnsi="Book Antiqua" w:cs="Arial"/>
          <w:sz w:val="24"/>
          <w:szCs w:val="24"/>
          <w:lang w:val="en-US"/>
        </w:rPr>
        <w:t>the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 xml:space="preserve"> first trial on this topic shows a significant decrease in disease recurrence after LLETZ in combination with </w:t>
      </w:r>
      <w:proofErr w:type="spellStart"/>
      <w:r w:rsidR="00397AE3" w:rsidRPr="00A02FDE">
        <w:rPr>
          <w:rFonts w:ascii="Book Antiqua" w:hAnsi="Book Antiqua" w:cs="Arial"/>
          <w:sz w:val="24"/>
          <w:szCs w:val="24"/>
          <w:lang w:val="en-US"/>
        </w:rPr>
        <w:t>quadrivalent</w:t>
      </w:r>
      <w:proofErr w:type="spellEnd"/>
      <w:r w:rsidR="00397AE3" w:rsidRPr="00A02FDE">
        <w:rPr>
          <w:rFonts w:ascii="Book Antiqua" w:hAnsi="Book Antiqua" w:cs="Arial"/>
          <w:sz w:val="24"/>
          <w:szCs w:val="24"/>
          <w:lang w:val="en-US"/>
        </w:rPr>
        <w:t xml:space="preserve"> HPV </w:t>
      </w:r>
      <w:proofErr w:type="gramStart"/>
      <w:r w:rsidR="00397AE3" w:rsidRPr="00A02FDE">
        <w:rPr>
          <w:rFonts w:ascii="Book Antiqua" w:hAnsi="Book Antiqua" w:cs="Arial"/>
          <w:sz w:val="24"/>
          <w:szCs w:val="24"/>
          <w:lang w:val="en-US"/>
        </w:rPr>
        <w:t>vaccination</w:t>
      </w:r>
      <w:r w:rsidR="00AD6948" w:rsidRPr="00FE077C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AD6948" w:rsidRPr="00FE077C">
        <w:rPr>
          <w:rFonts w:ascii="Book Antiqua" w:hAnsi="Book Antiqua" w:cs="Arial"/>
          <w:sz w:val="24"/>
          <w:szCs w:val="24"/>
          <w:vertAlign w:val="superscript"/>
          <w:lang w:val="en-US"/>
        </w:rPr>
        <w:t>13]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>.</w:t>
      </w:r>
      <w:r w:rsidR="00AD6948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923866" w:rsidRPr="00A02FDE" w:rsidRDefault="005E1F07" w:rsidP="00FE077C">
      <w:pPr>
        <w:tabs>
          <w:tab w:val="center" w:pos="4536"/>
        </w:tabs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A02FDE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>summary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Pr="00A02FDE">
        <w:rPr>
          <w:rFonts w:ascii="Book Antiqua" w:hAnsi="Book Antiqua" w:cs="Arial"/>
          <w:sz w:val="24"/>
          <w:szCs w:val="24"/>
          <w:lang w:val="en-US"/>
        </w:rPr>
        <w:tab/>
        <w:t xml:space="preserve">immunotherapy of CIN 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 xml:space="preserve">has not yet reached clinical applicability, but seems sensible and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shows 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>promising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 preliminary results</w:t>
      </w:r>
      <w:r w:rsidR="00397AE3" w:rsidRPr="00A02FD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FE02B0" w:rsidRPr="00A02FDE">
        <w:rPr>
          <w:rFonts w:ascii="Book Antiqua" w:hAnsi="Book Antiqua" w:cs="Arial"/>
          <w:sz w:val="24"/>
          <w:szCs w:val="24"/>
          <w:lang w:val="en-GB"/>
        </w:rPr>
        <w:t>One of t</w:t>
      </w:r>
      <w:r w:rsidR="00923866" w:rsidRPr="00A02FDE">
        <w:rPr>
          <w:rFonts w:ascii="Book Antiqua" w:hAnsi="Book Antiqua" w:cs="Arial"/>
          <w:sz w:val="24"/>
          <w:szCs w:val="24"/>
          <w:lang w:val="en-GB"/>
        </w:rPr>
        <w:t>he most promising form</w:t>
      </w:r>
      <w:r w:rsidR="009D4F95" w:rsidRPr="00A02FDE">
        <w:rPr>
          <w:rFonts w:ascii="Book Antiqua" w:hAnsi="Book Antiqua" w:cs="Arial"/>
          <w:sz w:val="24"/>
          <w:szCs w:val="24"/>
          <w:lang w:val="en-GB"/>
        </w:rPr>
        <w:t>s</w:t>
      </w:r>
      <w:r w:rsidR="00923866" w:rsidRPr="00A02FDE">
        <w:rPr>
          <w:rFonts w:ascii="Book Antiqua" w:hAnsi="Book Antiqua" w:cs="Arial"/>
          <w:sz w:val="24"/>
          <w:szCs w:val="24"/>
          <w:lang w:val="en-GB"/>
        </w:rPr>
        <w:t xml:space="preserve"> of immunotherapy in CIN may currently be </w:t>
      </w:r>
      <w:proofErr w:type="spellStart"/>
      <w:r w:rsidR="00923866" w:rsidRPr="00A02FDE">
        <w:rPr>
          <w:rFonts w:ascii="Book Antiqua" w:hAnsi="Book Antiqua" w:cs="Arial"/>
          <w:sz w:val="24"/>
          <w:szCs w:val="24"/>
          <w:lang w:val="en-GB"/>
        </w:rPr>
        <w:t>imiquimod</w:t>
      </w:r>
      <w:proofErr w:type="spellEnd"/>
      <w:r w:rsidR="00FE02B0" w:rsidRPr="00A02FDE">
        <w:rPr>
          <w:rFonts w:ascii="Book Antiqua" w:hAnsi="Book Antiqua" w:cs="Arial"/>
          <w:sz w:val="24"/>
          <w:szCs w:val="24"/>
          <w:lang w:val="en-GB"/>
        </w:rPr>
        <w:t>, because of its established role in other HPV-induced genital conditions, its promising treatment efficacy in high-grade CIN</w:t>
      </w:r>
      <w:r w:rsidR="00753A83" w:rsidRPr="00A02FDE">
        <w:rPr>
          <w:rFonts w:ascii="Book Antiqua" w:hAnsi="Book Antiqua" w:cs="Arial"/>
          <w:sz w:val="24"/>
          <w:szCs w:val="24"/>
          <w:lang w:val="en-GB"/>
        </w:rPr>
        <w:t>,</w:t>
      </w:r>
      <w:r w:rsidR="00FE02B0" w:rsidRPr="00A02FDE">
        <w:rPr>
          <w:rFonts w:ascii="Book Antiqua" w:hAnsi="Book Antiqua" w:cs="Arial"/>
          <w:sz w:val="24"/>
          <w:szCs w:val="24"/>
          <w:lang w:val="en-GB"/>
        </w:rPr>
        <w:t xml:space="preserve"> and its off-label availability</w:t>
      </w:r>
      <w:r w:rsidR="00923866" w:rsidRPr="00A02FDE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Although </w:t>
      </w:r>
      <w:proofErr w:type="spellStart"/>
      <w:r w:rsidR="00923866"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 cannot yet replace </w:t>
      </w:r>
      <w:r w:rsidR="004E1D45" w:rsidRPr="00A02FDE">
        <w:rPr>
          <w:rFonts w:ascii="Book Antiqua" w:hAnsi="Book Antiqua" w:cs="Arial"/>
          <w:sz w:val="24"/>
          <w:szCs w:val="24"/>
          <w:lang w:val="en-US"/>
        </w:rPr>
        <w:t xml:space="preserve">LLETZ as 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the current gold standard 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>treatment for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 CIN</w:t>
      </w:r>
      <w:r w:rsidR="00FE02B0" w:rsidRPr="00A02FDE">
        <w:rPr>
          <w:rFonts w:ascii="Book Antiqua" w:hAnsi="Book Antiqua" w:cs="Arial"/>
          <w:sz w:val="24"/>
          <w:szCs w:val="24"/>
          <w:lang w:val="en-US"/>
        </w:rPr>
        <w:t xml:space="preserve"> in all patients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>, it may be considered in subgroups of patients</w:t>
      </w:r>
      <w:r w:rsidR="00753A83" w:rsidRPr="00A02FDE">
        <w:rPr>
          <w:rFonts w:ascii="Book Antiqua" w:hAnsi="Book Antiqua" w:cs="Arial"/>
          <w:sz w:val="24"/>
          <w:szCs w:val="24"/>
          <w:lang w:val="en-US"/>
        </w:rPr>
        <w:t>, such as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 young women </w:t>
      </w:r>
      <w:r w:rsidR="00753A83" w:rsidRPr="00A02FDE">
        <w:rPr>
          <w:rFonts w:ascii="Book Antiqua" w:hAnsi="Book Antiqua" w:cs="Arial"/>
          <w:sz w:val="24"/>
          <w:szCs w:val="24"/>
          <w:lang w:val="en-US"/>
        </w:rPr>
        <w:t>who may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 wish</w:t>
      </w:r>
      <w:r w:rsidR="00753A83" w:rsidRPr="00A02FDE">
        <w:rPr>
          <w:rFonts w:ascii="Book Antiqua" w:hAnsi="Book Antiqua" w:cs="Arial"/>
          <w:sz w:val="24"/>
          <w:szCs w:val="24"/>
          <w:lang w:val="en-US"/>
        </w:rPr>
        <w:t xml:space="preserve"> to become pregnant in the future</w:t>
      </w:r>
      <w:r w:rsidR="004E1D45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E1D45" w:rsidRPr="00A02FDE">
        <w:rPr>
          <w:rFonts w:ascii="Book Antiqua" w:hAnsi="Book Antiqua" w:cs="Arial"/>
          <w:sz w:val="24"/>
          <w:szCs w:val="24"/>
          <w:lang w:val="en-US"/>
        </w:rPr>
        <w:t xml:space="preserve">or 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patients with recurrent CIN lesions in whom a second LLETZ is to be avoided.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Immunotherapy of CIN could be extended to post-treatment vaccination, in order to </w:t>
      </w:r>
      <w:r w:rsidR="00753A83" w:rsidRPr="00A02FDE">
        <w:rPr>
          <w:rFonts w:ascii="Book Antiqua" w:hAnsi="Book Antiqua" w:cs="Arial"/>
          <w:sz w:val="24"/>
          <w:szCs w:val="24"/>
          <w:lang w:val="en-US"/>
        </w:rPr>
        <w:t xml:space="preserve">promote disease recurrence and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prevent 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>new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 HPV</w:t>
      </w:r>
      <w:r w:rsidR="00923866" w:rsidRPr="00A02FDE">
        <w:rPr>
          <w:rFonts w:ascii="Book Antiqua" w:hAnsi="Book Antiqua" w:cs="Arial"/>
          <w:sz w:val="24"/>
          <w:szCs w:val="24"/>
          <w:lang w:val="en-US"/>
        </w:rPr>
        <w:t xml:space="preserve"> infections. </w:t>
      </w:r>
    </w:p>
    <w:p w:rsidR="00397AE3" w:rsidRPr="00A02FDE" w:rsidRDefault="00397AE3" w:rsidP="00FE077C">
      <w:pPr>
        <w:tabs>
          <w:tab w:val="center" w:pos="4536"/>
        </w:tabs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A02FDE">
        <w:rPr>
          <w:rFonts w:ascii="Book Antiqua" w:hAnsi="Book Antiqua" w:cs="Arial"/>
          <w:sz w:val="24"/>
          <w:szCs w:val="24"/>
          <w:lang w:val="en-US"/>
        </w:rPr>
        <w:lastRenderedPageBreak/>
        <w:t>We advocate further research in the field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 of immunotherapy in CIN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and are currently conducting a trial on 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>the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efficacy of 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 xml:space="preserve">5% 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cream in high-grade CIN 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>[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TOPical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treatment with </w:t>
      </w:r>
      <w:proofErr w:type="spellStart"/>
      <w:r w:rsidRPr="00A02FDE">
        <w:rPr>
          <w:rFonts w:ascii="Book Antiqua" w:hAnsi="Book Antiqua" w:cs="Arial"/>
          <w:sz w:val="24"/>
          <w:szCs w:val="24"/>
          <w:lang w:val="en-US"/>
        </w:rPr>
        <w:t>Imiquimod</w:t>
      </w:r>
      <w:proofErr w:type="spellEnd"/>
      <w:r w:rsidRPr="00A02FDE">
        <w:rPr>
          <w:rFonts w:ascii="Book Antiqua" w:hAnsi="Book Antiqua" w:cs="Arial"/>
          <w:sz w:val="24"/>
          <w:szCs w:val="24"/>
          <w:lang w:val="en-US"/>
        </w:rPr>
        <w:t xml:space="preserve"> of high-grade CIN (TOPIC) trial; ClinicalTrial.gov identifier: NCT02329171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>]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. This study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also </w:t>
      </w:r>
      <w:r w:rsidRPr="00A02FDE">
        <w:rPr>
          <w:rFonts w:ascii="Book Antiqua" w:hAnsi="Book Antiqua" w:cs="Arial"/>
          <w:sz w:val="24"/>
          <w:szCs w:val="24"/>
          <w:lang w:val="en-US"/>
        </w:rPr>
        <w:t>includes assessment of side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A02FDE">
        <w:rPr>
          <w:rFonts w:ascii="Book Antiqua" w:hAnsi="Book Antiqua" w:cs="Arial"/>
          <w:sz w:val="24"/>
          <w:szCs w:val="24"/>
          <w:lang w:val="en-US"/>
        </w:rPr>
        <w:t>effects, disease recurrence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>,</w:t>
      </w:r>
      <w:r w:rsidRPr="00A02FDE">
        <w:rPr>
          <w:rFonts w:ascii="Book Antiqua" w:hAnsi="Book Antiqua" w:cs="Arial"/>
          <w:sz w:val="24"/>
          <w:szCs w:val="24"/>
          <w:lang w:val="en-US"/>
        </w:rPr>
        <w:t xml:space="preserve"> and quality of life.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E1D45" w:rsidRPr="00A02FDE">
        <w:rPr>
          <w:rFonts w:ascii="Book Antiqua" w:hAnsi="Book Antiqua" w:cs="Arial"/>
          <w:sz w:val="24"/>
          <w:szCs w:val="24"/>
          <w:lang w:val="en-US"/>
        </w:rPr>
        <w:t>Further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 research is </w:t>
      </w:r>
      <w:r w:rsidR="006A2636" w:rsidRPr="00A02FDE">
        <w:rPr>
          <w:rFonts w:ascii="Book Antiqua" w:hAnsi="Book Antiqua" w:cs="Arial"/>
          <w:sz w:val="24"/>
          <w:szCs w:val="24"/>
          <w:lang w:val="en-US"/>
        </w:rPr>
        <w:t xml:space="preserve">also 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needed on the efficacy of post-treatment HPV vaccination. A combination of immunotherapy for </w:t>
      </w:r>
      <w:r w:rsidR="0063668F" w:rsidRPr="00A02FDE">
        <w:rPr>
          <w:rFonts w:ascii="Book Antiqua" w:hAnsi="Book Antiqua" w:cs="Arial"/>
          <w:sz w:val="24"/>
          <w:szCs w:val="24"/>
          <w:lang w:val="en-US"/>
        </w:rPr>
        <w:t>present</w:t>
      </w:r>
      <w:r w:rsidR="00E12321" w:rsidRPr="00A02FDE">
        <w:rPr>
          <w:rFonts w:ascii="Book Antiqua" w:hAnsi="Book Antiqua" w:cs="Arial"/>
          <w:sz w:val="24"/>
          <w:szCs w:val="24"/>
          <w:lang w:val="en-US"/>
        </w:rPr>
        <w:t xml:space="preserve"> lesions and vaccination to prevent disease recurrence may provide a good treatment alternative to current surgical treatment for high-grade CIN in selected patients.</w:t>
      </w:r>
    </w:p>
    <w:p w:rsidR="00903FC2" w:rsidRPr="00A02FDE" w:rsidRDefault="00903FC2" w:rsidP="00A02FD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A02FDE">
        <w:rPr>
          <w:rFonts w:ascii="Book Antiqua" w:hAnsi="Book Antiqua" w:cs="Arial"/>
          <w:sz w:val="24"/>
          <w:szCs w:val="24"/>
          <w:lang w:val="en-US"/>
        </w:rPr>
        <w:br w:type="page"/>
      </w:r>
    </w:p>
    <w:p w:rsidR="00DF3F18" w:rsidRPr="008243EC" w:rsidRDefault="008E30ED" w:rsidP="008243E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8243EC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Moody CA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Laimins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LA.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Human papillomavirus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oncoproteins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: pathways to transformation.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Nat Rev Cancer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550-560 [PMID: 20592731 DOI: 10.1038/nrc2886]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Doorbar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Quint W, Banks L, Bravo IG,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Stoler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M, Broker TR, Stanley MA. The biology and </w:t>
      </w: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life-cycle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of human papillomaviruses.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Vaccine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30 </w:t>
      </w:r>
      <w:proofErr w:type="spellStart"/>
      <w:r w:rsidRPr="008243EC">
        <w:rPr>
          <w:rFonts w:ascii="Book Antiqua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8243EC">
        <w:rPr>
          <w:rFonts w:ascii="Book Antiqua" w:hAnsi="Book Antiqua" w:cs="宋体"/>
          <w:bCs/>
          <w:sz w:val="24"/>
          <w:szCs w:val="24"/>
          <w:lang w:val="en-US" w:eastAsia="zh-CN"/>
        </w:rPr>
        <w:t xml:space="preserve"> 5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F55-F70 [PMID: 23199966 DOI: 10.1016/j.vaccine.2012.06.083]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3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Stanley MA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Epithelial cell responses to infection with human papillomavirus.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25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215-222 [PMID: 22491770 DOI: 10.1128/CMR.05028-11]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4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Grimm C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Polterauer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S, Natter C,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Rahhal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Hefler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Tempfer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CB,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Heinze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Stary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Reinthaller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Speiser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P. Treatment of cervical intraepithelial neoplasia with topical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imiquimod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: a randomized controlled trial.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120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152-159 [PMID: 22914404 DOI: 10.1097/AOG.0b013e31825bc6e8]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5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Munk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AC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Gudlaugsson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Ovestad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IT,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Lovslett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Fiane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Hidle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Bv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Kruse AJ,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Skaland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I, Janssen EA,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Baak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JP. </w:t>
      </w: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Interaction of epithelial biomarkers, local immune response and condom use in cervical intraepithelial neoplasia 2-3 regression.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127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489-494 [PMID: 23017821 DOI: 10.1016/j.ygyno.2012.09.010]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6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Trimble CL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Piantadosi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Gravitt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Ronnett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Pizer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E, Elko 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Wilgus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Yutzy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W, Daniel R, Shah K, Peng S, Hung C,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Roden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R, Wu TC,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Pardoll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D. Spontaneous regression of high-grade cervical dysplasia: effects of human papillomavirus type and HLA phenotype.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Cancer Res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2005;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11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4717-4723 [PMID: 16000566]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7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McCredie MR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Sharples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KJ, Paul C,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Baranyai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J, Medley G, Jones RW,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Skegg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DC. Natural history of cervical neoplasia and risk of invasive cancer in women with cervical intraepithelial neoplasia 3: a retrospective cohort study.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2008;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425-434 [PMID: 18407790 DOI: 10.1016/S1470-2045(08)70103-7]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Koeneman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MM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Kruitwagen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RF, Nijman HW,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Slangen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BF, Van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Gorp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T, Kruse AJ. Natural history of high-grade cervical intraepithelial neoplasia: a review of prognostic biomarkers.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Expert Rev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Diagn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527-546 [PMID: 25703310 DOI: 10.1586/14737159.2015.1012068]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Baloglu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Uysal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Bezircioglu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Bicer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Inci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A. Residual and recurrent disease rates following LEEP treatment in high-grade cervical intraepithelial lesions.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282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69-73 [PMID: 19940997 DOI: 10.1007/s00404-009-1298-3]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10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Lubrano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Medina N, Benito V,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Arencibia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O, Falcón JM, Leon L, Molina J, Falcón O. Follow-up after LLETZ: a study of 682 cases of CIN 2-CIN 3 in a single institution.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Reprod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161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71-74 [PMID: 22177836 DOI: 10.1016/j.ejogrb.2011.11.023]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Sarian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LO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Derchain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SF, Andrade LA,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Tambascia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Morais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SS,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Syrjänen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KJ.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HPV DNA test and Pap smear in detection of residual and recurrent disease following loop electrosurgical excision procedure of high-grade cervical intraepithelial neoplasia.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2004;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94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181-186 [PMID: 15262139]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12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Serati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Siesto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Carollo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Formenti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G, Riva C,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Cromi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Ghezzi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F. Risk factors for cervical intraepithelial neoplasia recurrence after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conization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: a 10-year study.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Reprod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165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86-90 [PMID: 22771223 DOI: 10.1016/j.ejogrb.2012.06.026]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13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Kang WD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Choi HS, Kim SM. Is vaccination with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quadrivalent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HPV vaccine after loop electrosurgical excision procedure effective in preventing recurrence in patients with high-grade cervical intraepithelial neoplasia (CIN2-3)?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2013;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130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264-268 [PMID: 23623831 DOI: 10.1016/j.ygyno.2013.04.050]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14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Crane JM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Pregnancy outcome after loop electrosurgical excision procedure: a systematic review.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2003;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102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1058-1062 [PMID: 14672487]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Kyrgiou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Koliopoulos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G, Martin-Hirsch P,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Arbyn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Prendiville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Paraskevaidis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E. Obstetric outcomes after conservative treatment for intraepithelial or early invasive cervical lesions: systematic review and meta-analysis.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Lancet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2006;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367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489-498 [PMID: 16473126]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16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de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Vos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van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Steenwijk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PJ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Ramwadhdoebe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TH,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Löwik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MJ, van der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Minne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CE,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Berends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-van der Meer DM, Fathers LM,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Valentijn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AR,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Oostendorp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Fleuren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Hellebrekers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BW, Welters MJ, van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Poelgeest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MI,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Melief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CJ,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Kenter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GG, van der Burg SH. A placebo-controlled randomized HPV16 synthetic long-peptide vaccination study in women with high-grade cervical squamous intraepithelial lesions.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Cancer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Immunother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61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1485-1492 [PMID: 22684521 DOI: 10.1007/s00262-012-1292-7]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Kawana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Adachi K, Kojima S, Taguchi 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Tomio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K, Yamashita A, Nishida H,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Nagasaka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Arimoto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T, Yokoyama T, Wada-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Hiraike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O, Oda K,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Sewaki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Osuga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Fujii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T. Oral vaccination against HPV E7 for treatment of cervical intraepithelial neoplasia grade 3 (CIN3) elicits E7-specific mucosal immunity in the cervix of CIN3 patients.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Vaccine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32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6233-6239 [PMID: 25258102 DOI: 10.1016/j.vaccine.2014.09.020]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18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Machado FA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Abdalla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DR, Montes L,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Etchebehere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RM, Michelin MA,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Murta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EF. </w:t>
      </w:r>
      <w:proofErr w:type="gram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An evaluation of immune system cell infiltrate in the cervical stroma of patients with grade III cervical intraepithelial neoplasia after treatment with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intralesional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alpha-2B interferon.</w:t>
      </w:r>
      <w:proofErr w:type="gram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Gynaecol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2014;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35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20-25 [PMID: 24654456]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19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Lin CT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Qiu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JT, Wang CJ, Chang SD, Tang YH, Wu PJ, Jung SM, Huang CC, Chou HH,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Jao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MS, Lai CH. Topical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imiquimod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treatment for human papillomavirus infection in patients with and without cervical/vaginal intraepithelial neoplasia.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Taiwan J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51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533-538 [PMID: 23276555 DOI: 10.1016/j.tjog.2012.09.006]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Pachman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DR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Barton DL, Clayton AC, McGovern RM, Jefferies JA, Novotny PJ, Sloan JA,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Loprinzi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CL,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Gostout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BS. Randomized clinical trial of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imiquimod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: an adjunct to treating cervical dysplasia. </w:t>
      </w:r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2012;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206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42.e1-42.e7 [PMID: 21907959 DOI: 10.1016/j.ajog.2011.06.105]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21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Kietpeerakool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Srisomboon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J. Medical treatment of cervical intraepithelial neoplasia II, III: an update review.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2009;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37-42 [PMID: 19225922 DOI: 10.1007/s10147-008-0795-x]</w:t>
      </w:r>
    </w:p>
    <w:p w:rsidR="008243EC" w:rsidRPr="008243EC" w:rsidRDefault="008243EC" w:rsidP="008243E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Herfs</w:t>
      </w:r>
      <w:proofErr w:type="spellEnd"/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Somja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J, Howitt BE, Suarez-Carmona M,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Kustermans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G, Hubert P, Doyen J,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Goffin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Kridelka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F, Crum CP,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Delvenne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P. Unique recurrence patterns of cervical intraepithelial neoplasia after excision of the </w:t>
      </w:r>
      <w:proofErr w:type="spellStart"/>
      <w:r w:rsidRPr="008243EC">
        <w:rPr>
          <w:rFonts w:ascii="Book Antiqua" w:hAnsi="Book Antiqua" w:cs="宋体"/>
          <w:sz w:val="24"/>
          <w:szCs w:val="24"/>
          <w:lang w:val="en-US" w:eastAsia="zh-CN"/>
        </w:rPr>
        <w:t>squamocolumnar</w:t>
      </w:r>
      <w:proofErr w:type="spellEnd"/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junction. </w:t>
      </w:r>
      <w:proofErr w:type="spellStart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8243EC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 Cancer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 xml:space="preserve"> 2015; </w:t>
      </w:r>
      <w:r w:rsidRPr="008243EC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136</w:t>
      </w:r>
      <w:r w:rsidRPr="008243EC">
        <w:rPr>
          <w:rFonts w:ascii="Book Antiqua" w:hAnsi="Book Antiqua" w:cs="宋体"/>
          <w:sz w:val="24"/>
          <w:szCs w:val="24"/>
          <w:lang w:val="en-US" w:eastAsia="zh-CN"/>
        </w:rPr>
        <w:t>: 1043-1052 [PMID: 24839092 DOI: 10.1002/ijc.28978]</w:t>
      </w:r>
    </w:p>
    <w:p w:rsidR="00FE077C" w:rsidRPr="008243EC" w:rsidRDefault="00FE077C" w:rsidP="008243E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E077C" w:rsidRPr="008243EC" w:rsidRDefault="00FE077C" w:rsidP="008243EC">
      <w:pPr>
        <w:spacing w:after="0" w:line="360" w:lineRule="auto"/>
        <w:jc w:val="right"/>
        <w:rPr>
          <w:rFonts w:ascii="Book Antiqua" w:hAnsi="Book Antiqua" w:cs="Arial"/>
          <w:sz w:val="24"/>
          <w:szCs w:val="24"/>
          <w:lang w:val="en-US" w:eastAsia="zh-CN"/>
        </w:rPr>
      </w:pPr>
      <w:r w:rsidRPr="008243EC">
        <w:rPr>
          <w:rFonts w:ascii="Book Antiqua" w:hAnsi="Book Antiqua"/>
          <w:b/>
          <w:sz w:val="24"/>
          <w:szCs w:val="24"/>
        </w:rPr>
        <w:t xml:space="preserve">P-Reviewer: </w:t>
      </w:r>
      <w:r w:rsidRPr="008243EC">
        <w:rPr>
          <w:rFonts w:ascii="Book Antiqua" w:hAnsi="Book Antiqua" w:cs="Tahoma"/>
          <w:color w:val="000000"/>
          <w:sz w:val="24"/>
          <w:szCs w:val="24"/>
        </w:rPr>
        <w:t>Vetvicka</w:t>
      </w:r>
      <w:r w:rsidRPr="008243EC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V </w:t>
      </w:r>
      <w:r w:rsidRPr="008243EC">
        <w:rPr>
          <w:rFonts w:ascii="Book Antiqua" w:hAnsi="Book Antiqua"/>
          <w:b/>
          <w:sz w:val="24"/>
          <w:szCs w:val="24"/>
        </w:rPr>
        <w:t xml:space="preserve">S-Editor: </w:t>
      </w:r>
      <w:r w:rsidRPr="008243EC">
        <w:rPr>
          <w:rFonts w:ascii="Book Antiqua" w:hAnsi="Book Antiqua"/>
          <w:sz w:val="24"/>
          <w:szCs w:val="24"/>
        </w:rPr>
        <w:t>Ji FF</w:t>
      </w:r>
      <w:r w:rsidRPr="008243EC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FE077C" w:rsidRPr="008243EC" w:rsidSect="00D709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99" w:rsidRDefault="00131599" w:rsidP="00920FB9">
      <w:pPr>
        <w:spacing w:after="0" w:line="240" w:lineRule="auto"/>
      </w:pPr>
      <w:r>
        <w:separator/>
      </w:r>
    </w:p>
  </w:endnote>
  <w:endnote w:type="continuationSeparator" w:id="0">
    <w:p w:rsidR="00131599" w:rsidRDefault="00131599" w:rsidP="0092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99" w:rsidRDefault="00131599" w:rsidP="00920FB9">
      <w:pPr>
        <w:spacing w:after="0" w:line="240" w:lineRule="auto"/>
      </w:pPr>
      <w:r>
        <w:separator/>
      </w:r>
    </w:p>
  </w:footnote>
  <w:footnote w:type="continuationSeparator" w:id="0">
    <w:p w:rsidR="00131599" w:rsidRDefault="00131599" w:rsidP="0092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ot Koeneman">
    <w15:presenceInfo w15:providerId="Windows Live" w15:userId="635550b6bd3f86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90p0prffzdxheawtt52xdqwwawwx5pvsfa&quot;&gt;Inv studie&lt;record-ids&gt;&lt;item&gt;4&lt;/item&gt;&lt;item&gt;5&lt;/item&gt;&lt;item&gt;6&lt;/item&gt;&lt;item&gt;9&lt;/item&gt;&lt;item&gt;10&lt;/item&gt;&lt;item&gt;11&lt;/item&gt;&lt;item&gt;12&lt;/item&gt;&lt;item&gt;13&lt;/item&gt;&lt;item&gt;23&lt;/item&gt;&lt;item&gt;24&lt;/item&gt;&lt;item&gt;25&lt;/item&gt;&lt;item&gt;26&lt;/item&gt;&lt;item&gt;27&lt;/item&gt;&lt;item&gt;28&lt;/item&gt;&lt;item&gt;30&lt;/item&gt;&lt;item&gt;33&lt;/item&gt;&lt;item&gt;34&lt;/item&gt;&lt;item&gt;35&lt;/item&gt;&lt;item&gt;38&lt;/item&gt;&lt;item&gt;39&lt;/item&gt;&lt;item&gt;40&lt;/item&gt;&lt;item&gt;41&lt;/item&gt;&lt;/record-ids&gt;&lt;/item&gt;&lt;/Libraries&gt;"/>
  </w:docVars>
  <w:rsids>
    <w:rsidRoot w:val="00DF3F18"/>
    <w:rsid w:val="000739BF"/>
    <w:rsid w:val="000B229A"/>
    <w:rsid w:val="000B4582"/>
    <w:rsid w:val="000E7561"/>
    <w:rsid w:val="001077A3"/>
    <w:rsid w:val="001129BC"/>
    <w:rsid w:val="00131599"/>
    <w:rsid w:val="00161C8B"/>
    <w:rsid w:val="001654F1"/>
    <w:rsid w:val="001705DA"/>
    <w:rsid w:val="001A0821"/>
    <w:rsid w:val="001B2663"/>
    <w:rsid w:val="001C73A7"/>
    <w:rsid w:val="001E10D0"/>
    <w:rsid w:val="001F7B5F"/>
    <w:rsid w:val="002000BB"/>
    <w:rsid w:val="00212FAA"/>
    <w:rsid w:val="00224431"/>
    <w:rsid w:val="00227062"/>
    <w:rsid w:val="002461E3"/>
    <w:rsid w:val="00267DD1"/>
    <w:rsid w:val="00277431"/>
    <w:rsid w:val="00282F90"/>
    <w:rsid w:val="002C7AB4"/>
    <w:rsid w:val="00342F46"/>
    <w:rsid w:val="00350FD8"/>
    <w:rsid w:val="00351EAF"/>
    <w:rsid w:val="0035363E"/>
    <w:rsid w:val="00370AA2"/>
    <w:rsid w:val="003923C0"/>
    <w:rsid w:val="00397AE3"/>
    <w:rsid w:val="003C7B5F"/>
    <w:rsid w:val="00404E6C"/>
    <w:rsid w:val="00406231"/>
    <w:rsid w:val="0046456F"/>
    <w:rsid w:val="004972EF"/>
    <w:rsid w:val="0049762C"/>
    <w:rsid w:val="004A1F06"/>
    <w:rsid w:val="004A717A"/>
    <w:rsid w:val="004C16EC"/>
    <w:rsid w:val="004D7AE8"/>
    <w:rsid w:val="004E1D45"/>
    <w:rsid w:val="004E36FF"/>
    <w:rsid w:val="0051754D"/>
    <w:rsid w:val="00520EF7"/>
    <w:rsid w:val="00537F57"/>
    <w:rsid w:val="005446B2"/>
    <w:rsid w:val="00556B58"/>
    <w:rsid w:val="00577775"/>
    <w:rsid w:val="00593FDB"/>
    <w:rsid w:val="005A5B57"/>
    <w:rsid w:val="005C3B7B"/>
    <w:rsid w:val="005E1F07"/>
    <w:rsid w:val="005E5BF3"/>
    <w:rsid w:val="00610D25"/>
    <w:rsid w:val="0063668F"/>
    <w:rsid w:val="00654307"/>
    <w:rsid w:val="00672FEF"/>
    <w:rsid w:val="00697E31"/>
    <w:rsid w:val="006A2636"/>
    <w:rsid w:val="006A7C54"/>
    <w:rsid w:val="006B09A9"/>
    <w:rsid w:val="006B1B26"/>
    <w:rsid w:val="006D5EF9"/>
    <w:rsid w:val="006D6448"/>
    <w:rsid w:val="00732FB4"/>
    <w:rsid w:val="00753A83"/>
    <w:rsid w:val="00783D7D"/>
    <w:rsid w:val="007E722E"/>
    <w:rsid w:val="008002AB"/>
    <w:rsid w:val="00812373"/>
    <w:rsid w:val="00820869"/>
    <w:rsid w:val="008243EC"/>
    <w:rsid w:val="00841506"/>
    <w:rsid w:val="00876171"/>
    <w:rsid w:val="008A424C"/>
    <w:rsid w:val="008C0491"/>
    <w:rsid w:val="008E14C1"/>
    <w:rsid w:val="008E30ED"/>
    <w:rsid w:val="0090349B"/>
    <w:rsid w:val="00903FC2"/>
    <w:rsid w:val="00916E18"/>
    <w:rsid w:val="00920AA7"/>
    <w:rsid w:val="00920FB9"/>
    <w:rsid w:val="00923866"/>
    <w:rsid w:val="009239FE"/>
    <w:rsid w:val="00980105"/>
    <w:rsid w:val="009B7D4D"/>
    <w:rsid w:val="009C0C58"/>
    <w:rsid w:val="009D4F95"/>
    <w:rsid w:val="009E2D08"/>
    <w:rsid w:val="009E6BBA"/>
    <w:rsid w:val="00A00630"/>
    <w:rsid w:val="00A01572"/>
    <w:rsid w:val="00A02FDE"/>
    <w:rsid w:val="00A24FE3"/>
    <w:rsid w:val="00A27074"/>
    <w:rsid w:val="00A41398"/>
    <w:rsid w:val="00A76477"/>
    <w:rsid w:val="00A927D7"/>
    <w:rsid w:val="00AD6948"/>
    <w:rsid w:val="00AE1F09"/>
    <w:rsid w:val="00B12B55"/>
    <w:rsid w:val="00B20554"/>
    <w:rsid w:val="00B645A3"/>
    <w:rsid w:val="00B76D39"/>
    <w:rsid w:val="00B81BFA"/>
    <w:rsid w:val="00B87ECB"/>
    <w:rsid w:val="00B96944"/>
    <w:rsid w:val="00BA78D8"/>
    <w:rsid w:val="00BC0998"/>
    <w:rsid w:val="00BD41FA"/>
    <w:rsid w:val="00BE48D3"/>
    <w:rsid w:val="00BE55B0"/>
    <w:rsid w:val="00BF61A5"/>
    <w:rsid w:val="00C23EB5"/>
    <w:rsid w:val="00C44E16"/>
    <w:rsid w:val="00C54C9D"/>
    <w:rsid w:val="00C9657E"/>
    <w:rsid w:val="00CD1592"/>
    <w:rsid w:val="00CD79B5"/>
    <w:rsid w:val="00CF0AC4"/>
    <w:rsid w:val="00CF40C7"/>
    <w:rsid w:val="00D334ED"/>
    <w:rsid w:val="00D44431"/>
    <w:rsid w:val="00D57B8C"/>
    <w:rsid w:val="00D709BB"/>
    <w:rsid w:val="00D93FE8"/>
    <w:rsid w:val="00DA283D"/>
    <w:rsid w:val="00DC56CF"/>
    <w:rsid w:val="00DE7FD0"/>
    <w:rsid w:val="00DF3F18"/>
    <w:rsid w:val="00DF6EAE"/>
    <w:rsid w:val="00E0701D"/>
    <w:rsid w:val="00E12321"/>
    <w:rsid w:val="00E41C60"/>
    <w:rsid w:val="00E51685"/>
    <w:rsid w:val="00E67D6F"/>
    <w:rsid w:val="00E746E8"/>
    <w:rsid w:val="00E833E4"/>
    <w:rsid w:val="00E84122"/>
    <w:rsid w:val="00EA1A89"/>
    <w:rsid w:val="00EA3F4F"/>
    <w:rsid w:val="00ED424B"/>
    <w:rsid w:val="00EF1342"/>
    <w:rsid w:val="00EF27F4"/>
    <w:rsid w:val="00EF723B"/>
    <w:rsid w:val="00F15134"/>
    <w:rsid w:val="00F16CE1"/>
    <w:rsid w:val="00F26D69"/>
    <w:rsid w:val="00F6579E"/>
    <w:rsid w:val="00F678D9"/>
    <w:rsid w:val="00F93E65"/>
    <w:rsid w:val="00FA3561"/>
    <w:rsid w:val="00FB05CD"/>
    <w:rsid w:val="00FB14CC"/>
    <w:rsid w:val="00FD32D4"/>
    <w:rsid w:val="00FE02B0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9B5"/>
    <w:rPr>
      <w:rFonts w:cs="Times New Roman"/>
      <w:color w:val="0000FF"/>
      <w:u w:val="single"/>
    </w:rPr>
  </w:style>
  <w:style w:type="character" w:customStyle="1" w:styleId="ecx890500014-14042010">
    <w:name w:val="ecx890500014-14042010"/>
    <w:basedOn w:val="DefaultParagraphFont"/>
    <w:rsid w:val="00577775"/>
  </w:style>
  <w:style w:type="paragraph" w:styleId="BalloonText">
    <w:name w:val="Balloon Text"/>
    <w:basedOn w:val="Normal"/>
    <w:link w:val="BalloonTextChar"/>
    <w:uiPriority w:val="99"/>
    <w:semiHidden/>
    <w:unhideWhenUsed/>
    <w:rsid w:val="004C16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F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D4F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F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9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03FC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3FC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3FC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3FC2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E30ED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2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0F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0FB9"/>
    <w:rPr>
      <w:sz w:val="18"/>
      <w:szCs w:val="18"/>
    </w:rPr>
  </w:style>
  <w:style w:type="character" w:styleId="Emphasis">
    <w:name w:val="Emphasis"/>
    <w:qFormat/>
    <w:rsid w:val="00351EAF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9B5"/>
    <w:rPr>
      <w:rFonts w:cs="Times New Roman"/>
      <w:color w:val="0000FF"/>
      <w:u w:val="single"/>
    </w:rPr>
  </w:style>
  <w:style w:type="character" w:customStyle="1" w:styleId="ecx890500014-14042010">
    <w:name w:val="ecx890500014-14042010"/>
    <w:basedOn w:val="DefaultParagraphFont"/>
    <w:rsid w:val="00577775"/>
  </w:style>
  <w:style w:type="paragraph" w:styleId="BalloonText">
    <w:name w:val="Balloon Text"/>
    <w:basedOn w:val="Normal"/>
    <w:link w:val="BalloonTextChar"/>
    <w:uiPriority w:val="99"/>
    <w:semiHidden/>
    <w:unhideWhenUsed/>
    <w:rsid w:val="004C16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F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D4F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F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9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03FC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3FC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3FC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3FC2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E30ED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2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0F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0FB9"/>
    <w:rPr>
      <w:sz w:val="18"/>
      <w:szCs w:val="18"/>
    </w:rPr>
  </w:style>
  <w:style w:type="character" w:styleId="Emphasis">
    <w:name w:val="Emphasis"/>
    <w:qFormat/>
    <w:rsid w:val="00351EAF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arnoldjankruse@hotmail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2792</Words>
  <Characters>15920</Characters>
  <Application>Microsoft Macintosh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Koeneman M.M. (Margot)</dc:creator>
  <cp:lastModifiedBy>Na Ma</cp:lastModifiedBy>
  <cp:revision>2</cp:revision>
  <cp:lastPrinted>2015-10-03T20:14:00Z</cp:lastPrinted>
  <dcterms:created xsi:type="dcterms:W3CDTF">2015-11-11T02:57:00Z</dcterms:created>
  <dcterms:modified xsi:type="dcterms:W3CDTF">2015-11-11T02:57:00Z</dcterms:modified>
</cp:coreProperties>
</file>