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2264D" w14:textId="77777777" w:rsidR="00BF1DBA" w:rsidRPr="00242455" w:rsidRDefault="00BF1DBA" w:rsidP="007C0097">
      <w:pPr>
        <w:widowControl w:val="0"/>
        <w:overflowPunct w:val="0"/>
        <w:autoSpaceDE w:val="0"/>
        <w:autoSpaceDN w:val="0"/>
        <w:spacing w:line="360" w:lineRule="auto"/>
        <w:jc w:val="both"/>
        <w:rPr>
          <w:rFonts w:ascii="Book Antiqua" w:hAnsi="Book Antiqua" w:cs="Times New Roman"/>
          <w:b/>
          <w:sz w:val="24"/>
          <w:szCs w:val="24"/>
        </w:rPr>
      </w:pPr>
      <w:r w:rsidRPr="00242455">
        <w:rPr>
          <w:rFonts w:ascii="Book Antiqua" w:hAnsi="Book Antiqua" w:cs="Times New Roman"/>
          <w:b/>
          <w:sz w:val="24"/>
          <w:szCs w:val="24"/>
        </w:rPr>
        <w:t xml:space="preserve">Name of Journal: </w:t>
      </w:r>
      <w:r w:rsidRPr="00242455">
        <w:rPr>
          <w:rFonts w:ascii="Book Antiqua" w:hAnsi="Book Antiqua" w:cs="Times New Roman"/>
          <w:b/>
          <w:i/>
          <w:sz w:val="24"/>
          <w:szCs w:val="24"/>
        </w:rPr>
        <w:t>World Journal of Hepatology</w:t>
      </w:r>
    </w:p>
    <w:p w14:paraId="76741DCE" w14:textId="77777777" w:rsidR="00BF1DBA" w:rsidRPr="00242455" w:rsidRDefault="00BF1DBA" w:rsidP="007C0097">
      <w:pPr>
        <w:widowControl w:val="0"/>
        <w:overflowPunct w:val="0"/>
        <w:autoSpaceDE w:val="0"/>
        <w:autoSpaceDN w:val="0"/>
        <w:spacing w:line="360" w:lineRule="auto"/>
        <w:jc w:val="both"/>
        <w:rPr>
          <w:rFonts w:ascii="Book Antiqua" w:hAnsi="Book Antiqua" w:cs="Times New Roman"/>
          <w:b/>
          <w:sz w:val="24"/>
          <w:szCs w:val="24"/>
        </w:rPr>
      </w:pPr>
      <w:r w:rsidRPr="00242455">
        <w:rPr>
          <w:rFonts w:ascii="Book Antiqua" w:hAnsi="Book Antiqua" w:cs="Times New Roman"/>
          <w:b/>
          <w:sz w:val="24"/>
          <w:szCs w:val="24"/>
        </w:rPr>
        <w:t xml:space="preserve">ESPS Manuscript Number: </w:t>
      </w:r>
      <w:r w:rsidR="0034222A" w:rsidRPr="00242455">
        <w:rPr>
          <w:rFonts w:ascii="Book Antiqua" w:hAnsi="Book Antiqua" w:cs="Times New Roman"/>
          <w:b/>
          <w:sz w:val="24"/>
          <w:szCs w:val="24"/>
        </w:rPr>
        <w:t>21181</w:t>
      </w:r>
    </w:p>
    <w:p w14:paraId="5FA84CC3" w14:textId="77777777" w:rsidR="0034222A" w:rsidRPr="00242455" w:rsidRDefault="0034222A" w:rsidP="007C0097">
      <w:pPr>
        <w:widowControl w:val="0"/>
        <w:overflowPunct w:val="0"/>
        <w:autoSpaceDE w:val="0"/>
        <w:autoSpaceDN w:val="0"/>
        <w:spacing w:line="360" w:lineRule="auto"/>
        <w:jc w:val="both"/>
        <w:rPr>
          <w:rFonts w:ascii="Book Antiqua" w:hAnsi="Book Antiqua" w:cs="Times New Roman"/>
          <w:b/>
          <w:sz w:val="24"/>
          <w:szCs w:val="24"/>
          <w:lang w:eastAsia="zh-CN"/>
        </w:rPr>
      </w:pPr>
      <w:r w:rsidRPr="00242455">
        <w:rPr>
          <w:rFonts w:ascii="Book Antiqua" w:hAnsi="Book Antiqua" w:cs="Times New Roman"/>
          <w:b/>
          <w:sz w:val="24"/>
          <w:szCs w:val="24"/>
        </w:rPr>
        <w:t>Manuscript Type: MINIREVIEW</w:t>
      </w:r>
      <w:r w:rsidR="007C0097">
        <w:rPr>
          <w:rFonts w:ascii="Book Antiqua" w:hAnsi="Book Antiqua" w:cs="Times New Roman" w:hint="eastAsia"/>
          <w:b/>
          <w:sz w:val="24"/>
          <w:szCs w:val="24"/>
          <w:lang w:eastAsia="zh-CN"/>
        </w:rPr>
        <w:t>S</w:t>
      </w:r>
    </w:p>
    <w:p w14:paraId="5695C874" w14:textId="77777777" w:rsidR="00BF1DBA" w:rsidRPr="00242455" w:rsidRDefault="00BF1DBA" w:rsidP="007C0097">
      <w:pPr>
        <w:widowControl w:val="0"/>
        <w:overflowPunct w:val="0"/>
        <w:autoSpaceDE w:val="0"/>
        <w:autoSpaceDN w:val="0"/>
        <w:spacing w:line="360" w:lineRule="auto"/>
        <w:jc w:val="both"/>
        <w:rPr>
          <w:rFonts w:ascii="Book Antiqua" w:hAnsi="Book Antiqua" w:cs="Times New Roman"/>
          <w:sz w:val="24"/>
          <w:szCs w:val="24"/>
        </w:rPr>
      </w:pPr>
    </w:p>
    <w:p w14:paraId="4B37EE65" w14:textId="77777777" w:rsidR="00ED2157" w:rsidRPr="007C0097" w:rsidRDefault="00ED2157" w:rsidP="007C0097">
      <w:pPr>
        <w:widowControl w:val="0"/>
        <w:overflowPunct w:val="0"/>
        <w:autoSpaceDE w:val="0"/>
        <w:autoSpaceDN w:val="0"/>
        <w:spacing w:line="360" w:lineRule="auto"/>
        <w:jc w:val="both"/>
        <w:rPr>
          <w:rFonts w:ascii="Book Antiqua" w:hAnsi="Book Antiqua" w:cs="Times New Roman"/>
          <w:b/>
          <w:sz w:val="24"/>
          <w:szCs w:val="24"/>
          <w:lang w:eastAsia="zh-CN"/>
        </w:rPr>
      </w:pPr>
      <w:r w:rsidRPr="007C0097">
        <w:rPr>
          <w:rFonts w:ascii="Book Antiqua" w:hAnsi="Book Antiqua" w:cs="Times New Roman"/>
          <w:b/>
          <w:sz w:val="24"/>
          <w:szCs w:val="24"/>
        </w:rPr>
        <w:t>Ps</w:t>
      </w:r>
      <w:r w:rsidR="003048FD" w:rsidRPr="007C0097">
        <w:rPr>
          <w:rFonts w:ascii="Book Antiqua" w:hAnsi="Book Antiqua" w:cs="Times New Roman"/>
          <w:b/>
          <w:sz w:val="24"/>
          <w:szCs w:val="24"/>
        </w:rPr>
        <w:t>ychosocial assessment and monitoring in the new era</w:t>
      </w:r>
      <w:r w:rsidR="003048FD" w:rsidRPr="007C0097">
        <w:rPr>
          <w:rFonts w:ascii="Book Antiqua" w:hAnsi="Book Antiqua" w:cs="Times New Roman"/>
          <w:b/>
          <w:sz w:val="24"/>
          <w:szCs w:val="24"/>
          <w:lang w:eastAsia="zh-CN"/>
        </w:rPr>
        <w:t xml:space="preserve"> </w:t>
      </w:r>
      <w:r w:rsidR="003048FD" w:rsidRPr="007C0097">
        <w:rPr>
          <w:rFonts w:ascii="Book Antiqua" w:hAnsi="Book Antiqua" w:cs="Times New Roman"/>
          <w:b/>
          <w:sz w:val="24"/>
          <w:szCs w:val="24"/>
        </w:rPr>
        <w:t xml:space="preserve">of non-interferon-alpha </w:t>
      </w:r>
      <w:r w:rsidR="007C0097" w:rsidRPr="007C0097">
        <w:rPr>
          <w:rStyle w:val="Strong"/>
          <w:rFonts w:ascii="Book Antiqua" w:hAnsi="Book Antiqua" w:cs="Times New Roman"/>
          <w:color w:val="000000"/>
          <w:sz w:val="24"/>
          <w:szCs w:val="24"/>
        </w:rPr>
        <w:t>hepatitis C virus</w:t>
      </w:r>
      <w:r w:rsidRPr="007C0097">
        <w:rPr>
          <w:rFonts w:ascii="Book Antiqua" w:hAnsi="Book Antiqua" w:cs="Times New Roman"/>
          <w:sz w:val="24"/>
          <w:szCs w:val="24"/>
        </w:rPr>
        <w:t xml:space="preserve"> </w:t>
      </w:r>
      <w:r w:rsidR="003048FD" w:rsidRPr="007C0097">
        <w:rPr>
          <w:rFonts w:ascii="Book Antiqua" w:hAnsi="Book Antiqua" w:cs="Times New Roman"/>
          <w:b/>
          <w:sz w:val="24"/>
          <w:szCs w:val="24"/>
        </w:rPr>
        <w:t>treatments</w:t>
      </w:r>
    </w:p>
    <w:p w14:paraId="3BC173E1" w14:textId="77777777" w:rsidR="008B471E" w:rsidRPr="00242455" w:rsidRDefault="008B471E" w:rsidP="007C0097">
      <w:pPr>
        <w:widowControl w:val="0"/>
        <w:overflowPunct w:val="0"/>
        <w:autoSpaceDE w:val="0"/>
        <w:autoSpaceDN w:val="0"/>
        <w:spacing w:line="360" w:lineRule="auto"/>
        <w:jc w:val="both"/>
        <w:rPr>
          <w:rFonts w:ascii="Book Antiqua" w:hAnsi="Book Antiqua" w:cs="Times New Roman"/>
          <w:b/>
          <w:sz w:val="24"/>
          <w:szCs w:val="24"/>
          <w:lang w:eastAsia="zh-CN"/>
        </w:rPr>
      </w:pPr>
    </w:p>
    <w:p w14:paraId="07875AC1" w14:textId="77777777" w:rsidR="008B471E" w:rsidRPr="00242455" w:rsidRDefault="00A14234" w:rsidP="007C0097">
      <w:pPr>
        <w:widowControl w:val="0"/>
        <w:overflowPunct w:val="0"/>
        <w:autoSpaceDE w:val="0"/>
        <w:autoSpaceDN w:val="0"/>
        <w:spacing w:line="360" w:lineRule="auto"/>
        <w:jc w:val="both"/>
        <w:rPr>
          <w:rFonts w:ascii="Book Antiqua" w:hAnsi="Book Antiqua" w:cs="Times New Roman"/>
          <w:sz w:val="24"/>
          <w:szCs w:val="24"/>
          <w:lang w:eastAsia="zh-CN"/>
        </w:rPr>
      </w:pPr>
      <w:r w:rsidRPr="00242455">
        <w:rPr>
          <w:rFonts w:ascii="Book Antiqua" w:hAnsi="Book Antiqua" w:cs="Times New Roman"/>
          <w:sz w:val="24"/>
          <w:szCs w:val="24"/>
        </w:rPr>
        <w:t>Rowan PJ</w:t>
      </w:r>
      <w:r w:rsidRPr="00242455">
        <w:rPr>
          <w:rFonts w:ascii="Book Antiqua" w:hAnsi="Book Antiqua" w:cs="Times New Roman"/>
          <w:sz w:val="24"/>
          <w:szCs w:val="24"/>
          <w:lang w:eastAsia="zh-CN"/>
        </w:rPr>
        <w:t xml:space="preserve"> </w:t>
      </w:r>
      <w:r w:rsidRPr="00242455">
        <w:rPr>
          <w:rFonts w:ascii="Book Antiqua" w:hAnsi="Book Antiqua" w:cs="Times New Roman"/>
          <w:i/>
          <w:sz w:val="24"/>
          <w:szCs w:val="24"/>
          <w:lang w:eastAsia="zh-CN"/>
        </w:rPr>
        <w:t>et al.</w:t>
      </w:r>
      <w:r w:rsidRPr="00242455">
        <w:rPr>
          <w:rFonts w:ascii="Book Antiqua" w:hAnsi="Book Antiqua" w:cs="Times New Roman"/>
          <w:sz w:val="24"/>
          <w:szCs w:val="24"/>
        </w:rPr>
        <w:t xml:space="preserve"> </w:t>
      </w:r>
      <w:r w:rsidR="008B471E" w:rsidRPr="00242455">
        <w:rPr>
          <w:rFonts w:ascii="Book Antiqua" w:hAnsi="Book Antiqua" w:cs="Times New Roman"/>
          <w:sz w:val="24"/>
          <w:szCs w:val="24"/>
        </w:rPr>
        <w:t>Psychosocial assessment and non-interferon-alpha HCV treatments</w:t>
      </w:r>
    </w:p>
    <w:p w14:paraId="6EB153AF" w14:textId="77777777" w:rsidR="00A14234" w:rsidRPr="00242455" w:rsidRDefault="00A14234" w:rsidP="007C0097">
      <w:pPr>
        <w:widowControl w:val="0"/>
        <w:overflowPunct w:val="0"/>
        <w:autoSpaceDE w:val="0"/>
        <w:autoSpaceDN w:val="0"/>
        <w:spacing w:line="360" w:lineRule="auto"/>
        <w:jc w:val="both"/>
        <w:rPr>
          <w:rFonts w:ascii="Book Antiqua" w:hAnsi="Book Antiqua" w:cs="Times New Roman"/>
          <w:sz w:val="24"/>
          <w:szCs w:val="24"/>
          <w:lang w:eastAsia="zh-CN"/>
        </w:rPr>
      </w:pPr>
    </w:p>
    <w:p w14:paraId="23E45BE9" w14:textId="77777777" w:rsidR="00A14234" w:rsidRPr="007C0097" w:rsidRDefault="00A14234" w:rsidP="007C0097">
      <w:pPr>
        <w:widowControl w:val="0"/>
        <w:overflowPunct w:val="0"/>
        <w:autoSpaceDE w:val="0"/>
        <w:autoSpaceDN w:val="0"/>
        <w:spacing w:line="360" w:lineRule="auto"/>
        <w:jc w:val="both"/>
        <w:rPr>
          <w:rFonts w:ascii="Book Antiqua" w:hAnsi="Book Antiqua" w:cs="Times New Roman"/>
          <w:b/>
          <w:sz w:val="24"/>
          <w:szCs w:val="24"/>
          <w:lang w:eastAsia="zh-CN"/>
        </w:rPr>
      </w:pPr>
      <w:r w:rsidRPr="007C0097">
        <w:rPr>
          <w:rFonts w:ascii="Book Antiqua" w:hAnsi="Book Antiqua" w:cs="Times New Roman"/>
          <w:b/>
          <w:sz w:val="24"/>
          <w:szCs w:val="24"/>
        </w:rPr>
        <w:t>Paul J Rowan</w:t>
      </w:r>
      <w:r w:rsidRPr="007C0097">
        <w:rPr>
          <w:rFonts w:ascii="Book Antiqua" w:hAnsi="Book Antiqua" w:cs="Times New Roman"/>
          <w:b/>
          <w:sz w:val="24"/>
          <w:szCs w:val="24"/>
          <w:lang w:eastAsia="zh-CN"/>
        </w:rPr>
        <w:t xml:space="preserve">, </w:t>
      </w:r>
      <w:r w:rsidRPr="007C0097">
        <w:rPr>
          <w:rFonts w:ascii="Book Antiqua" w:hAnsi="Book Antiqua" w:cs="Times New Roman"/>
          <w:b/>
          <w:sz w:val="24"/>
          <w:szCs w:val="24"/>
        </w:rPr>
        <w:t>Nizar Bhulani</w:t>
      </w:r>
    </w:p>
    <w:p w14:paraId="0AA6AC86" w14:textId="77777777" w:rsidR="001F7239" w:rsidRPr="00242455" w:rsidRDefault="001F7239" w:rsidP="007C0097">
      <w:pPr>
        <w:widowControl w:val="0"/>
        <w:overflowPunct w:val="0"/>
        <w:autoSpaceDE w:val="0"/>
        <w:autoSpaceDN w:val="0"/>
        <w:spacing w:line="360" w:lineRule="auto"/>
        <w:jc w:val="both"/>
        <w:rPr>
          <w:rFonts w:ascii="Book Antiqua" w:hAnsi="Book Antiqua" w:cs="Times New Roman"/>
          <w:sz w:val="24"/>
          <w:szCs w:val="24"/>
        </w:rPr>
      </w:pPr>
    </w:p>
    <w:p w14:paraId="373550F8" w14:textId="77777777" w:rsidR="001D6061" w:rsidRPr="00242455" w:rsidRDefault="00A14234" w:rsidP="007C0097">
      <w:pPr>
        <w:widowControl w:val="0"/>
        <w:overflowPunct w:val="0"/>
        <w:autoSpaceDE w:val="0"/>
        <w:autoSpaceDN w:val="0"/>
        <w:spacing w:line="360" w:lineRule="auto"/>
        <w:jc w:val="both"/>
        <w:rPr>
          <w:rFonts w:ascii="Book Antiqua" w:hAnsi="Book Antiqua" w:cs="Times New Roman"/>
          <w:sz w:val="24"/>
          <w:szCs w:val="24"/>
        </w:rPr>
      </w:pPr>
      <w:r w:rsidRPr="00242455">
        <w:rPr>
          <w:rFonts w:ascii="Book Antiqua" w:hAnsi="Book Antiqua" w:cs="Times New Roman"/>
          <w:b/>
          <w:sz w:val="24"/>
          <w:szCs w:val="24"/>
        </w:rPr>
        <w:t>Paul J</w:t>
      </w:r>
      <w:r w:rsidR="001D6061" w:rsidRPr="00242455">
        <w:rPr>
          <w:rFonts w:ascii="Book Antiqua" w:hAnsi="Book Antiqua" w:cs="Times New Roman"/>
          <w:b/>
          <w:sz w:val="24"/>
          <w:szCs w:val="24"/>
        </w:rPr>
        <w:t xml:space="preserve"> Rowan,</w:t>
      </w:r>
      <w:r w:rsidR="001D6061" w:rsidRPr="00242455">
        <w:rPr>
          <w:rFonts w:ascii="Book Antiqua" w:hAnsi="Book Antiqua" w:cs="Times New Roman"/>
          <w:sz w:val="24"/>
          <w:szCs w:val="24"/>
        </w:rPr>
        <w:t xml:space="preserve"> </w:t>
      </w:r>
      <w:r w:rsidR="00454F04" w:rsidRPr="00242455">
        <w:rPr>
          <w:rFonts w:ascii="Book Antiqua" w:hAnsi="Book Antiqua" w:cs="Times New Roman"/>
          <w:b/>
          <w:sz w:val="24"/>
          <w:szCs w:val="24"/>
        </w:rPr>
        <w:t>Nizar Bhulani,</w:t>
      </w:r>
      <w:r w:rsidR="00454F04" w:rsidRPr="00242455">
        <w:rPr>
          <w:rFonts w:ascii="Book Antiqua" w:hAnsi="Book Antiqua" w:cs="Times New Roman"/>
          <w:b/>
          <w:sz w:val="24"/>
          <w:szCs w:val="24"/>
          <w:lang w:eastAsia="zh-CN"/>
        </w:rPr>
        <w:t xml:space="preserve"> </w:t>
      </w:r>
      <w:r w:rsidR="001D6061" w:rsidRPr="00242455">
        <w:rPr>
          <w:rFonts w:ascii="Book Antiqua" w:hAnsi="Book Antiqua" w:cs="Times New Roman"/>
          <w:sz w:val="24"/>
          <w:szCs w:val="24"/>
        </w:rPr>
        <w:t>University of Texas School of</w:t>
      </w:r>
      <w:r w:rsidR="00454F04" w:rsidRPr="00242455">
        <w:rPr>
          <w:rFonts w:ascii="Book Antiqua" w:hAnsi="Book Antiqua" w:cs="Times New Roman"/>
          <w:sz w:val="24"/>
          <w:szCs w:val="24"/>
        </w:rPr>
        <w:t xml:space="preserve"> Public Health, Houston</w:t>
      </w:r>
      <w:r w:rsidR="00454F04" w:rsidRPr="00242455">
        <w:rPr>
          <w:rFonts w:ascii="Book Antiqua" w:hAnsi="Book Antiqua" w:cs="Times New Roman"/>
          <w:sz w:val="24"/>
          <w:szCs w:val="24"/>
          <w:lang w:eastAsia="zh-CN"/>
        </w:rPr>
        <w:t>,</w:t>
      </w:r>
      <w:r w:rsidR="00454F04" w:rsidRPr="00242455">
        <w:rPr>
          <w:rFonts w:ascii="Book Antiqua" w:hAnsi="Book Antiqua" w:cs="Times New Roman"/>
          <w:sz w:val="24"/>
          <w:szCs w:val="24"/>
        </w:rPr>
        <w:t xml:space="preserve"> TX 77030</w:t>
      </w:r>
      <w:r w:rsidR="00454F04" w:rsidRPr="00242455">
        <w:rPr>
          <w:rFonts w:ascii="Book Antiqua" w:hAnsi="Book Antiqua" w:cs="Times New Roman"/>
          <w:sz w:val="24"/>
          <w:szCs w:val="24"/>
          <w:lang w:eastAsia="zh-CN"/>
        </w:rPr>
        <w:t>,</w:t>
      </w:r>
      <w:r w:rsidR="00454F04" w:rsidRPr="00242455">
        <w:rPr>
          <w:rFonts w:ascii="Book Antiqua" w:hAnsi="Book Antiqua"/>
          <w:sz w:val="24"/>
          <w:szCs w:val="24"/>
        </w:rPr>
        <w:t xml:space="preserve"> </w:t>
      </w:r>
      <w:r w:rsidR="00454F04" w:rsidRPr="00242455">
        <w:rPr>
          <w:rFonts w:ascii="Book Antiqua" w:hAnsi="Book Antiqua" w:cs="Times New Roman"/>
          <w:sz w:val="24"/>
          <w:szCs w:val="24"/>
        </w:rPr>
        <w:t>United States</w:t>
      </w:r>
    </w:p>
    <w:p w14:paraId="13700E17" w14:textId="77777777" w:rsidR="001F7239" w:rsidRPr="00242455" w:rsidRDefault="001F7239" w:rsidP="007C0097">
      <w:pPr>
        <w:widowControl w:val="0"/>
        <w:overflowPunct w:val="0"/>
        <w:autoSpaceDE w:val="0"/>
        <w:autoSpaceDN w:val="0"/>
        <w:spacing w:line="360" w:lineRule="auto"/>
        <w:jc w:val="both"/>
        <w:rPr>
          <w:rFonts w:ascii="Book Antiqua" w:hAnsi="Book Antiqua" w:cs="Times New Roman"/>
          <w:sz w:val="24"/>
          <w:szCs w:val="24"/>
          <w:lang w:eastAsia="zh-CN"/>
        </w:rPr>
      </w:pPr>
    </w:p>
    <w:p w14:paraId="4CD95395" w14:textId="77777777" w:rsidR="001D6061" w:rsidRPr="00242455" w:rsidRDefault="001375E6" w:rsidP="007C0097">
      <w:pPr>
        <w:widowControl w:val="0"/>
        <w:overflowPunct w:val="0"/>
        <w:autoSpaceDE w:val="0"/>
        <w:autoSpaceDN w:val="0"/>
        <w:spacing w:line="360" w:lineRule="auto"/>
        <w:jc w:val="both"/>
        <w:rPr>
          <w:rFonts w:ascii="Book Antiqua" w:hAnsi="Book Antiqua" w:cs="Times New Roman"/>
          <w:sz w:val="24"/>
          <w:szCs w:val="24"/>
        </w:rPr>
      </w:pPr>
      <w:r w:rsidRPr="00242455">
        <w:rPr>
          <w:rFonts w:ascii="Book Antiqua" w:hAnsi="Book Antiqua"/>
          <w:b/>
          <w:sz w:val="24"/>
          <w:szCs w:val="24"/>
        </w:rPr>
        <w:t>Author contributions:</w:t>
      </w:r>
      <w:r w:rsidR="001D6061" w:rsidRPr="00242455">
        <w:rPr>
          <w:rFonts w:ascii="Book Antiqua" w:hAnsi="Book Antiqua" w:cs="Times New Roman"/>
          <w:sz w:val="24"/>
          <w:szCs w:val="24"/>
        </w:rPr>
        <w:t xml:space="preserve"> Dr. Rowan conceived the study plan, </w:t>
      </w:r>
      <w:r w:rsidR="008330EF" w:rsidRPr="00242455">
        <w:rPr>
          <w:rFonts w:ascii="Book Antiqua" w:hAnsi="Book Antiqua" w:cs="Times New Roman"/>
          <w:sz w:val="24"/>
          <w:szCs w:val="24"/>
        </w:rPr>
        <w:t xml:space="preserve">identified data sources, </w:t>
      </w:r>
      <w:r w:rsidR="001D6061" w:rsidRPr="00242455">
        <w:rPr>
          <w:rFonts w:ascii="Book Antiqua" w:hAnsi="Book Antiqua" w:cs="Times New Roman"/>
          <w:sz w:val="24"/>
          <w:szCs w:val="24"/>
        </w:rPr>
        <w:t>analyzed data, drafted the manuscript, and approved the final version; Dr. Bhulani sought and identified relevant data for analysis per plan, contributed to analysis of data, contributed to drafting the manuscript, and approved the final version.</w:t>
      </w:r>
    </w:p>
    <w:p w14:paraId="4868630E" w14:textId="77777777" w:rsidR="001D6061" w:rsidRPr="00242455" w:rsidRDefault="001D6061" w:rsidP="007C0097">
      <w:pPr>
        <w:widowControl w:val="0"/>
        <w:overflowPunct w:val="0"/>
        <w:autoSpaceDE w:val="0"/>
        <w:autoSpaceDN w:val="0"/>
        <w:spacing w:line="360" w:lineRule="auto"/>
        <w:jc w:val="both"/>
        <w:rPr>
          <w:rFonts w:ascii="Book Antiqua" w:hAnsi="Book Antiqua" w:cs="Times New Roman"/>
          <w:sz w:val="24"/>
          <w:szCs w:val="24"/>
        </w:rPr>
      </w:pPr>
    </w:p>
    <w:p w14:paraId="67ACE773" w14:textId="77777777" w:rsidR="001D6061" w:rsidRPr="00242455" w:rsidRDefault="0065709E" w:rsidP="007C0097">
      <w:pPr>
        <w:widowControl w:val="0"/>
        <w:overflowPunct w:val="0"/>
        <w:autoSpaceDE w:val="0"/>
        <w:autoSpaceDN w:val="0"/>
        <w:spacing w:line="360" w:lineRule="auto"/>
        <w:jc w:val="both"/>
        <w:rPr>
          <w:rFonts w:ascii="Book Antiqua" w:hAnsi="Book Antiqua" w:cs="Times New Roman"/>
          <w:sz w:val="24"/>
          <w:szCs w:val="24"/>
        </w:rPr>
      </w:pPr>
      <w:r w:rsidRPr="00242455">
        <w:rPr>
          <w:rFonts w:ascii="Book Antiqua" w:hAnsi="Book Antiqua" w:cs="TimesNewRomanPS-BoldItalicMT"/>
          <w:b/>
          <w:bCs/>
          <w:iCs/>
          <w:color w:val="000000"/>
          <w:sz w:val="24"/>
          <w:szCs w:val="24"/>
        </w:rPr>
        <w:t>Conflict-of-interest</w:t>
      </w:r>
      <w:r w:rsidRPr="00242455">
        <w:rPr>
          <w:rFonts w:ascii="Book Antiqua" w:hAnsi="Book Antiqua"/>
          <w:sz w:val="24"/>
          <w:szCs w:val="24"/>
        </w:rPr>
        <w:t xml:space="preserve"> </w:t>
      </w:r>
      <w:r w:rsidRPr="00242455">
        <w:rPr>
          <w:rFonts w:ascii="Book Antiqua" w:hAnsi="Book Antiqua" w:cs="TimesNewRomanPS-BoldItalicMT"/>
          <w:b/>
          <w:bCs/>
          <w:iCs/>
          <w:color w:val="000000"/>
          <w:sz w:val="24"/>
          <w:szCs w:val="24"/>
        </w:rPr>
        <w:t>statement:</w:t>
      </w:r>
      <w:r w:rsidR="001D6061" w:rsidRPr="00242455">
        <w:rPr>
          <w:rFonts w:ascii="Book Antiqua" w:hAnsi="Book Antiqua" w:cs="Times New Roman"/>
          <w:sz w:val="24"/>
          <w:szCs w:val="24"/>
        </w:rPr>
        <w:t xml:space="preserve"> The authors have no conflicts of interest.</w:t>
      </w:r>
    </w:p>
    <w:p w14:paraId="6F381F09" w14:textId="77777777" w:rsidR="001D6061" w:rsidRPr="00242455" w:rsidRDefault="001D6061" w:rsidP="007C0097">
      <w:pPr>
        <w:widowControl w:val="0"/>
        <w:overflowPunct w:val="0"/>
        <w:autoSpaceDE w:val="0"/>
        <w:autoSpaceDN w:val="0"/>
        <w:spacing w:line="360" w:lineRule="auto"/>
        <w:jc w:val="both"/>
        <w:rPr>
          <w:rFonts w:ascii="Book Antiqua" w:hAnsi="Book Antiqua" w:cs="Times New Roman"/>
          <w:sz w:val="24"/>
          <w:szCs w:val="24"/>
        </w:rPr>
      </w:pPr>
    </w:p>
    <w:p w14:paraId="570B8A90" w14:textId="77777777" w:rsidR="00E95BA1" w:rsidRPr="00242455" w:rsidRDefault="00E95BA1" w:rsidP="007C0097">
      <w:pPr>
        <w:widowControl w:val="0"/>
        <w:overflowPunct w:val="0"/>
        <w:autoSpaceDE w:val="0"/>
        <w:autoSpaceDN w:val="0"/>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42455">
        <w:rPr>
          <w:rFonts w:ascii="Book Antiqua" w:hAnsi="Book Antiqua"/>
          <w:b/>
          <w:sz w:val="24"/>
          <w:szCs w:val="24"/>
        </w:rPr>
        <w:t xml:space="preserve">Open-Access: </w:t>
      </w:r>
      <w:r w:rsidRPr="0024245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42455">
          <w:rPr>
            <w:rStyle w:val="Hyperlink"/>
            <w:rFonts w:ascii="Book Antiqua" w:hAnsi="Book Antiqua"/>
            <w:color w:val="auto"/>
            <w:sz w:val="24"/>
            <w:szCs w:val="24"/>
          </w:rPr>
          <w:t>http://creativecommons.org/licenses/by-nc/4.0/</w:t>
        </w:r>
      </w:hyperlink>
      <w:bookmarkEnd w:id="0"/>
      <w:bookmarkEnd w:id="1"/>
      <w:bookmarkEnd w:id="2"/>
      <w:bookmarkEnd w:id="3"/>
    </w:p>
    <w:p w14:paraId="70CF9E89" w14:textId="77777777" w:rsidR="001D6061" w:rsidRPr="00242455" w:rsidRDefault="001D6061" w:rsidP="007C0097">
      <w:pPr>
        <w:widowControl w:val="0"/>
        <w:overflowPunct w:val="0"/>
        <w:autoSpaceDE w:val="0"/>
        <w:autoSpaceDN w:val="0"/>
        <w:spacing w:line="360" w:lineRule="auto"/>
        <w:jc w:val="both"/>
        <w:rPr>
          <w:rFonts w:ascii="Book Antiqua" w:hAnsi="Book Antiqua" w:cs="Times New Roman"/>
          <w:sz w:val="24"/>
          <w:szCs w:val="24"/>
        </w:rPr>
      </w:pPr>
    </w:p>
    <w:p w14:paraId="6801E102" w14:textId="77777777" w:rsidR="001D6061" w:rsidRPr="00242455" w:rsidRDefault="00E95BA1" w:rsidP="007C0097">
      <w:pPr>
        <w:widowControl w:val="0"/>
        <w:overflowPunct w:val="0"/>
        <w:autoSpaceDE w:val="0"/>
        <w:autoSpaceDN w:val="0"/>
        <w:spacing w:line="360" w:lineRule="auto"/>
        <w:jc w:val="both"/>
        <w:rPr>
          <w:rFonts w:ascii="Book Antiqua" w:hAnsi="Book Antiqua" w:cs="Times New Roman"/>
          <w:sz w:val="24"/>
          <w:szCs w:val="24"/>
        </w:rPr>
      </w:pPr>
      <w:r w:rsidRPr="00242455">
        <w:rPr>
          <w:rFonts w:ascii="Book Antiqua" w:hAnsi="Book Antiqua" w:cs="Times New Roman"/>
          <w:b/>
          <w:sz w:val="24"/>
          <w:szCs w:val="24"/>
        </w:rPr>
        <w:t>Correspondence to: Paul J</w:t>
      </w:r>
      <w:r w:rsidR="001D6061" w:rsidRPr="00242455">
        <w:rPr>
          <w:rFonts w:ascii="Book Antiqua" w:hAnsi="Book Antiqua" w:cs="Times New Roman"/>
          <w:b/>
          <w:sz w:val="24"/>
          <w:szCs w:val="24"/>
        </w:rPr>
        <w:t xml:space="preserve"> Rowan, PhD, MPH, Assistant Professor</w:t>
      </w:r>
      <w:r w:rsidR="001D6061" w:rsidRPr="00242455">
        <w:rPr>
          <w:rFonts w:ascii="Book Antiqua" w:hAnsi="Book Antiqua" w:cs="Times New Roman"/>
          <w:sz w:val="24"/>
          <w:szCs w:val="24"/>
        </w:rPr>
        <w:t xml:space="preserve">, University of </w:t>
      </w:r>
      <w:r w:rsidR="001D6061" w:rsidRPr="00242455">
        <w:rPr>
          <w:rFonts w:ascii="Book Antiqua" w:hAnsi="Book Antiqua" w:cs="Times New Roman"/>
          <w:sz w:val="24"/>
          <w:szCs w:val="24"/>
        </w:rPr>
        <w:lastRenderedPageBreak/>
        <w:t xml:space="preserve">Texas School of Public Health, 1200 Herman Pressler E303, </w:t>
      </w:r>
      <w:r w:rsidRPr="00242455">
        <w:rPr>
          <w:rFonts w:ascii="Book Antiqua" w:hAnsi="Book Antiqua" w:cs="Times New Roman"/>
          <w:sz w:val="24"/>
          <w:szCs w:val="24"/>
        </w:rPr>
        <w:t>Houston</w:t>
      </w:r>
      <w:r w:rsidRPr="00242455">
        <w:rPr>
          <w:rFonts w:ascii="Book Antiqua" w:hAnsi="Book Antiqua" w:cs="Times New Roman"/>
          <w:sz w:val="24"/>
          <w:szCs w:val="24"/>
          <w:lang w:eastAsia="zh-CN"/>
        </w:rPr>
        <w:t>,</w:t>
      </w:r>
      <w:r w:rsidRPr="00242455">
        <w:rPr>
          <w:rFonts w:ascii="Book Antiqua" w:hAnsi="Book Antiqua" w:cs="Times New Roman"/>
          <w:sz w:val="24"/>
          <w:szCs w:val="24"/>
        </w:rPr>
        <w:t xml:space="preserve"> TX 77030</w:t>
      </w:r>
      <w:r w:rsidRPr="00242455">
        <w:rPr>
          <w:rFonts w:ascii="Book Antiqua" w:hAnsi="Book Antiqua" w:cs="Times New Roman"/>
          <w:sz w:val="24"/>
          <w:szCs w:val="24"/>
          <w:lang w:eastAsia="zh-CN"/>
        </w:rPr>
        <w:t>,</w:t>
      </w:r>
      <w:r w:rsidRPr="00242455">
        <w:rPr>
          <w:rFonts w:ascii="Book Antiqua" w:hAnsi="Book Antiqua"/>
          <w:sz w:val="24"/>
          <w:szCs w:val="24"/>
        </w:rPr>
        <w:t xml:space="preserve"> </w:t>
      </w:r>
      <w:r w:rsidRPr="00242455">
        <w:rPr>
          <w:rFonts w:ascii="Book Antiqua" w:hAnsi="Book Antiqua" w:cs="Times New Roman"/>
          <w:sz w:val="24"/>
          <w:szCs w:val="24"/>
        </w:rPr>
        <w:t>United States</w:t>
      </w:r>
      <w:r w:rsidRPr="00242455">
        <w:rPr>
          <w:rFonts w:ascii="Book Antiqua" w:hAnsi="Book Antiqua" w:cs="Times New Roman"/>
          <w:sz w:val="24"/>
          <w:szCs w:val="24"/>
          <w:lang w:eastAsia="zh-CN"/>
        </w:rPr>
        <w:t xml:space="preserve">. </w:t>
      </w:r>
      <w:hyperlink r:id="rId10" w:history="1">
        <w:r w:rsidR="00034619" w:rsidRPr="00242455">
          <w:rPr>
            <w:rStyle w:val="Hyperlink"/>
            <w:rFonts w:ascii="Book Antiqua" w:hAnsi="Book Antiqua" w:cs="Times New Roman"/>
            <w:color w:val="auto"/>
            <w:sz w:val="24"/>
            <w:szCs w:val="24"/>
            <w:u w:val="none"/>
          </w:rPr>
          <w:t>paul.j.rowan@uth.tmc.edu</w:t>
        </w:r>
      </w:hyperlink>
    </w:p>
    <w:p w14:paraId="2B21F1A7" w14:textId="77777777" w:rsidR="00034619" w:rsidRPr="00242455" w:rsidRDefault="004369C2" w:rsidP="007C0097">
      <w:pPr>
        <w:widowControl w:val="0"/>
        <w:overflowPunct w:val="0"/>
        <w:autoSpaceDE w:val="0"/>
        <w:autoSpaceDN w:val="0"/>
        <w:spacing w:line="360" w:lineRule="auto"/>
        <w:jc w:val="both"/>
        <w:rPr>
          <w:rFonts w:ascii="Book Antiqua" w:hAnsi="Book Antiqua" w:cs="Times New Roman"/>
          <w:sz w:val="24"/>
          <w:szCs w:val="24"/>
        </w:rPr>
      </w:pPr>
      <w:r w:rsidRPr="00242455">
        <w:rPr>
          <w:rFonts w:ascii="Book Antiqua" w:hAnsi="Book Antiqua" w:cs="Times New Roman"/>
          <w:b/>
          <w:sz w:val="24"/>
          <w:szCs w:val="24"/>
        </w:rPr>
        <w:t>Telephone:</w:t>
      </w:r>
      <w:r w:rsidRPr="00242455">
        <w:rPr>
          <w:rFonts w:ascii="Book Antiqua" w:hAnsi="Book Antiqua" w:cs="Times New Roman"/>
          <w:sz w:val="24"/>
          <w:szCs w:val="24"/>
        </w:rPr>
        <w:t xml:space="preserve"> </w:t>
      </w:r>
      <w:r w:rsidR="007C0097">
        <w:rPr>
          <w:rFonts w:ascii="Book Antiqua" w:hAnsi="Book Antiqua" w:cs="Times New Roman" w:hint="eastAsia"/>
          <w:sz w:val="24"/>
          <w:szCs w:val="24"/>
          <w:lang w:eastAsia="zh-CN"/>
        </w:rPr>
        <w:t>+</w:t>
      </w:r>
      <w:r w:rsidR="007C0097">
        <w:rPr>
          <w:rFonts w:ascii="Book Antiqua" w:hAnsi="Book Antiqua" w:cs="Times New Roman"/>
          <w:sz w:val="24"/>
          <w:szCs w:val="24"/>
        </w:rPr>
        <w:t>1-713-500</w:t>
      </w:r>
      <w:r w:rsidRPr="00242455">
        <w:rPr>
          <w:rFonts w:ascii="Book Antiqua" w:hAnsi="Book Antiqua" w:cs="Times New Roman"/>
          <w:sz w:val="24"/>
          <w:szCs w:val="24"/>
        </w:rPr>
        <w:t>9183</w:t>
      </w:r>
    </w:p>
    <w:p w14:paraId="50406B09" w14:textId="77777777" w:rsidR="004369C2" w:rsidRPr="00242455" w:rsidRDefault="004369C2" w:rsidP="007C0097">
      <w:pPr>
        <w:widowControl w:val="0"/>
        <w:overflowPunct w:val="0"/>
        <w:autoSpaceDE w:val="0"/>
        <w:autoSpaceDN w:val="0"/>
        <w:spacing w:line="360" w:lineRule="auto"/>
        <w:jc w:val="both"/>
        <w:rPr>
          <w:rFonts w:ascii="Book Antiqua" w:hAnsi="Book Antiqua" w:cs="Times New Roman"/>
          <w:sz w:val="24"/>
          <w:szCs w:val="24"/>
        </w:rPr>
      </w:pPr>
      <w:r w:rsidRPr="00242455">
        <w:rPr>
          <w:rFonts w:ascii="Book Antiqua" w:hAnsi="Book Antiqua" w:cs="Times New Roman"/>
          <w:b/>
          <w:sz w:val="24"/>
          <w:szCs w:val="24"/>
        </w:rPr>
        <w:t>Fax:</w:t>
      </w:r>
      <w:r w:rsidRPr="00242455">
        <w:rPr>
          <w:rFonts w:ascii="Book Antiqua" w:hAnsi="Book Antiqua" w:cs="Times New Roman"/>
          <w:sz w:val="24"/>
          <w:szCs w:val="24"/>
        </w:rPr>
        <w:t xml:space="preserve"> </w:t>
      </w:r>
      <w:r w:rsidR="007C0097">
        <w:rPr>
          <w:rFonts w:ascii="Book Antiqua" w:hAnsi="Book Antiqua" w:cs="Times New Roman" w:hint="eastAsia"/>
          <w:sz w:val="24"/>
          <w:szCs w:val="24"/>
          <w:lang w:eastAsia="zh-CN"/>
        </w:rPr>
        <w:t>+</w:t>
      </w:r>
      <w:r w:rsidRPr="00242455">
        <w:rPr>
          <w:rFonts w:ascii="Book Antiqua" w:hAnsi="Book Antiqua" w:cs="Times New Roman"/>
          <w:sz w:val="24"/>
          <w:szCs w:val="24"/>
        </w:rPr>
        <w:t>1-713-5009171</w:t>
      </w:r>
    </w:p>
    <w:p w14:paraId="52570A2A" w14:textId="77777777" w:rsidR="00034619" w:rsidRPr="00242455" w:rsidRDefault="00034619" w:rsidP="007C0097">
      <w:pPr>
        <w:widowControl w:val="0"/>
        <w:overflowPunct w:val="0"/>
        <w:autoSpaceDE w:val="0"/>
        <w:autoSpaceDN w:val="0"/>
        <w:spacing w:line="360" w:lineRule="auto"/>
        <w:jc w:val="both"/>
        <w:rPr>
          <w:rFonts w:ascii="Book Antiqua" w:hAnsi="Book Antiqua" w:cs="Times New Roman"/>
          <w:sz w:val="24"/>
          <w:szCs w:val="24"/>
        </w:rPr>
      </w:pPr>
    </w:p>
    <w:p w14:paraId="702DDB8D" w14:textId="77777777" w:rsidR="00E95BA1" w:rsidRPr="00242455" w:rsidRDefault="00E95BA1" w:rsidP="007C0097">
      <w:pPr>
        <w:widowControl w:val="0"/>
        <w:shd w:val="clear" w:color="auto" w:fill="FFFFFF" w:themeFill="background1"/>
        <w:overflowPunct w:val="0"/>
        <w:autoSpaceDE w:val="0"/>
        <w:autoSpaceDN w:val="0"/>
        <w:spacing w:line="360" w:lineRule="auto"/>
        <w:jc w:val="both"/>
        <w:rPr>
          <w:rFonts w:ascii="Book Antiqua" w:hAnsi="Book Antiqua"/>
          <w:b/>
          <w:sz w:val="24"/>
          <w:szCs w:val="24"/>
          <w:lang w:eastAsia="zh-CN"/>
        </w:rPr>
      </w:pPr>
      <w:r w:rsidRPr="00242455">
        <w:rPr>
          <w:rFonts w:ascii="Book Antiqua" w:hAnsi="Book Antiqua"/>
          <w:b/>
          <w:sz w:val="24"/>
          <w:szCs w:val="24"/>
        </w:rPr>
        <w:t xml:space="preserve">Received: </w:t>
      </w:r>
      <w:r w:rsidRPr="00242455">
        <w:rPr>
          <w:rFonts w:ascii="Book Antiqua" w:eastAsia="宋体" w:hAnsi="Book Antiqua"/>
          <w:sz w:val="24"/>
          <w:szCs w:val="24"/>
          <w:lang w:eastAsia="zh-CN"/>
        </w:rPr>
        <w:t xml:space="preserve">June </w:t>
      </w:r>
      <w:r w:rsidR="00BF7783" w:rsidRPr="00242455">
        <w:rPr>
          <w:rFonts w:ascii="Book Antiqua" w:eastAsia="宋体" w:hAnsi="Book Antiqua"/>
          <w:sz w:val="24"/>
          <w:szCs w:val="24"/>
          <w:lang w:eastAsia="zh-CN"/>
        </w:rPr>
        <w:t>30</w:t>
      </w:r>
      <w:r w:rsidRPr="00242455">
        <w:rPr>
          <w:rFonts w:ascii="Book Antiqua" w:eastAsia="宋体" w:hAnsi="Book Antiqua"/>
          <w:sz w:val="24"/>
          <w:szCs w:val="24"/>
          <w:lang w:eastAsia="zh-CN"/>
        </w:rPr>
        <w:t>, 2015</w:t>
      </w:r>
    </w:p>
    <w:p w14:paraId="2A4C9873" w14:textId="77777777" w:rsidR="00E95BA1" w:rsidRPr="00242455" w:rsidRDefault="00E95BA1" w:rsidP="007C0097">
      <w:pPr>
        <w:widowControl w:val="0"/>
        <w:shd w:val="clear" w:color="auto" w:fill="FFFFFF" w:themeFill="background1"/>
        <w:overflowPunct w:val="0"/>
        <w:autoSpaceDE w:val="0"/>
        <w:autoSpaceDN w:val="0"/>
        <w:spacing w:line="360" w:lineRule="auto"/>
        <w:jc w:val="both"/>
        <w:rPr>
          <w:rFonts w:ascii="Book Antiqua" w:hAnsi="Book Antiqua"/>
          <w:b/>
          <w:sz w:val="24"/>
          <w:szCs w:val="24"/>
        </w:rPr>
      </w:pPr>
      <w:r w:rsidRPr="00242455">
        <w:rPr>
          <w:rFonts w:ascii="Book Antiqua" w:hAnsi="Book Antiqua"/>
          <w:b/>
          <w:sz w:val="24"/>
          <w:szCs w:val="24"/>
        </w:rPr>
        <w:t xml:space="preserve">Peer-review started: </w:t>
      </w:r>
      <w:r w:rsidRPr="00242455">
        <w:rPr>
          <w:rFonts w:ascii="Book Antiqua" w:eastAsia="宋体" w:hAnsi="Book Antiqua"/>
          <w:sz w:val="24"/>
          <w:szCs w:val="24"/>
          <w:lang w:eastAsia="zh-CN"/>
        </w:rPr>
        <w:t>Ju</w:t>
      </w:r>
      <w:r w:rsidR="00BF7783" w:rsidRPr="00242455">
        <w:rPr>
          <w:rFonts w:ascii="Book Antiqua" w:eastAsia="宋体" w:hAnsi="Book Antiqua"/>
          <w:sz w:val="24"/>
          <w:szCs w:val="24"/>
          <w:lang w:eastAsia="zh-CN"/>
        </w:rPr>
        <w:t>ly</w:t>
      </w:r>
      <w:r w:rsidRPr="00242455">
        <w:rPr>
          <w:rFonts w:ascii="Book Antiqua" w:eastAsia="宋体" w:hAnsi="Book Antiqua"/>
          <w:sz w:val="24"/>
          <w:szCs w:val="24"/>
          <w:lang w:eastAsia="zh-CN"/>
        </w:rPr>
        <w:t xml:space="preserve"> </w:t>
      </w:r>
      <w:r w:rsidR="00BF7783" w:rsidRPr="00242455">
        <w:rPr>
          <w:rFonts w:ascii="Book Antiqua" w:eastAsia="宋体" w:hAnsi="Book Antiqua"/>
          <w:sz w:val="24"/>
          <w:szCs w:val="24"/>
          <w:lang w:eastAsia="zh-CN"/>
        </w:rPr>
        <w:t>5</w:t>
      </w:r>
      <w:r w:rsidRPr="00242455">
        <w:rPr>
          <w:rFonts w:ascii="Book Antiqua" w:eastAsia="宋体" w:hAnsi="Book Antiqua"/>
          <w:sz w:val="24"/>
          <w:szCs w:val="24"/>
          <w:lang w:eastAsia="zh-CN"/>
        </w:rPr>
        <w:t>, 2015</w:t>
      </w:r>
    </w:p>
    <w:p w14:paraId="578140BA" w14:textId="77777777" w:rsidR="00E95BA1" w:rsidRPr="00242455" w:rsidRDefault="00E95BA1" w:rsidP="007C0097">
      <w:pPr>
        <w:widowControl w:val="0"/>
        <w:shd w:val="clear" w:color="auto" w:fill="FFFFFF" w:themeFill="background1"/>
        <w:overflowPunct w:val="0"/>
        <w:autoSpaceDE w:val="0"/>
        <w:autoSpaceDN w:val="0"/>
        <w:spacing w:line="360" w:lineRule="auto"/>
        <w:jc w:val="both"/>
        <w:rPr>
          <w:rFonts w:ascii="Book Antiqua" w:eastAsia="宋体" w:hAnsi="Book Antiqua"/>
          <w:b/>
          <w:sz w:val="24"/>
          <w:szCs w:val="24"/>
          <w:lang w:eastAsia="zh-CN"/>
        </w:rPr>
      </w:pPr>
      <w:r w:rsidRPr="00242455">
        <w:rPr>
          <w:rFonts w:ascii="Book Antiqua" w:hAnsi="Book Antiqua"/>
          <w:b/>
          <w:sz w:val="24"/>
          <w:szCs w:val="24"/>
        </w:rPr>
        <w:t xml:space="preserve">First decision: </w:t>
      </w:r>
      <w:r w:rsidR="00BF7783" w:rsidRPr="00242455">
        <w:rPr>
          <w:rFonts w:ascii="Book Antiqua" w:eastAsia="宋体" w:hAnsi="Book Antiqua"/>
          <w:sz w:val="24"/>
          <w:szCs w:val="24"/>
          <w:lang w:eastAsia="zh-CN"/>
        </w:rPr>
        <w:t>July</w:t>
      </w:r>
      <w:r w:rsidRPr="00242455">
        <w:rPr>
          <w:rFonts w:ascii="Book Antiqua" w:eastAsia="宋体" w:hAnsi="Book Antiqua"/>
          <w:sz w:val="24"/>
          <w:szCs w:val="24"/>
          <w:lang w:eastAsia="zh-CN"/>
        </w:rPr>
        <w:t xml:space="preserve"> </w:t>
      </w:r>
      <w:r w:rsidR="00BF7783" w:rsidRPr="00242455">
        <w:rPr>
          <w:rFonts w:ascii="Book Antiqua" w:eastAsia="宋体" w:hAnsi="Book Antiqua"/>
          <w:sz w:val="24"/>
          <w:szCs w:val="24"/>
          <w:lang w:eastAsia="zh-CN"/>
        </w:rPr>
        <w:t>31</w:t>
      </w:r>
      <w:r w:rsidRPr="00242455">
        <w:rPr>
          <w:rFonts w:ascii="Book Antiqua" w:eastAsia="宋体" w:hAnsi="Book Antiqua"/>
          <w:sz w:val="24"/>
          <w:szCs w:val="24"/>
          <w:lang w:eastAsia="zh-CN"/>
        </w:rPr>
        <w:t>, 2015</w:t>
      </w:r>
    </w:p>
    <w:p w14:paraId="149D0E51" w14:textId="77777777" w:rsidR="00E95BA1" w:rsidRPr="00242455" w:rsidRDefault="00E95BA1" w:rsidP="007C0097">
      <w:pPr>
        <w:widowControl w:val="0"/>
        <w:shd w:val="clear" w:color="auto" w:fill="FFFFFF" w:themeFill="background1"/>
        <w:overflowPunct w:val="0"/>
        <w:autoSpaceDE w:val="0"/>
        <w:autoSpaceDN w:val="0"/>
        <w:spacing w:line="360" w:lineRule="auto"/>
        <w:jc w:val="both"/>
        <w:rPr>
          <w:rFonts w:ascii="Book Antiqua" w:hAnsi="Book Antiqua"/>
          <w:b/>
          <w:sz w:val="24"/>
          <w:szCs w:val="24"/>
          <w:lang w:eastAsia="zh-CN"/>
        </w:rPr>
      </w:pPr>
      <w:r w:rsidRPr="00242455">
        <w:rPr>
          <w:rFonts w:ascii="Book Antiqua" w:hAnsi="Book Antiqua"/>
          <w:b/>
          <w:sz w:val="24"/>
          <w:szCs w:val="24"/>
        </w:rPr>
        <w:t xml:space="preserve">Revised: </w:t>
      </w:r>
      <w:r w:rsidRPr="00242455">
        <w:rPr>
          <w:rFonts w:ascii="Book Antiqua" w:eastAsia="宋体" w:hAnsi="Book Antiqua"/>
          <w:sz w:val="24"/>
          <w:szCs w:val="24"/>
          <w:lang w:eastAsia="zh-CN"/>
        </w:rPr>
        <w:t>August</w:t>
      </w:r>
      <w:r w:rsidRPr="00242455">
        <w:rPr>
          <w:rFonts w:ascii="Book Antiqua" w:hAnsi="Book Antiqua"/>
          <w:sz w:val="24"/>
          <w:szCs w:val="24"/>
          <w:lang w:eastAsia="zh-CN"/>
        </w:rPr>
        <w:t xml:space="preserve"> </w:t>
      </w:r>
      <w:r w:rsidR="00BF7783" w:rsidRPr="00242455">
        <w:rPr>
          <w:rFonts w:ascii="Book Antiqua" w:hAnsi="Book Antiqua"/>
          <w:sz w:val="24"/>
          <w:szCs w:val="24"/>
          <w:lang w:eastAsia="zh-CN"/>
        </w:rPr>
        <w:t>7</w:t>
      </w:r>
      <w:r w:rsidRPr="00242455">
        <w:rPr>
          <w:rFonts w:ascii="Book Antiqua" w:hAnsi="Book Antiqua"/>
          <w:sz w:val="24"/>
          <w:szCs w:val="24"/>
          <w:lang w:eastAsia="zh-CN"/>
        </w:rPr>
        <w:t>, 2015</w:t>
      </w:r>
    </w:p>
    <w:p w14:paraId="683AFEBB" w14:textId="77777777" w:rsidR="00E95BA1" w:rsidRPr="00E50931" w:rsidRDefault="00E95BA1" w:rsidP="00E50931">
      <w:pPr>
        <w:rPr>
          <w:rFonts w:ascii="Book Antiqua" w:hAnsi="Book Antiqua" w:cs="宋体"/>
          <w:sz w:val="24"/>
        </w:rPr>
      </w:pPr>
      <w:r w:rsidRPr="00242455">
        <w:rPr>
          <w:rFonts w:ascii="Book Antiqua" w:hAnsi="Book Antiqua"/>
          <w:b/>
          <w:sz w:val="24"/>
          <w:szCs w:val="24"/>
        </w:rPr>
        <w:t xml:space="preserve">Accepted: </w:t>
      </w:r>
      <w:r w:rsidR="00E50931">
        <w:rPr>
          <w:rFonts w:ascii="Book Antiqua" w:hAnsi="Book Antiqua" w:cs="宋体"/>
          <w:sz w:val="24"/>
        </w:rPr>
        <w:t>August 30</w:t>
      </w:r>
      <w:r w:rsidR="00E50931" w:rsidRPr="00AF30D4">
        <w:rPr>
          <w:rFonts w:ascii="Book Antiqua" w:hAnsi="Book Antiqua" w:cs="宋体"/>
          <w:sz w:val="24"/>
        </w:rPr>
        <w:t>, 2015</w:t>
      </w:r>
    </w:p>
    <w:p w14:paraId="3A4B4CD0" w14:textId="77777777" w:rsidR="00E95BA1" w:rsidRPr="00242455" w:rsidRDefault="00E95BA1" w:rsidP="007C0097">
      <w:pPr>
        <w:widowControl w:val="0"/>
        <w:shd w:val="clear" w:color="auto" w:fill="FFFFFF" w:themeFill="background1"/>
        <w:overflowPunct w:val="0"/>
        <w:autoSpaceDE w:val="0"/>
        <w:autoSpaceDN w:val="0"/>
        <w:spacing w:line="360" w:lineRule="auto"/>
        <w:jc w:val="both"/>
        <w:rPr>
          <w:rFonts w:ascii="Book Antiqua" w:hAnsi="Book Antiqua" w:cs="宋体"/>
          <w:sz w:val="24"/>
          <w:szCs w:val="24"/>
        </w:rPr>
      </w:pPr>
      <w:r w:rsidRPr="00242455">
        <w:rPr>
          <w:rFonts w:ascii="Book Antiqua" w:hAnsi="Book Antiqua"/>
          <w:b/>
          <w:sz w:val="24"/>
          <w:szCs w:val="24"/>
        </w:rPr>
        <w:t xml:space="preserve">Article in press: </w:t>
      </w:r>
    </w:p>
    <w:p w14:paraId="75CE8B38" w14:textId="77777777" w:rsidR="00E95BA1" w:rsidRPr="00242455" w:rsidRDefault="00E95BA1" w:rsidP="007C0097">
      <w:pPr>
        <w:widowControl w:val="0"/>
        <w:shd w:val="clear" w:color="auto" w:fill="FFFFFF" w:themeFill="background1"/>
        <w:overflowPunct w:val="0"/>
        <w:autoSpaceDE w:val="0"/>
        <w:autoSpaceDN w:val="0"/>
        <w:spacing w:line="360" w:lineRule="auto"/>
        <w:jc w:val="both"/>
        <w:rPr>
          <w:rFonts w:ascii="Book Antiqua" w:hAnsi="Book Antiqua"/>
          <w:b/>
          <w:sz w:val="24"/>
          <w:szCs w:val="24"/>
        </w:rPr>
      </w:pPr>
      <w:r w:rsidRPr="00242455">
        <w:rPr>
          <w:rFonts w:ascii="Book Antiqua" w:hAnsi="Book Antiqua"/>
          <w:b/>
          <w:sz w:val="24"/>
          <w:szCs w:val="24"/>
        </w:rPr>
        <w:t xml:space="preserve">Published online: </w:t>
      </w:r>
    </w:p>
    <w:p w14:paraId="0FBFE460" w14:textId="77777777" w:rsidR="001D6061" w:rsidRPr="00242455" w:rsidRDefault="001D6061" w:rsidP="007C0097">
      <w:pPr>
        <w:widowControl w:val="0"/>
        <w:overflowPunct w:val="0"/>
        <w:autoSpaceDE w:val="0"/>
        <w:autoSpaceDN w:val="0"/>
        <w:spacing w:line="360" w:lineRule="auto"/>
        <w:jc w:val="both"/>
        <w:rPr>
          <w:rFonts w:ascii="Book Antiqua" w:hAnsi="Book Antiqua" w:cs="Times New Roman"/>
          <w:sz w:val="24"/>
          <w:szCs w:val="24"/>
        </w:rPr>
      </w:pPr>
    </w:p>
    <w:p w14:paraId="4FA8E242" w14:textId="77777777" w:rsidR="00032C87" w:rsidRPr="00242455" w:rsidRDefault="00032C87" w:rsidP="007C0097">
      <w:pPr>
        <w:widowControl w:val="0"/>
        <w:overflowPunct w:val="0"/>
        <w:autoSpaceDE w:val="0"/>
        <w:autoSpaceDN w:val="0"/>
        <w:spacing w:line="360" w:lineRule="auto"/>
        <w:jc w:val="both"/>
        <w:rPr>
          <w:rFonts w:ascii="Book Antiqua" w:hAnsi="Book Antiqua" w:cs="Times New Roman"/>
          <w:b/>
          <w:sz w:val="24"/>
          <w:szCs w:val="24"/>
        </w:rPr>
      </w:pPr>
      <w:r w:rsidRPr="00242455">
        <w:rPr>
          <w:rFonts w:ascii="Book Antiqua" w:hAnsi="Book Antiqua" w:cs="Times New Roman"/>
          <w:b/>
          <w:sz w:val="24"/>
          <w:szCs w:val="24"/>
        </w:rPr>
        <w:br w:type="page"/>
      </w:r>
    </w:p>
    <w:p w14:paraId="1CFCDE56" w14:textId="77777777" w:rsidR="001F7239" w:rsidRPr="00242455" w:rsidRDefault="001F7239" w:rsidP="007C0097">
      <w:pPr>
        <w:widowControl w:val="0"/>
        <w:overflowPunct w:val="0"/>
        <w:autoSpaceDE w:val="0"/>
        <w:autoSpaceDN w:val="0"/>
        <w:spacing w:line="360" w:lineRule="auto"/>
        <w:jc w:val="both"/>
        <w:rPr>
          <w:rFonts w:ascii="Book Antiqua" w:hAnsi="Book Antiqua" w:cs="Times New Roman"/>
          <w:b/>
          <w:sz w:val="24"/>
          <w:szCs w:val="24"/>
        </w:rPr>
      </w:pPr>
      <w:r w:rsidRPr="00242455">
        <w:rPr>
          <w:rFonts w:ascii="Book Antiqua" w:hAnsi="Book Antiqua" w:cs="Times New Roman"/>
          <w:b/>
          <w:sz w:val="24"/>
          <w:szCs w:val="24"/>
        </w:rPr>
        <w:lastRenderedPageBreak/>
        <w:t>Abstract</w:t>
      </w:r>
    </w:p>
    <w:p w14:paraId="2BEA5359" w14:textId="77777777" w:rsidR="003016DC" w:rsidRPr="00242455" w:rsidRDefault="001F7239" w:rsidP="007C0097">
      <w:pPr>
        <w:widowControl w:val="0"/>
        <w:overflowPunct w:val="0"/>
        <w:autoSpaceDE w:val="0"/>
        <w:autoSpaceDN w:val="0"/>
        <w:spacing w:line="360" w:lineRule="auto"/>
        <w:jc w:val="both"/>
        <w:rPr>
          <w:rStyle w:val="Strong"/>
          <w:rFonts w:ascii="Book Antiqua" w:hAnsi="Book Antiqua" w:cs="Times New Roman"/>
          <w:b w:val="0"/>
          <w:color w:val="000000"/>
          <w:sz w:val="24"/>
          <w:szCs w:val="24"/>
        </w:rPr>
      </w:pPr>
      <w:r w:rsidRPr="00242455">
        <w:rPr>
          <w:rStyle w:val="Strong"/>
          <w:rFonts w:ascii="Book Antiqua" w:hAnsi="Book Antiqua" w:cs="Times New Roman"/>
          <w:b w:val="0"/>
          <w:color w:val="000000"/>
          <w:sz w:val="24"/>
          <w:szCs w:val="24"/>
        </w:rPr>
        <w:t xml:space="preserve">Chronic hepatitis C </w:t>
      </w:r>
      <w:r w:rsidR="00BC4849" w:rsidRPr="00242455">
        <w:rPr>
          <w:rStyle w:val="Strong"/>
          <w:rFonts w:ascii="Book Antiqua" w:hAnsi="Book Antiqua" w:cs="Times New Roman"/>
          <w:b w:val="0"/>
          <w:color w:val="000000"/>
          <w:sz w:val="24"/>
          <w:szCs w:val="24"/>
        </w:rPr>
        <w:t>v</w:t>
      </w:r>
      <w:r w:rsidRPr="00242455">
        <w:rPr>
          <w:rStyle w:val="Strong"/>
          <w:rFonts w:ascii="Book Antiqua" w:hAnsi="Book Antiqua" w:cs="Times New Roman"/>
          <w:b w:val="0"/>
          <w:color w:val="000000"/>
          <w:sz w:val="24"/>
          <w:szCs w:val="24"/>
        </w:rPr>
        <w:t xml:space="preserve">irus (HCV) is a global concern. </w:t>
      </w:r>
      <w:r w:rsidRPr="00242455">
        <w:rPr>
          <w:rFonts w:ascii="Book Antiqua" w:hAnsi="Book Antiqua" w:cs="Times New Roman"/>
          <w:sz w:val="24"/>
          <w:szCs w:val="24"/>
        </w:rPr>
        <w:t xml:space="preserve">With the 2014 </w:t>
      </w:r>
      <w:r w:rsidR="00242455" w:rsidRPr="00242455">
        <w:rPr>
          <w:rFonts w:ascii="Book Antiqua" w:hAnsi="Book Antiqua" w:cs="Times New Roman"/>
          <w:sz w:val="24"/>
          <w:szCs w:val="24"/>
        </w:rPr>
        <w:t xml:space="preserve">Food and Drug Administration </w:t>
      </w:r>
      <w:r w:rsidR="00242455">
        <w:rPr>
          <w:rFonts w:ascii="Book Antiqua" w:hAnsi="Book Antiqua" w:cs="Times New Roman" w:hint="eastAsia"/>
          <w:sz w:val="24"/>
          <w:szCs w:val="24"/>
          <w:lang w:eastAsia="zh-CN"/>
        </w:rPr>
        <w:t>(</w:t>
      </w:r>
      <w:r w:rsidRPr="00242455">
        <w:rPr>
          <w:rFonts w:ascii="Book Antiqua" w:hAnsi="Book Antiqua" w:cs="Times New Roman"/>
          <w:sz w:val="24"/>
          <w:szCs w:val="24"/>
        </w:rPr>
        <w:t>FDA</w:t>
      </w:r>
      <w:r w:rsidR="00242455">
        <w:rPr>
          <w:rFonts w:ascii="Book Antiqua" w:hAnsi="Book Antiqua" w:cs="Times New Roman" w:hint="eastAsia"/>
          <w:sz w:val="24"/>
          <w:szCs w:val="24"/>
          <w:lang w:eastAsia="zh-CN"/>
        </w:rPr>
        <w:t>)</w:t>
      </w:r>
      <w:r w:rsidRPr="00242455">
        <w:rPr>
          <w:rFonts w:ascii="Book Antiqua" w:hAnsi="Book Antiqua" w:cs="Times New Roman"/>
          <w:sz w:val="24"/>
          <w:szCs w:val="24"/>
        </w:rPr>
        <w:t xml:space="preserve"> approvals of </w:t>
      </w:r>
      <w:r w:rsidR="00972159" w:rsidRPr="00242455">
        <w:rPr>
          <w:rFonts w:ascii="Book Antiqua" w:hAnsi="Book Antiqua" w:cs="Times New Roman"/>
          <w:sz w:val="24"/>
          <w:szCs w:val="24"/>
        </w:rPr>
        <w:t>two direct-acting antiviral (DAA) regimens,</w:t>
      </w:r>
      <w:r w:rsidRPr="00242455">
        <w:rPr>
          <w:rFonts w:ascii="Book Antiqua" w:hAnsi="Book Antiqua" w:cs="Times New Roman"/>
          <w:sz w:val="24"/>
          <w:szCs w:val="24"/>
        </w:rPr>
        <w:t xml:space="preserve"> ledipasvir/sofosbuvir regimen and the ombitasvir/paritaprevir/ritonavir and dasabuvir regimen, we may now be in the era of all-pill regimens for HCV. Until this development, i</w:t>
      </w:r>
      <w:r w:rsidRPr="00242455">
        <w:rPr>
          <w:rStyle w:val="Strong"/>
          <w:rFonts w:ascii="Book Antiqua" w:hAnsi="Book Antiqua" w:cs="Times New Roman"/>
          <w:b w:val="0"/>
          <w:color w:val="000000"/>
          <w:sz w:val="24"/>
          <w:szCs w:val="24"/>
        </w:rPr>
        <w:t xml:space="preserve">nterferon-alpha along with Ribavirin has remained </w:t>
      </w:r>
      <w:r w:rsidR="00A40857" w:rsidRPr="00242455">
        <w:rPr>
          <w:rStyle w:val="Strong"/>
          <w:rFonts w:ascii="Book Antiqua" w:hAnsi="Book Antiqua" w:cs="Times New Roman"/>
          <w:b w:val="0"/>
          <w:color w:val="000000"/>
          <w:sz w:val="24"/>
          <w:szCs w:val="24"/>
        </w:rPr>
        <w:t xml:space="preserve">part of </w:t>
      </w:r>
      <w:r w:rsidRPr="00242455">
        <w:rPr>
          <w:rStyle w:val="Strong"/>
          <w:rFonts w:ascii="Book Antiqua" w:hAnsi="Book Antiqua" w:cs="Times New Roman"/>
          <w:b w:val="0"/>
          <w:color w:val="000000"/>
          <w:sz w:val="24"/>
          <w:szCs w:val="24"/>
        </w:rPr>
        <w:t>the s</w:t>
      </w:r>
      <w:r w:rsidR="00A40857" w:rsidRPr="00242455">
        <w:rPr>
          <w:rStyle w:val="Strong"/>
          <w:rFonts w:ascii="Book Antiqua" w:hAnsi="Book Antiqua" w:cs="Times New Roman"/>
          <w:b w:val="0"/>
          <w:color w:val="000000"/>
          <w:sz w:val="24"/>
          <w:szCs w:val="24"/>
        </w:rPr>
        <w:t>tandard of care for HCV</w:t>
      </w:r>
      <w:r w:rsidRPr="00242455">
        <w:rPr>
          <w:rStyle w:val="Strong"/>
          <w:rFonts w:ascii="Book Antiqua" w:hAnsi="Book Antiqua" w:cs="Times New Roman"/>
          <w:b w:val="0"/>
          <w:color w:val="000000"/>
          <w:sz w:val="24"/>
          <w:szCs w:val="24"/>
        </w:rPr>
        <w:t xml:space="preserve"> patients</w:t>
      </w:r>
      <w:r w:rsidR="003016DC" w:rsidRPr="00242455">
        <w:rPr>
          <w:rStyle w:val="Strong"/>
          <w:rFonts w:ascii="Book Antiqua" w:hAnsi="Book Antiqua" w:cs="Times New Roman"/>
          <w:b w:val="0"/>
          <w:color w:val="000000"/>
          <w:sz w:val="24"/>
          <w:szCs w:val="24"/>
        </w:rPr>
        <w:t>.</w:t>
      </w:r>
      <w:r w:rsidRPr="00242455">
        <w:rPr>
          <w:rStyle w:val="Strong"/>
          <w:rFonts w:ascii="Book Antiqua" w:hAnsi="Book Antiqua" w:cs="Times New Roman"/>
          <w:b w:val="0"/>
          <w:color w:val="000000"/>
          <w:sz w:val="24"/>
          <w:szCs w:val="24"/>
        </w:rPr>
        <w:t xml:space="preserve"> </w:t>
      </w:r>
      <w:r w:rsidR="003016DC" w:rsidRPr="00242455">
        <w:rPr>
          <w:rStyle w:val="Strong"/>
          <w:rFonts w:ascii="Book Antiqua" w:hAnsi="Book Antiqua" w:cs="Times New Roman"/>
          <w:b w:val="0"/>
          <w:color w:val="000000"/>
          <w:sz w:val="24"/>
          <w:szCs w:val="24"/>
        </w:rPr>
        <w:t xml:space="preserve">That </w:t>
      </w:r>
      <w:r w:rsidR="00A40857" w:rsidRPr="00242455">
        <w:rPr>
          <w:rStyle w:val="Strong"/>
          <w:rFonts w:ascii="Book Antiqua" w:hAnsi="Book Antiqua" w:cs="Times New Roman"/>
          <w:b w:val="0"/>
          <w:color w:val="000000"/>
          <w:sz w:val="24"/>
          <w:szCs w:val="24"/>
        </w:rPr>
        <w:t xml:space="preserve">regimen </w:t>
      </w:r>
      <w:r w:rsidR="003016DC" w:rsidRPr="00242455">
        <w:rPr>
          <w:rStyle w:val="Strong"/>
          <w:rFonts w:ascii="Book Antiqua" w:hAnsi="Book Antiqua" w:cs="Times New Roman"/>
          <w:b w:val="0"/>
          <w:color w:val="000000"/>
          <w:sz w:val="24"/>
          <w:szCs w:val="24"/>
        </w:rPr>
        <w:t xml:space="preserve">necessitates </w:t>
      </w:r>
      <w:r w:rsidRPr="00242455">
        <w:rPr>
          <w:rStyle w:val="Strong"/>
          <w:rFonts w:ascii="Book Antiqua" w:hAnsi="Book Antiqua" w:cs="Times New Roman"/>
          <w:b w:val="0"/>
          <w:color w:val="000000"/>
          <w:sz w:val="24"/>
          <w:szCs w:val="24"/>
        </w:rPr>
        <w:t xml:space="preserve">psychosocial assessment of </w:t>
      </w:r>
      <w:r w:rsidR="00A40857" w:rsidRPr="00242455">
        <w:rPr>
          <w:rStyle w:val="Strong"/>
          <w:rFonts w:ascii="Book Antiqua" w:hAnsi="Book Antiqua" w:cs="Times New Roman"/>
          <w:b w:val="0"/>
          <w:color w:val="000000"/>
          <w:sz w:val="24"/>
          <w:szCs w:val="24"/>
        </w:rPr>
        <w:t>factors affecting treatment eligibility, including</w:t>
      </w:r>
      <w:r w:rsidRPr="00242455">
        <w:rPr>
          <w:rStyle w:val="Strong"/>
          <w:rFonts w:ascii="Book Antiqua" w:hAnsi="Book Antiqua" w:cs="Times New Roman"/>
          <w:b w:val="0"/>
          <w:color w:val="000000"/>
          <w:sz w:val="24"/>
          <w:szCs w:val="24"/>
        </w:rPr>
        <w:t xml:space="preserve"> interferon-alpha-related depressive symptoms, confounding psychiatric conditions, and social aspects such as homelessness affecting treatment eligibility.</w:t>
      </w:r>
      <w:r w:rsidR="003C24D2" w:rsidRPr="00242455">
        <w:rPr>
          <w:rStyle w:val="Strong"/>
          <w:rFonts w:ascii="Book Antiqua" w:hAnsi="Book Antiqua" w:cs="Times New Roman"/>
          <w:b w:val="0"/>
          <w:color w:val="000000"/>
          <w:sz w:val="24"/>
          <w:szCs w:val="24"/>
        </w:rPr>
        <w:t xml:space="preserve"> These factors have delayed as much as 70% of otherwise eligible candidates from interferon-based treatment, and have required treating physicians to monitor psychiatric as well as medical side effects throughout treatment.</w:t>
      </w:r>
      <w:r w:rsidR="00A40857" w:rsidRPr="00242455">
        <w:rPr>
          <w:rStyle w:val="Strong"/>
          <w:rFonts w:ascii="Book Antiqua" w:hAnsi="Book Antiqua" w:cs="Times New Roman"/>
          <w:b w:val="0"/>
          <w:color w:val="000000"/>
          <w:sz w:val="24"/>
          <w:szCs w:val="24"/>
        </w:rPr>
        <w:t xml:space="preserve"> All-pill DAA regimens with the efficaciousness that would preclude reliance upon interferon-alpha or ribavirin have been anticipated for years.</w:t>
      </w:r>
      <w:r w:rsidR="00D76D40">
        <w:rPr>
          <w:rStyle w:val="Strong"/>
          <w:rFonts w:ascii="Book Antiqua" w:hAnsi="Book Antiqua" w:cs="Times New Roman" w:hint="eastAsia"/>
          <w:b w:val="0"/>
          <w:color w:val="000000"/>
          <w:sz w:val="24"/>
          <w:szCs w:val="24"/>
          <w:lang w:eastAsia="zh-CN"/>
        </w:rPr>
        <w:t xml:space="preserve"> </w:t>
      </w:r>
      <w:r w:rsidR="003016DC" w:rsidRPr="00242455">
        <w:rPr>
          <w:rStyle w:val="Strong"/>
          <w:rFonts w:ascii="Book Antiqua" w:hAnsi="Book Antiqua" w:cs="Times New Roman"/>
          <w:b w:val="0"/>
          <w:color w:val="000000"/>
          <w:sz w:val="24"/>
          <w:szCs w:val="24"/>
        </w:rPr>
        <w:t xml:space="preserve">Efficacy studies for these recently approved </w:t>
      </w:r>
      <w:r w:rsidR="003C24D2" w:rsidRPr="00242455">
        <w:rPr>
          <w:rStyle w:val="Strong"/>
          <w:rFonts w:ascii="Book Antiqua" w:hAnsi="Book Antiqua" w:cs="Times New Roman"/>
          <w:b w:val="0"/>
          <w:color w:val="000000"/>
          <w:sz w:val="24"/>
          <w:szCs w:val="24"/>
        </w:rPr>
        <w:t xml:space="preserve">DAA </w:t>
      </w:r>
      <w:r w:rsidR="003016DC" w:rsidRPr="00242455">
        <w:rPr>
          <w:rStyle w:val="Strong"/>
          <w:rFonts w:ascii="Book Antiqua" w:hAnsi="Book Antiqua" w:cs="Times New Roman"/>
          <w:b w:val="0"/>
          <w:color w:val="000000"/>
          <w:sz w:val="24"/>
          <w:szCs w:val="24"/>
        </w:rPr>
        <w:t>regimens provide evidence to assess the degree that psychosocial assessment and monitoring will be required.</w:t>
      </w:r>
      <w:r w:rsidR="003C24D2" w:rsidRPr="00242455">
        <w:rPr>
          <w:rStyle w:val="Strong"/>
          <w:rFonts w:ascii="Book Antiqua" w:hAnsi="Book Antiqua" w:cs="Times New Roman"/>
          <w:b w:val="0"/>
          <w:color w:val="000000"/>
          <w:sz w:val="24"/>
          <w:szCs w:val="24"/>
        </w:rPr>
        <w:t xml:space="preserve"> With shorter treatment timelines, greatly reduced side effect profiles, and easier regimens, psychosocial contraindications are greatly reduced. However, current or recent psychiatric comorbidity, and drug-drug interactions with psychiatric drugs, will require some level of clinical attention.</w:t>
      </w:r>
      <w:r w:rsidR="00A40857" w:rsidRPr="00242455">
        <w:rPr>
          <w:rStyle w:val="Strong"/>
          <w:rFonts w:ascii="Book Antiqua" w:hAnsi="Book Antiqua" w:cs="Times New Roman"/>
          <w:b w:val="0"/>
          <w:color w:val="000000"/>
          <w:sz w:val="24"/>
          <w:szCs w:val="24"/>
        </w:rPr>
        <w:t xml:space="preserve"> Evidence from these efficacy studies tentatively demonstrate that the era of needing significant psychosocial assessment and monitoring may be at an end, as long as a manageable handful of clinical issues are managed.</w:t>
      </w:r>
    </w:p>
    <w:p w14:paraId="578C4975" w14:textId="77777777" w:rsidR="00972159" w:rsidRPr="00242455" w:rsidRDefault="00972159" w:rsidP="007C0097">
      <w:pPr>
        <w:widowControl w:val="0"/>
        <w:overflowPunct w:val="0"/>
        <w:autoSpaceDE w:val="0"/>
        <w:autoSpaceDN w:val="0"/>
        <w:spacing w:line="360" w:lineRule="auto"/>
        <w:jc w:val="both"/>
        <w:rPr>
          <w:rStyle w:val="Strong"/>
          <w:rFonts w:ascii="Book Antiqua" w:hAnsi="Book Antiqua" w:cs="Times New Roman"/>
          <w:b w:val="0"/>
          <w:color w:val="000000"/>
          <w:sz w:val="24"/>
          <w:szCs w:val="24"/>
          <w:lang w:eastAsia="zh-CN"/>
        </w:rPr>
      </w:pPr>
    </w:p>
    <w:p w14:paraId="3BEAFC53" w14:textId="77777777" w:rsidR="00972159" w:rsidRPr="00242455" w:rsidRDefault="00765430" w:rsidP="007C0097">
      <w:pPr>
        <w:widowControl w:val="0"/>
        <w:overflowPunct w:val="0"/>
        <w:autoSpaceDE w:val="0"/>
        <w:autoSpaceDN w:val="0"/>
        <w:spacing w:line="360" w:lineRule="auto"/>
        <w:jc w:val="both"/>
        <w:rPr>
          <w:rStyle w:val="Strong"/>
          <w:rFonts w:ascii="Book Antiqua" w:hAnsi="Book Antiqua" w:cs="Times New Roman"/>
          <w:b w:val="0"/>
          <w:color w:val="000000"/>
          <w:sz w:val="24"/>
          <w:szCs w:val="24"/>
        </w:rPr>
      </w:pPr>
      <w:r w:rsidRPr="00242455">
        <w:rPr>
          <w:rFonts w:ascii="Book Antiqua" w:hAnsi="Book Antiqua"/>
          <w:b/>
          <w:sz w:val="24"/>
          <w:szCs w:val="24"/>
        </w:rPr>
        <w:t>Key</w:t>
      </w:r>
      <w:r w:rsidRPr="00242455">
        <w:rPr>
          <w:rFonts w:ascii="Book Antiqua" w:hAnsi="Book Antiqua"/>
          <w:b/>
          <w:sz w:val="24"/>
          <w:szCs w:val="24"/>
          <w:lang w:eastAsia="zh-CN"/>
        </w:rPr>
        <w:t xml:space="preserve"> w</w:t>
      </w:r>
      <w:r w:rsidRPr="00242455">
        <w:rPr>
          <w:rFonts w:ascii="Book Antiqua" w:hAnsi="Book Antiqua"/>
          <w:b/>
          <w:sz w:val="24"/>
          <w:szCs w:val="24"/>
        </w:rPr>
        <w:t>ords:</w:t>
      </w:r>
      <w:r w:rsidR="00E432F6" w:rsidRPr="00242455">
        <w:rPr>
          <w:rStyle w:val="Strong"/>
          <w:rFonts w:ascii="Book Antiqua" w:hAnsi="Book Antiqua" w:cs="Times New Roman"/>
          <w:b w:val="0"/>
          <w:color w:val="000000"/>
          <w:sz w:val="24"/>
          <w:szCs w:val="24"/>
        </w:rPr>
        <w:t xml:space="preserve"> </w:t>
      </w:r>
      <w:r w:rsidR="00972159" w:rsidRPr="00242455">
        <w:rPr>
          <w:rStyle w:val="Strong"/>
          <w:rFonts w:ascii="Book Antiqua" w:hAnsi="Book Antiqua" w:cs="Times New Roman"/>
          <w:b w:val="0"/>
          <w:color w:val="000000"/>
          <w:sz w:val="24"/>
          <w:szCs w:val="24"/>
        </w:rPr>
        <w:t>Depression</w:t>
      </w:r>
      <w:r w:rsidRPr="00242455">
        <w:rPr>
          <w:rStyle w:val="Strong"/>
          <w:rFonts w:ascii="Book Antiqua" w:hAnsi="Book Antiqua" w:cs="Times New Roman"/>
          <w:b w:val="0"/>
          <w:color w:val="000000"/>
          <w:sz w:val="24"/>
          <w:szCs w:val="24"/>
          <w:lang w:eastAsia="zh-CN"/>
        </w:rPr>
        <w:t>;</w:t>
      </w:r>
      <w:r w:rsidR="00972159" w:rsidRPr="00242455">
        <w:rPr>
          <w:rStyle w:val="Strong"/>
          <w:rFonts w:ascii="Book Antiqua" w:hAnsi="Book Antiqua" w:cs="Times New Roman"/>
          <w:b w:val="0"/>
          <w:color w:val="000000"/>
          <w:sz w:val="24"/>
          <w:szCs w:val="24"/>
        </w:rPr>
        <w:t xml:space="preserve"> Therapy</w:t>
      </w:r>
      <w:r w:rsidRPr="00242455">
        <w:rPr>
          <w:rStyle w:val="Strong"/>
          <w:rFonts w:ascii="Book Antiqua" w:hAnsi="Book Antiqua" w:cs="Times New Roman"/>
          <w:b w:val="0"/>
          <w:color w:val="000000"/>
          <w:sz w:val="24"/>
          <w:szCs w:val="24"/>
          <w:lang w:eastAsia="zh-CN"/>
        </w:rPr>
        <w:t>;</w:t>
      </w:r>
      <w:r w:rsidR="00972159" w:rsidRPr="00242455">
        <w:rPr>
          <w:rStyle w:val="Strong"/>
          <w:rFonts w:ascii="Book Antiqua" w:hAnsi="Book Antiqua" w:cs="Times New Roman"/>
          <w:b w:val="0"/>
          <w:color w:val="000000"/>
          <w:sz w:val="24"/>
          <w:szCs w:val="24"/>
        </w:rPr>
        <w:t xml:space="preserve"> Psychiatry</w:t>
      </w:r>
      <w:r w:rsidRPr="00242455">
        <w:rPr>
          <w:rStyle w:val="Strong"/>
          <w:rFonts w:ascii="Book Antiqua" w:hAnsi="Book Antiqua" w:cs="Times New Roman"/>
          <w:b w:val="0"/>
          <w:color w:val="000000"/>
          <w:sz w:val="24"/>
          <w:szCs w:val="24"/>
          <w:lang w:eastAsia="zh-CN"/>
        </w:rPr>
        <w:t>;</w:t>
      </w:r>
      <w:r w:rsidR="00972159" w:rsidRPr="00242455">
        <w:rPr>
          <w:rStyle w:val="Strong"/>
          <w:rFonts w:ascii="Book Antiqua" w:hAnsi="Book Antiqua" w:cs="Times New Roman"/>
          <w:b w:val="0"/>
          <w:color w:val="000000"/>
          <w:sz w:val="24"/>
          <w:szCs w:val="24"/>
        </w:rPr>
        <w:t xml:space="preserve"> Clinical</w:t>
      </w:r>
      <w:r w:rsidRPr="00242455">
        <w:rPr>
          <w:rStyle w:val="Strong"/>
          <w:rFonts w:ascii="Book Antiqua" w:hAnsi="Book Antiqua" w:cs="Times New Roman"/>
          <w:b w:val="0"/>
          <w:color w:val="000000"/>
          <w:sz w:val="24"/>
          <w:szCs w:val="24"/>
          <w:lang w:eastAsia="zh-CN"/>
        </w:rPr>
        <w:t>;</w:t>
      </w:r>
      <w:r w:rsidR="00972159" w:rsidRPr="00242455">
        <w:rPr>
          <w:rStyle w:val="Strong"/>
          <w:rFonts w:ascii="Book Antiqua" w:hAnsi="Book Antiqua" w:cs="Times New Roman"/>
          <w:b w:val="0"/>
          <w:color w:val="000000"/>
          <w:sz w:val="24"/>
          <w:szCs w:val="24"/>
        </w:rPr>
        <w:t xml:space="preserve"> Direct-</w:t>
      </w:r>
      <w:r w:rsidR="007C0097">
        <w:rPr>
          <w:rStyle w:val="Strong"/>
          <w:rFonts w:ascii="Book Antiqua" w:hAnsi="Book Antiqua" w:cs="Times New Roman" w:hint="eastAsia"/>
          <w:b w:val="0"/>
          <w:color w:val="000000"/>
          <w:sz w:val="24"/>
          <w:szCs w:val="24"/>
          <w:lang w:eastAsia="zh-CN"/>
        </w:rPr>
        <w:t>a</w:t>
      </w:r>
      <w:r w:rsidR="00972159" w:rsidRPr="00242455">
        <w:rPr>
          <w:rStyle w:val="Strong"/>
          <w:rFonts w:ascii="Book Antiqua" w:hAnsi="Book Antiqua" w:cs="Times New Roman"/>
          <w:b w:val="0"/>
          <w:color w:val="000000"/>
          <w:sz w:val="24"/>
          <w:szCs w:val="24"/>
        </w:rPr>
        <w:t xml:space="preserve">cting </w:t>
      </w:r>
      <w:r w:rsidR="007C0097">
        <w:rPr>
          <w:rStyle w:val="Strong"/>
          <w:rFonts w:ascii="Book Antiqua" w:hAnsi="Book Antiqua" w:cs="Times New Roman" w:hint="eastAsia"/>
          <w:b w:val="0"/>
          <w:color w:val="000000"/>
          <w:sz w:val="24"/>
          <w:szCs w:val="24"/>
          <w:lang w:eastAsia="zh-CN"/>
        </w:rPr>
        <w:t>a</w:t>
      </w:r>
      <w:r w:rsidR="00972159" w:rsidRPr="00242455">
        <w:rPr>
          <w:rStyle w:val="Strong"/>
          <w:rFonts w:ascii="Book Antiqua" w:hAnsi="Book Antiqua" w:cs="Times New Roman"/>
          <w:b w:val="0"/>
          <w:color w:val="000000"/>
          <w:sz w:val="24"/>
          <w:szCs w:val="24"/>
        </w:rPr>
        <w:t>ntivirals</w:t>
      </w:r>
    </w:p>
    <w:p w14:paraId="40DEC86E" w14:textId="77777777" w:rsidR="004369C2" w:rsidRPr="00242455" w:rsidRDefault="004369C2" w:rsidP="007C0097">
      <w:pPr>
        <w:widowControl w:val="0"/>
        <w:overflowPunct w:val="0"/>
        <w:autoSpaceDE w:val="0"/>
        <w:autoSpaceDN w:val="0"/>
        <w:spacing w:line="360" w:lineRule="auto"/>
        <w:jc w:val="both"/>
        <w:rPr>
          <w:rStyle w:val="Strong"/>
          <w:rFonts w:ascii="Book Antiqua" w:hAnsi="Book Antiqua" w:cs="Times New Roman"/>
          <w:b w:val="0"/>
          <w:color w:val="000000"/>
          <w:sz w:val="24"/>
          <w:szCs w:val="24"/>
        </w:rPr>
      </w:pPr>
    </w:p>
    <w:p w14:paraId="3DBBFA5B" w14:textId="77777777" w:rsidR="004369C2" w:rsidRPr="00242455" w:rsidRDefault="00242455" w:rsidP="007C0097">
      <w:pPr>
        <w:widowControl w:val="0"/>
        <w:overflowPunct w:val="0"/>
        <w:autoSpaceDE w:val="0"/>
        <w:autoSpaceDN w:val="0"/>
        <w:spacing w:line="360" w:lineRule="auto"/>
        <w:jc w:val="both"/>
        <w:rPr>
          <w:rStyle w:val="Strong"/>
          <w:rFonts w:ascii="Book Antiqua" w:hAnsi="Book Antiqua" w:cs="Arial"/>
          <w:b w:val="0"/>
          <w:bCs w:val="0"/>
          <w:sz w:val="24"/>
          <w:szCs w:val="24"/>
          <w:lang w:eastAsia="zh-CN"/>
        </w:rPr>
      </w:pPr>
      <w:r w:rsidRPr="00242455">
        <w:rPr>
          <w:rFonts w:ascii="Book Antiqua" w:hAnsi="Book Antiqua"/>
          <w:b/>
          <w:sz w:val="24"/>
          <w:szCs w:val="24"/>
        </w:rPr>
        <w:t xml:space="preserve">© </w:t>
      </w:r>
      <w:r w:rsidRPr="00242455">
        <w:rPr>
          <w:rFonts w:ascii="Book Antiqua" w:hAnsi="Book Antiqua" w:cs="Arial"/>
          <w:b/>
          <w:sz w:val="24"/>
          <w:szCs w:val="24"/>
        </w:rPr>
        <w:t>The Author(s) 2015.</w:t>
      </w:r>
      <w:r w:rsidRPr="00242455">
        <w:rPr>
          <w:rFonts w:ascii="Book Antiqua" w:hAnsi="Book Antiqua" w:cs="Arial"/>
          <w:sz w:val="24"/>
          <w:szCs w:val="24"/>
        </w:rPr>
        <w:t xml:space="preserve"> Published by Baishideng Publishing Group Inc. All rights reserved.</w:t>
      </w:r>
    </w:p>
    <w:p w14:paraId="6F803917" w14:textId="77777777" w:rsidR="004369C2" w:rsidRPr="00242455" w:rsidRDefault="004369C2" w:rsidP="007C0097">
      <w:pPr>
        <w:widowControl w:val="0"/>
        <w:overflowPunct w:val="0"/>
        <w:autoSpaceDE w:val="0"/>
        <w:autoSpaceDN w:val="0"/>
        <w:spacing w:line="360" w:lineRule="auto"/>
        <w:jc w:val="both"/>
        <w:rPr>
          <w:rStyle w:val="Strong"/>
          <w:rFonts w:ascii="Book Antiqua" w:hAnsi="Book Antiqua" w:cs="Times New Roman"/>
          <w:b w:val="0"/>
          <w:color w:val="000000"/>
          <w:sz w:val="24"/>
          <w:szCs w:val="24"/>
        </w:rPr>
      </w:pPr>
    </w:p>
    <w:p w14:paraId="251B24DD" w14:textId="77777777" w:rsidR="003C24D2" w:rsidRPr="00242455" w:rsidRDefault="007A5588" w:rsidP="007C0097">
      <w:pPr>
        <w:widowControl w:val="0"/>
        <w:overflowPunct w:val="0"/>
        <w:autoSpaceDE w:val="0"/>
        <w:autoSpaceDN w:val="0"/>
        <w:spacing w:line="360" w:lineRule="auto"/>
        <w:jc w:val="both"/>
        <w:rPr>
          <w:rStyle w:val="Strong"/>
          <w:rFonts w:ascii="Book Antiqua" w:hAnsi="Book Antiqua" w:cs="Times New Roman"/>
          <w:b w:val="0"/>
          <w:color w:val="000000"/>
          <w:sz w:val="24"/>
          <w:szCs w:val="24"/>
        </w:rPr>
      </w:pPr>
      <w:r w:rsidRPr="00242455">
        <w:rPr>
          <w:rStyle w:val="Strong"/>
          <w:rFonts w:ascii="Book Antiqua" w:hAnsi="Book Antiqua" w:cs="Times New Roman"/>
          <w:color w:val="000000"/>
          <w:sz w:val="24"/>
          <w:szCs w:val="24"/>
        </w:rPr>
        <w:t>Core Tip:</w:t>
      </w:r>
      <w:r w:rsidR="00E432F6" w:rsidRPr="00242455">
        <w:rPr>
          <w:rStyle w:val="Strong"/>
          <w:rFonts w:ascii="Book Antiqua" w:hAnsi="Book Antiqua" w:cs="Times New Roman"/>
          <w:b w:val="0"/>
          <w:color w:val="000000"/>
          <w:sz w:val="24"/>
          <w:szCs w:val="24"/>
        </w:rPr>
        <w:t xml:space="preserve"> </w:t>
      </w:r>
      <w:r w:rsidRPr="00242455">
        <w:rPr>
          <w:rFonts w:ascii="Book Antiqua" w:hAnsi="Book Antiqua" w:cs="Times New Roman"/>
          <w:bCs/>
          <w:color w:val="000000"/>
          <w:sz w:val="24"/>
          <w:szCs w:val="24"/>
        </w:rPr>
        <w:t>The</w:t>
      </w:r>
      <w:r w:rsidR="00972159" w:rsidRPr="00242455">
        <w:rPr>
          <w:rFonts w:ascii="Book Antiqua" w:hAnsi="Book Antiqua" w:cs="Times New Roman"/>
          <w:bCs/>
          <w:color w:val="000000"/>
          <w:sz w:val="24"/>
          <w:szCs w:val="24"/>
        </w:rPr>
        <w:t xml:space="preserve"> recently </w:t>
      </w:r>
      <w:r w:rsidR="00BC4849" w:rsidRPr="00BC4849">
        <w:rPr>
          <w:rFonts w:ascii="Book Antiqua" w:hAnsi="Book Antiqua" w:cs="Times New Roman"/>
          <w:bCs/>
          <w:color w:val="000000"/>
          <w:sz w:val="24"/>
          <w:szCs w:val="24"/>
        </w:rPr>
        <w:t>Food and Drug Administration</w:t>
      </w:r>
      <w:r w:rsidR="008441A9">
        <w:rPr>
          <w:rFonts w:ascii="Book Antiqua" w:hAnsi="Book Antiqua" w:cs="Times New Roman" w:hint="eastAsia"/>
          <w:bCs/>
          <w:color w:val="000000"/>
          <w:sz w:val="24"/>
          <w:szCs w:val="24"/>
          <w:lang w:eastAsia="zh-CN"/>
        </w:rPr>
        <w:t xml:space="preserve"> </w:t>
      </w:r>
      <w:r w:rsidR="00972159" w:rsidRPr="00242455">
        <w:rPr>
          <w:rFonts w:ascii="Book Antiqua" w:hAnsi="Book Antiqua" w:cs="Times New Roman"/>
          <w:bCs/>
          <w:color w:val="000000"/>
          <w:sz w:val="24"/>
          <w:szCs w:val="24"/>
        </w:rPr>
        <w:t xml:space="preserve">approved </w:t>
      </w:r>
      <w:r w:rsidR="00CB5525" w:rsidRPr="00242455">
        <w:rPr>
          <w:rFonts w:ascii="Book Antiqua" w:hAnsi="Book Antiqua" w:cs="Times New Roman"/>
          <w:sz w:val="24"/>
          <w:szCs w:val="24"/>
        </w:rPr>
        <w:t>direct-acting antiviral (DAA)</w:t>
      </w:r>
      <w:r w:rsidR="00972159" w:rsidRPr="00242455">
        <w:rPr>
          <w:rFonts w:ascii="Book Antiqua" w:hAnsi="Book Antiqua" w:cs="Times New Roman"/>
          <w:bCs/>
          <w:color w:val="000000"/>
          <w:sz w:val="24"/>
          <w:szCs w:val="24"/>
        </w:rPr>
        <w:t xml:space="preserve"> regimens for </w:t>
      </w:r>
      <w:r w:rsidR="00BC4849" w:rsidRPr="00242455">
        <w:rPr>
          <w:rStyle w:val="Strong"/>
          <w:rFonts w:ascii="Book Antiqua" w:hAnsi="Book Antiqua" w:cs="Times New Roman"/>
          <w:b w:val="0"/>
          <w:color w:val="000000"/>
          <w:sz w:val="24"/>
          <w:szCs w:val="24"/>
        </w:rPr>
        <w:t>hepatitis C virus (HCV)</w:t>
      </w:r>
      <w:r w:rsidR="00972159" w:rsidRPr="00242455">
        <w:rPr>
          <w:rFonts w:ascii="Book Antiqua" w:hAnsi="Book Antiqua" w:cs="Times New Roman"/>
          <w:bCs/>
          <w:color w:val="000000"/>
          <w:sz w:val="24"/>
          <w:szCs w:val="24"/>
        </w:rPr>
        <w:t xml:space="preserve">, </w:t>
      </w:r>
      <w:r w:rsidR="00CB5525">
        <w:rPr>
          <w:rFonts w:ascii="Book Antiqua" w:hAnsi="Book Antiqua" w:cs="Times New Roman"/>
          <w:sz w:val="24"/>
          <w:szCs w:val="24"/>
        </w:rPr>
        <w:t>ledipasvir/sofosbuvir</w:t>
      </w:r>
      <w:r w:rsidR="00E432F6" w:rsidRPr="00242455">
        <w:rPr>
          <w:rFonts w:ascii="Book Antiqua" w:hAnsi="Book Antiqua" w:cs="Times New Roman"/>
          <w:sz w:val="24"/>
          <w:szCs w:val="24"/>
        </w:rPr>
        <w:t xml:space="preserve"> </w:t>
      </w:r>
      <w:r w:rsidRPr="00242455">
        <w:rPr>
          <w:rFonts w:ascii="Book Antiqua" w:hAnsi="Book Antiqua" w:cs="Times New Roman"/>
          <w:sz w:val="24"/>
          <w:szCs w:val="24"/>
        </w:rPr>
        <w:t xml:space="preserve">regimen and the </w:t>
      </w:r>
      <w:r w:rsidRPr="00242455">
        <w:rPr>
          <w:rFonts w:ascii="Book Antiqua" w:hAnsi="Book Antiqua" w:cs="Times New Roman"/>
          <w:sz w:val="24"/>
          <w:szCs w:val="24"/>
        </w:rPr>
        <w:lastRenderedPageBreak/>
        <w:t>ombitasvir/paritaprevir/ritonavir and dasabuvir regimen, have demonstrated great efficacy, and thus far seem to have short treatment timelines and relatively benign side effect profiles. Depression has not emerged as a side effect of these treatments.</w:t>
      </w:r>
      <w:r w:rsidR="008441A9">
        <w:rPr>
          <w:rFonts w:ascii="Book Antiqua" w:hAnsi="Book Antiqua" w:cs="Times New Roman" w:hint="eastAsia"/>
          <w:bCs/>
          <w:color w:val="000000"/>
          <w:sz w:val="24"/>
          <w:szCs w:val="24"/>
          <w:lang w:eastAsia="zh-CN"/>
        </w:rPr>
        <w:t xml:space="preserve"> </w:t>
      </w:r>
      <w:r w:rsidRPr="00242455">
        <w:rPr>
          <w:rFonts w:ascii="Book Antiqua" w:hAnsi="Book Antiqua" w:cs="Times New Roman"/>
          <w:bCs/>
          <w:color w:val="000000"/>
          <w:sz w:val="24"/>
          <w:szCs w:val="24"/>
        </w:rPr>
        <w:t>With efficacious regimens that include</w:t>
      </w:r>
      <w:r w:rsidR="00972159" w:rsidRPr="00242455">
        <w:rPr>
          <w:rFonts w:ascii="Book Antiqua" w:hAnsi="Book Antiqua" w:cs="Times New Roman"/>
          <w:bCs/>
          <w:color w:val="000000"/>
          <w:sz w:val="24"/>
          <w:szCs w:val="24"/>
        </w:rPr>
        <w:t xml:space="preserve"> no interferon-alpha</w:t>
      </w:r>
      <w:r w:rsidRPr="00242455">
        <w:rPr>
          <w:rFonts w:ascii="Book Antiqua" w:hAnsi="Book Antiqua" w:cs="Times New Roman"/>
          <w:bCs/>
          <w:color w:val="000000"/>
          <w:sz w:val="24"/>
          <w:szCs w:val="24"/>
        </w:rPr>
        <w:t xml:space="preserve"> and no ribavirin, there may no longer be a need for</w:t>
      </w:r>
      <w:r w:rsidR="00972159" w:rsidRPr="00242455">
        <w:rPr>
          <w:rFonts w:ascii="Book Antiqua" w:hAnsi="Book Antiqua" w:cs="Times New Roman"/>
          <w:bCs/>
          <w:color w:val="000000"/>
          <w:sz w:val="24"/>
          <w:szCs w:val="24"/>
        </w:rPr>
        <w:t xml:space="preserve"> strong psychosocial assessment and monitoring built into the routine of HCV treatment. Good history-taking, strong pharmaceutical review, and reliable consultative relationships should be adequate for meeting psychosocial needs in HCV treatment.</w:t>
      </w:r>
    </w:p>
    <w:p w14:paraId="1D61EF5B" w14:textId="77777777" w:rsidR="003C24D2" w:rsidRPr="00242455" w:rsidRDefault="003C24D2" w:rsidP="007C0097">
      <w:pPr>
        <w:widowControl w:val="0"/>
        <w:overflowPunct w:val="0"/>
        <w:autoSpaceDE w:val="0"/>
        <w:autoSpaceDN w:val="0"/>
        <w:spacing w:line="360" w:lineRule="auto"/>
        <w:jc w:val="both"/>
        <w:rPr>
          <w:rFonts w:ascii="Book Antiqua" w:hAnsi="Book Antiqua" w:cs="Times New Roman"/>
          <w:sz w:val="24"/>
          <w:szCs w:val="24"/>
        </w:rPr>
      </w:pPr>
    </w:p>
    <w:p w14:paraId="51282AF5" w14:textId="77777777" w:rsidR="004369C2" w:rsidRPr="00242455" w:rsidRDefault="00CC0E26" w:rsidP="007C0097">
      <w:pPr>
        <w:widowControl w:val="0"/>
        <w:overflowPunct w:val="0"/>
        <w:autoSpaceDE w:val="0"/>
        <w:autoSpaceDN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Rowan</w:t>
      </w:r>
      <w:r w:rsidR="004369C2" w:rsidRPr="00242455">
        <w:rPr>
          <w:rFonts w:ascii="Book Antiqua" w:hAnsi="Book Antiqua" w:cs="Times New Roman"/>
          <w:sz w:val="24"/>
          <w:szCs w:val="24"/>
        </w:rPr>
        <w:t xml:space="preserve"> PJ, Bhulani N. Ps</w:t>
      </w:r>
      <w:r w:rsidR="008441A9" w:rsidRPr="00242455">
        <w:rPr>
          <w:rFonts w:ascii="Book Antiqua" w:hAnsi="Book Antiqua" w:cs="Times New Roman"/>
          <w:sz w:val="24"/>
          <w:szCs w:val="24"/>
        </w:rPr>
        <w:t>ychosocial assessment and monitoring in the new era of non-interferon-alpha</w:t>
      </w:r>
      <w:r w:rsidR="004369C2" w:rsidRPr="00242455">
        <w:rPr>
          <w:rFonts w:ascii="Book Antiqua" w:hAnsi="Book Antiqua" w:cs="Times New Roman"/>
          <w:sz w:val="24"/>
          <w:szCs w:val="24"/>
        </w:rPr>
        <w:t xml:space="preserve"> </w:t>
      </w:r>
      <w:r w:rsidR="007C0097" w:rsidRPr="00242455">
        <w:rPr>
          <w:rStyle w:val="Strong"/>
          <w:rFonts w:ascii="Book Antiqua" w:hAnsi="Book Antiqua" w:cs="Times New Roman"/>
          <w:b w:val="0"/>
          <w:color w:val="000000"/>
          <w:sz w:val="24"/>
          <w:szCs w:val="24"/>
        </w:rPr>
        <w:t>hepatitis C virus</w:t>
      </w:r>
      <w:r w:rsidR="004369C2" w:rsidRPr="00242455">
        <w:rPr>
          <w:rFonts w:ascii="Book Antiqua" w:hAnsi="Book Antiqua" w:cs="Times New Roman"/>
          <w:sz w:val="24"/>
          <w:szCs w:val="24"/>
        </w:rPr>
        <w:t xml:space="preserve"> </w:t>
      </w:r>
      <w:r w:rsidR="008441A9" w:rsidRPr="00242455">
        <w:rPr>
          <w:rFonts w:ascii="Book Antiqua" w:hAnsi="Book Antiqua" w:cs="Times New Roman"/>
          <w:sz w:val="24"/>
          <w:szCs w:val="24"/>
        </w:rPr>
        <w:t>t</w:t>
      </w:r>
      <w:r w:rsidR="004369C2" w:rsidRPr="00242455">
        <w:rPr>
          <w:rFonts w:ascii="Book Antiqua" w:hAnsi="Book Antiqua" w:cs="Times New Roman"/>
          <w:sz w:val="24"/>
          <w:szCs w:val="24"/>
        </w:rPr>
        <w:t xml:space="preserve">reatments. </w:t>
      </w:r>
      <w:bookmarkStart w:id="4" w:name="OLE_LINK130"/>
      <w:r w:rsidR="006236B2" w:rsidRPr="00C341A0">
        <w:rPr>
          <w:rFonts w:ascii="Book Antiqua" w:hAnsi="Book Antiqua"/>
          <w:i/>
          <w:iCs/>
          <w:sz w:val="24"/>
          <w:szCs w:val="24"/>
        </w:rPr>
        <w:t>World J Hepatol</w:t>
      </w:r>
      <w:bookmarkEnd w:id="4"/>
      <w:r w:rsidR="00635C33">
        <w:rPr>
          <w:rFonts w:ascii="Book Antiqua" w:hAnsi="Book Antiqua" w:cs="Times New Roman"/>
          <w:sz w:val="24"/>
          <w:szCs w:val="24"/>
        </w:rPr>
        <w:t xml:space="preserve"> 2015; In press</w:t>
      </w:r>
    </w:p>
    <w:p w14:paraId="0D04DBFD" w14:textId="77777777" w:rsidR="004369C2" w:rsidRPr="00242455" w:rsidRDefault="004369C2" w:rsidP="007C0097">
      <w:pPr>
        <w:widowControl w:val="0"/>
        <w:overflowPunct w:val="0"/>
        <w:autoSpaceDE w:val="0"/>
        <w:autoSpaceDN w:val="0"/>
        <w:spacing w:line="360" w:lineRule="auto"/>
        <w:jc w:val="both"/>
        <w:rPr>
          <w:rFonts w:ascii="Book Antiqua" w:hAnsi="Book Antiqua" w:cs="Times New Roman"/>
          <w:sz w:val="24"/>
          <w:szCs w:val="24"/>
        </w:rPr>
      </w:pPr>
    </w:p>
    <w:p w14:paraId="0E782A5E" w14:textId="77777777" w:rsidR="004369C2" w:rsidRPr="00242455" w:rsidRDefault="004369C2" w:rsidP="007C0097">
      <w:pPr>
        <w:widowControl w:val="0"/>
        <w:overflowPunct w:val="0"/>
        <w:autoSpaceDE w:val="0"/>
        <w:autoSpaceDN w:val="0"/>
        <w:spacing w:line="360" w:lineRule="auto"/>
        <w:jc w:val="both"/>
        <w:rPr>
          <w:rFonts w:ascii="Book Antiqua" w:hAnsi="Book Antiqua" w:cs="Times New Roman"/>
          <w:sz w:val="24"/>
          <w:szCs w:val="24"/>
        </w:rPr>
      </w:pPr>
    </w:p>
    <w:p w14:paraId="32FE0721" w14:textId="77777777" w:rsidR="004369C2" w:rsidRPr="00242455" w:rsidRDefault="004369C2" w:rsidP="007C0097">
      <w:pPr>
        <w:widowControl w:val="0"/>
        <w:overflowPunct w:val="0"/>
        <w:autoSpaceDE w:val="0"/>
        <w:autoSpaceDN w:val="0"/>
        <w:spacing w:line="360" w:lineRule="auto"/>
        <w:jc w:val="both"/>
        <w:rPr>
          <w:rFonts w:ascii="Book Antiqua" w:hAnsi="Book Antiqua" w:cs="Times New Roman"/>
          <w:sz w:val="24"/>
          <w:szCs w:val="24"/>
        </w:rPr>
      </w:pPr>
    </w:p>
    <w:p w14:paraId="5664528E" w14:textId="77777777" w:rsidR="00C534F7" w:rsidRPr="00242455" w:rsidRDefault="00C534F7" w:rsidP="007C0097">
      <w:pPr>
        <w:widowControl w:val="0"/>
        <w:overflowPunct w:val="0"/>
        <w:autoSpaceDE w:val="0"/>
        <w:autoSpaceDN w:val="0"/>
        <w:spacing w:line="360" w:lineRule="auto"/>
        <w:jc w:val="both"/>
        <w:rPr>
          <w:rFonts w:ascii="Book Antiqua" w:hAnsi="Book Antiqua" w:cs="Times New Roman"/>
          <w:sz w:val="24"/>
          <w:szCs w:val="24"/>
        </w:rPr>
      </w:pPr>
    </w:p>
    <w:p w14:paraId="61BFFC0F" w14:textId="77777777" w:rsidR="00D9458D" w:rsidRPr="00242455" w:rsidRDefault="00D9458D" w:rsidP="007C0097">
      <w:pPr>
        <w:widowControl w:val="0"/>
        <w:overflowPunct w:val="0"/>
        <w:autoSpaceDE w:val="0"/>
        <w:autoSpaceDN w:val="0"/>
        <w:spacing w:line="360" w:lineRule="auto"/>
        <w:jc w:val="both"/>
        <w:rPr>
          <w:rFonts w:ascii="Book Antiqua" w:hAnsi="Book Antiqua" w:cs="Times New Roman"/>
          <w:sz w:val="24"/>
          <w:szCs w:val="24"/>
        </w:rPr>
      </w:pPr>
      <w:r w:rsidRPr="00242455">
        <w:rPr>
          <w:rFonts w:ascii="Book Antiqua" w:hAnsi="Book Antiqua" w:cs="Times New Roman"/>
          <w:sz w:val="24"/>
          <w:szCs w:val="24"/>
        </w:rPr>
        <w:br w:type="page"/>
      </w:r>
    </w:p>
    <w:p w14:paraId="1D35A990" w14:textId="77777777" w:rsidR="00C534F7" w:rsidRPr="00242455" w:rsidRDefault="00F158AA" w:rsidP="007C0097">
      <w:pPr>
        <w:widowControl w:val="0"/>
        <w:overflowPunct w:val="0"/>
        <w:autoSpaceDE w:val="0"/>
        <w:autoSpaceDN w:val="0"/>
        <w:spacing w:line="360" w:lineRule="auto"/>
        <w:jc w:val="both"/>
        <w:rPr>
          <w:rFonts w:ascii="Book Antiqua" w:hAnsi="Book Antiqua" w:cs="Times New Roman"/>
          <w:sz w:val="24"/>
          <w:szCs w:val="24"/>
        </w:rPr>
      </w:pPr>
      <w:r w:rsidRPr="003F7824">
        <w:rPr>
          <w:rFonts w:ascii="Book Antiqua" w:hAnsi="Book Antiqua"/>
          <w:b/>
          <w:caps/>
          <w:sz w:val="24"/>
          <w:szCs w:val="24"/>
        </w:rPr>
        <w:lastRenderedPageBreak/>
        <w:t>Introduction</w:t>
      </w:r>
    </w:p>
    <w:p w14:paraId="2EB6B22F" w14:textId="77777777" w:rsidR="0034652A" w:rsidRPr="00242455" w:rsidRDefault="0087448E" w:rsidP="007C0097">
      <w:pPr>
        <w:widowControl w:val="0"/>
        <w:overflowPunct w:val="0"/>
        <w:autoSpaceDE w:val="0"/>
        <w:autoSpaceDN w:val="0"/>
        <w:spacing w:line="360" w:lineRule="auto"/>
        <w:jc w:val="both"/>
        <w:rPr>
          <w:rStyle w:val="Strong"/>
          <w:rFonts w:ascii="Book Antiqua" w:hAnsi="Book Antiqua" w:cs="Times New Roman"/>
          <w:b w:val="0"/>
          <w:color w:val="000000"/>
          <w:sz w:val="24"/>
          <w:szCs w:val="24"/>
        </w:rPr>
      </w:pPr>
      <w:r w:rsidRPr="00242455">
        <w:rPr>
          <w:rStyle w:val="Strong"/>
          <w:rFonts w:ascii="Book Antiqua" w:hAnsi="Book Antiqua" w:cs="Times New Roman"/>
          <w:b w:val="0"/>
          <w:color w:val="000000"/>
          <w:sz w:val="24"/>
          <w:szCs w:val="24"/>
        </w:rPr>
        <w:t>Chronic h</w:t>
      </w:r>
      <w:r w:rsidR="000564A4" w:rsidRPr="00242455">
        <w:rPr>
          <w:rStyle w:val="Strong"/>
          <w:rFonts w:ascii="Book Antiqua" w:hAnsi="Book Antiqua" w:cs="Times New Roman"/>
          <w:b w:val="0"/>
          <w:color w:val="000000"/>
          <w:sz w:val="24"/>
          <w:szCs w:val="24"/>
        </w:rPr>
        <w:t>epatitis C Virus (HCV) is a global concern</w:t>
      </w:r>
      <w:r w:rsidRPr="00242455">
        <w:rPr>
          <w:rStyle w:val="Strong"/>
          <w:rFonts w:ascii="Book Antiqua" w:hAnsi="Book Antiqua" w:cs="Times New Roman"/>
          <w:b w:val="0"/>
          <w:color w:val="000000"/>
          <w:sz w:val="24"/>
          <w:szCs w:val="24"/>
        </w:rPr>
        <w:t>,</w:t>
      </w:r>
      <w:r w:rsidR="000564A4" w:rsidRPr="00242455">
        <w:rPr>
          <w:rStyle w:val="Strong"/>
          <w:rFonts w:ascii="Book Antiqua" w:hAnsi="Book Antiqua" w:cs="Times New Roman"/>
          <w:b w:val="0"/>
          <w:color w:val="000000"/>
          <w:sz w:val="24"/>
          <w:szCs w:val="24"/>
        </w:rPr>
        <w:t xml:space="preserve"> with approximately 170 million people affected worldwide. It is the leading cause of liver c</w:t>
      </w:r>
      <w:r w:rsidR="00F158AA">
        <w:rPr>
          <w:rStyle w:val="Strong"/>
          <w:rFonts w:ascii="Book Antiqua" w:hAnsi="Book Antiqua" w:cs="Times New Roman"/>
          <w:b w:val="0"/>
          <w:color w:val="000000"/>
          <w:sz w:val="24"/>
          <w:szCs w:val="24"/>
        </w:rPr>
        <w:t>irrhosis in developed countries</w:t>
      </w:r>
      <w:r w:rsidR="000564A4" w:rsidRPr="00242455">
        <w:rPr>
          <w:rStyle w:val="Strong"/>
          <w:rFonts w:ascii="Book Antiqua" w:hAnsi="Book Antiqua" w:cs="Times New Roman"/>
          <w:b w:val="0"/>
          <w:color w:val="000000"/>
          <w:sz w:val="24"/>
          <w:szCs w:val="24"/>
        </w:rPr>
        <w:fldChar w:fldCharType="begin"/>
      </w:r>
      <w:r w:rsidR="000564A4" w:rsidRPr="00242455">
        <w:rPr>
          <w:rStyle w:val="Strong"/>
          <w:rFonts w:ascii="Book Antiqua" w:hAnsi="Book Antiqua" w:cs="Times New Roman"/>
          <w:b w:val="0"/>
          <w:color w:val="000000"/>
          <w:sz w:val="24"/>
          <w:szCs w:val="24"/>
        </w:rPr>
        <w:instrText xml:space="preserve"> ADDIN EN.CITE &lt;EndNote&gt;&lt;Cite&gt;&lt;Author&gt;Dienstag&lt;/Author&gt;&lt;Year&gt;2006&lt;/Year&gt;&lt;RecNum&gt;8&lt;/RecNum&gt;&lt;record&gt;&lt;rec-number&gt;8&lt;/rec-number&gt;&lt;foreign-keys&gt;&lt;key app="EN" db-id="2wvw5zsvq5w0wiedsesxzaarvawzzfd9r0pf"&gt;8&lt;/key&gt;&lt;/foreign-keys&gt;&lt;ref-type name="Journal Article"&gt;17&lt;/ref-type&gt;&lt;contributors&gt;&lt;authors&gt;&lt;author&gt;Dienstag, J. L.&lt;/author&gt;&lt;author&gt;McHutchison, J. G.&lt;/author&gt;&lt;/authors&gt;&lt;/contributors&gt;&lt;auth-address&gt;Gastrointestinal Unit (Medical Services) Massachusetts General Hospital, Department of Medicine and Office of the Dean for Medical Education, Harvard Medical School, Boston, Massachusetts, USA.&lt;/auth-address&gt;&lt;titles&gt;&lt;title&gt;American Gastroenterological Association technical review on the management of hepatitis C&lt;/title&gt;&lt;secondary-title&gt;Gastroenterology&lt;/secondary-title&gt;&lt;/titles&gt;&lt;periodical&gt;&lt;full-title&gt;Gastroenterology&lt;/full-title&gt;&lt;/periodical&gt;&lt;pages&gt;231-64; quiz 214-7&lt;/pages&gt;&lt;volume&gt;130&lt;/volume&gt;&lt;number&gt;1&lt;/number&gt;&lt;edition&gt;2006/01/13&lt;/edition&gt;&lt;keywords&gt;&lt;keyword&gt;Antiviral Agents/adverse effects/*therapeutic use&lt;/keyword&gt;&lt;keyword&gt;Hepatitis C, Chronic/*diagnosis/*drug therapy&lt;/keyword&gt;&lt;keyword&gt;Humans&lt;/keyword&gt;&lt;keyword&gt;Mass Screening&lt;/keyword&gt;&lt;keyword&gt;Prognosis&lt;/keyword&gt;&lt;keyword&gt;Risk Factors&lt;/keyword&gt;&lt;/keywords&gt;&lt;dates&gt;&lt;year&gt;2006&lt;/year&gt;&lt;pub-dates&gt;&lt;date&gt;Jan&lt;/date&gt;&lt;/pub-dates&gt;&lt;/dates&gt;&lt;isbn&gt;0016-5085 (Print)&amp;#xD;0016-5085 (Linking)&lt;/isbn&gt;&lt;accession-num&gt;16401486&lt;/accession-num&gt;&lt;urls&gt;&lt;related-urls&gt;&lt;url&gt;http://www.ncbi.nlm.nih.gov/pubmed/16401486&lt;/url&gt;&lt;/related-urls&gt;&lt;/urls&gt;&lt;electronic-resource-num&gt;S0016-5085(05)02270-5 [pii]&amp;#xD;10.1053/j.gastro.2005.11.010&lt;/electronic-resource-num&gt;&lt;language&gt;eng&lt;/language&gt;&lt;/record&gt;&lt;/Cite&gt;&lt;/EndNote&gt;</w:instrText>
      </w:r>
      <w:r w:rsidR="000564A4" w:rsidRPr="00242455">
        <w:rPr>
          <w:rStyle w:val="Strong"/>
          <w:rFonts w:ascii="Book Antiqua" w:hAnsi="Book Antiqua" w:cs="Times New Roman"/>
          <w:b w:val="0"/>
          <w:color w:val="000000"/>
          <w:sz w:val="24"/>
          <w:szCs w:val="24"/>
        </w:rPr>
        <w:fldChar w:fldCharType="separate"/>
      </w:r>
      <w:r w:rsidR="000564A4" w:rsidRPr="00242455">
        <w:rPr>
          <w:rStyle w:val="Strong"/>
          <w:rFonts w:ascii="Book Antiqua" w:hAnsi="Book Antiqua" w:cs="Times New Roman"/>
          <w:b w:val="0"/>
          <w:color w:val="000000"/>
          <w:sz w:val="24"/>
          <w:szCs w:val="24"/>
          <w:vertAlign w:val="superscript"/>
        </w:rPr>
        <w:t>[1</w:t>
      </w:r>
      <w:r w:rsidR="00F158AA">
        <w:rPr>
          <w:rStyle w:val="Strong"/>
          <w:rFonts w:ascii="Book Antiqua" w:hAnsi="Book Antiqua" w:cs="Times New Roman"/>
          <w:b w:val="0"/>
          <w:color w:val="000000"/>
          <w:sz w:val="24"/>
          <w:szCs w:val="24"/>
          <w:vertAlign w:val="superscript"/>
        </w:rPr>
        <w:t>,</w:t>
      </w:r>
      <w:r w:rsidR="00782B84" w:rsidRPr="00242455">
        <w:rPr>
          <w:rStyle w:val="Strong"/>
          <w:rFonts w:ascii="Book Antiqua" w:hAnsi="Book Antiqua" w:cs="Times New Roman"/>
          <w:b w:val="0"/>
          <w:color w:val="000000"/>
          <w:sz w:val="24"/>
          <w:szCs w:val="24"/>
          <w:vertAlign w:val="superscript"/>
        </w:rPr>
        <w:t>2</w:t>
      </w:r>
      <w:r w:rsidR="000564A4" w:rsidRPr="00242455">
        <w:rPr>
          <w:rStyle w:val="Strong"/>
          <w:rFonts w:ascii="Book Antiqua" w:hAnsi="Book Antiqua" w:cs="Times New Roman"/>
          <w:b w:val="0"/>
          <w:color w:val="000000"/>
          <w:sz w:val="24"/>
          <w:szCs w:val="24"/>
          <w:vertAlign w:val="superscript"/>
        </w:rPr>
        <w:t>]</w:t>
      </w:r>
      <w:r w:rsidR="000564A4" w:rsidRPr="00242455">
        <w:rPr>
          <w:rStyle w:val="Strong"/>
          <w:rFonts w:ascii="Book Antiqua" w:hAnsi="Book Antiqua" w:cs="Times New Roman"/>
          <w:b w:val="0"/>
          <w:color w:val="000000"/>
          <w:sz w:val="24"/>
          <w:szCs w:val="24"/>
        </w:rPr>
        <w:fldChar w:fldCharType="end"/>
      </w:r>
      <w:r w:rsidR="00413351" w:rsidRPr="00242455">
        <w:rPr>
          <w:rStyle w:val="Strong"/>
          <w:rFonts w:ascii="Book Antiqua" w:hAnsi="Book Antiqua" w:cs="Times New Roman"/>
          <w:b w:val="0"/>
          <w:color w:val="000000"/>
          <w:sz w:val="24"/>
          <w:szCs w:val="24"/>
        </w:rPr>
        <w:t>. Of</w:t>
      </w:r>
      <w:r w:rsidR="000564A4" w:rsidRPr="00242455">
        <w:rPr>
          <w:rStyle w:val="Strong"/>
          <w:rFonts w:ascii="Book Antiqua" w:hAnsi="Book Antiqua" w:cs="Times New Roman"/>
          <w:b w:val="0"/>
          <w:color w:val="000000"/>
          <w:sz w:val="24"/>
          <w:szCs w:val="24"/>
        </w:rPr>
        <w:t xml:space="preserve"> the 6 genotypes, g</w:t>
      </w:r>
      <w:r w:rsidR="00F158AA">
        <w:rPr>
          <w:rStyle w:val="Strong"/>
          <w:rFonts w:ascii="Book Antiqua" w:hAnsi="Book Antiqua" w:cs="Times New Roman"/>
          <w:b w:val="0"/>
          <w:color w:val="000000"/>
          <w:sz w:val="24"/>
          <w:szCs w:val="24"/>
        </w:rPr>
        <w:t>enotype 1 is the most prevalent</w:t>
      </w:r>
      <w:r w:rsidR="000564A4" w:rsidRPr="00242455">
        <w:rPr>
          <w:rStyle w:val="Strong"/>
          <w:rFonts w:ascii="Book Antiqua" w:hAnsi="Book Antiqua" w:cs="Times New Roman"/>
          <w:b w:val="0"/>
          <w:color w:val="000000"/>
          <w:sz w:val="24"/>
          <w:szCs w:val="24"/>
        </w:rPr>
        <w:fldChar w:fldCharType="begin"/>
      </w:r>
      <w:r w:rsidR="000564A4" w:rsidRPr="00242455">
        <w:rPr>
          <w:rStyle w:val="Strong"/>
          <w:rFonts w:ascii="Book Antiqua" w:hAnsi="Book Antiqua" w:cs="Times New Roman"/>
          <w:b w:val="0"/>
          <w:color w:val="000000"/>
          <w:sz w:val="24"/>
          <w:szCs w:val="24"/>
        </w:rPr>
        <w:instrText xml:space="preserve"> ADDIN EN.CITE &lt;EndNote&gt;&lt;Cite&gt;&lt;Year&gt;2011&lt;/Year&gt;&lt;RecNum&gt;9&lt;/RecNum&gt;&lt;record&gt;&lt;rec-number&gt;9&lt;/rec-number&gt;&lt;foreign-keys&gt;&lt;key app="EN" db-id="2wvw5zsvq5w0wiedsesxzaarvawzzfd9r0pf"&gt;9&lt;/key&gt;&lt;/foreign-keys&gt;&lt;ref-type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 Hepatol&lt;/full-title&gt;&lt;/periodical&gt;&lt;pages&gt;245-64&lt;/pages&gt;&lt;volume&gt;55&lt;/volume&gt;&lt;number&gt;2&lt;/number&gt;&lt;edition&gt;2011/03/05&lt;/edition&gt;&lt;keywords&gt;&lt;keyword&gt;Acute Disease&lt;/keyword&gt;&lt;keyword&gt;Antiviral Agents/contraindications/therapeutic use&lt;/keyword&gt;&lt;keyword&gt;Europe&lt;/keyword&gt;&lt;keyword&gt;Hepatitis C/diagnosis/etiology/*therapy&lt;/keyword&gt;&lt;keyword&gt;Hepatitis C, Chronic/diagnosis/etiology/therapy&lt;/keyword&gt;&lt;keyword&gt;Humans&lt;/keyword&gt;&lt;keyword&gt;Interferons/contraindications/therapeutic use&lt;/keyword&gt;&lt;keyword&gt;Liver Transplantation&lt;/keyword&gt;&lt;keyword&gt;Societies, Medical&lt;/keyword&gt;&lt;keyword&gt;Treatment Outcome&lt;/keyword&gt;&lt;/keywords&gt;&lt;dates&gt;&lt;year&gt;2011&lt;/year&gt;&lt;pub-dates&gt;&lt;date&gt;Aug&lt;/date&gt;&lt;/pub-dates&gt;&lt;/dates&gt;&lt;isbn&gt;1600-0641 (Electronic)&amp;#xD;0168-8278 (Linking)&lt;/isbn&gt;&lt;accession-num&gt;21371579&lt;/accession-num&gt;&lt;urls&gt;&lt;related-urls&gt;&lt;url&gt;http://www.ncbi.nlm.nih.gov/pubmed/21371579&lt;/url&gt;&lt;/related-urls&gt;&lt;/urls&gt;&lt;electronic-resource-num&gt;S0168-8278(11)00209-1 [pii]&amp;#xD;10.1016/j.jhep.2011.02.023&lt;/electronic-resource-num&gt;&lt;language&gt;eng&lt;/language&gt;&lt;/record&gt;&lt;/Cite&gt;&lt;/EndNote&gt;</w:instrText>
      </w:r>
      <w:r w:rsidR="000564A4" w:rsidRPr="00242455">
        <w:rPr>
          <w:rStyle w:val="Strong"/>
          <w:rFonts w:ascii="Book Antiqua" w:hAnsi="Book Antiqua" w:cs="Times New Roman"/>
          <w:b w:val="0"/>
          <w:color w:val="000000"/>
          <w:sz w:val="24"/>
          <w:szCs w:val="24"/>
        </w:rPr>
        <w:fldChar w:fldCharType="separate"/>
      </w:r>
      <w:r w:rsidR="00782B84" w:rsidRPr="00242455">
        <w:rPr>
          <w:rStyle w:val="Strong"/>
          <w:rFonts w:ascii="Book Antiqua" w:hAnsi="Book Antiqua" w:cs="Times New Roman"/>
          <w:b w:val="0"/>
          <w:color w:val="000000"/>
          <w:sz w:val="24"/>
          <w:szCs w:val="24"/>
          <w:vertAlign w:val="superscript"/>
        </w:rPr>
        <w:t>[3</w:t>
      </w:r>
      <w:r w:rsidR="000564A4" w:rsidRPr="00242455">
        <w:rPr>
          <w:rStyle w:val="Strong"/>
          <w:rFonts w:ascii="Book Antiqua" w:hAnsi="Book Antiqua" w:cs="Times New Roman"/>
          <w:b w:val="0"/>
          <w:color w:val="000000"/>
          <w:sz w:val="24"/>
          <w:szCs w:val="24"/>
          <w:vertAlign w:val="superscript"/>
        </w:rPr>
        <w:t>]</w:t>
      </w:r>
      <w:r w:rsidR="000564A4" w:rsidRPr="00242455">
        <w:rPr>
          <w:rStyle w:val="Strong"/>
          <w:rFonts w:ascii="Book Antiqua" w:hAnsi="Book Antiqua" w:cs="Times New Roman"/>
          <w:b w:val="0"/>
          <w:color w:val="000000"/>
          <w:sz w:val="24"/>
          <w:szCs w:val="24"/>
        </w:rPr>
        <w:fldChar w:fldCharType="end"/>
      </w:r>
      <w:r w:rsidRPr="00242455">
        <w:rPr>
          <w:rStyle w:val="Strong"/>
          <w:rFonts w:ascii="Book Antiqua" w:hAnsi="Book Antiqua" w:cs="Times New Roman"/>
          <w:b w:val="0"/>
          <w:color w:val="000000"/>
          <w:sz w:val="24"/>
          <w:szCs w:val="24"/>
        </w:rPr>
        <w:t>.</w:t>
      </w:r>
      <w:r w:rsidR="000564A4" w:rsidRPr="00242455">
        <w:rPr>
          <w:rStyle w:val="Strong"/>
          <w:rFonts w:ascii="Book Antiqua" w:hAnsi="Book Antiqua" w:cs="Times New Roman"/>
          <w:b w:val="0"/>
          <w:color w:val="000000"/>
          <w:sz w:val="24"/>
          <w:szCs w:val="24"/>
        </w:rPr>
        <w:t xml:space="preserve"> </w:t>
      </w:r>
      <w:r w:rsidR="00892FCC" w:rsidRPr="00242455">
        <w:rPr>
          <w:rStyle w:val="Strong"/>
          <w:rFonts w:ascii="Book Antiqua" w:hAnsi="Book Antiqua" w:cs="Times New Roman"/>
          <w:b w:val="0"/>
          <w:color w:val="000000"/>
          <w:sz w:val="24"/>
          <w:szCs w:val="24"/>
        </w:rPr>
        <w:t xml:space="preserve">Interferon alpha was recognized as a successful treatment in the 1980s, but success rates were low. </w:t>
      </w:r>
      <w:r w:rsidR="000564A4" w:rsidRPr="00242455">
        <w:rPr>
          <w:rStyle w:val="Strong"/>
          <w:rFonts w:ascii="Book Antiqua" w:hAnsi="Book Antiqua" w:cs="Times New Roman"/>
          <w:b w:val="0"/>
          <w:color w:val="000000"/>
          <w:sz w:val="24"/>
          <w:szCs w:val="24"/>
        </w:rPr>
        <w:t>Since 199</w:t>
      </w:r>
      <w:r w:rsidR="00413351" w:rsidRPr="00242455">
        <w:rPr>
          <w:rStyle w:val="Strong"/>
          <w:rFonts w:ascii="Book Antiqua" w:hAnsi="Book Antiqua" w:cs="Times New Roman"/>
          <w:b w:val="0"/>
          <w:color w:val="000000"/>
          <w:sz w:val="24"/>
          <w:szCs w:val="24"/>
        </w:rPr>
        <w:t>8, Interferon-alpha along with r</w:t>
      </w:r>
      <w:r w:rsidR="000564A4" w:rsidRPr="00242455">
        <w:rPr>
          <w:rStyle w:val="Strong"/>
          <w:rFonts w:ascii="Book Antiqua" w:hAnsi="Book Antiqua" w:cs="Times New Roman"/>
          <w:b w:val="0"/>
          <w:color w:val="000000"/>
          <w:sz w:val="24"/>
          <w:szCs w:val="24"/>
        </w:rPr>
        <w:t>ibavirin has remained the standard of care for HCV infected patients</w:t>
      </w:r>
      <w:r w:rsidRPr="00242455">
        <w:rPr>
          <w:rStyle w:val="Strong"/>
          <w:rFonts w:ascii="Book Antiqua" w:hAnsi="Book Antiqua" w:cs="Times New Roman"/>
          <w:b w:val="0"/>
          <w:color w:val="000000"/>
          <w:sz w:val="24"/>
          <w:szCs w:val="24"/>
        </w:rPr>
        <w:t xml:space="preserve">, with success rates in genotype 1 only at </w:t>
      </w:r>
      <w:r w:rsidR="00E54BDA" w:rsidRPr="00242455">
        <w:rPr>
          <w:rStyle w:val="Strong"/>
          <w:rFonts w:ascii="Book Antiqua" w:hAnsi="Book Antiqua" w:cs="Times New Roman"/>
          <w:b w:val="0"/>
          <w:color w:val="000000"/>
          <w:sz w:val="24"/>
          <w:szCs w:val="24"/>
        </w:rPr>
        <w:t xml:space="preserve">approximately </w:t>
      </w:r>
      <w:r w:rsidRPr="00242455">
        <w:rPr>
          <w:rStyle w:val="Strong"/>
          <w:rFonts w:ascii="Book Antiqua" w:hAnsi="Book Antiqua" w:cs="Times New Roman"/>
          <w:b w:val="0"/>
          <w:color w:val="000000"/>
          <w:sz w:val="24"/>
          <w:szCs w:val="24"/>
        </w:rPr>
        <w:t xml:space="preserve">40%, while success rates for genotypes 2 and 3 </w:t>
      </w:r>
      <w:r w:rsidR="00892FCC" w:rsidRPr="00242455">
        <w:rPr>
          <w:rStyle w:val="Strong"/>
          <w:rFonts w:ascii="Book Antiqua" w:hAnsi="Book Antiqua" w:cs="Times New Roman"/>
          <w:b w:val="0"/>
          <w:color w:val="000000"/>
          <w:sz w:val="24"/>
          <w:szCs w:val="24"/>
        </w:rPr>
        <w:t>hover around</w:t>
      </w:r>
      <w:r w:rsidRPr="00242455">
        <w:rPr>
          <w:rStyle w:val="Strong"/>
          <w:rFonts w:ascii="Book Antiqua" w:hAnsi="Book Antiqua" w:cs="Times New Roman"/>
          <w:b w:val="0"/>
          <w:color w:val="000000"/>
          <w:sz w:val="24"/>
          <w:szCs w:val="24"/>
        </w:rPr>
        <w:t xml:space="preserve"> 80%</w:t>
      </w:r>
      <w:r w:rsidR="000564A4" w:rsidRPr="00242455">
        <w:rPr>
          <w:rStyle w:val="Strong"/>
          <w:rFonts w:ascii="Book Antiqua" w:hAnsi="Book Antiqua" w:cs="Times New Roman"/>
          <w:b w:val="0"/>
          <w:color w:val="000000"/>
          <w:sz w:val="24"/>
          <w:szCs w:val="24"/>
        </w:rPr>
        <w:t>. Until recently, the only significant change to this regimen was the approval of pegylated interferon-alpha</w:t>
      </w:r>
      <w:r w:rsidR="000E49B8" w:rsidRPr="00242455">
        <w:rPr>
          <w:rStyle w:val="Strong"/>
          <w:rFonts w:ascii="Book Antiqua" w:hAnsi="Book Antiqua" w:cs="Times New Roman"/>
          <w:b w:val="0"/>
          <w:color w:val="000000"/>
          <w:sz w:val="24"/>
          <w:szCs w:val="24"/>
        </w:rPr>
        <w:t xml:space="preserve"> treatment, </w:t>
      </w:r>
      <w:r w:rsidR="000564A4" w:rsidRPr="00242455">
        <w:rPr>
          <w:rStyle w:val="Strong"/>
          <w:rFonts w:ascii="Book Antiqua" w:hAnsi="Book Antiqua" w:cs="Times New Roman"/>
          <w:b w:val="0"/>
          <w:color w:val="000000"/>
          <w:sz w:val="24"/>
          <w:szCs w:val="24"/>
        </w:rPr>
        <w:t xml:space="preserve">in </w:t>
      </w:r>
      <w:r w:rsidR="000E49B8" w:rsidRPr="00242455">
        <w:rPr>
          <w:rStyle w:val="Strong"/>
          <w:rFonts w:ascii="Book Antiqua" w:hAnsi="Book Antiqua" w:cs="Times New Roman"/>
          <w:b w:val="0"/>
          <w:color w:val="000000"/>
          <w:sz w:val="24"/>
          <w:szCs w:val="24"/>
        </w:rPr>
        <w:t>2001</w:t>
      </w:r>
      <w:r w:rsidR="00892FCC" w:rsidRPr="00242455">
        <w:rPr>
          <w:rStyle w:val="Strong"/>
          <w:rFonts w:ascii="Book Antiqua" w:hAnsi="Book Antiqua" w:cs="Times New Roman"/>
          <w:b w:val="0"/>
          <w:color w:val="000000"/>
          <w:sz w:val="24"/>
          <w:szCs w:val="24"/>
        </w:rPr>
        <w:t>, making the regimen less challenging by reducing injections per week and boosting efficacy to some degree.</w:t>
      </w:r>
    </w:p>
    <w:p w14:paraId="31DE89BF" w14:textId="77777777" w:rsidR="00BF1D02" w:rsidRDefault="00802F3C" w:rsidP="007C0097">
      <w:pPr>
        <w:widowControl w:val="0"/>
        <w:overflowPunct w:val="0"/>
        <w:autoSpaceDE w:val="0"/>
        <w:autoSpaceDN w:val="0"/>
        <w:spacing w:line="360" w:lineRule="auto"/>
        <w:ind w:firstLineChars="100" w:firstLine="240"/>
        <w:jc w:val="both"/>
        <w:rPr>
          <w:rFonts w:ascii="Book Antiqua" w:hAnsi="Book Antiqua" w:cs="Times New Roman"/>
          <w:sz w:val="24"/>
          <w:szCs w:val="24"/>
          <w:lang w:eastAsia="zh-CN"/>
        </w:rPr>
      </w:pPr>
      <w:r w:rsidRPr="00242455">
        <w:rPr>
          <w:rStyle w:val="Strong"/>
          <w:rFonts w:ascii="Book Antiqua" w:hAnsi="Book Antiqua" w:cs="Times New Roman"/>
          <w:b w:val="0"/>
          <w:color w:val="000000"/>
          <w:sz w:val="24"/>
          <w:szCs w:val="24"/>
        </w:rPr>
        <w:t>Due to side effects of this regimen, candidates must be assessed for eligibility. A</w:t>
      </w:r>
      <w:r w:rsidR="00782B84" w:rsidRPr="00242455">
        <w:rPr>
          <w:rFonts w:ascii="Book Antiqua" w:hAnsi="Book Antiqua" w:cs="Times New Roman"/>
          <w:sz w:val="24"/>
          <w:szCs w:val="24"/>
        </w:rPr>
        <w:t>s much as 70%</w:t>
      </w:r>
      <w:r w:rsidR="00946245" w:rsidRPr="00242455">
        <w:rPr>
          <w:rFonts w:ascii="Book Antiqua" w:hAnsi="Book Antiqua" w:cs="Times New Roman"/>
          <w:sz w:val="24"/>
          <w:szCs w:val="24"/>
        </w:rPr>
        <w:t xml:space="preserve"> of otherwise eligible patients </w:t>
      </w:r>
      <w:r w:rsidR="007930A3" w:rsidRPr="00242455">
        <w:rPr>
          <w:rFonts w:ascii="Book Antiqua" w:hAnsi="Book Antiqua" w:cs="Times New Roman"/>
          <w:sz w:val="24"/>
          <w:szCs w:val="24"/>
        </w:rPr>
        <w:t>are not eligible to begin</w:t>
      </w:r>
      <w:r w:rsidR="00946245" w:rsidRPr="00242455">
        <w:rPr>
          <w:rFonts w:ascii="Book Antiqua" w:hAnsi="Book Antiqua" w:cs="Times New Roman"/>
          <w:sz w:val="24"/>
          <w:szCs w:val="24"/>
        </w:rPr>
        <w:t xml:space="preserve"> treatment </w:t>
      </w:r>
      <w:r w:rsidR="00A51216">
        <w:rPr>
          <w:rFonts w:ascii="Book Antiqua" w:hAnsi="Book Antiqua" w:cs="Times New Roman"/>
          <w:sz w:val="24"/>
          <w:szCs w:val="24"/>
        </w:rPr>
        <w:t>due to contraindications</w:t>
      </w:r>
      <w:r w:rsidR="00A51216">
        <w:rPr>
          <w:rFonts w:ascii="Book Antiqua" w:hAnsi="Book Antiqua" w:cs="Times New Roman"/>
          <w:sz w:val="24"/>
          <w:szCs w:val="24"/>
          <w:vertAlign w:val="superscript"/>
        </w:rPr>
        <w:t>[4,</w:t>
      </w:r>
      <w:r w:rsidR="00782B84" w:rsidRPr="00242455">
        <w:rPr>
          <w:rFonts w:ascii="Book Antiqua" w:hAnsi="Book Antiqua" w:cs="Times New Roman"/>
          <w:sz w:val="24"/>
          <w:szCs w:val="24"/>
          <w:vertAlign w:val="superscript"/>
        </w:rPr>
        <w:t>5</w:t>
      </w:r>
      <w:r w:rsidR="008A4A18" w:rsidRPr="00242455">
        <w:rPr>
          <w:rFonts w:ascii="Book Antiqua" w:hAnsi="Book Antiqua" w:cs="Times New Roman"/>
          <w:sz w:val="24"/>
          <w:szCs w:val="24"/>
          <w:vertAlign w:val="superscript"/>
        </w:rPr>
        <w:t>]</w:t>
      </w:r>
      <w:r w:rsidR="008A4A18" w:rsidRPr="00242455">
        <w:rPr>
          <w:rFonts w:ascii="Book Antiqua" w:hAnsi="Book Antiqua" w:cs="Times New Roman"/>
          <w:sz w:val="24"/>
          <w:szCs w:val="24"/>
        </w:rPr>
        <w:t xml:space="preserve">. </w:t>
      </w:r>
      <w:r w:rsidR="007930A3" w:rsidRPr="00242455">
        <w:rPr>
          <w:rFonts w:ascii="Book Antiqua" w:hAnsi="Book Antiqua" w:cs="Times New Roman"/>
          <w:sz w:val="24"/>
          <w:szCs w:val="24"/>
        </w:rPr>
        <w:t>A leading contraindication has been depression, since a</w:t>
      </w:r>
      <w:r w:rsidR="00946245" w:rsidRPr="00242455">
        <w:rPr>
          <w:rFonts w:ascii="Book Antiqua" w:hAnsi="Book Antiqua" w:cs="Times New Roman"/>
          <w:sz w:val="24"/>
          <w:szCs w:val="24"/>
        </w:rPr>
        <w:t xml:space="preserve"> leading side effect </w:t>
      </w:r>
      <w:r w:rsidR="00505CCE" w:rsidRPr="00242455">
        <w:rPr>
          <w:rFonts w:ascii="Book Antiqua" w:hAnsi="Book Antiqua" w:cs="Times New Roman"/>
          <w:sz w:val="24"/>
          <w:szCs w:val="24"/>
        </w:rPr>
        <w:t>is</w:t>
      </w:r>
      <w:r w:rsidR="00946245" w:rsidRPr="00242455">
        <w:rPr>
          <w:rFonts w:ascii="Book Antiqua" w:hAnsi="Book Antiqua" w:cs="Times New Roman"/>
          <w:sz w:val="24"/>
          <w:szCs w:val="24"/>
        </w:rPr>
        <w:t xml:space="preserve"> the depression </w:t>
      </w:r>
      <w:r w:rsidRPr="00242455">
        <w:rPr>
          <w:rFonts w:ascii="Book Antiqua" w:hAnsi="Book Antiqua" w:cs="Times New Roman"/>
          <w:sz w:val="24"/>
          <w:szCs w:val="24"/>
        </w:rPr>
        <w:t>that may emerge</w:t>
      </w:r>
      <w:r w:rsidR="007930A3" w:rsidRPr="00242455">
        <w:rPr>
          <w:rFonts w:ascii="Book Antiqua" w:hAnsi="Book Antiqua" w:cs="Times New Roman"/>
          <w:sz w:val="24"/>
          <w:szCs w:val="24"/>
        </w:rPr>
        <w:t xml:space="preserve"> or be exacerbated</w:t>
      </w:r>
      <w:r w:rsidRPr="00242455">
        <w:rPr>
          <w:rFonts w:ascii="Book Antiqua" w:hAnsi="Book Antiqua" w:cs="Times New Roman"/>
          <w:sz w:val="24"/>
          <w:szCs w:val="24"/>
        </w:rPr>
        <w:t xml:space="preserve"> </w:t>
      </w:r>
      <w:r w:rsidR="007930A3" w:rsidRPr="00242455">
        <w:rPr>
          <w:rFonts w:ascii="Book Antiqua" w:hAnsi="Book Antiqua" w:cs="Times New Roman"/>
          <w:sz w:val="24"/>
          <w:szCs w:val="24"/>
        </w:rPr>
        <w:t>by</w:t>
      </w:r>
      <w:r w:rsidRPr="00242455">
        <w:rPr>
          <w:rFonts w:ascii="Book Antiqua" w:hAnsi="Book Antiqua" w:cs="Times New Roman"/>
          <w:sz w:val="24"/>
          <w:szCs w:val="24"/>
        </w:rPr>
        <w:t xml:space="preserve"> interferon-alpha. </w:t>
      </w:r>
      <w:r w:rsidR="00946245" w:rsidRPr="00242455">
        <w:rPr>
          <w:rFonts w:ascii="Book Antiqua" w:hAnsi="Book Antiqua" w:cs="Times New Roman"/>
          <w:sz w:val="24"/>
          <w:szCs w:val="24"/>
        </w:rPr>
        <w:t>Clinicians have also had to monitor other psychosocial issues</w:t>
      </w:r>
      <w:r w:rsidR="00707A1E" w:rsidRPr="00242455">
        <w:rPr>
          <w:rFonts w:ascii="Book Antiqua" w:hAnsi="Book Antiqua" w:cs="Times New Roman"/>
          <w:sz w:val="24"/>
          <w:szCs w:val="24"/>
        </w:rPr>
        <w:t>, such as substance abuse</w:t>
      </w:r>
      <w:r w:rsidR="00782B84" w:rsidRPr="00242455">
        <w:rPr>
          <w:rFonts w:ascii="Book Antiqua" w:hAnsi="Book Antiqua" w:cs="Times New Roman"/>
          <w:sz w:val="24"/>
          <w:szCs w:val="24"/>
        </w:rPr>
        <w:t>. Some evidence suggests that t</w:t>
      </w:r>
      <w:r w:rsidR="00946245" w:rsidRPr="00242455">
        <w:rPr>
          <w:rFonts w:ascii="Book Antiqua" w:hAnsi="Book Antiqua" w:cs="Times New Roman"/>
          <w:sz w:val="24"/>
          <w:szCs w:val="24"/>
        </w:rPr>
        <w:t>reatment does not seem to work in active alcohol users</w:t>
      </w:r>
      <w:r w:rsidR="00782B84" w:rsidRPr="00242455">
        <w:rPr>
          <w:rFonts w:ascii="Book Antiqua" w:hAnsi="Book Antiqua" w:cs="Times New Roman"/>
          <w:sz w:val="24"/>
          <w:szCs w:val="24"/>
          <w:vertAlign w:val="superscript"/>
        </w:rPr>
        <w:t>[6</w:t>
      </w:r>
      <w:r w:rsidR="008A4A18" w:rsidRPr="00242455">
        <w:rPr>
          <w:rFonts w:ascii="Book Antiqua" w:hAnsi="Book Antiqua" w:cs="Times New Roman"/>
          <w:sz w:val="24"/>
          <w:szCs w:val="24"/>
          <w:vertAlign w:val="superscript"/>
        </w:rPr>
        <w:t>]</w:t>
      </w:r>
      <w:r w:rsidR="00946245" w:rsidRPr="00242455">
        <w:rPr>
          <w:rFonts w:ascii="Book Antiqua" w:hAnsi="Book Antiqua" w:cs="Times New Roman"/>
          <w:sz w:val="24"/>
          <w:szCs w:val="24"/>
        </w:rPr>
        <w:t>,</w:t>
      </w:r>
      <w:r w:rsidR="00782B84" w:rsidRPr="00242455">
        <w:rPr>
          <w:rFonts w:ascii="Book Antiqua" w:hAnsi="Book Antiqua" w:cs="Times New Roman"/>
          <w:sz w:val="24"/>
          <w:szCs w:val="24"/>
        </w:rPr>
        <w:t xml:space="preserve"> although some assessment have shown similarly successful outcomes rega</w:t>
      </w:r>
      <w:r w:rsidR="00A51216">
        <w:rPr>
          <w:rFonts w:ascii="Book Antiqua" w:hAnsi="Book Antiqua" w:cs="Times New Roman"/>
          <w:sz w:val="24"/>
          <w:szCs w:val="24"/>
        </w:rPr>
        <w:t>rdless of current alcohol abuse</w:t>
      </w:r>
      <w:r w:rsidR="00782B84" w:rsidRPr="00242455">
        <w:rPr>
          <w:rFonts w:ascii="Book Antiqua" w:hAnsi="Book Antiqua" w:cs="Times New Roman"/>
          <w:sz w:val="24"/>
          <w:szCs w:val="24"/>
          <w:vertAlign w:val="superscript"/>
        </w:rPr>
        <w:t>[7]</w:t>
      </w:r>
      <w:r w:rsidR="00413351" w:rsidRPr="00242455">
        <w:rPr>
          <w:rFonts w:ascii="Book Antiqua" w:hAnsi="Book Antiqua" w:cs="Times New Roman"/>
          <w:sz w:val="24"/>
          <w:szCs w:val="24"/>
        </w:rPr>
        <w:t>. I</w:t>
      </w:r>
      <w:r w:rsidR="00946245" w:rsidRPr="00242455">
        <w:rPr>
          <w:rFonts w:ascii="Book Antiqua" w:hAnsi="Book Antiqua" w:cs="Times New Roman"/>
          <w:sz w:val="24"/>
          <w:szCs w:val="24"/>
        </w:rPr>
        <w:t>njection drug users have been perceived as at r</w:t>
      </w:r>
      <w:r w:rsidR="00A51216">
        <w:rPr>
          <w:rFonts w:ascii="Book Antiqua" w:hAnsi="Book Antiqua" w:cs="Times New Roman"/>
          <w:sz w:val="24"/>
          <w:szCs w:val="24"/>
        </w:rPr>
        <w:t>isk for insufficient adherence</w:t>
      </w:r>
      <w:r w:rsidR="008A4A18" w:rsidRPr="00242455">
        <w:rPr>
          <w:rFonts w:ascii="Book Antiqua" w:hAnsi="Book Antiqua" w:cs="Times New Roman"/>
          <w:sz w:val="24"/>
          <w:szCs w:val="24"/>
          <w:vertAlign w:val="superscript"/>
        </w:rPr>
        <w:t>[</w:t>
      </w:r>
      <w:r w:rsidR="00782B84" w:rsidRPr="00242455">
        <w:rPr>
          <w:rFonts w:ascii="Book Antiqua" w:hAnsi="Book Antiqua" w:cs="Times New Roman"/>
          <w:sz w:val="24"/>
          <w:szCs w:val="24"/>
          <w:vertAlign w:val="superscript"/>
        </w:rPr>
        <w:t>8</w:t>
      </w:r>
      <w:r w:rsidR="008A4A18" w:rsidRPr="00242455">
        <w:rPr>
          <w:rFonts w:ascii="Book Antiqua" w:hAnsi="Book Antiqua" w:cs="Times New Roman"/>
          <w:sz w:val="24"/>
          <w:szCs w:val="24"/>
          <w:vertAlign w:val="superscript"/>
        </w:rPr>
        <w:t>]</w:t>
      </w:r>
      <w:r w:rsidR="00682B96" w:rsidRPr="00242455">
        <w:rPr>
          <w:rFonts w:ascii="Book Antiqua" w:hAnsi="Book Antiqua" w:cs="Times New Roman"/>
          <w:sz w:val="24"/>
          <w:szCs w:val="24"/>
        </w:rPr>
        <w:t>,</w:t>
      </w:r>
      <w:r w:rsidR="00946245" w:rsidRPr="00242455">
        <w:rPr>
          <w:rFonts w:ascii="Book Antiqua" w:hAnsi="Book Antiqua" w:cs="Times New Roman"/>
          <w:sz w:val="24"/>
          <w:szCs w:val="24"/>
        </w:rPr>
        <w:t xml:space="preserve"> and</w:t>
      </w:r>
      <w:r w:rsidR="00A51216">
        <w:rPr>
          <w:rFonts w:ascii="Book Antiqua" w:hAnsi="Book Antiqua" w:cs="Times New Roman"/>
          <w:sz w:val="24"/>
          <w:szCs w:val="24"/>
        </w:rPr>
        <w:t xml:space="preserve"> also at risk for re-infection</w:t>
      </w:r>
      <w:r w:rsidR="00782B84" w:rsidRPr="00242455">
        <w:rPr>
          <w:rFonts w:ascii="Book Antiqua" w:hAnsi="Book Antiqua" w:cs="Times New Roman"/>
          <w:sz w:val="24"/>
          <w:szCs w:val="24"/>
          <w:vertAlign w:val="superscript"/>
        </w:rPr>
        <w:t>[9</w:t>
      </w:r>
      <w:r w:rsidR="008A4A18" w:rsidRPr="00242455">
        <w:rPr>
          <w:rFonts w:ascii="Book Antiqua" w:hAnsi="Book Antiqua" w:cs="Times New Roman"/>
          <w:sz w:val="24"/>
          <w:szCs w:val="24"/>
          <w:vertAlign w:val="superscript"/>
        </w:rPr>
        <w:t>]</w:t>
      </w:r>
      <w:r w:rsidR="00413351" w:rsidRPr="00242455">
        <w:rPr>
          <w:rFonts w:ascii="Book Antiqua" w:hAnsi="Book Antiqua" w:cs="Times New Roman"/>
          <w:sz w:val="24"/>
          <w:szCs w:val="24"/>
          <w:vertAlign w:val="superscript"/>
        </w:rPr>
        <w:t xml:space="preserve">, </w:t>
      </w:r>
      <w:r w:rsidR="00413351" w:rsidRPr="00242455">
        <w:rPr>
          <w:rFonts w:ascii="Book Antiqua" w:hAnsi="Book Antiqua" w:cs="Times New Roman"/>
          <w:sz w:val="24"/>
          <w:szCs w:val="24"/>
        </w:rPr>
        <w:t>so this</w:t>
      </w:r>
      <w:r w:rsidR="00413351" w:rsidRPr="00242455">
        <w:rPr>
          <w:rFonts w:ascii="Book Antiqua" w:hAnsi="Book Antiqua" w:cs="Times New Roman"/>
          <w:sz w:val="24"/>
          <w:szCs w:val="24"/>
          <w:vertAlign w:val="superscript"/>
        </w:rPr>
        <w:t xml:space="preserve"> </w:t>
      </w:r>
      <w:r w:rsidR="00413351" w:rsidRPr="00242455">
        <w:rPr>
          <w:rFonts w:ascii="Book Antiqua" w:hAnsi="Book Antiqua" w:cs="Times New Roman"/>
          <w:sz w:val="24"/>
          <w:szCs w:val="24"/>
        </w:rPr>
        <w:t>poses another area of psychosocial assessment. Clinically</w:t>
      </w:r>
      <w:r w:rsidR="00946245" w:rsidRPr="00242455">
        <w:rPr>
          <w:rFonts w:ascii="Book Antiqua" w:hAnsi="Book Antiqua" w:cs="Times New Roman"/>
          <w:sz w:val="24"/>
          <w:szCs w:val="24"/>
        </w:rPr>
        <w:t xml:space="preserve">, a common </w:t>
      </w:r>
      <w:r w:rsidR="00413351" w:rsidRPr="00242455">
        <w:rPr>
          <w:rFonts w:ascii="Book Antiqua" w:hAnsi="Book Antiqua" w:cs="Times New Roman"/>
          <w:sz w:val="24"/>
          <w:szCs w:val="24"/>
        </w:rPr>
        <w:t>practice</w:t>
      </w:r>
      <w:r w:rsidR="00946245" w:rsidRPr="00242455">
        <w:rPr>
          <w:rFonts w:ascii="Book Antiqua" w:hAnsi="Book Antiqua" w:cs="Times New Roman"/>
          <w:sz w:val="24"/>
          <w:szCs w:val="24"/>
        </w:rPr>
        <w:t xml:space="preserve"> has been to refer an otherwise eligible candidate for psychiatric care when any of these psychiatric conditions are present or have been rec</w:t>
      </w:r>
      <w:r w:rsidR="00707A1E" w:rsidRPr="00242455">
        <w:rPr>
          <w:rFonts w:ascii="Book Antiqua" w:hAnsi="Book Antiqua" w:cs="Times New Roman"/>
          <w:sz w:val="24"/>
          <w:szCs w:val="24"/>
        </w:rPr>
        <w:t>ently active</w:t>
      </w:r>
      <w:r w:rsidR="00946245" w:rsidRPr="00242455">
        <w:rPr>
          <w:rFonts w:ascii="Book Antiqua" w:hAnsi="Book Antiqua" w:cs="Times New Roman"/>
          <w:sz w:val="24"/>
          <w:szCs w:val="24"/>
        </w:rPr>
        <w:t>.</w:t>
      </w:r>
    </w:p>
    <w:p w14:paraId="4157219A" w14:textId="77777777" w:rsidR="00B1077C" w:rsidRPr="00242455" w:rsidRDefault="00946245" w:rsidP="007C0097">
      <w:pPr>
        <w:widowControl w:val="0"/>
        <w:overflowPunct w:val="0"/>
        <w:autoSpaceDE w:val="0"/>
        <w:autoSpaceDN w:val="0"/>
        <w:spacing w:line="360" w:lineRule="auto"/>
        <w:ind w:firstLineChars="100" w:firstLine="240"/>
        <w:jc w:val="both"/>
        <w:rPr>
          <w:rStyle w:val="Strong"/>
          <w:rFonts w:ascii="Book Antiqua" w:hAnsi="Book Antiqua" w:cs="Times New Roman"/>
          <w:b w:val="0"/>
          <w:bCs w:val="0"/>
          <w:sz w:val="24"/>
          <w:szCs w:val="24"/>
        </w:rPr>
      </w:pPr>
      <w:r w:rsidRPr="00242455">
        <w:rPr>
          <w:rFonts w:ascii="Book Antiqua" w:hAnsi="Book Antiqua" w:cs="Times New Roman"/>
          <w:sz w:val="24"/>
          <w:szCs w:val="24"/>
        </w:rPr>
        <w:t>Another psychosoc</w:t>
      </w:r>
      <w:r w:rsidR="00802F3C" w:rsidRPr="00242455">
        <w:rPr>
          <w:rFonts w:ascii="Book Antiqua" w:hAnsi="Book Antiqua" w:cs="Times New Roman"/>
          <w:sz w:val="24"/>
          <w:szCs w:val="24"/>
        </w:rPr>
        <w:t>ial concern is social stability:</w:t>
      </w:r>
      <w:r w:rsidR="00E56B70" w:rsidRPr="00242455">
        <w:rPr>
          <w:rFonts w:ascii="Book Antiqua" w:hAnsi="Book Antiqua" w:cs="Times New Roman"/>
          <w:sz w:val="24"/>
          <w:szCs w:val="24"/>
        </w:rPr>
        <w:t xml:space="preserve"> since treatment may take</w:t>
      </w:r>
      <w:r w:rsidRPr="00242455">
        <w:rPr>
          <w:rFonts w:ascii="Book Antiqua" w:hAnsi="Book Antiqua" w:cs="Times New Roman"/>
          <w:sz w:val="24"/>
          <w:szCs w:val="24"/>
        </w:rPr>
        <w:t xml:space="preserve"> as long as </w:t>
      </w:r>
      <w:r w:rsidR="00A51216">
        <w:rPr>
          <w:rFonts w:ascii="Book Antiqua" w:hAnsi="Book Antiqua" w:cs="Times New Roman"/>
          <w:sz w:val="24"/>
          <w:szCs w:val="24"/>
        </w:rPr>
        <w:t>48 wk</w:t>
      </w:r>
      <w:r w:rsidR="00E54BDA" w:rsidRPr="00242455">
        <w:rPr>
          <w:rFonts w:ascii="Book Antiqua" w:hAnsi="Book Antiqua" w:cs="Times New Roman"/>
          <w:sz w:val="24"/>
          <w:szCs w:val="24"/>
        </w:rPr>
        <w:t>, a candidate must have stable housing and have means for refrigera</w:t>
      </w:r>
      <w:r w:rsidR="00E56B70" w:rsidRPr="00242455">
        <w:rPr>
          <w:rFonts w:ascii="Book Antiqua" w:hAnsi="Book Antiqua" w:cs="Times New Roman"/>
          <w:sz w:val="24"/>
          <w:szCs w:val="24"/>
        </w:rPr>
        <w:t>ting the interferon-alpha. T</w:t>
      </w:r>
      <w:r w:rsidR="00E54BDA" w:rsidRPr="00242455">
        <w:rPr>
          <w:rFonts w:ascii="Book Antiqua" w:hAnsi="Book Antiqua" w:cs="Times New Roman"/>
          <w:sz w:val="24"/>
          <w:szCs w:val="24"/>
        </w:rPr>
        <w:t xml:space="preserve">hose with unstable housing or </w:t>
      </w:r>
      <w:r w:rsidR="00E35264" w:rsidRPr="00242455">
        <w:rPr>
          <w:rFonts w:ascii="Book Antiqua" w:hAnsi="Book Antiqua" w:cs="Times New Roman"/>
          <w:sz w:val="24"/>
          <w:szCs w:val="24"/>
        </w:rPr>
        <w:t xml:space="preserve">unstable </w:t>
      </w:r>
      <w:r w:rsidR="00E54BDA" w:rsidRPr="00242455">
        <w:rPr>
          <w:rFonts w:ascii="Book Antiqua" w:hAnsi="Book Antiqua" w:cs="Times New Roman"/>
          <w:sz w:val="24"/>
          <w:szCs w:val="24"/>
        </w:rPr>
        <w:t>income might need to have those issues addr</w:t>
      </w:r>
      <w:r w:rsidR="00682B96" w:rsidRPr="00242455">
        <w:rPr>
          <w:rFonts w:ascii="Book Antiqua" w:hAnsi="Book Antiqua" w:cs="Times New Roman"/>
          <w:sz w:val="24"/>
          <w:szCs w:val="24"/>
        </w:rPr>
        <w:t>essed by social work before treatment can be initiated</w:t>
      </w:r>
      <w:r w:rsidR="00E54BDA" w:rsidRPr="00242455">
        <w:rPr>
          <w:rFonts w:ascii="Book Antiqua" w:hAnsi="Book Antiqua" w:cs="Times New Roman"/>
          <w:sz w:val="24"/>
          <w:szCs w:val="24"/>
        </w:rPr>
        <w:t>.</w:t>
      </w:r>
      <w:r w:rsidR="00BC5E82" w:rsidRPr="00242455">
        <w:rPr>
          <w:rFonts w:ascii="Book Antiqua" w:hAnsi="Book Antiqua" w:cs="Times New Roman"/>
          <w:sz w:val="24"/>
          <w:szCs w:val="24"/>
        </w:rPr>
        <w:t xml:space="preserve"> For women of child-bearing age, the teratogenic risk of ribavirin requires attention to pregnancy risk. A recommended practice has been to </w:t>
      </w:r>
      <w:r w:rsidR="00E231CC" w:rsidRPr="00242455">
        <w:rPr>
          <w:rFonts w:ascii="Book Antiqua" w:hAnsi="Book Antiqua" w:cs="Times New Roman"/>
          <w:sz w:val="24"/>
          <w:szCs w:val="24"/>
        </w:rPr>
        <w:t>assure mandatory</w:t>
      </w:r>
      <w:r w:rsidR="00BC5E82" w:rsidRPr="00242455">
        <w:rPr>
          <w:rFonts w:ascii="Book Antiqua" w:hAnsi="Book Antiqua" w:cs="Times New Roman"/>
          <w:sz w:val="24"/>
          <w:szCs w:val="24"/>
        </w:rPr>
        <w:t xml:space="preserve"> birth control </w:t>
      </w:r>
      <w:r w:rsidR="00E231CC" w:rsidRPr="00242455">
        <w:rPr>
          <w:rFonts w:ascii="Book Antiqua" w:hAnsi="Book Antiqua" w:cs="Times New Roman"/>
          <w:sz w:val="24"/>
          <w:szCs w:val="24"/>
        </w:rPr>
        <w:t xml:space="preserve">adherence </w:t>
      </w:r>
      <w:r w:rsidR="00707A1E" w:rsidRPr="00242455">
        <w:rPr>
          <w:rFonts w:ascii="Book Antiqua" w:hAnsi="Book Antiqua" w:cs="Times New Roman"/>
          <w:sz w:val="24"/>
          <w:szCs w:val="24"/>
        </w:rPr>
        <w:t>for any</w:t>
      </w:r>
      <w:r w:rsidR="00BC5E82" w:rsidRPr="00242455">
        <w:rPr>
          <w:rFonts w:ascii="Book Antiqua" w:hAnsi="Book Antiqua" w:cs="Times New Roman"/>
          <w:sz w:val="24"/>
          <w:szCs w:val="24"/>
        </w:rPr>
        <w:t xml:space="preserve"> woman of child-bearing age </w:t>
      </w:r>
      <w:r w:rsidR="00707A1E" w:rsidRPr="00242455">
        <w:rPr>
          <w:rFonts w:ascii="Book Antiqua" w:hAnsi="Book Antiqua" w:cs="Times New Roman"/>
          <w:sz w:val="24"/>
          <w:szCs w:val="24"/>
        </w:rPr>
        <w:t>to be prescribed any extended</w:t>
      </w:r>
      <w:r w:rsidR="00BC5E82" w:rsidRPr="00242455">
        <w:rPr>
          <w:rFonts w:ascii="Book Antiqua" w:hAnsi="Book Antiqua" w:cs="Times New Roman"/>
          <w:sz w:val="24"/>
          <w:szCs w:val="24"/>
        </w:rPr>
        <w:t xml:space="preserve"> r</w:t>
      </w:r>
      <w:r w:rsidR="008A4A18" w:rsidRPr="00242455">
        <w:rPr>
          <w:rFonts w:ascii="Book Antiqua" w:hAnsi="Book Antiqua" w:cs="Times New Roman"/>
          <w:sz w:val="24"/>
          <w:szCs w:val="24"/>
        </w:rPr>
        <w:t>egimen th</w:t>
      </w:r>
      <w:r w:rsidR="00A51216">
        <w:rPr>
          <w:rFonts w:ascii="Book Antiqua" w:hAnsi="Book Antiqua" w:cs="Times New Roman"/>
          <w:sz w:val="24"/>
          <w:szCs w:val="24"/>
        </w:rPr>
        <w:t xml:space="preserve">at includes </w:t>
      </w:r>
      <w:r w:rsidR="00A51216">
        <w:rPr>
          <w:rFonts w:ascii="Book Antiqua" w:hAnsi="Book Antiqua" w:cs="Times New Roman"/>
          <w:sz w:val="24"/>
          <w:szCs w:val="24"/>
        </w:rPr>
        <w:lastRenderedPageBreak/>
        <w:t>ribavirin</w:t>
      </w:r>
      <w:r w:rsidR="00782B84" w:rsidRPr="00242455">
        <w:rPr>
          <w:rFonts w:ascii="Book Antiqua" w:hAnsi="Book Antiqua" w:cs="Times New Roman"/>
          <w:sz w:val="24"/>
          <w:szCs w:val="24"/>
          <w:vertAlign w:val="superscript"/>
        </w:rPr>
        <w:t>[10</w:t>
      </w:r>
      <w:r w:rsidR="008A4A18" w:rsidRPr="00242455">
        <w:rPr>
          <w:rFonts w:ascii="Book Antiqua" w:hAnsi="Book Antiqua" w:cs="Times New Roman"/>
          <w:sz w:val="24"/>
          <w:szCs w:val="24"/>
          <w:vertAlign w:val="superscript"/>
        </w:rPr>
        <w:t>]</w:t>
      </w:r>
      <w:r w:rsidR="00BC5E82" w:rsidRPr="00242455">
        <w:rPr>
          <w:rFonts w:ascii="Book Antiqua" w:hAnsi="Book Antiqua" w:cs="Times New Roman"/>
          <w:sz w:val="24"/>
          <w:szCs w:val="24"/>
        </w:rPr>
        <w:t>.</w:t>
      </w:r>
      <w:r w:rsidR="00E35264" w:rsidRPr="00242455">
        <w:rPr>
          <w:rFonts w:ascii="Book Antiqua" w:hAnsi="Book Antiqua" w:cs="Times New Roman"/>
          <w:sz w:val="24"/>
          <w:szCs w:val="24"/>
        </w:rPr>
        <w:t xml:space="preserve"> Thus, while the prevailing regimen promises good outcomes for many, psychosocial assessment and monitoring has been a necessary part of HCV treatment.</w:t>
      </w:r>
    </w:p>
    <w:p w14:paraId="46B0FA25" w14:textId="77777777" w:rsidR="00B1077C" w:rsidRPr="00242455" w:rsidRDefault="00B1077C" w:rsidP="007C0097">
      <w:pPr>
        <w:widowControl w:val="0"/>
        <w:overflowPunct w:val="0"/>
        <w:autoSpaceDE w:val="0"/>
        <w:autoSpaceDN w:val="0"/>
        <w:spacing w:line="360" w:lineRule="auto"/>
        <w:ind w:firstLineChars="100" w:firstLine="240"/>
        <w:jc w:val="both"/>
        <w:rPr>
          <w:rFonts w:ascii="Book Antiqua" w:hAnsi="Book Antiqua" w:cs="Times New Roman"/>
          <w:sz w:val="24"/>
          <w:szCs w:val="24"/>
        </w:rPr>
      </w:pPr>
      <w:r w:rsidRPr="00242455">
        <w:rPr>
          <w:rStyle w:val="Strong"/>
          <w:rFonts w:ascii="Book Antiqua" w:hAnsi="Book Antiqua" w:cs="Times New Roman"/>
          <w:b w:val="0"/>
          <w:color w:val="000000"/>
          <w:sz w:val="24"/>
          <w:szCs w:val="24"/>
        </w:rPr>
        <w:t xml:space="preserve">Major changes </w:t>
      </w:r>
      <w:r w:rsidR="00BC5E82" w:rsidRPr="00242455">
        <w:rPr>
          <w:rStyle w:val="Strong"/>
          <w:rFonts w:ascii="Book Antiqua" w:hAnsi="Book Antiqua" w:cs="Times New Roman"/>
          <w:b w:val="0"/>
          <w:color w:val="000000"/>
          <w:sz w:val="24"/>
          <w:szCs w:val="24"/>
        </w:rPr>
        <w:t xml:space="preserve">to this clinical picture </w:t>
      </w:r>
      <w:r w:rsidRPr="00242455">
        <w:rPr>
          <w:rStyle w:val="Strong"/>
          <w:rFonts w:ascii="Book Antiqua" w:hAnsi="Book Antiqua" w:cs="Times New Roman"/>
          <w:b w:val="0"/>
          <w:color w:val="000000"/>
          <w:sz w:val="24"/>
          <w:szCs w:val="24"/>
        </w:rPr>
        <w:t xml:space="preserve">began in 2011, with approval of the first direct-acting antivirals (DAA), boceprevir and teleprevir. While these drugs </w:t>
      </w:r>
      <w:r w:rsidR="0087448E" w:rsidRPr="00242455">
        <w:rPr>
          <w:rStyle w:val="Strong"/>
          <w:rFonts w:ascii="Book Antiqua" w:hAnsi="Book Antiqua" w:cs="Times New Roman"/>
          <w:b w:val="0"/>
          <w:color w:val="000000"/>
          <w:sz w:val="24"/>
          <w:szCs w:val="24"/>
        </w:rPr>
        <w:t xml:space="preserve">greatly boosted genotype-1 success rates and </w:t>
      </w:r>
      <w:r w:rsidRPr="00242455">
        <w:rPr>
          <w:rStyle w:val="Strong"/>
          <w:rFonts w:ascii="Book Antiqua" w:hAnsi="Book Antiqua" w:cs="Times New Roman"/>
          <w:b w:val="0"/>
          <w:color w:val="000000"/>
          <w:sz w:val="24"/>
          <w:szCs w:val="24"/>
        </w:rPr>
        <w:t>shortened tre</w:t>
      </w:r>
      <w:r w:rsidR="0087448E" w:rsidRPr="00242455">
        <w:rPr>
          <w:rStyle w:val="Strong"/>
          <w:rFonts w:ascii="Book Antiqua" w:hAnsi="Book Antiqua" w:cs="Times New Roman"/>
          <w:b w:val="0"/>
          <w:color w:val="000000"/>
          <w:sz w:val="24"/>
          <w:szCs w:val="24"/>
        </w:rPr>
        <w:t>atment time by months, these successes</w:t>
      </w:r>
      <w:r w:rsidR="00AC2C1A" w:rsidRPr="00242455">
        <w:rPr>
          <w:rStyle w:val="Strong"/>
          <w:rFonts w:ascii="Book Antiqua" w:hAnsi="Book Antiqua" w:cs="Times New Roman"/>
          <w:b w:val="0"/>
          <w:color w:val="000000"/>
          <w:sz w:val="24"/>
          <w:szCs w:val="24"/>
        </w:rPr>
        <w:t xml:space="preserve"> were gained by augmenting</w:t>
      </w:r>
      <w:r w:rsidR="0087448E" w:rsidRPr="00242455">
        <w:rPr>
          <w:rStyle w:val="Strong"/>
          <w:rFonts w:ascii="Book Antiqua" w:hAnsi="Book Antiqua" w:cs="Times New Roman"/>
          <w:b w:val="0"/>
          <w:color w:val="000000"/>
          <w:sz w:val="24"/>
          <w:szCs w:val="24"/>
        </w:rPr>
        <w:t xml:space="preserve"> </w:t>
      </w:r>
      <w:r w:rsidR="00AC2C1A" w:rsidRPr="00242455">
        <w:rPr>
          <w:rStyle w:val="Strong"/>
          <w:rFonts w:ascii="Book Antiqua" w:hAnsi="Book Antiqua" w:cs="Times New Roman"/>
          <w:b w:val="0"/>
          <w:color w:val="000000"/>
          <w:sz w:val="24"/>
          <w:szCs w:val="24"/>
        </w:rPr>
        <w:t xml:space="preserve">an </w:t>
      </w:r>
      <w:r w:rsidR="0087448E" w:rsidRPr="00242455">
        <w:rPr>
          <w:rStyle w:val="Strong"/>
          <w:rFonts w:ascii="Book Antiqua" w:hAnsi="Book Antiqua" w:cs="Times New Roman"/>
          <w:b w:val="0"/>
          <w:color w:val="000000"/>
          <w:sz w:val="24"/>
          <w:szCs w:val="24"/>
        </w:rPr>
        <w:t>interferon-alpha and ribavirin</w:t>
      </w:r>
      <w:r w:rsidR="00AC2C1A" w:rsidRPr="00242455">
        <w:rPr>
          <w:rStyle w:val="Strong"/>
          <w:rFonts w:ascii="Book Antiqua" w:hAnsi="Book Antiqua" w:cs="Times New Roman"/>
          <w:b w:val="0"/>
          <w:color w:val="000000"/>
          <w:sz w:val="24"/>
          <w:szCs w:val="24"/>
        </w:rPr>
        <w:t xml:space="preserve"> regimen</w:t>
      </w:r>
      <w:r w:rsidR="00E56B70" w:rsidRPr="00242455">
        <w:rPr>
          <w:rStyle w:val="Strong"/>
          <w:rFonts w:ascii="Book Antiqua" w:hAnsi="Book Antiqua" w:cs="Times New Roman"/>
          <w:b w:val="0"/>
          <w:color w:val="000000"/>
          <w:sz w:val="24"/>
          <w:szCs w:val="24"/>
        </w:rPr>
        <w:t xml:space="preserve"> with these newer drugs</w:t>
      </w:r>
      <w:r w:rsidR="0087448E" w:rsidRPr="00242455">
        <w:rPr>
          <w:rStyle w:val="Strong"/>
          <w:rFonts w:ascii="Book Antiqua" w:hAnsi="Book Antiqua" w:cs="Times New Roman"/>
          <w:b w:val="0"/>
          <w:color w:val="000000"/>
          <w:sz w:val="24"/>
          <w:szCs w:val="24"/>
        </w:rPr>
        <w:t>.</w:t>
      </w:r>
      <w:r w:rsidR="007930A3" w:rsidRPr="00242455">
        <w:rPr>
          <w:rStyle w:val="Strong"/>
          <w:rFonts w:ascii="Book Antiqua" w:hAnsi="Book Antiqua" w:cs="Times New Roman"/>
          <w:b w:val="0"/>
          <w:color w:val="000000"/>
          <w:sz w:val="24"/>
          <w:szCs w:val="24"/>
        </w:rPr>
        <w:t xml:space="preserve"> So, p</w:t>
      </w:r>
      <w:r w:rsidR="0035026D" w:rsidRPr="00242455">
        <w:rPr>
          <w:rStyle w:val="Strong"/>
          <w:rFonts w:ascii="Book Antiqua" w:hAnsi="Book Antiqua" w:cs="Times New Roman"/>
          <w:b w:val="0"/>
          <w:color w:val="000000"/>
          <w:sz w:val="24"/>
          <w:szCs w:val="24"/>
        </w:rPr>
        <w:t>atients still faced the side effects and contraindications</w:t>
      </w:r>
      <w:r w:rsidR="007930A3" w:rsidRPr="00242455">
        <w:rPr>
          <w:rStyle w:val="Strong"/>
          <w:rFonts w:ascii="Book Antiqua" w:hAnsi="Book Antiqua" w:cs="Times New Roman"/>
          <w:b w:val="0"/>
          <w:color w:val="000000"/>
          <w:sz w:val="24"/>
          <w:szCs w:val="24"/>
        </w:rPr>
        <w:t xml:space="preserve"> associated with interferon-alpha and with ribavirin.</w:t>
      </w:r>
    </w:p>
    <w:p w14:paraId="0E79382F" w14:textId="77777777" w:rsidR="00C36A80" w:rsidRPr="00242455" w:rsidRDefault="0034652A" w:rsidP="007C0097">
      <w:pPr>
        <w:widowControl w:val="0"/>
        <w:overflowPunct w:val="0"/>
        <w:autoSpaceDE w:val="0"/>
        <w:autoSpaceDN w:val="0"/>
        <w:spacing w:line="360" w:lineRule="auto"/>
        <w:ind w:firstLineChars="100" w:firstLine="240"/>
        <w:jc w:val="both"/>
        <w:rPr>
          <w:rFonts w:ascii="Book Antiqua" w:hAnsi="Book Antiqua" w:cs="Times New Roman"/>
          <w:sz w:val="24"/>
          <w:szCs w:val="24"/>
        </w:rPr>
      </w:pPr>
      <w:r w:rsidRPr="00242455">
        <w:rPr>
          <w:rFonts w:ascii="Book Antiqua" w:hAnsi="Book Antiqua" w:cs="Times New Roman"/>
          <w:sz w:val="24"/>
          <w:szCs w:val="24"/>
        </w:rPr>
        <w:t xml:space="preserve">With the </w:t>
      </w:r>
      <w:r w:rsidR="00FA08C8" w:rsidRPr="00242455">
        <w:rPr>
          <w:rFonts w:ascii="Book Antiqua" w:hAnsi="Book Antiqua" w:cs="Times New Roman"/>
          <w:sz w:val="24"/>
          <w:szCs w:val="24"/>
        </w:rPr>
        <w:t xml:space="preserve">2014 </w:t>
      </w:r>
      <w:r w:rsidR="00A51216" w:rsidRPr="00BC4849">
        <w:rPr>
          <w:rFonts w:ascii="Book Antiqua" w:hAnsi="Book Antiqua" w:cs="Times New Roman"/>
          <w:bCs/>
          <w:color w:val="000000"/>
          <w:sz w:val="24"/>
          <w:szCs w:val="24"/>
        </w:rPr>
        <w:t>Food and Drug Administration</w:t>
      </w:r>
      <w:r w:rsidR="00A51216">
        <w:rPr>
          <w:rFonts w:ascii="Book Antiqua" w:hAnsi="Book Antiqua" w:cs="Times New Roman" w:hint="eastAsia"/>
          <w:sz w:val="24"/>
          <w:szCs w:val="24"/>
          <w:lang w:eastAsia="zh-CN"/>
        </w:rPr>
        <w:t xml:space="preserve"> (</w:t>
      </w:r>
      <w:r w:rsidRPr="00242455">
        <w:rPr>
          <w:rFonts w:ascii="Book Antiqua" w:hAnsi="Book Antiqua" w:cs="Times New Roman"/>
          <w:sz w:val="24"/>
          <w:szCs w:val="24"/>
        </w:rPr>
        <w:t>FDA</w:t>
      </w:r>
      <w:r w:rsidR="00A51216">
        <w:rPr>
          <w:rFonts w:ascii="Book Antiqua" w:hAnsi="Book Antiqua" w:cs="Times New Roman" w:hint="eastAsia"/>
          <w:sz w:val="24"/>
          <w:szCs w:val="24"/>
          <w:lang w:eastAsia="zh-CN"/>
        </w:rPr>
        <w:t>)</w:t>
      </w:r>
      <w:r w:rsidRPr="00242455">
        <w:rPr>
          <w:rFonts w:ascii="Book Antiqua" w:hAnsi="Book Antiqua" w:cs="Times New Roman"/>
          <w:sz w:val="24"/>
          <w:szCs w:val="24"/>
        </w:rPr>
        <w:t xml:space="preserve"> approval</w:t>
      </w:r>
      <w:r w:rsidR="00FA08C8" w:rsidRPr="00242455">
        <w:rPr>
          <w:rFonts w:ascii="Book Antiqua" w:hAnsi="Book Antiqua" w:cs="Times New Roman"/>
          <w:sz w:val="24"/>
          <w:szCs w:val="24"/>
        </w:rPr>
        <w:t>s</w:t>
      </w:r>
      <w:r w:rsidRPr="00242455">
        <w:rPr>
          <w:rFonts w:ascii="Book Antiqua" w:hAnsi="Book Antiqua" w:cs="Times New Roman"/>
          <w:sz w:val="24"/>
          <w:szCs w:val="24"/>
        </w:rPr>
        <w:t xml:space="preserve"> of the ledipasvir/sofosbuvir </w:t>
      </w:r>
      <w:r w:rsidR="001E6EE4" w:rsidRPr="00242455">
        <w:rPr>
          <w:rFonts w:ascii="Book Antiqua" w:hAnsi="Book Antiqua" w:cs="Times New Roman"/>
          <w:sz w:val="24"/>
          <w:szCs w:val="24"/>
        </w:rPr>
        <w:t xml:space="preserve">“Harvoni” </w:t>
      </w:r>
      <w:r w:rsidRPr="00242455">
        <w:rPr>
          <w:rFonts w:ascii="Book Antiqua" w:hAnsi="Book Antiqua" w:cs="Times New Roman"/>
          <w:sz w:val="24"/>
          <w:szCs w:val="24"/>
        </w:rPr>
        <w:t>regimen and the</w:t>
      </w:r>
      <w:r w:rsidR="00086B66" w:rsidRPr="00242455">
        <w:rPr>
          <w:rFonts w:ascii="Book Antiqua" w:hAnsi="Book Antiqua" w:cs="Times New Roman"/>
          <w:sz w:val="24"/>
          <w:szCs w:val="24"/>
        </w:rPr>
        <w:t xml:space="preserve"> ombitasvir/paritaprevir/ritonavir and dasabuvir</w:t>
      </w:r>
      <w:r w:rsidRPr="00242455">
        <w:rPr>
          <w:rFonts w:ascii="Book Antiqua" w:hAnsi="Book Antiqua" w:cs="Times New Roman"/>
          <w:sz w:val="24"/>
          <w:szCs w:val="24"/>
        </w:rPr>
        <w:t xml:space="preserve"> </w:t>
      </w:r>
      <w:r w:rsidR="00086B66" w:rsidRPr="00242455">
        <w:rPr>
          <w:rFonts w:ascii="Book Antiqua" w:hAnsi="Book Antiqua" w:cs="Times New Roman"/>
          <w:sz w:val="24"/>
          <w:szCs w:val="24"/>
        </w:rPr>
        <w:t xml:space="preserve">“Veikira Pak” </w:t>
      </w:r>
      <w:r w:rsidR="001E6EE4" w:rsidRPr="00242455">
        <w:rPr>
          <w:rFonts w:ascii="Book Antiqua" w:hAnsi="Book Antiqua" w:cs="Times New Roman"/>
          <w:sz w:val="24"/>
          <w:szCs w:val="24"/>
        </w:rPr>
        <w:t xml:space="preserve">regimen, and </w:t>
      </w:r>
      <w:r w:rsidR="00707A1E" w:rsidRPr="00242455">
        <w:rPr>
          <w:rFonts w:ascii="Book Antiqua" w:hAnsi="Book Antiqua" w:cs="Times New Roman"/>
          <w:sz w:val="24"/>
          <w:szCs w:val="24"/>
        </w:rPr>
        <w:t xml:space="preserve">with </w:t>
      </w:r>
      <w:r w:rsidR="0035026D" w:rsidRPr="00242455">
        <w:rPr>
          <w:rFonts w:ascii="Book Antiqua" w:hAnsi="Book Antiqua" w:cs="Times New Roman"/>
          <w:sz w:val="24"/>
          <w:szCs w:val="24"/>
        </w:rPr>
        <w:t>more regimens under development</w:t>
      </w:r>
      <w:r w:rsidR="001E6EE4" w:rsidRPr="00242455">
        <w:rPr>
          <w:rFonts w:ascii="Book Antiqua" w:hAnsi="Book Antiqua" w:cs="Times New Roman"/>
          <w:sz w:val="24"/>
          <w:szCs w:val="24"/>
        </w:rPr>
        <w:t>, w</w:t>
      </w:r>
      <w:r w:rsidRPr="00242455">
        <w:rPr>
          <w:rFonts w:ascii="Book Antiqua" w:hAnsi="Book Antiqua" w:cs="Times New Roman"/>
          <w:sz w:val="24"/>
          <w:szCs w:val="24"/>
        </w:rPr>
        <w:t xml:space="preserve">e may now be in the era </w:t>
      </w:r>
      <w:r w:rsidR="00707A1E" w:rsidRPr="00242455">
        <w:rPr>
          <w:rFonts w:ascii="Book Antiqua" w:hAnsi="Book Antiqua" w:cs="Times New Roman"/>
          <w:sz w:val="24"/>
          <w:szCs w:val="24"/>
        </w:rPr>
        <w:t>of all-pill regimens for HCV</w:t>
      </w:r>
      <w:r w:rsidR="0035026D" w:rsidRPr="00242455">
        <w:rPr>
          <w:rFonts w:ascii="Book Antiqua" w:hAnsi="Book Antiqua" w:cs="Times New Roman"/>
          <w:sz w:val="24"/>
          <w:szCs w:val="24"/>
        </w:rPr>
        <w:t xml:space="preserve">. </w:t>
      </w:r>
      <w:r w:rsidR="001E6EE4" w:rsidRPr="00242455">
        <w:rPr>
          <w:rFonts w:ascii="Book Antiqua" w:hAnsi="Book Antiqua" w:cs="Times New Roman"/>
          <w:sz w:val="24"/>
          <w:szCs w:val="24"/>
        </w:rPr>
        <w:t>Compared to the prevailing standard of interferon-alpha-plus-ribavirin regimen that has prevailed since the 1990s, this advancement in HCV treatment is r</w:t>
      </w:r>
      <w:r w:rsidR="00E56B70" w:rsidRPr="00242455">
        <w:rPr>
          <w:rFonts w:ascii="Book Antiqua" w:hAnsi="Book Antiqua" w:cs="Times New Roman"/>
          <w:sz w:val="24"/>
          <w:szCs w:val="24"/>
        </w:rPr>
        <w:t>evolutionary for a few reasons: t</w:t>
      </w:r>
      <w:r w:rsidR="00682B96" w:rsidRPr="00242455">
        <w:rPr>
          <w:rFonts w:ascii="Book Antiqua" w:hAnsi="Book Antiqua" w:cs="Times New Roman"/>
          <w:sz w:val="24"/>
          <w:szCs w:val="24"/>
        </w:rPr>
        <w:t>hese new regimens</w:t>
      </w:r>
      <w:r w:rsidR="001E6EE4" w:rsidRPr="00242455">
        <w:rPr>
          <w:rFonts w:ascii="Book Antiqua" w:hAnsi="Book Antiqua" w:cs="Times New Roman"/>
          <w:sz w:val="24"/>
          <w:szCs w:val="24"/>
        </w:rPr>
        <w:t xml:space="preserve"> </w:t>
      </w:r>
      <w:r w:rsidR="00682B96" w:rsidRPr="00242455">
        <w:rPr>
          <w:rFonts w:ascii="Book Antiqua" w:hAnsi="Book Antiqua" w:cs="Times New Roman"/>
          <w:sz w:val="24"/>
          <w:szCs w:val="24"/>
        </w:rPr>
        <w:t xml:space="preserve">have </w:t>
      </w:r>
      <w:r w:rsidR="001E6EE4" w:rsidRPr="00242455">
        <w:rPr>
          <w:rFonts w:ascii="Book Antiqua" w:hAnsi="Book Antiqua" w:cs="Times New Roman"/>
          <w:sz w:val="24"/>
          <w:szCs w:val="24"/>
        </w:rPr>
        <w:t>superior efficacy</w:t>
      </w:r>
      <w:r w:rsidR="00E56B70" w:rsidRPr="00242455">
        <w:rPr>
          <w:rFonts w:ascii="Book Antiqua" w:hAnsi="Book Antiqua" w:cs="Times New Roman"/>
          <w:sz w:val="24"/>
          <w:szCs w:val="24"/>
        </w:rPr>
        <w:t xml:space="preserve"> across genotypes;</w:t>
      </w:r>
      <w:r w:rsidR="00682B96" w:rsidRPr="00242455">
        <w:rPr>
          <w:rFonts w:ascii="Book Antiqua" w:hAnsi="Book Antiqua" w:cs="Times New Roman"/>
          <w:sz w:val="24"/>
          <w:szCs w:val="24"/>
        </w:rPr>
        <w:t xml:space="preserve"> the</w:t>
      </w:r>
      <w:r w:rsidR="001E6EE4" w:rsidRPr="00242455">
        <w:rPr>
          <w:rFonts w:ascii="Book Antiqua" w:hAnsi="Book Antiqua" w:cs="Times New Roman"/>
          <w:sz w:val="24"/>
          <w:szCs w:val="24"/>
        </w:rPr>
        <w:t xml:space="preserve"> treatment timeline</w:t>
      </w:r>
      <w:r w:rsidR="00682B96" w:rsidRPr="00242455">
        <w:rPr>
          <w:rFonts w:ascii="Book Antiqua" w:hAnsi="Book Antiqua" w:cs="Times New Roman"/>
          <w:sz w:val="24"/>
          <w:szCs w:val="24"/>
        </w:rPr>
        <w:t xml:space="preserve"> is </w:t>
      </w:r>
      <w:r w:rsidR="0035026D" w:rsidRPr="00242455">
        <w:rPr>
          <w:rFonts w:ascii="Book Antiqua" w:hAnsi="Book Antiqua" w:cs="Times New Roman"/>
          <w:sz w:val="24"/>
          <w:szCs w:val="24"/>
        </w:rPr>
        <w:t>relatively</w:t>
      </w:r>
      <w:r w:rsidR="00682B96" w:rsidRPr="00242455">
        <w:rPr>
          <w:rFonts w:ascii="Book Antiqua" w:hAnsi="Book Antiqua" w:cs="Times New Roman"/>
          <w:sz w:val="24"/>
          <w:szCs w:val="24"/>
        </w:rPr>
        <w:t xml:space="preserve"> brief</w:t>
      </w:r>
      <w:r w:rsidR="00E56B70" w:rsidRPr="00242455">
        <w:rPr>
          <w:rFonts w:ascii="Book Antiqua" w:hAnsi="Book Antiqua" w:cs="Times New Roman"/>
          <w:sz w:val="24"/>
          <w:szCs w:val="24"/>
        </w:rPr>
        <w:t>;</w:t>
      </w:r>
      <w:r w:rsidR="001E6EE4" w:rsidRPr="00242455">
        <w:rPr>
          <w:rFonts w:ascii="Book Antiqua" w:hAnsi="Book Antiqua" w:cs="Times New Roman"/>
          <w:sz w:val="24"/>
          <w:szCs w:val="24"/>
        </w:rPr>
        <w:t xml:space="preserve"> and </w:t>
      </w:r>
      <w:r w:rsidR="00682B96" w:rsidRPr="00242455">
        <w:rPr>
          <w:rFonts w:ascii="Book Antiqua" w:hAnsi="Book Antiqua" w:cs="Times New Roman"/>
          <w:sz w:val="24"/>
          <w:szCs w:val="24"/>
        </w:rPr>
        <w:t xml:space="preserve">patients no longer need to </w:t>
      </w:r>
      <w:r w:rsidR="0035026D" w:rsidRPr="00242455">
        <w:rPr>
          <w:rFonts w:ascii="Book Antiqua" w:hAnsi="Book Antiqua" w:cs="Times New Roman"/>
          <w:sz w:val="24"/>
          <w:szCs w:val="24"/>
        </w:rPr>
        <w:t>self-administer</w:t>
      </w:r>
      <w:r w:rsidR="00682B96" w:rsidRPr="00242455">
        <w:rPr>
          <w:rFonts w:ascii="Book Antiqua" w:hAnsi="Book Antiqua" w:cs="Times New Roman"/>
          <w:sz w:val="24"/>
          <w:szCs w:val="24"/>
        </w:rPr>
        <w:t xml:space="preserve"> a medication by injection</w:t>
      </w:r>
      <w:r w:rsidR="00707A1E" w:rsidRPr="00242455">
        <w:rPr>
          <w:rFonts w:ascii="Book Antiqua" w:hAnsi="Book Antiqua" w:cs="Times New Roman"/>
          <w:sz w:val="24"/>
          <w:szCs w:val="24"/>
        </w:rPr>
        <w:t>. Also, a further advancement</w:t>
      </w:r>
      <w:r w:rsidR="001E6EE4" w:rsidRPr="00242455">
        <w:rPr>
          <w:rFonts w:ascii="Book Antiqua" w:hAnsi="Book Antiqua" w:cs="Times New Roman"/>
          <w:sz w:val="24"/>
          <w:szCs w:val="24"/>
        </w:rPr>
        <w:t xml:space="preserve"> </w:t>
      </w:r>
      <w:r w:rsidR="00707A1E" w:rsidRPr="00242455">
        <w:rPr>
          <w:rFonts w:ascii="Book Antiqua" w:hAnsi="Book Antiqua" w:cs="Times New Roman"/>
          <w:sz w:val="24"/>
          <w:szCs w:val="24"/>
        </w:rPr>
        <w:t xml:space="preserve">seems to be the favorable </w:t>
      </w:r>
      <w:r w:rsidR="0035026D" w:rsidRPr="00242455">
        <w:rPr>
          <w:rFonts w:ascii="Book Antiqua" w:hAnsi="Book Antiqua" w:cs="Times New Roman"/>
          <w:sz w:val="24"/>
          <w:szCs w:val="24"/>
        </w:rPr>
        <w:t>side effect profile.</w:t>
      </w:r>
    </w:p>
    <w:p w14:paraId="5B6D1546" w14:textId="77777777" w:rsidR="00DF2809" w:rsidRDefault="005D113D" w:rsidP="007C0097">
      <w:pPr>
        <w:widowControl w:val="0"/>
        <w:overflowPunct w:val="0"/>
        <w:autoSpaceDE w:val="0"/>
        <w:autoSpaceDN w:val="0"/>
        <w:spacing w:line="360" w:lineRule="auto"/>
        <w:ind w:firstLineChars="200" w:firstLine="480"/>
        <w:jc w:val="both"/>
        <w:rPr>
          <w:rFonts w:ascii="Book Antiqua" w:hAnsi="Book Antiqua" w:cs="Times New Roman"/>
          <w:sz w:val="24"/>
          <w:szCs w:val="24"/>
          <w:lang w:eastAsia="zh-CN"/>
        </w:rPr>
      </w:pPr>
      <w:r w:rsidRPr="00242455">
        <w:rPr>
          <w:rFonts w:ascii="Book Antiqua" w:hAnsi="Book Antiqua" w:cs="Times New Roman"/>
          <w:sz w:val="24"/>
          <w:szCs w:val="24"/>
        </w:rPr>
        <w:t>C</w:t>
      </w:r>
      <w:r w:rsidR="00801626" w:rsidRPr="00242455">
        <w:rPr>
          <w:rFonts w:ascii="Book Antiqua" w:hAnsi="Book Antiqua" w:cs="Times New Roman"/>
          <w:sz w:val="24"/>
          <w:szCs w:val="24"/>
        </w:rPr>
        <w:t xml:space="preserve">linics </w:t>
      </w:r>
      <w:r w:rsidRPr="00242455">
        <w:rPr>
          <w:rFonts w:ascii="Book Antiqua" w:hAnsi="Book Antiqua" w:cs="Times New Roman"/>
          <w:sz w:val="24"/>
          <w:szCs w:val="24"/>
        </w:rPr>
        <w:t xml:space="preserve">treating HCV </w:t>
      </w:r>
      <w:r w:rsidR="007930A3" w:rsidRPr="00242455">
        <w:rPr>
          <w:rFonts w:ascii="Book Antiqua" w:hAnsi="Book Antiqua" w:cs="Times New Roman"/>
          <w:sz w:val="24"/>
          <w:szCs w:val="24"/>
        </w:rPr>
        <w:t xml:space="preserve">patients </w:t>
      </w:r>
      <w:r w:rsidRPr="00242455">
        <w:rPr>
          <w:rFonts w:ascii="Book Antiqua" w:hAnsi="Book Antiqua" w:cs="Times New Roman"/>
          <w:sz w:val="24"/>
          <w:szCs w:val="24"/>
        </w:rPr>
        <w:t xml:space="preserve">have had to </w:t>
      </w:r>
      <w:r w:rsidR="00801626" w:rsidRPr="00242455">
        <w:rPr>
          <w:rFonts w:ascii="Book Antiqua" w:hAnsi="Book Antiqua" w:cs="Times New Roman"/>
          <w:sz w:val="24"/>
          <w:szCs w:val="24"/>
        </w:rPr>
        <w:t>deve</w:t>
      </w:r>
      <w:r w:rsidRPr="00242455">
        <w:rPr>
          <w:rFonts w:ascii="Book Antiqua" w:hAnsi="Book Antiqua" w:cs="Times New Roman"/>
          <w:sz w:val="24"/>
          <w:szCs w:val="24"/>
        </w:rPr>
        <w:t>lop the capacity to provide the noted psychosocial</w:t>
      </w:r>
      <w:r w:rsidR="00801626" w:rsidRPr="00242455">
        <w:rPr>
          <w:rFonts w:ascii="Book Antiqua" w:hAnsi="Book Antiqua" w:cs="Times New Roman"/>
          <w:sz w:val="24"/>
          <w:szCs w:val="24"/>
        </w:rPr>
        <w:t xml:space="preserve"> </w:t>
      </w:r>
      <w:r w:rsidR="007930A3" w:rsidRPr="00242455">
        <w:rPr>
          <w:rFonts w:ascii="Book Antiqua" w:hAnsi="Book Antiqua" w:cs="Times New Roman"/>
          <w:sz w:val="24"/>
          <w:szCs w:val="24"/>
        </w:rPr>
        <w:t xml:space="preserve">assessment and </w:t>
      </w:r>
      <w:r w:rsidR="00801626" w:rsidRPr="00242455">
        <w:rPr>
          <w:rFonts w:ascii="Book Antiqua" w:hAnsi="Book Antiqua" w:cs="Times New Roman"/>
          <w:sz w:val="24"/>
          <w:szCs w:val="24"/>
        </w:rPr>
        <w:t>monitoring. With the advent of these new regimens, it is worth review</w:t>
      </w:r>
      <w:r w:rsidRPr="00242455">
        <w:rPr>
          <w:rFonts w:ascii="Book Antiqua" w:hAnsi="Book Antiqua" w:cs="Times New Roman"/>
          <w:sz w:val="24"/>
          <w:szCs w:val="24"/>
        </w:rPr>
        <w:t>ing their</w:t>
      </w:r>
      <w:r w:rsidR="00801626" w:rsidRPr="00242455">
        <w:rPr>
          <w:rFonts w:ascii="Book Antiqua" w:hAnsi="Book Antiqua" w:cs="Times New Roman"/>
          <w:sz w:val="24"/>
          <w:szCs w:val="24"/>
        </w:rPr>
        <w:t xml:space="preserve"> side effect profiles to consider the degree that psychosocial assessment and monitoring will continue to be part of HCV treatment.</w:t>
      </w:r>
      <w:r w:rsidR="00465B8E" w:rsidRPr="00242455">
        <w:rPr>
          <w:rFonts w:ascii="Book Antiqua" w:hAnsi="Book Antiqua" w:cs="Times New Roman"/>
          <w:sz w:val="24"/>
          <w:szCs w:val="24"/>
        </w:rPr>
        <w:t xml:space="preserve"> This requires examining how lengthy and complex any regimen is,</w:t>
      </w:r>
      <w:r w:rsidR="007B48DF" w:rsidRPr="00242455">
        <w:rPr>
          <w:rFonts w:ascii="Book Antiqua" w:hAnsi="Book Antiqua" w:cs="Times New Roman"/>
          <w:sz w:val="24"/>
          <w:szCs w:val="24"/>
        </w:rPr>
        <w:t xml:space="preserve"> the rates of discontinuation,</w:t>
      </w:r>
      <w:r w:rsidR="00465B8E" w:rsidRPr="00242455">
        <w:rPr>
          <w:rFonts w:ascii="Book Antiqua" w:hAnsi="Book Antiqua" w:cs="Times New Roman"/>
          <w:sz w:val="24"/>
          <w:szCs w:val="24"/>
        </w:rPr>
        <w:t xml:space="preserve"> the degree of psychiatric adverse events experienced by study enrollees</w:t>
      </w:r>
      <w:r w:rsidR="007B48DF" w:rsidRPr="00242455">
        <w:rPr>
          <w:rFonts w:ascii="Book Antiqua" w:hAnsi="Book Antiqua" w:cs="Times New Roman"/>
          <w:sz w:val="24"/>
          <w:szCs w:val="24"/>
        </w:rPr>
        <w:t>,</w:t>
      </w:r>
      <w:r w:rsidR="00465B8E" w:rsidRPr="00242455">
        <w:rPr>
          <w:rFonts w:ascii="Book Antiqua" w:hAnsi="Book Antiqua" w:cs="Times New Roman"/>
          <w:sz w:val="24"/>
          <w:szCs w:val="24"/>
        </w:rPr>
        <w:t xml:space="preserve"> </w:t>
      </w:r>
      <w:r w:rsidR="007B48DF" w:rsidRPr="00242455">
        <w:rPr>
          <w:rFonts w:ascii="Book Antiqua" w:hAnsi="Book Antiqua" w:cs="Times New Roman"/>
          <w:sz w:val="24"/>
          <w:szCs w:val="24"/>
        </w:rPr>
        <w:t xml:space="preserve">and </w:t>
      </w:r>
      <w:r w:rsidR="00465B8E" w:rsidRPr="00242455">
        <w:rPr>
          <w:rFonts w:ascii="Book Antiqua" w:hAnsi="Book Antiqua" w:cs="Times New Roman"/>
          <w:sz w:val="24"/>
          <w:szCs w:val="24"/>
        </w:rPr>
        <w:t>whether any regimen medications have any psychosocial contraindications (</w:t>
      </w:r>
      <w:r w:rsidR="00465B8E" w:rsidRPr="00557FCF">
        <w:rPr>
          <w:rFonts w:ascii="Book Antiqua" w:hAnsi="Book Antiqua" w:cs="Times New Roman"/>
          <w:i/>
          <w:sz w:val="24"/>
          <w:szCs w:val="24"/>
        </w:rPr>
        <w:t>e.g.</w:t>
      </w:r>
      <w:r w:rsidR="00465B8E" w:rsidRPr="00242455">
        <w:rPr>
          <w:rFonts w:ascii="Book Antiqua" w:hAnsi="Book Antiqua" w:cs="Times New Roman"/>
          <w:sz w:val="24"/>
          <w:szCs w:val="24"/>
        </w:rPr>
        <w:t>, homelessness, risk of pregnancy).</w:t>
      </w:r>
      <w:r w:rsidR="00CB59E2" w:rsidRPr="00242455">
        <w:rPr>
          <w:rFonts w:ascii="Book Antiqua" w:hAnsi="Book Antiqua" w:cs="Times New Roman"/>
          <w:sz w:val="24"/>
          <w:szCs w:val="24"/>
        </w:rPr>
        <w:t xml:space="preserve"> This review draws upon previously published data, and no original data, so no institutional review board approval was needed, and no consenting o</w:t>
      </w:r>
      <w:r w:rsidR="00433D7E" w:rsidRPr="00242455">
        <w:rPr>
          <w:rFonts w:ascii="Book Antiqua" w:hAnsi="Book Antiqua" w:cs="Times New Roman"/>
          <w:sz w:val="24"/>
          <w:szCs w:val="24"/>
        </w:rPr>
        <w:t>f any participants was required;</w:t>
      </w:r>
      <w:r w:rsidR="000B595F" w:rsidRPr="00242455">
        <w:rPr>
          <w:rFonts w:ascii="Book Antiqua" w:hAnsi="Book Antiqua" w:cs="Times New Roman"/>
          <w:sz w:val="24"/>
          <w:szCs w:val="24"/>
        </w:rPr>
        <w:t xml:space="preserve"> it is also noted that the authors have</w:t>
      </w:r>
      <w:r w:rsidR="00433D7E" w:rsidRPr="00242455">
        <w:rPr>
          <w:rFonts w:ascii="Book Antiqua" w:hAnsi="Book Antiqua" w:cs="Times New Roman"/>
          <w:sz w:val="24"/>
          <w:szCs w:val="24"/>
        </w:rPr>
        <w:t xml:space="preserve"> no conflict</w:t>
      </w:r>
      <w:r w:rsidR="000B595F" w:rsidRPr="00242455">
        <w:rPr>
          <w:rFonts w:ascii="Book Antiqua" w:hAnsi="Book Antiqua" w:cs="Times New Roman"/>
          <w:sz w:val="24"/>
          <w:szCs w:val="24"/>
        </w:rPr>
        <w:t>s</w:t>
      </w:r>
      <w:r w:rsidR="00433D7E" w:rsidRPr="00242455">
        <w:rPr>
          <w:rFonts w:ascii="Book Antiqua" w:hAnsi="Book Antiqua" w:cs="Times New Roman"/>
          <w:sz w:val="24"/>
          <w:szCs w:val="24"/>
        </w:rPr>
        <w:t xml:space="preserve"> of interest.</w:t>
      </w:r>
    </w:p>
    <w:p w14:paraId="02D61319" w14:textId="77777777" w:rsidR="00F36D68" w:rsidRPr="00242455" w:rsidRDefault="00F36D68" w:rsidP="007C0097">
      <w:pPr>
        <w:widowControl w:val="0"/>
        <w:overflowPunct w:val="0"/>
        <w:autoSpaceDE w:val="0"/>
        <w:autoSpaceDN w:val="0"/>
        <w:spacing w:line="360" w:lineRule="auto"/>
        <w:ind w:firstLineChars="100" w:firstLine="240"/>
        <w:jc w:val="both"/>
        <w:rPr>
          <w:rFonts w:ascii="Book Antiqua" w:hAnsi="Book Antiqua" w:cs="Times New Roman"/>
          <w:sz w:val="24"/>
          <w:szCs w:val="24"/>
          <w:lang w:eastAsia="zh-CN"/>
        </w:rPr>
      </w:pPr>
    </w:p>
    <w:p w14:paraId="69A75270" w14:textId="77777777" w:rsidR="00AF13DE" w:rsidRPr="00F36D68" w:rsidRDefault="0035026D" w:rsidP="007C0097">
      <w:pPr>
        <w:widowControl w:val="0"/>
        <w:overflowPunct w:val="0"/>
        <w:autoSpaceDE w:val="0"/>
        <w:autoSpaceDN w:val="0"/>
        <w:spacing w:line="360" w:lineRule="auto"/>
        <w:contextualSpacing/>
        <w:jc w:val="both"/>
        <w:rPr>
          <w:rFonts w:ascii="Book Antiqua" w:hAnsi="Book Antiqua" w:cs="Times New Roman"/>
          <w:b/>
          <w:bCs/>
          <w:i/>
          <w:color w:val="000000"/>
          <w:sz w:val="24"/>
          <w:szCs w:val="24"/>
        </w:rPr>
      </w:pPr>
      <w:r w:rsidRPr="00F36D68">
        <w:rPr>
          <w:rFonts w:ascii="Book Antiqua" w:hAnsi="Book Antiqua" w:cs="Times New Roman"/>
          <w:b/>
          <w:bCs/>
          <w:i/>
          <w:color w:val="000000"/>
          <w:sz w:val="24"/>
          <w:szCs w:val="24"/>
        </w:rPr>
        <w:t>L</w:t>
      </w:r>
      <w:r w:rsidR="00F36D68" w:rsidRPr="00F36D68">
        <w:rPr>
          <w:rFonts w:ascii="Book Antiqua" w:hAnsi="Book Antiqua" w:cs="Times New Roman"/>
          <w:b/>
          <w:bCs/>
          <w:i/>
          <w:color w:val="000000"/>
          <w:sz w:val="24"/>
          <w:szCs w:val="24"/>
        </w:rPr>
        <w:t>edipasvir-sofosbuvir regimen</w:t>
      </w:r>
      <w:r w:rsidR="00DF2809" w:rsidRPr="00F36D68">
        <w:rPr>
          <w:rFonts w:ascii="Book Antiqua" w:hAnsi="Book Antiqua" w:cs="Times New Roman"/>
          <w:b/>
          <w:bCs/>
          <w:i/>
          <w:color w:val="000000"/>
          <w:sz w:val="24"/>
          <w:szCs w:val="24"/>
        </w:rPr>
        <w:t>: Psychosocial</w:t>
      </w:r>
      <w:r w:rsidR="00F36D68" w:rsidRPr="00F36D68">
        <w:rPr>
          <w:rFonts w:ascii="Book Antiqua" w:hAnsi="Book Antiqua" w:cs="Times New Roman"/>
          <w:b/>
          <w:bCs/>
          <w:i/>
          <w:color w:val="000000"/>
          <w:sz w:val="24"/>
          <w:szCs w:val="24"/>
        </w:rPr>
        <w:t xml:space="preserve"> a</w:t>
      </w:r>
      <w:r w:rsidR="00DF2809" w:rsidRPr="00F36D68">
        <w:rPr>
          <w:rFonts w:ascii="Book Antiqua" w:hAnsi="Book Antiqua" w:cs="Times New Roman"/>
          <w:b/>
          <w:bCs/>
          <w:i/>
          <w:color w:val="000000"/>
          <w:sz w:val="24"/>
          <w:szCs w:val="24"/>
        </w:rPr>
        <w:t>spects</w:t>
      </w:r>
    </w:p>
    <w:p w14:paraId="531280E9" w14:textId="77777777" w:rsidR="00F93E86" w:rsidRPr="00242455" w:rsidRDefault="005C372F" w:rsidP="007C0097">
      <w:pPr>
        <w:widowControl w:val="0"/>
        <w:overflowPunct w:val="0"/>
        <w:autoSpaceDE w:val="0"/>
        <w:autoSpaceDN w:val="0"/>
        <w:spacing w:line="360" w:lineRule="auto"/>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 xml:space="preserve">The </w:t>
      </w:r>
      <w:r w:rsidR="000F423C" w:rsidRPr="00242455">
        <w:rPr>
          <w:rFonts w:ascii="Book Antiqua" w:hAnsi="Book Antiqua" w:cs="Times New Roman"/>
          <w:bCs/>
          <w:color w:val="000000"/>
          <w:sz w:val="24"/>
          <w:szCs w:val="24"/>
        </w:rPr>
        <w:t>l</w:t>
      </w:r>
      <w:r w:rsidR="00AF13DE" w:rsidRPr="00242455">
        <w:rPr>
          <w:rFonts w:ascii="Book Antiqua" w:hAnsi="Book Antiqua" w:cs="Times New Roman"/>
          <w:bCs/>
          <w:color w:val="000000"/>
          <w:sz w:val="24"/>
          <w:szCs w:val="24"/>
        </w:rPr>
        <w:t xml:space="preserve">edipasvir-sofosbuvir </w:t>
      </w:r>
      <w:r w:rsidRPr="00242455">
        <w:rPr>
          <w:rFonts w:ascii="Book Antiqua" w:hAnsi="Book Antiqua" w:cs="Times New Roman"/>
          <w:bCs/>
          <w:color w:val="000000"/>
          <w:sz w:val="24"/>
          <w:szCs w:val="24"/>
        </w:rPr>
        <w:t xml:space="preserve">regimen, </w:t>
      </w:r>
      <w:r w:rsidR="00AF13DE" w:rsidRPr="00242455">
        <w:rPr>
          <w:rFonts w:ascii="Book Antiqua" w:hAnsi="Book Antiqua" w:cs="Times New Roman"/>
          <w:bCs/>
          <w:color w:val="000000"/>
          <w:sz w:val="24"/>
          <w:szCs w:val="24"/>
        </w:rPr>
        <w:t xml:space="preserve">commercially available as Harvoni®, </w:t>
      </w:r>
      <w:r w:rsidRPr="00242455">
        <w:rPr>
          <w:rFonts w:ascii="Book Antiqua" w:hAnsi="Book Antiqua" w:cs="Times New Roman"/>
          <w:bCs/>
          <w:color w:val="000000"/>
          <w:sz w:val="24"/>
          <w:szCs w:val="24"/>
        </w:rPr>
        <w:t>r</w:t>
      </w:r>
      <w:r w:rsidR="000F423C" w:rsidRPr="00242455">
        <w:rPr>
          <w:rFonts w:ascii="Book Antiqua" w:hAnsi="Book Antiqua" w:cs="Times New Roman"/>
          <w:bCs/>
          <w:color w:val="000000"/>
          <w:sz w:val="24"/>
          <w:szCs w:val="24"/>
        </w:rPr>
        <w:t xml:space="preserve">eceived FDA </w:t>
      </w:r>
      <w:r w:rsidR="000F423C" w:rsidRPr="00242455">
        <w:rPr>
          <w:rFonts w:ascii="Book Antiqua" w:hAnsi="Book Antiqua" w:cs="Times New Roman"/>
          <w:bCs/>
          <w:color w:val="000000"/>
          <w:sz w:val="24"/>
          <w:szCs w:val="24"/>
        </w:rPr>
        <w:lastRenderedPageBreak/>
        <w:t>approval on October 10, 2014</w:t>
      </w:r>
      <w:r w:rsidRPr="00242455">
        <w:rPr>
          <w:rFonts w:ascii="Book Antiqua" w:hAnsi="Book Antiqua" w:cs="Times New Roman"/>
          <w:bCs/>
          <w:color w:val="000000"/>
          <w:sz w:val="24"/>
          <w:szCs w:val="24"/>
        </w:rPr>
        <w:t>.</w:t>
      </w:r>
      <w:r w:rsidR="007269F4">
        <w:rPr>
          <w:rFonts w:ascii="Book Antiqua" w:hAnsi="Book Antiqua" w:cs="Times New Roman"/>
          <w:bCs/>
          <w:color w:val="000000"/>
          <w:sz w:val="24"/>
          <w:szCs w:val="24"/>
        </w:rPr>
        <w:t xml:space="preserve"> The ION series of studies</w:t>
      </w:r>
      <w:r w:rsidR="00782B84" w:rsidRPr="00242455">
        <w:rPr>
          <w:rFonts w:ascii="Book Antiqua" w:hAnsi="Book Antiqua" w:cs="Times New Roman"/>
          <w:bCs/>
          <w:color w:val="000000"/>
          <w:sz w:val="24"/>
          <w:szCs w:val="24"/>
          <w:vertAlign w:val="superscript"/>
        </w:rPr>
        <w:t>[11</w:t>
      </w:r>
      <w:r w:rsidR="00D25E3D" w:rsidRPr="00242455">
        <w:rPr>
          <w:rFonts w:ascii="Book Antiqua" w:hAnsi="Book Antiqua" w:cs="Times New Roman"/>
          <w:bCs/>
          <w:color w:val="000000"/>
          <w:sz w:val="24"/>
          <w:szCs w:val="24"/>
          <w:vertAlign w:val="superscript"/>
        </w:rPr>
        <w:t>]</w:t>
      </w:r>
      <w:r w:rsidR="00D25E3D" w:rsidRPr="00242455">
        <w:rPr>
          <w:rFonts w:ascii="Book Antiqua" w:hAnsi="Book Antiqua" w:cs="Times New Roman"/>
          <w:bCs/>
          <w:color w:val="000000"/>
          <w:sz w:val="24"/>
          <w:szCs w:val="24"/>
        </w:rPr>
        <w:t xml:space="preserve"> </w:t>
      </w:r>
      <w:r w:rsidR="00465B8E" w:rsidRPr="00242455">
        <w:rPr>
          <w:rFonts w:ascii="Book Antiqua" w:hAnsi="Book Antiqua" w:cs="Times New Roman"/>
          <w:bCs/>
          <w:color w:val="000000"/>
          <w:sz w:val="24"/>
          <w:szCs w:val="24"/>
        </w:rPr>
        <w:t xml:space="preserve">established safety and efficacy for this regimen. </w:t>
      </w:r>
      <w:r w:rsidR="007B48DF" w:rsidRPr="00242455">
        <w:rPr>
          <w:rFonts w:ascii="Book Antiqua" w:hAnsi="Book Antiqua" w:cs="Times New Roman"/>
          <w:bCs/>
          <w:color w:val="000000"/>
          <w:sz w:val="24"/>
          <w:szCs w:val="24"/>
        </w:rPr>
        <w:t>ION-1 allowed individuals with mental illness to enroll, as long as the condition had been well-</w:t>
      </w:r>
      <w:r w:rsidR="003A46E1" w:rsidRPr="00242455">
        <w:rPr>
          <w:rFonts w:ascii="Book Antiqua" w:hAnsi="Book Antiqua" w:cs="Times New Roman"/>
          <w:bCs/>
          <w:color w:val="000000"/>
          <w:sz w:val="24"/>
          <w:szCs w:val="24"/>
        </w:rPr>
        <w:t>controlled for at least a year. Also, exclusion criteria included those with any psychiatric hospitalization, suicide attempt, or psychiatric disability period in the recent five years (ION-1 Study Protocol, 4.3</w:t>
      </w:r>
      <w:r w:rsidR="007269F4">
        <w:rPr>
          <w:rFonts w:ascii="Book Antiqua" w:hAnsi="Book Antiqua" w:cs="Times New Roman" w:hint="eastAsia"/>
          <w:bCs/>
          <w:color w:val="000000"/>
          <w:sz w:val="24"/>
          <w:szCs w:val="24"/>
          <w:lang w:eastAsia="zh-CN"/>
        </w:rPr>
        <w:t xml:space="preserve"> </w:t>
      </w:r>
      <w:r w:rsidR="003A46E1" w:rsidRPr="00242455">
        <w:rPr>
          <w:rFonts w:ascii="Book Antiqua" w:hAnsi="Book Antiqua" w:cs="Times New Roman"/>
          <w:bCs/>
          <w:color w:val="000000"/>
          <w:sz w:val="24"/>
          <w:szCs w:val="24"/>
        </w:rPr>
        <w:t xml:space="preserve">g). A positive drug screen, elevated AUDIT </w:t>
      </w:r>
      <w:r w:rsidR="00542D28" w:rsidRPr="00242455">
        <w:rPr>
          <w:rFonts w:ascii="Book Antiqua" w:hAnsi="Book Antiqua" w:cs="Times New Roman"/>
          <w:bCs/>
          <w:color w:val="000000"/>
          <w:sz w:val="24"/>
          <w:szCs w:val="24"/>
        </w:rPr>
        <w:t xml:space="preserve">(excessive-alcohol screener) </w:t>
      </w:r>
      <w:r w:rsidR="003A46E1" w:rsidRPr="00242455">
        <w:rPr>
          <w:rFonts w:ascii="Book Antiqua" w:hAnsi="Book Antiqua" w:cs="Times New Roman"/>
          <w:bCs/>
          <w:color w:val="000000"/>
          <w:sz w:val="24"/>
          <w:szCs w:val="24"/>
        </w:rPr>
        <w:t>score, or drug abuse in the recent 12 mo were also exclusionary criteria. Therefore, enrollees could have a mental illness such as depression, but had to be free from recent complications of that condition. In the ION-1 study, there was no drop-out d</w:t>
      </w:r>
      <w:r w:rsidR="00250D18" w:rsidRPr="00242455">
        <w:rPr>
          <w:rFonts w:ascii="Book Antiqua" w:hAnsi="Book Antiqua" w:cs="Times New Roman"/>
          <w:bCs/>
          <w:color w:val="000000"/>
          <w:sz w:val="24"/>
          <w:szCs w:val="24"/>
        </w:rPr>
        <w:t>ue to side effects (one enrolled participant dropped out after only one dose), and only 4 of the 431</w:t>
      </w:r>
      <w:r w:rsidR="000F423C" w:rsidRPr="00242455">
        <w:rPr>
          <w:rFonts w:ascii="Book Antiqua" w:hAnsi="Book Antiqua" w:cs="Times New Roman"/>
          <w:bCs/>
          <w:color w:val="000000"/>
          <w:sz w:val="24"/>
          <w:szCs w:val="24"/>
        </w:rPr>
        <w:t xml:space="preserve"> participants receiving the ledipasvir-sofosbuvir regimen </w:t>
      </w:r>
      <w:r w:rsidR="00250D18" w:rsidRPr="00242455">
        <w:rPr>
          <w:rFonts w:ascii="Book Antiqua" w:hAnsi="Book Antiqua" w:cs="Times New Roman"/>
          <w:bCs/>
          <w:color w:val="000000"/>
          <w:sz w:val="24"/>
          <w:szCs w:val="24"/>
        </w:rPr>
        <w:t>regimen</w:t>
      </w:r>
      <w:r w:rsidR="00542D28" w:rsidRPr="00242455">
        <w:rPr>
          <w:rFonts w:ascii="Book Antiqua" w:hAnsi="Book Antiqua" w:cs="Times New Roman"/>
          <w:bCs/>
          <w:color w:val="000000"/>
          <w:sz w:val="24"/>
          <w:szCs w:val="24"/>
        </w:rPr>
        <w:t xml:space="preserve"> were lost to follow-up: </w:t>
      </w:r>
      <w:r w:rsidR="00250D18" w:rsidRPr="00242455">
        <w:rPr>
          <w:rFonts w:ascii="Book Antiqua" w:hAnsi="Book Antiqua" w:cs="Times New Roman"/>
          <w:bCs/>
          <w:color w:val="000000"/>
          <w:sz w:val="24"/>
          <w:szCs w:val="24"/>
        </w:rPr>
        <w:t>loss to follow-up can reflect any of many factors, including a passive refusal to continue a regimen due to side effects</w:t>
      </w:r>
      <w:r w:rsidR="00542D28" w:rsidRPr="00242455">
        <w:rPr>
          <w:rFonts w:ascii="Book Antiqua" w:hAnsi="Book Antiqua" w:cs="Times New Roman"/>
          <w:bCs/>
          <w:color w:val="000000"/>
          <w:sz w:val="24"/>
          <w:szCs w:val="24"/>
        </w:rPr>
        <w:t xml:space="preserve"> or a regimen that is too complex</w:t>
      </w:r>
      <w:r w:rsidR="00250D18" w:rsidRPr="00242455">
        <w:rPr>
          <w:rFonts w:ascii="Book Antiqua" w:hAnsi="Book Antiqua" w:cs="Times New Roman"/>
          <w:bCs/>
          <w:color w:val="000000"/>
          <w:sz w:val="24"/>
          <w:szCs w:val="24"/>
        </w:rPr>
        <w:t>. This rate of loss to follow-up is much lower than interferon-based trials.</w:t>
      </w:r>
      <w:r w:rsidR="00CE5E97" w:rsidRPr="00242455">
        <w:rPr>
          <w:rFonts w:ascii="Book Antiqua" w:hAnsi="Book Antiqua" w:cs="Times New Roman"/>
          <w:bCs/>
          <w:color w:val="000000"/>
          <w:sz w:val="24"/>
          <w:szCs w:val="24"/>
        </w:rPr>
        <w:t xml:space="preserve"> In the initial study providing the superiority of pegylated interfe</w:t>
      </w:r>
      <w:r w:rsidR="007269F4">
        <w:rPr>
          <w:rFonts w:ascii="Book Antiqua" w:hAnsi="Book Antiqua" w:cs="Times New Roman"/>
          <w:bCs/>
          <w:color w:val="000000"/>
          <w:sz w:val="24"/>
          <w:szCs w:val="24"/>
        </w:rPr>
        <w:t>ron, by Fried and colleagues</w:t>
      </w:r>
      <w:r w:rsidR="00782B84" w:rsidRPr="00242455">
        <w:rPr>
          <w:rFonts w:ascii="Book Antiqua" w:hAnsi="Book Antiqua" w:cs="Times New Roman"/>
          <w:bCs/>
          <w:color w:val="000000"/>
          <w:sz w:val="24"/>
          <w:szCs w:val="24"/>
          <w:vertAlign w:val="superscript"/>
        </w:rPr>
        <w:t>[12</w:t>
      </w:r>
      <w:r w:rsidR="000E15AA" w:rsidRPr="00242455">
        <w:rPr>
          <w:rFonts w:ascii="Book Antiqua" w:hAnsi="Book Antiqua" w:cs="Times New Roman"/>
          <w:bCs/>
          <w:color w:val="000000"/>
          <w:sz w:val="24"/>
          <w:szCs w:val="24"/>
          <w:vertAlign w:val="superscript"/>
        </w:rPr>
        <w:t>]</w:t>
      </w:r>
      <w:r w:rsidR="00CE5E97" w:rsidRPr="00242455">
        <w:rPr>
          <w:rFonts w:ascii="Book Antiqua" w:hAnsi="Book Antiqua" w:cs="Times New Roman"/>
          <w:bCs/>
          <w:color w:val="000000"/>
          <w:sz w:val="24"/>
          <w:szCs w:val="24"/>
        </w:rPr>
        <w:t>,</w:t>
      </w:r>
      <w:r w:rsidR="00F93E86" w:rsidRPr="00242455">
        <w:rPr>
          <w:rFonts w:ascii="Book Antiqua" w:hAnsi="Book Antiqua" w:cs="Times New Roman"/>
          <w:bCs/>
          <w:color w:val="000000"/>
          <w:sz w:val="24"/>
          <w:szCs w:val="24"/>
        </w:rPr>
        <w:t xml:space="preserve"> </w:t>
      </w:r>
      <w:r w:rsidR="00CE5E97" w:rsidRPr="00242455">
        <w:rPr>
          <w:rFonts w:ascii="Book Antiqua" w:hAnsi="Book Antiqua" w:cs="Times New Roman"/>
          <w:bCs/>
          <w:color w:val="000000"/>
          <w:sz w:val="24"/>
          <w:szCs w:val="24"/>
        </w:rPr>
        <w:t xml:space="preserve">677 participants were randomized and began treatment in the two pegylated interferon arms (one with ribavirin, one with placebo); of these, 145 </w:t>
      </w:r>
      <w:r w:rsidR="00F93E86" w:rsidRPr="00242455">
        <w:rPr>
          <w:rFonts w:ascii="Book Antiqua" w:hAnsi="Book Antiqua" w:cs="Times New Roman"/>
          <w:bCs/>
          <w:color w:val="000000"/>
          <w:sz w:val="24"/>
          <w:szCs w:val="24"/>
        </w:rPr>
        <w:t xml:space="preserve">(21.4%) </w:t>
      </w:r>
      <w:r w:rsidR="00CE5E97" w:rsidRPr="00242455">
        <w:rPr>
          <w:rFonts w:ascii="Book Antiqua" w:hAnsi="Book Antiqua" w:cs="Times New Roman"/>
          <w:bCs/>
          <w:color w:val="000000"/>
          <w:sz w:val="24"/>
          <w:szCs w:val="24"/>
        </w:rPr>
        <w:t xml:space="preserve">experienced depression, </w:t>
      </w:r>
      <w:r w:rsidR="00F93E86" w:rsidRPr="00242455">
        <w:rPr>
          <w:rFonts w:ascii="Book Antiqua" w:hAnsi="Book Antiqua" w:cs="Times New Roman"/>
          <w:bCs/>
          <w:color w:val="000000"/>
          <w:sz w:val="24"/>
          <w:szCs w:val="24"/>
        </w:rPr>
        <w:t xml:space="preserve">and </w:t>
      </w:r>
      <w:r w:rsidR="00CE5E97" w:rsidRPr="00242455">
        <w:rPr>
          <w:rFonts w:ascii="Book Antiqua" w:hAnsi="Book Antiqua" w:cs="Times New Roman"/>
          <w:bCs/>
          <w:color w:val="000000"/>
          <w:sz w:val="24"/>
          <w:szCs w:val="24"/>
        </w:rPr>
        <w:t xml:space="preserve">28 (4.1%) discontinued treatment (20 </w:t>
      </w:r>
      <w:r w:rsidR="00F93E86" w:rsidRPr="00242455">
        <w:rPr>
          <w:rFonts w:ascii="Book Antiqua" w:hAnsi="Book Antiqua" w:cs="Times New Roman"/>
          <w:bCs/>
          <w:color w:val="000000"/>
          <w:sz w:val="24"/>
          <w:szCs w:val="24"/>
        </w:rPr>
        <w:t xml:space="preserve">refused to continue treatment at some point after beginning, </w:t>
      </w:r>
      <w:r w:rsidR="00CE5E97" w:rsidRPr="00242455">
        <w:rPr>
          <w:rFonts w:ascii="Book Antiqua" w:hAnsi="Book Antiqua" w:cs="Times New Roman"/>
          <w:bCs/>
          <w:color w:val="000000"/>
          <w:sz w:val="24"/>
          <w:szCs w:val="24"/>
        </w:rPr>
        <w:t>and 8 had failure to return).</w:t>
      </w:r>
      <w:r w:rsidR="000E15AA" w:rsidRPr="00242455">
        <w:rPr>
          <w:rFonts w:ascii="Book Antiqua" w:hAnsi="Book Antiqua" w:cs="Times New Roman"/>
          <w:bCs/>
          <w:color w:val="000000"/>
          <w:sz w:val="24"/>
          <w:szCs w:val="24"/>
        </w:rPr>
        <w:t xml:space="preserve"> About the same time, a </w:t>
      </w:r>
      <w:r w:rsidR="002C3EC3" w:rsidRPr="00242455">
        <w:rPr>
          <w:rFonts w:ascii="Book Antiqua" w:hAnsi="Book Antiqua" w:cs="Times New Roman"/>
          <w:bCs/>
          <w:color w:val="000000"/>
          <w:sz w:val="24"/>
          <w:szCs w:val="24"/>
        </w:rPr>
        <w:t xml:space="preserve">similar </w:t>
      </w:r>
      <w:r w:rsidR="000E15AA" w:rsidRPr="00242455">
        <w:rPr>
          <w:rFonts w:ascii="Book Antiqua" w:hAnsi="Book Antiqua" w:cs="Times New Roman"/>
          <w:bCs/>
          <w:color w:val="000000"/>
          <w:sz w:val="24"/>
          <w:szCs w:val="24"/>
        </w:rPr>
        <w:t xml:space="preserve">efficacy </w:t>
      </w:r>
      <w:r w:rsidR="002C3EC3" w:rsidRPr="00242455">
        <w:rPr>
          <w:rFonts w:ascii="Book Antiqua" w:hAnsi="Book Antiqua" w:cs="Times New Roman"/>
          <w:bCs/>
          <w:color w:val="000000"/>
          <w:sz w:val="24"/>
          <w:szCs w:val="24"/>
        </w:rPr>
        <w:t xml:space="preserve">study </w:t>
      </w:r>
      <w:r w:rsidR="000E15AA" w:rsidRPr="00242455">
        <w:rPr>
          <w:rFonts w:ascii="Book Antiqua" w:hAnsi="Book Antiqua" w:cs="Times New Roman"/>
          <w:bCs/>
          <w:color w:val="000000"/>
          <w:sz w:val="24"/>
          <w:szCs w:val="24"/>
        </w:rPr>
        <w:t xml:space="preserve">of pegylated interferon-alpha </w:t>
      </w:r>
      <w:r w:rsidR="002C3EC3" w:rsidRPr="00242455">
        <w:rPr>
          <w:rFonts w:ascii="Book Antiqua" w:hAnsi="Book Antiqua" w:cs="Times New Roman"/>
          <w:bCs/>
          <w:color w:val="000000"/>
          <w:sz w:val="24"/>
          <w:szCs w:val="24"/>
        </w:rPr>
        <w:t>was conducted by Mann</w:t>
      </w:r>
      <w:r w:rsidR="009D79EA" w:rsidRPr="00242455">
        <w:rPr>
          <w:rFonts w:ascii="Book Antiqua" w:hAnsi="Book Antiqua" w:cs="Times New Roman"/>
          <w:bCs/>
          <w:color w:val="000000"/>
          <w:sz w:val="24"/>
          <w:szCs w:val="24"/>
        </w:rPr>
        <w:t>s</w:t>
      </w:r>
      <w:r w:rsidR="00412082">
        <w:rPr>
          <w:rFonts w:ascii="Book Antiqua" w:hAnsi="Book Antiqua" w:cs="Times New Roman"/>
          <w:bCs/>
          <w:color w:val="000000"/>
          <w:sz w:val="24"/>
          <w:szCs w:val="24"/>
        </w:rPr>
        <w:t xml:space="preserve"> and colleagues</w:t>
      </w:r>
      <w:r w:rsidR="00782B84" w:rsidRPr="00242455">
        <w:rPr>
          <w:rFonts w:ascii="Book Antiqua" w:hAnsi="Book Antiqua" w:cs="Times New Roman"/>
          <w:bCs/>
          <w:color w:val="000000"/>
          <w:sz w:val="24"/>
          <w:szCs w:val="24"/>
          <w:vertAlign w:val="superscript"/>
        </w:rPr>
        <w:t>[13</w:t>
      </w:r>
      <w:r w:rsidR="000E15AA" w:rsidRPr="00242455">
        <w:rPr>
          <w:rFonts w:ascii="Book Antiqua" w:hAnsi="Book Antiqua" w:cs="Times New Roman"/>
          <w:bCs/>
          <w:color w:val="000000"/>
          <w:sz w:val="24"/>
          <w:szCs w:val="24"/>
          <w:vertAlign w:val="superscript"/>
        </w:rPr>
        <w:t>]</w:t>
      </w:r>
      <w:r w:rsidR="00300921" w:rsidRPr="00242455">
        <w:rPr>
          <w:rFonts w:ascii="Book Antiqua" w:hAnsi="Book Antiqua" w:cs="Times New Roman"/>
          <w:bCs/>
          <w:color w:val="000000"/>
          <w:sz w:val="24"/>
          <w:szCs w:val="24"/>
        </w:rPr>
        <w:t xml:space="preserve">. In this </w:t>
      </w:r>
      <w:r w:rsidR="00973E9C">
        <w:rPr>
          <w:rFonts w:ascii="Book Antiqua" w:hAnsi="Book Antiqua" w:cs="Times New Roman"/>
          <w:bCs/>
          <w:color w:val="000000"/>
          <w:sz w:val="24"/>
          <w:szCs w:val="24"/>
        </w:rPr>
        <w:t>study, 30% of the 1</w:t>
      </w:r>
      <w:r w:rsidR="00300921" w:rsidRPr="00242455">
        <w:rPr>
          <w:rFonts w:ascii="Book Antiqua" w:hAnsi="Book Antiqua" w:cs="Times New Roman"/>
          <w:bCs/>
          <w:color w:val="000000"/>
          <w:sz w:val="24"/>
          <w:szCs w:val="24"/>
        </w:rPr>
        <w:t>025 patient</w:t>
      </w:r>
      <w:r w:rsidR="00973E9C">
        <w:rPr>
          <w:rFonts w:ascii="Book Antiqua" w:hAnsi="Book Antiqua" w:cs="Times New Roman" w:hint="eastAsia"/>
          <w:bCs/>
          <w:color w:val="000000"/>
          <w:sz w:val="24"/>
          <w:szCs w:val="24"/>
          <w:lang w:eastAsia="zh-CN"/>
        </w:rPr>
        <w:t>s</w:t>
      </w:r>
      <w:r w:rsidR="00300921" w:rsidRPr="00242455">
        <w:rPr>
          <w:rFonts w:ascii="Book Antiqua" w:hAnsi="Book Antiqua" w:cs="Times New Roman"/>
          <w:bCs/>
          <w:color w:val="000000"/>
          <w:sz w:val="24"/>
          <w:szCs w:val="24"/>
        </w:rPr>
        <w:t xml:space="preserve"> in the two study arms receiving pegylated interferon-alpha experienced depression symptoms. In another analyses</w:t>
      </w:r>
      <w:r w:rsidR="009E6657">
        <w:rPr>
          <w:rFonts w:ascii="Book Antiqua" w:hAnsi="Book Antiqua" w:cs="Times New Roman"/>
          <w:bCs/>
          <w:color w:val="000000"/>
          <w:sz w:val="24"/>
          <w:szCs w:val="24"/>
        </w:rPr>
        <w:t xml:space="preserve"> of these data</w:t>
      </w:r>
      <w:r w:rsidR="00782B84" w:rsidRPr="00242455">
        <w:rPr>
          <w:rFonts w:ascii="Book Antiqua" w:hAnsi="Book Antiqua" w:cs="Times New Roman"/>
          <w:bCs/>
          <w:color w:val="000000"/>
          <w:sz w:val="24"/>
          <w:szCs w:val="24"/>
          <w:vertAlign w:val="superscript"/>
        </w:rPr>
        <w:t>[14</w:t>
      </w:r>
      <w:r w:rsidR="00DF2FD4" w:rsidRPr="00242455">
        <w:rPr>
          <w:rFonts w:ascii="Book Antiqua" w:hAnsi="Book Antiqua" w:cs="Times New Roman"/>
          <w:bCs/>
          <w:color w:val="000000"/>
          <w:sz w:val="24"/>
          <w:szCs w:val="24"/>
          <w:vertAlign w:val="superscript"/>
        </w:rPr>
        <w:t>]</w:t>
      </w:r>
      <w:r w:rsidR="00300921" w:rsidRPr="00242455">
        <w:rPr>
          <w:rFonts w:ascii="Book Antiqua" w:hAnsi="Book Antiqua" w:cs="Times New Roman"/>
          <w:bCs/>
          <w:color w:val="000000"/>
          <w:sz w:val="24"/>
          <w:szCs w:val="24"/>
        </w:rPr>
        <w:t xml:space="preserve">, the </w:t>
      </w:r>
      <w:r w:rsidR="001F630A">
        <w:rPr>
          <w:rFonts w:ascii="Book Antiqua" w:hAnsi="Book Antiqua" w:cs="Times New Roman"/>
          <w:bCs/>
          <w:color w:val="000000"/>
          <w:sz w:val="24"/>
          <w:szCs w:val="24"/>
        </w:rPr>
        <w:t>researchers noted that 218 of 1</w:t>
      </w:r>
      <w:r w:rsidR="00300921" w:rsidRPr="00242455">
        <w:rPr>
          <w:rFonts w:ascii="Book Antiqua" w:hAnsi="Book Antiqua" w:cs="Times New Roman"/>
          <w:bCs/>
          <w:color w:val="000000"/>
          <w:sz w:val="24"/>
          <w:szCs w:val="24"/>
        </w:rPr>
        <w:t xml:space="preserve">010 (21.6%) patients receiving interferon-alpha sustained treatment for less than 80% of the planned treatment time span. Thus, depressive side effects and other aspects of </w:t>
      </w:r>
      <w:r w:rsidR="00F93E86" w:rsidRPr="00242455">
        <w:rPr>
          <w:rFonts w:ascii="Book Antiqua" w:hAnsi="Book Antiqua" w:cs="Times New Roman"/>
          <w:bCs/>
          <w:color w:val="000000"/>
          <w:sz w:val="24"/>
          <w:szCs w:val="24"/>
        </w:rPr>
        <w:t xml:space="preserve">interferon-based regimens </w:t>
      </w:r>
      <w:r w:rsidR="00300921" w:rsidRPr="00242455">
        <w:rPr>
          <w:rFonts w:ascii="Book Antiqua" w:hAnsi="Book Antiqua" w:cs="Times New Roman"/>
          <w:bCs/>
          <w:color w:val="000000"/>
          <w:sz w:val="24"/>
          <w:szCs w:val="24"/>
        </w:rPr>
        <w:t>have been challenging</w:t>
      </w:r>
      <w:r w:rsidR="00357DDA" w:rsidRPr="00242455">
        <w:rPr>
          <w:rFonts w:ascii="Book Antiqua" w:hAnsi="Book Antiqua" w:cs="Times New Roman"/>
          <w:bCs/>
          <w:color w:val="000000"/>
          <w:sz w:val="24"/>
          <w:szCs w:val="24"/>
        </w:rPr>
        <w:t xml:space="preserve"> for patients to tolerate. For the ledipasvir-sofosbuvir regimen, l</w:t>
      </w:r>
      <w:r w:rsidR="002B56FB" w:rsidRPr="00242455">
        <w:rPr>
          <w:rFonts w:ascii="Book Antiqua" w:hAnsi="Book Antiqua" w:cs="Times New Roman"/>
          <w:bCs/>
          <w:color w:val="000000"/>
          <w:sz w:val="24"/>
          <w:szCs w:val="24"/>
        </w:rPr>
        <w:t>ow rates of discontinuation may also be due to the ease of compliance with the regimen: both medications are combined in one pill, taken orally once daily.</w:t>
      </w:r>
    </w:p>
    <w:p w14:paraId="07E83C8B" w14:textId="77777777" w:rsidR="00250D18" w:rsidRPr="00242455" w:rsidRDefault="00250D18" w:rsidP="007C0097">
      <w:pPr>
        <w:widowControl w:val="0"/>
        <w:overflowPunct w:val="0"/>
        <w:autoSpaceDE w:val="0"/>
        <w:autoSpaceDN w:val="0"/>
        <w:spacing w:line="360" w:lineRule="auto"/>
        <w:ind w:firstLineChars="100" w:firstLine="240"/>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In the ION-1 trial, no psychiatric serious adverse events were reported</w:t>
      </w:r>
      <w:r w:rsidR="00F93E86" w:rsidRPr="00242455">
        <w:rPr>
          <w:rFonts w:ascii="Book Antiqua" w:hAnsi="Book Antiqua" w:cs="Times New Roman"/>
          <w:bCs/>
          <w:color w:val="000000"/>
          <w:sz w:val="24"/>
          <w:szCs w:val="24"/>
        </w:rPr>
        <w:t xml:space="preserve"> among participants taking the l</w:t>
      </w:r>
      <w:r w:rsidR="00EB73E0" w:rsidRPr="00242455">
        <w:rPr>
          <w:rFonts w:ascii="Book Antiqua" w:hAnsi="Book Antiqua" w:cs="Times New Roman"/>
          <w:bCs/>
          <w:color w:val="000000"/>
          <w:sz w:val="24"/>
          <w:szCs w:val="24"/>
        </w:rPr>
        <w:t>edipasvir-sofosbuvir regimen</w:t>
      </w:r>
      <w:r w:rsidRPr="00242455">
        <w:rPr>
          <w:rFonts w:ascii="Book Antiqua" w:hAnsi="Book Antiqua" w:cs="Times New Roman"/>
          <w:bCs/>
          <w:color w:val="000000"/>
          <w:sz w:val="24"/>
          <w:szCs w:val="24"/>
        </w:rPr>
        <w:t xml:space="preserve">, although other serious adverse </w:t>
      </w:r>
      <w:r w:rsidRPr="00242455">
        <w:rPr>
          <w:rFonts w:ascii="Book Antiqua" w:hAnsi="Book Antiqua" w:cs="Times New Roman"/>
          <w:bCs/>
          <w:color w:val="000000"/>
          <w:sz w:val="24"/>
          <w:szCs w:val="24"/>
        </w:rPr>
        <w:lastRenderedPageBreak/>
        <w:t>events, such as chest pain and pneumonia, occu</w:t>
      </w:r>
      <w:r w:rsidR="00EB73E0" w:rsidRPr="00242455">
        <w:rPr>
          <w:rFonts w:ascii="Book Antiqua" w:hAnsi="Book Antiqua" w:cs="Times New Roman"/>
          <w:bCs/>
          <w:color w:val="000000"/>
          <w:sz w:val="24"/>
          <w:szCs w:val="24"/>
        </w:rPr>
        <w:t xml:space="preserve">rred in a few of these </w:t>
      </w:r>
      <w:r w:rsidRPr="00242455">
        <w:rPr>
          <w:rFonts w:ascii="Book Antiqua" w:hAnsi="Book Antiqua" w:cs="Times New Roman"/>
          <w:bCs/>
          <w:color w:val="000000"/>
          <w:sz w:val="24"/>
          <w:szCs w:val="24"/>
        </w:rPr>
        <w:t>patients</w:t>
      </w:r>
      <w:r w:rsidR="00EB73E0" w:rsidRPr="00242455">
        <w:rPr>
          <w:rFonts w:ascii="Book Antiqua" w:hAnsi="Book Antiqua" w:cs="Times New Roman"/>
          <w:bCs/>
          <w:color w:val="000000"/>
          <w:sz w:val="24"/>
          <w:szCs w:val="24"/>
        </w:rPr>
        <w:t>. Thus, overall, there does not yet seem to be any notable risk of psy</w:t>
      </w:r>
      <w:r w:rsidR="00F93E86" w:rsidRPr="00242455">
        <w:rPr>
          <w:rFonts w:ascii="Book Antiqua" w:hAnsi="Book Antiqua" w:cs="Times New Roman"/>
          <w:bCs/>
          <w:color w:val="000000"/>
          <w:sz w:val="24"/>
          <w:szCs w:val="24"/>
        </w:rPr>
        <w:t>chiatric symptomatology for the</w:t>
      </w:r>
      <w:r w:rsidR="00EB73E0" w:rsidRPr="00242455">
        <w:rPr>
          <w:rFonts w:ascii="Book Antiqua" w:hAnsi="Book Antiqua" w:cs="Times New Roman"/>
          <w:bCs/>
          <w:color w:val="000000"/>
          <w:sz w:val="24"/>
          <w:szCs w:val="24"/>
        </w:rPr>
        <w:t xml:space="preserve"> </w:t>
      </w:r>
      <w:r w:rsidR="00F93E86" w:rsidRPr="00242455">
        <w:rPr>
          <w:rFonts w:ascii="Book Antiqua" w:hAnsi="Book Antiqua" w:cs="Times New Roman"/>
          <w:bCs/>
          <w:color w:val="000000"/>
          <w:sz w:val="24"/>
          <w:szCs w:val="24"/>
        </w:rPr>
        <w:t xml:space="preserve">ledipasvir-sofosbuvir </w:t>
      </w:r>
      <w:r w:rsidR="00EB73E0" w:rsidRPr="00242455">
        <w:rPr>
          <w:rFonts w:ascii="Book Antiqua" w:hAnsi="Book Antiqua" w:cs="Times New Roman"/>
          <w:bCs/>
          <w:color w:val="000000"/>
          <w:sz w:val="24"/>
          <w:szCs w:val="24"/>
        </w:rPr>
        <w:t>regimen, per study adverse event reporting or as might be suggested by drop-out/loss to follow-up</w:t>
      </w:r>
      <w:r w:rsidR="00357DDA" w:rsidRPr="00242455">
        <w:rPr>
          <w:rFonts w:ascii="Book Antiqua" w:hAnsi="Book Antiqua" w:cs="Times New Roman"/>
          <w:bCs/>
          <w:color w:val="000000"/>
          <w:sz w:val="24"/>
          <w:szCs w:val="24"/>
        </w:rPr>
        <w:t xml:space="preserve"> or by adherence data</w:t>
      </w:r>
      <w:r w:rsidR="00EB73E0" w:rsidRPr="00242455">
        <w:rPr>
          <w:rFonts w:ascii="Book Antiqua" w:hAnsi="Book Antiqua" w:cs="Times New Roman"/>
          <w:bCs/>
          <w:color w:val="000000"/>
          <w:sz w:val="24"/>
          <w:szCs w:val="24"/>
        </w:rPr>
        <w:t>.</w:t>
      </w:r>
      <w:r w:rsidR="000E1B5A" w:rsidRPr="00242455">
        <w:rPr>
          <w:rFonts w:ascii="Book Antiqua" w:hAnsi="Book Antiqua" w:cs="Times New Roman"/>
          <w:bCs/>
          <w:color w:val="000000"/>
          <w:sz w:val="24"/>
          <w:szCs w:val="24"/>
        </w:rPr>
        <w:t xml:space="preserve"> These study data indicate that, so far, psychiatric problems such as depressive symptoms do not seem to be a side effect of treatment, although it must be acknowledged that study criteria excluded those with current or recent psychiatric difficulty.</w:t>
      </w:r>
    </w:p>
    <w:p w14:paraId="7367686D" w14:textId="77777777" w:rsidR="00ED2157" w:rsidRPr="00242455" w:rsidRDefault="00446423" w:rsidP="007C0097">
      <w:pPr>
        <w:widowControl w:val="0"/>
        <w:overflowPunct w:val="0"/>
        <w:autoSpaceDE w:val="0"/>
        <w:autoSpaceDN w:val="0"/>
        <w:spacing w:line="360" w:lineRule="auto"/>
        <w:ind w:firstLineChars="100" w:firstLine="240"/>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A related study, ION-3, was conducted to determine whether a more brief</w:t>
      </w:r>
      <w:r w:rsidR="00357DDA" w:rsidRPr="00242455">
        <w:rPr>
          <w:rFonts w:ascii="Book Antiqua" w:hAnsi="Book Antiqua" w:cs="Times New Roman"/>
          <w:bCs/>
          <w:color w:val="000000"/>
          <w:sz w:val="24"/>
          <w:szCs w:val="24"/>
        </w:rPr>
        <w:t xml:space="preserve"> regimen, 8 weeks versus 12 of l</w:t>
      </w:r>
      <w:r w:rsidRPr="00242455">
        <w:rPr>
          <w:rFonts w:ascii="Book Antiqua" w:hAnsi="Book Antiqua" w:cs="Times New Roman"/>
          <w:bCs/>
          <w:color w:val="000000"/>
          <w:sz w:val="24"/>
          <w:szCs w:val="24"/>
        </w:rPr>
        <w:t>edipasvir-sofosbuvir</w:t>
      </w:r>
      <w:r w:rsidR="00BA6CDC" w:rsidRPr="00242455">
        <w:rPr>
          <w:rFonts w:ascii="Book Antiqua" w:hAnsi="Book Antiqua" w:cs="Times New Roman"/>
          <w:bCs/>
          <w:color w:val="000000"/>
          <w:sz w:val="24"/>
          <w:szCs w:val="24"/>
        </w:rPr>
        <w:t>,</w:t>
      </w:r>
      <w:r w:rsidRPr="00242455">
        <w:rPr>
          <w:rFonts w:ascii="Book Antiqua" w:hAnsi="Book Antiqua" w:cs="Times New Roman"/>
          <w:bCs/>
          <w:color w:val="000000"/>
          <w:sz w:val="24"/>
          <w:szCs w:val="24"/>
        </w:rPr>
        <w:t xml:space="preserve"> could be as efficacious</w:t>
      </w:r>
      <w:r w:rsidR="00782B84" w:rsidRPr="00242455">
        <w:rPr>
          <w:rFonts w:ascii="Book Antiqua" w:hAnsi="Book Antiqua" w:cs="Times New Roman"/>
          <w:bCs/>
          <w:color w:val="000000"/>
          <w:sz w:val="24"/>
          <w:szCs w:val="24"/>
          <w:vertAlign w:val="superscript"/>
        </w:rPr>
        <w:t>[15</w:t>
      </w:r>
      <w:r w:rsidR="00DF2FD4" w:rsidRPr="00242455">
        <w:rPr>
          <w:rFonts w:ascii="Book Antiqua" w:hAnsi="Book Antiqua" w:cs="Times New Roman"/>
          <w:bCs/>
          <w:color w:val="000000"/>
          <w:sz w:val="24"/>
          <w:szCs w:val="24"/>
          <w:vertAlign w:val="superscript"/>
        </w:rPr>
        <w:t>]</w:t>
      </w:r>
      <w:r w:rsidRPr="00242455">
        <w:rPr>
          <w:rFonts w:ascii="Book Antiqua" w:hAnsi="Book Antiqua" w:cs="Times New Roman"/>
          <w:bCs/>
          <w:color w:val="000000"/>
          <w:sz w:val="24"/>
          <w:szCs w:val="24"/>
        </w:rPr>
        <w:t xml:space="preserve">. This study, with a protocol largely parallel to ION-1, included </w:t>
      </w:r>
      <w:r w:rsidR="00973E9C">
        <w:rPr>
          <w:rFonts w:ascii="Book Antiqua" w:hAnsi="Book Antiqua" w:cs="Times New Roman"/>
          <w:bCs/>
          <w:color w:val="000000"/>
          <w:sz w:val="24"/>
          <w:szCs w:val="24"/>
        </w:rPr>
        <w:t>215 participants in the 8</w:t>
      </w:r>
      <w:r w:rsidR="00973E9C">
        <w:rPr>
          <w:rFonts w:ascii="Book Antiqua" w:hAnsi="Book Antiqua" w:cs="Times New Roman" w:hint="eastAsia"/>
          <w:bCs/>
          <w:color w:val="000000"/>
          <w:sz w:val="24"/>
          <w:szCs w:val="24"/>
          <w:lang w:eastAsia="zh-CN"/>
        </w:rPr>
        <w:t xml:space="preserve"> </w:t>
      </w:r>
      <w:r w:rsidR="00357DDA" w:rsidRPr="00242455">
        <w:rPr>
          <w:rFonts w:ascii="Book Antiqua" w:hAnsi="Book Antiqua" w:cs="Times New Roman"/>
          <w:bCs/>
          <w:color w:val="000000"/>
          <w:sz w:val="24"/>
          <w:szCs w:val="24"/>
        </w:rPr>
        <w:t>wk l</w:t>
      </w:r>
      <w:r w:rsidRPr="00242455">
        <w:rPr>
          <w:rFonts w:ascii="Book Antiqua" w:hAnsi="Book Antiqua" w:cs="Times New Roman"/>
          <w:bCs/>
          <w:color w:val="000000"/>
          <w:sz w:val="24"/>
          <w:szCs w:val="24"/>
        </w:rPr>
        <w:t>edipasvir-sofosbuvir</w:t>
      </w:r>
      <w:r w:rsidR="009E6657">
        <w:rPr>
          <w:rFonts w:ascii="Book Antiqua" w:hAnsi="Book Antiqua" w:cs="Times New Roman"/>
          <w:bCs/>
          <w:color w:val="000000"/>
          <w:sz w:val="24"/>
          <w:szCs w:val="24"/>
        </w:rPr>
        <w:t xml:space="preserve"> arm and 216 in the 12</w:t>
      </w:r>
      <w:r w:rsidR="009E6657">
        <w:rPr>
          <w:rFonts w:ascii="Book Antiqua" w:hAnsi="Book Antiqua" w:cs="Times New Roman" w:hint="eastAsia"/>
          <w:bCs/>
          <w:color w:val="000000"/>
          <w:sz w:val="24"/>
          <w:szCs w:val="24"/>
          <w:lang w:eastAsia="zh-CN"/>
        </w:rPr>
        <w:t xml:space="preserve"> </w:t>
      </w:r>
      <w:r w:rsidR="009E6657">
        <w:rPr>
          <w:rFonts w:ascii="Book Antiqua" w:hAnsi="Book Antiqua" w:cs="Times New Roman"/>
          <w:bCs/>
          <w:color w:val="000000"/>
          <w:sz w:val="24"/>
          <w:szCs w:val="24"/>
        </w:rPr>
        <w:t>w</w:t>
      </w:r>
      <w:r w:rsidRPr="00242455">
        <w:rPr>
          <w:rFonts w:ascii="Book Antiqua" w:hAnsi="Book Antiqua" w:cs="Times New Roman"/>
          <w:bCs/>
          <w:color w:val="000000"/>
          <w:sz w:val="24"/>
          <w:szCs w:val="24"/>
        </w:rPr>
        <w:t>k arm. Among these participants, the study</w:t>
      </w:r>
      <w:r w:rsidR="00BA6CDC" w:rsidRPr="00242455">
        <w:rPr>
          <w:rFonts w:ascii="Book Antiqua" w:hAnsi="Book Antiqua" w:cs="Times New Roman"/>
          <w:bCs/>
          <w:color w:val="000000"/>
          <w:sz w:val="24"/>
          <w:szCs w:val="24"/>
        </w:rPr>
        <w:t>’s</w:t>
      </w:r>
      <w:r w:rsidRPr="00242455">
        <w:rPr>
          <w:rFonts w:ascii="Book Antiqua" w:hAnsi="Book Antiqua" w:cs="Times New Roman"/>
          <w:bCs/>
          <w:color w:val="000000"/>
          <w:sz w:val="24"/>
          <w:szCs w:val="24"/>
        </w:rPr>
        <w:t xml:space="preserve"> Supplementary Materials indicate no psychiatric adverse events, and report very low rates of drop-out/loss-to-follow-up (4 of 431</w:t>
      </w:r>
      <w:r w:rsidR="00357DDA" w:rsidRPr="00242455">
        <w:rPr>
          <w:rFonts w:ascii="Book Antiqua" w:hAnsi="Book Antiqua" w:cs="Times New Roman"/>
          <w:bCs/>
          <w:color w:val="000000"/>
          <w:sz w:val="24"/>
          <w:szCs w:val="24"/>
        </w:rPr>
        <w:t>; 0.9%). So, again, the l</w:t>
      </w:r>
      <w:r w:rsidRPr="00242455">
        <w:rPr>
          <w:rFonts w:ascii="Book Antiqua" w:hAnsi="Book Antiqua" w:cs="Times New Roman"/>
          <w:bCs/>
          <w:color w:val="000000"/>
          <w:sz w:val="24"/>
          <w:szCs w:val="24"/>
        </w:rPr>
        <w:t>edipasvir-sofosbuvir regimen seems very unlikely to produce psychiatric adverse events, or to have treatment discontinuation.</w:t>
      </w:r>
    </w:p>
    <w:p w14:paraId="611E05D2" w14:textId="77777777" w:rsidR="00C74ECA" w:rsidRPr="00242455" w:rsidRDefault="00C74ECA" w:rsidP="007C0097">
      <w:pPr>
        <w:widowControl w:val="0"/>
        <w:overflowPunct w:val="0"/>
        <w:autoSpaceDE w:val="0"/>
        <w:autoSpaceDN w:val="0"/>
        <w:spacing w:line="360" w:lineRule="auto"/>
        <w:ind w:firstLineChars="100" w:firstLine="240"/>
        <w:jc w:val="both"/>
        <w:rPr>
          <w:rStyle w:val="Strong"/>
          <w:rFonts w:ascii="Book Antiqua" w:hAnsi="Book Antiqua" w:cs="Times New Roman"/>
          <w:b w:val="0"/>
          <w:color w:val="000000"/>
          <w:sz w:val="24"/>
          <w:szCs w:val="24"/>
        </w:rPr>
      </w:pPr>
      <w:r w:rsidRPr="00242455">
        <w:rPr>
          <w:rFonts w:ascii="Book Antiqua" w:hAnsi="Book Antiqua" w:cs="Times New Roman"/>
          <w:bCs/>
          <w:color w:val="000000"/>
          <w:sz w:val="24"/>
          <w:szCs w:val="24"/>
        </w:rPr>
        <w:t xml:space="preserve">Is pregnancy risk a concern for the </w:t>
      </w:r>
      <w:r w:rsidR="00357DDA" w:rsidRPr="00242455">
        <w:rPr>
          <w:rFonts w:ascii="Book Antiqua" w:hAnsi="Book Antiqua" w:cs="Times New Roman"/>
          <w:bCs/>
          <w:color w:val="000000"/>
          <w:sz w:val="24"/>
          <w:szCs w:val="24"/>
        </w:rPr>
        <w:t>l</w:t>
      </w:r>
      <w:r w:rsidRPr="00242455">
        <w:rPr>
          <w:rFonts w:ascii="Book Antiqua" w:hAnsi="Book Antiqua" w:cs="Times New Roman"/>
          <w:bCs/>
          <w:color w:val="000000"/>
          <w:sz w:val="24"/>
          <w:szCs w:val="24"/>
        </w:rPr>
        <w:t>edipasvir-sofosbuvir regimen</w:t>
      </w:r>
      <w:r w:rsidR="00357DDA" w:rsidRPr="00242455">
        <w:rPr>
          <w:rFonts w:ascii="Book Antiqua" w:hAnsi="Book Antiqua" w:cs="Times New Roman"/>
          <w:bCs/>
          <w:color w:val="000000"/>
          <w:sz w:val="24"/>
          <w:szCs w:val="24"/>
        </w:rPr>
        <w:t>, as for the interferon-alpha/ribavirin regimen</w:t>
      </w:r>
      <w:r w:rsidRPr="00242455">
        <w:rPr>
          <w:rFonts w:ascii="Book Antiqua" w:hAnsi="Book Antiqua" w:cs="Times New Roman"/>
          <w:bCs/>
          <w:color w:val="000000"/>
          <w:sz w:val="24"/>
          <w:szCs w:val="24"/>
        </w:rPr>
        <w:t>? Thorough d</w:t>
      </w:r>
      <w:r w:rsidR="00357DDA" w:rsidRPr="00242455">
        <w:rPr>
          <w:rFonts w:ascii="Book Antiqua" w:hAnsi="Book Antiqua" w:cs="Times New Roman"/>
          <w:bCs/>
          <w:color w:val="000000"/>
          <w:sz w:val="24"/>
          <w:szCs w:val="24"/>
        </w:rPr>
        <w:t>ata, such as a randomized clinical</w:t>
      </w:r>
      <w:r w:rsidRPr="00242455">
        <w:rPr>
          <w:rFonts w:ascii="Book Antiqua" w:hAnsi="Book Antiqua" w:cs="Times New Roman"/>
          <w:bCs/>
          <w:color w:val="000000"/>
          <w:sz w:val="24"/>
          <w:szCs w:val="24"/>
        </w:rPr>
        <w:t xml:space="preserve"> trial with pregnant women, have not been conducted, and post-marketing surveillance is still young, so human data are limited. The FDA-approved medication insert data report that animal-model studies have failed to find any teratogenic effect when given to rats or rabbits at exposures that are 3 or more times greater than human doses. The status for pregnan</w:t>
      </w:r>
      <w:r w:rsidR="00686BD7" w:rsidRPr="00242455">
        <w:rPr>
          <w:rFonts w:ascii="Book Antiqua" w:hAnsi="Book Antiqua" w:cs="Times New Roman"/>
          <w:bCs/>
          <w:color w:val="000000"/>
          <w:sz w:val="24"/>
          <w:szCs w:val="24"/>
        </w:rPr>
        <w:t>t women is currently Category B: a</w:t>
      </w:r>
      <w:r w:rsidRPr="00242455">
        <w:rPr>
          <w:rStyle w:val="Strong"/>
          <w:rFonts w:ascii="Book Antiqua" w:hAnsi="Book Antiqua" w:cs="Times New Roman"/>
          <w:b w:val="0"/>
          <w:color w:val="000000"/>
          <w:sz w:val="24"/>
          <w:szCs w:val="24"/>
        </w:rPr>
        <w:t>nimal reproduction studies have failed to demonstrate a risk to the fetus and</w:t>
      </w:r>
      <w:r w:rsidR="00686BD7" w:rsidRPr="00242455">
        <w:rPr>
          <w:rStyle w:val="Strong"/>
          <w:rFonts w:ascii="Book Antiqua" w:hAnsi="Book Antiqua" w:cs="Times New Roman"/>
          <w:b w:val="0"/>
          <w:color w:val="000000"/>
          <w:sz w:val="24"/>
          <w:szCs w:val="24"/>
        </w:rPr>
        <w:t xml:space="preserve"> there are no adequate and well-</w:t>
      </w:r>
      <w:r w:rsidRPr="00242455">
        <w:rPr>
          <w:rStyle w:val="Strong"/>
          <w:rFonts w:ascii="Book Antiqua" w:hAnsi="Book Antiqua" w:cs="Times New Roman"/>
          <w:b w:val="0"/>
          <w:color w:val="000000"/>
          <w:sz w:val="24"/>
          <w:szCs w:val="24"/>
        </w:rPr>
        <w:t>controlled studies in p</w:t>
      </w:r>
      <w:r w:rsidR="00686BD7" w:rsidRPr="00242455">
        <w:rPr>
          <w:rStyle w:val="Strong"/>
          <w:rFonts w:ascii="Book Antiqua" w:hAnsi="Book Antiqua" w:cs="Times New Roman"/>
          <w:b w:val="0"/>
          <w:color w:val="000000"/>
          <w:sz w:val="24"/>
          <w:szCs w:val="24"/>
        </w:rPr>
        <w:t>regnant women</w:t>
      </w:r>
      <w:r w:rsidRPr="00242455">
        <w:rPr>
          <w:rStyle w:val="Strong"/>
          <w:rFonts w:ascii="Book Antiqua" w:hAnsi="Book Antiqua" w:cs="Times New Roman"/>
          <w:b w:val="0"/>
          <w:color w:val="000000"/>
          <w:sz w:val="24"/>
          <w:szCs w:val="24"/>
        </w:rPr>
        <w:t>.</w:t>
      </w:r>
    </w:p>
    <w:p w14:paraId="57D23C9A" w14:textId="77777777" w:rsidR="00C74ECA" w:rsidRDefault="00C74ECA" w:rsidP="007C0097">
      <w:pPr>
        <w:widowControl w:val="0"/>
        <w:overflowPunct w:val="0"/>
        <w:autoSpaceDE w:val="0"/>
        <w:autoSpaceDN w:val="0"/>
        <w:spacing w:line="360" w:lineRule="auto"/>
        <w:ind w:firstLineChars="100" w:firstLine="240"/>
        <w:jc w:val="both"/>
        <w:rPr>
          <w:rFonts w:ascii="Book Antiqua" w:hAnsi="Book Antiqua" w:cs="Times New Roman"/>
          <w:bCs/>
          <w:color w:val="000000"/>
          <w:sz w:val="24"/>
          <w:szCs w:val="24"/>
          <w:lang w:eastAsia="zh-CN"/>
        </w:rPr>
      </w:pPr>
      <w:r w:rsidRPr="00242455">
        <w:rPr>
          <w:rStyle w:val="Strong"/>
          <w:rFonts w:ascii="Book Antiqua" w:hAnsi="Book Antiqua" w:cs="Times New Roman"/>
          <w:b w:val="0"/>
          <w:color w:val="000000"/>
          <w:sz w:val="24"/>
          <w:szCs w:val="24"/>
        </w:rPr>
        <w:t xml:space="preserve">Does the </w:t>
      </w:r>
      <w:r w:rsidR="00357DDA" w:rsidRPr="00242455">
        <w:rPr>
          <w:rFonts w:ascii="Book Antiqua" w:hAnsi="Book Antiqua" w:cs="Times New Roman"/>
          <w:bCs/>
          <w:color w:val="000000"/>
          <w:sz w:val="24"/>
          <w:szCs w:val="24"/>
        </w:rPr>
        <w:t>l</w:t>
      </w:r>
      <w:r w:rsidRPr="00242455">
        <w:rPr>
          <w:rFonts w:ascii="Book Antiqua" w:hAnsi="Book Antiqua" w:cs="Times New Roman"/>
          <w:bCs/>
          <w:color w:val="000000"/>
          <w:sz w:val="24"/>
          <w:szCs w:val="24"/>
        </w:rPr>
        <w:t>edipasvir</w:t>
      </w:r>
      <w:r w:rsidR="00686BD7" w:rsidRPr="00242455">
        <w:rPr>
          <w:rFonts w:ascii="Book Antiqua" w:hAnsi="Book Antiqua" w:cs="Times New Roman"/>
          <w:bCs/>
          <w:color w:val="000000"/>
          <w:sz w:val="24"/>
          <w:szCs w:val="24"/>
        </w:rPr>
        <w:t>-sofosbuvir regimen have contra</w:t>
      </w:r>
      <w:r w:rsidRPr="00242455">
        <w:rPr>
          <w:rFonts w:ascii="Book Antiqua" w:hAnsi="Book Antiqua" w:cs="Times New Roman"/>
          <w:bCs/>
          <w:color w:val="000000"/>
          <w:sz w:val="24"/>
          <w:szCs w:val="24"/>
        </w:rPr>
        <w:t xml:space="preserve">indications with any psychiatric medications, requiring close scrutiny in patients prescribed psychiatric medications? Prescribing information report no such noted conflicts, and </w:t>
      </w:r>
      <w:r w:rsidR="006B5DF9" w:rsidRPr="00242455">
        <w:rPr>
          <w:rFonts w:ascii="Book Antiqua" w:hAnsi="Book Antiqua" w:cs="Times New Roman"/>
          <w:bCs/>
          <w:color w:val="000000"/>
          <w:sz w:val="24"/>
          <w:szCs w:val="24"/>
        </w:rPr>
        <w:t xml:space="preserve">neither of the two component medications have metabolism by CYP cytochromes, a common biological indicator of possible drug-drug difficulties for psychiatric medications. Post-marketing surveillance has </w:t>
      </w:r>
      <w:r w:rsidR="00686BD7" w:rsidRPr="00242455">
        <w:rPr>
          <w:rFonts w:ascii="Book Antiqua" w:hAnsi="Book Antiqua" w:cs="Times New Roman"/>
          <w:bCs/>
          <w:color w:val="000000"/>
          <w:sz w:val="24"/>
          <w:szCs w:val="24"/>
        </w:rPr>
        <w:t>been brief, but thus far contra</w:t>
      </w:r>
      <w:r w:rsidR="006B5DF9" w:rsidRPr="00242455">
        <w:rPr>
          <w:rFonts w:ascii="Book Antiqua" w:hAnsi="Book Antiqua" w:cs="Times New Roman"/>
          <w:bCs/>
          <w:color w:val="000000"/>
          <w:sz w:val="24"/>
          <w:szCs w:val="24"/>
        </w:rPr>
        <w:t xml:space="preserve">indications for psychiatric medications </w:t>
      </w:r>
      <w:r w:rsidR="006B5DF9" w:rsidRPr="00242455">
        <w:rPr>
          <w:rFonts w:ascii="Book Antiqua" w:hAnsi="Book Antiqua" w:cs="Times New Roman"/>
          <w:bCs/>
          <w:color w:val="000000"/>
          <w:sz w:val="24"/>
          <w:szCs w:val="24"/>
        </w:rPr>
        <w:lastRenderedPageBreak/>
        <w:t xml:space="preserve">have not </w:t>
      </w:r>
      <w:r w:rsidR="00686BD7" w:rsidRPr="00242455">
        <w:rPr>
          <w:rFonts w:ascii="Book Antiqua" w:hAnsi="Book Antiqua" w:cs="Times New Roman"/>
          <w:bCs/>
          <w:color w:val="000000"/>
          <w:sz w:val="24"/>
          <w:szCs w:val="24"/>
        </w:rPr>
        <w:t>been detected</w:t>
      </w:r>
      <w:r w:rsidR="006B5DF9" w:rsidRPr="00242455">
        <w:rPr>
          <w:rFonts w:ascii="Book Antiqua" w:hAnsi="Book Antiqua" w:cs="Times New Roman"/>
          <w:bCs/>
          <w:color w:val="000000"/>
          <w:sz w:val="24"/>
          <w:szCs w:val="24"/>
        </w:rPr>
        <w:t xml:space="preserve"> for this regimen.</w:t>
      </w:r>
    </w:p>
    <w:p w14:paraId="376BCEB1" w14:textId="77777777" w:rsidR="002E6E6C" w:rsidRPr="00242455" w:rsidRDefault="002E6E6C" w:rsidP="007C0097">
      <w:pPr>
        <w:widowControl w:val="0"/>
        <w:overflowPunct w:val="0"/>
        <w:autoSpaceDE w:val="0"/>
        <w:autoSpaceDN w:val="0"/>
        <w:spacing w:line="360" w:lineRule="auto"/>
        <w:ind w:firstLineChars="100" w:firstLine="240"/>
        <w:jc w:val="both"/>
        <w:rPr>
          <w:rFonts w:ascii="Book Antiqua" w:hAnsi="Book Antiqua" w:cs="Times New Roman"/>
          <w:bCs/>
          <w:color w:val="000000"/>
          <w:sz w:val="24"/>
          <w:szCs w:val="24"/>
          <w:lang w:eastAsia="zh-CN"/>
        </w:rPr>
      </w:pPr>
    </w:p>
    <w:p w14:paraId="3DE5219C" w14:textId="77777777" w:rsidR="00B25EE7" w:rsidRPr="002E6E6C" w:rsidRDefault="00AF13DE" w:rsidP="007C0097">
      <w:pPr>
        <w:widowControl w:val="0"/>
        <w:overflowPunct w:val="0"/>
        <w:autoSpaceDE w:val="0"/>
        <w:autoSpaceDN w:val="0"/>
        <w:spacing w:line="360" w:lineRule="auto"/>
        <w:contextualSpacing/>
        <w:jc w:val="both"/>
        <w:rPr>
          <w:rFonts w:ascii="Book Antiqua" w:hAnsi="Book Antiqua" w:cs="Times New Roman"/>
          <w:b/>
          <w:bCs/>
          <w:i/>
          <w:color w:val="000000"/>
          <w:sz w:val="24"/>
          <w:szCs w:val="24"/>
        </w:rPr>
      </w:pPr>
      <w:r w:rsidRPr="002E6E6C">
        <w:rPr>
          <w:rFonts w:ascii="Book Antiqua" w:hAnsi="Book Antiqua" w:cs="Times New Roman"/>
          <w:b/>
          <w:bCs/>
          <w:i/>
          <w:color w:val="000000"/>
          <w:sz w:val="24"/>
          <w:szCs w:val="24"/>
        </w:rPr>
        <w:t>O</w:t>
      </w:r>
      <w:r w:rsidR="002E6E6C" w:rsidRPr="002E6E6C">
        <w:rPr>
          <w:rFonts w:ascii="Book Antiqua" w:hAnsi="Book Antiqua" w:cs="Times New Roman"/>
          <w:b/>
          <w:bCs/>
          <w:i/>
          <w:color w:val="000000"/>
          <w:sz w:val="24"/>
          <w:szCs w:val="24"/>
        </w:rPr>
        <w:t>mbitasvir-paritaprevir-ritonavir and dasabuvir</w:t>
      </w:r>
      <w:r w:rsidR="00357DDA" w:rsidRPr="002E6E6C">
        <w:rPr>
          <w:rFonts w:ascii="Book Antiqua" w:hAnsi="Book Antiqua" w:cs="Times New Roman"/>
          <w:b/>
          <w:bCs/>
          <w:i/>
          <w:color w:val="000000"/>
          <w:sz w:val="24"/>
          <w:szCs w:val="24"/>
        </w:rPr>
        <w:t>: Psychosocial</w:t>
      </w:r>
      <w:r w:rsidR="002E6E6C" w:rsidRPr="002E6E6C">
        <w:rPr>
          <w:rFonts w:ascii="Book Antiqua" w:hAnsi="Book Antiqua" w:cs="Times New Roman"/>
          <w:b/>
          <w:bCs/>
          <w:i/>
          <w:color w:val="000000"/>
          <w:sz w:val="24"/>
          <w:szCs w:val="24"/>
        </w:rPr>
        <w:t xml:space="preserve"> aspects</w:t>
      </w:r>
    </w:p>
    <w:p w14:paraId="1A473830" w14:textId="77777777" w:rsidR="00A60E4F" w:rsidRPr="00242455" w:rsidRDefault="002B706D" w:rsidP="007C0097">
      <w:pPr>
        <w:widowControl w:val="0"/>
        <w:overflowPunct w:val="0"/>
        <w:autoSpaceDE w:val="0"/>
        <w:autoSpaceDN w:val="0"/>
        <w:spacing w:line="360" w:lineRule="auto"/>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 xml:space="preserve">Ombitasvir-paritaprevir-ritonavir plus dasabuvir is commercially available as Viekira Pak®, which is a once daily pill of ombitasvir-paritaprevir-ritonavir and </w:t>
      </w:r>
      <w:r w:rsidR="002E6E6C">
        <w:rPr>
          <w:rFonts w:ascii="Book Antiqua" w:hAnsi="Book Antiqua" w:cs="Times New Roman"/>
          <w:bCs/>
          <w:color w:val="000000"/>
          <w:sz w:val="24"/>
          <w:szCs w:val="24"/>
        </w:rPr>
        <w:t>a twice daily pill of dasabuvir</w:t>
      </w:r>
      <w:r w:rsidRPr="00242455">
        <w:rPr>
          <w:rFonts w:ascii="Book Antiqua" w:hAnsi="Book Antiqua" w:cs="Times New Roman"/>
          <w:bCs/>
          <w:color w:val="000000"/>
          <w:sz w:val="24"/>
          <w:szCs w:val="24"/>
        </w:rPr>
        <w:fldChar w:fldCharType="begin"/>
      </w:r>
      <w:r w:rsidRPr="00242455">
        <w:rPr>
          <w:rFonts w:ascii="Book Antiqua" w:hAnsi="Book Antiqua" w:cs="Times New Roman"/>
          <w:bCs/>
          <w:color w:val="000000"/>
          <w:sz w:val="24"/>
          <w:szCs w:val="24"/>
        </w:rPr>
        <w:instrText xml:space="preserve"> ADDIN EN.CITE &lt;EndNote&gt;&lt;Cite&gt;&lt;Author&gt;Gohil&lt;/Author&gt;&lt;Year&gt;2015&lt;/Year&gt;&lt;RecNum&gt;15&lt;/RecNum&gt;&lt;record&gt;&lt;rec-number&gt;15&lt;/rec-number&gt;&lt;foreign-keys&gt;&lt;key app="EN" db-id="2wvw5zsvq5w0wiedsesxzaarvawzzfd9r0pf"&gt;15&lt;/key&gt;&lt;/foreign-keys&gt;&lt;ref-type name="Journal Article"&gt;17&lt;/ref-type&gt;&lt;contributors&gt;&lt;authors&gt;&lt;author&gt;Gohil, K.&lt;/author&gt;&lt;/authors&gt;&lt;/contributors&gt;&lt;titles&gt;&lt;title&gt;Pharmaceutical approval update&lt;/title&gt;&lt;secondary-title&gt;P T&lt;/secondary-title&gt;&lt;/titles&gt;&lt;periodical&gt;&lt;full-title&gt;P T&lt;/full-title&gt;&lt;/periodical&gt;&lt;pages&gt;172-3&lt;/pages&gt;&lt;volume&gt;40&lt;/volume&gt;&lt;number&gt;3&lt;/number&gt;&lt;edition&gt;2015/04/16&lt;/edition&gt;&lt;dates&gt;&lt;year&gt;2015&lt;/year&gt;&lt;pub-dates&gt;&lt;date&gt;Mar&lt;/date&gt;&lt;/pub-dates&gt;&lt;/dates&gt;&lt;isbn&gt;1052-1372 (Print)&amp;#xD;1052-1372 (Linking)&lt;/isbn&gt;&lt;accession-num&gt;25873776&lt;/accession-num&gt;&lt;urls&gt;&lt;related-urls&gt;&lt;url&gt;http://www.ncbi.nlm.nih.gov/pubmed/25873776&lt;/url&gt;&lt;/related-urls&gt;&lt;/urls&gt;&lt;language&gt;eng&lt;/language&gt;&lt;/record&gt;&lt;/Cite&gt;&lt;/EndNote&gt;</w:instrText>
      </w:r>
      <w:r w:rsidRPr="00242455">
        <w:rPr>
          <w:rFonts w:ascii="Book Antiqua" w:hAnsi="Book Antiqua" w:cs="Times New Roman"/>
          <w:bCs/>
          <w:color w:val="000000"/>
          <w:sz w:val="24"/>
          <w:szCs w:val="24"/>
        </w:rPr>
        <w:fldChar w:fldCharType="separate"/>
      </w:r>
      <w:r w:rsidR="00782B84" w:rsidRPr="00242455">
        <w:rPr>
          <w:rFonts w:ascii="Book Antiqua" w:hAnsi="Book Antiqua" w:cs="Times New Roman"/>
          <w:bCs/>
          <w:color w:val="000000"/>
          <w:sz w:val="24"/>
          <w:szCs w:val="24"/>
          <w:vertAlign w:val="superscript"/>
        </w:rPr>
        <w:t>[16</w:t>
      </w:r>
      <w:r w:rsidRPr="00242455">
        <w:rPr>
          <w:rFonts w:ascii="Book Antiqua" w:hAnsi="Book Antiqua" w:cs="Times New Roman"/>
          <w:bCs/>
          <w:color w:val="000000"/>
          <w:sz w:val="24"/>
          <w:szCs w:val="24"/>
          <w:vertAlign w:val="superscript"/>
        </w:rPr>
        <w:t>]</w:t>
      </w:r>
      <w:r w:rsidRPr="00242455">
        <w:rPr>
          <w:rFonts w:ascii="Book Antiqua" w:hAnsi="Book Antiqua" w:cs="Times New Roman"/>
          <w:bCs/>
          <w:color w:val="000000"/>
          <w:sz w:val="24"/>
          <w:szCs w:val="24"/>
        </w:rPr>
        <w:fldChar w:fldCharType="end"/>
      </w:r>
      <w:r w:rsidRPr="00242455">
        <w:rPr>
          <w:rFonts w:ascii="Book Antiqua" w:hAnsi="Book Antiqua" w:cs="Times New Roman"/>
          <w:bCs/>
          <w:color w:val="000000"/>
          <w:sz w:val="24"/>
          <w:szCs w:val="24"/>
        </w:rPr>
        <w:t>.</w:t>
      </w:r>
      <w:r w:rsidR="00357DDA" w:rsidRPr="00242455">
        <w:rPr>
          <w:rFonts w:ascii="Book Antiqua" w:hAnsi="Book Antiqua" w:cs="Times New Roman"/>
          <w:bCs/>
          <w:color w:val="000000"/>
          <w:sz w:val="24"/>
          <w:szCs w:val="24"/>
        </w:rPr>
        <w:t xml:space="preserve"> </w:t>
      </w:r>
      <w:r w:rsidR="00A60E4F" w:rsidRPr="00242455">
        <w:rPr>
          <w:rFonts w:ascii="Book Antiqua" w:hAnsi="Book Antiqua" w:cs="Times New Roman"/>
          <w:bCs/>
          <w:color w:val="000000"/>
          <w:sz w:val="24"/>
          <w:szCs w:val="24"/>
        </w:rPr>
        <w:t>Two related studies</w:t>
      </w:r>
      <w:r w:rsidR="005E3202" w:rsidRPr="00242455">
        <w:rPr>
          <w:rFonts w:ascii="Book Antiqua" w:hAnsi="Book Antiqua" w:cs="Times New Roman"/>
          <w:bCs/>
          <w:color w:val="000000"/>
          <w:sz w:val="24"/>
          <w:szCs w:val="24"/>
        </w:rPr>
        <w:t xml:space="preserve"> with similar potocols</w:t>
      </w:r>
      <w:r w:rsidR="00A60E4F" w:rsidRPr="00242455">
        <w:rPr>
          <w:rFonts w:ascii="Book Antiqua" w:hAnsi="Book Antiqua" w:cs="Times New Roman"/>
          <w:bCs/>
          <w:color w:val="000000"/>
          <w:sz w:val="24"/>
          <w:szCs w:val="24"/>
        </w:rPr>
        <w:t>,</w:t>
      </w:r>
      <w:r w:rsidR="00B25EE7" w:rsidRPr="00242455">
        <w:rPr>
          <w:rFonts w:ascii="Book Antiqua" w:hAnsi="Book Antiqua" w:cs="Times New Roman"/>
          <w:bCs/>
          <w:color w:val="000000"/>
          <w:sz w:val="24"/>
          <w:szCs w:val="24"/>
        </w:rPr>
        <w:t xml:space="preserve"> PEARL-III and PEARL-IV</w:t>
      </w:r>
      <w:r w:rsidR="00782B84" w:rsidRPr="00242455">
        <w:rPr>
          <w:rFonts w:ascii="Book Antiqua" w:hAnsi="Book Antiqua" w:cs="Times New Roman"/>
          <w:bCs/>
          <w:color w:val="000000"/>
          <w:sz w:val="24"/>
          <w:szCs w:val="24"/>
          <w:vertAlign w:val="superscript"/>
        </w:rPr>
        <w:t>[16</w:t>
      </w:r>
      <w:r w:rsidR="00891876" w:rsidRPr="00242455">
        <w:rPr>
          <w:rFonts w:ascii="Book Antiqua" w:hAnsi="Book Antiqua" w:cs="Times New Roman"/>
          <w:bCs/>
          <w:color w:val="000000"/>
          <w:sz w:val="24"/>
          <w:szCs w:val="24"/>
          <w:vertAlign w:val="superscript"/>
        </w:rPr>
        <w:t>]</w:t>
      </w:r>
      <w:r w:rsidR="00686BD7" w:rsidRPr="00242455">
        <w:rPr>
          <w:rFonts w:ascii="Book Antiqua" w:hAnsi="Book Antiqua" w:cs="Times New Roman"/>
          <w:bCs/>
          <w:color w:val="000000"/>
          <w:sz w:val="24"/>
          <w:szCs w:val="24"/>
        </w:rPr>
        <w:t xml:space="preserve">, </w:t>
      </w:r>
      <w:r w:rsidR="00A60E4F" w:rsidRPr="00242455">
        <w:rPr>
          <w:rFonts w:ascii="Book Antiqua" w:hAnsi="Book Antiqua" w:cs="Times New Roman"/>
          <w:bCs/>
          <w:color w:val="000000"/>
          <w:sz w:val="24"/>
          <w:szCs w:val="24"/>
        </w:rPr>
        <w:t>assessed the efficacy and adverse events of this regimen.</w:t>
      </w:r>
      <w:r w:rsidR="00DA0551" w:rsidRPr="00242455">
        <w:rPr>
          <w:rFonts w:ascii="Book Antiqua" w:hAnsi="Book Antiqua" w:cs="Times New Roman"/>
          <w:bCs/>
          <w:color w:val="000000"/>
          <w:sz w:val="24"/>
          <w:szCs w:val="24"/>
        </w:rPr>
        <w:t xml:space="preserve"> </w:t>
      </w:r>
      <w:r w:rsidR="00B25EE7" w:rsidRPr="00242455">
        <w:rPr>
          <w:rFonts w:ascii="Book Antiqua" w:hAnsi="Book Antiqua" w:cs="Times New Roman"/>
          <w:bCs/>
          <w:color w:val="000000"/>
          <w:sz w:val="24"/>
          <w:szCs w:val="24"/>
        </w:rPr>
        <w:t xml:space="preserve">Each studied the ombitasvir-paritaprevir-ritonavir plus dasabuvir regimen with or without ribavirin in randomized, placebo-controlled trials. </w:t>
      </w:r>
      <w:r w:rsidR="00C603B6" w:rsidRPr="00242455">
        <w:rPr>
          <w:rFonts w:ascii="Book Antiqua" w:hAnsi="Book Antiqua" w:cs="Times New Roman"/>
          <w:bCs/>
          <w:color w:val="000000"/>
          <w:sz w:val="24"/>
          <w:szCs w:val="24"/>
        </w:rPr>
        <w:t xml:space="preserve">PEARL-IV </w:t>
      </w:r>
      <w:r w:rsidR="00357DDA" w:rsidRPr="00242455">
        <w:rPr>
          <w:rFonts w:ascii="Book Antiqua" w:hAnsi="Book Antiqua" w:cs="Times New Roman"/>
          <w:bCs/>
          <w:color w:val="000000"/>
          <w:sz w:val="24"/>
          <w:szCs w:val="24"/>
        </w:rPr>
        <w:t>studied</w:t>
      </w:r>
      <w:r w:rsidR="00C603B6" w:rsidRPr="00242455">
        <w:rPr>
          <w:rFonts w:ascii="Book Antiqua" w:hAnsi="Book Antiqua" w:cs="Times New Roman"/>
          <w:bCs/>
          <w:color w:val="000000"/>
          <w:sz w:val="24"/>
          <w:szCs w:val="24"/>
        </w:rPr>
        <w:t xml:space="preserve"> patients with geno</w:t>
      </w:r>
      <w:r w:rsidR="00357DDA" w:rsidRPr="00242455">
        <w:rPr>
          <w:rFonts w:ascii="Book Antiqua" w:hAnsi="Book Antiqua" w:cs="Times New Roman"/>
          <w:bCs/>
          <w:color w:val="000000"/>
          <w:sz w:val="24"/>
          <w:szCs w:val="24"/>
        </w:rPr>
        <w:t>type 1a, and PEARL-III studied</w:t>
      </w:r>
      <w:r w:rsidR="00C603B6" w:rsidRPr="00242455">
        <w:rPr>
          <w:rFonts w:ascii="Book Antiqua" w:hAnsi="Book Antiqua" w:cs="Times New Roman"/>
          <w:bCs/>
          <w:color w:val="000000"/>
          <w:sz w:val="24"/>
          <w:szCs w:val="24"/>
        </w:rPr>
        <w:t xml:space="preserve"> those with genotype 1b. </w:t>
      </w:r>
      <w:r w:rsidR="00A60E4F" w:rsidRPr="00242455">
        <w:rPr>
          <w:rFonts w:ascii="Book Antiqua" w:hAnsi="Book Antiqua" w:cs="Times New Roman"/>
          <w:bCs/>
          <w:color w:val="000000"/>
          <w:sz w:val="24"/>
          <w:szCs w:val="24"/>
        </w:rPr>
        <w:t>The placebo arms (no ribavirin) of each of these studies provide relevant data regarding possible psychosocial issu</w:t>
      </w:r>
      <w:r w:rsidR="00CF4300" w:rsidRPr="00242455">
        <w:rPr>
          <w:rFonts w:ascii="Book Antiqua" w:hAnsi="Book Antiqua" w:cs="Times New Roman"/>
          <w:bCs/>
          <w:color w:val="000000"/>
          <w:sz w:val="24"/>
          <w:szCs w:val="24"/>
        </w:rPr>
        <w:t>es to be assessed and monitored in this no-interferon-alpha, no-ribavirin regimen.</w:t>
      </w:r>
    </w:p>
    <w:p w14:paraId="39434D19" w14:textId="77777777" w:rsidR="00C603B6" w:rsidRPr="00242455" w:rsidRDefault="00C1495B"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Potential participants with c</w:t>
      </w:r>
      <w:r w:rsidR="006B568A" w:rsidRPr="00242455">
        <w:rPr>
          <w:rFonts w:ascii="Book Antiqua" w:hAnsi="Book Antiqua" w:cs="Times New Roman"/>
          <w:bCs/>
          <w:color w:val="000000"/>
          <w:sz w:val="24"/>
          <w:szCs w:val="24"/>
        </w:rPr>
        <w:t xml:space="preserve">urrent or recent alcohol or substance abuse (recent </w:t>
      </w:r>
      <w:r w:rsidR="002E6E6C">
        <w:rPr>
          <w:rFonts w:ascii="Book Antiqua" w:hAnsi="Book Antiqua" w:cs="Times New Roman" w:hint="eastAsia"/>
          <w:bCs/>
          <w:color w:val="000000"/>
          <w:sz w:val="24"/>
          <w:szCs w:val="24"/>
          <w:lang w:eastAsia="zh-CN"/>
        </w:rPr>
        <w:t>6</w:t>
      </w:r>
      <w:r w:rsidR="006B568A" w:rsidRPr="00242455">
        <w:rPr>
          <w:rFonts w:ascii="Book Antiqua" w:hAnsi="Book Antiqua" w:cs="Times New Roman"/>
          <w:bCs/>
          <w:color w:val="000000"/>
          <w:sz w:val="24"/>
          <w:szCs w:val="24"/>
        </w:rPr>
        <w:t xml:space="preserve"> mo</w:t>
      </w:r>
      <w:r w:rsidRPr="00242455">
        <w:rPr>
          <w:rFonts w:ascii="Book Antiqua" w:hAnsi="Book Antiqua" w:cs="Times New Roman"/>
          <w:bCs/>
          <w:color w:val="000000"/>
          <w:sz w:val="24"/>
          <w:szCs w:val="24"/>
        </w:rPr>
        <w:t>) were excluded</w:t>
      </w:r>
      <w:r w:rsidR="006B568A" w:rsidRPr="00242455">
        <w:rPr>
          <w:rFonts w:ascii="Book Antiqua" w:hAnsi="Book Antiqua" w:cs="Times New Roman"/>
          <w:bCs/>
          <w:color w:val="000000"/>
          <w:sz w:val="24"/>
          <w:szCs w:val="24"/>
        </w:rPr>
        <w:t>, but otherwise psychiatr</w:t>
      </w:r>
      <w:r w:rsidR="00C603B6" w:rsidRPr="00242455">
        <w:rPr>
          <w:rFonts w:ascii="Book Antiqua" w:hAnsi="Book Antiqua" w:cs="Times New Roman"/>
          <w:bCs/>
          <w:color w:val="000000"/>
          <w:sz w:val="24"/>
          <w:szCs w:val="24"/>
        </w:rPr>
        <w:t xml:space="preserve">ic comorbidity was not </w:t>
      </w:r>
      <w:r w:rsidR="006B568A" w:rsidRPr="00242455">
        <w:rPr>
          <w:rFonts w:ascii="Book Antiqua" w:hAnsi="Book Antiqua" w:cs="Times New Roman"/>
          <w:bCs/>
          <w:color w:val="000000"/>
          <w:sz w:val="24"/>
          <w:szCs w:val="24"/>
        </w:rPr>
        <w:t>an exclusion.</w:t>
      </w:r>
      <w:r w:rsidR="00C603B6" w:rsidRPr="00242455">
        <w:rPr>
          <w:rFonts w:ascii="Book Antiqua" w:hAnsi="Book Antiqua" w:cs="Times New Roman"/>
          <w:bCs/>
          <w:color w:val="000000"/>
          <w:sz w:val="24"/>
          <w:szCs w:val="24"/>
        </w:rPr>
        <w:t xml:space="preserve"> </w:t>
      </w:r>
      <w:r w:rsidR="00B25EE7" w:rsidRPr="00242455">
        <w:rPr>
          <w:rFonts w:ascii="Book Antiqua" w:hAnsi="Book Antiqua" w:cs="Times New Roman"/>
          <w:bCs/>
          <w:color w:val="000000"/>
          <w:sz w:val="24"/>
          <w:szCs w:val="24"/>
        </w:rPr>
        <w:t>Together, in the placebo arms</w:t>
      </w:r>
      <w:r w:rsidRPr="00242455">
        <w:rPr>
          <w:rFonts w:ascii="Book Antiqua" w:hAnsi="Book Antiqua" w:cs="Times New Roman"/>
          <w:bCs/>
          <w:color w:val="000000"/>
          <w:sz w:val="24"/>
          <w:szCs w:val="24"/>
        </w:rPr>
        <w:t xml:space="preserve"> (no ribavirin)</w:t>
      </w:r>
      <w:r w:rsidR="00B25EE7" w:rsidRPr="00242455">
        <w:rPr>
          <w:rFonts w:ascii="Book Antiqua" w:hAnsi="Book Antiqua" w:cs="Times New Roman"/>
          <w:bCs/>
          <w:color w:val="000000"/>
          <w:sz w:val="24"/>
          <w:szCs w:val="24"/>
        </w:rPr>
        <w:t xml:space="preserve">, there were </w:t>
      </w:r>
      <w:r w:rsidR="006B568A" w:rsidRPr="00242455">
        <w:rPr>
          <w:rFonts w:ascii="Book Antiqua" w:hAnsi="Book Antiqua" w:cs="Times New Roman"/>
          <w:bCs/>
          <w:color w:val="000000"/>
          <w:sz w:val="24"/>
          <w:szCs w:val="24"/>
        </w:rPr>
        <w:t>414 participants who pa</w:t>
      </w:r>
      <w:r w:rsidR="003D2BA7">
        <w:rPr>
          <w:rFonts w:ascii="Book Antiqua" w:hAnsi="Book Antiqua" w:cs="Times New Roman"/>
          <w:bCs/>
          <w:color w:val="000000"/>
          <w:sz w:val="24"/>
          <w:szCs w:val="24"/>
        </w:rPr>
        <w:t>rticipated in 12</w:t>
      </w:r>
      <w:r w:rsidR="003D2BA7">
        <w:rPr>
          <w:rFonts w:ascii="Book Antiqua" w:hAnsi="Book Antiqua" w:cs="Times New Roman" w:hint="eastAsia"/>
          <w:bCs/>
          <w:color w:val="000000"/>
          <w:sz w:val="24"/>
          <w:szCs w:val="24"/>
          <w:lang w:eastAsia="zh-CN"/>
        </w:rPr>
        <w:t xml:space="preserve"> </w:t>
      </w:r>
      <w:r w:rsidR="003D2BA7">
        <w:rPr>
          <w:rFonts w:ascii="Book Antiqua" w:hAnsi="Book Antiqua" w:cs="Times New Roman"/>
          <w:bCs/>
          <w:color w:val="000000"/>
          <w:sz w:val="24"/>
          <w:szCs w:val="24"/>
        </w:rPr>
        <w:t>w</w:t>
      </w:r>
      <w:r w:rsidR="00357DDA" w:rsidRPr="00242455">
        <w:rPr>
          <w:rFonts w:ascii="Book Antiqua" w:hAnsi="Book Antiqua" w:cs="Times New Roman"/>
          <w:bCs/>
          <w:color w:val="000000"/>
          <w:sz w:val="24"/>
          <w:szCs w:val="24"/>
        </w:rPr>
        <w:t>k treatment</w:t>
      </w:r>
      <w:r w:rsidR="006B568A" w:rsidRPr="00242455">
        <w:rPr>
          <w:rFonts w:ascii="Book Antiqua" w:hAnsi="Book Antiqua" w:cs="Times New Roman"/>
          <w:bCs/>
          <w:color w:val="000000"/>
          <w:sz w:val="24"/>
          <w:szCs w:val="24"/>
        </w:rPr>
        <w:t>. Aside from those discontinuing treatment due to virologic failure or to adverse events that had no psychosocial aspect, there were only 6 (</w:t>
      </w:r>
      <w:r w:rsidR="00273D0D" w:rsidRPr="00242455">
        <w:rPr>
          <w:rFonts w:ascii="Book Antiqua" w:hAnsi="Book Antiqua" w:cs="Times New Roman"/>
          <w:bCs/>
          <w:color w:val="000000"/>
          <w:sz w:val="24"/>
          <w:szCs w:val="24"/>
        </w:rPr>
        <w:t>1.4</w:t>
      </w:r>
      <w:r w:rsidR="006B568A" w:rsidRPr="00242455">
        <w:rPr>
          <w:rFonts w:ascii="Book Antiqua" w:hAnsi="Book Antiqua" w:cs="Times New Roman"/>
          <w:bCs/>
          <w:color w:val="000000"/>
          <w:sz w:val="24"/>
          <w:szCs w:val="24"/>
        </w:rPr>
        <w:t>%) who did not complete treatment (consent withdrawn, lost to follow-up, or “other”</w:t>
      </w:r>
      <w:r w:rsidR="00033BF7" w:rsidRPr="00242455">
        <w:rPr>
          <w:rFonts w:ascii="Book Antiqua" w:hAnsi="Book Antiqua" w:cs="Times New Roman"/>
          <w:bCs/>
          <w:color w:val="000000"/>
          <w:sz w:val="24"/>
          <w:szCs w:val="24"/>
        </w:rPr>
        <w:t xml:space="preserve"> reason). As noted earlier, reason for loss to follow-up cannot be ascertained, but it must be considered that </w:t>
      </w:r>
      <w:r w:rsidR="00695728" w:rsidRPr="00242455">
        <w:rPr>
          <w:rFonts w:ascii="Book Antiqua" w:hAnsi="Book Antiqua" w:cs="Times New Roman"/>
          <w:bCs/>
          <w:color w:val="000000"/>
          <w:sz w:val="24"/>
          <w:szCs w:val="24"/>
        </w:rPr>
        <w:t>psychiatric side effects or adverse events could be involved.</w:t>
      </w:r>
      <w:r w:rsidR="00686BD7" w:rsidRPr="00242455">
        <w:rPr>
          <w:rFonts w:ascii="Book Antiqua" w:hAnsi="Book Antiqua" w:cs="Times New Roman"/>
          <w:bCs/>
          <w:color w:val="000000"/>
          <w:sz w:val="24"/>
          <w:szCs w:val="24"/>
        </w:rPr>
        <w:t xml:space="preserve"> These rates of non-completion are far lower than the rates, noted earlier, for interferon-alpha regimens.</w:t>
      </w:r>
    </w:p>
    <w:p w14:paraId="65F192BE" w14:textId="77777777" w:rsidR="00C603B6" w:rsidRPr="00242455" w:rsidRDefault="00686BD7"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The Supplementary M</w:t>
      </w:r>
      <w:r w:rsidR="00C603B6" w:rsidRPr="00242455">
        <w:rPr>
          <w:rFonts w:ascii="Book Antiqua" w:hAnsi="Book Antiqua" w:cs="Times New Roman"/>
          <w:bCs/>
          <w:color w:val="000000"/>
          <w:sz w:val="24"/>
          <w:szCs w:val="24"/>
        </w:rPr>
        <w:t xml:space="preserve">aterials </w:t>
      </w:r>
      <w:r w:rsidR="00EB1995" w:rsidRPr="00242455">
        <w:rPr>
          <w:rFonts w:ascii="Book Antiqua" w:hAnsi="Book Antiqua" w:cs="Times New Roman"/>
          <w:bCs/>
          <w:color w:val="000000"/>
          <w:sz w:val="24"/>
          <w:szCs w:val="24"/>
        </w:rPr>
        <w:t xml:space="preserve">for PEARL-III and IV </w:t>
      </w:r>
      <w:r w:rsidR="00CF4300" w:rsidRPr="00242455">
        <w:rPr>
          <w:rFonts w:ascii="Book Antiqua" w:hAnsi="Book Antiqua" w:cs="Times New Roman"/>
          <w:bCs/>
          <w:color w:val="000000"/>
          <w:sz w:val="24"/>
          <w:szCs w:val="24"/>
        </w:rPr>
        <w:t xml:space="preserve">note </w:t>
      </w:r>
      <w:r w:rsidR="00C603B6" w:rsidRPr="00242455">
        <w:rPr>
          <w:rFonts w:ascii="Book Antiqua" w:hAnsi="Book Antiqua" w:cs="Times New Roman"/>
          <w:bCs/>
          <w:color w:val="000000"/>
          <w:sz w:val="24"/>
          <w:szCs w:val="24"/>
        </w:rPr>
        <w:t xml:space="preserve">adverse </w:t>
      </w:r>
      <w:r w:rsidR="00EB1995" w:rsidRPr="00242455">
        <w:rPr>
          <w:rFonts w:ascii="Book Antiqua" w:hAnsi="Book Antiqua" w:cs="Times New Roman"/>
          <w:bCs/>
          <w:color w:val="000000"/>
          <w:sz w:val="24"/>
          <w:szCs w:val="24"/>
        </w:rPr>
        <w:t xml:space="preserve">events, reported per </w:t>
      </w:r>
      <w:r w:rsidR="00C603B6" w:rsidRPr="00242455">
        <w:rPr>
          <w:rFonts w:ascii="Book Antiqua" w:hAnsi="Book Antiqua" w:cs="Times New Roman"/>
          <w:bCs/>
          <w:color w:val="000000"/>
          <w:sz w:val="24"/>
          <w:szCs w:val="24"/>
        </w:rPr>
        <w:t>Medical Dictionary for Regulatory Activities</w:t>
      </w:r>
      <w:r w:rsidR="00EB1995" w:rsidRPr="00242455">
        <w:rPr>
          <w:rFonts w:ascii="Book Antiqua" w:hAnsi="Book Antiqua" w:cs="Times New Roman"/>
          <w:bCs/>
          <w:color w:val="000000"/>
          <w:sz w:val="24"/>
          <w:szCs w:val="24"/>
        </w:rPr>
        <w:t xml:space="preserve"> (MEDDRA</w:t>
      </w:r>
      <w:r w:rsidR="00C603B6" w:rsidRPr="00242455">
        <w:rPr>
          <w:rFonts w:ascii="Book Antiqua" w:hAnsi="Book Antiqua" w:cs="Times New Roman"/>
          <w:bCs/>
          <w:color w:val="000000"/>
          <w:sz w:val="24"/>
          <w:szCs w:val="24"/>
        </w:rPr>
        <w:t xml:space="preserve">) </w:t>
      </w:r>
      <w:r w:rsidR="00D7503D" w:rsidRPr="00242455">
        <w:rPr>
          <w:rFonts w:ascii="Book Antiqua" w:hAnsi="Book Antiqua" w:cs="Times New Roman"/>
          <w:bCs/>
          <w:color w:val="000000"/>
          <w:sz w:val="24"/>
          <w:szCs w:val="24"/>
        </w:rPr>
        <w:t xml:space="preserve">vocabulary. </w:t>
      </w:r>
      <w:r w:rsidR="00C603B6" w:rsidRPr="00242455">
        <w:rPr>
          <w:rFonts w:ascii="Book Antiqua" w:hAnsi="Book Antiqua" w:cs="Times New Roman"/>
          <w:bCs/>
          <w:color w:val="000000"/>
          <w:sz w:val="24"/>
          <w:szCs w:val="24"/>
        </w:rPr>
        <w:t>No distinctly psychiatric adverse events are noted except for “memory impairment”</w:t>
      </w:r>
      <w:r w:rsidR="000D4A6E" w:rsidRPr="00242455">
        <w:rPr>
          <w:rFonts w:ascii="Book Antiqua" w:hAnsi="Book Antiqua" w:cs="Times New Roman"/>
          <w:bCs/>
          <w:color w:val="000000"/>
          <w:sz w:val="24"/>
          <w:szCs w:val="24"/>
        </w:rPr>
        <w:t>,</w:t>
      </w:r>
      <w:r w:rsidR="00C603B6" w:rsidRPr="00242455">
        <w:rPr>
          <w:rFonts w:ascii="Book Antiqua" w:hAnsi="Book Antiqua" w:cs="Times New Roman"/>
          <w:bCs/>
          <w:color w:val="000000"/>
          <w:sz w:val="24"/>
          <w:szCs w:val="24"/>
        </w:rPr>
        <w:t xml:space="preserve"> reported by 14 (3.3%) of participants in t</w:t>
      </w:r>
      <w:r w:rsidR="00DA0551" w:rsidRPr="00242455">
        <w:rPr>
          <w:rFonts w:ascii="Book Antiqua" w:hAnsi="Book Antiqua" w:cs="Times New Roman"/>
          <w:bCs/>
          <w:color w:val="000000"/>
          <w:sz w:val="24"/>
          <w:szCs w:val="24"/>
        </w:rPr>
        <w:t>he no-ribavirin arms of these studies</w:t>
      </w:r>
      <w:r w:rsidR="00076657" w:rsidRPr="00242455">
        <w:rPr>
          <w:rFonts w:ascii="Book Antiqua" w:hAnsi="Book Antiqua" w:cs="Times New Roman"/>
          <w:bCs/>
          <w:color w:val="000000"/>
          <w:sz w:val="24"/>
          <w:szCs w:val="24"/>
        </w:rPr>
        <w:t>.</w:t>
      </w:r>
    </w:p>
    <w:p w14:paraId="7F977AFB" w14:textId="77777777" w:rsidR="00DA0551" w:rsidRPr="00242455" w:rsidRDefault="00DA0551"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 xml:space="preserve">So, the ombitasvir-paritaprevir-ritonavir plus dasabuvir regimen seems to be well-tolerated, with strong compliance and a </w:t>
      </w:r>
      <w:r w:rsidR="00357DDA" w:rsidRPr="00242455">
        <w:rPr>
          <w:rFonts w:ascii="Book Antiqua" w:hAnsi="Book Antiqua" w:cs="Times New Roman"/>
          <w:bCs/>
          <w:color w:val="000000"/>
          <w:sz w:val="24"/>
          <w:szCs w:val="24"/>
        </w:rPr>
        <w:t>very small burden</w:t>
      </w:r>
      <w:r w:rsidRPr="00242455">
        <w:rPr>
          <w:rFonts w:ascii="Book Antiqua" w:hAnsi="Book Antiqua" w:cs="Times New Roman"/>
          <w:bCs/>
          <w:color w:val="000000"/>
          <w:sz w:val="24"/>
          <w:szCs w:val="24"/>
        </w:rPr>
        <w:t xml:space="preserve"> of psychiatric side effects. Substance abuse may reasonably be a contraindication; more data are likely needed on the degree that those with current or recent psychiatric difficulties may need to be delayed from treatment, but this regimen seems to hold promise for those with </w:t>
      </w:r>
      <w:r w:rsidRPr="00242455">
        <w:rPr>
          <w:rFonts w:ascii="Book Antiqua" w:hAnsi="Book Antiqua" w:cs="Times New Roman"/>
          <w:bCs/>
          <w:color w:val="000000"/>
          <w:sz w:val="24"/>
          <w:szCs w:val="24"/>
        </w:rPr>
        <w:lastRenderedPageBreak/>
        <w:t>psychiatric comorbidities.</w:t>
      </w:r>
    </w:p>
    <w:p w14:paraId="7155E7F7" w14:textId="77777777" w:rsidR="00C862C9" w:rsidRPr="00242455" w:rsidRDefault="00DA0551"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 xml:space="preserve">There are two well-recognized psychosocial issues with this regimen: the inclusion of ritonavir is problematic </w:t>
      </w:r>
      <w:r w:rsidR="002B706D" w:rsidRPr="00242455">
        <w:rPr>
          <w:rFonts w:ascii="Book Antiqua" w:hAnsi="Book Antiqua" w:cs="Times New Roman"/>
          <w:bCs/>
          <w:color w:val="000000"/>
          <w:sz w:val="24"/>
          <w:szCs w:val="24"/>
        </w:rPr>
        <w:t>for women of re</w:t>
      </w:r>
      <w:r w:rsidRPr="00242455">
        <w:rPr>
          <w:rFonts w:ascii="Book Antiqua" w:hAnsi="Book Antiqua" w:cs="Times New Roman"/>
          <w:bCs/>
          <w:color w:val="000000"/>
          <w:sz w:val="24"/>
          <w:szCs w:val="24"/>
        </w:rPr>
        <w:t>productive age, and there is a long list of drug-drug interaction</w:t>
      </w:r>
      <w:r w:rsidR="002B706D" w:rsidRPr="00242455">
        <w:rPr>
          <w:rFonts w:ascii="Book Antiqua" w:hAnsi="Book Antiqua" w:cs="Times New Roman"/>
          <w:bCs/>
          <w:color w:val="000000"/>
          <w:sz w:val="24"/>
          <w:szCs w:val="24"/>
        </w:rPr>
        <w:t>s between ritonavir and other medications,</w:t>
      </w:r>
      <w:r w:rsidRPr="00242455">
        <w:rPr>
          <w:rFonts w:ascii="Book Antiqua" w:hAnsi="Book Antiqua" w:cs="Times New Roman"/>
          <w:bCs/>
          <w:color w:val="000000"/>
          <w:sz w:val="24"/>
          <w:szCs w:val="24"/>
        </w:rPr>
        <w:t xml:space="preserve"> including several medications used for psychiatric </w:t>
      </w:r>
      <w:r w:rsidR="00F761C4" w:rsidRPr="00242455">
        <w:rPr>
          <w:rFonts w:ascii="Book Antiqua" w:hAnsi="Book Antiqua" w:cs="Times New Roman"/>
          <w:bCs/>
          <w:color w:val="000000"/>
          <w:sz w:val="24"/>
          <w:szCs w:val="24"/>
        </w:rPr>
        <w:t xml:space="preserve">indications. These challenges arise </w:t>
      </w:r>
      <w:r w:rsidR="00DE64CA" w:rsidRPr="00242455">
        <w:rPr>
          <w:rFonts w:ascii="Book Antiqua" w:hAnsi="Book Antiqua" w:cs="Times New Roman"/>
          <w:bCs/>
          <w:color w:val="000000"/>
          <w:sz w:val="24"/>
          <w:szCs w:val="24"/>
        </w:rPr>
        <w:t xml:space="preserve">mainly </w:t>
      </w:r>
      <w:r w:rsidR="00F761C4" w:rsidRPr="00242455">
        <w:rPr>
          <w:rFonts w:ascii="Book Antiqua" w:hAnsi="Book Antiqua" w:cs="Times New Roman"/>
          <w:bCs/>
          <w:color w:val="000000"/>
          <w:sz w:val="24"/>
          <w:szCs w:val="24"/>
        </w:rPr>
        <w:t>because ritonavir inhibits the liver enzyme</w:t>
      </w:r>
      <w:r w:rsidR="00357DDA" w:rsidRPr="00242455">
        <w:rPr>
          <w:rFonts w:ascii="Book Antiqua" w:hAnsi="Book Antiqua" w:cs="Times New Roman"/>
          <w:bCs/>
          <w:color w:val="000000"/>
          <w:sz w:val="24"/>
          <w:szCs w:val="24"/>
        </w:rPr>
        <w:t xml:space="preserve"> cytochrome P450-3A4</w:t>
      </w:r>
      <w:r w:rsidR="00E72275" w:rsidRPr="00242455">
        <w:rPr>
          <w:rFonts w:ascii="Book Antiqua" w:hAnsi="Book Antiqua" w:cs="Times New Roman"/>
          <w:bCs/>
          <w:color w:val="000000"/>
          <w:sz w:val="24"/>
          <w:szCs w:val="24"/>
          <w:vertAlign w:val="superscript"/>
        </w:rPr>
        <w:t>[17</w:t>
      </w:r>
      <w:r w:rsidR="00891876" w:rsidRPr="00242455">
        <w:rPr>
          <w:rFonts w:ascii="Book Antiqua" w:hAnsi="Book Antiqua" w:cs="Times New Roman"/>
          <w:bCs/>
          <w:color w:val="000000"/>
          <w:sz w:val="24"/>
          <w:szCs w:val="24"/>
          <w:vertAlign w:val="superscript"/>
        </w:rPr>
        <w:t>]</w:t>
      </w:r>
      <w:r w:rsidR="00357DDA" w:rsidRPr="00242455">
        <w:rPr>
          <w:rFonts w:ascii="Book Antiqua" w:hAnsi="Book Antiqua" w:cs="Times New Roman"/>
          <w:bCs/>
          <w:color w:val="000000"/>
          <w:sz w:val="24"/>
          <w:szCs w:val="24"/>
        </w:rPr>
        <w:t>, and so a</w:t>
      </w:r>
      <w:r w:rsidR="00F761C4" w:rsidRPr="00242455">
        <w:rPr>
          <w:rFonts w:ascii="Book Antiqua" w:hAnsi="Book Antiqua" w:cs="Times New Roman"/>
          <w:bCs/>
          <w:color w:val="000000"/>
          <w:sz w:val="24"/>
          <w:szCs w:val="24"/>
        </w:rPr>
        <w:t>ffects</w:t>
      </w:r>
      <w:r w:rsidR="00DE64CA" w:rsidRPr="00242455">
        <w:rPr>
          <w:rFonts w:ascii="Book Antiqua" w:hAnsi="Book Antiqua" w:cs="Times New Roman"/>
          <w:bCs/>
          <w:color w:val="000000"/>
          <w:sz w:val="24"/>
          <w:szCs w:val="24"/>
        </w:rPr>
        <w:t xml:space="preserve"> to some degree</w:t>
      </w:r>
      <w:r w:rsidR="00F761C4" w:rsidRPr="00242455">
        <w:rPr>
          <w:rFonts w:ascii="Book Antiqua" w:hAnsi="Book Antiqua" w:cs="Times New Roman"/>
          <w:bCs/>
          <w:color w:val="000000"/>
          <w:sz w:val="24"/>
          <w:szCs w:val="24"/>
        </w:rPr>
        <w:t xml:space="preserve"> t</w:t>
      </w:r>
      <w:r w:rsidR="00686BD7" w:rsidRPr="00242455">
        <w:rPr>
          <w:rFonts w:ascii="Book Antiqua" w:hAnsi="Book Antiqua" w:cs="Times New Roman"/>
          <w:bCs/>
          <w:color w:val="000000"/>
          <w:sz w:val="24"/>
          <w:szCs w:val="24"/>
        </w:rPr>
        <w:t>he pharmacokinetics of any drug</w:t>
      </w:r>
      <w:r w:rsidR="00F761C4" w:rsidRPr="00242455">
        <w:rPr>
          <w:rFonts w:ascii="Book Antiqua" w:hAnsi="Book Antiqua" w:cs="Times New Roman"/>
          <w:bCs/>
          <w:color w:val="000000"/>
          <w:sz w:val="24"/>
          <w:szCs w:val="24"/>
        </w:rPr>
        <w:t xml:space="preserve"> affected by this enzyme. </w:t>
      </w:r>
      <w:r w:rsidR="002B706D" w:rsidRPr="00242455">
        <w:rPr>
          <w:rFonts w:ascii="Book Antiqua" w:hAnsi="Book Antiqua" w:cs="Times New Roman"/>
          <w:bCs/>
          <w:color w:val="000000"/>
          <w:sz w:val="24"/>
          <w:szCs w:val="24"/>
        </w:rPr>
        <w:t>Extensive data exist regarding pharmacology of ritonavir because it has been recognized for years as part of efficacious HIV treatment</w:t>
      </w:r>
      <w:r w:rsidR="00891876" w:rsidRPr="00242455">
        <w:rPr>
          <w:rFonts w:ascii="Book Antiqua" w:hAnsi="Book Antiqua" w:cs="Times New Roman"/>
          <w:bCs/>
          <w:color w:val="000000"/>
          <w:sz w:val="24"/>
          <w:szCs w:val="24"/>
          <w:vertAlign w:val="superscript"/>
        </w:rPr>
        <w:t>[1</w:t>
      </w:r>
      <w:r w:rsidR="00E72275" w:rsidRPr="00242455">
        <w:rPr>
          <w:rFonts w:ascii="Book Antiqua" w:hAnsi="Book Antiqua" w:cs="Times New Roman"/>
          <w:bCs/>
          <w:color w:val="000000"/>
          <w:sz w:val="24"/>
          <w:szCs w:val="24"/>
          <w:vertAlign w:val="superscript"/>
        </w:rPr>
        <w:t>8</w:t>
      </w:r>
      <w:r w:rsidR="00891876" w:rsidRPr="00242455">
        <w:rPr>
          <w:rFonts w:ascii="Book Antiqua" w:hAnsi="Book Antiqua" w:cs="Times New Roman"/>
          <w:bCs/>
          <w:color w:val="000000"/>
          <w:sz w:val="24"/>
          <w:szCs w:val="24"/>
          <w:vertAlign w:val="superscript"/>
        </w:rPr>
        <w:t>]</w:t>
      </w:r>
      <w:r w:rsidR="00F761C4" w:rsidRPr="00242455">
        <w:rPr>
          <w:rFonts w:ascii="Book Antiqua" w:hAnsi="Book Antiqua" w:cs="Times New Roman"/>
          <w:bCs/>
          <w:color w:val="000000"/>
          <w:sz w:val="24"/>
          <w:szCs w:val="24"/>
        </w:rPr>
        <w:t xml:space="preserve">. </w:t>
      </w:r>
      <w:r w:rsidR="00C862C9" w:rsidRPr="00242455">
        <w:rPr>
          <w:rFonts w:ascii="Book Antiqua" w:hAnsi="Book Antiqua" w:cs="Times New Roman"/>
          <w:bCs/>
          <w:color w:val="000000"/>
          <w:sz w:val="24"/>
          <w:szCs w:val="24"/>
        </w:rPr>
        <w:t>Also, the University of California San Francisco “HIVInsite” website</w:t>
      </w:r>
      <w:r w:rsidR="00E72275" w:rsidRPr="00242455">
        <w:rPr>
          <w:rFonts w:ascii="Book Antiqua" w:hAnsi="Book Antiqua" w:cs="Times New Roman"/>
          <w:bCs/>
          <w:color w:val="000000"/>
          <w:sz w:val="24"/>
          <w:szCs w:val="24"/>
          <w:vertAlign w:val="superscript"/>
        </w:rPr>
        <w:t>[19</w:t>
      </w:r>
      <w:r w:rsidR="00891876" w:rsidRPr="00242455">
        <w:rPr>
          <w:rFonts w:ascii="Book Antiqua" w:hAnsi="Book Antiqua" w:cs="Times New Roman"/>
          <w:bCs/>
          <w:color w:val="000000"/>
          <w:sz w:val="24"/>
          <w:szCs w:val="24"/>
          <w:vertAlign w:val="superscript"/>
        </w:rPr>
        <w:t>]</w:t>
      </w:r>
      <w:r w:rsidR="00C862C9" w:rsidRPr="00242455">
        <w:rPr>
          <w:rFonts w:ascii="Book Antiqua" w:hAnsi="Book Antiqua" w:cs="Times New Roman"/>
          <w:bCs/>
          <w:color w:val="000000"/>
          <w:sz w:val="24"/>
          <w:szCs w:val="24"/>
        </w:rPr>
        <w:t xml:space="preserve"> has extensive data on </w:t>
      </w:r>
      <w:r w:rsidR="00E14EE8" w:rsidRPr="00242455">
        <w:rPr>
          <w:rFonts w:ascii="Book Antiqua" w:hAnsi="Book Antiqua" w:cs="Times New Roman"/>
          <w:bCs/>
          <w:color w:val="000000"/>
          <w:sz w:val="24"/>
          <w:szCs w:val="24"/>
        </w:rPr>
        <w:t>HIV/AIDS drugs, including ritonavir</w:t>
      </w:r>
      <w:r w:rsidR="00C862C9" w:rsidRPr="00242455">
        <w:rPr>
          <w:rFonts w:ascii="Book Antiqua" w:hAnsi="Book Antiqua" w:cs="Times New Roman"/>
          <w:bCs/>
          <w:color w:val="000000"/>
          <w:sz w:val="24"/>
          <w:szCs w:val="24"/>
        </w:rPr>
        <w:t>, and is the source of some of the following observations regarding drug-drug interactions.</w:t>
      </w:r>
    </w:p>
    <w:p w14:paraId="07B0E772" w14:textId="77777777" w:rsidR="00DE64CA" w:rsidRPr="00242455" w:rsidRDefault="00DE64CA"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 xml:space="preserve">Ritonavir </w:t>
      </w:r>
      <w:r w:rsidR="00CF4300" w:rsidRPr="00242455">
        <w:rPr>
          <w:rFonts w:ascii="Book Antiqua" w:hAnsi="Book Antiqua" w:cs="Times New Roman"/>
          <w:bCs/>
          <w:color w:val="000000"/>
          <w:sz w:val="24"/>
          <w:szCs w:val="24"/>
        </w:rPr>
        <w:t>reduces</w:t>
      </w:r>
      <w:r w:rsidRPr="00242455">
        <w:rPr>
          <w:rFonts w:ascii="Book Antiqua" w:hAnsi="Book Antiqua" w:cs="Times New Roman"/>
          <w:bCs/>
          <w:color w:val="000000"/>
          <w:sz w:val="24"/>
          <w:szCs w:val="24"/>
        </w:rPr>
        <w:t xml:space="preserve"> the efficacy of hormone-based birth control</w:t>
      </w:r>
      <w:r w:rsidR="0079672D">
        <w:rPr>
          <w:rFonts w:ascii="Book Antiqua" w:hAnsi="Book Antiqua" w:cs="Times New Roman"/>
          <w:bCs/>
          <w:color w:val="000000"/>
          <w:sz w:val="24"/>
          <w:szCs w:val="24"/>
          <w:vertAlign w:val="superscript"/>
        </w:rPr>
        <w:t>[20,</w:t>
      </w:r>
      <w:r w:rsidR="00E72275" w:rsidRPr="00242455">
        <w:rPr>
          <w:rFonts w:ascii="Book Antiqua" w:hAnsi="Book Antiqua" w:cs="Times New Roman"/>
          <w:bCs/>
          <w:color w:val="000000"/>
          <w:sz w:val="24"/>
          <w:szCs w:val="24"/>
          <w:vertAlign w:val="superscript"/>
        </w:rPr>
        <w:t>21</w:t>
      </w:r>
      <w:r w:rsidR="004913C0" w:rsidRPr="00242455">
        <w:rPr>
          <w:rFonts w:ascii="Book Antiqua" w:hAnsi="Book Antiqua" w:cs="Times New Roman"/>
          <w:bCs/>
          <w:color w:val="000000"/>
          <w:sz w:val="24"/>
          <w:szCs w:val="24"/>
          <w:vertAlign w:val="superscript"/>
        </w:rPr>
        <w:t>]</w:t>
      </w:r>
      <w:r w:rsidR="0050282D" w:rsidRPr="00242455">
        <w:rPr>
          <w:rFonts w:ascii="Book Antiqua" w:hAnsi="Book Antiqua" w:cs="Times New Roman"/>
          <w:bCs/>
          <w:color w:val="000000"/>
          <w:sz w:val="24"/>
          <w:szCs w:val="24"/>
        </w:rPr>
        <w:t xml:space="preserve">. </w:t>
      </w:r>
      <w:r w:rsidRPr="00242455">
        <w:rPr>
          <w:rFonts w:ascii="Book Antiqua" w:hAnsi="Book Antiqua" w:cs="Times New Roman"/>
          <w:bCs/>
          <w:color w:val="000000"/>
          <w:sz w:val="24"/>
          <w:szCs w:val="24"/>
        </w:rPr>
        <w:t xml:space="preserve">The </w:t>
      </w:r>
      <w:r w:rsidR="00686BD7" w:rsidRPr="00242455">
        <w:rPr>
          <w:rFonts w:ascii="Book Antiqua" w:hAnsi="Book Antiqua" w:cs="Times New Roman"/>
          <w:bCs/>
          <w:color w:val="000000"/>
          <w:sz w:val="24"/>
          <w:szCs w:val="24"/>
        </w:rPr>
        <w:t xml:space="preserve">PEARL </w:t>
      </w:r>
      <w:r w:rsidRPr="00242455">
        <w:rPr>
          <w:rFonts w:ascii="Book Antiqua" w:hAnsi="Book Antiqua" w:cs="Times New Roman"/>
          <w:bCs/>
          <w:color w:val="000000"/>
          <w:sz w:val="24"/>
          <w:szCs w:val="24"/>
        </w:rPr>
        <w:t>study protocols have required that women participating in the trials avoid pregnancy by using at least two forms of birth control, neither of which can be hormone-based. So, along with recognized evaluation for HCV treatment, providers will need to</w:t>
      </w:r>
      <w:r w:rsidR="0050282D" w:rsidRPr="00242455">
        <w:rPr>
          <w:rFonts w:ascii="Book Antiqua" w:hAnsi="Book Antiqua" w:cs="Times New Roman"/>
          <w:bCs/>
          <w:color w:val="000000"/>
          <w:sz w:val="24"/>
          <w:szCs w:val="24"/>
        </w:rPr>
        <w:t xml:space="preserve"> assess and monitor </w:t>
      </w:r>
      <w:r w:rsidRPr="00242455">
        <w:rPr>
          <w:rFonts w:ascii="Book Antiqua" w:hAnsi="Book Antiqua" w:cs="Times New Roman"/>
          <w:bCs/>
          <w:color w:val="000000"/>
          <w:sz w:val="24"/>
          <w:szCs w:val="24"/>
        </w:rPr>
        <w:t>pregnancy risk</w:t>
      </w:r>
      <w:r w:rsidR="00CF4300" w:rsidRPr="00242455">
        <w:rPr>
          <w:rFonts w:ascii="Book Antiqua" w:hAnsi="Book Antiqua" w:cs="Times New Roman"/>
          <w:bCs/>
          <w:color w:val="000000"/>
          <w:sz w:val="24"/>
          <w:szCs w:val="24"/>
        </w:rPr>
        <w:t>, and pregnancy prophylaxis,</w:t>
      </w:r>
      <w:r w:rsidRPr="00242455">
        <w:rPr>
          <w:rFonts w:ascii="Book Antiqua" w:hAnsi="Book Antiqua" w:cs="Times New Roman"/>
          <w:bCs/>
          <w:color w:val="000000"/>
          <w:sz w:val="24"/>
          <w:szCs w:val="24"/>
        </w:rPr>
        <w:t xml:space="preserve"> for women of reproductive age.</w:t>
      </w:r>
    </w:p>
    <w:p w14:paraId="28ABA581" w14:textId="77777777" w:rsidR="00273D0D" w:rsidRPr="00242455" w:rsidRDefault="00DE64CA" w:rsidP="007C0097">
      <w:pPr>
        <w:widowControl w:val="0"/>
        <w:overflowPunct w:val="0"/>
        <w:autoSpaceDE w:val="0"/>
        <w:autoSpaceDN w:val="0"/>
        <w:spacing w:line="360" w:lineRule="auto"/>
        <w:ind w:firstLineChars="100" w:firstLine="240"/>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Many of the ritonavir drug-drug interactions are with medications that have psychiatric indicat</w:t>
      </w:r>
      <w:r w:rsidR="0050282D" w:rsidRPr="00242455">
        <w:rPr>
          <w:rFonts w:ascii="Book Antiqua" w:hAnsi="Book Antiqua" w:cs="Times New Roman"/>
          <w:bCs/>
          <w:color w:val="000000"/>
          <w:sz w:val="24"/>
          <w:szCs w:val="24"/>
        </w:rPr>
        <w:t>ions, including carbamazepine (bipolar d</w:t>
      </w:r>
      <w:r w:rsidRPr="00242455">
        <w:rPr>
          <w:rFonts w:ascii="Book Antiqua" w:hAnsi="Book Antiqua" w:cs="Times New Roman"/>
          <w:bCs/>
          <w:color w:val="000000"/>
          <w:sz w:val="24"/>
          <w:szCs w:val="24"/>
        </w:rPr>
        <w:t xml:space="preserve">isorder), </w:t>
      </w:r>
      <w:r w:rsidR="00DD4E19" w:rsidRPr="00242455">
        <w:rPr>
          <w:rFonts w:ascii="Book Antiqua" w:hAnsi="Book Antiqua" w:cs="Times New Roman"/>
          <w:bCs/>
          <w:color w:val="000000"/>
          <w:sz w:val="24"/>
          <w:szCs w:val="24"/>
        </w:rPr>
        <w:t>nefazodone</w:t>
      </w:r>
      <w:r w:rsidRPr="00242455">
        <w:rPr>
          <w:rFonts w:ascii="Book Antiqua" w:hAnsi="Book Antiqua" w:cs="Times New Roman"/>
          <w:bCs/>
          <w:color w:val="000000"/>
          <w:sz w:val="24"/>
          <w:szCs w:val="24"/>
        </w:rPr>
        <w:t xml:space="preserve"> (depression)</w:t>
      </w:r>
      <w:r w:rsidR="00DD4E19" w:rsidRPr="00242455">
        <w:rPr>
          <w:rFonts w:ascii="Book Antiqua" w:hAnsi="Book Antiqua" w:cs="Times New Roman"/>
          <w:bCs/>
          <w:color w:val="000000"/>
          <w:sz w:val="24"/>
          <w:szCs w:val="24"/>
        </w:rPr>
        <w:t>, and triazolam</w:t>
      </w:r>
      <w:r w:rsidRPr="00242455">
        <w:rPr>
          <w:rFonts w:ascii="Book Antiqua" w:hAnsi="Book Antiqua" w:cs="Times New Roman"/>
          <w:bCs/>
          <w:color w:val="000000"/>
          <w:sz w:val="24"/>
          <w:szCs w:val="24"/>
        </w:rPr>
        <w:t xml:space="preserve"> (insomnia)</w:t>
      </w:r>
      <w:r w:rsidR="00DD4E19" w:rsidRPr="00242455">
        <w:rPr>
          <w:rFonts w:ascii="Book Antiqua" w:hAnsi="Book Antiqua" w:cs="Times New Roman"/>
          <w:bCs/>
          <w:color w:val="000000"/>
          <w:sz w:val="24"/>
          <w:szCs w:val="24"/>
        </w:rPr>
        <w:t>.</w:t>
      </w:r>
      <w:r w:rsidR="00E53098" w:rsidRPr="00242455">
        <w:rPr>
          <w:rFonts w:ascii="Book Antiqua" w:hAnsi="Book Antiqua" w:cs="Times New Roman"/>
          <w:bCs/>
          <w:color w:val="000000"/>
          <w:sz w:val="24"/>
          <w:szCs w:val="24"/>
        </w:rPr>
        <w:t xml:space="preserve"> So, assessment and monitoring will require surveillance of psychiatric conditions and any medications for these. It is possible that patients taking triazolam for </w:t>
      </w:r>
      <w:r w:rsidR="00CF4300" w:rsidRPr="00242455">
        <w:rPr>
          <w:rFonts w:ascii="Book Antiqua" w:hAnsi="Book Antiqua" w:cs="Times New Roman"/>
          <w:bCs/>
          <w:color w:val="000000"/>
          <w:sz w:val="24"/>
          <w:szCs w:val="24"/>
        </w:rPr>
        <w:t>insomnia</w:t>
      </w:r>
      <w:r w:rsidR="00E53098" w:rsidRPr="00242455">
        <w:rPr>
          <w:rFonts w:ascii="Book Antiqua" w:hAnsi="Book Antiqua" w:cs="Times New Roman"/>
          <w:bCs/>
          <w:color w:val="000000"/>
          <w:sz w:val="24"/>
          <w:szCs w:val="24"/>
        </w:rPr>
        <w:t xml:space="preserve"> may not perceive themselves as having a “psychiatric” condition, so merely asking about “psychiatric” diagnoses or prescriptions may not reveal that a patient is using this drug; as is generally advisable, patients should be encouraged to report any and all prescription drugs, as well as over-the-counter drugs and any herbal or “alternative” remedies. Regarding herbal/alternative drugs, patients should avoid taking bot</w:t>
      </w:r>
      <w:r w:rsidR="0079672D">
        <w:rPr>
          <w:rFonts w:ascii="Book Antiqua" w:hAnsi="Book Antiqua" w:cs="Times New Roman"/>
          <w:bCs/>
          <w:color w:val="000000"/>
          <w:sz w:val="24"/>
          <w:szCs w:val="24"/>
        </w:rPr>
        <w:t>h ritonavir and John’s Wort</w:t>
      </w:r>
      <w:r w:rsidR="00E72275" w:rsidRPr="00242455">
        <w:rPr>
          <w:rFonts w:ascii="Book Antiqua" w:hAnsi="Book Antiqua" w:cs="Times New Roman"/>
          <w:bCs/>
          <w:color w:val="000000"/>
          <w:sz w:val="24"/>
          <w:szCs w:val="24"/>
          <w:vertAlign w:val="superscript"/>
        </w:rPr>
        <w:t>[2</w:t>
      </w:r>
      <w:r w:rsidR="004C67CA">
        <w:rPr>
          <w:rFonts w:ascii="Book Antiqua" w:hAnsi="Book Antiqua" w:cs="Times New Roman" w:hint="eastAsia"/>
          <w:bCs/>
          <w:color w:val="000000"/>
          <w:sz w:val="24"/>
          <w:szCs w:val="24"/>
          <w:vertAlign w:val="superscript"/>
          <w:lang w:eastAsia="zh-CN"/>
        </w:rPr>
        <w:t>1</w:t>
      </w:r>
      <w:r w:rsidR="004913C0" w:rsidRPr="00242455">
        <w:rPr>
          <w:rFonts w:ascii="Book Antiqua" w:hAnsi="Book Antiqua" w:cs="Times New Roman"/>
          <w:bCs/>
          <w:color w:val="000000"/>
          <w:sz w:val="24"/>
          <w:szCs w:val="24"/>
          <w:vertAlign w:val="superscript"/>
        </w:rPr>
        <w:t>]</w:t>
      </w:r>
      <w:r w:rsidR="00E53098" w:rsidRPr="00242455">
        <w:rPr>
          <w:rFonts w:ascii="Book Antiqua" w:hAnsi="Book Antiqua" w:cs="Times New Roman"/>
          <w:bCs/>
          <w:color w:val="000000"/>
          <w:sz w:val="24"/>
          <w:szCs w:val="24"/>
        </w:rPr>
        <w:t>, a fairly commonly utilized herbal remedy for depression. Ritonavir also has a drug-drug interaction with sildenafil, used for erectile dysfunction;</w:t>
      </w:r>
      <w:r w:rsidR="00C862C9" w:rsidRPr="00242455">
        <w:rPr>
          <w:rFonts w:ascii="Book Antiqua" w:hAnsi="Book Antiqua" w:cs="Times New Roman"/>
          <w:bCs/>
          <w:color w:val="000000"/>
          <w:sz w:val="24"/>
          <w:szCs w:val="24"/>
        </w:rPr>
        <w:t xml:space="preserve"> use of both drugs can lead to pulmonary arterial hypotension, and there are drug-drug interactions with other drugs used for erectile dysfunction as well, including avanafil, tadalafil, and </w:t>
      </w:r>
      <w:r w:rsidR="00C862C9" w:rsidRPr="00242455">
        <w:rPr>
          <w:rFonts w:ascii="Book Antiqua" w:hAnsi="Book Antiqua" w:cs="Times New Roman"/>
          <w:bCs/>
          <w:color w:val="000000"/>
          <w:sz w:val="24"/>
          <w:szCs w:val="24"/>
        </w:rPr>
        <w:lastRenderedPageBreak/>
        <w:t>vardenafil. T</w:t>
      </w:r>
      <w:r w:rsidR="00E53098" w:rsidRPr="00242455">
        <w:rPr>
          <w:rFonts w:ascii="Book Antiqua" w:hAnsi="Book Antiqua" w:cs="Times New Roman"/>
          <w:bCs/>
          <w:color w:val="000000"/>
          <w:sz w:val="24"/>
          <w:szCs w:val="24"/>
        </w:rPr>
        <w:t xml:space="preserve">here is a fair amount of clinical folklore and evidence </w:t>
      </w:r>
      <w:r w:rsidR="00E72275" w:rsidRPr="00242455">
        <w:rPr>
          <w:rFonts w:ascii="Book Antiqua" w:hAnsi="Book Antiqua" w:cs="Times New Roman"/>
          <w:bCs/>
          <w:color w:val="000000"/>
          <w:sz w:val="24"/>
          <w:szCs w:val="24"/>
        </w:rPr>
        <w:t>that sildena</w:t>
      </w:r>
      <w:r w:rsidR="00C862C9" w:rsidRPr="00242455">
        <w:rPr>
          <w:rFonts w:ascii="Book Antiqua" w:hAnsi="Book Antiqua" w:cs="Times New Roman"/>
          <w:bCs/>
          <w:color w:val="000000"/>
          <w:sz w:val="24"/>
          <w:szCs w:val="24"/>
        </w:rPr>
        <w:t>fil is mi</w:t>
      </w:r>
      <w:r w:rsidR="0079672D">
        <w:rPr>
          <w:rFonts w:ascii="Book Antiqua" w:hAnsi="Book Antiqua" w:cs="Times New Roman"/>
          <w:bCs/>
          <w:color w:val="000000"/>
          <w:sz w:val="24"/>
          <w:szCs w:val="24"/>
        </w:rPr>
        <w:t>sused for recreational purposes</w:t>
      </w:r>
      <w:r w:rsidR="0079672D">
        <w:rPr>
          <w:rFonts w:ascii="Book Antiqua" w:hAnsi="Book Antiqua" w:cs="Times New Roman"/>
          <w:bCs/>
          <w:color w:val="000000"/>
          <w:sz w:val="24"/>
          <w:szCs w:val="24"/>
          <w:vertAlign w:val="superscript"/>
        </w:rPr>
        <w:t>[2</w:t>
      </w:r>
      <w:r w:rsidR="004C67CA">
        <w:rPr>
          <w:rFonts w:ascii="Book Antiqua" w:hAnsi="Book Antiqua" w:cs="Times New Roman" w:hint="eastAsia"/>
          <w:bCs/>
          <w:color w:val="000000"/>
          <w:sz w:val="24"/>
          <w:szCs w:val="24"/>
          <w:vertAlign w:val="superscript"/>
          <w:lang w:eastAsia="zh-CN"/>
        </w:rPr>
        <w:t>2</w:t>
      </w:r>
      <w:r w:rsidR="0079672D">
        <w:rPr>
          <w:rFonts w:ascii="Book Antiqua" w:hAnsi="Book Antiqua" w:cs="Times New Roman"/>
          <w:bCs/>
          <w:color w:val="000000"/>
          <w:sz w:val="24"/>
          <w:szCs w:val="24"/>
          <w:vertAlign w:val="superscript"/>
        </w:rPr>
        <w:t>,</w:t>
      </w:r>
      <w:r w:rsidR="00E72275" w:rsidRPr="00242455">
        <w:rPr>
          <w:rFonts w:ascii="Book Antiqua" w:hAnsi="Book Antiqua" w:cs="Times New Roman"/>
          <w:bCs/>
          <w:color w:val="000000"/>
          <w:sz w:val="24"/>
          <w:szCs w:val="24"/>
          <w:vertAlign w:val="superscript"/>
        </w:rPr>
        <w:t>2</w:t>
      </w:r>
      <w:r w:rsidR="004C67CA">
        <w:rPr>
          <w:rFonts w:ascii="Book Antiqua" w:hAnsi="Book Antiqua" w:cs="Times New Roman" w:hint="eastAsia"/>
          <w:bCs/>
          <w:color w:val="000000"/>
          <w:sz w:val="24"/>
          <w:szCs w:val="24"/>
          <w:vertAlign w:val="superscript"/>
          <w:lang w:eastAsia="zh-CN"/>
        </w:rPr>
        <w:t>3</w:t>
      </w:r>
      <w:r w:rsidR="004913C0" w:rsidRPr="00242455">
        <w:rPr>
          <w:rFonts w:ascii="Book Antiqua" w:hAnsi="Book Antiqua" w:cs="Times New Roman"/>
          <w:bCs/>
          <w:color w:val="000000"/>
          <w:sz w:val="24"/>
          <w:szCs w:val="24"/>
          <w:vertAlign w:val="superscript"/>
        </w:rPr>
        <w:t>]</w:t>
      </w:r>
      <w:r w:rsidR="00686BD7" w:rsidRPr="00242455">
        <w:rPr>
          <w:rFonts w:ascii="Book Antiqua" w:hAnsi="Book Antiqua" w:cs="Times New Roman"/>
          <w:bCs/>
          <w:color w:val="000000"/>
          <w:sz w:val="24"/>
          <w:szCs w:val="24"/>
        </w:rPr>
        <w:t>,</w:t>
      </w:r>
      <w:r w:rsidR="00C862C9" w:rsidRPr="00242455">
        <w:rPr>
          <w:rFonts w:ascii="Book Antiqua" w:hAnsi="Book Antiqua" w:cs="Times New Roman"/>
          <w:bCs/>
          <w:color w:val="000000"/>
          <w:sz w:val="24"/>
          <w:szCs w:val="24"/>
        </w:rPr>
        <w:t xml:space="preserve"> so the clinical management of HCV treatment that includes ritonavir must assess and monitor the use of erectile dysfunction drugs, whether this use is legitimate use or recreational use.</w:t>
      </w:r>
    </w:p>
    <w:p w14:paraId="5BF91C54" w14:textId="77777777" w:rsidR="00CF4300" w:rsidRPr="00242455" w:rsidRDefault="0079672D"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Pr>
          <w:rFonts w:ascii="Book Antiqua" w:hAnsi="Book Antiqua" w:cs="Times New Roman" w:hint="eastAsia"/>
          <w:bCs/>
          <w:color w:val="000000"/>
          <w:sz w:val="24"/>
          <w:szCs w:val="24"/>
          <w:lang w:eastAsia="zh-CN"/>
        </w:rPr>
        <w:t xml:space="preserve"> </w:t>
      </w:r>
      <w:r w:rsidR="0039073C" w:rsidRPr="00242455">
        <w:rPr>
          <w:rFonts w:ascii="Book Antiqua" w:hAnsi="Book Antiqua" w:cs="Times New Roman"/>
          <w:bCs/>
          <w:color w:val="000000"/>
          <w:sz w:val="24"/>
          <w:szCs w:val="24"/>
        </w:rPr>
        <w:t>In conclusion</w:t>
      </w:r>
      <w:r w:rsidR="00B37F45" w:rsidRPr="00242455">
        <w:rPr>
          <w:rFonts w:ascii="Book Antiqua" w:hAnsi="Book Antiqua" w:cs="Times New Roman"/>
          <w:bCs/>
          <w:color w:val="000000"/>
          <w:sz w:val="24"/>
          <w:szCs w:val="24"/>
        </w:rPr>
        <w:t>,</w:t>
      </w:r>
      <w:r w:rsidR="00CF4300" w:rsidRPr="00242455">
        <w:rPr>
          <w:rFonts w:ascii="Book Antiqua" w:hAnsi="Book Antiqua" w:cs="Times New Roman"/>
          <w:bCs/>
          <w:color w:val="000000"/>
          <w:sz w:val="24"/>
          <w:szCs w:val="24"/>
        </w:rPr>
        <w:t xml:space="preserve"> clinical trial data indicate that these recently approved, all-pill, no-interferon-alpha/no ribavirin regimens are far more readily tolerated by patients generally, and do not seem to </w:t>
      </w:r>
      <w:r w:rsidR="00686BD7" w:rsidRPr="00242455">
        <w:rPr>
          <w:rFonts w:ascii="Book Antiqua" w:hAnsi="Book Antiqua" w:cs="Times New Roman"/>
          <w:bCs/>
          <w:color w:val="000000"/>
          <w:sz w:val="24"/>
          <w:szCs w:val="24"/>
        </w:rPr>
        <w:t>have notable psychiatric contra</w:t>
      </w:r>
      <w:r w:rsidR="00CF4300" w:rsidRPr="00242455">
        <w:rPr>
          <w:rFonts w:ascii="Book Antiqua" w:hAnsi="Book Antiqua" w:cs="Times New Roman"/>
          <w:bCs/>
          <w:color w:val="000000"/>
          <w:sz w:val="24"/>
          <w:szCs w:val="24"/>
        </w:rPr>
        <w:t xml:space="preserve">indications. Challenges of these regimens may be limited to examining drug-drug interactions, including the prescription of drugs for psychiatric indications or for birth control. None of these issues requires significant involvement of specialty </w:t>
      </w:r>
      <w:r w:rsidR="00FF1C40" w:rsidRPr="00242455">
        <w:rPr>
          <w:rFonts w:ascii="Book Antiqua" w:hAnsi="Book Antiqua" w:cs="Times New Roman"/>
          <w:bCs/>
          <w:color w:val="000000"/>
          <w:sz w:val="24"/>
          <w:szCs w:val="24"/>
        </w:rPr>
        <w:t>mental health or social work professionals, alth</w:t>
      </w:r>
      <w:r w:rsidR="00686BD7" w:rsidRPr="00242455">
        <w:rPr>
          <w:rFonts w:ascii="Book Antiqua" w:hAnsi="Book Antiqua" w:cs="Times New Roman"/>
          <w:bCs/>
          <w:color w:val="000000"/>
          <w:sz w:val="24"/>
          <w:szCs w:val="24"/>
        </w:rPr>
        <w:t>ough it is necessary</w:t>
      </w:r>
      <w:r w:rsidR="00FF1C40" w:rsidRPr="00242455">
        <w:rPr>
          <w:rFonts w:ascii="Book Antiqua" w:hAnsi="Book Antiqua" w:cs="Times New Roman"/>
          <w:bCs/>
          <w:color w:val="000000"/>
          <w:sz w:val="24"/>
          <w:szCs w:val="24"/>
        </w:rPr>
        <w:t xml:space="preserve"> to have these services </w:t>
      </w:r>
      <w:r w:rsidR="00686BD7" w:rsidRPr="00242455">
        <w:rPr>
          <w:rFonts w:ascii="Book Antiqua" w:hAnsi="Book Antiqua" w:cs="Times New Roman"/>
          <w:bCs/>
          <w:color w:val="000000"/>
          <w:sz w:val="24"/>
          <w:szCs w:val="24"/>
        </w:rPr>
        <w:t xml:space="preserve">readily </w:t>
      </w:r>
      <w:r w:rsidR="00FF1C40" w:rsidRPr="00242455">
        <w:rPr>
          <w:rFonts w:ascii="Book Antiqua" w:hAnsi="Book Antiqua" w:cs="Times New Roman"/>
          <w:bCs/>
          <w:color w:val="000000"/>
          <w:sz w:val="24"/>
          <w:szCs w:val="24"/>
        </w:rPr>
        <w:t>availabl</w:t>
      </w:r>
      <w:r w:rsidR="00686BD7" w:rsidRPr="00242455">
        <w:rPr>
          <w:rFonts w:ascii="Book Antiqua" w:hAnsi="Book Antiqua" w:cs="Times New Roman"/>
          <w:bCs/>
          <w:color w:val="000000"/>
          <w:sz w:val="24"/>
          <w:szCs w:val="24"/>
        </w:rPr>
        <w:t>e by consultation</w:t>
      </w:r>
      <w:r w:rsidR="00FF1C40" w:rsidRPr="00242455">
        <w:rPr>
          <w:rFonts w:ascii="Book Antiqua" w:hAnsi="Book Antiqua" w:cs="Times New Roman"/>
          <w:bCs/>
          <w:color w:val="000000"/>
          <w:sz w:val="24"/>
          <w:szCs w:val="24"/>
        </w:rPr>
        <w:t>.</w:t>
      </w:r>
    </w:p>
    <w:p w14:paraId="7EC0B3E1" w14:textId="77777777" w:rsidR="00DD4E19" w:rsidRPr="00242455" w:rsidRDefault="00686BD7"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The</w:t>
      </w:r>
      <w:r w:rsidR="00B37F45" w:rsidRPr="00242455">
        <w:rPr>
          <w:rFonts w:ascii="Book Antiqua" w:hAnsi="Book Antiqua" w:cs="Times New Roman"/>
          <w:bCs/>
          <w:color w:val="000000"/>
          <w:sz w:val="24"/>
          <w:szCs w:val="24"/>
        </w:rPr>
        <w:t xml:space="preserve"> type of </w:t>
      </w:r>
      <w:r w:rsidRPr="00242455">
        <w:rPr>
          <w:rFonts w:ascii="Book Antiqua" w:hAnsi="Book Antiqua" w:cs="Times New Roman"/>
          <w:bCs/>
          <w:color w:val="000000"/>
          <w:sz w:val="24"/>
          <w:szCs w:val="24"/>
        </w:rPr>
        <w:t xml:space="preserve">psychosocial </w:t>
      </w:r>
      <w:r w:rsidR="00B37F45" w:rsidRPr="00242455">
        <w:rPr>
          <w:rFonts w:ascii="Book Antiqua" w:hAnsi="Book Antiqua" w:cs="Times New Roman"/>
          <w:bCs/>
          <w:color w:val="000000"/>
          <w:sz w:val="24"/>
          <w:szCs w:val="24"/>
        </w:rPr>
        <w:t xml:space="preserve">assessment </w:t>
      </w:r>
      <w:r w:rsidRPr="00242455">
        <w:rPr>
          <w:rFonts w:ascii="Book Antiqua" w:hAnsi="Book Antiqua" w:cs="Times New Roman"/>
          <w:bCs/>
          <w:color w:val="000000"/>
          <w:sz w:val="24"/>
          <w:szCs w:val="24"/>
        </w:rPr>
        <w:t xml:space="preserve">and monitoring required for these regimens </w:t>
      </w:r>
      <w:r w:rsidR="00B37F45" w:rsidRPr="00242455">
        <w:rPr>
          <w:rFonts w:ascii="Book Antiqua" w:hAnsi="Book Antiqua" w:cs="Times New Roman"/>
          <w:bCs/>
          <w:color w:val="000000"/>
          <w:sz w:val="24"/>
          <w:szCs w:val="24"/>
        </w:rPr>
        <w:t>is typical in medical care</w:t>
      </w:r>
      <w:r w:rsidRPr="00242455">
        <w:rPr>
          <w:rFonts w:ascii="Book Antiqua" w:hAnsi="Book Antiqua" w:cs="Times New Roman"/>
          <w:bCs/>
          <w:color w:val="000000"/>
          <w:sz w:val="24"/>
          <w:szCs w:val="24"/>
        </w:rPr>
        <w:t xml:space="preserve"> delivery</w:t>
      </w:r>
      <w:r w:rsidR="00B37F45" w:rsidRPr="00242455">
        <w:rPr>
          <w:rFonts w:ascii="Book Antiqua" w:hAnsi="Book Antiqua" w:cs="Times New Roman"/>
          <w:bCs/>
          <w:color w:val="000000"/>
          <w:sz w:val="24"/>
          <w:szCs w:val="24"/>
        </w:rPr>
        <w:t xml:space="preserve">, and the adoption of the electronic medical record </w:t>
      </w:r>
      <w:r w:rsidRPr="00242455">
        <w:rPr>
          <w:rFonts w:ascii="Book Antiqua" w:hAnsi="Book Antiqua" w:cs="Times New Roman"/>
          <w:bCs/>
          <w:color w:val="000000"/>
          <w:sz w:val="24"/>
          <w:szCs w:val="24"/>
        </w:rPr>
        <w:t>and</w:t>
      </w:r>
      <w:r w:rsidR="00B37F45" w:rsidRPr="00242455">
        <w:rPr>
          <w:rFonts w:ascii="Book Antiqua" w:hAnsi="Book Antiqua" w:cs="Times New Roman"/>
          <w:bCs/>
          <w:color w:val="000000"/>
          <w:sz w:val="24"/>
          <w:szCs w:val="24"/>
        </w:rPr>
        <w:t xml:space="preserve"> e-prescribing </w:t>
      </w:r>
      <w:r w:rsidRPr="00242455">
        <w:rPr>
          <w:rFonts w:ascii="Book Antiqua" w:hAnsi="Book Antiqua" w:cs="Times New Roman"/>
          <w:bCs/>
          <w:color w:val="000000"/>
          <w:sz w:val="24"/>
          <w:szCs w:val="24"/>
        </w:rPr>
        <w:t>can support</w:t>
      </w:r>
      <w:r w:rsidR="00B37F45" w:rsidRPr="00242455">
        <w:rPr>
          <w:rFonts w:ascii="Book Antiqua" w:hAnsi="Book Antiqua" w:cs="Times New Roman"/>
          <w:bCs/>
          <w:color w:val="000000"/>
          <w:sz w:val="24"/>
          <w:szCs w:val="24"/>
        </w:rPr>
        <w:t xml:space="preserve"> the detection of potential drug-drug interactions. In many cases, precautions or alternative clinical management strategies can be determine</w:t>
      </w:r>
      <w:r w:rsidR="00013D2B">
        <w:rPr>
          <w:rFonts w:ascii="Book Antiqua" w:hAnsi="Book Antiqua" w:cs="Times New Roman"/>
          <w:bCs/>
          <w:color w:val="000000"/>
          <w:sz w:val="24"/>
          <w:szCs w:val="24"/>
        </w:rPr>
        <w:t>d for the duration of the 12</w:t>
      </w:r>
      <w:r w:rsidR="00013D2B">
        <w:rPr>
          <w:rFonts w:ascii="Book Antiqua" w:hAnsi="Book Antiqua" w:cs="Times New Roman" w:hint="eastAsia"/>
          <w:bCs/>
          <w:color w:val="000000"/>
          <w:sz w:val="24"/>
          <w:szCs w:val="24"/>
          <w:lang w:eastAsia="zh-CN"/>
        </w:rPr>
        <w:t xml:space="preserve"> </w:t>
      </w:r>
      <w:r w:rsidR="00013D2B">
        <w:rPr>
          <w:rFonts w:ascii="Book Antiqua" w:hAnsi="Book Antiqua" w:cs="Times New Roman"/>
          <w:bCs/>
          <w:color w:val="000000"/>
          <w:sz w:val="24"/>
          <w:szCs w:val="24"/>
        </w:rPr>
        <w:t>w</w:t>
      </w:r>
      <w:r w:rsidR="00B37F45" w:rsidRPr="00242455">
        <w:rPr>
          <w:rFonts w:ascii="Book Antiqua" w:hAnsi="Book Antiqua" w:cs="Times New Roman"/>
          <w:bCs/>
          <w:color w:val="000000"/>
          <w:sz w:val="24"/>
          <w:szCs w:val="24"/>
        </w:rPr>
        <w:t>k treatment, in consultation with a pharmacist, the prescriber overseeing the psychiatric condition, or both.</w:t>
      </w:r>
      <w:r w:rsidR="001263DC" w:rsidRPr="00242455">
        <w:rPr>
          <w:rFonts w:ascii="Book Antiqua" w:hAnsi="Book Antiqua" w:cs="Times New Roman"/>
          <w:bCs/>
          <w:color w:val="000000"/>
          <w:sz w:val="24"/>
          <w:szCs w:val="24"/>
        </w:rPr>
        <w:t xml:space="preserve"> So, with these recently FDA-approved DAA regimens for HCV, with no interferon-alpha and no ribavirin, treatment settings may no longer need to have strong psychosocial assessment and monitoring built into the routine of HCV treatment.</w:t>
      </w:r>
    </w:p>
    <w:p w14:paraId="41C1B81F" w14:textId="77777777" w:rsidR="00B52532" w:rsidRPr="00242455" w:rsidRDefault="00B52532" w:rsidP="007C0097">
      <w:pPr>
        <w:widowControl w:val="0"/>
        <w:overflowPunct w:val="0"/>
        <w:autoSpaceDE w:val="0"/>
        <w:autoSpaceDN w:val="0"/>
        <w:spacing w:line="360" w:lineRule="auto"/>
        <w:ind w:firstLineChars="100" w:firstLine="240"/>
        <w:contextualSpacing/>
        <w:jc w:val="both"/>
        <w:rPr>
          <w:rFonts w:ascii="Book Antiqua" w:hAnsi="Book Antiqua" w:cs="Times New Roman"/>
          <w:bCs/>
          <w:color w:val="000000"/>
          <w:sz w:val="24"/>
          <w:szCs w:val="24"/>
        </w:rPr>
      </w:pPr>
      <w:r w:rsidRPr="00242455">
        <w:rPr>
          <w:rFonts w:ascii="Book Antiqua" w:hAnsi="Book Antiqua" w:cs="Times New Roman"/>
          <w:bCs/>
          <w:color w:val="000000"/>
          <w:sz w:val="24"/>
          <w:szCs w:val="24"/>
        </w:rPr>
        <w:t xml:space="preserve">There are some further </w:t>
      </w:r>
      <w:r w:rsidR="00C243BB" w:rsidRPr="00242455">
        <w:rPr>
          <w:rFonts w:ascii="Book Antiqua" w:hAnsi="Book Antiqua" w:cs="Times New Roman"/>
          <w:bCs/>
          <w:color w:val="000000"/>
          <w:sz w:val="24"/>
          <w:szCs w:val="24"/>
        </w:rPr>
        <w:t>research issues</w:t>
      </w:r>
      <w:r w:rsidRPr="00242455">
        <w:rPr>
          <w:rFonts w:ascii="Book Antiqua" w:hAnsi="Book Antiqua" w:cs="Times New Roman"/>
          <w:bCs/>
          <w:color w:val="000000"/>
          <w:sz w:val="24"/>
          <w:szCs w:val="24"/>
        </w:rPr>
        <w:t xml:space="preserve"> to be assessed for these recently-approved DAA regimens. </w:t>
      </w:r>
      <w:r w:rsidR="001263DC" w:rsidRPr="00242455">
        <w:rPr>
          <w:rFonts w:ascii="Book Antiqua" w:hAnsi="Book Antiqua" w:cs="Times New Roman"/>
          <w:bCs/>
          <w:color w:val="000000"/>
          <w:sz w:val="24"/>
          <w:szCs w:val="24"/>
        </w:rPr>
        <w:t>A</w:t>
      </w:r>
      <w:r w:rsidRPr="00242455">
        <w:rPr>
          <w:rFonts w:ascii="Book Antiqua" w:hAnsi="Book Antiqua" w:cs="Times New Roman"/>
          <w:bCs/>
          <w:color w:val="000000"/>
          <w:sz w:val="24"/>
          <w:szCs w:val="24"/>
        </w:rPr>
        <w:t>s clinical e</w:t>
      </w:r>
      <w:r w:rsidR="00FF1C40" w:rsidRPr="00242455">
        <w:rPr>
          <w:rFonts w:ascii="Book Antiqua" w:hAnsi="Book Antiqua" w:cs="Times New Roman"/>
          <w:bCs/>
          <w:color w:val="000000"/>
          <w:sz w:val="24"/>
          <w:szCs w:val="24"/>
        </w:rPr>
        <w:t xml:space="preserve">xperience builds with all-pill </w:t>
      </w:r>
      <w:r w:rsidRPr="00242455">
        <w:rPr>
          <w:rFonts w:ascii="Book Antiqua" w:hAnsi="Book Antiqua" w:cs="Times New Roman"/>
          <w:bCs/>
          <w:color w:val="000000"/>
          <w:sz w:val="24"/>
          <w:szCs w:val="24"/>
        </w:rPr>
        <w:t xml:space="preserve">DAA regimens, the </w:t>
      </w:r>
      <w:r w:rsidR="002B706D" w:rsidRPr="00242455">
        <w:rPr>
          <w:rFonts w:ascii="Book Antiqua" w:hAnsi="Book Antiqua" w:cs="Times New Roman"/>
          <w:bCs/>
          <w:color w:val="000000"/>
          <w:sz w:val="24"/>
          <w:szCs w:val="24"/>
        </w:rPr>
        <w:t>experience of patients with</w:t>
      </w:r>
      <w:r w:rsidRPr="00242455">
        <w:rPr>
          <w:rFonts w:ascii="Book Antiqua" w:hAnsi="Book Antiqua" w:cs="Times New Roman"/>
          <w:bCs/>
          <w:color w:val="000000"/>
          <w:sz w:val="24"/>
          <w:szCs w:val="24"/>
        </w:rPr>
        <w:t xml:space="preserve"> well-controlled or poorly-controlled psychiatric comorbidity should be </w:t>
      </w:r>
      <w:r w:rsidR="001263DC" w:rsidRPr="00242455">
        <w:rPr>
          <w:rFonts w:ascii="Book Antiqua" w:hAnsi="Book Antiqua" w:cs="Times New Roman"/>
          <w:bCs/>
          <w:color w:val="000000"/>
          <w:sz w:val="24"/>
          <w:szCs w:val="24"/>
        </w:rPr>
        <w:t xml:space="preserve">noted </w:t>
      </w:r>
      <w:r w:rsidRPr="00242455">
        <w:rPr>
          <w:rFonts w:ascii="Book Antiqua" w:hAnsi="Book Antiqua" w:cs="Times New Roman"/>
          <w:bCs/>
          <w:color w:val="000000"/>
          <w:sz w:val="24"/>
          <w:szCs w:val="24"/>
        </w:rPr>
        <w:t>and reported.</w:t>
      </w:r>
      <w:r w:rsidR="00C243BB" w:rsidRPr="00242455">
        <w:rPr>
          <w:rFonts w:ascii="Book Antiqua" w:hAnsi="Book Antiqua" w:cs="Times New Roman"/>
          <w:bCs/>
          <w:color w:val="000000"/>
          <w:sz w:val="24"/>
          <w:szCs w:val="24"/>
        </w:rPr>
        <w:t xml:space="preserve"> One or both of these regimens may be well-tolerated in patients with a range of psychiatric comorbidities. If the DAA regimens are well-tolerated by those with current or recent psychiatric comorbidities, this would greatly broaden the range of patients eligible to initiate therapy. </w:t>
      </w:r>
      <w:r w:rsidR="001263DC" w:rsidRPr="00242455">
        <w:rPr>
          <w:rFonts w:ascii="Book Antiqua" w:hAnsi="Book Antiqua" w:cs="Times New Roman"/>
          <w:bCs/>
          <w:color w:val="000000"/>
          <w:sz w:val="24"/>
          <w:szCs w:val="24"/>
        </w:rPr>
        <w:t xml:space="preserve">Also, it would be valuable to investigate patient preferences for avoiding pregnancy for the duration of treatment. As </w:t>
      </w:r>
      <w:r w:rsidR="00C243BB" w:rsidRPr="00242455">
        <w:rPr>
          <w:rFonts w:ascii="Book Antiqua" w:hAnsi="Book Antiqua" w:cs="Times New Roman"/>
          <w:bCs/>
          <w:color w:val="000000"/>
          <w:sz w:val="24"/>
          <w:szCs w:val="24"/>
        </w:rPr>
        <w:t xml:space="preserve">evidence builds, we will be able to more firmly determine whether we have entered an era in </w:t>
      </w:r>
      <w:r w:rsidR="00C243BB" w:rsidRPr="00242455">
        <w:rPr>
          <w:rFonts w:ascii="Book Antiqua" w:hAnsi="Book Antiqua" w:cs="Times New Roman"/>
          <w:bCs/>
          <w:color w:val="000000"/>
          <w:sz w:val="24"/>
          <w:szCs w:val="24"/>
        </w:rPr>
        <w:lastRenderedPageBreak/>
        <w:t>which there is no longer any great need for psychosocial assessment and monitoring of patients undergoing HCV treatment.</w:t>
      </w:r>
    </w:p>
    <w:p w14:paraId="3FC160FE" w14:textId="77777777" w:rsidR="00C243BB" w:rsidRPr="00242455" w:rsidRDefault="00C243BB" w:rsidP="007C0097">
      <w:pPr>
        <w:widowControl w:val="0"/>
        <w:overflowPunct w:val="0"/>
        <w:autoSpaceDE w:val="0"/>
        <w:autoSpaceDN w:val="0"/>
        <w:spacing w:line="360" w:lineRule="auto"/>
        <w:contextualSpacing/>
        <w:jc w:val="both"/>
        <w:rPr>
          <w:rFonts w:ascii="Book Antiqua" w:hAnsi="Book Antiqua" w:cs="Times New Roman"/>
          <w:bCs/>
          <w:color w:val="000000"/>
          <w:sz w:val="24"/>
          <w:szCs w:val="24"/>
        </w:rPr>
      </w:pPr>
    </w:p>
    <w:p w14:paraId="78B2C10B" w14:textId="77777777" w:rsidR="0079672D" w:rsidRDefault="0079672D" w:rsidP="007C0097">
      <w:pPr>
        <w:widowControl w:val="0"/>
        <w:overflowPunct w:val="0"/>
        <w:autoSpaceDE w:val="0"/>
        <w:autoSpaceDN w:val="0"/>
        <w:jc w:val="both"/>
        <w:rPr>
          <w:rFonts w:ascii="Book Antiqua" w:hAnsi="Book Antiqua" w:cs="Times New Roman"/>
          <w:bCs/>
          <w:color w:val="000000"/>
          <w:sz w:val="24"/>
          <w:szCs w:val="24"/>
        </w:rPr>
      </w:pPr>
      <w:r>
        <w:rPr>
          <w:rFonts w:ascii="Book Antiqua" w:hAnsi="Book Antiqua" w:cs="Times New Roman"/>
          <w:bCs/>
          <w:color w:val="000000"/>
          <w:sz w:val="24"/>
          <w:szCs w:val="24"/>
        </w:rPr>
        <w:br w:type="page"/>
      </w:r>
    </w:p>
    <w:p w14:paraId="7CA4BBDA" w14:textId="77777777" w:rsidR="0076121B" w:rsidRPr="007045D7" w:rsidRDefault="0079672D" w:rsidP="007C0097">
      <w:pPr>
        <w:widowControl w:val="0"/>
        <w:overflowPunct w:val="0"/>
        <w:autoSpaceDE w:val="0"/>
        <w:autoSpaceDN w:val="0"/>
        <w:spacing w:line="360" w:lineRule="auto"/>
        <w:contextualSpacing/>
        <w:jc w:val="both"/>
        <w:rPr>
          <w:rFonts w:ascii="Book Antiqua" w:hAnsi="Book Antiqua" w:cs="Times New Roman"/>
          <w:b/>
          <w:bCs/>
          <w:color w:val="000000"/>
          <w:sz w:val="24"/>
          <w:szCs w:val="24"/>
          <w:lang w:eastAsia="zh-CN"/>
        </w:rPr>
      </w:pPr>
      <w:r w:rsidRPr="0079672D">
        <w:rPr>
          <w:rFonts w:ascii="Book Antiqua" w:hAnsi="Book Antiqua" w:cs="Times New Roman"/>
          <w:b/>
          <w:bCs/>
          <w:color w:val="000000"/>
          <w:sz w:val="24"/>
          <w:szCs w:val="24"/>
        </w:rPr>
        <w:lastRenderedPageBreak/>
        <w:t>REFERENCES</w:t>
      </w:r>
    </w:p>
    <w:p w14:paraId="56C799F2"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w:t>
      </w:r>
      <w:r w:rsidRPr="0076121B">
        <w:rPr>
          <w:rFonts w:ascii="Book Antiqua" w:eastAsia="宋体" w:hAnsi="Book Antiqua" w:cs="宋体"/>
          <w:color w:val="000000"/>
          <w:sz w:val="24"/>
          <w:szCs w:val="24"/>
          <w:lang w:eastAsia="zh-CN"/>
        </w:rPr>
        <w:t xml:space="preserve"> </w:t>
      </w:r>
      <w:r w:rsidR="00E50931" w:rsidRPr="00E50931">
        <w:rPr>
          <w:rFonts w:ascii="Book Antiqua" w:eastAsia="宋体" w:hAnsi="Book Antiqua" w:cs="宋体"/>
          <w:b/>
          <w:color w:val="000000"/>
          <w:sz w:val="24"/>
          <w:szCs w:val="24"/>
          <w:lang w:eastAsia="zh-CN"/>
        </w:rPr>
        <w:t>GBD 2013 Mortality and Causes of Death Collaborators</w:t>
      </w:r>
      <w:r w:rsidR="00E50931" w:rsidRPr="00E50931">
        <w:rPr>
          <w:rFonts w:ascii="Book Antiqua" w:eastAsia="宋体" w:hAnsi="Book Antiqua" w:cs="宋体"/>
          <w:color w:val="000000"/>
          <w:sz w:val="24"/>
          <w:szCs w:val="24"/>
          <w:lang w:eastAsia="zh-CN"/>
        </w:rPr>
        <w:t>.</w:t>
      </w:r>
      <w:r w:rsidR="00E50931">
        <w:rPr>
          <w:rFonts w:ascii="Book Antiqua" w:eastAsia="宋体" w:hAnsi="Book Antiqua" w:cs="宋体"/>
          <w:color w:val="000000"/>
          <w:sz w:val="24"/>
          <w:szCs w:val="24"/>
          <w:lang w:eastAsia="zh-CN"/>
        </w:rPr>
        <w:t xml:space="preserve"> </w:t>
      </w:r>
      <w:r w:rsidRPr="0076121B">
        <w:rPr>
          <w:rFonts w:ascii="Book Antiqua" w:eastAsia="宋体" w:hAnsi="Book Antiqua" w:cs="宋体"/>
          <w:color w:val="000000"/>
          <w:sz w:val="24"/>
          <w:szCs w:val="24"/>
          <w:lang w:eastAsia="zh-CN"/>
        </w:rPr>
        <w:t>Global, regional, and national age-sex specific all-cause and cause-specific mortality for 240 causes of death, 1990-2013: a systematic analysis for the Global Burden of Disease Study 2013. </w:t>
      </w:r>
      <w:r w:rsidRPr="0076121B">
        <w:rPr>
          <w:rFonts w:ascii="Book Antiqua" w:eastAsia="宋体" w:hAnsi="Book Antiqua" w:cs="宋体"/>
          <w:i/>
          <w:iCs/>
          <w:color w:val="000000"/>
          <w:sz w:val="24"/>
          <w:szCs w:val="24"/>
          <w:lang w:eastAsia="zh-CN"/>
        </w:rPr>
        <w:t>Lancet</w:t>
      </w:r>
      <w:r w:rsidRPr="0076121B">
        <w:rPr>
          <w:rFonts w:ascii="Book Antiqua" w:eastAsia="宋体" w:hAnsi="Book Antiqua" w:cs="宋体"/>
          <w:color w:val="000000"/>
          <w:sz w:val="24"/>
          <w:szCs w:val="24"/>
          <w:lang w:eastAsia="zh-CN"/>
        </w:rPr>
        <w:t> 2015; </w:t>
      </w:r>
      <w:r w:rsidRPr="0076121B">
        <w:rPr>
          <w:rFonts w:ascii="Book Antiqua" w:eastAsia="宋体" w:hAnsi="Book Antiqua" w:cs="宋体"/>
          <w:b/>
          <w:bCs/>
          <w:color w:val="000000"/>
          <w:sz w:val="24"/>
          <w:szCs w:val="24"/>
          <w:lang w:eastAsia="zh-CN"/>
        </w:rPr>
        <w:t>385</w:t>
      </w:r>
      <w:r w:rsidRPr="0076121B">
        <w:rPr>
          <w:rFonts w:ascii="Book Antiqua" w:eastAsia="宋体" w:hAnsi="Book Antiqua" w:cs="宋体"/>
          <w:color w:val="000000"/>
          <w:sz w:val="24"/>
          <w:szCs w:val="24"/>
          <w:lang w:eastAsia="zh-CN"/>
        </w:rPr>
        <w:t>: 117-171 [PMID: 25530442 DOI: 10.1016/S0140-6736(14)61682-2]</w:t>
      </w:r>
    </w:p>
    <w:p w14:paraId="4269CD94"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2 </w:t>
      </w:r>
      <w:r w:rsidRPr="0076121B">
        <w:rPr>
          <w:rFonts w:ascii="Book Antiqua" w:eastAsia="宋体" w:hAnsi="Book Antiqua" w:cs="宋体"/>
          <w:b/>
          <w:bCs/>
          <w:color w:val="000000"/>
          <w:sz w:val="24"/>
          <w:szCs w:val="24"/>
          <w:lang w:eastAsia="zh-CN"/>
        </w:rPr>
        <w:t>Dienstag JL</w:t>
      </w:r>
      <w:r w:rsidRPr="0076121B">
        <w:rPr>
          <w:rFonts w:ascii="Book Antiqua" w:eastAsia="宋体" w:hAnsi="Book Antiqua" w:cs="宋体"/>
          <w:color w:val="000000"/>
          <w:sz w:val="24"/>
          <w:szCs w:val="24"/>
          <w:lang w:eastAsia="zh-CN"/>
        </w:rPr>
        <w:t>, McHutchison JG. American Gastroenterological Association technical review on the management of hepatitis C. </w:t>
      </w:r>
      <w:r w:rsidRPr="0076121B">
        <w:rPr>
          <w:rFonts w:ascii="Book Antiqua" w:eastAsia="宋体" w:hAnsi="Book Antiqua" w:cs="宋体"/>
          <w:i/>
          <w:iCs/>
          <w:color w:val="000000"/>
          <w:sz w:val="24"/>
          <w:szCs w:val="24"/>
          <w:lang w:eastAsia="zh-CN"/>
        </w:rPr>
        <w:t>Gastroenterology</w:t>
      </w:r>
      <w:r w:rsidRPr="0076121B">
        <w:rPr>
          <w:rFonts w:ascii="Book Antiqua" w:eastAsia="宋体" w:hAnsi="Book Antiqua" w:cs="宋体"/>
          <w:color w:val="000000"/>
          <w:sz w:val="24"/>
          <w:szCs w:val="24"/>
          <w:lang w:eastAsia="zh-CN"/>
        </w:rPr>
        <w:t> 2006; </w:t>
      </w:r>
      <w:r w:rsidRPr="0076121B">
        <w:rPr>
          <w:rFonts w:ascii="Book Antiqua" w:eastAsia="宋体" w:hAnsi="Book Antiqua" w:cs="宋体"/>
          <w:b/>
          <w:bCs/>
          <w:color w:val="000000"/>
          <w:sz w:val="24"/>
          <w:szCs w:val="24"/>
          <w:lang w:eastAsia="zh-CN"/>
        </w:rPr>
        <w:t>130</w:t>
      </w:r>
      <w:r w:rsidRPr="0076121B">
        <w:rPr>
          <w:rFonts w:ascii="Book Antiqua" w:eastAsia="宋体" w:hAnsi="Book Antiqua" w:cs="宋体"/>
          <w:color w:val="000000"/>
          <w:sz w:val="24"/>
          <w:szCs w:val="24"/>
          <w:lang w:eastAsia="zh-CN"/>
        </w:rPr>
        <w:t>: 231-64; quiz 214-7 [PMID: 16401486 DOI: 10.1053/j.gastro.2005.11.010]</w:t>
      </w:r>
    </w:p>
    <w:p w14:paraId="7000797C"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 </w:t>
      </w:r>
      <w:r w:rsidRPr="0076121B">
        <w:rPr>
          <w:rFonts w:ascii="Book Antiqua" w:eastAsia="宋体" w:hAnsi="Book Antiqua" w:cs="宋体"/>
          <w:color w:val="000000"/>
          <w:sz w:val="24"/>
          <w:szCs w:val="24"/>
          <w:lang w:eastAsia="zh-CN"/>
        </w:rPr>
        <w:t>EASL Clinical Practice Guidelines: management of hepatitis C virus infection. </w:t>
      </w:r>
      <w:r w:rsidRPr="0076121B">
        <w:rPr>
          <w:rFonts w:ascii="Book Antiqua" w:eastAsia="宋体" w:hAnsi="Book Antiqua" w:cs="宋体"/>
          <w:i/>
          <w:iCs/>
          <w:color w:val="000000"/>
          <w:sz w:val="24"/>
          <w:szCs w:val="24"/>
          <w:lang w:eastAsia="zh-CN"/>
        </w:rPr>
        <w:t>J Hepatol</w:t>
      </w:r>
      <w:r w:rsidRPr="0076121B">
        <w:rPr>
          <w:rFonts w:ascii="Book Antiqua" w:eastAsia="宋体" w:hAnsi="Book Antiqua" w:cs="宋体"/>
          <w:color w:val="000000"/>
          <w:sz w:val="24"/>
          <w:szCs w:val="24"/>
          <w:lang w:eastAsia="zh-CN"/>
        </w:rPr>
        <w:t> 2011; </w:t>
      </w:r>
      <w:r w:rsidRPr="0076121B">
        <w:rPr>
          <w:rFonts w:ascii="Book Antiqua" w:eastAsia="宋体" w:hAnsi="Book Antiqua" w:cs="宋体"/>
          <w:b/>
          <w:bCs/>
          <w:color w:val="000000"/>
          <w:sz w:val="24"/>
          <w:szCs w:val="24"/>
          <w:lang w:eastAsia="zh-CN"/>
        </w:rPr>
        <w:t>55</w:t>
      </w:r>
      <w:r w:rsidRPr="0076121B">
        <w:rPr>
          <w:rFonts w:ascii="Book Antiqua" w:eastAsia="宋体" w:hAnsi="Book Antiqua" w:cs="宋体"/>
          <w:color w:val="000000"/>
          <w:sz w:val="24"/>
          <w:szCs w:val="24"/>
          <w:lang w:eastAsia="zh-CN"/>
        </w:rPr>
        <w:t>: 245-264 [PMID: 21371579 DOI: 10.1016/j.jhep.2011.02.023.]</w:t>
      </w:r>
    </w:p>
    <w:p w14:paraId="5D417844"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4 </w:t>
      </w:r>
      <w:r w:rsidRPr="0076121B">
        <w:rPr>
          <w:rFonts w:ascii="Book Antiqua" w:eastAsia="宋体" w:hAnsi="Book Antiqua" w:cs="宋体"/>
          <w:b/>
          <w:bCs/>
          <w:color w:val="000000"/>
          <w:sz w:val="24"/>
          <w:szCs w:val="24"/>
          <w:lang w:eastAsia="zh-CN"/>
        </w:rPr>
        <w:t>Talal AH</w:t>
      </w:r>
      <w:r w:rsidRPr="0076121B">
        <w:rPr>
          <w:rFonts w:ascii="Book Antiqua" w:eastAsia="宋体" w:hAnsi="Book Antiqua" w:cs="宋体"/>
          <w:color w:val="000000"/>
          <w:sz w:val="24"/>
          <w:szCs w:val="24"/>
          <w:lang w:eastAsia="zh-CN"/>
        </w:rPr>
        <w:t>, LaFleur J, Hoop R, Pandya P, Martin P, Jacobson I, Han J, Korner EJ. Absolute and relative contraindications to pegylated-interferon or ribavirin in the US general patient population with chronic hepatitis C: result</w:t>
      </w:r>
      <w:r w:rsidR="002F15A6">
        <w:rPr>
          <w:rFonts w:ascii="Book Antiqua" w:eastAsia="宋体" w:hAnsi="Book Antiqua" w:cs="宋体"/>
          <w:color w:val="000000"/>
          <w:sz w:val="24"/>
          <w:szCs w:val="24"/>
          <w:lang w:eastAsia="zh-CN"/>
        </w:rPr>
        <w:t>s from a US database of over 45</w:t>
      </w:r>
      <w:r w:rsidRPr="0076121B">
        <w:rPr>
          <w:rFonts w:ascii="Book Antiqua" w:eastAsia="宋体" w:hAnsi="Book Antiqua" w:cs="宋体"/>
          <w:color w:val="000000"/>
          <w:sz w:val="24"/>
          <w:szCs w:val="24"/>
          <w:lang w:eastAsia="zh-CN"/>
        </w:rPr>
        <w:t>000 HCV-infected, evaluated patients. </w:t>
      </w:r>
      <w:r w:rsidRPr="0076121B">
        <w:rPr>
          <w:rFonts w:ascii="Book Antiqua" w:eastAsia="宋体" w:hAnsi="Book Antiqua" w:cs="宋体"/>
          <w:i/>
          <w:iCs/>
          <w:color w:val="000000"/>
          <w:sz w:val="24"/>
          <w:szCs w:val="24"/>
          <w:lang w:eastAsia="zh-CN"/>
        </w:rPr>
        <w:t>Aliment Pharmacol Ther</w:t>
      </w:r>
      <w:r w:rsidRPr="0076121B">
        <w:rPr>
          <w:rFonts w:ascii="Book Antiqua" w:eastAsia="宋体" w:hAnsi="Book Antiqua" w:cs="宋体"/>
          <w:color w:val="000000"/>
          <w:sz w:val="24"/>
          <w:szCs w:val="24"/>
          <w:lang w:eastAsia="zh-CN"/>
        </w:rPr>
        <w:t> 2013; </w:t>
      </w:r>
      <w:r w:rsidRPr="0076121B">
        <w:rPr>
          <w:rFonts w:ascii="Book Antiqua" w:eastAsia="宋体" w:hAnsi="Book Antiqua" w:cs="宋体"/>
          <w:b/>
          <w:bCs/>
          <w:color w:val="000000"/>
          <w:sz w:val="24"/>
          <w:szCs w:val="24"/>
          <w:lang w:eastAsia="zh-CN"/>
        </w:rPr>
        <w:t>37</w:t>
      </w:r>
      <w:r w:rsidRPr="0076121B">
        <w:rPr>
          <w:rFonts w:ascii="Book Antiqua" w:eastAsia="宋体" w:hAnsi="Book Antiqua" w:cs="宋体"/>
          <w:color w:val="000000"/>
          <w:sz w:val="24"/>
          <w:szCs w:val="24"/>
          <w:lang w:eastAsia="zh-CN"/>
        </w:rPr>
        <w:t>: 473-481 [PMID: 23289640 DOI: 10.1111/apt.12200]</w:t>
      </w:r>
    </w:p>
    <w:p w14:paraId="33AFAA09"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5 </w:t>
      </w:r>
      <w:r w:rsidRPr="0076121B">
        <w:rPr>
          <w:rFonts w:ascii="Book Antiqua" w:eastAsia="宋体" w:hAnsi="Book Antiqua" w:cs="宋体"/>
          <w:b/>
          <w:bCs/>
          <w:color w:val="000000"/>
          <w:sz w:val="24"/>
          <w:szCs w:val="24"/>
          <w:lang w:eastAsia="zh-CN"/>
        </w:rPr>
        <w:t>Rowan PJ</w:t>
      </w:r>
      <w:r w:rsidRPr="0076121B">
        <w:rPr>
          <w:rFonts w:ascii="Book Antiqua" w:eastAsia="宋体" w:hAnsi="Book Antiqua" w:cs="宋体"/>
          <w:color w:val="000000"/>
          <w:sz w:val="24"/>
          <w:szCs w:val="24"/>
          <w:lang w:eastAsia="zh-CN"/>
        </w:rPr>
        <w:t>, Tabasi S, Abdul-Latif M, Kunik ME, El-Serag HB. Psychosocial factors are the most common contraindications for antiviral therapy at initial evaluation in veterans with chronic hepatitis C. </w:t>
      </w:r>
      <w:r w:rsidRPr="0076121B">
        <w:rPr>
          <w:rFonts w:ascii="Book Antiqua" w:eastAsia="宋体" w:hAnsi="Book Antiqua" w:cs="宋体"/>
          <w:i/>
          <w:iCs/>
          <w:color w:val="000000"/>
          <w:sz w:val="24"/>
          <w:szCs w:val="24"/>
          <w:lang w:eastAsia="zh-CN"/>
        </w:rPr>
        <w:t>J Clin Gastroenterol</w:t>
      </w:r>
      <w:r w:rsidRPr="0076121B">
        <w:rPr>
          <w:rFonts w:ascii="Book Antiqua" w:eastAsia="宋体" w:hAnsi="Book Antiqua" w:cs="宋体"/>
          <w:color w:val="000000"/>
          <w:sz w:val="24"/>
          <w:szCs w:val="24"/>
          <w:lang w:eastAsia="zh-CN"/>
        </w:rPr>
        <w:t> 2004; </w:t>
      </w:r>
      <w:r w:rsidRPr="0076121B">
        <w:rPr>
          <w:rFonts w:ascii="Book Antiqua" w:eastAsia="宋体" w:hAnsi="Book Antiqua" w:cs="宋体"/>
          <w:b/>
          <w:bCs/>
          <w:color w:val="000000"/>
          <w:sz w:val="24"/>
          <w:szCs w:val="24"/>
          <w:lang w:eastAsia="zh-CN"/>
        </w:rPr>
        <w:t>38</w:t>
      </w:r>
      <w:r w:rsidRPr="0076121B">
        <w:rPr>
          <w:rFonts w:ascii="Book Antiqua" w:eastAsia="宋体" w:hAnsi="Book Antiqua" w:cs="宋体"/>
          <w:color w:val="000000"/>
          <w:sz w:val="24"/>
          <w:szCs w:val="24"/>
          <w:lang w:eastAsia="zh-CN"/>
        </w:rPr>
        <w:t>: 530-534 [PMID: 15220690 DOI: 10.1097/01.mcg.0000123203.36471.70]</w:t>
      </w:r>
    </w:p>
    <w:p w14:paraId="751AF33C"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6 </w:t>
      </w:r>
      <w:r w:rsidRPr="0076121B">
        <w:rPr>
          <w:rFonts w:ascii="Book Antiqua" w:eastAsia="宋体" w:hAnsi="Book Antiqua" w:cs="宋体"/>
          <w:b/>
          <w:bCs/>
          <w:color w:val="000000"/>
          <w:sz w:val="24"/>
          <w:szCs w:val="24"/>
          <w:lang w:eastAsia="zh-CN"/>
        </w:rPr>
        <w:t>Weber KT</w:t>
      </w:r>
      <w:r w:rsidRPr="0076121B">
        <w:rPr>
          <w:rFonts w:ascii="Book Antiqua" w:eastAsia="宋体" w:hAnsi="Book Antiqua" w:cs="宋体"/>
          <w:color w:val="000000"/>
          <w:sz w:val="24"/>
          <w:szCs w:val="24"/>
          <w:lang w:eastAsia="zh-CN"/>
        </w:rPr>
        <w:t>, Janicki JS, Reeves RC, Hefner LL. Factors influencing left ventricular shortening in isolated canine heart. </w:t>
      </w:r>
      <w:r w:rsidRPr="0076121B">
        <w:rPr>
          <w:rFonts w:ascii="Book Antiqua" w:eastAsia="宋体" w:hAnsi="Book Antiqua" w:cs="宋体"/>
          <w:i/>
          <w:iCs/>
          <w:color w:val="000000"/>
          <w:sz w:val="24"/>
          <w:szCs w:val="24"/>
          <w:lang w:eastAsia="zh-CN"/>
        </w:rPr>
        <w:t>Am J Physiol</w:t>
      </w:r>
      <w:r w:rsidRPr="0076121B">
        <w:rPr>
          <w:rFonts w:ascii="Book Antiqua" w:eastAsia="宋体" w:hAnsi="Book Antiqua" w:cs="宋体"/>
          <w:color w:val="000000"/>
          <w:sz w:val="24"/>
          <w:szCs w:val="24"/>
          <w:lang w:eastAsia="zh-CN"/>
        </w:rPr>
        <w:t> 1976; </w:t>
      </w:r>
      <w:r w:rsidRPr="0076121B">
        <w:rPr>
          <w:rFonts w:ascii="Book Antiqua" w:eastAsia="宋体" w:hAnsi="Book Antiqua" w:cs="宋体"/>
          <w:b/>
          <w:bCs/>
          <w:color w:val="000000"/>
          <w:sz w:val="24"/>
          <w:szCs w:val="24"/>
          <w:lang w:eastAsia="zh-CN"/>
        </w:rPr>
        <w:t>230</w:t>
      </w:r>
      <w:r w:rsidRPr="0076121B">
        <w:rPr>
          <w:rFonts w:ascii="Book Antiqua" w:eastAsia="宋体" w:hAnsi="Book Antiqua" w:cs="宋体"/>
          <w:color w:val="000000"/>
          <w:sz w:val="24"/>
          <w:szCs w:val="24"/>
          <w:lang w:eastAsia="zh-CN"/>
        </w:rPr>
        <w:t>: 419-426 [PMID: 1259023]</w:t>
      </w:r>
    </w:p>
    <w:p w14:paraId="25F22814"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7 </w:t>
      </w:r>
      <w:r w:rsidRPr="0076121B">
        <w:rPr>
          <w:rFonts w:ascii="Book Antiqua" w:eastAsia="宋体" w:hAnsi="Book Antiqua" w:cs="宋体"/>
          <w:b/>
          <w:bCs/>
          <w:color w:val="000000"/>
          <w:sz w:val="24"/>
          <w:szCs w:val="24"/>
          <w:lang w:eastAsia="zh-CN"/>
        </w:rPr>
        <w:t>Bruggmann P</w:t>
      </w:r>
      <w:r w:rsidRPr="0076121B">
        <w:rPr>
          <w:rFonts w:ascii="Book Antiqua" w:eastAsia="宋体" w:hAnsi="Book Antiqua" w:cs="宋体"/>
          <w:color w:val="000000"/>
          <w:sz w:val="24"/>
          <w:szCs w:val="24"/>
          <w:lang w:eastAsia="zh-CN"/>
        </w:rPr>
        <w:t>, Dampz M, Gerlach T, Kravecz L, Falcato L. Treatment outcome in relation to alcohol consumption during hepatitis C therapy: an analysis of the Swiss Hepatitis C Cohort Study. </w:t>
      </w:r>
      <w:r w:rsidRPr="0076121B">
        <w:rPr>
          <w:rFonts w:ascii="Book Antiqua" w:eastAsia="宋体" w:hAnsi="Book Antiqua" w:cs="宋体"/>
          <w:i/>
          <w:iCs/>
          <w:color w:val="000000"/>
          <w:sz w:val="24"/>
          <w:szCs w:val="24"/>
          <w:lang w:eastAsia="zh-CN"/>
        </w:rPr>
        <w:t>Drug Alcohol Depend</w:t>
      </w:r>
      <w:r w:rsidRPr="0076121B">
        <w:rPr>
          <w:rFonts w:ascii="Book Antiqua" w:eastAsia="宋体" w:hAnsi="Book Antiqua" w:cs="宋体"/>
          <w:color w:val="000000"/>
          <w:sz w:val="24"/>
          <w:szCs w:val="24"/>
          <w:lang w:eastAsia="zh-CN"/>
        </w:rPr>
        <w:t> 2010; </w:t>
      </w:r>
      <w:r w:rsidRPr="0076121B">
        <w:rPr>
          <w:rFonts w:ascii="Book Antiqua" w:eastAsia="宋体" w:hAnsi="Book Antiqua" w:cs="宋体"/>
          <w:b/>
          <w:bCs/>
          <w:color w:val="000000"/>
          <w:sz w:val="24"/>
          <w:szCs w:val="24"/>
          <w:lang w:eastAsia="zh-CN"/>
        </w:rPr>
        <w:t>110</w:t>
      </w:r>
      <w:r w:rsidRPr="0076121B">
        <w:rPr>
          <w:rFonts w:ascii="Book Antiqua" w:eastAsia="宋体" w:hAnsi="Book Antiqua" w:cs="宋体"/>
          <w:color w:val="000000"/>
          <w:sz w:val="24"/>
          <w:szCs w:val="24"/>
          <w:lang w:eastAsia="zh-CN"/>
        </w:rPr>
        <w:t>: 167-171 [PMID: 20334985 DOI: 10.1016/j.drugalcdep.2010.02.016]</w:t>
      </w:r>
    </w:p>
    <w:p w14:paraId="55F854AA"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8 </w:t>
      </w:r>
      <w:r w:rsidRPr="0076121B">
        <w:rPr>
          <w:rFonts w:ascii="Book Antiqua" w:eastAsia="宋体" w:hAnsi="Book Antiqua" w:cs="宋体"/>
          <w:b/>
          <w:bCs/>
          <w:color w:val="000000"/>
          <w:sz w:val="24"/>
          <w:szCs w:val="24"/>
          <w:lang w:eastAsia="zh-CN"/>
        </w:rPr>
        <w:t>Aspinall EJ</w:t>
      </w:r>
      <w:r w:rsidRPr="0076121B">
        <w:rPr>
          <w:rFonts w:ascii="Book Antiqua" w:eastAsia="宋体" w:hAnsi="Book Antiqua" w:cs="宋体"/>
          <w:color w:val="000000"/>
          <w:sz w:val="24"/>
          <w:szCs w:val="24"/>
          <w:lang w:eastAsia="zh-CN"/>
        </w:rPr>
        <w:t>, Corson S, Doyle JS, Grebely J, Hutchinson SJ, Dore GJ, Goldberg DJ, Hellard ME. Treatment of hepatitis C virus infection among people who are actively injecting drugs: a systematic review and meta-analysis. </w:t>
      </w:r>
      <w:r w:rsidRPr="0076121B">
        <w:rPr>
          <w:rFonts w:ascii="Book Antiqua" w:eastAsia="宋体" w:hAnsi="Book Antiqua" w:cs="宋体"/>
          <w:i/>
          <w:iCs/>
          <w:color w:val="000000"/>
          <w:sz w:val="24"/>
          <w:szCs w:val="24"/>
          <w:lang w:eastAsia="zh-CN"/>
        </w:rPr>
        <w:t>Clin Infect Dis</w:t>
      </w:r>
      <w:r w:rsidRPr="0076121B">
        <w:rPr>
          <w:rFonts w:ascii="Book Antiqua" w:eastAsia="宋体" w:hAnsi="Book Antiqua" w:cs="宋体"/>
          <w:color w:val="000000"/>
          <w:sz w:val="24"/>
          <w:szCs w:val="24"/>
          <w:lang w:eastAsia="zh-CN"/>
        </w:rPr>
        <w:t> 2013; </w:t>
      </w:r>
      <w:r w:rsidRPr="0076121B">
        <w:rPr>
          <w:rFonts w:ascii="Book Antiqua" w:eastAsia="宋体" w:hAnsi="Book Antiqua" w:cs="宋体"/>
          <w:b/>
          <w:bCs/>
          <w:color w:val="000000"/>
          <w:sz w:val="24"/>
          <w:szCs w:val="24"/>
          <w:lang w:eastAsia="zh-CN"/>
        </w:rPr>
        <w:t xml:space="preserve">57 </w:t>
      </w:r>
      <w:r w:rsidRPr="0076121B">
        <w:rPr>
          <w:rFonts w:ascii="Book Antiqua" w:eastAsia="宋体" w:hAnsi="Book Antiqua" w:cs="宋体"/>
          <w:bCs/>
          <w:color w:val="000000"/>
          <w:sz w:val="24"/>
          <w:szCs w:val="24"/>
          <w:lang w:eastAsia="zh-CN"/>
        </w:rPr>
        <w:t>Suppl 2</w:t>
      </w:r>
      <w:r w:rsidRPr="0076121B">
        <w:rPr>
          <w:rFonts w:ascii="Book Antiqua" w:eastAsia="宋体" w:hAnsi="Book Antiqua" w:cs="宋体"/>
          <w:color w:val="000000"/>
          <w:sz w:val="24"/>
          <w:szCs w:val="24"/>
          <w:lang w:eastAsia="zh-CN"/>
        </w:rPr>
        <w:t>: S80-S89 [PMID: 23884071 DOI: 10.1093/cid/cit306]</w:t>
      </w:r>
    </w:p>
    <w:p w14:paraId="32D4EFF3"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9 </w:t>
      </w:r>
      <w:r w:rsidRPr="0076121B">
        <w:rPr>
          <w:rFonts w:ascii="Book Antiqua" w:eastAsia="宋体" w:hAnsi="Book Antiqua" w:cs="宋体"/>
          <w:b/>
          <w:bCs/>
          <w:color w:val="000000"/>
          <w:sz w:val="24"/>
          <w:szCs w:val="24"/>
          <w:lang w:eastAsia="zh-CN"/>
        </w:rPr>
        <w:t>Micallef JM</w:t>
      </w:r>
      <w:r w:rsidRPr="0076121B">
        <w:rPr>
          <w:rFonts w:ascii="Book Antiqua" w:eastAsia="宋体" w:hAnsi="Book Antiqua" w:cs="宋体"/>
          <w:color w:val="000000"/>
          <w:sz w:val="24"/>
          <w:szCs w:val="24"/>
          <w:lang w:eastAsia="zh-CN"/>
        </w:rPr>
        <w:t xml:space="preserve">, Macdonald V, Jauncey M, Amin J, Rawlinson W, van Beek I, Kaldor JM, </w:t>
      </w:r>
      <w:r w:rsidRPr="0076121B">
        <w:rPr>
          <w:rFonts w:ascii="Book Antiqua" w:eastAsia="宋体" w:hAnsi="Book Antiqua" w:cs="宋体"/>
          <w:color w:val="000000"/>
          <w:sz w:val="24"/>
          <w:szCs w:val="24"/>
          <w:lang w:eastAsia="zh-CN"/>
        </w:rPr>
        <w:lastRenderedPageBreak/>
        <w:t>White PA, Dore GJ. High incidence of hepatitis C virus reinfection within a cohort of injecting drug users. </w:t>
      </w:r>
      <w:r w:rsidRPr="0076121B">
        <w:rPr>
          <w:rFonts w:ascii="Book Antiqua" w:eastAsia="宋体" w:hAnsi="Book Antiqua" w:cs="宋体"/>
          <w:i/>
          <w:iCs/>
          <w:color w:val="000000"/>
          <w:sz w:val="24"/>
          <w:szCs w:val="24"/>
          <w:lang w:eastAsia="zh-CN"/>
        </w:rPr>
        <w:t>J Viral Hepat</w:t>
      </w:r>
      <w:r w:rsidRPr="0076121B">
        <w:rPr>
          <w:rFonts w:ascii="Book Antiqua" w:eastAsia="宋体" w:hAnsi="Book Antiqua" w:cs="宋体"/>
          <w:color w:val="000000"/>
          <w:sz w:val="24"/>
          <w:szCs w:val="24"/>
          <w:lang w:eastAsia="zh-CN"/>
        </w:rPr>
        <w:t> 2007; </w:t>
      </w:r>
      <w:r w:rsidRPr="0076121B">
        <w:rPr>
          <w:rFonts w:ascii="Book Antiqua" w:eastAsia="宋体" w:hAnsi="Book Antiqua" w:cs="宋体"/>
          <w:b/>
          <w:bCs/>
          <w:color w:val="000000"/>
          <w:sz w:val="24"/>
          <w:szCs w:val="24"/>
          <w:lang w:eastAsia="zh-CN"/>
        </w:rPr>
        <w:t>14</w:t>
      </w:r>
      <w:r w:rsidRPr="0076121B">
        <w:rPr>
          <w:rFonts w:ascii="Book Antiqua" w:eastAsia="宋体" w:hAnsi="Book Antiqua" w:cs="宋体"/>
          <w:color w:val="000000"/>
          <w:sz w:val="24"/>
          <w:szCs w:val="24"/>
          <w:lang w:eastAsia="zh-CN"/>
        </w:rPr>
        <w:t>: 413-418 [PMID: 17501762 DOI: 10.1111/j.1365-2893.2006.00812.x]</w:t>
      </w:r>
    </w:p>
    <w:p w14:paraId="2E061039"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10 </w:t>
      </w:r>
      <w:r w:rsidRPr="0076121B">
        <w:rPr>
          <w:rFonts w:ascii="Book Antiqua" w:eastAsia="宋体" w:hAnsi="Book Antiqua" w:cs="宋体"/>
          <w:b/>
          <w:bCs/>
          <w:color w:val="000000"/>
          <w:sz w:val="24"/>
          <w:szCs w:val="24"/>
          <w:lang w:eastAsia="zh-CN"/>
        </w:rPr>
        <w:t>Hoofnagle JH</w:t>
      </w:r>
      <w:r w:rsidRPr="0076121B">
        <w:rPr>
          <w:rFonts w:ascii="Book Antiqua" w:eastAsia="宋体" w:hAnsi="Book Antiqua" w:cs="宋体"/>
          <w:color w:val="000000"/>
          <w:sz w:val="24"/>
          <w:szCs w:val="24"/>
          <w:lang w:eastAsia="zh-CN"/>
        </w:rPr>
        <w:t>, Seeff LB. Peginterferon and ribavirin for chronic hepatitis C. </w:t>
      </w:r>
      <w:r w:rsidRPr="0076121B">
        <w:rPr>
          <w:rFonts w:ascii="Book Antiqua" w:eastAsia="宋体" w:hAnsi="Book Antiqua" w:cs="宋体"/>
          <w:i/>
          <w:iCs/>
          <w:color w:val="000000"/>
          <w:sz w:val="24"/>
          <w:szCs w:val="24"/>
          <w:lang w:eastAsia="zh-CN"/>
        </w:rPr>
        <w:t>N Engl J Med</w:t>
      </w:r>
      <w:r w:rsidRPr="0076121B">
        <w:rPr>
          <w:rFonts w:ascii="Book Antiqua" w:eastAsia="宋体" w:hAnsi="Book Antiqua" w:cs="宋体"/>
          <w:color w:val="000000"/>
          <w:sz w:val="24"/>
          <w:szCs w:val="24"/>
          <w:lang w:eastAsia="zh-CN"/>
        </w:rPr>
        <w:t> 2006; </w:t>
      </w:r>
      <w:r w:rsidRPr="0076121B">
        <w:rPr>
          <w:rFonts w:ascii="Book Antiqua" w:eastAsia="宋体" w:hAnsi="Book Antiqua" w:cs="宋体"/>
          <w:b/>
          <w:bCs/>
          <w:color w:val="000000"/>
          <w:sz w:val="24"/>
          <w:szCs w:val="24"/>
          <w:lang w:eastAsia="zh-CN"/>
        </w:rPr>
        <w:t>355</w:t>
      </w:r>
      <w:r w:rsidRPr="0076121B">
        <w:rPr>
          <w:rFonts w:ascii="Book Antiqua" w:eastAsia="宋体" w:hAnsi="Book Antiqua" w:cs="宋体"/>
          <w:color w:val="000000"/>
          <w:sz w:val="24"/>
          <w:szCs w:val="24"/>
          <w:lang w:eastAsia="zh-CN"/>
        </w:rPr>
        <w:t>: 2444-2451 [PMID: 17151366 DOI: 10.1056/NEJMct061675]</w:t>
      </w:r>
    </w:p>
    <w:p w14:paraId="39A93778"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11 </w:t>
      </w:r>
      <w:r w:rsidRPr="0076121B">
        <w:rPr>
          <w:rFonts w:ascii="Book Antiqua" w:eastAsia="宋体" w:hAnsi="Book Antiqua" w:cs="宋体"/>
          <w:b/>
          <w:bCs/>
          <w:color w:val="000000"/>
          <w:sz w:val="24"/>
          <w:szCs w:val="24"/>
          <w:lang w:eastAsia="zh-CN"/>
        </w:rPr>
        <w:t>Afdhal N</w:t>
      </w:r>
      <w:r w:rsidRPr="0076121B">
        <w:rPr>
          <w:rFonts w:ascii="Book Antiqua" w:eastAsia="宋体" w:hAnsi="Book Antiqua" w:cs="宋体"/>
          <w:color w:val="000000"/>
          <w:sz w:val="24"/>
          <w:szCs w:val="24"/>
          <w:lang w:eastAsia="zh-CN"/>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76121B">
        <w:rPr>
          <w:rFonts w:ascii="Book Antiqua" w:eastAsia="宋体" w:hAnsi="Book Antiqua" w:cs="宋体"/>
          <w:i/>
          <w:iCs/>
          <w:color w:val="000000"/>
          <w:sz w:val="24"/>
          <w:szCs w:val="24"/>
          <w:lang w:eastAsia="zh-CN"/>
        </w:rPr>
        <w:t>N Engl J Med</w:t>
      </w:r>
      <w:r w:rsidRPr="0076121B">
        <w:rPr>
          <w:rFonts w:ascii="Book Antiqua" w:eastAsia="宋体" w:hAnsi="Book Antiqua" w:cs="宋体"/>
          <w:color w:val="000000"/>
          <w:sz w:val="24"/>
          <w:szCs w:val="24"/>
          <w:lang w:eastAsia="zh-CN"/>
        </w:rPr>
        <w:t> 2014; </w:t>
      </w:r>
      <w:r w:rsidRPr="0076121B">
        <w:rPr>
          <w:rFonts w:ascii="Book Antiqua" w:eastAsia="宋体" w:hAnsi="Book Antiqua" w:cs="宋体"/>
          <w:b/>
          <w:bCs/>
          <w:color w:val="000000"/>
          <w:sz w:val="24"/>
          <w:szCs w:val="24"/>
          <w:lang w:eastAsia="zh-CN"/>
        </w:rPr>
        <w:t>370</w:t>
      </w:r>
      <w:r w:rsidRPr="0076121B">
        <w:rPr>
          <w:rFonts w:ascii="Book Antiqua" w:eastAsia="宋体" w:hAnsi="Book Antiqua" w:cs="宋体"/>
          <w:color w:val="000000"/>
          <w:sz w:val="24"/>
          <w:szCs w:val="24"/>
          <w:lang w:eastAsia="zh-CN"/>
        </w:rPr>
        <w:t>: 1889-1898 [PMID: 24725239 DOI: 10.1056/NEJMoa1402454]</w:t>
      </w:r>
    </w:p>
    <w:p w14:paraId="2BC1CB7D"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12 </w:t>
      </w:r>
      <w:r w:rsidRPr="0076121B">
        <w:rPr>
          <w:rFonts w:ascii="Book Antiqua" w:eastAsia="宋体" w:hAnsi="Book Antiqua" w:cs="宋体"/>
          <w:b/>
          <w:bCs/>
          <w:color w:val="000000"/>
          <w:sz w:val="24"/>
          <w:szCs w:val="24"/>
          <w:lang w:eastAsia="zh-CN"/>
        </w:rPr>
        <w:t>Fried MW</w:t>
      </w:r>
      <w:r w:rsidRPr="0076121B">
        <w:rPr>
          <w:rFonts w:ascii="Book Antiqua" w:eastAsia="宋体" w:hAnsi="Book Antiqua" w:cs="宋体"/>
          <w:color w:val="000000"/>
          <w:sz w:val="24"/>
          <w:szCs w:val="24"/>
          <w:lang w:eastAsia="zh-CN"/>
        </w:rPr>
        <w:t>, Shiffman ML, Reddy KR, Smith C, Marinos G, Gonçales FL, Häussinger D, Diago M, Carosi G, Dhumeaux D, Craxi A, Lin A, Hoffman J, Yu J. Peginterferon alfa-2a plus ribavirin for chronic hepatitis C virus infection. </w:t>
      </w:r>
      <w:r w:rsidRPr="0076121B">
        <w:rPr>
          <w:rFonts w:ascii="Book Antiqua" w:eastAsia="宋体" w:hAnsi="Book Antiqua" w:cs="宋体"/>
          <w:i/>
          <w:iCs/>
          <w:color w:val="000000"/>
          <w:sz w:val="24"/>
          <w:szCs w:val="24"/>
          <w:lang w:eastAsia="zh-CN"/>
        </w:rPr>
        <w:t>N Engl J Med</w:t>
      </w:r>
      <w:r w:rsidRPr="0076121B">
        <w:rPr>
          <w:rFonts w:ascii="Book Antiqua" w:eastAsia="宋体" w:hAnsi="Book Antiqua" w:cs="宋体"/>
          <w:color w:val="000000"/>
          <w:sz w:val="24"/>
          <w:szCs w:val="24"/>
          <w:lang w:eastAsia="zh-CN"/>
        </w:rPr>
        <w:t> 2002; </w:t>
      </w:r>
      <w:r w:rsidRPr="0076121B">
        <w:rPr>
          <w:rFonts w:ascii="Book Antiqua" w:eastAsia="宋体" w:hAnsi="Book Antiqua" w:cs="宋体"/>
          <w:b/>
          <w:bCs/>
          <w:color w:val="000000"/>
          <w:sz w:val="24"/>
          <w:szCs w:val="24"/>
          <w:lang w:eastAsia="zh-CN"/>
        </w:rPr>
        <w:t>347</w:t>
      </w:r>
      <w:r w:rsidRPr="0076121B">
        <w:rPr>
          <w:rFonts w:ascii="Book Antiqua" w:eastAsia="宋体" w:hAnsi="Book Antiqua" w:cs="宋体"/>
          <w:color w:val="000000"/>
          <w:sz w:val="24"/>
          <w:szCs w:val="24"/>
          <w:lang w:eastAsia="zh-CN"/>
        </w:rPr>
        <w:t>: 975-982 [PMID: 12324553 DOI: 10.1056/NEJMoa020047]</w:t>
      </w:r>
    </w:p>
    <w:p w14:paraId="44A84C88"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13 </w:t>
      </w:r>
      <w:r w:rsidRPr="0076121B">
        <w:rPr>
          <w:rFonts w:ascii="Book Antiqua" w:eastAsia="宋体" w:hAnsi="Book Antiqua" w:cs="宋体"/>
          <w:b/>
          <w:bCs/>
          <w:color w:val="000000"/>
          <w:sz w:val="24"/>
          <w:szCs w:val="24"/>
          <w:lang w:eastAsia="zh-CN"/>
        </w:rPr>
        <w:t>Manns MP</w:t>
      </w:r>
      <w:r w:rsidRPr="0076121B">
        <w:rPr>
          <w:rFonts w:ascii="Book Antiqua" w:eastAsia="宋体" w:hAnsi="Book Antiqua" w:cs="宋体"/>
          <w:color w:val="000000"/>
          <w:sz w:val="24"/>
          <w:szCs w:val="24"/>
          <w:lang w:eastAsia="zh-CN"/>
        </w:rPr>
        <w:t>, McHutchison JG, Gordon SC, Rustgi VK, Shiffman M, Reindollar R, Goodman ZD, Koury K, Ling M, Albrecht JK. Peginterferon alfa-2b plus ribavirin compared with interferon alfa-2b plus ribavirin for initial treatment of chronic hepatitis C: a randomised trial. </w:t>
      </w:r>
      <w:r w:rsidRPr="0076121B">
        <w:rPr>
          <w:rFonts w:ascii="Book Antiqua" w:eastAsia="宋体" w:hAnsi="Book Antiqua" w:cs="宋体"/>
          <w:i/>
          <w:iCs/>
          <w:color w:val="000000"/>
          <w:sz w:val="24"/>
          <w:szCs w:val="24"/>
          <w:lang w:eastAsia="zh-CN"/>
        </w:rPr>
        <w:t>Lancet</w:t>
      </w:r>
      <w:r w:rsidRPr="0076121B">
        <w:rPr>
          <w:rFonts w:ascii="Book Antiqua" w:eastAsia="宋体" w:hAnsi="Book Antiqua" w:cs="宋体"/>
          <w:color w:val="000000"/>
          <w:sz w:val="24"/>
          <w:szCs w:val="24"/>
          <w:lang w:eastAsia="zh-CN"/>
        </w:rPr>
        <w:t> 2001; </w:t>
      </w:r>
      <w:r w:rsidRPr="0076121B">
        <w:rPr>
          <w:rFonts w:ascii="Book Antiqua" w:eastAsia="宋体" w:hAnsi="Book Antiqua" w:cs="宋体"/>
          <w:b/>
          <w:bCs/>
          <w:color w:val="000000"/>
          <w:sz w:val="24"/>
          <w:szCs w:val="24"/>
          <w:lang w:eastAsia="zh-CN"/>
        </w:rPr>
        <w:t>358</w:t>
      </w:r>
      <w:r w:rsidRPr="0076121B">
        <w:rPr>
          <w:rFonts w:ascii="Book Antiqua" w:eastAsia="宋体" w:hAnsi="Book Antiqua" w:cs="宋体"/>
          <w:color w:val="000000"/>
          <w:sz w:val="24"/>
          <w:szCs w:val="24"/>
          <w:lang w:eastAsia="zh-CN"/>
        </w:rPr>
        <w:t>: 958-965 [PMID: 11583749 DOI: 10.1016/S0140-6736(01)06102-5]</w:t>
      </w:r>
    </w:p>
    <w:p w14:paraId="078CDA3F"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14 </w:t>
      </w:r>
      <w:r w:rsidRPr="0076121B">
        <w:rPr>
          <w:rFonts w:ascii="Book Antiqua" w:eastAsia="宋体" w:hAnsi="Book Antiqua" w:cs="宋体"/>
          <w:b/>
          <w:bCs/>
          <w:color w:val="000000"/>
          <w:sz w:val="24"/>
          <w:szCs w:val="24"/>
          <w:lang w:eastAsia="zh-CN"/>
        </w:rPr>
        <w:t>McHutchison JG</w:t>
      </w:r>
      <w:r w:rsidRPr="0076121B">
        <w:rPr>
          <w:rFonts w:ascii="Book Antiqua" w:eastAsia="宋体" w:hAnsi="Book Antiqua" w:cs="宋体"/>
          <w:color w:val="000000"/>
          <w:sz w:val="24"/>
          <w:szCs w:val="24"/>
          <w:lang w:eastAsia="zh-CN"/>
        </w:rPr>
        <w:t>, Manns M, Patel K, Poynard T, Lindsay KL, Trepo C, Dienstag J, Lee WM, Mak C, Garaud JJ, Albrecht JK. Adherence to combination therapy enhances sustained response in genotype-1-infected patients with chronic hepatitis C. </w:t>
      </w:r>
      <w:r w:rsidRPr="0076121B">
        <w:rPr>
          <w:rFonts w:ascii="Book Antiqua" w:eastAsia="宋体" w:hAnsi="Book Antiqua" w:cs="宋体"/>
          <w:i/>
          <w:iCs/>
          <w:color w:val="000000"/>
          <w:sz w:val="24"/>
          <w:szCs w:val="24"/>
          <w:lang w:eastAsia="zh-CN"/>
        </w:rPr>
        <w:t>Gastroenterology</w:t>
      </w:r>
      <w:r w:rsidRPr="0076121B">
        <w:rPr>
          <w:rFonts w:ascii="Book Antiqua" w:eastAsia="宋体" w:hAnsi="Book Antiqua" w:cs="宋体"/>
          <w:color w:val="000000"/>
          <w:sz w:val="24"/>
          <w:szCs w:val="24"/>
          <w:lang w:eastAsia="zh-CN"/>
        </w:rPr>
        <w:t> 2002; </w:t>
      </w:r>
      <w:r w:rsidRPr="0076121B">
        <w:rPr>
          <w:rFonts w:ascii="Book Antiqua" w:eastAsia="宋体" w:hAnsi="Book Antiqua" w:cs="宋体"/>
          <w:b/>
          <w:bCs/>
          <w:color w:val="000000"/>
          <w:sz w:val="24"/>
          <w:szCs w:val="24"/>
          <w:lang w:eastAsia="zh-CN"/>
        </w:rPr>
        <w:t>123</w:t>
      </w:r>
      <w:r w:rsidRPr="0076121B">
        <w:rPr>
          <w:rFonts w:ascii="Book Antiqua" w:eastAsia="宋体" w:hAnsi="Book Antiqua" w:cs="宋体"/>
          <w:color w:val="000000"/>
          <w:sz w:val="24"/>
          <w:szCs w:val="24"/>
          <w:lang w:eastAsia="zh-CN"/>
        </w:rPr>
        <w:t>: 1061-</w:t>
      </w:r>
      <w:r>
        <w:rPr>
          <w:rFonts w:ascii="Book Antiqua" w:eastAsia="宋体" w:hAnsi="Book Antiqua" w:cs="宋体"/>
          <w:color w:val="000000"/>
          <w:sz w:val="24"/>
          <w:szCs w:val="24"/>
          <w:lang w:eastAsia="zh-CN"/>
        </w:rPr>
        <w:t xml:space="preserve">1069 [PMID: 12360468 DOI: </w:t>
      </w:r>
      <w:r w:rsidRPr="0076121B">
        <w:rPr>
          <w:rFonts w:ascii="Book Antiqua" w:eastAsia="宋体" w:hAnsi="Book Antiqua" w:cs="宋体"/>
          <w:color w:val="000000"/>
          <w:sz w:val="24"/>
          <w:szCs w:val="24"/>
          <w:lang w:eastAsia="zh-CN"/>
        </w:rPr>
        <w:t>10.1053/gast.2002.35950]</w:t>
      </w:r>
    </w:p>
    <w:p w14:paraId="419D5863"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15 </w:t>
      </w:r>
      <w:r w:rsidRPr="0076121B">
        <w:rPr>
          <w:rFonts w:ascii="Book Antiqua" w:eastAsia="宋体" w:hAnsi="Book Antiqua" w:cs="宋体"/>
          <w:b/>
          <w:bCs/>
          <w:color w:val="000000"/>
          <w:sz w:val="24"/>
          <w:szCs w:val="24"/>
          <w:lang w:eastAsia="zh-CN"/>
        </w:rPr>
        <w:t>Kowdley KV</w:t>
      </w:r>
      <w:r w:rsidRPr="0076121B">
        <w:rPr>
          <w:rFonts w:ascii="Book Antiqua" w:eastAsia="宋体" w:hAnsi="Book Antiqua" w:cs="宋体"/>
          <w:color w:val="000000"/>
          <w:sz w:val="24"/>
          <w:szCs w:val="24"/>
          <w:lang w:eastAsia="zh-CN"/>
        </w:rPr>
        <w:t>, Gordon SC, Reddy KR, Rossaro L, Bernstein DE, Lawitz E, Shiffman ML, Schiff E, Ghalib R, Ryan M, Rustgi V, Chojkier M, Herring R, Di Bisceglie AM, Pockros PJ, Subramanian GM, An D, Svarovskaia E, Hyland RH, Pang PS, Symonds WT, McHutchison JG, Muir AJ, Pound D, Fried MW. Ledipasvir and sofosbuvir for 8 or 12 weeks for chronic HCV without cirrhosis. </w:t>
      </w:r>
      <w:r w:rsidRPr="0076121B">
        <w:rPr>
          <w:rFonts w:ascii="Book Antiqua" w:eastAsia="宋体" w:hAnsi="Book Antiqua" w:cs="宋体"/>
          <w:i/>
          <w:iCs/>
          <w:color w:val="000000"/>
          <w:sz w:val="24"/>
          <w:szCs w:val="24"/>
          <w:lang w:eastAsia="zh-CN"/>
        </w:rPr>
        <w:t>N Engl J Med</w:t>
      </w:r>
      <w:r w:rsidRPr="0076121B">
        <w:rPr>
          <w:rFonts w:ascii="Book Antiqua" w:eastAsia="宋体" w:hAnsi="Book Antiqua" w:cs="宋体"/>
          <w:color w:val="000000"/>
          <w:sz w:val="24"/>
          <w:szCs w:val="24"/>
          <w:lang w:eastAsia="zh-CN"/>
        </w:rPr>
        <w:t> 2014; </w:t>
      </w:r>
      <w:r w:rsidRPr="0076121B">
        <w:rPr>
          <w:rFonts w:ascii="Book Antiqua" w:eastAsia="宋体" w:hAnsi="Book Antiqua" w:cs="宋体"/>
          <w:b/>
          <w:bCs/>
          <w:color w:val="000000"/>
          <w:sz w:val="24"/>
          <w:szCs w:val="24"/>
          <w:lang w:eastAsia="zh-CN"/>
        </w:rPr>
        <w:t>370</w:t>
      </w:r>
      <w:r w:rsidRPr="0076121B">
        <w:rPr>
          <w:rFonts w:ascii="Book Antiqua" w:eastAsia="宋体" w:hAnsi="Book Antiqua" w:cs="宋体"/>
          <w:color w:val="000000"/>
          <w:sz w:val="24"/>
          <w:szCs w:val="24"/>
          <w:lang w:eastAsia="zh-CN"/>
        </w:rPr>
        <w:t>: 1879-1888 [PMID: 24720702 DOI: 10.1056/NEJMoa1402355]</w:t>
      </w:r>
    </w:p>
    <w:p w14:paraId="4C549BF7"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lastRenderedPageBreak/>
        <w:t>16 </w:t>
      </w:r>
      <w:r w:rsidRPr="0076121B">
        <w:rPr>
          <w:rFonts w:ascii="Book Antiqua" w:eastAsia="宋体" w:hAnsi="Book Antiqua" w:cs="宋体"/>
          <w:b/>
          <w:bCs/>
          <w:color w:val="000000"/>
          <w:sz w:val="24"/>
          <w:szCs w:val="24"/>
          <w:lang w:eastAsia="zh-CN"/>
        </w:rPr>
        <w:t>Ferenci P</w:t>
      </w:r>
      <w:r w:rsidRPr="0076121B">
        <w:rPr>
          <w:rFonts w:ascii="Book Antiqua" w:eastAsia="宋体" w:hAnsi="Book Antiqua" w:cs="宋体"/>
          <w:color w:val="000000"/>
          <w:sz w:val="24"/>
          <w:szCs w:val="24"/>
          <w:lang w:eastAsia="zh-CN"/>
        </w:rPr>
        <w:t>, Bernstein D, Lalezari J, Cohen D, Luo Y, Cooper C, Tam E, Marinho RT, Tsai N, Nyberg A, Box TD, Younes Z, Enayati P, Green S, Baruch Y, Bhandari BR, Caruntu FA, Sepe T, Chulanov V, Janczewska E, Rizzardini G, Gervain J, Planas R, Moreno C, Hassanein T, Xie W, King M, Podsadecki T, Reddy KR. ABT-450/r-ombitasvir and dasabuvir with or without ribavirin for HCV. </w:t>
      </w:r>
      <w:r w:rsidRPr="0076121B">
        <w:rPr>
          <w:rFonts w:ascii="Book Antiqua" w:eastAsia="宋体" w:hAnsi="Book Antiqua" w:cs="宋体"/>
          <w:i/>
          <w:iCs/>
          <w:color w:val="000000"/>
          <w:sz w:val="24"/>
          <w:szCs w:val="24"/>
          <w:lang w:eastAsia="zh-CN"/>
        </w:rPr>
        <w:t>N Engl J Med</w:t>
      </w:r>
      <w:r w:rsidRPr="0076121B">
        <w:rPr>
          <w:rFonts w:ascii="Book Antiqua" w:eastAsia="宋体" w:hAnsi="Book Antiqua" w:cs="宋体"/>
          <w:color w:val="000000"/>
          <w:sz w:val="24"/>
          <w:szCs w:val="24"/>
          <w:lang w:eastAsia="zh-CN"/>
        </w:rPr>
        <w:t> 2014; </w:t>
      </w:r>
      <w:r w:rsidRPr="0076121B">
        <w:rPr>
          <w:rFonts w:ascii="Book Antiqua" w:eastAsia="宋体" w:hAnsi="Book Antiqua" w:cs="宋体"/>
          <w:b/>
          <w:bCs/>
          <w:color w:val="000000"/>
          <w:sz w:val="24"/>
          <w:szCs w:val="24"/>
          <w:lang w:eastAsia="zh-CN"/>
        </w:rPr>
        <w:t>370</w:t>
      </w:r>
      <w:r w:rsidRPr="0076121B">
        <w:rPr>
          <w:rFonts w:ascii="Book Antiqua" w:eastAsia="宋体" w:hAnsi="Book Antiqua" w:cs="宋体"/>
          <w:color w:val="000000"/>
          <w:sz w:val="24"/>
          <w:szCs w:val="24"/>
          <w:lang w:eastAsia="zh-CN"/>
        </w:rPr>
        <w:t>: 1983-1992 [PMID: 24795200 DOI: 10.1056/NEJMoa1402338]</w:t>
      </w:r>
    </w:p>
    <w:p w14:paraId="64F02FF0"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 xml:space="preserve">17 </w:t>
      </w:r>
      <w:r w:rsidR="00174069" w:rsidRPr="00174069">
        <w:rPr>
          <w:rFonts w:ascii="Book Antiqua" w:eastAsia="宋体" w:hAnsi="Book Antiqua" w:cs="宋体"/>
          <w:b/>
          <w:bCs/>
          <w:color w:val="000000"/>
          <w:sz w:val="24"/>
          <w:szCs w:val="24"/>
          <w:lang w:eastAsia="zh-CN"/>
        </w:rPr>
        <w:t>Zeldin RK</w:t>
      </w:r>
      <w:r w:rsidR="00174069" w:rsidRPr="00174069">
        <w:rPr>
          <w:rFonts w:ascii="Book Antiqua" w:eastAsia="宋体" w:hAnsi="Book Antiqua" w:cs="宋体"/>
          <w:color w:val="000000"/>
          <w:sz w:val="24"/>
          <w:szCs w:val="24"/>
          <w:lang w:eastAsia="zh-CN"/>
        </w:rPr>
        <w:t>, Petruschke RA. Pharmacological and therapeutic properties of ritonavir-boosted protease inhibitor therapy in HIV-infected patients. </w:t>
      </w:r>
      <w:r w:rsidR="00174069" w:rsidRPr="00174069">
        <w:rPr>
          <w:rFonts w:ascii="Book Antiqua" w:eastAsia="宋体" w:hAnsi="Book Antiqua" w:cs="宋体"/>
          <w:i/>
          <w:iCs/>
          <w:color w:val="000000"/>
          <w:sz w:val="24"/>
          <w:szCs w:val="24"/>
          <w:lang w:eastAsia="zh-CN"/>
        </w:rPr>
        <w:t>J Antimicrob Chemother</w:t>
      </w:r>
      <w:r w:rsidR="00174069" w:rsidRPr="00174069">
        <w:rPr>
          <w:rFonts w:ascii="Book Antiqua" w:eastAsia="宋体" w:hAnsi="Book Antiqua" w:cs="宋体"/>
          <w:color w:val="000000"/>
          <w:sz w:val="24"/>
          <w:szCs w:val="24"/>
          <w:lang w:eastAsia="zh-CN"/>
        </w:rPr>
        <w:t> 2004; </w:t>
      </w:r>
      <w:r w:rsidR="00174069" w:rsidRPr="00174069">
        <w:rPr>
          <w:rFonts w:ascii="Book Antiqua" w:eastAsia="宋体" w:hAnsi="Book Antiqua" w:cs="宋体"/>
          <w:b/>
          <w:bCs/>
          <w:color w:val="000000"/>
          <w:sz w:val="24"/>
          <w:szCs w:val="24"/>
          <w:lang w:eastAsia="zh-CN"/>
        </w:rPr>
        <w:t>53</w:t>
      </w:r>
      <w:r w:rsidR="00174069" w:rsidRPr="00174069">
        <w:rPr>
          <w:rFonts w:ascii="Book Antiqua" w:eastAsia="宋体" w:hAnsi="Book Antiqua" w:cs="宋体"/>
          <w:color w:val="000000"/>
          <w:sz w:val="24"/>
          <w:szCs w:val="24"/>
          <w:lang w:eastAsia="zh-CN"/>
        </w:rPr>
        <w:t>: 4-9 [PMID: 14657084 DOI: 10.1093/jac/dkh029]</w:t>
      </w:r>
    </w:p>
    <w:p w14:paraId="6D6C08E4"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 xml:space="preserve">18 Panel on Antiretroviral Guidelines for Adults and Adolescents. Guidelines for the use of antiretroviral agents in HIV-1-infected adults and adolescents. Department of Health and Human Services. </w:t>
      </w:r>
      <w:r w:rsidR="00E50931">
        <w:rPr>
          <w:rFonts w:ascii="Book Antiqua" w:eastAsia="宋体" w:hAnsi="Book Antiqua" w:cs="宋体"/>
          <w:color w:val="000000"/>
          <w:sz w:val="24"/>
          <w:szCs w:val="24"/>
          <w:lang w:eastAsia="zh-CN"/>
        </w:rPr>
        <w:t>[a</w:t>
      </w:r>
      <w:r w:rsidR="00E50931" w:rsidRPr="0076121B">
        <w:rPr>
          <w:rFonts w:ascii="Book Antiqua" w:eastAsia="宋体" w:hAnsi="Book Antiqua" w:cs="宋体"/>
          <w:color w:val="000000"/>
          <w:sz w:val="24"/>
          <w:szCs w:val="24"/>
          <w:lang w:eastAsia="zh-CN"/>
        </w:rPr>
        <w:t>ccessed 2015</w:t>
      </w:r>
      <w:r w:rsidR="00E50931" w:rsidRPr="00E50931">
        <w:rPr>
          <w:rFonts w:ascii="Book Antiqua" w:eastAsia="宋体" w:hAnsi="Book Antiqua" w:cs="宋体"/>
          <w:color w:val="000000"/>
          <w:sz w:val="24"/>
          <w:szCs w:val="24"/>
          <w:lang w:eastAsia="zh-CN"/>
        </w:rPr>
        <w:t xml:space="preserve"> </w:t>
      </w:r>
      <w:r w:rsidR="00E50931" w:rsidRPr="0076121B">
        <w:rPr>
          <w:rFonts w:ascii="Book Antiqua" w:eastAsia="宋体" w:hAnsi="Book Antiqua" w:cs="宋体"/>
          <w:color w:val="000000"/>
          <w:sz w:val="24"/>
          <w:szCs w:val="24"/>
          <w:lang w:eastAsia="zh-CN"/>
        </w:rPr>
        <w:t>Jun</w:t>
      </w:r>
      <w:r w:rsidR="00E50931">
        <w:rPr>
          <w:rFonts w:ascii="Book Antiqua" w:eastAsia="宋体" w:hAnsi="Book Antiqua" w:cs="宋体"/>
          <w:color w:val="000000"/>
          <w:sz w:val="24"/>
          <w:szCs w:val="24"/>
          <w:lang w:eastAsia="zh-CN"/>
        </w:rPr>
        <w:t xml:space="preserve"> 15]</w:t>
      </w:r>
      <w:r w:rsidR="00E50931" w:rsidRPr="0076121B">
        <w:rPr>
          <w:rFonts w:ascii="Book Antiqua" w:eastAsia="宋体" w:hAnsi="Book Antiqua" w:cs="宋体"/>
          <w:color w:val="000000"/>
          <w:sz w:val="24"/>
          <w:szCs w:val="24"/>
          <w:lang w:eastAsia="zh-CN"/>
        </w:rPr>
        <w:t>.</w:t>
      </w:r>
      <w:r w:rsidR="00E50931">
        <w:rPr>
          <w:rFonts w:ascii="Book Antiqua" w:eastAsia="宋体" w:hAnsi="Book Antiqua" w:cs="宋体"/>
          <w:color w:val="000000"/>
          <w:sz w:val="24"/>
          <w:szCs w:val="24"/>
          <w:lang w:eastAsia="zh-CN"/>
        </w:rPr>
        <w:t xml:space="preserve"> </w:t>
      </w:r>
      <w:r w:rsidR="00A86017" w:rsidRPr="00A86017">
        <w:rPr>
          <w:rFonts w:ascii="Book Antiqua" w:eastAsia="宋体" w:hAnsi="Book Antiqua" w:cs="宋体"/>
          <w:color w:val="000000"/>
          <w:sz w:val="24"/>
          <w:szCs w:val="24"/>
          <w:lang w:eastAsia="zh-CN"/>
        </w:rPr>
        <w:t>Available from: URL:</w:t>
      </w:r>
      <w:bookmarkStart w:id="5" w:name="_GoBack"/>
      <w:r w:rsidR="00A86017" w:rsidRPr="00A86017">
        <w:rPr>
          <w:rFonts w:ascii="Book Antiqua" w:eastAsia="宋体" w:hAnsi="Book Antiqua" w:cs="宋体"/>
          <w:color w:val="000000"/>
          <w:sz w:val="24"/>
          <w:szCs w:val="24"/>
          <w:lang w:eastAsia="zh-CN"/>
        </w:rPr>
        <w:t xml:space="preserve"> </w:t>
      </w:r>
      <w:bookmarkEnd w:id="5"/>
      <w:r w:rsidRPr="0076121B">
        <w:rPr>
          <w:rFonts w:ascii="Book Antiqua" w:eastAsia="宋体" w:hAnsi="Book Antiqua" w:cs="宋体"/>
          <w:color w:val="000000"/>
          <w:sz w:val="24"/>
          <w:szCs w:val="24"/>
          <w:lang w:eastAsia="zh-CN"/>
        </w:rPr>
        <w:t xml:space="preserve">http: //www.aidsinfo.nih.gov/ContentFiles/AdultandAdolescentGL. pdf. </w:t>
      </w:r>
    </w:p>
    <w:p w14:paraId="649DF296"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 xml:space="preserve">19 University of California at San Francisco HIV/AIDS Division. HIVInsite Gateway. </w:t>
      </w:r>
      <w:r w:rsidR="00E50931">
        <w:rPr>
          <w:rFonts w:ascii="Book Antiqua" w:eastAsia="宋体" w:hAnsi="Book Antiqua" w:cs="宋体"/>
          <w:color w:val="000000"/>
          <w:sz w:val="24"/>
          <w:szCs w:val="24"/>
          <w:lang w:eastAsia="zh-CN"/>
        </w:rPr>
        <w:t>[a</w:t>
      </w:r>
      <w:r w:rsidR="00E50931" w:rsidRPr="0076121B">
        <w:rPr>
          <w:rFonts w:ascii="Book Antiqua" w:eastAsia="宋体" w:hAnsi="Book Antiqua" w:cs="宋体"/>
          <w:color w:val="000000"/>
          <w:sz w:val="24"/>
          <w:szCs w:val="24"/>
          <w:lang w:eastAsia="zh-CN"/>
        </w:rPr>
        <w:t>ccessed 2015</w:t>
      </w:r>
      <w:r w:rsidR="00E50931" w:rsidRPr="00E50931">
        <w:rPr>
          <w:rFonts w:ascii="Book Antiqua" w:eastAsia="宋体" w:hAnsi="Book Antiqua" w:cs="宋体"/>
          <w:color w:val="000000"/>
          <w:sz w:val="24"/>
          <w:szCs w:val="24"/>
          <w:lang w:eastAsia="zh-CN"/>
        </w:rPr>
        <w:t xml:space="preserve"> </w:t>
      </w:r>
      <w:r w:rsidR="00E50931" w:rsidRPr="0076121B">
        <w:rPr>
          <w:rFonts w:ascii="Book Antiqua" w:eastAsia="宋体" w:hAnsi="Book Antiqua" w:cs="宋体"/>
          <w:color w:val="000000"/>
          <w:sz w:val="24"/>
          <w:szCs w:val="24"/>
          <w:lang w:eastAsia="zh-CN"/>
        </w:rPr>
        <w:t>Jun</w:t>
      </w:r>
      <w:r w:rsidR="00E50931">
        <w:rPr>
          <w:rFonts w:ascii="Book Antiqua" w:eastAsia="宋体" w:hAnsi="Book Antiqua" w:cs="宋体"/>
          <w:color w:val="000000"/>
          <w:sz w:val="24"/>
          <w:szCs w:val="24"/>
          <w:lang w:eastAsia="zh-CN"/>
        </w:rPr>
        <w:t xml:space="preserve"> 15]</w:t>
      </w:r>
      <w:r w:rsidR="00E50931" w:rsidRPr="0076121B">
        <w:rPr>
          <w:rFonts w:ascii="Book Antiqua" w:eastAsia="宋体" w:hAnsi="Book Antiqua" w:cs="宋体"/>
          <w:color w:val="000000"/>
          <w:sz w:val="24"/>
          <w:szCs w:val="24"/>
          <w:lang w:eastAsia="zh-CN"/>
        </w:rPr>
        <w:t>.</w:t>
      </w:r>
      <w:r w:rsidR="00E50931">
        <w:rPr>
          <w:rFonts w:ascii="Book Antiqua" w:eastAsia="宋体" w:hAnsi="Book Antiqua" w:cs="宋体"/>
          <w:color w:val="000000"/>
          <w:sz w:val="24"/>
          <w:szCs w:val="24"/>
          <w:lang w:eastAsia="zh-CN"/>
        </w:rPr>
        <w:t xml:space="preserve"> </w:t>
      </w:r>
      <w:r w:rsidR="00A86017">
        <w:rPr>
          <w:rFonts w:ascii="Book Antiqua" w:eastAsia="宋体" w:hAnsi="Book Antiqua" w:cs="宋体"/>
          <w:color w:val="000000"/>
          <w:sz w:val="24"/>
          <w:szCs w:val="24"/>
          <w:lang w:eastAsia="zh-CN"/>
        </w:rPr>
        <w:t>Available from: URL:</w:t>
      </w:r>
      <w:r w:rsidR="00E50931">
        <w:rPr>
          <w:rFonts w:ascii="Book Antiqua" w:eastAsia="宋体" w:hAnsi="Book Antiqua" w:cs="宋体"/>
          <w:color w:val="000000"/>
          <w:sz w:val="24"/>
          <w:szCs w:val="24"/>
          <w:lang w:eastAsia="zh-CN"/>
        </w:rPr>
        <w:t xml:space="preserve"> </w:t>
      </w:r>
      <w:r w:rsidRPr="0076121B">
        <w:rPr>
          <w:rFonts w:ascii="Book Antiqua" w:eastAsia="宋体" w:hAnsi="Book Antiqua" w:cs="宋体"/>
          <w:color w:val="000000"/>
          <w:sz w:val="24"/>
          <w:szCs w:val="24"/>
          <w:lang w:eastAsia="zh-CN"/>
        </w:rPr>
        <w:t>htt</w:t>
      </w:r>
      <w:r w:rsidR="00E50931">
        <w:rPr>
          <w:rFonts w:ascii="Book Antiqua" w:eastAsia="宋体" w:hAnsi="Book Antiqua" w:cs="宋体"/>
          <w:color w:val="000000"/>
          <w:sz w:val="24"/>
          <w:szCs w:val="24"/>
          <w:lang w:eastAsia="zh-CN"/>
        </w:rPr>
        <w:t>p: //hivinsite.ucsf.edu/InSite</w:t>
      </w:r>
    </w:p>
    <w:p w14:paraId="1A7043BB"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20 </w:t>
      </w:r>
      <w:r w:rsidRPr="0076121B">
        <w:rPr>
          <w:rFonts w:ascii="Book Antiqua" w:eastAsia="宋体" w:hAnsi="Book Antiqua" w:cs="宋体"/>
          <w:b/>
          <w:bCs/>
          <w:color w:val="000000"/>
          <w:sz w:val="24"/>
          <w:szCs w:val="24"/>
          <w:lang w:eastAsia="zh-CN"/>
        </w:rPr>
        <w:t>El-Ibiary SY</w:t>
      </w:r>
      <w:r w:rsidRPr="0076121B">
        <w:rPr>
          <w:rFonts w:ascii="Book Antiqua" w:eastAsia="宋体" w:hAnsi="Book Antiqua" w:cs="宋体"/>
          <w:color w:val="000000"/>
          <w:sz w:val="24"/>
          <w:szCs w:val="24"/>
          <w:lang w:eastAsia="zh-CN"/>
        </w:rPr>
        <w:t>, Cocohoba JM. Effects of HIV antiretrovirals on the pharmacokinetics of hormonal contraceptives. </w:t>
      </w:r>
      <w:r w:rsidRPr="0076121B">
        <w:rPr>
          <w:rFonts w:ascii="Book Antiqua" w:eastAsia="宋体" w:hAnsi="Book Antiqua" w:cs="宋体"/>
          <w:i/>
          <w:iCs/>
          <w:color w:val="000000"/>
          <w:sz w:val="24"/>
          <w:szCs w:val="24"/>
          <w:lang w:eastAsia="zh-CN"/>
        </w:rPr>
        <w:t>Eur J Contracept Reprod Health Care</w:t>
      </w:r>
      <w:r w:rsidRPr="0076121B">
        <w:rPr>
          <w:rFonts w:ascii="Book Antiqua" w:eastAsia="宋体" w:hAnsi="Book Antiqua" w:cs="宋体"/>
          <w:color w:val="000000"/>
          <w:sz w:val="24"/>
          <w:szCs w:val="24"/>
          <w:lang w:eastAsia="zh-CN"/>
        </w:rPr>
        <w:t> 2008; </w:t>
      </w:r>
      <w:r w:rsidRPr="0076121B">
        <w:rPr>
          <w:rFonts w:ascii="Book Antiqua" w:eastAsia="宋体" w:hAnsi="Book Antiqua" w:cs="宋体"/>
          <w:b/>
          <w:bCs/>
          <w:color w:val="000000"/>
          <w:sz w:val="24"/>
          <w:szCs w:val="24"/>
          <w:lang w:eastAsia="zh-CN"/>
        </w:rPr>
        <w:t>13</w:t>
      </w:r>
      <w:r w:rsidRPr="0076121B">
        <w:rPr>
          <w:rFonts w:ascii="Book Antiqua" w:eastAsia="宋体" w:hAnsi="Book Antiqua" w:cs="宋体"/>
          <w:color w:val="000000"/>
          <w:sz w:val="24"/>
          <w:szCs w:val="24"/>
          <w:lang w:eastAsia="zh-CN"/>
        </w:rPr>
        <w:t>: 123-132 [PMID: 18465473 DOI: 10.1080/13625180701829952]</w:t>
      </w:r>
    </w:p>
    <w:p w14:paraId="5FE30B3D"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2</w:t>
      </w:r>
      <w:r w:rsidR="00013D2B">
        <w:rPr>
          <w:rFonts w:ascii="Book Antiqua" w:eastAsia="宋体" w:hAnsi="Book Antiqua" w:cs="宋体" w:hint="eastAsia"/>
          <w:color w:val="000000"/>
          <w:sz w:val="24"/>
          <w:szCs w:val="24"/>
          <w:lang w:eastAsia="zh-CN"/>
        </w:rPr>
        <w:t>1</w:t>
      </w:r>
      <w:r w:rsidRPr="0076121B">
        <w:rPr>
          <w:rFonts w:ascii="Book Antiqua" w:eastAsia="宋体" w:hAnsi="Book Antiqua" w:cs="宋体"/>
          <w:color w:val="000000"/>
          <w:sz w:val="24"/>
          <w:szCs w:val="24"/>
          <w:lang w:eastAsia="zh-CN"/>
        </w:rPr>
        <w:t> </w:t>
      </w:r>
      <w:r w:rsidRPr="0076121B">
        <w:rPr>
          <w:rFonts w:ascii="Book Antiqua" w:eastAsia="宋体" w:hAnsi="Book Antiqua" w:cs="宋体"/>
          <w:b/>
          <w:bCs/>
          <w:color w:val="000000"/>
          <w:sz w:val="24"/>
          <w:szCs w:val="24"/>
          <w:lang w:eastAsia="zh-CN"/>
        </w:rPr>
        <w:t>Ouellet D</w:t>
      </w:r>
      <w:r w:rsidRPr="0076121B">
        <w:rPr>
          <w:rFonts w:ascii="Book Antiqua" w:eastAsia="宋体" w:hAnsi="Book Antiqua" w:cs="宋体"/>
          <w:color w:val="000000"/>
          <w:sz w:val="24"/>
          <w:szCs w:val="24"/>
          <w:lang w:eastAsia="zh-CN"/>
        </w:rPr>
        <w:t>, Hsu A, Qian J, Locke CS, Eason CJ, Cavanaugh JH, Leonard JM, Granneman GR. Effect of ritonavir on the pharmacokinetics of ethinyl oestradiol in healthy female volunteers. </w:t>
      </w:r>
      <w:r w:rsidRPr="0076121B">
        <w:rPr>
          <w:rFonts w:ascii="Book Antiqua" w:eastAsia="宋体" w:hAnsi="Book Antiqua" w:cs="宋体"/>
          <w:i/>
          <w:iCs/>
          <w:color w:val="000000"/>
          <w:sz w:val="24"/>
          <w:szCs w:val="24"/>
          <w:lang w:eastAsia="zh-CN"/>
        </w:rPr>
        <w:t>Br J Clin Pharmacol</w:t>
      </w:r>
      <w:r w:rsidRPr="0076121B">
        <w:rPr>
          <w:rFonts w:ascii="Book Antiqua" w:eastAsia="宋体" w:hAnsi="Book Antiqua" w:cs="宋体"/>
          <w:color w:val="000000"/>
          <w:sz w:val="24"/>
          <w:szCs w:val="24"/>
          <w:lang w:eastAsia="zh-CN"/>
        </w:rPr>
        <w:t> 1998; </w:t>
      </w:r>
      <w:r w:rsidRPr="0076121B">
        <w:rPr>
          <w:rFonts w:ascii="Book Antiqua" w:eastAsia="宋体" w:hAnsi="Book Antiqua" w:cs="宋体"/>
          <w:b/>
          <w:bCs/>
          <w:color w:val="000000"/>
          <w:sz w:val="24"/>
          <w:szCs w:val="24"/>
          <w:lang w:eastAsia="zh-CN"/>
        </w:rPr>
        <w:t>46</w:t>
      </w:r>
      <w:r w:rsidRPr="0076121B">
        <w:rPr>
          <w:rFonts w:ascii="Book Antiqua" w:eastAsia="宋体" w:hAnsi="Book Antiqua" w:cs="宋体"/>
          <w:color w:val="000000"/>
          <w:sz w:val="24"/>
          <w:szCs w:val="24"/>
          <w:lang w:eastAsia="zh-CN"/>
        </w:rPr>
        <w:t>: 111-116 [PMID: 9723818 DOI: 10.1038/clpt.2009.206]</w:t>
      </w:r>
    </w:p>
    <w:p w14:paraId="243306BE"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2</w:t>
      </w:r>
      <w:r w:rsidR="00013D2B">
        <w:rPr>
          <w:rFonts w:ascii="Book Antiqua" w:eastAsia="宋体" w:hAnsi="Book Antiqua" w:cs="宋体" w:hint="eastAsia"/>
          <w:color w:val="000000"/>
          <w:sz w:val="24"/>
          <w:szCs w:val="24"/>
          <w:lang w:eastAsia="zh-CN"/>
        </w:rPr>
        <w:t>2</w:t>
      </w:r>
      <w:r w:rsidRPr="0076121B">
        <w:rPr>
          <w:rFonts w:ascii="Book Antiqua" w:eastAsia="宋体" w:hAnsi="Book Antiqua" w:cs="宋体"/>
          <w:color w:val="000000"/>
          <w:sz w:val="24"/>
          <w:szCs w:val="24"/>
          <w:lang w:eastAsia="zh-CN"/>
        </w:rPr>
        <w:t> </w:t>
      </w:r>
      <w:r w:rsidRPr="0076121B">
        <w:rPr>
          <w:rFonts w:ascii="Book Antiqua" w:eastAsia="宋体" w:hAnsi="Book Antiqua" w:cs="宋体"/>
          <w:b/>
          <w:bCs/>
          <w:color w:val="000000"/>
          <w:sz w:val="24"/>
          <w:szCs w:val="24"/>
          <w:lang w:eastAsia="zh-CN"/>
        </w:rPr>
        <w:t>Smith KM</w:t>
      </w:r>
      <w:r w:rsidRPr="0076121B">
        <w:rPr>
          <w:rFonts w:ascii="Book Antiqua" w:eastAsia="宋体" w:hAnsi="Book Antiqua" w:cs="宋体"/>
          <w:color w:val="000000"/>
          <w:sz w:val="24"/>
          <w:szCs w:val="24"/>
          <w:lang w:eastAsia="zh-CN"/>
        </w:rPr>
        <w:t>, Romanelli F. Recreational use and misuse of phosphodiesterase 5 inhibitors. </w:t>
      </w:r>
      <w:r w:rsidRPr="0076121B">
        <w:rPr>
          <w:rFonts w:ascii="Book Antiqua" w:eastAsia="宋体" w:hAnsi="Book Antiqua" w:cs="宋体"/>
          <w:i/>
          <w:iCs/>
          <w:color w:val="000000"/>
          <w:sz w:val="24"/>
          <w:szCs w:val="24"/>
          <w:lang w:eastAsia="zh-CN"/>
        </w:rPr>
        <w:t>J Am Pharm Assoc (2003)</w:t>
      </w:r>
      <w:r w:rsidRPr="0076121B">
        <w:rPr>
          <w:rFonts w:ascii="Book Antiqua" w:eastAsia="宋体" w:hAnsi="Book Antiqua" w:cs="宋体"/>
          <w:color w:val="000000"/>
          <w:sz w:val="24"/>
          <w:szCs w:val="24"/>
          <w:lang w:eastAsia="zh-CN"/>
        </w:rPr>
        <w:t>; </w:t>
      </w:r>
      <w:r w:rsidRPr="0076121B">
        <w:rPr>
          <w:rFonts w:ascii="Book Antiqua" w:eastAsia="宋体" w:hAnsi="Book Antiqua" w:cs="宋体"/>
          <w:b/>
          <w:bCs/>
          <w:color w:val="000000"/>
          <w:sz w:val="24"/>
          <w:szCs w:val="24"/>
          <w:lang w:eastAsia="zh-CN"/>
        </w:rPr>
        <w:t>45</w:t>
      </w:r>
      <w:r w:rsidRPr="0076121B">
        <w:rPr>
          <w:rFonts w:ascii="Book Antiqua" w:eastAsia="宋体" w:hAnsi="Book Antiqua" w:cs="宋体"/>
          <w:color w:val="000000"/>
          <w:sz w:val="24"/>
          <w:szCs w:val="24"/>
          <w:lang w:eastAsia="zh-CN"/>
        </w:rPr>
        <w:t>: 63-72; quiz 73-5 [PMID: 15730119 DOI: 10.1331/1544345052843165]</w:t>
      </w:r>
    </w:p>
    <w:p w14:paraId="549669DC" w14:textId="77777777" w:rsidR="0076121B" w:rsidRPr="0076121B" w:rsidRDefault="0076121B" w:rsidP="007C0097">
      <w:pPr>
        <w:widowControl w:val="0"/>
        <w:overflowPunct w:val="0"/>
        <w:autoSpaceDE w:val="0"/>
        <w:autoSpaceDN w:val="0"/>
        <w:spacing w:line="360" w:lineRule="auto"/>
        <w:jc w:val="both"/>
        <w:rPr>
          <w:rFonts w:ascii="Book Antiqua" w:eastAsia="宋体" w:hAnsi="Book Antiqua" w:cs="宋体"/>
          <w:color w:val="000000"/>
          <w:sz w:val="24"/>
          <w:szCs w:val="24"/>
          <w:lang w:eastAsia="zh-CN"/>
        </w:rPr>
      </w:pPr>
      <w:r w:rsidRPr="0076121B">
        <w:rPr>
          <w:rFonts w:ascii="Book Antiqua" w:eastAsia="宋体" w:hAnsi="Book Antiqua" w:cs="宋体"/>
          <w:color w:val="000000"/>
          <w:sz w:val="24"/>
          <w:szCs w:val="24"/>
          <w:lang w:eastAsia="zh-CN"/>
        </w:rPr>
        <w:t>2</w:t>
      </w:r>
      <w:r w:rsidR="00013D2B">
        <w:rPr>
          <w:rFonts w:ascii="Book Antiqua" w:eastAsia="宋体" w:hAnsi="Book Antiqua" w:cs="宋体" w:hint="eastAsia"/>
          <w:color w:val="000000"/>
          <w:sz w:val="24"/>
          <w:szCs w:val="24"/>
          <w:lang w:eastAsia="zh-CN"/>
        </w:rPr>
        <w:t>3</w:t>
      </w:r>
      <w:r w:rsidRPr="0076121B">
        <w:rPr>
          <w:rFonts w:ascii="Book Antiqua" w:eastAsia="宋体" w:hAnsi="Book Antiqua" w:cs="宋体"/>
          <w:color w:val="000000"/>
          <w:sz w:val="24"/>
          <w:szCs w:val="24"/>
          <w:lang w:eastAsia="zh-CN"/>
        </w:rPr>
        <w:t> </w:t>
      </w:r>
      <w:r w:rsidRPr="0076121B">
        <w:rPr>
          <w:rFonts w:ascii="Book Antiqua" w:eastAsia="宋体" w:hAnsi="Book Antiqua" w:cs="宋体"/>
          <w:b/>
          <w:bCs/>
          <w:color w:val="000000"/>
          <w:sz w:val="24"/>
          <w:szCs w:val="24"/>
          <w:lang w:eastAsia="zh-CN"/>
        </w:rPr>
        <w:t>Apodaca TR</w:t>
      </w:r>
      <w:r w:rsidRPr="0076121B">
        <w:rPr>
          <w:rFonts w:ascii="Book Antiqua" w:eastAsia="宋体" w:hAnsi="Book Antiqua" w:cs="宋体"/>
          <w:color w:val="000000"/>
          <w:sz w:val="24"/>
          <w:szCs w:val="24"/>
          <w:lang w:eastAsia="zh-CN"/>
        </w:rPr>
        <w:t>, Moser NC. The use and abuse of prescription medication to facilitate or enhance sexual behavior among adolescents. </w:t>
      </w:r>
      <w:r w:rsidRPr="0076121B">
        <w:rPr>
          <w:rFonts w:ascii="Book Antiqua" w:eastAsia="宋体" w:hAnsi="Book Antiqua" w:cs="宋体"/>
          <w:i/>
          <w:iCs/>
          <w:color w:val="000000"/>
          <w:sz w:val="24"/>
          <w:szCs w:val="24"/>
          <w:lang w:eastAsia="zh-CN"/>
        </w:rPr>
        <w:t>Clin Pharmacol Ther</w:t>
      </w:r>
      <w:r w:rsidRPr="0076121B">
        <w:rPr>
          <w:rFonts w:ascii="Book Antiqua" w:eastAsia="宋体" w:hAnsi="Book Antiqua" w:cs="宋体"/>
          <w:color w:val="000000"/>
          <w:sz w:val="24"/>
          <w:szCs w:val="24"/>
          <w:lang w:eastAsia="zh-CN"/>
        </w:rPr>
        <w:t> 2011; </w:t>
      </w:r>
      <w:r w:rsidRPr="0076121B">
        <w:rPr>
          <w:rFonts w:ascii="Book Antiqua" w:eastAsia="宋体" w:hAnsi="Book Antiqua" w:cs="宋体"/>
          <w:b/>
          <w:bCs/>
          <w:color w:val="000000"/>
          <w:sz w:val="24"/>
          <w:szCs w:val="24"/>
          <w:lang w:eastAsia="zh-CN"/>
        </w:rPr>
        <w:t>89</w:t>
      </w:r>
      <w:r w:rsidRPr="0076121B">
        <w:rPr>
          <w:rFonts w:ascii="Book Antiqua" w:eastAsia="宋体" w:hAnsi="Book Antiqua" w:cs="宋体"/>
          <w:color w:val="000000"/>
          <w:sz w:val="24"/>
          <w:szCs w:val="24"/>
          <w:lang w:eastAsia="zh-CN"/>
        </w:rPr>
        <w:t>: 22-24 [PMID: 21170066 DOI: 10.1038/clpt.2010.264]</w:t>
      </w:r>
    </w:p>
    <w:p w14:paraId="2967F7A9" w14:textId="77777777" w:rsidR="00AB6CE9" w:rsidRDefault="00AB6CE9" w:rsidP="007C0097">
      <w:pPr>
        <w:widowControl w:val="0"/>
        <w:overflowPunct w:val="0"/>
        <w:autoSpaceDE w:val="0"/>
        <w:autoSpaceDN w:val="0"/>
        <w:spacing w:line="360" w:lineRule="auto"/>
        <w:jc w:val="both"/>
        <w:rPr>
          <w:rFonts w:ascii="Book Antiqua" w:hAnsi="Book Antiqua"/>
          <w:sz w:val="24"/>
          <w:szCs w:val="24"/>
          <w:lang w:eastAsia="zh-CN"/>
        </w:rPr>
      </w:pPr>
    </w:p>
    <w:p w14:paraId="1494E6F6" w14:textId="77777777" w:rsidR="00AB6CE9" w:rsidRPr="00AB6CE9" w:rsidRDefault="00AB6CE9" w:rsidP="007C0097">
      <w:pPr>
        <w:widowControl w:val="0"/>
        <w:overflowPunct w:val="0"/>
        <w:autoSpaceDE w:val="0"/>
        <w:autoSpaceDN w:val="0"/>
        <w:spacing w:line="360" w:lineRule="auto"/>
        <w:jc w:val="right"/>
        <w:rPr>
          <w:rFonts w:ascii="Book Antiqua" w:hAnsi="Book Antiqua"/>
          <w:sz w:val="24"/>
          <w:szCs w:val="24"/>
          <w:lang w:eastAsia="zh-CN"/>
        </w:rPr>
      </w:pPr>
      <w:r w:rsidRPr="00B01D72">
        <w:rPr>
          <w:rFonts w:ascii="Book Antiqua" w:hAnsi="Book Antiqua"/>
          <w:b/>
          <w:sz w:val="24"/>
          <w:szCs w:val="24"/>
        </w:rPr>
        <w:t>P-Reviewer:</w:t>
      </w:r>
      <w:r>
        <w:rPr>
          <w:rFonts w:ascii="Book Antiqua" w:hAnsi="Book Antiqua" w:hint="eastAsia"/>
          <w:b/>
          <w:sz w:val="24"/>
          <w:szCs w:val="24"/>
          <w:lang w:eastAsia="zh-CN"/>
        </w:rPr>
        <w:t xml:space="preserve"> </w:t>
      </w:r>
      <w:r w:rsidRPr="007C0097">
        <w:rPr>
          <w:rFonts w:ascii="Book Antiqua" w:hAnsi="Book Antiqua"/>
          <w:sz w:val="24"/>
          <w:szCs w:val="24"/>
          <w:lang w:eastAsia="zh-CN"/>
        </w:rPr>
        <w:t>Garcia-Elorriaga G</w:t>
      </w:r>
      <w:r w:rsidRPr="007C0097">
        <w:rPr>
          <w:rFonts w:ascii="Book Antiqua" w:hAnsi="Book Antiqua" w:hint="eastAsia"/>
          <w:sz w:val="24"/>
          <w:szCs w:val="24"/>
          <w:lang w:eastAsia="zh-CN"/>
        </w:rPr>
        <w:t>,</w:t>
      </w:r>
      <w:r w:rsidRPr="007C0097">
        <w:rPr>
          <w:rFonts w:ascii="Book Antiqua" w:hAnsi="Book Antiqua"/>
          <w:sz w:val="24"/>
          <w:szCs w:val="24"/>
        </w:rPr>
        <w:t xml:space="preserve"> Isamu S</w:t>
      </w:r>
      <w:r>
        <w:rPr>
          <w:rFonts w:ascii="Book Antiqua" w:hAnsi="Book Antiqua" w:hint="eastAsia"/>
          <w:b/>
          <w:sz w:val="24"/>
          <w:szCs w:val="24"/>
          <w:lang w:eastAsia="zh-CN"/>
        </w:rPr>
        <w:t xml:space="preserve"> </w:t>
      </w:r>
      <w:r w:rsidRPr="00B01D72">
        <w:rPr>
          <w:rFonts w:ascii="Book Antiqua" w:hAnsi="Book Antiqua"/>
          <w:b/>
          <w:sz w:val="24"/>
          <w:szCs w:val="24"/>
        </w:rPr>
        <w:t xml:space="preserve">S-Editor: </w:t>
      </w:r>
      <w:r>
        <w:rPr>
          <w:rFonts w:ascii="Book Antiqua" w:hAnsi="Book Antiqua" w:hint="eastAsia"/>
          <w:sz w:val="24"/>
          <w:szCs w:val="24"/>
        </w:rPr>
        <w:t>Qiu S</w:t>
      </w:r>
      <w:r w:rsidRPr="00B01D72">
        <w:rPr>
          <w:rFonts w:ascii="Book Antiqua" w:hAnsi="Book Antiqua"/>
          <w:b/>
          <w:sz w:val="24"/>
          <w:szCs w:val="24"/>
        </w:rPr>
        <w:t xml:space="preserve"> L-Editor: E-Editor:</w:t>
      </w:r>
    </w:p>
    <w:p w14:paraId="2F6D39AB" w14:textId="77777777" w:rsidR="00F539C1" w:rsidRPr="00242455" w:rsidRDefault="00F539C1" w:rsidP="007C0097">
      <w:pPr>
        <w:widowControl w:val="0"/>
        <w:overflowPunct w:val="0"/>
        <w:autoSpaceDE w:val="0"/>
        <w:autoSpaceDN w:val="0"/>
        <w:spacing w:line="360" w:lineRule="auto"/>
        <w:jc w:val="both"/>
        <w:rPr>
          <w:rFonts w:ascii="Book Antiqua" w:hAnsi="Book Antiqua" w:cs="Times New Roman"/>
          <w:bCs/>
          <w:color w:val="000000"/>
          <w:sz w:val="24"/>
          <w:szCs w:val="24"/>
        </w:rPr>
      </w:pPr>
    </w:p>
    <w:sectPr w:rsidR="00F539C1" w:rsidRPr="00242455" w:rsidSect="00C534F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9B37A" w14:textId="77777777" w:rsidR="00AD34C4" w:rsidRDefault="00AD34C4" w:rsidP="00C534F7">
      <w:r>
        <w:separator/>
      </w:r>
    </w:p>
  </w:endnote>
  <w:endnote w:type="continuationSeparator" w:id="0">
    <w:p w14:paraId="66542FAB" w14:textId="77777777" w:rsidR="00AD34C4" w:rsidRDefault="00AD34C4" w:rsidP="00C5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2687"/>
      <w:docPartObj>
        <w:docPartGallery w:val="Page Numbers (Bottom of Page)"/>
        <w:docPartUnique/>
      </w:docPartObj>
    </w:sdtPr>
    <w:sdtEndPr>
      <w:rPr>
        <w:noProof/>
      </w:rPr>
    </w:sdtEndPr>
    <w:sdtContent>
      <w:p w14:paraId="41A5003B" w14:textId="77777777" w:rsidR="00C534F7" w:rsidRDefault="00C534F7">
        <w:pPr>
          <w:pStyle w:val="Footer"/>
          <w:jc w:val="center"/>
        </w:pPr>
        <w:r>
          <w:fldChar w:fldCharType="begin"/>
        </w:r>
        <w:r>
          <w:instrText xml:space="preserve"> PAGE   \* MERGEFORMAT </w:instrText>
        </w:r>
        <w:r>
          <w:fldChar w:fldCharType="separate"/>
        </w:r>
        <w:r w:rsidR="00A86017">
          <w:rPr>
            <w:noProof/>
          </w:rPr>
          <w:t>15</w:t>
        </w:r>
        <w:r>
          <w:rPr>
            <w:noProof/>
          </w:rPr>
          <w:fldChar w:fldCharType="end"/>
        </w:r>
      </w:p>
    </w:sdtContent>
  </w:sdt>
  <w:p w14:paraId="7206C1D4" w14:textId="77777777" w:rsidR="00C534F7" w:rsidRDefault="00C53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27D8" w14:textId="77777777" w:rsidR="00AD34C4" w:rsidRDefault="00AD34C4" w:rsidP="00C534F7">
      <w:r>
        <w:separator/>
      </w:r>
    </w:p>
  </w:footnote>
  <w:footnote w:type="continuationSeparator" w:id="0">
    <w:p w14:paraId="2C27BE69" w14:textId="77777777" w:rsidR="00AD34C4" w:rsidRDefault="00AD34C4" w:rsidP="00C534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465C"/>
    <w:multiLevelType w:val="hybridMultilevel"/>
    <w:tmpl w:val="CA4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845C5"/>
    <w:multiLevelType w:val="hybridMultilevel"/>
    <w:tmpl w:val="CA4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5E"/>
    <w:rsid w:val="00013D2B"/>
    <w:rsid w:val="00032C87"/>
    <w:rsid w:val="00033BF7"/>
    <w:rsid w:val="00034619"/>
    <w:rsid w:val="000564A4"/>
    <w:rsid w:val="000571FF"/>
    <w:rsid w:val="00076657"/>
    <w:rsid w:val="00081D18"/>
    <w:rsid w:val="00086B66"/>
    <w:rsid w:val="00091541"/>
    <w:rsid w:val="000B40B1"/>
    <w:rsid w:val="000B595F"/>
    <w:rsid w:val="000C40B7"/>
    <w:rsid w:val="000D4A6E"/>
    <w:rsid w:val="000E15AA"/>
    <w:rsid w:val="000E1B5A"/>
    <w:rsid w:val="000E49B8"/>
    <w:rsid w:val="000F423C"/>
    <w:rsid w:val="001263DC"/>
    <w:rsid w:val="00130379"/>
    <w:rsid w:val="001375E6"/>
    <w:rsid w:val="00155CEF"/>
    <w:rsid w:val="001664CC"/>
    <w:rsid w:val="00174069"/>
    <w:rsid w:val="001C2332"/>
    <w:rsid w:val="001D6061"/>
    <w:rsid w:val="001E6EE4"/>
    <w:rsid w:val="001F630A"/>
    <w:rsid w:val="001F7239"/>
    <w:rsid w:val="00216CDB"/>
    <w:rsid w:val="00242455"/>
    <w:rsid w:val="00245F7B"/>
    <w:rsid w:val="00250D18"/>
    <w:rsid w:val="00273D0D"/>
    <w:rsid w:val="002952CC"/>
    <w:rsid w:val="002B26FE"/>
    <w:rsid w:val="002B56FB"/>
    <w:rsid w:val="002B706D"/>
    <w:rsid w:val="002C1D9D"/>
    <w:rsid w:val="002C3EC3"/>
    <w:rsid w:val="002E6E6C"/>
    <w:rsid w:val="002F15A6"/>
    <w:rsid w:val="002F583E"/>
    <w:rsid w:val="00300921"/>
    <w:rsid w:val="003016DC"/>
    <w:rsid w:val="003048FD"/>
    <w:rsid w:val="00305EDD"/>
    <w:rsid w:val="00330684"/>
    <w:rsid w:val="0034222A"/>
    <w:rsid w:val="0034652A"/>
    <w:rsid w:val="0035026D"/>
    <w:rsid w:val="003533CE"/>
    <w:rsid w:val="00357DDA"/>
    <w:rsid w:val="00367093"/>
    <w:rsid w:val="0039073C"/>
    <w:rsid w:val="003A46E1"/>
    <w:rsid w:val="003C24D2"/>
    <w:rsid w:val="003D2BA7"/>
    <w:rsid w:val="00412082"/>
    <w:rsid w:val="00413351"/>
    <w:rsid w:val="00415CEF"/>
    <w:rsid w:val="00433D7E"/>
    <w:rsid w:val="004369C2"/>
    <w:rsid w:val="00440F0D"/>
    <w:rsid w:val="00446423"/>
    <w:rsid w:val="00454F04"/>
    <w:rsid w:val="00465B8E"/>
    <w:rsid w:val="004913C0"/>
    <w:rsid w:val="004B7379"/>
    <w:rsid w:val="004C67CA"/>
    <w:rsid w:val="004E41A7"/>
    <w:rsid w:val="0050282D"/>
    <w:rsid w:val="005051C7"/>
    <w:rsid w:val="00505CCE"/>
    <w:rsid w:val="005254A4"/>
    <w:rsid w:val="00542D28"/>
    <w:rsid w:val="00557FCF"/>
    <w:rsid w:val="00580DD4"/>
    <w:rsid w:val="005B6A32"/>
    <w:rsid w:val="005C372F"/>
    <w:rsid w:val="005D113D"/>
    <w:rsid w:val="005E3202"/>
    <w:rsid w:val="005F4ADB"/>
    <w:rsid w:val="006236B2"/>
    <w:rsid w:val="00623F6D"/>
    <w:rsid w:val="00635C33"/>
    <w:rsid w:val="00643DF9"/>
    <w:rsid w:val="0065709E"/>
    <w:rsid w:val="00682B96"/>
    <w:rsid w:val="00686BD7"/>
    <w:rsid w:val="0069292B"/>
    <w:rsid w:val="00695728"/>
    <w:rsid w:val="006B568A"/>
    <w:rsid w:val="006B5DF9"/>
    <w:rsid w:val="006F4E4B"/>
    <w:rsid w:val="007045D7"/>
    <w:rsid w:val="00707A1E"/>
    <w:rsid w:val="00712952"/>
    <w:rsid w:val="0072208E"/>
    <w:rsid w:val="007269F4"/>
    <w:rsid w:val="00731D03"/>
    <w:rsid w:val="007351BA"/>
    <w:rsid w:val="0076121B"/>
    <w:rsid w:val="00765430"/>
    <w:rsid w:val="00775366"/>
    <w:rsid w:val="00782B84"/>
    <w:rsid w:val="007857E1"/>
    <w:rsid w:val="007908CB"/>
    <w:rsid w:val="007930A3"/>
    <w:rsid w:val="0079672D"/>
    <w:rsid w:val="007A1460"/>
    <w:rsid w:val="007A1A39"/>
    <w:rsid w:val="007A5588"/>
    <w:rsid w:val="007B48DF"/>
    <w:rsid w:val="007C0097"/>
    <w:rsid w:val="00801626"/>
    <w:rsid w:val="00802F3C"/>
    <w:rsid w:val="00820D8B"/>
    <w:rsid w:val="00821175"/>
    <w:rsid w:val="008257D8"/>
    <w:rsid w:val="008330EF"/>
    <w:rsid w:val="008441A9"/>
    <w:rsid w:val="00850E65"/>
    <w:rsid w:val="0087448E"/>
    <w:rsid w:val="00891876"/>
    <w:rsid w:val="00892E6B"/>
    <w:rsid w:val="00892FCC"/>
    <w:rsid w:val="008A4A18"/>
    <w:rsid w:val="008B471E"/>
    <w:rsid w:val="008B6F7E"/>
    <w:rsid w:val="009236FF"/>
    <w:rsid w:val="00946245"/>
    <w:rsid w:val="009676BB"/>
    <w:rsid w:val="00972159"/>
    <w:rsid w:val="00973E9C"/>
    <w:rsid w:val="00986FD1"/>
    <w:rsid w:val="009D79EA"/>
    <w:rsid w:val="009E6657"/>
    <w:rsid w:val="009F4CFF"/>
    <w:rsid w:val="00A14234"/>
    <w:rsid w:val="00A316AF"/>
    <w:rsid w:val="00A40857"/>
    <w:rsid w:val="00A4719A"/>
    <w:rsid w:val="00A51216"/>
    <w:rsid w:val="00A56751"/>
    <w:rsid w:val="00A60E4F"/>
    <w:rsid w:val="00A65C0F"/>
    <w:rsid w:val="00A86017"/>
    <w:rsid w:val="00AB6CE9"/>
    <w:rsid w:val="00AC2C1A"/>
    <w:rsid w:val="00AD34C4"/>
    <w:rsid w:val="00AF13DE"/>
    <w:rsid w:val="00B02D29"/>
    <w:rsid w:val="00B1077C"/>
    <w:rsid w:val="00B242A2"/>
    <w:rsid w:val="00B25EE7"/>
    <w:rsid w:val="00B37F45"/>
    <w:rsid w:val="00B52532"/>
    <w:rsid w:val="00B612A2"/>
    <w:rsid w:val="00B73FFA"/>
    <w:rsid w:val="00B8510F"/>
    <w:rsid w:val="00BA6CDC"/>
    <w:rsid w:val="00BC2BCA"/>
    <w:rsid w:val="00BC4849"/>
    <w:rsid w:val="00BC5E82"/>
    <w:rsid w:val="00BC6666"/>
    <w:rsid w:val="00BD6A46"/>
    <w:rsid w:val="00BF1D02"/>
    <w:rsid w:val="00BF1DBA"/>
    <w:rsid w:val="00BF7783"/>
    <w:rsid w:val="00C1495B"/>
    <w:rsid w:val="00C243BB"/>
    <w:rsid w:val="00C36A80"/>
    <w:rsid w:val="00C534F7"/>
    <w:rsid w:val="00C603B6"/>
    <w:rsid w:val="00C74ECA"/>
    <w:rsid w:val="00C862C9"/>
    <w:rsid w:val="00CB5525"/>
    <w:rsid w:val="00CB59E2"/>
    <w:rsid w:val="00CC0E26"/>
    <w:rsid w:val="00CD3918"/>
    <w:rsid w:val="00CE5E97"/>
    <w:rsid w:val="00CE5F4A"/>
    <w:rsid w:val="00CF2CE9"/>
    <w:rsid w:val="00CF4300"/>
    <w:rsid w:val="00D07E6A"/>
    <w:rsid w:val="00D22251"/>
    <w:rsid w:val="00D244B3"/>
    <w:rsid w:val="00D25E3D"/>
    <w:rsid w:val="00D348A7"/>
    <w:rsid w:val="00D555B8"/>
    <w:rsid w:val="00D7503D"/>
    <w:rsid w:val="00D76D40"/>
    <w:rsid w:val="00D9458D"/>
    <w:rsid w:val="00DA0551"/>
    <w:rsid w:val="00DC365E"/>
    <w:rsid w:val="00DD4E19"/>
    <w:rsid w:val="00DE64CA"/>
    <w:rsid w:val="00DF2809"/>
    <w:rsid w:val="00DF2FD4"/>
    <w:rsid w:val="00E0513A"/>
    <w:rsid w:val="00E14EE8"/>
    <w:rsid w:val="00E231CC"/>
    <w:rsid w:val="00E35264"/>
    <w:rsid w:val="00E42A7B"/>
    <w:rsid w:val="00E432F6"/>
    <w:rsid w:val="00E50931"/>
    <w:rsid w:val="00E53098"/>
    <w:rsid w:val="00E54BDA"/>
    <w:rsid w:val="00E56B70"/>
    <w:rsid w:val="00E72275"/>
    <w:rsid w:val="00E91B25"/>
    <w:rsid w:val="00E95BA1"/>
    <w:rsid w:val="00EB1995"/>
    <w:rsid w:val="00EB2D85"/>
    <w:rsid w:val="00EB73E0"/>
    <w:rsid w:val="00EC5D0A"/>
    <w:rsid w:val="00ED2157"/>
    <w:rsid w:val="00F03582"/>
    <w:rsid w:val="00F158AA"/>
    <w:rsid w:val="00F32519"/>
    <w:rsid w:val="00F36D68"/>
    <w:rsid w:val="00F37927"/>
    <w:rsid w:val="00F41E81"/>
    <w:rsid w:val="00F539C1"/>
    <w:rsid w:val="00F761C4"/>
    <w:rsid w:val="00F84DD1"/>
    <w:rsid w:val="00F84E21"/>
    <w:rsid w:val="00F93E86"/>
    <w:rsid w:val="00FA0703"/>
    <w:rsid w:val="00FA08C8"/>
    <w:rsid w:val="00FA4073"/>
    <w:rsid w:val="00FF1C40"/>
    <w:rsid w:val="00FF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FE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A1"/>
  </w:style>
  <w:style w:type="paragraph" w:styleId="Heading1">
    <w:name w:val="heading 1"/>
    <w:basedOn w:val="Normal"/>
    <w:link w:val="Heading1Char"/>
    <w:uiPriority w:val="9"/>
    <w:qFormat/>
    <w:rsid w:val="00E530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4A4"/>
    <w:rPr>
      <w:b/>
      <w:bCs/>
    </w:rPr>
  </w:style>
  <w:style w:type="character" w:styleId="Hyperlink">
    <w:name w:val="Hyperlink"/>
    <w:basedOn w:val="DefaultParagraphFont"/>
    <w:uiPriority w:val="99"/>
    <w:unhideWhenUsed/>
    <w:rsid w:val="00C74ECA"/>
    <w:rPr>
      <w:color w:val="0000FF" w:themeColor="hyperlink"/>
      <w:u w:val="single"/>
    </w:rPr>
  </w:style>
  <w:style w:type="paragraph" w:styleId="BalloonText">
    <w:name w:val="Balloon Text"/>
    <w:basedOn w:val="Normal"/>
    <w:link w:val="BalloonTextChar"/>
    <w:uiPriority w:val="99"/>
    <w:semiHidden/>
    <w:unhideWhenUsed/>
    <w:rsid w:val="002B56FB"/>
    <w:rPr>
      <w:rFonts w:ascii="Tahoma" w:hAnsi="Tahoma" w:cs="Tahoma"/>
      <w:sz w:val="16"/>
      <w:szCs w:val="16"/>
    </w:rPr>
  </w:style>
  <w:style w:type="character" w:customStyle="1" w:styleId="BalloonTextChar">
    <w:name w:val="Balloon Text Char"/>
    <w:basedOn w:val="DefaultParagraphFont"/>
    <w:link w:val="BalloonText"/>
    <w:uiPriority w:val="99"/>
    <w:semiHidden/>
    <w:rsid w:val="002B56FB"/>
    <w:rPr>
      <w:rFonts w:ascii="Tahoma" w:hAnsi="Tahoma" w:cs="Tahoma"/>
      <w:sz w:val="16"/>
      <w:szCs w:val="16"/>
    </w:rPr>
  </w:style>
  <w:style w:type="table" w:styleId="TableGrid">
    <w:name w:val="Table Grid"/>
    <w:basedOn w:val="TableNormal"/>
    <w:uiPriority w:val="59"/>
    <w:rsid w:val="00BC6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09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534F7"/>
    <w:pPr>
      <w:tabs>
        <w:tab w:val="center" w:pos="4680"/>
        <w:tab w:val="right" w:pos="9360"/>
      </w:tabs>
    </w:pPr>
  </w:style>
  <w:style w:type="character" w:customStyle="1" w:styleId="HeaderChar">
    <w:name w:val="Header Char"/>
    <w:basedOn w:val="DefaultParagraphFont"/>
    <w:link w:val="Header"/>
    <w:uiPriority w:val="99"/>
    <w:rsid w:val="00C534F7"/>
  </w:style>
  <w:style w:type="paragraph" w:styleId="Footer">
    <w:name w:val="footer"/>
    <w:basedOn w:val="Normal"/>
    <w:link w:val="FooterChar"/>
    <w:uiPriority w:val="99"/>
    <w:unhideWhenUsed/>
    <w:rsid w:val="00C534F7"/>
    <w:pPr>
      <w:tabs>
        <w:tab w:val="center" w:pos="4680"/>
        <w:tab w:val="right" w:pos="9360"/>
      </w:tabs>
    </w:pPr>
  </w:style>
  <w:style w:type="character" w:customStyle="1" w:styleId="FooterChar">
    <w:name w:val="Footer Char"/>
    <w:basedOn w:val="DefaultParagraphFont"/>
    <w:link w:val="Footer"/>
    <w:uiPriority w:val="99"/>
    <w:rsid w:val="00C534F7"/>
  </w:style>
  <w:style w:type="character" w:styleId="CommentReference">
    <w:name w:val="annotation reference"/>
    <w:basedOn w:val="DefaultParagraphFont"/>
    <w:uiPriority w:val="99"/>
    <w:semiHidden/>
    <w:unhideWhenUsed/>
    <w:rsid w:val="00BC2BCA"/>
    <w:rPr>
      <w:sz w:val="16"/>
      <w:szCs w:val="16"/>
    </w:rPr>
  </w:style>
  <w:style w:type="paragraph" w:styleId="CommentText">
    <w:name w:val="annotation text"/>
    <w:basedOn w:val="Normal"/>
    <w:link w:val="CommentTextChar"/>
    <w:uiPriority w:val="99"/>
    <w:semiHidden/>
    <w:unhideWhenUsed/>
    <w:rsid w:val="00BC2BCA"/>
    <w:rPr>
      <w:sz w:val="20"/>
      <w:szCs w:val="20"/>
    </w:rPr>
  </w:style>
  <w:style w:type="character" w:customStyle="1" w:styleId="CommentTextChar">
    <w:name w:val="Comment Text Char"/>
    <w:basedOn w:val="DefaultParagraphFont"/>
    <w:link w:val="CommentText"/>
    <w:uiPriority w:val="99"/>
    <w:semiHidden/>
    <w:rsid w:val="00BC2BCA"/>
    <w:rPr>
      <w:sz w:val="20"/>
      <w:szCs w:val="20"/>
    </w:rPr>
  </w:style>
  <w:style w:type="paragraph" w:styleId="CommentSubject">
    <w:name w:val="annotation subject"/>
    <w:basedOn w:val="CommentText"/>
    <w:next w:val="CommentText"/>
    <w:link w:val="CommentSubjectChar"/>
    <w:uiPriority w:val="99"/>
    <w:semiHidden/>
    <w:unhideWhenUsed/>
    <w:rsid w:val="00BC2BCA"/>
    <w:rPr>
      <w:b/>
      <w:bCs/>
    </w:rPr>
  </w:style>
  <w:style w:type="character" w:customStyle="1" w:styleId="CommentSubjectChar">
    <w:name w:val="Comment Subject Char"/>
    <w:basedOn w:val="CommentTextChar"/>
    <w:link w:val="CommentSubject"/>
    <w:uiPriority w:val="99"/>
    <w:semiHidden/>
    <w:rsid w:val="00BC2BCA"/>
    <w:rPr>
      <w:b/>
      <w:bCs/>
      <w:sz w:val="20"/>
      <w:szCs w:val="20"/>
    </w:rPr>
  </w:style>
  <w:style w:type="paragraph" w:styleId="NoSpacing">
    <w:name w:val="No Spacing"/>
    <w:uiPriority w:val="1"/>
    <w:qFormat/>
    <w:rsid w:val="00AB6CE9"/>
  </w:style>
  <w:style w:type="character" w:customStyle="1" w:styleId="apple-converted-space">
    <w:name w:val="apple-converted-space"/>
    <w:basedOn w:val="DefaultParagraphFont"/>
    <w:rsid w:val="00761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A1"/>
  </w:style>
  <w:style w:type="paragraph" w:styleId="Heading1">
    <w:name w:val="heading 1"/>
    <w:basedOn w:val="Normal"/>
    <w:link w:val="Heading1Char"/>
    <w:uiPriority w:val="9"/>
    <w:qFormat/>
    <w:rsid w:val="00E530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4A4"/>
    <w:rPr>
      <w:b/>
      <w:bCs/>
    </w:rPr>
  </w:style>
  <w:style w:type="character" w:styleId="Hyperlink">
    <w:name w:val="Hyperlink"/>
    <w:basedOn w:val="DefaultParagraphFont"/>
    <w:uiPriority w:val="99"/>
    <w:unhideWhenUsed/>
    <w:rsid w:val="00C74ECA"/>
    <w:rPr>
      <w:color w:val="0000FF" w:themeColor="hyperlink"/>
      <w:u w:val="single"/>
    </w:rPr>
  </w:style>
  <w:style w:type="paragraph" w:styleId="BalloonText">
    <w:name w:val="Balloon Text"/>
    <w:basedOn w:val="Normal"/>
    <w:link w:val="BalloonTextChar"/>
    <w:uiPriority w:val="99"/>
    <w:semiHidden/>
    <w:unhideWhenUsed/>
    <w:rsid w:val="002B56FB"/>
    <w:rPr>
      <w:rFonts w:ascii="Tahoma" w:hAnsi="Tahoma" w:cs="Tahoma"/>
      <w:sz w:val="16"/>
      <w:szCs w:val="16"/>
    </w:rPr>
  </w:style>
  <w:style w:type="character" w:customStyle="1" w:styleId="BalloonTextChar">
    <w:name w:val="Balloon Text Char"/>
    <w:basedOn w:val="DefaultParagraphFont"/>
    <w:link w:val="BalloonText"/>
    <w:uiPriority w:val="99"/>
    <w:semiHidden/>
    <w:rsid w:val="002B56FB"/>
    <w:rPr>
      <w:rFonts w:ascii="Tahoma" w:hAnsi="Tahoma" w:cs="Tahoma"/>
      <w:sz w:val="16"/>
      <w:szCs w:val="16"/>
    </w:rPr>
  </w:style>
  <w:style w:type="table" w:styleId="TableGrid">
    <w:name w:val="Table Grid"/>
    <w:basedOn w:val="TableNormal"/>
    <w:uiPriority w:val="59"/>
    <w:rsid w:val="00BC6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09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534F7"/>
    <w:pPr>
      <w:tabs>
        <w:tab w:val="center" w:pos="4680"/>
        <w:tab w:val="right" w:pos="9360"/>
      </w:tabs>
    </w:pPr>
  </w:style>
  <w:style w:type="character" w:customStyle="1" w:styleId="HeaderChar">
    <w:name w:val="Header Char"/>
    <w:basedOn w:val="DefaultParagraphFont"/>
    <w:link w:val="Header"/>
    <w:uiPriority w:val="99"/>
    <w:rsid w:val="00C534F7"/>
  </w:style>
  <w:style w:type="paragraph" w:styleId="Footer">
    <w:name w:val="footer"/>
    <w:basedOn w:val="Normal"/>
    <w:link w:val="FooterChar"/>
    <w:uiPriority w:val="99"/>
    <w:unhideWhenUsed/>
    <w:rsid w:val="00C534F7"/>
    <w:pPr>
      <w:tabs>
        <w:tab w:val="center" w:pos="4680"/>
        <w:tab w:val="right" w:pos="9360"/>
      </w:tabs>
    </w:pPr>
  </w:style>
  <w:style w:type="character" w:customStyle="1" w:styleId="FooterChar">
    <w:name w:val="Footer Char"/>
    <w:basedOn w:val="DefaultParagraphFont"/>
    <w:link w:val="Footer"/>
    <w:uiPriority w:val="99"/>
    <w:rsid w:val="00C534F7"/>
  </w:style>
  <w:style w:type="character" w:styleId="CommentReference">
    <w:name w:val="annotation reference"/>
    <w:basedOn w:val="DefaultParagraphFont"/>
    <w:uiPriority w:val="99"/>
    <w:semiHidden/>
    <w:unhideWhenUsed/>
    <w:rsid w:val="00BC2BCA"/>
    <w:rPr>
      <w:sz w:val="16"/>
      <w:szCs w:val="16"/>
    </w:rPr>
  </w:style>
  <w:style w:type="paragraph" w:styleId="CommentText">
    <w:name w:val="annotation text"/>
    <w:basedOn w:val="Normal"/>
    <w:link w:val="CommentTextChar"/>
    <w:uiPriority w:val="99"/>
    <w:semiHidden/>
    <w:unhideWhenUsed/>
    <w:rsid w:val="00BC2BCA"/>
    <w:rPr>
      <w:sz w:val="20"/>
      <w:szCs w:val="20"/>
    </w:rPr>
  </w:style>
  <w:style w:type="character" w:customStyle="1" w:styleId="CommentTextChar">
    <w:name w:val="Comment Text Char"/>
    <w:basedOn w:val="DefaultParagraphFont"/>
    <w:link w:val="CommentText"/>
    <w:uiPriority w:val="99"/>
    <w:semiHidden/>
    <w:rsid w:val="00BC2BCA"/>
    <w:rPr>
      <w:sz w:val="20"/>
      <w:szCs w:val="20"/>
    </w:rPr>
  </w:style>
  <w:style w:type="paragraph" w:styleId="CommentSubject">
    <w:name w:val="annotation subject"/>
    <w:basedOn w:val="CommentText"/>
    <w:next w:val="CommentText"/>
    <w:link w:val="CommentSubjectChar"/>
    <w:uiPriority w:val="99"/>
    <w:semiHidden/>
    <w:unhideWhenUsed/>
    <w:rsid w:val="00BC2BCA"/>
    <w:rPr>
      <w:b/>
      <w:bCs/>
    </w:rPr>
  </w:style>
  <w:style w:type="character" w:customStyle="1" w:styleId="CommentSubjectChar">
    <w:name w:val="Comment Subject Char"/>
    <w:basedOn w:val="CommentTextChar"/>
    <w:link w:val="CommentSubject"/>
    <w:uiPriority w:val="99"/>
    <w:semiHidden/>
    <w:rsid w:val="00BC2BCA"/>
    <w:rPr>
      <w:b/>
      <w:bCs/>
      <w:sz w:val="20"/>
      <w:szCs w:val="20"/>
    </w:rPr>
  </w:style>
  <w:style w:type="paragraph" w:styleId="NoSpacing">
    <w:name w:val="No Spacing"/>
    <w:uiPriority w:val="1"/>
    <w:qFormat/>
    <w:rsid w:val="00AB6CE9"/>
  </w:style>
  <w:style w:type="character" w:customStyle="1" w:styleId="apple-converted-space">
    <w:name w:val="apple-converted-space"/>
    <w:basedOn w:val="DefaultParagraphFont"/>
    <w:rsid w:val="0076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5519">
      <w:bodyDiv w:val="1"/>
      <w:marLeft w:val="0"/>
      <w:marRight w:val="0"/>
      <w:marTop w:val="0"/>
      <w:marBottom w:val="0"/>
      <w:divBdr>
        <w:top w:val="none" w:sz="0" w:space="0" w:color="auto"/>
        <w:left w:val="none" w:sz="0" w:space="0" w:color="auto"/>
        <w:bottom w:val="none" w:sz="0" w:space="0" w:color="auto"/>
        <w:right w:val="none" w:sz="0" w:space="0" w:color="auto"/>
      </w:divBdr>
      <w:divsChild>
        <w:div w:id="745566760">
          <w:marLeft w:val="0"/>
          <w:marRight w:val="0"/>
          <w:marTop w:val="0"/>
          <w:marBottom w:val="0"/>
          <w:divBdr>
            <w:top w:val="none" w:sz="0" w:space="0" w:color="auto"/>
            <w:left w:val="none" w:sz="0" w:space="0" w:color="auto"/>
            <w:bottom w:val="none" w:sz="0" w:space="0" w:color="auto"/>
            <w:right w:val="none" w:sz="0" w:space="0" w:color="auto"/>
          </w:divBdr>
        </w:div>
        <w:div w:id="424035151">
          <w:marLeft w:val="0"/>
          <w:marRight w:val="0"/>
          <w:marTop w:val="0"/>
          <w:marBottom w:val="0"/>
          <w:divBdr>
            <w:top w:val="none" w:sz="0" w:space="0" w:color="auto"/>
            <w:left w:val="none" w:sz="0" w:space="0" w:color="auto"/>
            <w:bottom w:val="none" w:sz="0" w:space="0" w:color="auto"/>
            <w:right w:val="none" w:sz="0" w:space="0" w:color="auto"/>
          </w:divBdr>
        </w:div>
        <w:div w:id="1094664068">
          <w:marLeft w:val="0"/>
          <w:marRight w:val="0"/>
          <w:marTop w:val="0"/>
          <w:marBottom w:val="0"/>
          <w:divBdr>
            <w:top w:val="none" w:sz="0" w:space="0" w:color="auto"/>
            <w:left w:val="none" w:sz="0" w:space="0" w:color="auto"/>
            <w:bottom w:val="none" w:sz="0" w:space="0" w:color="auto"/>
            <w:right w:val="none" w:sz="0" w:space="0" w:color="auto"/>
          </w:divBdr>
        </w:div>
        <w:div w:id="1405490169">
          <w:marLeft w:val="0"/>
          <w:marRight w:val="0"/>
          <w:marTop w:val="0"/>
          <w:marBottom w:val="0"/>
          <w:divBdr>
            <w:top w:val="none" w:sz="0" w:space="0" w:color="auto"/>
            <w:left w:val="none" w:sz="0" w:space="0" w:color="auto"/>
            <w:bottom w:val="none" w:sz="0" w:space="0" w:color="auto"/>
            <w:right w:val="none" w:sz="0" w:space="0" w:color="auto"/>
          </w:divBdr>
        </w:div>
        <w:div w:id="1155803064">
          <w:marLeft w:val="0"/>
          <w:marRight w:val="0"/>
          <w:marTop w:val="0"/>
          <w:marBottom w:val="0"/>
          <w:divBdr>
            <w:top w:val="none" w:sz="0" w:space="0" w:color="auto"/>
            <w:left w:val="none" w:sz="0" w:space="0" w:color="auto"/>
            <w:bottom w:val="none" w:sz="0" w:space="0" w:color="auto"/>
            <w:right w:val="none" w:sz="0" w:space="0" w:color="auto"/>
          </w:divBdr>
        </w:div>
        <w:div w:id="1488278045">
          <w:marLeft w:val="0"/>
          <w:marRight w:val="0"/>
          <w:marTop w:val="0"/>
          <w:marBottom w:val="0"/>
          <w:divBdr>
            <w:top w:val="none" w:sz="0" w:space="0" w:color="auto"/>
            <w:left w:val="none" w:sz="0" w:space="0" w:color="auto"/>
            <w:bottom w:val="none" w:sz="0" w:space="0" w:color="auto"/>
            <w:right w:val="none" w:sz="0" w:space="0" w:color="auto"/>
          </w:divBdr>
        </w:div>
        <w:div w:id="1307978717">
          <w:marLeft w:val="0"/>
          <w:marRight w:val="0"/>
          <w:marTop w:val="0"/>
          <w:marBottom w:val="0"/>
          <w:divBdr>
            <w:top w:val="none" w:sz="0" w:space="0" w:color="auto"/>
            <w:left w:val="none" w:sz="0" w:space="0" w:color="auto"/>
            <w:bottom w:val="none" w:sz="0" w:space="0" w:color="auto"/>
            <w:right w:val="none" w:sz="0" w:space="0" w:color="auto"/>
          </w:divBdr>
        </w:div>
        <w:div w:id="1312098245">
          <w:marLeft w:val="0"/>
          <w:marRight w:val="0"/>
          <w:marTop w:val="0"/>
          <w:marBottom w:val="0"/>
          <w:divBdr>
            <w:top w:val="none" w:sz="0" w:space="0" w:color="auto"/>
            <w:left w:val="none" w:sz="0" w:space="0" w:color="auto"/>
            <w:bottom w:val="none" w:sz="0" w:space="0" w:color="auto"/>
            <w:right w:val="none" w:sz="0" w:space="0" w:color="auto"/>
          </w:divBdr>
        </w:div>
        <w:div w:id="286549365">
          <w:marLeft w:val="0"/>
          <w:marRight w:val="0"/>
          <w:marTop w:val="0"/>
          <w:marBottom w:val="0"/>
          <w:divBdr>
            <w:top w:val="none" w:sz="0" w:space="0" w:color="auto"/>
            <w:left w:val="none" w:sz="0" w:space="0" w:color="auto"/>
            <w:bottom w:val="none" w:sz="0" w:space="0" w:color="auto"/>
            <w:right w:val="none" w:sz="0" w:space="0" w:color="auto"/>
          </w:divBdr>
        </w:div>
        <w:div w:id="1607732309">
          <w:marLeft w:val="0"/>
          <w:marRight w:val="0"/>
          <w:marTop w:val="0"/>
          <w:marBottom w:val="0"/>
          <w:divBdr>
            <w:top w:val="none" w:sz="0" w:space="0" w:color="auto"/>
            <w:left w:val="none" w:sz="0" w:space="0" w:color="auto"/>
            <w:bottom w:val="none" w:sz="0" w:space="0" w:color="auto"/>
            <w:right w:val="none" w:sz="0" w:space="0" w:color="auto"/>
          </w:divBdr>
        </w:div>
        <w:div w:id="812525527">
          <w:marLeft w:val="0"/>
          <w:marRight w:val="0"/>
          <w:marTop w:val="0"/>
          <w:marBottom w:val="0"/>
          <w:divBdr>
            <w:top w:val="none" w:sz="0" w:space="0" w:color="auto"/>
            <w:left w:val="none" w:sz="0" w:space="0" w:color="auto"/>
            <w:bottom w:val="none" w:sz="0" w:space="0" w:color="auto"/>
            <w:right w:val="none" w:sz="0" w:space="0" w:color="auto"/>
          </w:divBdr>
        </w:div>
        <w:div w:id="1957365375">
          <w:marLeft w:val="0"/>
          <w:marRight w:val="0"/>
          <w:marTop w:val="0"/>
          <w:marBottom w:val="0"/>
          <w:divBdr>
            <w:top w:val="none" w:sz="0" w:space="0" w:color="auto"/>
            <w:left w:val="none" w:sz="0" w:space="0" w:color="auto"/>
            <w:bottom w:val="none" w:sz="0" w:space="0" w:color="auto"/>
            <w:right w:val="none" w:sz="0" w:space="0" w:color="auto"/>
          </w:divBdr>
        </w:div>
        <w:div w:id="822350687">
          <w:marLeft w:val="0"/>
          <w:marRight w:val="0"/>
          <w:marTop w:val="0"/>
          <w:marBottom w:val="0"/>
          <w:divBdr>
            <w:top w:val="none" w:sz="0" w:space="0" w:color="auto"/>
            <w:left w:val="none" w:sz="0" w:space="0" w:color="auto"/>
            <w:bottom w:val="none" w:sz="0" w:space="0" w:color="auto"/>
            <w:right w:val="none" w:sz="0" w:space="0" w:color="auto"/>
          </w:divBdr>
        </w:div>
        <w:div w:id="796335793">
          <w:marLeft w:val="0"/>
          <w:marRight w:val="0"/>
          <w:marTop w:val="0"/>
          <w:marBottom w:val="0"/>
          <w:divBdr>
            <w:top w:val="none" w:sz="0" w:space="0" w:color="auto"/>
            <w:left w:val="none" w:sz="0" w:space="0" w:color="auto"/>
            <w:bottom w:val="none" w:sz="0" w:space="0" w:color="auto"/>
            <w:right w:val="none" w:sz="0" w:space="0" w:color="auto"/>
          </w:divBdr>
        </w:div>
        <w:div w:id="2014339190">
          <w:marLeft w:val="0"/>
          <w:marRight w:val="0"/>
          <w:marTop w:val="0"/>
          <w:marBottom w:val="0"/>
          <w:divBdr>
            <w:top w:val="none" w:sz="0" w:space="0" w:color="auto"/>
            <w:left w:val="none" w:sz="0" w:space="0" w:color="auto"/>
            <w:bottom w:val="none" w:sz="0" w:space="0" w:color="auto"/>
            <w:right w:val="none" w:sz="0" w:space="0" w:color="auto"/>
          </w:divBdr>
        </w:div>
        <w:div w:id="662928853">
          <w:marLeft w:val="0"/>
          <w:marRight w:val="0"/>
          <w:marTop w:val="0"/>
          <w:marBottom w:val="0"/>
          <w:divBdr>
            <w:top w:val="none" w:sz="0" w:space="0" w:color="auto"/>
            <w:left w:val="none" w:sz="0" w:space="0" w:color="auto"/>
            <w:bottom w:val="none" w:sz="0" w:space="0" w:color="auto"/>
            <w:right w:val="none" w:sz="0" w:space="0" w:color="auto"/>
          </w:divBdr>
        </w:div>
        <w:div w:id="2080209088">
          <w:marLeft w:val="0"/>
          <w:marRight w:val="0"/>
          <w:marTop w:val="0"/>
          <w:marBottom w:val="0"/>
          <w:divBdr>
            <w:top w:val="none" w:sz="0" w:space="0" w:color="auto"/>
            <w:left w:val="none" w:sz="0" w:space="0" w:color="auto"/>
            <w:bottom w:val="none" w:sz="0" w:space="0" w:color="auto"/>
            <w:right w:val="none" w:sz="0" w:space="0" w:color="auto"/>
          </w:divBdr>
        </w:div>
        <w:div w:id="325399468">
          <w:marLeft w:val="0"/>
          <w:marRight w:val="0"/>
          <w:marTop w:val="0"/>
          <w:marBottom w:val="0"/>
          <w:divBdr>
            <w:top w:val="none" w:sz="0" w:space="0" w:color="auto"/>
            <w:left w:val="none" w:sz="0" w:space="0" w:color="auto"/>
            <w:bottom w:val="none" w:sz="0" w:space="0" w:color="auto"/>
            <w:right w:val="none" w:sz="0" w:space="0" w:color="auto"/>
          </w:divBdr>
        </w:div>
        <w:div w:id="1506243369">
          <w:marLeft w:val="0"/>
          <w:marRight w:val="0"/>
          <w:marTop w:val="0"/>
          <w:marBottom w:val="0"/>
          <w:divBdr>
            <w:top w:val="none" w:sz="0" w:space="0" w:color="auto"/>
            <w:left w:val="none" w:sz="0" w:space="0" w:color="auto"/>
            <w:bottom w:val="none" w:sz="0" w:space="0" w:color="auto"/>
            <w:right w:val="none" w:sz="0" w:space="0" w:color="auto"/>
          </w:divBdr>
        </w:div>
        <w:div w:id="503857121">
          <w:marLeft w:val="0"/>
          <w:marRight w:val="0"/>
          <w:marTop w:val="0"/>
          <w:marBottom w:val="0"/>
          <w:divBdr>
            <w:top w:val="none" w:sz="0" w:space="0" w:color="auto"/>
            <w:left w:val="none" w:sz="0" w:space="0" w:color="auto"/>
            <w:bottom w:val="none" w:sz="0" w:space="0" w:color="auto"/>
            <w:right w:val="none" w:sz="0" w:space="0" w:color="auto"/>
          </w:divBdr>
        </w:div>
        <w:div w:id="625546308">
          <w:marLeft w:val="0"/>
          <w:marRight w:val="0"/>
          <w:marTop w:val="0"/>
          <w:marBottom w:val="0"/>
          <w:divBdr>
            <w:top w:val="none" w:sz="0" w:space="0" w:color="auto"/>
            <w:left w:val="none" w:sz="0" w:space="0" w:color="auto"/>
            <w:bottom w:val="none" w:sz="0" w:space="0" w:color="auto"/>
            <w:right w:val="none" w:sz="0" w:space="0" w:color="auto"/>
          </w:divBdr>
        </w:div>
        <w:div w:id="2091268751">
          <w:marLeft w:val="0"/>
          <w:marRight w:val="0"/>
          <w:marTop w:val="0"/>
          <w:marBottom w:val="0"/>
          <w:divBdr>
            <w:top w:val="none" w:sz="0" w:space="0" w:color="auto"/>
            <w:left w:val="none" w:sz="0" w:space="0" w:color="auto"/>
            <w:bottom w:val="none" w:sz="0" w:space="0" w:color="auto"/>
            <w:right w:val="none" w:sz="0" w:space="0" w:color="auto"/>
          </w:divBdr>
        </w:div>
        <w:div w:id="148790793">
          <w:marLeft w:val="0"/>
          <w:marRight w:val="0"/>
          <w:marTop w:val="0"/>
          <w:marBottom w:val="0"/>
          <w:divBdr>
            <w:top w:val="none" w:sz="0" w:space="0" w:color="auto"/>
            <w:left w:val="none" w:sz="0" w:space="0" w:color="auto"/>
            <w:bottom w:val="none" w:sz="0" w:space="0" w:color="auto"/>
            <w:right w:val="none" w:sz="0" w:space="0" w:color="auto"/>
          </w:divBdr>
        </w:div>
        <w:div w:id="878009248">
          <w:marLeft w:val="0"/>
          <w:marRight w:val="0"/>
          <w:marTop w:val="0"/>
          <w:marBottom w:val="0"/>
          <w:divBdr>
            <w:top w:val="none" w:sz="0" w:space="0" w:color="auto"/>
            <w:left w:val="none" w:sz="0" w:space="0" w:color="auto"/>
            <w:bottom w:val="none" w:sz="0" w:space="0" w:color="auto"/>
            <w:right w:val="none" w:sz="0" w:space="0" w:color="auto"/>
          </w:divBdr>
        </w:div>
      </w:divsChild>
    </w:div>
    <w:div w:id="2056657990">
      <w:bodyDiv w:val="1"/>
      <w:marLeft w:val="0"/>
      <w:marRight w:val="0"/>
      <w:marTop w:val="0"/>
      <w:marBottom w:val="0"/>
      <w:divBdr>
        <w:top w:val="none" w:sz="0" w:space="0" w:color="auto"/>
        <w:left w:val="none" w:sz="0" w:space="0" w:color="auto"/>
        <w:bottom w:val="none" w:sz="0" w:space="0" w:color="auto"/>
        <w:right w:val="none" w:sz="0" w:space="0" w:color="auto"/>
      </w:divBdr>
      <w:divsChild>
        <w:div w:id="1856384730">
          <w:marLeft w:val="0"/>
          <w:marRight w:val="0"/>
          <w:marTop w:val="0"/>
          <w:marBottom w:val="0"/>
          <w:divBdr>
            <w:top w:val="none" w:sz="0" w:space="0" w:color="auto"/>
            <w:left w:val="none" w:sz="0" w:space="0" w:color="auto"/>
            <w:bottom w:val="none" w:sz="0" w:space="0" w:color="auto"/>
            <w:right w:val="none" w:sz="0" w:space="0" w:color="auto"/>
          </w:divBdr>
        </w:div>
        <w:div w:id="177328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ul.j.rowan@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6FFD-5264-9044-8D71-6C31D3AC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4808</Words>
  <Characters>27410</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Rowan</dc:creator>
  <cp:lastModifiedBy>Na Ma</cp:lastModifiedBy>
  <cp:revision>3</cp:revision>
  <cp:lastPrinted>2015-08-05T13:41:00Z</cp:lastPrinted>
  <dcterms:created xsi:type="dcterms:W3CDTF">2015-08-30T16:09:00Z</dcterms:created>
  <dcterms:modified xsi:type="dcterms:W3CDTF">2015-08-30T16:29:00Z</dcterms:modified>
</cp:coreProperties>
</file>