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03F1" w14:textId="3275AF2C" w:rsidR="000735E6" w:rsidRPr="006479DA" w:rsidRDefault="000735E6" w:rsidP="00265BAF">
      <w:pPr>
        <w:spacing w:after="0" w:line="360" w:lineRule="auto"/>
        <w:jc w:val="both"/>
        <w:rPr>
          <w:rFonts w:ascii="Book Antiqua" w:eastAsia="SimSun" w:hAnsi="Book Antiqua"/>
          <w:b/>
          <w:i/>
          <w:sz w:val="24"/>
          <w:szCs w:val="24"/>
          <w:lang w:val="en-US" w:eastAsia="zh-CN"/>
        </w:rPr>
      </w:pPr>
      <w:r w:rsidRPr="006479DA">
        <w:rPr>
          <w:rFonts w:ascii="Book Antiqua" w:hAnsi="Book Antiqua"/>
          <w:b/>
          <w:sz w:val="24"/>
          <w:szCs w:val="24"/>
          <w:lang w:val="en-US"/>
        </w:rPr>
        <w:t xml:space="preserve">Name of Journal: </w:t>
      </w:r>
      <w:r w:rsidRPr="006479DA">
        <w:rPr>
          <w:rFonts w:ascii="Book Antiqua" w:hAnsi="Book Antiqua"/>
          <w:b/>
          <w:i/>
          <w:sz w:val="24"/>
          <w:szCs w:val="24"/>
          <w:lang w:val="en-US"/>
        </w:rPr>
        <w:t>World Journal of Gastroenterology</w:t>
      </w:r>
    </w:p>
    <w:p w14:paraId="12DCBEDC" w14:textId="5568785C" w:rsidR="00263017" w:rsidRPr="006479DA" w:rsidRDefault="00263017" w:rsidP="00265BAF">
      <w:pPr>
        <w:spacing w:after="0" w:line="360" w:lineRule="auto"/>
        <w:jc w:val="both"/>
        <w:rPr>
          <w:rFonts w:ascii="Book Antiqua" w:eastAsia="SimSun" w:hAnsi="Book Antiqua"/>
          <w:b/>
          <w:i/>
          <w:sz w:val="24"/>
          <w:szCs w:val="24"/>
          <w:lang w:val="en-US" w:eastAsia="zh-CN"/>
        </w:rPr>
      </w:pPr>
      <w:r w:rsidRPr="006479DA">
        <w:rPr>
          <w:rFonts w:ascii="Book Antiqua" w:hAnsi="Book Antiqua"/>
          <w:b/>
          <w:sz w:val="24"/>
          <w:szCs w:val="24"/>
          <w:highlight w:val="white"/>
          <w:lang w:eastAsia="zh-CN"/>
        </w:rPr>
        <w:t>ESPS Manuscript NO:</w:t>
      </w:r>
      <w:r w:rsidR="003F299D" w:rsidRPr="006479DA">
        <w:rPr>
          <w:rFonts w:ascii="Book Antiqua" w:hAnsi="Book Antiqua"/>
          <w:b/>
          <w:sz w:val="24"/>
          <w:szCs w:val="24"/>
          <w:lang w:eastAsia="zh-CN"/>
        </w:rPr>
        <w:t xml:space="preserve"> 21220</w:t>
      </w:r>
    </w:p>
    <w:p w14:paraId="4214E55E" w14:textId="77777777" w:rsidR="006479DA" w:rsidRPr="006479DA" w:rsidRDefault="006479DA" w:rsidP="00265BAF">
      <w:pPr>
        <w:spacing w:after="0" w:line="360" w:lineRule="auto"/>
        <w:jc w:val="both"/>
        <w:rPr>
          <w:rFonts w:ascii="Book Antiqua" w:hAnsi="Book Antiqua"/>
          <w:b/>
          <w:sz w:val="24"/>
          <w:szCs w:val="24"/>
          <w:lang w:val="en-US"/>
        </w:rPr>
      </w:pPr>
      <w:r w:rsidRPr="006479DA">
        <w:rPr>
          <w:rFonts w:ascii="Book Antiqua" w:hAnsi="Book Antiqua"/>
          <w:b/>
          <w:sz w:val="24"/>
          <w:szCs w:val="24"/>
          <w:lang w:val="en-US"/>
        </w:rPr>
        <w:t>Manuscript Type: ORIGINAL ARTICLE</w:t>
      </w:r>
    </w:p>
    <w:p w14:paraId="336EF918" w14:textId="3D4F028A" w:rsidR="00A87E25" w:rsidRPr="0012385A" w:rsidRDefault="000735E6" w:rsidP="00265BAF">
      <w:pPr>
        <w:spacing w:after="0" w:line="360" w:lineRule="auto"/>
        <w:jc w:val="both"/>
        <w:rPr>
          <w:rFonts w:ascii="Book Antiqua" w:eastAsia="SimSun" w:hAnsi="Book Antiqua"/>
          <w:b/>
          <w:i/>
          <w:sz w:val="24"/>
          <w:szCs w:val="24"/>
          <w:lang w:val="en-US" w:eastAsia="zh-CN"/>
        </w:rPr>
      </w:pPr>
      <w:r w:rsidRPr="00906B4A">
        <w:rPr>
          <w:rFonts w:ascii="Book Antiqua" w:hAnsi="Book Antiqua"/>
          <w:b/>
          <w:i/>
          <w:sz w:val="24"/>
          <w:szCs w:val="24"/>
          <w:lang w:val="en-US"/>
        </w:rPr>
        <w:t xml:space="preserve">Prospective </w:t>
      </w:r>
      <w:r w:rsidRPr="00906B4A">
        <w:rPr>
          <w:rFonts w:ascii="Book Antiqua" w:hAnsi="Book Antiqua"/>
          <w:b/>
          <w:i/>
          <w:caps/>
          <w:sz w:val="24"/>
          <w:szCs w:val="24"/>
          <w:lang w:val="en-US"/>
        </w:rPr>
        <w:t>s</w:t>
      </w:r>
      <w:r w:rsidRPr="00906B4A">
        <w:rPr>
          <w:rFonts w:ascii="Book Antiqua" w:hAnsi="Book Antiqua"/>
          <w:b/>
          <w:i/>
          <w:sz w:val="24"/>
          <w:szCs w:val="24"/>
          <w:lang w:val="en-US"/>
        </w:rPr>
        <w:t>tudy</w:t>
      </w:r>
    </w:p>
    <w:p w14:paraId="3A99C42C" w14:textId="3516793A" w:rsidR="003F299D" w:rsidRPr="006479DA" w:rsidRDefault="003F299D" w:rsidP="00265BAF">
      <w:pPr>
        <w:spacing w:after="0" w:line="360" w:lineRule="auto"/>
        <w:jc w:val="both"/>
        <w:rPr>
          <w:rFonts w:ascii="Book Antiqua" w:hAnsi="Book Antiqua"/>
          <w:b/>
          <w:sz w:val="24"/>
          <w:szCs w:val="24"/>
          <w:lang w:val="en-US"/>
        </w:rPr>
      </w:pPr>
      <w:bookmarkStart w:id="0" w:name="OLE_LINK1"/>
      <w:r w:rsidRPr="006479DA">
        <w:rPr>
          <w:rFonts w:ascii="Book Antiqua" w:hAnsi="Book Antiqua"/>
          <w:b/>
          <w:sz w:val="24"/>
          <w:szCs w:val="24"/>
          <w:lang w:val="en-US"/>
        </w:rPr>
        <w:t>Dual-</w:t>
      </w:r>
      <w:r w:rsidR="006479DA" w:rsidRPr="006479DA">
        <w:rPr>
          <w:rFonts w:ascii="Book Antiqua" w:hAnsi="Book Antiqua"/>
          <w:b/>
          <w:sz w:val="24"/>
          <w:szCs w:val="24"/>
          <w:lang w:val="en-US"/>
        </w:rPr>
        <w:t xml:space="preserve">sugar tests of small intestinal permeability are poor predictors of bacterial infections and mortality </w:t>
      </w:r>
      <w:r w:rsidR="00391046">
        <w:rPr>
          <w:rFonts w:ascii="Book Antiqua" w:eastAsia="SimSun" w:hAnsi="Book Antiqua" w:hint="eastAsia"/>
          <w:b/>
          <w:sz w:val="24"/>
          <w:szCs w:val="24"/>
          <w:lang w:val="en-US" w:eastAsia="zh-CN"/>
        </w:rPr>
        <w:t xml:space="preserve">in </w:t>
      </w:r>
      <w:r w:rsidR="006479DA" w:rsidRPr="006479DA">
        <w:rPr>
          <w:rFonts w:ascii="Book Antiqua" w:hAnsi="Book Antiqua"/>
          <w:b/>
          <w:sz w:val="24"/>
          <w:szCs w:val="24"/>
          <w:lang w:val="en-US"/>
        </w:rPr>
        <w:t>cirrhosis:</w:t>
      </w:r>
      <w:r w:rsidR="006479DA">
        <w:rPr>
          <w:rFonts w:ascii="Book Antiqua" w:eastAsia="SimSun" w:hAnsi="Book Antiqua" w:hint="eastAsia"/>
          <w:b/>
          <w:sz w:val="24"/>
          <w:szCs w:val="24"/>
          <w:lang w:val="en-US" w:eastAsia="zh-CN"/>
        </w:rPr>
        <w:t xml:space="preserve"> </w:t>
      </w:r>
      <w:r w:rsidR="006479DA" w:rsidRPr="006479DA">
        <w:rPr>
          <w:rFonts w:ascii="Book Antiqua" w:hAnsi="Book Antiqua"/>
          <w:b/>
          <w:caps/>
          <w:sz w:val="24"/>
          <w:szCs w:val="24"/>
          <w:lang w:val="en-US"/>
        </w:rPr>
        <w:t>a</w:t>
      </w:r>
      <w:r w:rsidR="006479DA">
        <w:rPr>
          <w:rFonts w:ascii="Book Antiqua" w:eastAsia="SimSun" w:hAnsi="Book Antiqua" w:hint="eastAsia"/>
          <w:b/>
          <w:sz w:val="24"/>
          <w:szCs w:val="24"/>
          <w:lang w:val="en-US" w:eastAsia="zh-CN"/>
        </w:rPr>
        <w:t xml:space="preserve"> </w:t>
      </w:r>
      <w:r w:rsidR="006479DA" w:rsidRPr="006479DA">
        <w:rPr>
          <w:rFonts w:ascii="Book Antiqua" w:hAnsi="Book Antiqua"/>
          <w:b/>
          <w:sz w:val="24"/>
          <w:szCs w:val="24"/>
          <w:lang w:val="en-US"/>
        </w:rPr>
        <w:t>prospective study</w:t>
      </w:r>
    </w:p>
    <w:bookmarkEnd w:id="0"/>
    <w:p w14:paraId="3AE30447" w14:textId="77777777" w:rsidR="00A87E25" w:rsidRPr="006479DA" w:rsidRDefault="00A87E25" w:rsidP="00265BAF">
      <w:pPr>
        <w:spacing w:after="0" w:line="360" w:lineRule="auto"/>
        <w:jc w:val="both"/>
        <w:rPr>
          <w:rFonts w:ascii="Book Antiqua" w:hAnsi="Book Antiqua"/>
          <w:b/>
          <w:sz w:val="24"/>
          <w:szCs w:val="24"/>
          <w:lang w:val="en-US"/>
        </w:rPr>
      </w:pPr>
    </w:p>
    <w:p w14:paraId="525D34D3" w14:textId="73A6879E" w:rsidR="00A87E25" w:rsidRPr="006479DA" w:rsidRDefault="00A87E25"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Vogt </w:t>
      </w:r>
      <w:r w:rsidR="006479DA">
        <w:rPr>
          <w:rFonts w:ascii="Book Antiqua" w:eastAsia="SimSun" w:hAnsi="Book Antiqua" w:hint="eastAsia"/>
          <w:sz w:val="24"/>
          <w:szCs w:val="24"/>
          <w:lang w:val="en-US" w:eastAsia="zh-CN"/>
        </w:rPr>
        <w:t xml:space="preserve">A </w:t>
      </w:r>
      <w:r w:rsidRPr="006479DA">
        <w:rPr>
          <w:rFonts w:ascii="Book Antiqua" w:hAnsi="Book Antiqua"/>
          <w:i/>
          <w:sz w:val="24"/>
          <w:szCs w:val="24"/>
          <w:lang w:val="en-US"/>
        </w:rPr>
        <w:t xml:space="preserve">et al. </w:t>
      </w:r>
      <w:r w:rsidRPr="006479DA">
        <w:rPr>
          <w:rFonts w:ascii="Book Antiqua" w:hAnsi="Book Antiqua"/>
          <w:sz w:val="24"/>
          <w:szCs w:val="24"/>
          <w:lang w:val="en-US"/>
        </w:rPr>
        <w:t>Dual-</w:t>
      </w:r>
      <w:r w:rsidR="005C21B0" w:rsidRPr="006479DA">
        <w:rPr>
          <w:rFonts w:ascii="Book Antiqua" w:hAnsi="Book Antiqua"/>
          <w:sz w:val="24"/>
          <w:szCs w:val="24"/>
          <w:lang w:val="en-US"/>
        </w:rPr>
        <w:t>s</w:t>
      </w:r>
      <w:r w:rsidRPr="006479DA">
        <w:rPr>
          <w:rFonts w:ascii="Book Antiqua" w:hAnsi="Book Antiqua"/>
          <w:sz w:val="24"/>
          <w:szCs w:val="24"/>
          <w:lang w:val="en-US"/>
        </w:rPr>
        <w:t xml:space="preserve">ugar </w:t>
      </w:r>
      <w:r w:rsidR="005C21B0" w:rsidRPr="006479DA">
        <w:rPr>
          <w:rFonts w:ascii="Book Antiqua" w:hAnsi="Book Antiqua"/>
          <w:sz w:val="24"/>
          <w:szCs w:val="24"/>
          <w:lang w:val="en-US"/>
        </w:rPr>
        <w:t>t</w:t>
      </w:r>
      <w:r w:rsidRPr="006479DA">
        <w:rPr>
          <w:rFonts w:ascii="Book Antiqua" w:hAnsi="Book Antiqua"/>
          <w:sz w:val="24"/>
          <w:szCs w:val="24"/>
          <w:lang w:val="en-US"/>
        </w:rPr>
        <w:t xml:space="preserve">ests in </w:t>
      </w:r>
      <w:r w:rsidR="005C21B0" w:rsidRPr="006479DA">
        <w:rPr>
          <w:rFonts w:ascii="Book Antiqua" w:hAnsi="Book Antiqua"/>
          <w:sz w:val="24"/>
          <w:szCs w:val="24"/>
          <w:lang w:val="en-US"/>
        </w:rPr>
        <w:t>c</w:t>
      </w:r>
      <w:r w:rsidRPr="006479DA">
        <w:rPr>
          <w:rFonts w:ascii="Book Antiqua" w:hAnsi="Book Antiqua"/>
          <w:sz w:val="24"/>
          <w:szCs w:val="24"/>
          <w:lang w:val="en-US"/>
        </w:rPr>
        <w:t>irrhosis</w:t>
      </w:r>
    </w:p>
    <w:p w14:paraId="4C18B335" w14:textId="77777777" w:rsidR="00A87E25" w:rsidRPr="006479DA" w:rsidRDefault="00A87E25" w:rsidP="00265BAF">
      <w:pPr>
        <w:spacing w:after="0" w:line="360" w:lineRule="auto"/>
        <w:jc w:val="both"/>
        <w:rPr>
          <w:rFonts w:ascii="Book Antiqua" w:hAnsi="Book Antiqua"/>
          <w:sz w:val="24"/>
          <w:szCs w:val="24"/>
          <w:lang w:val="en-US"/>
        </w:rPr>
      </w:pPr>
    </w:p>
    <w:p w14:paraId="384150E3" w14:textId="502E3181" w:rsidR="000770BB" w:rsidRPr="006479DA" w:rsidRDefault="000735E6" w:rsidP="00265BAF">
      <w:pPr>
        <w:spacing w:after="0" w:line="360" w:lineRule="auto"/>
        <w:jc w:val="both"/>
        <w:rPr>
          <w:rFonts w:ascii="Book Antiqua" w:hAnsi="Book Antiqua"/>
          <w:b/>
          <w:sz w:val="24"/>
          <w:szCs w:val="24"/>
          <w:lang w:val="en-US"/>
        </w:rPr>
      </w:pPr>
      <w:r w:rsidRPr="006479DA">
        <w:rPr>
          <w:rFonts w:ascii="Book Antiqua" w:hAnsi="Book Antiqua"/>
          <w:b/>
          <w:sz w:val="24"/>
          <w:szCs w:val="24"/>
          <w:lang w:val="en-US"/>
        </w:rPr>
        <w:t>Anika Vogt, Philipp A Reuken, Sven Stengel, Andreas Stallmach, Tony Bruns</w:t>
      </w:r>
    </w:p>
    <w:p w14:paraId="3F2307BF" w14:textId="77777777" w:rsidR="000735E6" w:rsidRPr="006479DA" w:rsidRDefault="000735E6" w:rsidP="00265BAF">
      <w:pPr>
        <w:spacing w:after="0" w:line="360" w:lineRule="auto"/>
        <w:jc w:val="both"/>
        <w:rPr>
          <w:rFonts w:ascii="Book Antiqua" w:hAnsi="Book Antiqua"/>
          <w:sz w:val="24"/>
          <w:szCs w:val="24"/>
          <w:lang w:val="en-US"/>
        </w:rPr>
      </w:pPr>
    </w:p>
    <w:p w14:paraId="4AB6A8A1" w14:textId="52779A7F" w:rsidR="00F25E2A" w:rsidRDefault="00A87E25" w:rsidP="00265BAF">
      <w:pPr>
        <w:spacing w:after="0" w:line="360" w:lineRule="auto"/>
        <w:jc w:val="both"/>
        <w:rPr>
          <w:rFonts w:ascii="Book Antiqua" w:eastAsia="SimSun" w:hAnsi="Book Antiqua"/>
          <w:sz w:val="24"/>
          <w:szCs w:val="24"/>
          <w:lang w:val="en-US" w:eastAsia="zh-CN"/>
        </w:rPr>
      </w:pPr>
      <w:r w:rsidRPr="006479DA">
        <w:rPr>
          <w:rFonts w:ascii="Book Antiqua" w:hAnsi="Book Antiqua"/>
          <w:b/>
          <w:sz w:val="24"/>
          <w:szCs w:val="24"/>
          <w:lang w:val="en-US"/>
        </w:rPr>
        <w:t>Anika Vogt,</w:t>
      </w:r>
      <w:r w:rsidR="006479DA">
        <w:rPr>
          <w:rFonts w:ascii="Book Antiqua" w:eastAsia="SimSun" w:hAnsi="Book Antiqua" w:hint="eastAsia"/>
          <w:b/>
          <w:sz w:val="24"/>
          <w:szCs w:val="24"/>
          <w:lang w:val="en-US" w:eastAsia="zh-CN"/>
        </w:rPr>
        <w:t xml:space="preserve"> </w:t>
      </w:r>
      <w:r w:rsidRPr="006479DA">
        <w:rPr>
          <w:rFonts w:ascii="Book Antiqua" w:hAnsi="Book Antiqua"/>
          <w:b/>
          <w:sz w:val="24"/>
          <w:szCs w:val="24"/>
          <w:lang w:val="en-US"/>
        </w:rPr>
        <w:t>Sven Stengel</w:t>
      </w:r>
      <w:r w:rsidR="00263017" w:rsidRPr="006479DA">
        <w:rPr>
          <w:rFonts w:ascii="Book Antiqua" w:eastAsia="SimSun" w:hAnsi="Book Antiqua"/>
          <w:b/>
          <w:sz w:val="24"/>
          <w:szCs w:val="24"/>
          <w:lang w:val="en-US" w:eastAsia="zh-CN"/>
        </w:rPr>
        <w:t>,</w:t>
      </w:r>
      <w:r w:rsidRPr="006479DA">
        <w:rPr>
          <w:rFonts w:ascii="Book Antiqua" w:hAnsi="Book Antiqua"/>
          <w:b/>
          <w:sz w:val="24"/>
          <w:szCs w:val="24"/>
          <w:lang w:val="en-US"/>
        </w:rPr>
        <w:t xml:space="preserve"> </w:t>
      </w:r>
      <w:r w:rsidR="002F18D9" w:rsidRPr="002F18D9">
        <w:rPr>
          <w:rFonts w:ascii="Book Antiqua" w:hAnsi="Book Antiqua"/>
          <w:b/>
          <w:sz w:val="24"/>
          <w:szCs w:val="24"/>
          <w:lang w:val="en-US"/>
        </w:rPr>
        <w:t xml:space="preserve">Philipp A Reuken, Andreas Stallmach, Tony Bruns, </w:t>
      </w:r>
      <w:r w:rsidRPr="006479DA">
        <w:rPr>
          <w:rFonts w:ascii="Book Antiqua" w:hAnsi="Book Antiqua"/>
          <w:sz w:val="24"/>
          <w:szCs w:val="24"/>
          <w:lang w:val="en-US"/>
        </w:rPr>
        <w:t xml:space="preserve">Department for Internal Medicine IV (Gastroenterology, Hepatology, and Infectious Diseases), </w:t>
      </w:r>
      <w:r w:rsidR="00721AEF" w:rsidRPr="006479DA">
        <w:rPr>
          <w:rFonts w:ascii="Book Antiqua" w:hAnsi="Book Antiqua"/>
          <w:sz w:val="24"/>
          <w:szCs w:val="24"/>
          <w:lang w:val="en-US"/>
        </w:rPr>
        <w:t>Jena University Hospital,</w:t>
      </w:r>
      <w:r w:rsidR="00721AEF">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Erlanger Allee 101, 07747 Jena, Germany</w:t>
      </w:r>
    </w:p>
    <w:p w14:paraId="27D4B2D6" w14:textId="77777777" w:rsidR="00F25E2A" w:rsidRDefault="00F25E2A" w:rsidP="00265BAF">
      <w:pPr>
        <w:spacing w:after="0" w:line="360" w:lineRule="auto"/>
        <w:jc w:val="both"/>
        <w:rPr>
          <w:rFonts w:ascii="Book Antiqua" w:eastAsia="SimSun" w:hAnsi="Book Antiqua"/>
          <w:sz w:val="24"/>
          <w:szCs w:val="24"/>
          <w:lang w:val="en-US" w:eastAsia="zh-CN"/>
        </w:rPr>
      </w:pPr>
    </w:p>
    <w:p w14:paraId="4E8FC796" w14:textId="516EEC54" w:rsidR="00A87E25" w:rsidRPr="006479DA" w:rsidRDefault="00A87E25" w:rsidP="00265BAF">
      <w:pPr>
        <w:spacing w:after="0" w:line="360" w:lineRule="auto"/>
        <w:jc w:val="both"/>
        <w:rPr>
          <w:rFonts w:ascii="Book Antiqua" w:hAnsi="Book Antiqua"/>
          <w:sz w:val="24"/>
          <w:szCs w:val="24"/>
          <w:lang w:val="en-US"/>
        </w:rPr>
      </w:pPr>
      <w:r w:rsidRPr="006479DA">
        <w:rPr>
          <w:rFonts w:ascii="Book Antiqua" w:hAnsi="Book Antiqua"/>
          <w:b/>
          <w:sz w:val="24"/>
          <w:szCs w:val="24"/>
          <w:lang w:val="en-US"/>
        </w:rPr>
        <w:t xml:space="preserve">Philipp A Reuken, Andreas Stallmach, Tony Bruns, </w:t>
      </w:r>
      <w:r w:rsidRPr="006479DA">
        <w:rPr>
          <w:rFonts w:ascii="Book Antiqua" w:hAnsi="Book Antiqua"/>
          <w:sz w:val="24"/>
          <w:szCs w:val="24"/>
          <w:lang w:val="en-US"/>
        </w:rPr>
        <w:t xml:space="preserve">Center for Sepsis Control and Care, </w:t>
      </w:r>
      <w:r w:rsidR="00721AEF" w:rsidRPr="006479DA">
        <w:rPr>
          <w:rFonts w:ascii="Book Antiqua" w:hAnsi="Book Antiqua"/>
          <w:sz w:val="24"/>
          <w:szCs w:val="24"/>
          <w:lang w:val="en-US"/>
        </w:rPr>
        <w:t xml:space="preserve">Jena University Hospital, </w:t>
      </w:r>
      <w:r w:rsidRPr="006479DA">
        <w:rPr>
          <w:rFonts w:ascii="Book Antiqua" w:hAnsi="Book Antiqua"/>
          <w:sz w:val="24"/>
          <w:szCs w:val="24"/>
          <w:lang w:val="en-US"/>
        </w:rPr>
        <w:t>Erlanger Allee 101, 07747 Jena, Germany</w:t>
      </w:r>
    </w:p>
    <w:p w14:paraId="6A8D2E79" w14:textId="77777777" w:rsidR="00A87E25" w:rsidRPr="006479DA" w:rsidRDefault="00A87E25" w:rsidP="00265BAF">
      <w:pPr>
        <w:spacing w:after="0" w:line="360" w:lineRule="auto"/>
        <w:jc w:val="both"/>
        <w:rPr>
          <w:rFonts w:ascii="Book Antiqua" w:hAnsi="Book Antiqua"/>
          <w:sz w:val="24"/>
          <w:szCs w:val="24"/>
          <w:lang w:val="en-US"/>
        </w:rPr>
      </w:pPr>
    </w:p>
    <w:p w14:paraId="50CA0904" w14:textId="13F45319" w:rsidR="00A87E25" w:rsidRPr="006479DA" w:rsidRDefault="00A87E25" w:rsidP="00265BAF">
      <w:pPr>
        <w:spacing w:after="0" w:line="360" w:lineRule="auto"/>
        <w:jc w:val="both"/>
        <w:rPr>
          <w:rFonts w:ascii="Book Antiqua" w:hAnsi="Book Antiqua"/>
          <w:sz w:val="24"/>
          <w:szCs w:val="24"/>
          <w:lang w:val="en-US" w:eastAsia="de-DE"/>
        </w:rPr>
      </w:pPr>
      <w:r w:rsidRPr="006479DA">
        <w:rPr>
          <w:rFonts w:ascii="Book Antiqua" w:hAnsi="Book Antiqua"/>
          <w:b/>
          <w:sz w:val="24"/>
          <w:szCs w:val="24"/>
          <w:lang w:val="en-US"/>
        </w:rPr>
        <w:t xml:space="preserve">Author contributions: </w:t>
      </w:r>
      <w:r w:rsidR="008C6BCC" w:rsidRPr="006479DA">
        <w:rPr>
          <w:rFonts w:ascii="Book Antiqua" w:hAnsi="Book Antiqua"/>
          <w:sz w:val="24"/>
          <w:szCs w:val="24"/>
          <w:lang w:val="en-US" w:eastAsia="de-DE"/>
        </w:rPr>
        <w:t>Stallmach A</w:t>
      </w:r>
      <w:r w:rsidR="003F299D" w:rsidRPr="006479DA">
        <w:rPr>
          <w:rFonts w:ascii="Book Antiqua" w:hAnsi="Book Antiqua"/>
          <w:sz w:val="24"/>
          <w:szCs w:val="24"/>
          <w:lang w:val="en-US" w:eastAsia="de-DE"/>
        </w:rPr>
        <w:t xml:space="preserve"> </w:t>
      </w:r>
      <w:r w:rsidRPr="006479DA">
        <w:rPr>
          <w:rFonts w:ascii="Book Antiqua" w:hAnsi="Book Antiqua"/>
          <w:sz w:val="24"/>
          <w:szCs w:val="24"/>
          <w:lang w:val="en-US" w:eastAsia="de-DE"/>
        </w:rPr>
        <w:t xml:space="preserve">and </w:t>
      </w:r>
      <w:r w:rsidR="003F299D" w:rsidRPr="006479DA">
        <w:rPr>
          <w:rFonts w:ascii="Book Antiqua" w:hAnsi="Book Antiqua"/>
          <w:sz w:val="24"/>
          <w:szCs w:val="24"/>
          <w:lang w:val="en-US" w:eastAsia="de-DE"/>
        </w:rPr>
        <w:t xml:space="preserve">Bruns T </w:t>
      </w:r>
      <w:r w:rsidRPr="006479DA">
        <w:rPr>
          <w:rFonts w:ascii="Book Antiqua" w:hAnsi="Book Antiqua"/>
          <w:sz w:val="24"/>
          <w:szCs w:val="24"/>
          <w:lang w:val="en-US" w:eastAsia="de-DE"/>
        </w:rPr>
        <w:t>designed and supervised the study</w:t>
      </w:r>
      <w:r w:rsidR="006479DA">
        <w:rPr>
          <w:rFonts w:ascii="Book Antiqua" w:eastAsia="SimSun" w:hAnsi="Book Antiqua" w:hint="eastAsia"/>
          <w:sz w:val="24"/>
          <w:szCs w:val="24"/>
          <w:lang w:val="en-US" w:eastAsia="zh-CN"/>
        </w:rPr>
        <w:t xml:space="preserve">; </w:t>
      </w:r>
      <w:r w:rsidR="003F299D" w:rsidRPr="006479DA">
        <w:rPr>
          <w:rFonts w:ascii="Book Antiqua" w:hAnsi="Book Antiqua"/>
          <w:sz w:val="24"/>
          <w:szCs w:val="24"/>
          <w:lang w:val="en-US" w:eastAsia="de-DE"/>
        </w:rPr>
        <w:t xml:space="preserve">Vogt A </w:t>
      </w:r>
      <w:r w:rsidRPr="006479DA">
        <w:rPr>
          <w:rFonts w:ascii="Book Antiqua" w:hAnsi="Book Antiqua"/>
          <w:sz w:val="24"/>
          <w:szCs w:val="24"/>
          <w:lang w:val="en-US" w:eastAsia="de-DE"/>
        </w:rPr>
        <w:t xml:space="preserve">and </w:t>
      </w:r>
      <w:r w:rsidR="008C6BCC" w:rsidRPr="006479DA">
        <w:rPr>
          <w:rFonts w:ascii="Book Antiqua" w:hAnsi="Book Antiqua"/>
          <w:sz w:val="24"/>
          <w:szCs w:val="24"/>
          <w:lang w:val="en-US" w:eastAsia="de-DE"/>
        </w:rPr>
        <w:t>Reuken P</w:t>
      </w:r>
      <w:r w:rsidR="003F299D" w:rsidRPr="006479DA">
        <w:rPr>
          <w:rFonts w:ascii="Book Antiqua" w:hAnsi="Book Antiqua"/>
          <w:sz w:val="24"/>
          <w:szCs w:val="24"/>
          <w:lang w:val="en-US" w:eastAsia="de-DE"/>
        </w:rPr>
        <w:t xml:space="preserve">A </w:t>
      </w:r>
      <w:r w:rsidRPr="006479DA">
        <w:rPr>
          <w:rFonts w:ascii="Book Antiqua" w:hAnsi="Book Antiqua"/>
          <w:sz w:val="24"/>
          <w:szCs w:val="24"/>
          <w:lang w:val="en-US" w:eastAsia="de-DE"/>
        </w:rPr>
        <w:t>recruited patients, collected specimens, performed measurements and analyzed clinical data</w:t>
      </w:r>
      <w:r w:rsidR="006479DA">
        <w:rPr>
          <w:rFonts w:ascii="Book Antiqua" w:eastAsia="SimSun" w:hAnsi="Book Antiqua" w:hint="eastAsia"/>
          <w:sz w:val="24"/>
          <w:szCs w:val="24"/>
          <w:lang w:val="en-US" w:eastAsia="zh-CN"/>
        </w:rPr>
        <w:t>;</w:t>
      </w:r>
      <w:r w:rsidRPr="006479DA">
        <w:rPr>
          <w:rFonts w:ascii="Book Antiqua" w:hAnsi="Book Antiqua"/>
          <w:sz w:val="24"/>
          <w:szCs w:val="24"/>
          <w:lang w:val="en-US" w:eastAsia="de-DE"/>
        </w:rPr>
        <w:t xml:space="preserve"> </w:t>
      </w:r>
      <w:r w:rsidR="0088274C" w:rsidRPr="006479DA">
        <w:rPr>
          <w:rFonts w:ascii="Book Antiqua" w:hAnsi="Book Antiqua"/>
          <w:sz w:val="24"/>
          <w:szCs w:val="24"/>
          <w:lang w:val="en-US" w:eastAsia="de-DE"/>
        </w:rPr>
        <w:t>Vo</w:t>
      </w:r>
      <w:r w:rsidR="003F299D" w:rsidRPr="006479DA">
        <w:rPr>
          <w:rFonts w:ascii="Book Antiqua" w:hAnsi="Book Antiqua"/>
          <w:sz w:val="24"/>
          <w:szCs w:val="24"/>
          <w:lang w:val="en-US" w:eastAsia="de-DE"/>
        </w:rPr>
        <w:t>gt A</w:t>
      </w:r>
      <w:r w:rsidRPr="006479DA">
        <w:rPr>
          <w:rFonts w:ascii="Book Antiqua" w:hAnsi="Book Antiqua"/>
          <w:sz w:val="24"/>
          <w:szCs w:val="24"/>
          <w:lang w:val="en-US" w:eastAsia="de-DE"/>
        </w:rPr>
        <w:t>,</w:t>
      </w:r>
      <w:r w:rsidR="003F299D" w:rsidRPr="006479DA">
        <w:rPr>
          <w:rFonts w:ascii="Book Antiqua" w:hAnsi="Book Antiqua"/>
          <w:sz w:val="24"/>
          <w:szCs w:val="24"/>
          <w:lang w:val="en-US" w:eastAsia="de-DE"/>
        </w:rPr>
        <w:t xml:space="preserve"> </w:t>
      </w:r>
      <w:r w:rsidRPr="006479DA">
        <w:rPr>
          <w:rFonts w:ascii="Book Antiqua" w:hAnsi="Book Antiqua"/>
          <w:sz w:val="24"/>
          <w:szCs w:val="24"/>
          <w:lang w:val="en-US" w:eastAsia="de-DE"/>
        </w:rPr>
        <w:t>S</w:t>
      </w:r>
      <w:r w:rsidR="003F299D" w:rsidRPr="006479DA">
        <w:rPr>
          <w:rFonts w:ascii="Book Antiqua" w:hAnsi="Book Antiqua"/>
          <w:sz w:val="24"/>
          <w:szCs w:val="24"/>
          <w:lang w:val="en-US" w:eastAsia="de-DE"/>
        </w:rPr>
        <w:t xml:space="preserve">tengel </w:t>
      </w:r>
      <w:r w:rsidRPr="006479DA">
        <w:rPr>
          <w:rFonts w:ascii="Book Antiqua" w:hAnsi="Book Antiqua"/>
          <w:sz w:val="24"/>
          <w:szCs w:val="24"/>
          <w:lang w:val="en-US" w:eastAsia="de-DE"/>
        </w:rPr>
        <w:t xml:space="preserve">S and </w:t>
      </w:r>
      <w:r w:rsidR="003F299D" w:rsidRPr="006479DA">
        <w:rPr>
          <w:rFonts w:ascii="Book Antiqua" w:hAnsi="Book Antiqua"/>
          <w:sz w:val="24"/>
          <w:szCs w:val="24"/>
          <w:lang w:val="en-US" w:eastAsia="de-DE"/>
        </w:rPr>
        <w:t xml:space="preserve">Bruns T </w:t>
      </w:r>
      <w:r w:rsidRPr="006479DA">
        <w:rPr>
          <w:rFonts w:ascii="Book Antiqua" w:hAnsi="Book Antiqua"/>
          <w:sz w:val="24"/>
          <w:szCs w:val="24"/>
          <w:lang w:val="en-US" w:eastAsia="de-DE"/>
        </w:rPr>
        <w:t>performed statistical analysis, interpreted the results, conducted literature search and wrote the manuscript</w:t>
      </w:r>
      <w:r w:rsidR="006479DA">
        <w:rPr>
          <w:rFonts w:ascii="Book Antiqua" w:eastAsia="SimSun" w:hAnsi="Book Antiqua" w:hint="eastAsia"/>
          <w:sz w:val="24"/>
          <w:szCs w:val="24"/>
          <w:lang w:val="en-US" w:eastAsia="zh-CN"/>
        </w:rPr>
        <w:t>;</w:t>
      </w:r>
      <w:r w:rsidRPr="006479DA">
        <w:rPr>
          <w:rFonts w:ascii="Book Antiqua" w:hAnsi="Book Antiqua"/>
          <w:sz w:val="24"/>
          <w:szCs w:val="24"/>
          <w:lang w:val="en-US" w:eastAsia="de-DE"/>
        </w:rPr>
        <w:t xml:space="preserve"> </w:t>
      </w:r>
      <w:r w:rsidR="006479DA" w:rsidRPr="006479DA">
        <w:rPr>
          <w:rFonts w:ascii="Book Antiqua" w:hAnsi="Book Antiqua"/>
          <w:sz w:val="24"/>
          <w:szCs w:val="24"/>
          <w:lang w:val="en-US" w:eastAsia="de-DE"/>
        </w:rPr>
        <w:t>Stengel S,</w:t>
      </w:r>
      <w:r w:rsidR="006479DA">
        <w:rPr>
          <w:rFonts w:ascii="Book Antiqua" w:eastAsia="SimSun" w:hAnsi="Book Antiqua" w:hint="eastAsia"/>
          <w:sz w:val="24"/>
          <w:szCs w:val="24"/>
          <w:lang w:val="en-US" w:eastAsia="zh-CN"/>
        </w:rPr>
        <w:t xml:space="preserve"> </w:t>
      </w:r>
      <w:r w:rsidR="003F299D" w:rsidRPr="006479DA">
        <w:rPr>
          <w:rFonts w:ascii="Book Antiqua" w:hAnsi="Book Antiqua"/>
          <w:sz w:val="24"/>
          <w:szCs w:val="24"/>
          <w:lang w:val="en-US" w:eastAsia="de-DE"/>
        </w:rPr>
        <w:t>Stallmach A</w:t>
      </w:r>
      <w:r w:rsidR="006479DA">
        <w:rPr>
          <w:rFonts w:ascii="Book Antiqua" w:eastAsia="SimSun" w:hAnsi="Book Antiqua" w:hint="eastAsia"/>
          <w:sz w:val="24"/>
          <w:szCs w:val="24"/>
          <w:lang w:val="en-US" w:eastAsia="zh-CN"/>
        </w:rPr>
        <w:t xml:space="preserve"> and </w:t>
      </w:r>
      <w:r w:rsidR="008C6BCC" w:rsidRPr="006479DA">
        <w:rPr>
          <w:rFonts w:ascii="Book Antiqua" w:hAnsi="Book Antiqua"/>
          <w:sz w:val="24"/>
          <w:szCs w:val="24"/>
          <w:lang w:val="en-US" w:eastAsia="de-DE"/>
        </w:rPr>
        <w:t>Reuken P</w:t>
      </w:r>
      <w:r w:rsidR="003F299D" w:rsidRPr="006479DA">
        <w:rPr>
          <w:rFonts w:ascii="Book Antiqua" w:hAnsi="Book Antiqua"/>
          <w:sz w:val="24"/>
          <w:szCs w:val="24"/>
          <w:lang w:val="en-US" w:eastAsia="de-DE"/>
        </w:rPr>
        <w:t>A</w:t>
      </w:r>
      <w:r w:rsidR="006479DA">
        <w:rPr>
          <w:rFonts w:ascii="Book Antiqua" w:eastAsia="SimSun" w:hAnsi="Book Antiqua" w:hint="eastAsia"/>
          <w:sz w:val="24"/>
          <w:szCs w:val="24"/>
          <w:lang w:val="en-US" w:eastAsia="zh-CN"/>
        </w:rPr>
        <w:t xml:space="preserve"> </w:t>
      </w:r>
      <w:r w:rsidRPr="006479DA">
        <w:rPr>
          <w:rFonts w:ascii="Book Antiqua" w:hAnsi="Book Antiqua"/>
          <w:sz w:val="24"/>
          <w:szCs w:val="24"/>
          <w:lang w:val="en-US" w:eastAsia="de-DE"/>
        </w:rPr>
        <w:t>critically revised the manuscript for important intellectual content</w:t>
      </w:r>
      <w:r w:rsidR="006479DA">
        <w:rPr>
          <w:rFonts w:ascii="Book Antiqua" w:eastAsia="SimSun" w:hAnsi="Book Antiqua" w:hint="eastAsia"/>
          <w:sz w:val="24"/>
          <w:szCs w:val="24"/>
          <w:lang w:val="en-US" w:eastAsia="zh-CN"/>
        </w:rPr>
        <w:t xml:space="preserve">; </w:t>
      </w:r>
      <w:r w:rsidR="006479DA" w:rsidRPr="006479DA">
        <w:rPr>
          <w:rFonts w:ascii="Book Antiqua" w:hAnsi="Book Antiqua"/>
          <w:sz w:val="24"/>
          <w:szCs w:val="24"/>
          <w:lang w:val="en-US" w:eastAsia="de-DE"/>
        </w:rPr>
        <w:t>a</w:t>
      </w:r>
      <w:r w:rsidRPr="006479DA">
        <w:rPr>
          <w:rFonts w:ascii="Book Antiqua" w:hAnsi="Book Antiqua"/>
          <w:sz w:val="24"/>
          <w:szCs w:val="24"/>
          <w:lang w:val="en-US" w:eastAsia="de-DE"/>
        </w:rPr>
        <w:t xml:space="preserve">ll authors read and approved the final version of the manuscript. </w:t>
      </w:r>
    </w:p>
    <w:p w14:paraId="01AC47F2" w14:textId="77777777" w:rsidR="00A87E25" w:rsidRPr="006479DA" w:rsidRDefault="00A87E25" w:rsidP="00265BAF">
      <w:pPr>
        <w:spacing w:after="0" w:line="360" w:lineRule="auto"/>
        <w:jc w:val="both"/>
        <w:rPr>
          <w:rFonts w:ascii="Book Antiqua" w:hAnsi="Book Antiqua"/>
          <w:sz w:val="24"/>
          <w:szCs w:val="24"/>
          <w:lang w:val="en-US" w:eastAsia="de-DE"/>
        </w:rPr>
      </w:pPr>
    </w:p>
    <w:p w14:paraId="6B2F447F" w14:textId="7CD2067F" w:rsidR="00A87E25" w:rsidRPr="006479DA" w:rsidRDefault="00A87E25" w:rsidP="00265BAF">
      <w:pPr>
        <w:spacing w:after="0" w:line="360" w:lineRule="auto"/>
        <w:jc w:val="both"/>
        <w:rPr>
          <w:rFonts w:ascii="Book Antiqua" w:eastAsia="MS Mincho" w:hAnsi="Book Antiqua"/>
          <w:sz w:val="24"/>
          <w:szCs w:val="24"/>
          <w:lang w:val="en-US"/>
        </w:rPr>
      </w:pPr>
      <w:r w:rsidRPr="006479DA">
        <w:rPr>
          <w:rFonts w:ascii="Book Antiqua" w:hAnsi="Book Antiqua"/>
          <w:b/>
          <w:sz w:val="24"/>
          <w:szCs w:val="24"/>
          <w:lang w:val="en-US" w:eastAsia="de-DE"/>
        </w:rPr>
        <w:t xml:space="preserve">Supported by </w:t>
      </w:r>
      <w:r w:rsidRPr="006479DA">
        <w:rPr>
          <w:rFonts w:ascii="Book Antiqua" w:hAnsi="Book Antiqua"/>
          <w:sz w:val="24"/>
          <w:szCs w:val="24"/>
          <w:lang w:val="en-US" w:eastAsia="de-DE"/>
        </w:rPr>
        <w:t xml:space="preserve">the </w:t>
      </w:r>
      <w:r w:rsidRPr="006479DA">
        <w:rPr>
          <w:rFonts w:ascii="Book Antiqua" w:eastAsia="MS Mincho" w:hAnsi="Book Antiqua"/>
          <w:sz w:val="24"/>
          <w:szCs w:val="24"/>
          <w:lang w:val="en-US"/>
        </w:rPr>
        <w:t>Federal Ministry of Education and Research (BMBF) Germany (FKZ: 01 E0 1002)</w:t>
      </w:r>
      <w:r w:rsidR="00D20EFF">
        <w:rPr>
          <w:rFonts w:ascii="Book Antiqua" w:eastAsia="SimSun" w:hAnsi="Book Antiqua" w:hint="eastAsia"/>
          <w:sz w:val="24"/>
          <w:szCs w:val="24"/>
          <w:lang w:val="en-US" w:eastAsia="zh-CN"/>
        </w:rPr>
        <w:t xml:space="preserve"> (in part)</w:t>
      </w:r>
      <w:r w:rsidRPr="006479DA">
        <w:rPr>
          <w:rFonts w:ascii="Book Antiqua" w:eastAsia="MS Mincho" w:hAnsi="Book Antiqua"/>
          <w:sz w:val="24"/>
          <w:szCs w:val="24"/>
          <w:lang w:val="en-US"/>
        </w:rPr>
        <w:t xml:space="preserve">. </w:t>
      </w:r>
    </w:p>
    <w:p w14:paraId="6EDADD00" w14:textId="77777777" w:rsidR="00A87E25" w:rsidRPr="006479DA" w:rsidRDefault="00A87E25" w:rsidP="00265BAF">
      <w:pPr>
        <w:spacing w:after="0" w:line="360" w:lineRule="auto"/>
        <w:jc w:val="both"/>
        <w:rPr>
          <w:rFonts w:ascii="Book Antiqua" w:eastAsia="MS Mincho" w:hAnsi="Book Antiqua"/>
          <w:sz w:val="24"/>
          <w:szCs w:val="24"/>
          <w:lang w:val="en-US"/>
        </w:rPr>
      </w:pPr>
    </w:p>
    <w:p w14:paraId="79D72519" w14:textId="5B884495" w:rsidR="00A87E25" w:rsidRPr="006479DA" w:rsidRDefault="00A87E25" w:rsidP="00265BAF">
      <w:pPr>
        <w:spacing w:after="0" w:line="360" w:lineRule="auto"/>
        <w:jc w:val="both"/>
        <w:rPr>
          <w:rFonts w:ascii="Book Antiqua" w:hAnsi="Book Antiqua"/>
          <w:sz w:val="24"/>
          <w:szCs w:val="24"/>
          <w:lang w:val="en-US"/>
        </w:rPr>
      </w:pPr>
      <w:r w:rsidRPr="006479DA">
        <w:rPr>
          <w:rFonts w:ascii="Book Antiqua" w:eastAsia="MS Mincho" w:hAnsi="Book Antiqua"/>
          <w:b/>
          <w:sz w:val="24"/>
          <w:szCs w:val="24"/>
          <w:lang w:val="en-US"/>
        </w:rPr>
        <w:t>Institutional review board statement:</w:t>
      </w:r>
      <w:r w:rsidR="006479DA">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The study protocol and informed consent forms were approved by the Internal Review Board (Ethics Committee of the Friedrich Schiller University Jena, 2931-09/10).</w:t>
      </w:r>
    </w:p>
    <w:p w14:paraId="46BFE92B" w14:textId="77777777" w:rsidR="00A87E25" w:rsidRPr="006479DA" w:rsidRDefault="00A87E25" w:rsidP="00265BAF">
      <w:pPr>
        <w:spacing w:after="0" w:line="360" w:lineRule="auto"/>
        <w:jc w:val="both"/>
        <w:rPr>
          <w:rFonts w:ascii="Book Antiqua" w:eastAsia="SimSun" w:hAnsi="Book Antiqua"/>
          <w:sz w:val="24"/>
          <w:szCs w:val="24"/>
          <w:lang w:val="en-US" w:eastAsia="zh-CN"/>
        </w:rPr>
      </w:pPr>
    </w:p>
    <w:p w14:paraId="32A104CE" w14:textId="60D7C5F8" w:rsidR="00A87E25" w:rsidRPr="006479DA" w:rsidRDefault="00A87E25" w:rsidP="00265BAF">
      <w:pPr>
        <w:spacing w:after="0" w:line="360" w:lineRule="auto"/>
        <w:jc w:val="both"/>
        <w:rPr>
          <w:rFonts w:ascii="Book Antiqua" w:eastAsia="SimSun" w:hAnsi="Book Antiqua"/>
          <w:sz w:val="24"/>
          <w:szCs w:val="24"/>
          <w:lang w:val="en-US" w:eastAsia="zh-CN"/>
        </w:rPr>
      </w:pPr>
      <w:r w:rsidRPr="006479DA">
        <w:rPr>
          <w:rFonts w:ascii="Book Antiqua" w:hAnsi="Book Antiqua"/>
          <w:b/>
          <w:sz w:val="24"/>
          <w:szCs w:val="24"/>
          <w:lang w:val="en-US"/>
        </w:rPr>
        <w:t>Informed consent statement:</w:t>
      </w:r>
      <w:r w:rsidR="006479DA">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Written informed consent was obtained by all patients.</w:t>
      </w:r>
    </w:p>
    <w:p w14:paraId="1F886CEE" w14:textId="77777777" w:rsidR="00A87E25" w:rsidRPr="006479DA" w:rsidRDefault="00A87E25" w:rsidP="00265BAF">
      <w:pPr>
        <w:spacing w:after="0" w:line="360" w:lineRule="auto"/>
        <w:jc w:val="both"/>
        <w:rPr>
          <w:rFonts w:ascii="Book Antiqua" w:eastAsia="SimSun" w:hAnsi="Book Antiqua"/>
          <w:b/>
          <w:sz w:val="24"/>
          <w:szCs w:val="24"/>
          <w:lang w:val="en-US" w:eastAsia="zh-CN"/>
        </w:rPr>
      </w:pPr>
    </w:p>
    <w:p w14:paraId="1BBBB76B" w14:textId="2707EBBD" w:rsidR="00A87E25" w:rsidRPr="006479DA" w:rsidRDefault="00A87E25" w:rsidP="00265BAF">
      <w:pPr>
        <w:spacing w:after="0" w:line="360" w:lineRule="auto"/>
        <w:jc w:val="both"/>
        <w:rPr>
          <w:rFonts w:ascii="Book Antiqua" w:eastAsia="MS Mincho" w:hAnsi="Book Antiqua"/>
          <w:sz w:val="24"/>
          <w:szCs w:val="24"/>
          <w:lang w:val="en-US"/>
        </w:rPr>
      </w:pPr>
      <w:r w:rsidRPr="006479DA">
        <w:rPr>
          <w:rFonts w:ascii="Book Antiqua" w:hAnsi="Book Antiqua"/>
          <w:b/>
          <w:sz w:val="24"/>
          <w:szCs w:val="24"/>
          <w:lang w:val="en-US" w:eastAsia="de-DE"/>
        </w:rPr>
        <w:t xml:space="preserve">Conflict of interest statement: </w:t>
      </w:r>
      <w:r w:rsidRPr="006479DA">
        <w:rPr>
          <w:rFonts w:ascii="Book Antiqua" w:eastAsia="MS Mincho" w:hAnsi="Book Antiqua"/>
          <w:sz w:val="24"/>
          <w:szCs w:val="24"/>
          <w:lang w:val="en-US"/>
        </w:rPr>
        <w:t>The authors declare that there are no conflicts of interest with respect to this manuscript.</w:t>
      </w:r>
    </w:p>
    <w:p w14:paraId="770F646D" w14:textId="77777777" w:rsidR="00A87E25" w:rsidRPr="006479DA" w:rsidRDefault="00A87E25" w:rsidP="00265BAF">
      <w:pPr>
        <w:spacing w:after="0" w:line="360" w:lineRule="auto"/>
        <w:jc w:val="both"/>
        <w:rPr>
          <w:rFonts w:ascii="Book Antiqua" w:eastAsia="MS Mincho" w:hAnsi="Book Antiqua"/>
          <w:sz w:val="24"/>
          <w:szCs w:val="24"/>
          <w:lang w:val="en-US"/>
        </w:rPr>
      </w:pPr>
    </w:p>
    <w:p w14:paraId="4703F196" w14:textId="3D51D7EF" w:rsidR="00A87E25" w:rsidRPr="006479DA" w:rsidRDefault="00A87E25" w:rsidP="00265BAF">
      <w:pPr>
        <w:spacing w:after="0" w:line="360" w:lineRule="auto"/>
        <w:jc w:val="both"/>
        <w:rPr>
          <w:rFonts w:ascii="Book Antiqua" w:hAnsi="Book Antiqua"/>
          <w:b/>
          <w:sz w:val="24"/>
          <w:szCs w:val="24"/>
          <w:lang w:val="en-US"/>
        </w:rPr>
      </w:pPr>
      <w:r w:rsidRPr="006479DA">
        <w:rPr>
          <w:rFonts w:ascii="Book Antiqua" w:eastAsia="MS Mincho" w:hAnsi="Book Antiqua"/>
          <w:b/>
          <w:sz w:val="24"/>
          <w:szCs w:val="24"/>
          <w:lang w:val="en-US"/>
        </w:rPr>
        <w:t>Data sharing statement</w:t>
      </w:r>
      <w:r w:rsidRPr="006479DA">
        <w:rPr>
          <w:rFonts w:ascii="Book Antiqua" w:eastAsia="MS Mincho" w:hAnsi="Book Antiqua"/>
          <w:sz w:val="24"/>
          <w:szCs w:val="24"/>
          <w:lang w:val="en-US"/>
        </w:rPr>
        <w:t>: The data are provided within this manuscript.</w:t>
      </w:r>
    </w:p>
    <w:p w14:paraId="6C82ABE4" w14:textId="77777777" w:rsidR="00A87E25" w:rsidRDefault="00A87E25" w:rsidP="00265BAF">
      <w:pPr>
        <w:spacing w:after="0" w:line="360" w:lineRule="auto"/>
        <w:jc w:val="both"/>
        <w:rPr>
          <w:rFonts w:ascii="Book Antiqua" w:eastAsia="SimSun" w:hAnsi="Book Antiqua"/>
          <w:sz w:val="24"/>
          <w:szCs w:val="24"/>
          <w:lang w:val="en-US" w:eastAsia="zh-CN"/>
        </w:rPr>
      </w:pPr>
    </w:p>
    <w:p w14:paraId="5E468733" w14:textId="77777777" w:rsidR="006479DA" w:rsidRPr="00005305" w:rsidRDefault="006479DA" w:rsidP="00265BAF">
      <w:pPr>
        <w:pStyle w:val="1"/>
        <w:spacing w:line="360" w:lineRule="auto"/>
        <w:jc w:val="both"/>
        <w:rPr>
          <w:rFonts w:ascii="Book Antiqua" w:hAnsi="Book Antiqua" w:cs="Times New Roman"/>
          <w:bCs/>
          <w:color w:val="auto"/>
          <w:sz w:val="24"/>
          <w:highlight w:val="white"/>
          <w:lang w:val="en-US"/>
        </w:rPr>
      </w:pPr>
      <w:bookmarkStart w:id="1" w:name="OLE_LINK441"/>
      <w:bookmarkStart w:id="2" w:name="OLE_LINK442"/>
      <w:bookmarkStart w:id="3" w:name="OLE_LINK1032"/>
      <w:bookmarkStart w:id="4"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5" w:name="OLE_LINK479"/>
      <w:bookmarkStart w:id="6" w:name="OLE_LINK496"/>
      <w:bookmarkStart w:id="7" w:name="OLE_LINK506"/>
      <w:bookmarkStart w:id="8"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olor w:val="auto"/>
            <w:sz w:val="24"/>
            <w:highlight w:val="white"/>
            <w:lang w:val="en-US"/>
          </w:rPr>
          <w:t>http://creativecommons.org/licenses/by-nc/4.0/</w:t>
        </w:r>
      </w:hyperlink>
      <w:bookmarkEnd w:id="5"/>
      <w:bookmarkEnd w:id="6"/>
      <w:bookmarkEnd w:id="7"/>
      <w:bookmarkEnd w:id="8"/>
    </w:p>
    <w:bookmarkEnd w:id="1"/>
    <w:bookmarkEnd w:id="2"/>
    <w:bookmarkEnd w:id="3"/>
    <w:bookmarkEnd w:id="4"/>
    <w:p w14:paraId="15BBFB99" w14:textId="77777777" w:rsidR="006479DA" w:rsidRPr="006479DA" w:rsidRDefault="006479DA" w:rsidP="00265BAF">
      <w:pPr>
        <w:spacing w:after="0" w:line="360" w:lineRule="auto"/>
        <w:jc w:val="both"/>
        <w:rPr>
          <w:rFonts w:ascii="Book Antiqua" w:eastAsia="SimSun" w:hAnsi="Book Antiqua"/>
          <w:sz w:val="24"/>
          <w:szCs w:val="24"/>
          <w:lang w:val="en-US" w:eastAsia="zh-CN"/>
        </w:rPr>
      </w:pPr>
    </w:p>
    <w:p w14:paraId="50B90EC5" w14:textId="6AD4A15E" w:rsidR="00A87E25" w:rsidRPr="006479DA" w:rsidRDefault="006479DA" w:rsidP="00265BAF">
      <w:pPr>
        <w:pStyle w:val="1"/>
        <w:spacing w:line="360" w:lineRule="auto"/>
        <w:jc w:val="both"/>
        <w:rPr>
          <w:rFonts w:ascii="Book Antiqua" w:hAnsi="Book Antiqua" w:cs="Times New Roman"/>
          <w:b/>
          <w:bCs/>
          <w:color w:val="FF0000"/>
          <w:sz w:val="24"/>
          <w:highlight w:val="white"/>
          <w:lang w:val="en-US" w:eastAsia="zh-CN"/>
        </w:rPr>
      </w:pPr>
      <w:bookmarkStart w:id="9" w:name="OLE_LINK294"/>
      <w:bookmarkStart w:id="10" w:name="OLE_LINK295"/>
      <w:bookmarkStart w:id="11" w:name="OLE_LINK152"/>
      <w:bookmarkStart w:id="12" w:name="OLE_LINK153"/>
      <w:r w:rsidRPr="006479DA">
        <w:rPr>
          <w:rFonts w:ascii="Book Antiqua" w:hAnsi="Book Antiqua" w:cs="Times New Roman"/>
          <w:b/>
          <w:bCs/>
          <w:color w:val="auto"/>
          <w:sz w:val="24"/>
          <w:highlight w:val="white"/>
          <w:lang w:val="en-US" w:eastAsia="zh-CN"/>
        </w:rPr>
        <w:t>Correspondence to:</w:t>
      </w:r>
      <w:bookmarkEnd w:id="9"/>
      <w:bookmarkEnd w:id="10"/>
      <w:bookmarkEnd w:id="11"/>
      <w:bookmarkEnd w:id="12"/>
      <w:r w:rsidRPr="006479DA">
        <w:rPr>
          <w:rFonts w:ascii="Book Antiqua" w:hAnsi="Book Antiqua" w:cs="Times New Roman" w:hint="eastAsia"/>
          <w:b/>
          <w:bCs/>
          <w:color w:val="auto"/>
          <w:sz w:val="24"/>
          <w:lang w:val="en-US" w:eastAsia="zh-CN"/>
        </w:rPr>
        <w:t xml:space="preserve"> </w:t>
      </w:r>
      <w:r w:rsidRPr="006479DA">
        <w:rPr>
          <w:rFonts w:ascii="Book Antiqua" w:eastAsia="Arial Unicode MS" w:hAnsi="Book Antiqua" w:hint="eastAsia"/>
          <w:b/>
          <w:color w:val="000000" w:themeColor="text1"/>
          <w:sz w:val="24"/>
          <w:szCs w:val="24"/>
          <w:lang w:val="en-US" w:eastAsia="zh-CN"/>
        </w:rPr>
        <w:t xml:space="preserve">Dr. </w:t>
      </w:r>
      <w:r w:rsidR="00A87E25" w:rsidRPr="006479DA">
        <w:rPr>
          <w:rFonts w:ascii="Book Antiqua" w:eastAsia="Arial Unicode MS" w:hAnsi="Book Antiqua"/>
          <w:b/>
          <w:color w:val="000000" w:themeColor="text1"/>
          <w:sz w:val="24"/>
          <w:szCs w:val="24"/>
          <w:lang w:val="en-US"/>
        </w:rPr>
        <w:t>Tony Bruns,</w:t>
      </w:r>
      <w:r w:rsidR="00A87E25" w:rsidRPr="00C677E4">
        <w:rPr>
          <w:rFonts w:ascii="Book Antiqua" w:eastAsia="Arial Unicode MS" w:hAnsi="Book Antiqua"/>
          <w:b/>
          <w:color w:val="000000" w:themeColor="text1"/>
          <w:sz w:val="24"/>
          <w:szCs w:val="24"/>
          <w:lang w:val="en-US"/>
        </w:rPr>
        <w:t xml:space="preserve"> </w:t>
      </w:r>
      <w:r w:rsidR="00C677E4" w:rsidRPr="00C677E4">
        <w:rPr>
          <w:rFonts w:ascii="Book Antiqua" w:eastAsia="Arial Unicode MS" w:hAnsi="Book Antiqua" w:hint="eastAsia"/>
          <w:b/>
          <w:color w:val="000000" w:themeColor="text1"/>
          <w:sz w:val="24"/>
          <w:szCs w:val="24"/>
          <w:lang w:val="en-US" w:eastAsia="zh-CN"/>
        </w:rPr>
        <w:t>MD,</w:t>
      </w:r>
      <w:r w:rsidR="00C677E4">
        <w:rPr>
          <w:rFonts w:ascii="Book Antiqua" w:eastAsia="Arial Unicode MS" w:hAnsi="Book Antiqua" w:hint="eastAsia"/>
          <w:color w:val="000000" w:themeColor="text1"/>
          <w:sz w:val="24"/>
          <w:szCs w:val="24"/>
          <w:lang w:val="en-US" w:eastAsia="zh-CN"/>
        </w:rPr>
        <w:t xml:space="preserve"> </w:t>
      </w:r>
      <w:r w:rsidR="00A87E25" w:rsidRPr="006479DA">
        <w:rPr>
          <w:rFonts w:ascii="Book Antiqua" w:eastAsia="Arial Unicode MS" w:hAnsi="Book Antiqua"/>
          <w:color w:val="000000" w:themeColor="text1"/>
          <w:sz w:val="24"/>
          <w:szCs w:val="24"/>
          <w:lang w:val="en-US"/>
        </w:rPr>
        <w:t>Department of Internal Medicine IV</w:t>
      </w:r>
      <w:r w:rsidR="00185F97" w:rsidRPr="006479DA">
        <w:rPr>
          <w:rFonts w:ascii="Book Antiqua" w:hAnsi="Book Antiqua"/>
          <w:sz w:val="24"/>
          <w:szCs w:val="24"/>
          <w:lang w:val="en-US"/>
        </w:rPr>
        <w:t xml:space="preserve"> (Gastroenterology, Hepatology, and Infectious Diseases)</w:t>
      </w:r>
      <w:r w:rsidR="00A87E25" w:rsidRPr="006479DA">
        <w:rPr>
          <w:rFonts w:ascii="Book Antiqua" w:eastAsia="Arial Unicode MS" w:hAnsi="Book Antiqua"/>
          <w:color w:val="000000" w:themeColor="text1"/>
          <w:sz w:val="24"/>
          <w:szCs w:val="24"/>
          <w:lang w:val="en-US"/>
        </w:rPr>
        <w:t xml:space="preserve">, Jena University Hospital, University of Jena, Erlanger Allee 101, 07740 Jena, Germany. </w:t>
      </w:r>
      <w:hyperlink r:id="rId9" w:history="1">
        <w:r w:rsidR="00FE7211" w:rsidRPr="006479DA">
          <w:rPr>
            <w:rStyle w:val="Hyperlink"/>
            <w:rFonts w:ascii="Book Antiqua" w:eastAsia="Arial Unicode MS" w:hAnsi="Book Antiqua"/>
            <w:color w:val="auto"/>
            <w:sz w:val="24"/>
            <w:szCs w:val="24"/>
            <w:u w:val="none"/>
            <w:lang w:val="en-US"/>
          </w:rPr>
          <w:t>tony.bruns@med.uni-jena.de</w:t>
        </w:r>
      </w:hyperlink>
    </w:p>
    <w:p w14:paraId="35BAA187" w14:textId="2F7D10EF" w:rsidR="00A87E25" w:rsidRPr="006479DA" w:rsidRDefault="00A87E25" w:rsidP="00265BAF">
      <w:pPr>
        <w:spacing w:after="0" w:line="360" w:lineRule="auto"/>
        <w:jc w:val="both"/>
        <w:rPr>
          <w:rFonts w:ascii="Book Antiqua" w:eastAsia="Arial Unicode MS" w:hAnsi="Book Antiqua"/>
          <w:color w:val="000000" w:themeColor="text1"/>
          <w:sz w:val="24"/>
          <w:szCs w:val="24"/>
          <w:lang w:val="en-US"/>
        </w:rPr>
      </w:pPr>
      <w:r w:rsidRPr="006479DA">
        <w:rPr>
          <w:rFonts w:ascii="Book Antiqua" w:eastAsia="Arial Unicode MS" w:hAnsi="Book Antiqua"/>
          <w:b/>
          <w:color w:val="000000" w:themeColor="text1"/>
          <w:sz w:val="24"/>
          <w:szCs w:val="24"/>
          <w:lang w:val="en-US"/>
        </w:rPr>
        <w:t>Telephone:</w:t>
      </w:r>
      <w:r w:rsidRPr="006479DA">
        <w:rPr>
          <w:rFonts w:ascii="Book Antiqua" w:eastAsia="Arial Unicode MS" w:hAnsi="Book Antiqua"/>
          <w:color w:val="000000" w:themeColor="text1"/>
          <w:sz w:val="24"/>
          <w:szCs w:val="24"/>
          <w:lang w:val="en-US"/>
        </w:rPr>
        <w:t xml:space="preserve"> +49</w:t>
      </w:r>
      <w:r w:rsidR="006479DA">
        <w:rPr>
          <w:rFonts w:ascii="Book Antiqua" w:eastAsia="Arial Unicode MS" w:hAnsi="Book Antiqua" w:hint="eastAsia"/>
          <w:color w:val="000000" w:themeColor="text1"/>
          <w:sz w:val="24"/>
          <w:szCs w:val="24"/>
          <w:lang w:val="en-US" w:eastAsia="zh-CN"/>
        </w:rPr>
        <w:t>-</w:t>
      </w:r>
      <w:r w:rsidRPr="006479DA">
        <w:rPr>
          <w:rFonts w:ascii="Book Antiqua" w:eastAsia="Arial Unicode MS" w:hAnsi="Book Antiqua"/>
          <w:color w:val="000000" w:themeColor="text1"/>
          <w:sz w:val="24"/>
          <w:szCs w:val="24"/>
          <w:lang w:val="en-US"/>
        </w:rPr>
        <w:t>3641</w:t>
      </w:r>
      <w:r w:rsidR="006479DA">
        <w:rPr>
          <w:rFonts w:ascii="Book Antiqua" w:eastAsia="Arial Unicode MS" w:hAnsi="Book Antiqua" w:hint="eastAsia"/>
          <w:color w:val="000000" w:themeColor="text1"/>
          <w:sz w:val="24"/>
          <w:szCs w:val="24"/>
          <w:lang w:val="en-US" w:eastAsia="zh-CN"/>
        </w:rPr>
        <w:t>-</w:t>
      </w:r>
      <w:r w:rsidRPr="006479DA">
        <w:rPr>
          <w:rFonts w:ascii="Book Antiqua" w:eastAsia="Arial Unicode MS" w:hAnsi="Book Antiqua"/>
          <w:color w:val="000000" w:themeColor="text1"/>
          <w:sz w:val="24"/>
          <w:szCs w:val="24"/>
          <w:lang w:val="en-US"/>
        </w:rPr>
        <w:t>9324221</w:t>
      </w:r>
    </w:p>
    <w:p w14:paraId="7D607BAC" w14:textId="7760FF71" w:rsidR="00A87E25" w:rsidRDefault="00A87E25" w:rsidP="00265BAF">
      <w:pPr>
        <w:spacing w:after="0" w:line="360" w:lineRule="auto"/>
        <w:jc w:val="both"/>
        <w:rPr>
          <w:rFonts w:ascii="Book Antiqua" w:eastAsia="Arial Unicode MS" w:hAnsi="Book Antiqua"/>
          <w:color w:val="000000" w:themeColor="text1"/>
          <w:sz w:val="24"/>
          <w:szCs w:val="24"/>
          <w:lang w:val="en-US" w:eastAsia="zh-CN"/>
        </w:rPr>
      </w:pPr>
      <w:r w:rsidRPr="006479DA">
        <w:rPr>
          <w:rFonts w:ascii="Book Antiqua" w:eastAsia="Arial Unicode MS" w:hAnsi="Book Antiqua"/>
          <w:b/>
          <w:color w:val="000000" w:themeColor="text1"/>
          <w:sz w:val="24"/>
          <w:szCs w:val="24"/>
          <w:lang w:val="en-US"/>
        </w:rPr>
        <w:t>Fax</w:t>
      </w:r>
      <w:r w:rsidRPr="006479DA">
        <w:rPr>
          <w:rFonts w:ascii="Book Antiqua" w:eastAsia="Arial Unicode MS" w:hAnsi="Book Antiqua"/>
          <w:color w:val="000000" w:themeColor="text1"/>
          <w:sz w:val="24"/>
          <w:szCs w:val="24"/>
          <w:lang w:val="en-US"/>
        </w:rPr>
        <w:t>: +49</w:t>
      </w:r>
      <w:r w:rsidR="006479DA">
        <w:rPr>
          <w:rFonts w:ascii="Book Antiqua" w:eastAsia="Arial Unicode MS" w:hAnsi="Book Antiqua" w:hint="eastAsia"/>
          <w:color w:val="000000" w:themeColor="text1"/>
          <w:sz w:val="24"/>
          <w:szCs w:val="24"/>
          <w:lang w:val="en-US" w:eastAsia="zh-CN"/>
        </w:rPr>
        <w:t>-</w:t>
      </w:r>
      <w:r w:rsidRPr="006479DA">
        <w:rPr>
          <w:rFonts w:ascii="Book Antiqua" w:eastAsia="Arial Unicode MS" w:hAnsi="Book Antiqua"/>
          <w:color w:val="000000" w:themeColor="text1"/>
          <w:sz w:val="24"/>
          <w:szCs w:val="24"/>
          <w:lang w:val="en-US"/>
        </w:rPr>
        <w:t>3641</w:t>
      </w:r>
      <w:r w:rsidR="006479DA">
        <w:rPr>
          <w:rFonts w:ascii="Book Antiqua" w:eastAsia="Arial Unicode MS" w:hAnsi="Book Antiqua" w:hint="eastAsia"/>
          <w:color w:val="000000" w:themeColor="text1"/>
          <w:sz w:val="24"/>
          <w:szCs w:val="24"/>
          <w:lang w:val="en-US" w:eastAsia="zh-CN"/>
        </w:rPr>
        <w:t>-</w:t>
      </w:r>
      <w:r w:rsidRPr="006479DA">
        <w:rPr>
          <w:rFonts w:ascii="Book Antiqua" w:eastAsia="Arial Unicode MS" w:hAnsi="Book Antiqua"/>
          <w:color w:val="000000" w:themeColor="text1"/>
          <w:sz w:val="24"/>
          <w:szCs w:val="24"/>
          <w:lang w:val="en-US"/>
        </w:rPr>
        <w:t xml:space="preserve">9324222 </w:t>
      </w:r>
    </w:p>
    <w:p w14:paraId="094990F8" w14:textId="77777777" w:rsidR="006479DA" w:rsidRDefault="006479DA" w:rsidP="00265BAF">
      <w:pPr>
        <w:spacing w:after="0" w:line="360" w:lineRule="auto"/>
        <w:jc w:val="both"/>
        <w:rPr>
          <w:rFonts w:ascii="Book Antiqua" w:eastAsia="Arial Unicode MS" w:hAnsi="Book Antiqua"/>
          <w:color w:val="000000" w:themeColor="text1"/>
          <w:sz w:val="24"/>
          <w:szCs w:val="24"/>
          <w:lang w:val="en-US" w:eastAsia="zh-CN"/>
        </w:rPr>
      </w:pPr>
    </w:p>
    <w:p w14:paraId="195C71B0" w14:textId="12899D83" w:rsidR="006479DA" w:rsidRPr="006479DA" w:rsidRDefault="006479DA" w:rsidP="00265BAF">
      <w:pPr>
        <w:spacing w:after="0" w:line="360" w:lineRule="auto"/>
        <w:contextualSpacing/>
        <w:rPr>
          <w:rFonts w:ascii="Book Antiqua" w:eastAsia="SimSun" w:hAnsi="Book Antiqua"/>
          <w:b/>
          <w:sz w:val="24"/>
          <w:szCs w:val="24"/>
          <w:lang w:eastAsia="zh-CN"/>
        </w:rPr>
      </w:pPr>
      <w:r w:rsidRPr="00596D3F">
        <w:rPr>
          <w:rFonts w:ascii="Book Antiqua" w:hAnsi="Book Antiqua"/>
          <w:b/>
          <w:sz w:val="24"/>
          <w:szCs w:val="24"/>
        </w:rPr>
        <w:t>Received:</w:t>
      </w:r>
      <w:r>
        <w:rPr>
          <w:rFonts w:ascii="Book Antiqua" w:hAnsi="Book Antiqua" w:hint="eastAsia"/>
          <w:b/>
          <w:sz w:val="24"/>
          <w:szCs w:val="24"/>
        </w:rPr>
        <w:t xml:space="preserve"> </w:t>
      </w:r>
      <w:r w:rsidRPr="006479DA">
        <w:rPr>
          <w:rFonts w:ascii="Book Antiqua" w:eastAsia="SimSun" w:hAnsi="Book Antiqua" w:hint="eastAsia"/>
          <w:sz w:val="24"/>
          <w:szCs w:val="24"/>
          <w:lang w:eastAsia="zh-CN"/>
        </w:rPr>
        <w:t>July 1, 2015</w:t>
      </w:r>
    </w:p>
    <w:p w14:paraId="0A82292F" w14:textId="0BF14F73" w:rsidR="006479DA" w:rsidRPr="00596D3F" w:rsidRDefault="006479DA" w:rsidP="00265BAF">
      <w:pPr>
        <w:spacing w:after="0" w:line="360" w:lineRule="auto"/>
        <w:contextualSpacing/>
        <w:rPr>
          <w:rFonts w:ascii="Book Antiqua" w:hAnsi="Book Antiqua"/>
          <w:b/>
          <w:sz w:val="24"/>
          <w:szCs w:val="24"/>
        </w:rPr>
      </w:pPr>
      <w:r w:rsidRPr="00596D3F">
        <w:rPr>
          <w:rFonts w:ascii="Book Antiqua" w:hAnsi="Book Antiqua"/>
          <w:b/>
          <w:sz w:val="24"/>
          <w:szCs w:val="24"/>
        </w:rPr>
        <w:t>Peer-review started:</w:t>
      </w:r>
      <w:r>
        <w:rPr>
          <w:rFonts w:ascii="Book Antiqua" w:hAnsi="Book Antiqua" w:hint="eastAsia"/>
          <w:b/>
          <w:sz w:val="24"/>
          <w:szCs w:val="24"/>
        </w:rPr>
        <w:t xml:space="preserve"> </w:t>
      </w:r>
      <w:r w:rsidRPr="006479DA">
        <w:rPr>
          <w:rFonts w:ascii="Book Antiqua" w:eastAsia="SimSun" w:hAnsi="Book Antiqua" w:hint="eastAsia"/>
          <w:sz w:val="24"/>
          <w:szCs w:val="24"/>
          <w:lang w:eastAsia="zh-CN"/>
        </w:rPr>
        <w:t xml:space="preserve">July </w:t>
      </w:r>
      <w:r>
        <w:rPr>
          <w:rFonts w:ascii="Book Antiqua" w:eastAsia="SimSun" w:hAnsi="Book Antiqua" w:hint="eastAsia"/>
          <w:sz w:val="24"/>
          <w:szCs w:val="24"/>
          <w:lang w:eastAsia="zh-CN"/>
        </w:rPr>
        <w:t>4</w:t>
      </w:r>
      <w:r w:rsidRPr="006479DA">
        <w:rPr>
          <w:rFonts w:ascii="Book Antiqua" w:eastAsia="SimSun" w:hAnsi="Book Antiqua" w:hint="eastAsia"/>
          <w:sz w:val="24"/>
          <w:szCs w:val="24"/>
          <w:lang w:eastAsia="zh-CN"/>
        </w:rPr>
        <w:t>, 2015</w:t>
      </w:r>
    </w:p>
    <w:p w14:paraId="3E72A50D" w14:textId="438194D7" w:rsidR="006479DA" w:rsidRPr="006479DA" w:rsidRDefault="006479DA" w:rsidP="00265BAF">
      <w:pPr>
        <w:spacing w:after="0" w:line="360" w:lineRule="auto"/>
        <w:contextualSpacing/>
        <w:rPr>
          <w:rFonts w:ascii="Book Antiqua" w:eastAsia="SimSun" w:hAnsi="Book Antiqua"/>
          <w:b/>
          <w:sz w:val="24"/>
          <w:szCs w:val="24"/>
          <w:lang w:eastAsia="zh-CN"/>
        </w:rPr>
      </w:pPr>
      <w:r w:rsidRPr="00596D3F">
        <w:rPr>
          <w:rFonts w:ascii="Book Antiqua" w:hAnsi="Book Antiqua"/>
          <w:b/>
          <w:sz w:val="24"/>
          <w:szCs w:val="24"/>
        </w:rPr>
        <w:t>First decision:</w:t>
      </w:r>
      <w:r>
        <w:rPr>
          <w:rFonts w:ascii="Book Antiqua" w:hAnsi="Book Antiqua" w:hint="eastAsia"/>
          <w:b/>
          <w:sz w:val="24"/>
          <w:szCs w:val="24"/>
        </w:rPr>
        <w:t xml:space="preserve"> </w:t>
      </w:r>
      <w:r w:rsidRPr="006479DA">
        <w:rPr>
          <w:rFonts w:ascii="Book Antiqua" w:eastAsia="SimSun" w:hAnsi="Book Antiqua" w:hint="eastAsia"/>
          <w:sz w:val="24"/>
          <w:szCs w:val="24"/>
          <w:lang w:eastAsia="zh-CN"/>
        </w:rPr>
        <w:t>September 29, 2015</w:t>
      </w:r>
    </w:p>
    <w:p w14:paraId="4F32A74F" w14:textId="021CF97F" w:rsidR="006479DA" w:rsidRPr="006479DA" w:rsidRDefault="006479DA" w:rsidP="00265BAF">
      <w:pPr>
        <w:spacing w:after="0" w:line="360" w:lineRule="auto"/>
        <w:contextualSpacing/>
        <w:rPr>
          <w:rFonts w:ascii="Book Antiqua" w:eastAsia="SimSun" w:hAnsi="Book Antiqua"/>
          <w:b/>
          <w:sz w:val="24"/>
          <w:szCs w:val="24"/>
          <w:lang w:eastAsia="zh-CN"/>
        </w:rPr>
      </w:pPr>
      <w:r w:rsidRPr="00596D3F">
        <w:rPr>
          <w:rFonts w:ascii="Book Antiqua" w:hAnsi="Book Antiqua"/>
          <w:b/>
          <w:sz w:val="24"/>
          <w:szCs w:val="24"/>
        </w:rPr>
        <w:t>Revised:</w:t>
      </w:r>
      <w:r w:rsidR="00A967AE">
        <w:rPr>
          <w:rFonts w:ascii="Book Antiqua" w:eastAsia="SimSun" w:hAnsi="Book Antiqua" w:hint="eastAsia"/>
          <w:b/>
          <w:sz w:val="24"/>
          <w:szCs w:val="24"/>
          <w:lang w:eastAsia="zh-CN"/>
        </w:rPr>
        <w:t xml:space="preserve"> </w:t>
      </w:r>
      <w:r w:rsidRPr="00A967AE">
        <w:rPr>
          <w:rFonts w:ascii="Book Antiqua" w:eastAsia="SimSun" w:hAnsi="Book Antiqua" w:hint="eastAsia"/>
          <w:sz w:val="24"/>
          <w:szCs w:val="24"/>
          <w:lang w:eastAsia="zh-CN"/>
        </w:rPr>
        <w:t xml:space="preserve">October </w:t>
      </w:r>
      <w:r w:rsidR="00A967AE" w:rsidRPr="00A967AE">
        <w:rPr>
          <w:rFonts w:ascii="Book Antiqua" w:eastAsia="SimSun" w:hAnsi="Book Antiqua" w:hint="eastAsia"/>
          <w:sz w:val="24"/>
          <w:szCs w:val="24"/>
          <w:lang w:eastAsia="zh-CN"/>
        </w:rPr>
        <w:t>20, 2015</w:t>
      </w:r>
    </w:p>
    <w:p w14:paraId="65495564" w14:textId="473B39EB" w:rsidR="006479DA" w:rsidRPr="008F3878" w:rsidRDefault="006479DA" w:rsidP="008F3878">
      <w:pPr>
        <w:spacing w:line="360" w:lineRule="auto"/>
        <w:rPr>
          <w:rFonts w:ascii="Book Antiqua" w:hAnsi="Book Antiqua"/>
          <w:color w:val="000000"/>
          <w:sz w:val="24"/>
        </w:rPr>
      </w:pPr>
      <w:r w:rsidRPr="00596D3F">
        <w:rPr>
          <w:rFonts w:ascii="Book Antiqua" w:hAnsi="Book Antiqua"/>
          <w:b/>
          <w:sz w:val="24"/>
          <w:szCs w:val="24"/>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8"/>
      <w:bookmarkStart w:id="22" w:name="OLE_LINK119"/>
      <w:bookmarkStart w:id="23" w:name="OLE_LINK121"/>
      <w:bookmarkStart w:id="24" w:name="OLE_LINK122"/>
      <w:bookmarkStart w:id="25" w:name="OLE_LINK125"/>
      <w:bookmarkStart w:id="26" w:name="OLE_LINK126"/>
      <w:bookmarkStart w:id="27" w:name="OLE_LINK127"/>
      <w:bookmarkStart w:id="28" w:name="OLE_LINK129"/>
      <w:bookmarkStart w:id="29" w:name="OLE_LINK132"/>
      <w:bookmarkStart w:id="30" w:name="OLE_LINK134"/>
      <w:bookmarkStart w:id="31" w:name="OLE_LINK135"/>
      <w:bookmarkStart w:id="32" w:name="OLE_LINK136"/>
      <w:bookmarkStart w:id="33" w:name="OLE_LINK137"/>
      <w:bookmarkStart w:id="34" w:name="OLE_LINK138"/>
      <w:bookmarkStart w:id="35" w:name="OLE_LINK139"/>
      <w:bookmarkStart w:id="36" w:name="OLE_LINK141"/>
      <w:bookmarkStart w:id="37" w:name="OLE_LINK142"/>
      <w:bookmarkStart w:id="38" w:name="OLE_LINK143"/>
      <w:bookmarkStart w:id="39" w:name="OLE_LINK144"/>
      <w:bookmarkStart w:id="40" w:name="OLE_LINK145"/>
      <w:bookmarkStart w:id="41" w:name="OLE_LINK146"/>
      <w:bookmarkStart w:id="42" w:name="OLE_LINK147"/>
      <w:r w:rsidR="008F3878" w:rsidRPr="008F3878">
        <w:rPr>
          <w:rFonts w:ascii="Book Antiqua" w:hAnsi="Book Antiqua"/>
          <w:color w:val="000000"/>
          <w:sz w:val="24"/>
        </w:rPr>
        <w:t xml:space="preserve"> </w:t>
      </w:r>
      <w:r w:rsidR="008F3878">
        <w:rPr>
          <w:rFonts w:ascii="Book Antiqua" w:hAnsi="Book Antiqua"/>
          <w:color w:val="000000"/>
          <w:sz w:val="24"/>
        </w:rPr>
        <w:t>December 30</w:t>
      </w:r>
      <w:r w:rsidR="008F3878" w:rsidRPr="002A2EC8">
        <w:rPr>
          <w:rFonts w:ascii="Book Antiqua" w:hAnsi="Book Antiqua"/>
          <w:color w:val="000000"/>
          <w:sz w:val="24"/>
        </w:rPr>
        <w:t>, 2015</w:t>
      </w:r>
      <w:bookmarkStart w:id="43"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95DD969" w14:textId="77777777" w:rsidR="006479DA" w:rsidRPr="00596D3F" w:rsidRDefault="006479DA" w:rsidP="00265BAF">
      <w:pPr>
        <w:spacing w:after="0" w:line="360" w:lineRule="auto"/>
        <w:contextualSpacing/>
        <w:rPr>
          <w:rFonts w:ascii="Book Antiqua" w:hAnsi="Book Antiqua"/>
          <w:b/>
          <w:sz w:val="24"/>
          <w:szCs w:val="24"/>
        </w:rPr>
      </w:pPr>
      <w:r w:rsidRPr="00596D3F">
        <w:rPr>
          <w:rFonts w:ascii="Book Antiqua" w:hAnsi="Book Antiqua"/>
          <w:b/>
          <w:sz w:val="24"/>
          <w:szCs w:val="24"/>
        </w:rPr>
        <w:t>Article in press:</w:t>
      </w:r>
    </w:p>
    <w:p w14:paraId="306A6331" w14:textId="77777777" w:rsidR="006479DA" w:rsidRDefault="006479DA" w:rsidP="00265BAF">
      <w:pPr>
        <w:pStyle w:val="1"/>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14:paraId="664B2C4B" w14:textId="77777777" w:rsidR="006479DA" w:rsidRPr="006479DA" w:rsidRDefault="006479DA" w:rsidP="00265BAF">
      <w:pPr>
        <w:spacing w:after="0" w:line="360" w:lineRule="auto"/>
        <w:jc w:val="both"/>
        <w:rPr>
          <w:rStyle w:val="Hyperlink"/>
          <w:rFonts w:ascii="Book Antiqua" w:eastAsia="Arial Unicode MS" w:hAnsi="Book Antiqua"/>
          <w:sz w:val="24"/>
          <w:szCs w:val="24"/>
          <w:lang w:val="en-US" w:eastAsia="zh-CN"/>
        </w:rPr>
      </w:pPr>
    </w:p>
    <w:p w14:paraId="40B62CB7" w14:textId="17E32F47" w:rsidR="00A87E25" w:rsidRPr="006479DA" w:rsidRDefault="00A87E25" w:rsidP="00265BAF">
      <w:pPr>
        <w:spacing w:after="0" w:line="360" w:lineRule="auto"/>
        <w:jc w:val="both"/>
        <w:rPr>
          <w:rFonts w:ascii="Book Antiqua" w:eastAsia="SimSun" w:hAnsi="Book Antiqua"/>
          <w:sz w:val="24"/>
          <w:szCs w:val="24"/>
          <w:u w:val="single"/>
          <w:lang w:val="en-US" w:eastAsia="zh-CN"/>
        </w:rPr>
      </w:pPr>
      <w:r w:rsidRPr="006479DA">
        <w:rPr>
          <w:rStyle w:val="Hyperlink"/>
          <w:rFonts w:ascii="Book Antiqua" w:eastAsia="Arial Unicode MS" w:hAnsi="Book Antiqua"/>
          <w:sz w:val="24"/>
          <w:szCs w:val="24"/>
          <w:lang w:val="en-US"/>
        </w:rPr>
        <w:br w:type="page"/>
      </w:r>
      <w:r w:rsidRPr="006479DA">
        <w:rPr>
          <w:rFonts w:ascii="Book Antiqua" w:hAnsi="Book Antiqua"/>
          <w:b/>
          <w:sz w:val="24"/>
          <w:szCs w:val="24"/>
          <w:lang w:val="en-US"/>
        </w:rPr>
        <w:lastRenderedPageBreak/>
        <w:t>Abstract</w:t>
      </w:r>
    </w:p>
    <w:p w14:paraId="27DE3881" w14:textId="0B2A0CE1" w:rsidR="00A87E25" w:rsidRPr="006479DA" w:rsidRDefault="00A87E25" w:rsidP="00265BAF">
      <w:pPr>
        <w:spacing w:after="0" w:line="360" w:lineRule="auto"/>
        <w:jc w:val="both"/>
        <w:rPr>
          <w:rFonts w:ascii="Book Antiqua" w:hAnsi="Book Antiqua"/>
          <w:sz w:val="24"/>
          <w:szCs w:val="24"/>
          <w:lang w:val="en-US"/>
        </w:rPr>
      </w:pPr>
      <w:r w:rsidRPr="006479DA">
        <w:rPr>
          <w:rFonts w:ascii="Book Antiqua" w:hAnsi="Book Antiqua"/>
          <w:b/>
          <w:sz w:val="24"/>
          <w:szCs w:val="24"/>
          <w:lang w:val="en-US"/>
        </w:rPr>
        <w:t>AIM:</w:t>
      </w:r>
      <w:r w:rsidR="00173F68">
        <w:rPr>
          <w:rFonts w:ascii="Book Antiqua" w:eastAsia="SimSun" w:hAnsi="Book Antiqua" w:hint="eastAsia"/>
          <w:sz w:val="24"/>
          <w:szCs w:val="24"/>
          <w:lang w:val="en-US" w:eastAsia="zh-CN"/>
        </w:rPr>
        <w:t xml:space="preserve"> </w:t>
      </w:r>
      <w:r w:rsidRPr="006479DA">
        <w:rPr>
          <w:rFonts w:ascii="Book Antiqua" w:hAnsi="Book Antiqua"/>
          <w:caps/>
          <w:sz w:val="24"/>
          <w:szCs w:val="24"/>
          <w:lang w:val="en-US"/>
        </w:rPr>
        <w:t>t</w:t>
      </w:r>
      <w:r w:rsidRPr="006479DA">
        <w:rPr>
          <w:rFonts w:ascii="Book Antiqua" w:hAnsi="Book Antiqua"/>
          <w:sz w:val="24"/>
          <w:szCs w:val="24"/>
          <w:lang w:val="en-US"/>
        </w:rPr>
        <w:t xml:space="preserve">o prospectively analyze the impact of increased intestinal permeability (IP) on mortality and the occurrence of infections in patients with cirrhosis. </w:t>
      </w:r>
    </w:p>
    <w:p w14:paraId="20CAFED9" w14:textId="77777777" w:rsidR="00A87E25" w:rsidRPr="006479DA" w:rsidRDefault="00A87E25" w:rsidP="00265BAF">
      <w:pPr>
        <w:spacing w:after="0" w:line="360" w:lineRule="auto"/>
        <w:jc w:val="both"/>
        <w:rPr>
          <w:rFonts w:ascii="Book Antiqua" w:hAnsi="Book Antiqua"/>
          <w:sz w:val="24"/>
          <w:szCs w:val="24"/>
          <w:lang w:val="en-US"/>
        </w:rPr>
      </w:pPr>
    </w:p>
    <w:p w14:paraId="132A8668" w14:textId="6BEBFB7A" w:rsidR="00A87E25" w:rsidRPr="006479DA" w:rsidRDefault="00A87E25" w:rsidP="00265BAF">
      <w:pPr>
        <w:spacing w:after="0" w:line="360" w:lineRule="auto"/>
        <w:jc w:val="both"/>
        <w:rPr>
          <w:rFonts w:ascii="Book Antiqua" w:hAnsi="Book Antiqua"/>
          <w:sz w:val="24"/>
          <w:szCs w:val="24"/>
          <w:lang w:val="en-US"/>
        </w:rPr>
      </w:pPr>
      <w:r w:rsidRPr="006479DA">
        <w:rPr>
          <w:rFonts w:ascii="Book Antiqua" w:hAnsi="Book Antiqua"/>
          <w:b/>
          <w:sz w:val="24"/>
          <w:szCs w:val="24"/>
          <w:lang w:val="en-US"/>
        </w:rPr>
        <w:t>METHODS:</w:t>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 xml:space="preserve">IP was quantified using the lactulose/mannitol (L/M) test in 46 hospitalized patients with cirrhosis (25 Child-Pugh A/B, 21 Child-Pugh C) and </w:t>
      </w:r>
      <w:r w:rsidR="007D4F91" w:rsidRPr="006479DA">
        <w:rPr>
          <w:rFonts w:ascii="Book Antiqua" w:hAnsi="Book Antiqua"/>
          <w:sz w:val="24"/>
          <w:szCs w:val="24"/>
          <w:lang w:val="en-US"/>
        </w:rPr>
        <w:t xml:space="preserve">in </w:t>
      </w:r>
      <w:r w:rsidRPr="006479DA">
        <w:rPr>
          <w:rFonts w:ascii="Book Antiqua" w:hAnsi="Book Antiqua"/>
          <w:sz w:val="24"/>
          <w:szCs w:val="24"/>
          <w:lang w:val="en-US"/>
        </w:rPr>
        <w:t>16 healthy con</w:t>
      </w:r>
      <w:r w:rsidR="00173F68">
        <w:rPr>
          <w:rFonts w:ascii="Book Antiqua" w:hAnsi="Book Antiqua"/>
          <w:sz w:val="24"/>
          <w:szCs w:val="24"/>
          <w:lang w:val="en-US"/>
        </w:rPr>
        <w:t>trols. Markers of inflammation</w:t>
      </w:r>
      <w:r w:rsidR="00045194">
        <w:rPr>
          <w:rFonts w:ascii="Book Antiqua" w:hAnsi="Book Antiqua"/>
          <w:sz w:val="24"/>
          <w:szCs w:val="24"/>
          <w:lang w:val="en-US"/>
        </w:rPr>
        <w:t xml:space="preserve"> </w:t>
      </w:r>
      <w:r w:rsidR="00173F68">
        <w:rPr>
          <w:rFonts w:ascii="Book Antiqua" w:eastAsia="SimSun" w:hAnsi="Book Antiqua" w:hint="eastAsia"/>
          <w:sz w:val="24"/>
          <w:szCs w:val="24"/>
          <w:lang w:val="en-US" w:eastAsia="zh-CN"/>
        </w:rPr>
        <w:t>[</w:t>
      </w:r>
      <w:r w:rsidRPr="006479DA">
        <w:rPr>
          <w:rFonts w:ascii="Book Antiqua" w:hAnsi="Book Antiqua"/>
          <w:sz w:val="24"/>
          <w:szCs w:val="24"/>
          <w:lang w:val="en-US"/>
        </w:rPr>
        <w:t>LPS-binding protein, Inter</w:t>
      </w:r>
      <w:r w:rsidR="00173F68">
        <w:rPr>
          <w:rFonts w:ascii="Book Antiqua" w:hAnsi="Book Antiqua"/>
          <w:sz w:val="24"/>
          <w:szCs w:val="24"/>
          <w:lang w:val="en-US"/>
        </w:rPr>
        <w:t>leukin-6</w:t>
      </w:r>
      <w:r w:rsidR="00173F68">
        <w:rPr>
          <w:rFonts w:ascii="Book Antiqua" w:eastAsia="SimSun" w:hAnsi="Book Antiqua" w:hint="eastAsia"/>
          <w:sz w:val="24"/>
          <w:szCs w:val="24"/>
          <w:lang w:val="en-US" w:eastAsia="zh-CN"/>
        </w:rPr>
        <w:t xml:space="preserve"> (</w:t>
      </w:r>
      <w:r w:rsidR="00173F68" w:rsidRPr="006479DA">
        <w:rPr>
          <w:rFonts w:ascii="Book Antiqua" w:hAnsi="Book Antiqua"/>
          <w:sz w:val="24"/>
          <w:szCs w:val="24"/>
          <w:lang w:val="en-US"/>
        </w:rPr>
        <w:t>IL-6</w:t>
      </w:r>
      <w:r w:rsidR="00173F68">
        <w:rPr>
          <w:rFonts w:ascii="Book Antiqua" w:eastAsia="SimSun" w:hAnsi="Book Antiqua" w:hint="eastAsia"/>
          <w:sz w:val="24"/>
          <w:szCs w:val="24"/>
          <w:lang w:val="en-US" w:eastAsia="zh-CN"/>
        </w:rPr>
        <w:t xml:space="preserve">)] </w:t>
      </w:r>
      <w:r w:rsidR="00173F68">
        <w:rPr>
          <w:rFonts w:ascii="Book Antiqua" w:hAnsi="Book Antiqua"/>
          <w:sz w:val="24"/>
          <w:szCs w:val="24"/>
          <w:lang w:val="en-US"/>
        </w:rPr>
        <w:t xml:space="preserve">and enterocyte death </w:t>
      </w:r>
      <w:r w:rsidR="00173F68">
        <w:rPr>
          <w:rFonts w:ascii="Book Antiqua" w:eastAsia="SimSun" w:hAnsi="Book Antiqua" w:hint="eastAsia"/>
          <w:sz w:val="24"/>
          <w:szCs w:val="24"/>
          <w:lang w:val="en-US" w:eastAsia="zh-CN"/>
        </w:rPr>
        <w:t>[</w:t>
      </w:r>
      <w:r w:rsidRPr="006479DA">
        <w:rPr>
          <w:rFonts w:ascii="Book Antiqua" w:hAnsi="Book Antiqua"/>
          <w:sz w:val="24"/>
          <w:szCs w:val="24"/>
          <w:lang w:val="en-US"/>
        </w:rPr>
        <w:t xml:space="preserve">intestinal fatty-acid binding protein </w:t>
      </w:r>
      <w:r w:rsidR="00173F68">
        <w:rPr>
          <w:rFonts w:ascii="Book Antiqua" w:eastAsia="SimSun" w:hAnsi="Book Antiqua" w:hint="eastAsia"/>
          <w:sz w:val="24"/>
          <w:szCs w:val="24"/>
          <w:lang w:val="en-US" w:eastAsia="zh-CN"/>
        </w:rPr>
        <w:t>(</w:t>
      </w:r>
      <w:r w:rsidRPr="006479DA">
        <w:rPr>
          <w:rFonts w:ascii="Book Antiqua" w:hAnsi="Book Antiqua"/>
          <w:sz w:val="24"/>
          <w:szCs w:val="24"/>
          <w:lang w:val="en-US"/>
        </w:rPr>
        <w:t>I-FABP</w:t>
      </w:r>
      <w:r w:rsidR="00173F68">
        <w:rPr>
          <w:rFonts w:ascii="Book Antiqua" w:eastAsia="SimSun" w:hAnsi="Book Antiqua" w:hint="eastAsia"/>
          <w:sz w:val="24"/>
          <w:szCs w:val="24"/>
          <w:lang w:val="en-US" w:eastAsia="zh-CN"/>
        </w:rPr>
        <w:t>)]</w:t>
      </w:r>
      <w:r w:rsidRPr="006479DA">
        <w:rPr>
          <w:rFonts w:ascii="Book Antiqua" w:hAnsi="Book Antiqua"/>
          <w:sz w:val="24"/>
          <w:szCs w:val="24"/>
          <w:lang w:val="en-US"/>
        </w:rPr>
        <w:t xml:space="preserve"> were determined in serum using enzyme-linked immunosorbent assays. </w:t>
      </w:r>
      <w:r w:rsidR="008C6BCC" w:rsidRPr="006479DA">
        <w:rPr>
          <w:rFonts w:ascii="Book Antiqua" w:hAnsi="Book Antiqua"/>
          <w:sz w:val="24"/>
          <w:szCs w:val="24"/>
          <w:lang w:val="en-US"/>
        </w:rPr>
        <w:t xml:space="preserve">Patients were followed for one year and assessed for survival, liver transplantation, the necessity of hospitalization and the occurrence of bacterial infections. </w:t>
      </w:r>
      <w:r w:rsidR="007D4F91" w:rsidRPr="006479DA">
        <w:rPr>
          <w:rFonts w:ascii="Book Antiqua" w:hAnsi="Book Antiqua"/>
          <w:sz w:val="24"/>
          <w:szCs w:val="24"/>
          <w:lang w:val="en-US"/>
        </w:rPr>
        <w:t xml:space="preserve">The primary endpoint of the study was defined as differences in </w:t>
      </w:r>
      <w:r w:rsidR="005A0E74" w:rsidRPr="006479DA">
        <w:rPr>
          <w:rFonts w:ascii="Book Antiqua" w:hAnsi="Book Antiqua"/>
          <w:sz w:val="24"/>
          <w:szCs w:val="24"/>
          <w:lang w:val="en-US"/>
        </w:rPr>
        <w:t>survival</w:t>
      </w:r>
      <w:r w:rsidR="007D4F91" w:rsidRPr="006479DA">
        <w:rPr>
          <w:rFonts w:ascii="Book Antiqua" w:hAnsi="Book Antiqua"/>
          <w:sz w:val="24"/>
          <w:szCs w:val="24"/>
          <w:lang w:val="en-US"/>
        </w:rPr>
        <w:t xml:space="preserve"> between patients with pathological and without pathological lactulose/mannitol test. </w:t>
      </w:r>
    </w:p>
    <w:p w14:paraId="4A267E26" w14:textId="77777777" w:rsidR="00A87E25" w:rsidRPr="006479DA" w:rsidRDefault="00A87E25" w:rsidP="00265BAF">
      <w:pPr>
        <w:spacing w:after="0" w:line="360" w:lineRule="auto"/>
        <w:jc w:val="both"/>
        <w:rPr>
          <w:rFonts w:ascii="Book Antiqua" w:hAnsi="Book Antiqua"/>
          <w:sz w:val="24"/>
          <w:szCs w:val="24"/>
          <w:lang w:val="en-US"/>
        </w:rPr>
      </w:pPr>
    </w:p>
    <w:p w14:paraId="6172F994" w14:textId="6F570316" w:rsidR="00A87E25" w:rsidRPr="006479DA" w:rsidRDefault="00A87E25" w:rsidP="00265BAF">
      <w:pPr>
        <w:spacing w:after="0" w:line="360" w:lineRule="auto"/>
        <w:jc w:val="both"/>
        <w:rPr>
          <w:rFonts w:ascii="Book Antiqua" w:hAnsi="Book Antiqua"/>
          <w:sz w:val="24"/>
          <w:szCs w:val="24"/>
          <w:lang w:val="en-US"/>
        </w:rPr>
      </w:pPr>
      <w:r w:rsidRPr="006479DA">
        <w:rPr>
          <w:rFonts w:ascii="Book Antiqua" w:hAnsi="Book Antiqua"/>
          <w:b/>
          <w:sz w:val="24"/>
          <w:szCs w:val="24"/>
          <w:lang w:val="en-US"/>
        </w:rPr>
        <w:t>RESULTS</w:t>
      </w:r>
      <w:r w:rsidRPr="006479DA">
        <w:rPr>
          <w:rFonts w:ascii="Book Antiqua" w:hAnsi="Book Antiqua"/>
          <w:sz w:val="24"/>
          <w:szCs w:val="24"/>
          <w:lang w:val="en-US"/>
        </w:rPr>
        <w:t xml:space="preserve">: </w:t>
      </w:r>
      <w:r w:rsidRPr="006479DA">
        <w:rPr>
          <w:rFonts w:ascii="Book Antiqua" w:eastAsia="Arial Unicode MS" w:hAnsi="Book Antiqua"/>
          <w:sz w:val="24"/>
          <w:szCs w:val="24"/>
          <w:lang w:val="en-US" w:eastAsia="de-DE"/>
        </w:rPr>
        <w:t>Thirty-nine (85%) patients with cirrhosis had a pathologically increased IP index (L/M ratio &gt;</w:t>
      </w:r>
      <w:r w:rsidR="00173F68">
        <w:rPr>
          <w:rFonts w:ascii="Book Antiqua" w:eastAsia="Arial Unicode MS" w:hAnsi="Book Antiqua" w:hint="eastAsia"/>
          <w:sz w:val="24"/>
          <w:szCs w:val="24"/>
          <w:lang w:val="en-US" w:eastAsia="zh-CN"/>
        </w:rPr>
        <w:t xml:space="preserve"> </w:t>
      </w:r>
      <w:r w:rsidRPr="006479DA">
        <w:rPr>
          <w:rFonts w:ascii="Book Antiqua" w:eastAsia="Arial Unicode MS" w:hAnsi="Book Antiqua"/>
          <w:sz w:val="24"/>
          <w:szCs w:val="24"/>
          <w:lang w:val="en-US" w:eastAsia="de-DE"/>
        </w:rPr>
        <w:t>0.07) compared to 2 (13%) healthy controls (</w:t>
      </w:r>
      <w:r w:rsidRPr="00173F68">
        <w:rPr>
          <w:rFonts w:ascii="Book Antiqua" w:eastAsia="Arial Unicode MS" w:hAnsi="Book Antiqua"/>
          <w:i/>
          <w:caps/>
          <w:sz w:val="24"/>
          <w:szCs w:val="24"/>
          <w:lang w:val="en-US" w:eastAsia="de-DE"/>
        </w:rPr>
        <w:t>p</w:t>
      </w:r>
      <w:r w:rsidR="00173F68">
        <w:rPr>
          <w:rFonts w:ascii="Book Antiqua" w:eastAsia="Arial Unicode MS" w:hAnsi="Book Antiqua" w:hint="eastAsia"/>
          <w:sz w:val="24"/>
          <w:szCs w:val="24"/>
          <w:lang w:val="en-US" w:eastAsia="zh-CN"/>
        </w:rPr>
        <w:t xml:space="preserve"> </w:t>
      </w:r>
      <w:r w:rsidRPr="006479DA">
        <w:rPr>
          <w:rFonts w:ascii="Book Antiqua" w:eastAsia="Arial Unicode MS" w:hAnsi="Book Antiqua"/>
          <w:sz w:val="24"/>
          <w:szCs w:val="24"/>
          <w:lang w:val="en-US" w:eastAsia="de-DE"/>
        </w:rPr>
        <w:t>&lt;</w:t>
      </w:r>
      <w:r w:rsidR="00173F68">
        <w:rPr>
          <w:rFonts w:ascii="Book Antiqua" w:eastAsia="Arial Unicode MS" w:hAnsi="Book Antiqua" w:hint="eastAsia"/>
          <w:sz w:val="24"/>
          <w:szCs w:val="24"/>
          <w:lang w:val="en-US" w:eastAsia="zh-CN"/>
        </w:rPr>
        <w:t xml:space="preserve"> </w:t>
      </w:r>
      <w:r w:rsidRPr="006479DA">
        <w:rPr>
          <w:rFonts w:ascii="Book Antiqua" w:eastAsia="Arial Unicode MS" w:hAnsi="Book Antiqua"/>
          <w:sz w:val="24"/>
          <w:szCs w:val="24"/>
          <w:lang w:val="en-US" w:eastAsia="de-DE"/>
        </w:rPr>
        <w:t xml:space="preserve">0.0001). </w:t>
      </w:r>
      <w:r w:rsidRPr="006479DA">
        <w:rPr>
          <w:rFonts w:ascii="Book Antiqua" w:hAnsi="Book Antiqua"/>
          <w:sz w:val="24"/>
          <w:szCs w:val="24"/>
          <w:lang w:val="en-US"/>
        </w:rPr>
        <w:t>The IP index correlated with the Child-Pugh score (</w:t>
      </w:r>
      <w:r w:rsidRPr="00320AC5">
        <w:rPr>
          <w:rFonts w:ascii="Book Antiqua" w:hAnsi="Book Antiqua"/>
          <w:i/>
          <w:sz w:val="24"/>
          <w:szCs w:val="24"/>
          <w:lang w:val="en-US"/>
        </w:rPr>
        <w:t>r</w:t>
      </w:r>
      <w:r w:rsidR="00173F68" w:rsidRPr="00320AC5">
        <w:rPr>
          <w:rFonts w:ascii="Book Antiqua" w:eastAsia="SimSun" w:hAnsi="Book Antiqua" w:hint="eastAsia"/>
          <w:i/>
          <w:sz w:val="24"/>
          <w:szCs w:val="24"/>
          <w:lang w:val="en-US" w:eastAsia="zh-CN"/>
        </w:rPr>
        <w:t xml:space="preserve"> </w:t>
      </w:r>
      <w:r w:rsidRPr="006479DA">
        <w:rPr>
          <w:rFonts w:ascii="Book Antiqua" w:hAnsi="Book Antiqua"/>
          <w:sz w:val="24"/>
          <w:szCs w:val="24"/>
          <w:lang w:val="en-US"/>
        </w:rPr>
        <w:t>=</w:t>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 xml:space="preserve">0.484, </w:t>
      </w:r>
      <w:r w:rsidRPr="00173F68">
        <w:rPr>
          <w:rFonts w:ascii="Book Antiqua" w:hAnsi="Book Antiqua"/>
          <w:i/>
          <w:caps/>
          <w:sz w:val="24"/>
          <w:szCs w:val="24"/>
          <w:lang w:val="en-US"/>
        </w:rPr>
        <w:t>p</w:t>
      </w:r>
      <w:r w:rsidR="00173F68">
        <w:rPr>
          <w:rFonts w:ascii="Book Antiqua" w:eastAsia="SimSun" w:hAnsi="Book Antiqua" w:hint="eastAsia"/>
          <w:i/>
          <w:sz w:val="24"/>
          <w:szCs w:val="24"/>
          <w:lang w:val="en-US" w:eastAsia="zh-CN"/>
        </w:rPr>
        <w:t xml:space="preserve"> </w:t>
      </w:r>
      <w:r w:rsidRPr="006479DA">
        <w:rPr>
          <w:rFonts w:ascii="Book Antiqua" w:hAnsi="Book Antiqua"/>
          <w:sz w:val="24"/>
          <w:szCs w:val="24"/>
          <w:lang w:val="en-US"/>
        </w:rPr>
        <w:t>=</w:t>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0.001) and with serum IL-6 (</w:t>
      </w:r>
      <w:r w:rsidRPr="00320AC5">
        <w:rPr>
          <w:rFonts w:ascii="Book Antiqua" w:hAnsi="Book Antiqua"/>
          <w:i/>
          <w:sz w:val="24"/>
          <w:szCs w:val="24"/>
          <w:lang w:val="en-US"/>
        </w:rPr>
        <w:t>r</w:t>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w:t>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 xml:space="preserve">0.342, </w:t>
      </w:r>
      <w:r w:rsidRPr="00173F68">
        <w:rPr>
          <w:rFonts w:ascii="Book Antiqua" w:hAnsi="Book Antiqua"/>
          <w:i/>
          <w:caps/>
          <w:sz w:val="24"/>
          <w:szCs w:val="24"/>
          <w:lang w:val="en-US"/>
        </w:rPr>
        <w:t>p</w:t>
      </w:r>
      <w:r w:rsidR="00173F68">
        <w:rPr>
          <w:rFonts w:ascii="Book Antiqua" w:eastAsia="SimSun" w:hAnsi="Book Antiqua" w:hint="eastAsia"/>
          <w:i/>
          <w:sz w:val="24"/>
          <w:szCs w:val="24"/>
          <w:lang w:val="en-US" w:eastAsia="zh-CN"/>
        </w:rPr>
        <w:t xml:space="preserve"> </w:t>
      </w:r>
      <w:r w:rsidRPr="006479DA">
        <w:rPr>
          <w:rFonts w:ascii="Book Antiqua" w:hAnsi="Book Antiqua"/>
          <w:sz w:val="24"/>
          <w:szCs w:val="24"/>
          <w:lang w:val="en-US"/>
        </w:rPr>
        <w:t>=</w:t>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0.02).</w:t>
      </w:r>
      <w:r w:rsidRPr="006479DA">
        <w:rPr>
          <w:rFonts w:ascii="Book Antiqua" w:eastAsia="Arial Unicode MS" w:hAnsi="Book Antiqua"/>
          <w:sz w:val="24"/>
          <w:szCs w:val="24"/>
          <w:lang w:val="en-US" w:eastAsia="de-DE"/>
        </w:rPr>
        <w:t xml:space="preserve"> Within one year, nineteen (41%) patients developed a total of 33 episodes of hospitalization with bacterial or fungal infections.</w:t>
      </w:r>
      <w:r w:rsidRPr="006479DA">
        <w:rPr>
          <w:rFonts w:ascii="Book Antiqua" w:hAnsi="Book Antiqua"/>
          <w:sz w:val="24"/>
          <w:szCs w:val="24"/>
          <w:lang w:val="en-US"/>
        </w:rPr>
        <w:t xml:space="preserve"> </w:t>
      </w:r>
      <w:r w:rsidRPr="006479DA">
        <w:rPr>
          <w:rFonts w:ascii="Book Antiqua" w:eastAsia="Arial Unicode MS" w:hAnsi="Book Antiqua"/>
          <w:sz w:val="24"/>
          <w:szCs w:val="24"/>
          <w:lang w:val="en-US" w:eastAsia="de-DE"/>
        </w:rPr>
        <w:t xml:space="preserve">Although patients who developed </w:t>
      </w:r>
      <w:r w:rsidR="005A0E74" w:rsidRPr="006479DA">
        <w:rPr>
          <w:rFonts w:ascii="Book Antiqua" w:eastAsia="Arial Unicode MS" w:hAnsi="Book Antiqua"/>
          <w:sz w:val="24"/>
          <w:szCs w:val="24"/>
          <w:lang w:val="en-US" w:eastAsia="de-DE"/>
        </w:rPr>
        <w:t>spontaneous bacterial peritonitis (</w:t>
      </w:r>
      <w:r w:rsidRPr="006479DA">
        <w:rPr>
          <w:rFonts w:ascii="Book Antiqua" w:eastAsia="Arial Unicode MS" w:hAnsi="Book Antiqua"/>
          <w:sz w:val="24"/>
          <w:szCs w:val="24"/>
          <w:lang w:val="en-US" w:eastAsia="de-DE"/>
        </w:rPr>
        <w:t>SBP</w:t>
      </w:r>
      <w:r w:rsidR="005A0E74" w:rsidRPr="006479DA">
        <w:rPr>
          <w:rFonts w:ascii="Book Antiqua" w:eastAsia="Arial Unicode MS" w:hAnsi="Book Antiqua"/>
          <w:sz w:val="24"/>
          <w:szCs w:val="24"/>
          <w:lang w:val="en-US" w:eastAsia="de-DE"/>
        </w:rPr>
        <w:t>)</w:t>
      </w:r>
      <w:r w:rsidRPr="006479DA">
        <w:rPr>
          <w:rFonts w:ascii="Book Antiqua" w:eastAsia="Arial Unicode MS" w:hAnsi="Book Antiqua"/>
          <w:sz w:val="24"/>
          <w:szCs w:val="24"/>
          <w:lang w:val="en-US" w:eastAsia="de-DE"/>
        </w:rPr>
        <w:t xml:space="preserve"> (</w:t>
      </w:r>
      <w:r w:rsidRPr="00173F68">
        <w:rPr>
          <w:rFonts w:ascii="Book Antiqua" w:eastAsia="Arial Unicode MS" w:hAnsi="Book Antiqua"/>
          <w:i/>
          <w:sz w:val="24"/>
          <w:szCs w:val="24"/>
          <w:lang w:val="en-US" w:eastAsia="de-DE"/>
        </w:rPr>
        <w:t>n</w:t>
      </w:r>
      <w:r w:rsidR="00173F68">
        <w:rPr>
          <w:rFonts w:ascii="Book Antiqua" w:eastAsia="Arial Unicode MS" w:hAnsi="Book Antiqua" w:hint="eastAsia"/>
          <w:sz w:val="24"/>
          <w:szCs w:val="24"/>
          <w:lang w:val="en-US" w:eastAsia="zh-CN"/>
        </w:rPr>
        <w:t xml:space="preserve"> </w:t>
      </w:r>
      <w:r w:rsidRPr="006479DA">
        <w:rPr>
          <w:rFonts w:ascii="Book Antiqua" w:eastAsia="Arial Unicode MS" w:hAnsi="Book Antiqua"/>
          <w:sz w:val="24"/>
          <w:szCs w:val="24"/>
          <w:lang w:val="en-US" w:eastAsia="de-DE"/>
        </w:rPr>
        <w:t>=</w:t>
      </w:r>
      <w:r w:rsidR="00173F68">
        <w:rPr>
          <w:rFonts w:ascii="Book Antiqua" w:eastAsia="Arial Unicode MS" w:hAnsi="Book Antiqua" w:hint="eastAsia"/>
          <w:sz w:val="24"/>
          <w:szCs w:val="24"/>
          <w:lang w:val="en-US" w:eastAsia="zh-CN"/>
        </w:rPr>
        <w:t xml:space="preserve"> </w:t>
      </w:r>
      <w:r w:rsidRPr="006479DA">
        <w:rPr>
          <w:rFonts w:ascii="Book Antiqua" w:eastAsia="Arial Unicode MS" w:hAnsi="Book Antiqua"/>
          <w:sz w:val="24"/>
          <w:szCs w:val="24"/>
          <w:lang w:val="en-US" w:eastAsia="de-DE"/>
        </w:rPr>
        <w:t xml:space="preserve">7) had a higher IP index than patients who did not (0.27 </w:t>
      </w:r>
      <w:r w:rsidRPr="00173F68">
        <w:rPr>
          <w:rFonts w:ascii="Book Antiqua" w:eastAsia="Arial Unicode MS" w:hAnsi="Book Antiqua"/>
          <w:i/>
          <w:sz w:val="24"/>
          <w:szCs w:val="24"/>
          <w:lang w:val="en-US" w:eastAsia="de-DE"/>
        </w:rPr>
        <w:t>vs</w:t>
      </w:r>
      <w:r w:rsidRPr="006479DA">
        <w:rPr>
          <w:rFonts w:ascii="Book Antiqua" w:eastAsia="Arial Unicode MS" w:hAnsi="Book Antiqua"/>
          <w:sz w:val="24"/>
          <w:szCs w:val="24"/>
          <w:lang w:val="en-US" w:eastAsia="de-DE"/>
        </w:rPr>
        <w:t xml:space="preserve"> 0.14</w:t>
      </w:r>
      <w:r w:rsidR="006B250A">
        <w:rPr>
          <w:rFonts w:ascii="Book Antiqua" w:eastAsia="Arial Unicode MS" w:hAnsi="Book Antiqua" w:hint="eastAsia"/>
          <w:sz w:val="24"/>
          <w:szCs w:val="24"/>
          <w:lang w:val="en-US" w:eastAsia="zh-CN"/>
        </w:rPr>
        <w:t>,</w:t>
      </w:r>
      <w:r w:rsidRPr="006479DA">
        <w:rPr>
          <w:rFonts w:ascii="Book Antiqua" w:eastAsia="Arial Unicode MS" w:hAnsi="Book Antiqua"/>
          <w:sz w:val="24"/>
          <w:szCs w:val="24"/>
          <w:lang w:val="en-US" w:eastAsia="de-DE"/>
        </w:rPr>
        <w:t xml:space="preserve"> </w:t>
      </w:r>
      <w:r w:rsidRPr="00173F68">
        <w:rPr>
          <w:rFonts w:ascii="Book Antiqua" w:eastAsia="Arial Unicode MS" w:hAnsi="Book Antiqua"/>
          <w:i/>
          <w:caps/>
          <w:sz w:val="24"/>
          <w:szCs w:val="24"/>
          <w:lang w:val="en-US" w:eastAsia="de-DE"/>
        </w:rPr>
        <w:t>p</w:t>
      </w:r>
      <w:r w:rsidRPr="006479DA">
        <w:rPr>
          <w:rFonts w:ascii="Book Antiqua" w:eastAsia="Arial Unicode MS" w:hAnsi="Book Antiqua"/>
          <w:sz w:val="24"/>
          <w:szCs w:val="24"/>
          <w:lang w:val="en-US" w:eastAsia="de-DE"/>
        </w:rPr>
        <w:t xml:space="preserve"> = 0.018), the baseline IP index</w:t>
      </w:r>
      <w:r w:rsidR="007D4F91" w:rsidRPr="006479DA">
        <w:rPr>
          <w:rFonts w:ascii="Book Antiqua" w:eastAsia="Arial Unicode MS" w:hAnsi="Book Antiqua"/>
          <w:sz w:val="24"/>
          <w:szCs w:val="24"/>
          <w:lang w:val="en-US" w:eastAsia="de-DE"/>
        </w:rPr>
        <w:t xml:space="preserve"> </w:t>
      </w:r>
      <w:r w:rsidRPr="006479DA">
        <w:rPr>
          <w:rFonts w:ascii="Book Antiqua" w:eastAsia="Arial Unicode MS" w:hAnsi="Book Antiqua"/>
          <w:sz w:val="24"/>
          <w:szCs w:val="24"/>
          <w:lang w:val="en-US" w:eastAsia="de-DE"/>
        </w:rPr>
        <w:t>did not predict time to infection, infection-free survival or overall survival</w:t>
      </w:r>
      <w:r w:rsidR="007D4F91" w:rsidRPr="006479DA">
        <w:rPr>
          <w:rFonts w:ascii="Book Antiqua" w:eastAsia="Arial Unicode MS" w:hAnsi="Book Antiqua"/>
          <w:sz w:val="24"/>
          <w:szCs w:val="24"/>
          <w:lang w:val="en-US" w:eastAsia="de-DE"/>
        </w:rPr>
        <w:t xml:space="preserve">, neither when assessed </w:t>
      </w:r>
      <w:r w:rsidR="007D4F91" w:rsidRPr="006479DA">
        <w:rPr>
          <w:rFonts w:ascii="Book Antiqua" w:hAnsi="Book Antiqua"/>
          <w:sz w:val="24"/>
          <w:szCs w:val="24"/>
          <w:lang w:val="en-US" w:eastAsia="de-DE"/>
        </w:rPr>
        <w:t>as linear variable, as tertiles, nor  dichotomized using an established cut-off</w:t>
      </w:r>
      <w:r w:rsidRPr="006479DA">
        <w:rPr>
          <w:rFonts w:ascii="Book Antiqua" w:eastAsia="Arial Unicode MS" w:hAnsi="Book Antiqua"/>
          <w:sz w:val="24"/>
          <w:szCs w:val="24"/>
          <w:lang w:val="en-US" w:eastAsia="de-DE"/>
        </w:rPr>
        <w:t xml:space="preserve">. </w:t>
      </w:r>
      <w:r w:rsidR="007D4F91" w:rsidRPr="006479DA">
        <w:rPr>
          <w:rFonts w:ascii="Book Antiqua" w:hAnsi="Book Antiqua"/>
          <w:sz w:val="24"/>
          <w:szCs w:val="24"/>
          <w:lang w:val="en-US"/>
        </w:rPr>
        <w:t xml:space="preserve">In contrast, </w:t>
      </w:r>
      <w:r w:rsidR="005E30D6" w:rsidRPr="006479DA">
        <w:rPr>
          <w:rFonts w:ascii="Book Antiqua" w:hAnsi="Book Antiqua"/>
          <w:sz w:val="24"/>
          <w:szCs w:val="24"/>
          <w:lang w:val="en-US"/>
        </w:rPr>
        <w:t xml:space="preserve">model of end-stage liver disease </w:t>
      </w:r>
      <w:r w:rsidRPr="006479DA">
        <w:rPr>
          <w:rFonts w:ascii="Book Antiqua" w:hAnsi="Book Antiqua"/>
          <w:sz w:val="24"/>
          <w:szCs w:val="24"/>
          <w:lang w:val="en-US"/>
        </w:rPr>
        <w:t xml:space="preserve">score, Child-Pugh score, the presence of ascites, serum IL-6 and I-FABP were univariate predictors of infection-free survival. </w:t>
      </w:r>
    </w:p>
    <w:p w14:paraId="799E08D9" w14:textId="77777777" w:rsidR="00A87E25" w:rsidRPr="006479DA" w:rsidRDefault="00A87E25" w:rsidP="00265BAF">
      <w:pPr>
        <w:spacing w:after="0" w:line="360" w:lineRule="auto"/>
        <w:jc w:val="both"/>
        <w:rPr>
          <w:rFonts w:ascii="Book Antiqua" w:hAnsi="Book Antiqua"/>
          <w:sz w:val="24"/>
          <w:szCs w:val="24"/>
          <w:lang w:val="en-US"/>
        </w:rPr>
      </w:pPr>
    </w:p>
    <w:p w14:paraId="12DD8CA4" w14:textId="4F26DBCC" w:rsidR="00A87E25" w:rsidRPr="006479DA" w:rsidRDefault="00A87E25" w:rsidP="00265BAF">
      <w:pPr>
        <w:spacing w:after="0" w:line="360" w:lineRule="auto"/>
        <w:jc w:val="both"/>
        <w:rPr>
          <w:rFonts w:ascii="Book Antiqua" w:hAnsi="Book Antiqua"/>
          <w:b/>
          <w:sz w:val="24"/>
          <w:szCs w:val="24"/>
          <w:lang w:val="en-US"/>
        </w:rPr>
      </w:pPr>
      <w:r w:rsidRPr="006479DA">
        <w:rPr>
          <w:rFonts w:ascii="Book Antiqua" w:hAnsi="Book Antiqua"/>
          <w:b/>
          <w:sz w:val="24"/>
          <w:szCs w:val="24"/>
          <w:lang w:val="en-US"/>
        </w:rPr>
        <w:t>CONCLUSION:</w:t>
      </w:r>
      <w:r w:rsidRPr="006479DA">
        <w:rPr>
          <w:rFonts w:ascii="Book Antiqua" w:hAnsi="Book Antiqua"/>
          <w:sz w:val="24"/>
          <w:szCs w:val="24"/>
          <w:lang w:val="en-US"/>
        </w:rPr>
        <w:t xml:space="preserve"> Although increased </w:t>
      </w:r>
      <w:r w:rsidRPr="006479DA">
        <w:rPr>
          <w:rFonts w:ascii="Book Antiqua" w:hAnsi="Book Antiqua"/>
          <w:sz w:val="24"/>
          <w:szCs w:val="24"/>
          <w:lang w:val="en-US" w:eastAsia="de-DE"/>
        </w:rPr>
        <w:t xml:space="preserve">IP is a frequent phenomenon in advanced cirrhosis and may predispose to SBP, it failed to predict infection-free and overall survival in this prospective cohort study. </w:t>
      </w:r>
    </w:p>
    <w:p w14:paraId="34F359C0" w14:textId="77777777" w:rsidR="00A87E25" w:rsidRPr="006479DA" w:rsidRDefault="00A87E25" w:rsidP="00265BAF">
      <w:pPr>
        <w:spacing w:after="0" w:line="360" w:lineRule="auto"/>
        <w:jc w:val="both"/>
        <w:rPr>
          <w:rStyle w:val="Hyperlink"/>
          <w:rFonts w:ascii="Book Antiqua" w:eastAsia="Arial Unicode MS" w:hAnsi="Book Antiqua"/>
          <w:sz w:val="24"/>
          <w:szCs w:val="24"/>
          <w:lang w:val="en-US"/>
        </w:rPr>
      </w:pPr>
    </w:p>
    <w:p w14:paraId="6857EA65" w14:textId="181DA57D" w:rsidR="00A87E25" w:rsidRDefault="00A87E25" w:rsidP="00265BAF">
      <w:pPr>
        <w:spacing w:after="0" w:line="360" w:lineRule="auto"/>
        <w:jc w:val="both"/>
        <w:rPr>
          <w:rFonts w:ascii="Book Antiqua" w:eastAsia="SimSun" w:hAnsi="Book Antiqua"/>
          <w:sz w:val="24"/>
          <w:szCs w:val="24"/>
          <w:lang w:val="en-US" w:eastAsia="zh-CN"/>
        </w:rPr>
      </w:pPr>
      <w:r w:rsidRPr="006479DA">
        <w:rPr>
          <w:rFonts w:ascii="Book Antiqua" w:hAnsi="Book Antiqua"/>
          <w:b/>
          <w:sz w:val="24"/>
          <w:szCs w:val="24"/>
          <w:lang w:val="en-US"/>
        </w:rPr>
        <w:t xml:space="preserve">Key words: </w:t>
      </w:r>
      <w:r w:rsidRPr="006479DA">
        <w:rPr>
          <w:rFonts w:ascii="Book Antiqua" w:eastAsia="MS Mincho" w:hAnsi="Book Antiqua"/>
          <w:bCs/>
          <w:sz w:val="24"/>
          <w:szCs w:val="24"/>
          <w:lang w:val="en-US"/>
        </w:rPr>
        <w:t xml:space="preserve">Intestinal </w:t>
      </w:r>
      <w:r w:rsidR="005C21B0" w:rsidRPr="006479DA">
        <w:rPr>
          <w:rFonts w:ascii="Book Antiqua" w:eastAsia="MS Mincho" w:hAnsi="Book Antiqua"/>
          <w:bCs/>
          <w:sz w:val="24"/>
          <w:szCs w:val="24"/>
          <w:lang w:val="en-US"/>
        </w:rPr>
        <w:t>p</w:t>
      </w:r>
      <w:r w:rsidRPr="006479DA">
        <w:rPr>
          <w:rFonts w:ascii="Book Antiqua" w:eastAsia="MS Mincho" w:hAnsi="Book Antiqua"/>
          <w:bCs/>
          <w:sz w:val="24"/>
          <w:szCs w:val="24"/>
          <w:lang w:val="en-US"/>
        </w:rPr>
        <w:t>ermeability</w:t>
      </w:r>
      <w:r w:rsidRPr="006479DA">
        <w:rPr>
          <w:rFonts w:ascii="Book Antiqua" w:eastAsia="MS Mincho" w:hAnsi="Book Antiqua"/>
          <w:sz w:val="24"/>
          <w:szCs w:val="24"/>
          <w:lang w:val="en-US"/>
        </w:rPr>
        <w:t>;</w:t>
      </w:r>
      <w:r w:rsidR="00173F68">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rPr>
        <w:t>Liver cirrhosis; Lactulose/mannitol ratio; Spontaneous bacterial peritonitis; Bacterial translocation</w:t>
      </w:r>
    </w:p>
    <w:p w14:paraId="681FC58A" w14:textId="77777777" w:rsidR="00173F68" w:rsidRDefault="00173F68" w:rsidP="00265BAF">
      <w:pPr>
        <w:spacing w:after="0" w:line="360" w:lineRule="auto"/>
        <w:jc w:val="both"/>
        <w:rPr>
          <w:rFonts w:ascii="Book Antiqua" w:eastAsia="SimSun" w:hAnsi="Book Antiqua"/>
          <w:sz w:val="24"/>
          <w:szCs w:val="24"/>
          <w:lang w:val="en-US" w:eastAsia="zh-CN"/>
        </w:rPr>
      </w:pPr>
    </w:p>
    <w:p w14:paraId="25EA3239" w14:textId="71DA6455" w:rsidR="00173F68" w:rsidRPr="00173F68" w:rsidRDefault="00173F68" w:rsidP="00265BAF">
      <w:pPr>
        <w:adjustRightInd w:val="0"/>
        <w:snapToGrid w:val="0"/>
        <w:spacing w:after="0" w:line="360" w:lineRule="auto"/>
        <w:rPr>
          <w:rFonts w:ascii="Book Antiqua" w:eastAsia="SimSun" w:hAnsi="Book Antiqua"/>
          <w:sz w:val="24"/>
          <w:lang w:eastAsia="zh-CN"/>
        </w:rPr>
      </w:pPr>
      <w:bookmarkStart w:id="44" w:name="OLE_LINK363"/>
      <w:bookmarkStart w:id="45" w:name="OLE_LINK364"/>
      <w:bookmarkStart w:id="46" w:name="OLE_LINK359"/>
      <w:bookmarkStart w:id="47" w:name="OLE_LINK1037"/>
      <w:bookmarkStart w:id="48" w:name="OLE_LINK1195"/>
      <w:bookmarkStart w:id="49" w:name="OLE_LINK1140"/>
      <w:bookmarkStart w:id="50" w:name="OLE_LINK1062"/>
      <w:bookmarkStart w:id="51" w:name="OLE_LINK500"/>
      <w:r w:rsidRPr="00EC68EF">
        <w:rPr>
          <w:rFonts w:ascii="Book Antiqua" w:hAnsi="Book Antiqua" w:hint="eastAsia"/>
          <w:b/>
          <w:sz w:val="24"/>
        </w:rPr>
        <w:t>©</w:t>
      </w:r>
      <w:r w:rsidRPr="00EC68EF">
        <w:rPr>
          <w:rFonts w:ascii="Book Antiqua" w:hAnsi="Book Antiqua"/>
          <w:b/>
          <w:sz w:val="24"/>
        </w:rPr>
        <w:t xml:space="preserve"> The Author(s) 2015.</w:t>
      </w:r>
      <w:r w:rsidRPr="00EC68EF">
        <w:rPr>
          <w:rFonts w:ascii="Book Antiqua" w:hAnsi="Book Antiqua"/>
          <w:sz w:val="24"/>
        </w:rPr>
        <w:t xml:space="preserve"> Published by Baishideng Publishing Group Inc. All rights reserved.</w:t>
      </w:r>
      <w:bookmarkEnd w:id="44"/>
      <w:bookmarkEnd w:id="45"/>
      <w:bookmarkEnd w:id="46"/>
      <w:bookmarkEnd w:id="47"/>
      <w:bookmarkEnd w:id="48"/>
      <w:bookmarkEnd w:id="49"/>
      <w:bookmarkEnd w:id="50"/>
      <w:bookmarkEnd w:id="51"/>
    </w:p>
    <w:p w14:paraId="466D9A9F" w14:textId="77777777" w:rsidR="00A87E25" w:rsidRPr="006479DA" w:rsidRDefault="00A87E25" w:rsidP="00265BAF">
      <w:pPr>
        <w:spacing w:after="0" w:line="360" w:lineRule="auto"/>
        <w:jc w:val="both"/>
        <w:rPr>
          <w:rFonts w:ascii="Book Antiqua" w:hAnsi="Book Antiqua"/>
          <w:b/>
          <w:sz w:val="24"/>
          <w:szCs w:val="24"/>
          <w:lang w:val="en-US"/>
        </w:rPr>
      </w:pPr>
    </w:p>
    <w:p w14:paraId="14FD954E" w14:textId="632F4F4E" w:rsidR="002A4B64" w:rsidRPr="006479DA" w:rsidRDefault="00A87E25" w:rsidP="00265BAF">
      <w:pPr>
        <w:spacing w:after="0" w:line="360" w:lineRule="auto"/>
        <w:jc w:val="both"/>
        <w:rPr>
          <w:rFonts w:ascii="Book Antiqua" w:hAnsi="Book Antiqua"/>
          <w:sz w:val="24"/>
          <w:szCs w:val="24"/>
          <w:lang w:val="en-US"/>
        </w:rPr>
      </w:pPr>
      <w:r w:rsidRPr="006479DA">
        <w:rPr>
          <w:rFonts w:ascii="Book Antiqua" w:hAnsi="Book Antiqua"/>
          <w:b/>
          <w:sz w:val="24"/>
          <w:szCs w:val="24"/>
          <w:lang w:val="en-US"/>
        </w:rPr>
        <w:t>Core tip:</w:t>
      </w:r>
      <w:r w:rsidR="00173F68">
        <w:rPr>
          <w:rFonts w:ascii="Book Antiqua" w:eastAsia="SimSun" w:hAnsi="Book Antiqua" w:hint="eastAsia"/>
          <w:sz w:val="24"/>
          <w:szCs w:val="24"/>
          <w:lang w:val="en-US" w:eastAsia="zh-CN"/>
        </w:rPr>
        <w:t xml:space="preserve"> </w:t>
      </w:r>
      <w:r w:rsidR="000E0EEE" w:rsidRPr="006479DA">
        <w:rPr>
          <w:rFonts w:ascii="Book Antiqua" w:hAnsi="Book Antiqua"/>
          <w:sz w:val="24"/>
          <w:szCs w:val="24"/>
          <w:lang w:val="en-US"/>
        </w:rPr>
        <w:t>Increased intestinal permeability (IP) is a frequent phenomenon in patients with cirrhosis and has been linked to pathological bacterial translocation, bacterial infections and mortality in retrospective studies. In this prospective study on 46 patients with cirrhosis we show that</w:t>
      </w:r>
      <w:r w:rsidR="002A4B64" w:rsidRPr="006479DA">
        <w:rPr>
          <w:rFonts w:ascii="Book Antiqua" w:hAnsi="Book Antiqua"/>
          <w:sz w:val="24"/>
          <w:szCs w:val="24"/>
          <w:lang w:val="en-US"/>
        </w:rPr>
        <w:t xml:space="preserve"> increased small-bowel</w:t>
      </w:r>
      <w:r w:rsidR="000E0EEE" w:rsidRPr="006479DA">
        <w:rPr>
          <w:rFonts w:ascii="Book Antiqua" w:hAnsi="Book Antiqua"/>
          <w:sz w:val="24"/>
          <w:szCs w:val="24"/>
          <w:lang w:val="en-US"/>
        </w:rPr>
        <w:t xml:space="preserve"> </w:t>
      </w:r>
      <w:r w:rsidR="002A4B64" w:rsidRPr="006479DA">
        <w:rPr>
          <w:rFonts w:ascii="Book Antiqua" w:hAnsi="Book Antiqua"/>
          <w:sz w:val="24"/>
          <w:szCs w:val="24"/>
          <w:lang w:val="en-US"/>
        </w:rPr>
        <w:t>IP, quantified using the lactulose/mannitol</w:t>
      </w:r>
      <w:r w:rsidR="00173F68">
        <w:rPr>
          <w:rFonts w:ascii="Book Antiqua" w:eastAsia="SimSun" w:hAnsi="Book Antiqua" w:hint="eastAsia"/>
          <w:sz w:val="24"/>
          <w:szCs w:val="24"/>
          <w:lang w:val="en-US" w:eastAsia="zh-CN"/>
        </w:rPr>
        <w:t xml:space="preserve"> </w:t>
      </w:r>
      <w:r w:rsidR="002A4B64" w:rsidRPr="006479DA">
        <w:rPr>
          <w:rFonts w:ascii="Book Antiqua" w:hAnsi="Book Antiqua"/>
          <w:sz w:val="24"/>
          <w:szCs w:val="24"/>
          <w:lang w:val="en-US"/>
        </w:rPr>
        <w:t xml:space="preserve">test, </w:t>
      </w:r>
      <w:r w:rsidR="000E0EEE" w:rsidRPr="006479DA">
        <w:rPr>
          <w:rFonts w:ascii="Book Antiqua" w:hAnsi="Book Antiqua"/>
          <w:sz w:val="24"/>
          <w:szCs w:val="24"/>
          <w:lang w:val="en-US" w:eastAsia="de-DE"/>
        </w:rPr>
        <w:t>is frequent</w:t>
      </w:r>
      <w:r w:rsidR="00636216" w:rsidRPr="006479DA">
        <w:rPr>
          <w:rFonts w:ascii="Book Antiqua" w:hAnsi="Book Antiqua"/>
          <w:sz w:val="24"/>
          <w:szCs w:val="24"/>
          <w:lang w:val="en-US" w:eastAsia="de-DE"/>
        </w:rPr>
        <w:t>ly observed</w:t>
      </w:r>
      <w:r w:rsidR="000E0EEE" w:rsidRPr="006479DA">
        <w:rPr>
          <w:rFonts w:ascii="Book Antiqua" w:hAnsi="Book Antiqua"/>
          <w:sz w:val="24"/>
          <w:szCs w:val="24"/>
          <w:lang w:val="en-US" w:eastAsia="de-DE"/>
        </w:rPr>
        <w:t xml:space="preserve"> </w:t>
      </w:r>
      <w:r w:rsidR="00636216" w:rsidRPr="006479DA">
        <w:rPr>
          <w:rFonts w:ascii="Book Antiqua" w:hAnsi="Book Antiqua"/>
          <w:sz w:val="24"/>
          <w:szCs w:val="24"/>
          <w:lang w:val="en-US" w:eastAsia="de-DE"/>
        </w:rPr>
        <w:t>and</w:t>
      </w:r>
      <w:r w:rsidR="002A4B64" w:rsidRPr="006479DA">
        <w:rPr>
          <w:rFonts w:ascii="Book Antiqua" w:hAnsi="Book Antiqua"/>
          <w:sz w:val="24"/>
          <w:szCs w:val="24"/>
          <w:lang w:val="en-US" w:eastAsia="de-DE"/>
        </w:rPr>
        <w:t xml:space="preserve"> correlates with inflammation and Child-Pugh stage. Although </w:t>
      </w:r>
      <w:r w:rsidR="00636216" w:rsidRPr="006479DA">
        <w:rPr>
          <w:rFonts w:ascii="Book Antiqua" w:hAnsi="Book Antiqua"/>
          <w:sz w:val="24"/>
          <w:szCs w:val="24"/>
          <w:lang w:val="en-US" w:eastAsia="de-DE"/>
        </w:rPr>
        <w:t xml:space="preserve">a </w:t>
      </w:r>
      <w:r w:rsidR="002A4B64" w:rsidRPr="006479DA">
        <w:rPr>
          <w:rFonts w:ascii="Book Antiqua" w:hAnsi="Book Antiqua"/>
          <w:sz w:val="24"/>
          <w:szCs w:val="24"/>
          <w:lang w:val="en-US" w:eastAsia="de-DE"/>
        </w:rPr>
        <w:t>higher IP index indicated</w:t>
      </w:r>
      <w:r w:rsidR="000E0EEE" w:rsidRPr="006479DA">
        <w:rPr>
          <w:rFonts w:ascii="Book Antiqua" w:hAnsi="Book Antiqua"/>
          <w:sz w:val="24"/>
          <w:szCs w:val="24"/>
          <w:lang w:val="en-US" w:eastAsia="de-DE"/>
        </w:rPr>
        <w:t xml:space="preserve"> </w:t>
      </w:r>
      <w:r w:rsidR="00636216" w:rsidRPr="006479DA">
        <w:rPr>
          <w:rFonts w:ascii="Book Antiqua" w:hAnsi="Book Antiqua"/>
          <w:sz w:val="24"/>
          <w:szCs w:val="24"/>
          <w:lang w:val="en-US" w:eastAsia="de-DE"/>
        </w:rPr>
        <w:t>an increased risk for developing spontaneous bacterial peritonitis</w:t>
      </w:r>
      <w:r w:rsidR="002A4B64" w:rsidRPr="006479DA">
        <w:rPr>
          <w:rFonts w:ascii="Book Antiqua" w:hAnsi="Book Antiqua"/>
          <w:sz w:val="24"/>
          <w:szCs w:val="24"/>
          <w:lang w:val="en-US" w:eastAsia="de-DE"/>
        </w:rPr>
        <w:t xml:space="preserve">, it failed </w:t>
      </w:r>
      <w:r w:rsidR="000E0EEE" w:rsidRPr="006479DA">
        <w:rPr>
          <w:rFonts w:ascii="Book Antiqua" w:hAnsi="Book Antiqua"/>
          <w:sz w:val="24"/>
          <w:szCs w:val="24"/>
          <w:lang w:val="en-US" w:eastAsia="de-DE"/>
        </w:rPr>
        <w:t xml:space="preserve">to predict </w:t>
      </w:r>
      <w:r w:rsidR="002A4B64" w:rsidRPr="006479DA">
        <w:rPr>
          <w:rFonts w:ascii="Book Antiqua" w:hAnsi="Book Antiqua"/>
          <w:sz w:val="24"/>
          <w:szCs w:val="24"/>
          <w:lang w:val="en-US" w:eastAsia="de-DE"/>
        </w:rPr>
        <w:t>the pre-defined endpoints</w:t>
      </w:r>
      <w:r w:rsidR="00636216" w:rsidRPr="006479DA">
        <w:rPr>
          <w:rFonts w:ascii="Book Antiqua" w:hAnsi="Book Antiqua"/>
          <w:sz w:val="24"/>
          <w:szCs w:val="24"/>
          <w:lang w:val="en-US" w:eastAsia="de-DE"/>
        </w:rPr>
        <w:t xml:space="preserve"> </w:t>
      </w:r>
      <w:r w:rsidR="000E0EEE" w:rsidRPr="006479DA">
        <w:rPr>
          <w:rFonts w:ascii="Book Antiqua" w:hAnsi="Book Antiqua"/>
          <w:sz w:val="24"/>
          <w:szCs w:val="24"/>
          <w:lang w:val="en-US" w:eastAsia="de-DE"/>
        </w:rPr>
        <w:t>infection-free and overall survival. In contrast</w:t>
      </w:r>
      <w:r w:rsidR="002A4B64" w:rsidRPr="006479DA">
        <w:rPr>
          <w:rFonts w:ascii="Book Antiqua" w:hAnsi="Book Antiqua"/>
          <w:sz w:val="24"/>
          <w:szCs w:val="24"/>
          <w:lang w:val="en-US" w:eastAsia="de-DE"/>
        </w:rPr>
        <w:t xml:space="preserve">, </w:t>
      </w:r>
      <w:r w:rsidR="008630C6" w:rsidRPr="006479DA">
        <w:rPr>
          <w:rFonts w:ascii="Book Antiqua" w:hAnsi="Book Antiqua"/>
          <w:sz w:val="24"/>
          <w:szCs w:val="24"/>
          <w:lang w:val="en-US"/>
        </w:rPr>
        <w:t xml:space="preserve">the model of end-stage liver disease </w:t>
      </w:r>
      <w:r w:rsidR="00FE7211" w:rsidRPr="006479DA">
        <w:rPr>
          <w:rFonts w:ascii="Book Antiqua" w:hAnsi="Book Antiqua"/>
          <w:sz w:val="24"/>
          <w:szCs w:val="24"/>
          <w:lang w:val="en-US"/>
        </w:rPr>
        <w:t xml:space="preserve">and </w:t>
      </w:r>
      <w:r w:rsidR="002A4B64" w:rsidRPr="006479DA">
        <w:rPr>
          <w:rFonts w:ascii="Book Antiqua" w:hAnsi="Book Antiqua"/>
          <w:sz w:val="24"/>
          <w:szCs w:val="24"/>
          <w:lang w:val="en-US"/>
        </w:rPr>
        <w:t xml:space="preserve">Child-Pugh score, </w:t>
      </w:r>
      <w:r w:rsidR="00636216" w:rsidRPr="006479DA">
        <w:rPr>
          <w:rFonts w:ascii="Book Antiqua" w:hAnsi="Book Antiqua"/>
          <w:sz w:val="24"/>
          <w:szCs w:val="24"/>
          <w:lang w:val="en-US"/>
        </w:rPr>
        <w:t xml:space="preserve">the presence of </w:t>
      </w:r>
      <w:r w:rsidR="002A4B64" w:rsidRPr="006479DA">
        <w:rPr>
          <w:rFonts w:ascii="Book Antiqua" w:hAnsi="Book Antiqua"/>
          <w:sz w:val="24"/>
          <w:szCs w:val="24"/>
          <w:lang w:val="en-US"/>
        </w:rPr>
        <w:t xml:space="preserve">ascites, </w:t>
      </w:r>
      <w:r w:rsidR="00636216" w:rsidRPr="006479DA">
        <w:rPr>
          <w:rFonts w:ascii="Book Antiqua" w:hAnsi="Book Antiqua"/>
          <w:sz w:val="24"/>
          <w:szCs w:val="24"/>
          <w:lang w:val="en-US"/>
        </w:rPr>
        <w:t xml:space="preserve">and higher </w:t>
      </w:r>
      <w:r w:rsidR="002A4B64" w:rsidRPr="006479DA">
        <w:rPr>
          <w:rFonts w:ascii="Book Antiqua" w:hAnsi="Book Antiqua"/>
          <w:sz w:val="24"/>
          <w:szCs w:val="24"/>
          <w:lang w:val="en-US"/>
        </w:rPr>
        <w:t>serum</w:t>
      </w:r>
      <w:r w:rsidR="00636216" w:rsidRPr="006479DA">
        <w:rPr>
          <w:rFonts w:ascii="Book Antiqua" w:hAnsi="Book Antiqua"/>
          <w:sz w:val="24"/>
          <w:szCs w:val="24"/>
          <w:lang w:val="en-US"/>
        </w:rPr>
        <w:t xml:space="preserve"> levels of</w:t>
      </w:r>
      <w:r w:rsidR="002A4B64" w:rsidRPr="006479DA">
        <w:rPr>
          <w:rFonts w:ascii="Book Antiqua" w:hAnsi="Book Antiqua"/>
          <w:sz w:val="24"/>
          <w:szCs w:val="24"/>
          <w:lang w:val="en-US"/>
        </w:rPr>
        <w:t xml:space="preserve"> </w:t>
      </w:r>
      <w:r w:rsidR="00636216" w:rsidRPr="006479DA">
        <w:rPr>
          <w:rFonts w:ascii="Book Antiqua" w:hAnsi="Book Antiqua"/>
          <w:sz w:val="24"/>
          <w:szCs w:val="24"/>
          <w:lang w:val="en-US"/>
        </w:rPr>
        <w:t>interleukin</w:t>
      </w:r>
      <w:r w:rsidR="002A4B64" w:rsidRPr="006479DA">
        <w:rPr>
          <w:rFonts w:ascii="Book Antiqua" w:hAnsi="Book Antiqua"/>
          <w:sz w:val="24"/>
          <w:szCs w:val="24"/>
          <w:lang w:val="en-US"/>
        </w:rPr>
        <w:t xml:space="preserve">-6 </w:t>
      </w:r>
      <w:r w:rsidR="00636216" w:rsidRPr="006479DA">
        <w:rPr>
          <w:rFonts w:ascii="Book Antiqua" w:hAnsi="Book Antiqua"/>
          <w:sz w:val="24"/>
          <w:szCs w:val="24"/>
          <w:lang w:val="en-US"/>
        </w:rPr>
        <w:t xml:space="preserve">or intestinal fatty-acid binding protein </w:t>
      </w:r>
      <w:r w:rsidR="002A4B64" w:rsidRPr="006479DA">
        <w:rPr>
          <w:rFonts w:ascii="Book Antiqua" w:hAnsi="Book Antiqua"/>
          <w:sz w:val="24"/>
          <w:szCs w:val="24"/>
          <w:lang w:val="en-US"/>
        </w:rPr>
        <w:t xml:space="preserve">were significant univariate predictors of infection-free survival. </w:t>
      </w:r>
      <w:r w:rsidR="00636216" w:rsidRPr="006479DA">
        <w:rPr>
          <w:rFonts w:ascii="Book Antiqua" w:hAnsi="Book Antiqua"/>
          <w:sz w:val="24"/>
          <w:szCs w:val="24"/>
          <w:lang w:val="en-US"/>
        </w:rPr>
        <w:t>Thus, the high prevalence of pathological test results in advanced cirrhosis and the lack of association with mortality limit the use of dual-sugar tests as tool for risk stratification in clinical practice.</w:t>
      </w:r>
    </w:p>
    <w:p w14:paraId="17456696" w14:textId="77777777" w:rsidR="002A4B64" w:rsidRPr="006479DA" w:rsidRDefault="002A4B64" w:rsidP="00265BAF">
      <w:pPr>
        <w:spacing w:after="0" w:line="360" w:lineRule="auto"/>
        <w:jc w:val="both"/>
        <w:rPr>
          <w:rFonts w:ascii="Book Antiqua" w:eastAsia="SimSun" w:hAnsi="Book Antiqua"/>
          <w:sz w:val="24"/>
          <w:szCs w:val="24"/>
          <w:lang w:val="en-US" w:eastAsia="zh-CN"/>
        </w:rPr>
      </w:pPr>
    </w:p>
    <w:p w14:paraId="4DCE8D12" w14:textId="3A356982" w:rsidR="002A4B64" w:rsidRPr="00173F68" w:rsidRDefault="002A4B64" w:rsidP="00265BAF">
      <w:pPr>
        <w:spacing w:after="0" w:line="360" w:lineRule="auto"/>
        <w:jc w:val="both"/>
        <w:rPr>
          <w:rFonts w:ascii="Book Antiqua" w:eastAsia="SimSun" w:hAnsi="Book Antiqua"/>
          <w:sz w:val="24"/>
          <w:szCs w:val="24"/>
          <w:lang w:val="en-US" w:eastAsia="zh-CN"/>
        </w:rPr>
      </w:pPr>
      <w:r w:rsidRPr="00173F68">
        <w:rPr>
          <w:rFonts w:ascii="Book Antiqua" w:hAnsi="Book Antiqua"/>
          <w:sz w:val="24"/>
          <w:szCs w:val="24"/>
          <w:lang w:val="en-US"/>
        </w:rPr>
        <w:t>Vogt A, Reuken PA, Stengel S, Stallmach A, Bruns T.</w:t>
      </w:r>
      <w:r w:rsidR="00173F68">
        <w:rPr>
          <w:rFonts w:ascii="Book Antiqua" w:eastAsia="SimSun" w:hAnsi="Book Antiqua" w:hint="eastAsia"/>
          <w:sz w:val="24"/>
          <w:szCs w:val="24"/>
          <w:lang w:val="en-US" w:eastAsia="zh-CN"/>
        </w:rPr>
        <w:t xml:space="preserve"> </w:t>
      </w:r>
      <w:r w:rsidR="007D4F91" w:rsidRPr="00173F68">
        <w:rPr>
          <w:rFonts w:ascii="Book Antiqua" w:hAnsi="Book Antiqua"/>
          <w:sz w:val="24"/>
          <w:szCs w:val="24"/>
          <w:lang w:val="en-US"/>
        </w:rPr>
        <w:t>Dual-</w:t>
      </w:r>
      <w:r w:rsidR="00173F68" w:rsidRPr="00173F68">
        <w:rPr>
          <w:rFonts w:ascii="Book Antiqua" w:hAnsi="Book Antiqua"/>
          <w:sz w:val="24"/>
          <w:szCs w:val="24"/>
          <w:lang w:val="en-US"/>
        </w:rPr>
        <w:t xml:space="preserve">sugar tests of small intestinal permeability are poor predictors of bacterial infections and mortality </w:t>
      </w:r>
      <w:r w:rsidR="00391046">
        <w:rPr>
          <w:rFonts w:ascii="Book Antiqua" w:eastAsia="SimSun" w:hAnsi="Book Antiqua" w:hint="eastAsia"/>
          <w:sz w:val="24"/>
          <w:szCs w:val="24"/>
          <w:lang w:val="en-US" w:eastAsia="zh-CN"/>
        </w:rPr>
        <w:t xml:space="preserve">in </w:t>
      </w:r>
      <w:r w:rsidR="00173F68" w:rsidRPr="00173F68">
        <w:rPr>
          <w:rFonts w:ascii="Book Antiqua" w:hAnsi="Book Antiqua"/>
          <w:sz w:val="24"/>
          <w:szCs w:val="24"/>
          <w:lang w:val="en-US"/>
        </w:rPr>
        <w:t xml:space="preserve">cirrhosis: </w:t>
      </w:r>
      <w:r w:rsidR="00173F68" w:rsidRPr="00173F68">
        <w:rPr>
          <w:rFonts w:ascii="Book Antiqua" w:hAnsi="Book Antiqua"/>
          <w:caps/>
          <w:sz w:val="24"/>
          <w:szCs w:val="24"/>
          <w:lang w:val="en-US"/>
        </w:rPr>
        <w:t>a</w:t>
      </w:r>
      <w:r w:rsidR="00173F68" w:rsidRPr="00173F68">
        <w:rPr>
          <w:rFonts w:ascii="Book Antiqua" w:hAnsi="Book Antiqua"/>
          <w:sz w:val="24"/>
          <w:szCs w:val="24"/>
          <w:lang w:val="en-US"/>
        </w:rPr>
        <w:t xml:space="preserve"> prospective study</w:t>
      </w:r>
      <w:r w:rsidR="00173F68" w:rsidRPr="00173F68">
        <w:rPr>
          <w:rFonts w:ascii="Book Antiqua" w:eastAsia="SimSun" w:hAnsi="Book Antiqua"/>
          <w:sz w:val="24"/>
          <w:szCs w:val="24"/>
          <w:lang w:val="en-US" w:eastAsia="zh-CN"/>
        </w:rPr>
        <w:t>.</w:t>
      </w:r>
      <w:r w:rsidR="00173F68">
        <w:rPr>
          <w:rFonts w:ascii="Book Antiqua" w:eastAsia="SimSun" w:hAnsi="Book Antiqua" w:hint="eastAsia"/>
          <w:sz w:val="24"/>
          <w:szCs w:val="24"/>
          <w:lang w:val="en-US" w:eastAsia="zh-CN"/>
        </w:rPr>
        <w:t xml:space="preserve"> </w:t>
      </w:r>
      <w:r w:rsidR="005C21B0" w:rsidRPr="00173F68">
        <w:rPr>
          <w:rFonts w:ascii="Book Antiqua" w:hAnsi="Book Antiqua"/>
          <w:i/>
          <w:sz w:val="24"/>
          <w:szCs w:val="24"/>
        </w:rPr>
        <w:t xml:space="preserve">World J Gastroenterol </w:t>
      </w:r>
      <w:r w:rsidR="005C21B0" w:rsidRPr="00173F68">
        <w:rPr>
          <w:rFonts w:ascii="Book Antiqua" w:hAnsi="Book Antiqua"/>
          <w:sz w:val="24"/>
          <w:szCs w:val="24"/>
        </w:rPr>
        <w:t>2015; In press</w:t>
      </w:r>
    </w:p>
    <w:p w14:paraId="4E86978B" w14:textId="60B35211" w:rsidR="000770BB" w:rsidRPr="006479DA" w:rsidRDefault="000770BB" w:rsidP="00265BAF">
      <w:pPr>
        <w:spacing w:after="0" w:line="360" w:lineRule="auto"/>
        <w:jc w:val="both"/>
        <w:rPr>
          <w:rFonts w:ascii="Book Antiqua" w:eastAsiaTheme="majorEastAsia" w:hAnsi="Book Antiqua"/>
          <w:b/>
          <w:bCs/>
          <w:sz w:val="24"/>
          <w:szCs w:val="24"/>
          <w:lang w:val="en-US"/>
        </w:rPr>
      </w:pPr>
    </w:p>
    <w:p w14:paraId="746349D8" w14:textId="5669CC82" w:rsidR="000C4303" w:rsidRPr="006479DA" w:rsidRDefault="00265DDA" w:rsidP="00265BAF">
      <w:pPr>
        <w:spacing w:after="0" w:line="360" w:lineRule="auto"/>
        <w:jc w:val="both"/>
        <w:rPr>
          <w:rFonts w:ascii="Book Antiqua" w:hAnsi="Book Antiqua"/>
          <w:caps/>
          <w:sz w:val="24"/>
          <w:szCs w:val="24"/>
          <w:lang w:val="en-US"/>
        </w:rPr>
      </w:pPr>
      <w:r w:rsidRPr="006479DA">
        <w:rPr>
          <w:rFonts w:ascii="Book Antiqua" w:hAnsi="Book Antiqua"/>
          <w:b/>
          <w:sz w:val="24"/>
          <w:szCs w:val="24"/>
          <w:lang w:val="en-US"/>
        </w:rPr>
        <w:br w:type="page"/>
      </w:r>
      <w:r w:rsidR="002A4B64" w:rsidRPr="006479DA">
        <w:rPr>
          <w:rFonts w:ascii="Book Antiqua" w:hAnsi="Book Antiqua"/>
          <w:b/>
          <w:caps/>
          <w:sz w:val="24"/>
          <w:szCs w:val="24"/>
          <w:lang w:val="en-US"/>
        </w:rPr>
        <w:lastRenderedPageBreak/>
        <w:t>INTRODUCTION</w:t>
      </w:r>
    </w:p>
    <w:p w14:paraId="52924B7B" w14:textId="3288F02E" w:rsidR="00312570" w:rsidRPr="006479DA" w:rsidRDefault="00442EE6" w:rsidP="00265BAF">
      <w:pPr>
        <w:spacing w:after="0" w:line="360" w:lineRule="auto"/>
        <w:jc w:val="both"/>
        <w:rPr>
          <w:rFonts w:ascii="Book Antiqua" w:eastAsia="SimSun" w:hAnsi="Book Antiqua"/>
          <w:sz w:val="24"/>
          <w:szCs w:val="24"/>
          <w:lang w:val="en-US" w:eastAsia="zh-CN"/>
        </w:rPr>
      </w:pPr>
      <w:r w:rsidRPr="006479DA">
        <w:rPr>
          <w:rFonts w:ascii="Book Antiqua" w:hAnsi="Book Antiqua"/>
          <w:sz w:val="24"/>
          <w:szCs w:val="24"/>
          <w:lang w:val="en-US"/>
        </w:rPr>
        <w:t xml:space="preserve">Bacterial infections are diagnosed </w:t>
      </w:r>
      <w:r w:rsidR="009231E0" w:rsidRPr="006479DA">
        <w:rPr>
          <w:rFonts w:ascii="Book Antiqua" w:hAnsi="Book Antiqua"/>
          <w:sz w:val="24"/>
          <w:szCs w:val="24"/>
          <w:lang w:val="en-US"/>
        </w:rPr>
        <w:t xml:space="preserve">in </w:t>
      </w:r>
      <w:r w:rsidR="00091116" w:rsidRPr="006479DA">
        <w:rPr>
          <w:rFonts w:ascii="Book Antiqua" w:hAnsi="Book Antiqua"/>
          <w:sz w:val="24"/>
          <w:szCs w:val="24"/>
          <w:lang w:val="en-US"/>
        </w:rPr>
        <w:t>25</w:t>
      </w:r>
      <w:r w:rsidR="00F329AD" w:rsidRPr="006479DA">
        <w:rPr>
          <w:rFonts w:ascii="Book Antiqua" w:hAnsi="Book Antiqua"/>
          <w:sz w:val="24"/>
          <w:szCs w:val="24"/>
          <w:lang w:val="en-US"/>
        </w:rPr>
        <w:t>%</w:t>
      </w:r>
      <w:r w:rsidR="00091116" w:rsidRPr="006479DA">
        <w:rPr>
          <w:rFonts w:ascii="Book Antiqua" w:hAnsi="Book Antiqua"/>
          <w:sz w:val="24"/>
          <w:szCs w:val="24"/>
          <w:lang w:val="en-US"/>
        </w:rPr>
        <w:t xml:space="preserve"> to 47% of </w:t>
      </w:r>
      <w:r w:rsidRPr="006479DA">
        <w:rPr>
          <w:rFonts w:ascii="Book Antiqua" w:hAnsi="Book Antiqua"/>
          <w:sz w:val="24"/>
          <w:szCs w:val="24"/>
          <w:lang w:val="en-US"/>
        </w:rPr>
        <w:t>hospitalize</w:t>
      </w:r>
      <w:r w:rsidR="009231E0" w:rsidRPr="006479DA">
        <w:rPr>
          <w:rFonts w:ascii="Book Antiqua" w:hAnsi="Book Antiqua"/>
          <w:sz w:val="24"/>
          <w:szCs w:val="24"/>
          <w:lang w:val="en-US"/>
        </w:rPr>
        <w:t>d</w:t>
      </w:r>
      <w:r w:rsidRPr="006479DA">
        <w:rPr>
          <w:rFonts w:ascii="Book Antiqua" w:hAnsi="Book Antiqua"/>
          <w:sz w:val="24"/>
          <w:szCs w:val="24"/>
          <w:lang w:val="en-US"/>
        </w:rPr>
        <w:t xml:space="preserve"> patients </w:t>
      </w:r>
      <w:r w:rsidR="00091116" w:rsidRPr="006479DA">
        <w:rPr>
          <w:rFonts w:ascii="Book Antiqua" w:hAnsi="Book Antiqua"/>
          <w:sz w:val="24"/>
          <w:szCs w:val="24"/>
          <w:lang w:val="en-US"/>
        </w:rPr>
        <w:t>with</w:t>
      </w:r>
      <w:r w:rsidRPr="006479DA">
        <w:rPr>
          <w:rFonts w:ascii="Book Antiqua" w:hAnsi="Book Antiqua"/>
          <w:sz w:val="24"/>
          <w:szCs w:val="24"/>
          <w:lang w:val="en-US"/>
        </w:rPr>
        <w:t xml:space="preserve"> cirrhosis</w:t>
      </w:r>
      <w:r w:rsidR="007536F7"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{"citationID":"OEOqsvat","properties":{"formattedCitation":"{\\rtf \\super [1\\uc0\\u8211{}4]\\nosupersub{}}","plainCitation":"[1–4]"},"citationItems":[{"id":7,"uris":["http://zotero.org/users/1744959/items/9SKJP43E"],"uri":["http://zotero.org/users/1744959/items/9SKJP43E"],"itemData":{"id":7,"type":"article-journal","title":"A prospective study of bacterial infections in patients with cirrhosis","container-title":"Journal of hepatology","page":"353-358","volume":"18","issue":"3","source":"NCBI PubMed","abstract":"One hundred and seventy hospitalized patients with cirrhosis were included in a prospective and sequential study, to verify the prevalence and most frequent causes of bacterial infection. The differences in clinical and laboratory data between the two groups were analyzed: group I--80 patients who developed bacterial infection and group II--90 patients without bacterial infection. The prevalence or cumulative frequency of the development of bacterial infection during one hospitalization was 47.06%. Among these, the most frequent types of infection were: spontaneous bacterial peritonitis (SBP): 31.07%, urinary tract infection (UTI): 25.24% and pneumonia: 21.37%. Community infections were more frequent (56.25%) than nosocomial infections (32.50%) and they occurred sequentially in 11.25% of the cases. The agents responsible were gram negative bacteria in 72.34% of the cases. Clinical and biochemical parameters in bacterial infection were generally correlated with the severity of liver disease. Child-Pugh classification showed a predominance of class C in infected cirrhotic patients compared to non-infected ones. During hospitalization, the mortality rate of group I was 30% whereas in group II it was 5.55% (P = 0.0001). SBP and pneumonia were the most severe types of infection, with high mortality rates, 31.25% and 40.91%, respectively. These results indicate that bacterial infection is a severe complication in the course of cirrhosis.","ISSN":"0168-8278","note":"PMID: 8228129","journalAbbreviation":"J. Hepatol.","language":"eng","author":[{"family":"Caly","given":"W R"},{"family":"Strauss","given":"E"}],"issued":{"date-parts":[["1993",7]]},"PMID":"8228129"}},{"id":5,"uris":["http://zotero.org/users/1744959/items/BTPJU2TN"],"uri":["http://zotero.org/users/1744959/items/BTPJU2TN"],"itemData":{"id":5,"type":"article-journal","title":"Bacterial infection in patients with advanced cirrhosis: a multicentre prospective study","container-title":"Digestive and liver disease: official journal of the Italian Society of Gastroenterology and the Italian Association for the Study of the Liver","page":"41-48","volume":"33","issue":"1","source":"NCBI PubMed","abstract":"AIMS: To evaluate the prevalence, incidence and clinical relevance of bacterial infection in predominantly non-alcoholic cirrhotic patients hospitalised for decompensation.\nPATIENTS/METHODS: A total of 405 consecutive admissions in 361 patients (249 males and 112 females; 66 Child-Pugh class B and 295 class C) were analysed. Blood, urine, ascitic and pleural fluid cultures were performed within the first 24 hours, during hospitalisation whenever infection was suspected, and again before discharge.\nRESULTS: Over a one year period, 150 (34%) bacterial infections (89 community- and 61 hospital-acquired) involving urinary tract (41%), ascites (23%), blood (21%) and respiratory tract (17%) were diagnosed. The prevalence of bacterial peritonitis was 12%. Infections were asymptomatic in 69 cases (46%) and 130 (87%) involved a single site. Enteric flora accounted for 62% of infections, Escherichia Coli being the most frequent pathogen (25%). Community-acquired infections were associated with more advanced liver disease (Child-Pugh mean score 10.2+/-2.1 versus 9.5+/-1.9, p&lt;0.05), renal failure (p&lt;0.05), and high white blood cell count (p&lt;0.01). Hospital-acquired infections occurred more frequently in patients admitted for gastrointestinal bleeding (p&lt;0.05). The in-hospital mortality was significantly higher in infected than in non-infected patients (15% versus 7%, p&lt;0.05), and infection emerged as an independent variable affecting survival. Moreover bacterial infection accounted for a significantly prolonged hospital stay.\nCONCLUSIONS: Bacterial infection, regardless of the aetiology, is a severe complication of decompensated cirrhosis, and, although frequently asymptomatic, accounts for both longer hospital stay and increased mortality.","ISSN":"1590-8658","note":"PMID: 11303974","shortTitle":"Bacterial infection in patients with advanced cirrhosis","journalAbbreviation":"Dig Liver Dis","language":"eng","author":[{"family":"Borzio","given":"M"},{"family":"Salerno","given":"F"},{"family":"Piantoni","given":"L"},{"family":"Cazzaniga","given":"M"},{"family":"Angeli","given":"P"},{"family":"Bissoli","given":"F"},{"family":"Boccia","given":"S"},{"family":"Colloredo-Mels","given":"G"},{"family":"Corigliano","given":"P"},{"family":"Fornaciari","given":"G"},{"family":"Marenco","given":"G"},{"family":"Pistarà","given":"R"},{"family":"Salvagnini","given":"M"},{"family":"Sangiovanni","given":"A"}],"issued":{"date-parts":[["2001",2]]},"PMID":"11303974"}},{"id":13,"uris":["http://zotero.org/users/1744959/items/Z59M5N2T"],"uri":["http://zotero.org/users/1744959/items/Z59M5N2T"],"itemData":{"id":13,"type":"article-journal","title":"Bacterial infections in cirrhosis: epidemiological changes with invasive procedures and norfloxacin prophylaxis","container-title":"Hepatology (Baltimore, Md.)","page":"140-148","volume":"35","issue":"1","source":"NCBI PubMed","abstract":"The extensive use of invasive procedures and of long-term norfloxacin prophylaxis in the management of cirrhotic patients may have influenced the epidemiology of bacterial infections in cirrhosis. We conducted a prospective evaluation of all bacterial infections diagnosed in patients with cirrhosis in a Liver Unit between April 1998 and April 2000. A total of 405 patients presented 572 bacterial infections in 507 admissions. Spontaneous bacterial peritonitis was the most frequent infection (138 cases). Gram-positive cocci were responsible for 53% of total bacterial infections in the study, being the main bacteria isolated in nosocomial infections (59%). Patients requiring treatment in an intensive care unit and those submitted to invasive procedures presented a higher rate of infections caused by gram-positive cocci (77% vs. 48%, P &lt;.001 and 58% vs. 40%, P &lt;.02, respectively). Fifty percent of culture-positive spontaneous bacterial peritonitis in patients on long-term norfloxacin administration (n = 93) and 16% in patients not receiving this therapy (n = 414) were caused by quinolone-resistant gram-negative bacilli, P =.01. The rate of culture-positive spontaneous bacterial peritonitis caused by trimethoprim-sulfamethoxazole-resistant gram-negative bacilli was also very high in patients on long-term norfloxacin administration (44% vs. 18%, P =.09). In conclusion, infections caused by gram-positive cocci have markedly increased in cirrhosis. This phenomenon may be related to the current high degree of instrumentation of cirrhotic patients. Quinolone-resistant spontaneous bacterial peritonitis constitutes an emergent problem in patients on long-term norfloxacin prophylaxis, with trimethoprim-sulfamethoxazole not being a valid alternative.","DOI":"10.1053/jhep.2002.30082","ISSN":"0270-9139","note":"PMID: 11786970","shortTitle":"Bacterial infections in cirrhosis","journalAbbreviation":"Hepatology","language":"eng","author":[{"family":"Fernández","given":"Javier"},{"family":"Navasa","given":"Miquel"},{"family":"Gómez","given":"Juliá"},{"family":"Colmenero","given":"Jordi"},{"family":"Vila","given":"Jordi"},{"family":"Arroyo","given":"Vicente"},{"family":"Rodés","given":"Juan"}],"issued":{"date-parts":[["2002",1]]},"PMID":"11786970"}},{"id":15,"uris":["http://zotero.org/users/1744959/items/7UM2SSPH"],"uri":["http://zotero.org/users/1744959/items/7UM2SSPH"],"itemData":{"id":15,"type":"article-journal","title":"Prevalence and risk factors of infections by multiresistant bacteria in cirrhosis: a prospective study","container-title":"Hepatology (Baltimore, Md.)","page":"1551-1561","volume":"55","issue":"5","source":"NCBI PubMed","abstract":"Epidemiology, risk factors, and clinical effect of infections by multiresistant bacteria in cirrhosis are poorly known. This work was a prospective evaluation in two series of cirrhotic patients admitted with infection or developing infection during hospitalization. The first series was studied between 2005 and 2007 (507 bacterial infections in 223 patients) and the second between 2010 and 2011 (162 bacterial infections in 110 patients). In the first series, 32% of infections were community acquired (CA), 32% healthcare associated (HCA), and 36% nosocomial. Multiresistant bacteria (92 infections; 18%) were isolated in 4%, 14%, and 35% of these infections, respectively (P &lt; 0.001). Extended-spectrum β-lactamase-producing Enterobacteriaceae (ESBL-E; n = 43) was the main multiresistant organism identified, followed by Pseudomonas aeruginosa (n = 17), methicillin-resistant Staphylococcus aureus (n = 14), and Enterococcus faecium (n = 14). The efficacy of currently recommended empirical antibiotic therapy was very low in nosocomial infections (40%), compared to HCA and CA episodes (73% and 83%, respectively; P &lt; 0.0001), particularly in spontaneous bacterial peritonitis, urinary tract infection, and pneumonia (26%, 29%, and 44%, respectively). Septic shock (26% versus 10%; P &lt; 0.0001) and mortality rate (25% versus 12%; P = 0.001) were significantly higher in infections caused by multiresistant strains. Nosocomial origin of infection (hazard ratio [HR], 4.43), long-term norfloxacin prophylaxis (HR, 2.69), recent infection by multiresistant bacteria (HR, 2.45), and recent use of β-lactams (HR, 2.39) were independently associated with the development of multiresistant infections. Results in the second series were similar to those observed in the first series.\nCONCLUSIONS: Multiresistant bacteria, especially ESBL-producing Enterobacteriaceae, are frequently isolated in nosocomial and, to a lesser extent, HCA infections in cirrhosis, rendering third-generation cephalosporins clinically ineffective. New antibiotic strategies tailored according to the local epidemiological patterns are needed for the empirical treatment of nosocomial infections in cirrhosis.","DOI":"10.1002/hep.25532","ISSN":"1527-3350","note":"PMID: 22183941","shortTitle":"Prevalence and risk factors of infections by multiresistant bacteria in cirrhosis","journalAbbreviation":"Hepatology","language":"eng","author":[{"family":"Fernández","given":"Javier"},{"family":"Acevedo","given":"Juan"},{"family":"Castro","given":"Miriam"},{"family":"Garcia","given":"Orlando"},{"family":"de Lope","given":"Carlos Rodríguez"},{"family":"Roca","given":"Daria"},{"family":"Pavesi","given":"Marco"},{"family":"Sola","given":"Elsa"},{"family":"Moreira","given":"Leticia"},{"family":"Silva","given":"Anibal"},{"family":"Seva-Pereira","given":"Tiago"},{"family":"Corradi","given":"Francesco"},{"family":"Mensa","given":"Jose"},{"family":"Ginès","given":"Pere"},{"family":"Arroyo","given":"Vicente"}],"issued":{"date-parts":[["2012",5]]},"PMID":"22183941"}}],"schema":"https://github.com/citation-style-language/schema/raw/master/csl-citation.json"} </w:instrText>
      </w:r>
      <w:r w:rsidR="007536F7"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[1–4]</w:t>
      </w:r>
      <w:r w:rsidR="007536F7" w:rsidRPr="006479DA">
        <w:rPr>
          <w:rFonts w:ascii="Book Antiqua" w:hAnsi="Book Antiqua"/>
          <w:sz w:val="24"/>
          <w:szCs w:val="24"/>
          <w:lang w:val="en-US"/>
        </w:rPr>
        <w:fldChar w:fldCharType="end"/>
      </w:r>
      <w:r w:rsidR="00173F68">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 xml:space="preserve">and </w:t>
      </w:r>
      <w:r w:rsidR="009231E0" w:rsidRPr="006479DA">
        <w:rPr>
          <w:rFonts w:ascii="Book Antiqua" w:hAnsi="Book Antiqua"/>
          <w:sz w:val="24"/>
          <w:szCs w:val="24"/>
          <w:lang w:val="en-US"/>
        </w:rPr>
        <w:t xml:space="preserve">have been shown to be </w:t>
      </w:r>
      <w:r w:rsidRPr="006479DA">
        <w:rPr>
          <w:rFonts w:ascii="Book Antiqua" w:hAnsi="Book Antiqua"/>
          <w:sz w:val="24"/>
          <w:szCs w:val="24"/>
          <w:lang w:val="en-US"/>
        </w:rPr>
        <w:t>an important risk factor for acute decompensatio</w:t>
      </w:r>
      <w:r w:rsidR="009231E0" w:rsidRPr="006479DA">
        <w:rPr>
          <w:rFonts w:ascii="Book Antiqua" w:hAnsi="Book Antiqua"/>
          <w:sz w:val="24"/>
          <w:szCs w:val="24"/>
          <w:lang w:val="en-US"/>
        </w:rPr>
        <w:t>n</w:t>
      </w:r>
      <w:r w:rsidR="007536F7"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{"citationID":"rQxfX8Xp","properties":{"formattedCitation":"{\\rtf \\super [5]\\nosupersub{}}","plainCitation":"[5]"},"citationItems":[{"id":31,"uris":["http://zotero.org/users/1744959/items/RZQNS4E6"],"uri":["http://zotero.org/users/1744959/items/RZQNS4E6"],"itemData":{"id":31,"type":"article-journal","title":"Acute-on-chronic liver failure is a distinct syndrome that develops in patients with acute decompensation of cirrhosis","container-title":"Gastroenterology","page":"1426-1437, 1437.e1-9","volume":"144","issue":"7","source":"NCBI 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family":"CANONIC Study Investigators of the EASL–CLIF Consortium","given":""}],"issued":{"date-parts":[["2013",6]]},"PMID":"23474284"}}],"schema":"https://github.com/citation-style-language/schema/raw/master/csl-citation.json"} </w:instrText>
      </w:r>
      <w:r w:rsidR="007536F7"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[5]</w:t>
      </w:r>
      <w:r w:rsidR="007536F7" w:rsidRPr="006479DA">
        <w:rPr>
          <w:rFonts w:ascii="Book Antiqua" w:hAnsi="Book Antiqua"/>
          <w:sz w:val="24"/>
          <w:szCs w:val="24"/>
          <w:lang w:val="en-US"/>
        </w:rPr>
        <w:fldChar w:fldCharType="end"/>
      </w:r>
      <w:r w:rsidR="007C04D6" w:rsidRPr="006479DA">
        <w:rPr>
          <w:rFonts w:ascii="Book Antiqua" w:hAnsi="Book Antiqua"/>
          <w:sz w:val="24"/>
          <w:szCs w:val="24"/>
          <w:lang w:val="en-US"/>
        </w:rPr>
        <w:t xml:space="preserve"> and mortality</w:t>
      </w:r>
      <w:r w:rsidR="007536F7"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{"citationID":"OwsKrtXM","properties":{"formattedCitation":"{\\rtf \\super [6]\\nosupersub{}}","plainCitation":"[6]"},"citationItems":[{"id":107,"uris":["http://zotero.org/users/1744959/items/23IAWZV4"],"uri":["http://zotero.org/users/1744959/items/23IAWZV4"],"itemData":{"id":107,"type":"article-journal","title":"Infections in Patients With Cirrhosis Increase Mortality Four-Fold and Should Be Used in Determining Prognosis","container-title":"Gastroenterology","page":"1246-1256.e5","volume":"139","issue":"4","source":"ScienceDirect","abstract":"Background &amp;amp; Aims\nA staged prognostic model of cirrhosis based on varices, ascites, and bleeding has been proposed. We analyzed data on infections in patients with cirrhosis to determine whether it is also a prognostic factor.\nMethods\nStudies were identified by MEDLINE, EMBASE, COCHRANE, and ISI Web of Science searches (1978–2009); search terms included sepsis, infection, mortality, and cirrhosis. Studies (n = 178) reporting more than 10 patients and mortality data were evaluated (225 cohorts, 11,987 patients). Mortality after 1, 3, and 12 months was compared with severity, site, microbial cause of infection, etiology of cirrhosis, and publication year. Pooled odds ratio of death was compared for infected versus noninfected groups (18 cohorts, 2317 patients).\nResults\nOverall median mortality of infected patients was 38%: 30.3% at 1 month and 63% at 12 months. Pooled odds ratio for death of infected versus noninfected patients was 3.75 (95% confidence interval, 2.12–4.23). In 101 studies that reported spontaneous bacterial peritonitis (7062 patients), the median mortality was 43.7%: 31.5% at 1 month and 66.2% at 12 months. In 30 studies that reported bacteremia (1437 patients), the median mortality rate was 42.2%. Mortality before 2000 was 47.7% and after 2000 was 32.3% (P = .023); mortality was reduced only at 30 days after spontaneous bacterial peritonitis (49% vs 31.5%; P = .005).\nConclusions\nIn patients with cirrhosis, infections increase mortality 4-fold; 30% of patients die within 1 month after infection and another 30% die by 1 year. Prospective studies with prolonged follow-up evaluation and to evaluate preventative strategies are needed.","DOI":"10.1053/j.gastro.2010.06.019","ISSN":"0016-5085","journalAbbreviation":"Gastroenterology","author":[{"family":"Arvaniti","given":"Vasiliki"},{"family":"D'Amico","given":"Gennaro"},{"family":"Fede","given":"Giuseppe"},{"family":"Manousou","given":"Pinelopi"},{"family":"Tsochatzis","given":"Emmanuel"},{"family":"Pleguezuelo","given":"Maria"},{"family":"Burroughs","given":"Andrew Kenneth"}],"issued":{"date-parts":[["2010",10]]},"accessed":{"date-parts":[["2014",1,10]],"season":"10:27:18"}}}],"schema":"https://github.com/citation-style-language/schema/raw/master/csl-citation.json"} </w:instrText>
      </w:r>
      <w:r w:rsidR="007536F7"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[6]</w:t>
      </w:r>
      <w:r w:rsidR="007536F7" w:rsidRPr="006479DA">
        <w:rPr>
          <w:rFonts w:ascii="Book Antiqua" w:hAnsi="Book Antiqua"/>
          <w:sz w:val="24"/>
          <w:szCs w:val="24"/>
          <w:lang w:val="en-US"/>
        </w:rPr>
        <w:fldChar w:fldCharType="end"/>
      </w:r>
      <w:r w:rsidR="008C4BAD" w:rsidRPr="006479DA">
        <w:rPr>
          <w:rFonts w:ascii="Book Antiqua" w:hAnsi="Book Antiqua"/>
          <w:sz w:val="24"/>
          <w:szCs w:val="24"/>
          <w:lang w:val="en-US"/>
        </w:rPr>
        <w:t>.</w:t>
      </w:r>
      <w:r w:rsidR="00173F68">
        <w:rPr>
          <w:rFonts w:ascii="Book Antiqua" w:eastAsia="SimSun" w:hAnsi="Book Antiqua" w:hint="eastAsia"/>
          <w:sz w:val="24"/>
          <w:szCs w:val="24"/>
          <w:lang w:val="en-US" w:eastAsia="zh-CN"/>
        </w:rPr>
        <w:t xml:space="preserve"> </w:t>
      </w:r>
      <w:r w:rsidR="00984538" w:rsidRPr="006479DA">
        <w:rPr>
          <w:rFonts w:ascii="Book Antiqua" w:hAnsi="Book Antiqua"/>
          <w:sz w:val="24"/>
          <w:szCs w:val="24"/>
          <w:lang w:val="en-US"/>
        </w:rPr>
        <w:t xml:space="preserve">A </w:t>
      </w:r>
      <w:r w:rsidR="00C248C7" w:rsidRPr="006479DA">
        <w:rPr>
          <w:rFonts w:ascii="Book Antiqua" w:hAnsi="Book Antiqua"/>
          <w:sz w:val="24"/>
          <w:szCs w:val="24"/>
          <w:lang w:val="en-US"/>
        </w:rPr>
        <w:t xml:space="preserve">relevant </w:t>
      </w:r>
      <w:r w:rsidR="006A1BAF" w:rsidRPr="006479DA">
        <w:rPr>
          <w:rFonts w:ascii="Book Antiqua" w:hAnsi="Book Antiqua"/>
          <w:sz w:val="24"/>
          <w:szCs w:val="24"/>
          <w:lang w:val="en-US"/>
        </w:rPr>
        <w:t>mechanism, which contribute</w:t>
      </w:r>
      <w:r w:rsidR="007C04D6" w:rsidRPr="006479DA">
        <w:rPr>
          <w:rFonts w:ascii="Book Antiqua" w:hAnsi="Book Antiqua"/>
          <w:sz w:val="24"/>
          <w:szCs w:val="24"/>
          <w:lang w:val="en-US"/>
        </w:rPr>
        <w:t>s</w:t>
      </w:r>
      <w:r w:rsidR="006A1BAF" w:rsidRPr="006479DA">
        <w:rPr>
          <w:rFonts w:ascii="Book Antiqua" w:hAnsi="Book Antiqua"/>
          <w:sz w:val="24"/>
          <w:szCs w:val="24"/>
          <w:lang w:val="en-US"/>
        </w:rPr>
        <w:t xml:space="preserve"> to</w:t>
      </w:r>
      <w:r w:rsidR="007C04D6" w:rsidRPr="006479DA">
        <w:rPr>
          <w:rFonts w:ascii="Book Antiqua" w:hAnsi="Book Antiqua"/>
          <w:sz w:val="24"/>
          <w:szCs w:val="24"/>
          <w:lang w:val="en-US"/>
        </w:rPr>
        <w:t xml:space="preserve"> bacterial</w:t>
      </w:r>
      <w:r w:rsidR="006A1BAF" w:rsidRPr="006479DA">
        <w:rPr>
          <w:rFonts w:ascii="Book Antiqua" w:hAnsi="Book Antiqua"/>
          <w:sz w:val="24"/>
          <w:szCs w:val="24"/>
          <w:lang w:val="en-US"/>
        </w:rPr>
        <w:t xml:space="preserve"> infection</w:t>
      </w:r>
      <w:r w:rsidR="007C04D6" w:rsidRPr="006479DA">
        <w:rPr>
          <w:rFonts w:ascii="Book Antiqua" w:hAnsi="Book Antiqua"/>
          <w:sz w:val="24"/>
          <w:szCs w:val="24"/>
          <w:lang w:val="en-US"/>
        </w:rPr>
        <w:t>s</w:t>
      </w:r>
      <w:r w:rsidR="006A1BAF" w:rsidRPr="006479DA">
        <w:rPr>
          <w:rFonts w:ascii="Book Antiqua" w:hAnsi="Book Antiqua"/>
          <w:sz w:val="24"/>
          <w:szCs w:val="24"/>
          <w:lang w:val="en-US"/>
        </w:rPr>
        <w:t xml:space="preserve"> </w:t>
      </w:r>
      <w:r w:rsidR="007C04D6" w:rsidRPr="006479DA">
        <w:rPr>
          <w:rFonts w:ascii="Book Antiqua" w:hAnsi="Book Antiqua"/>
          <w:sz w:val="24"/>
          <w:szCs w:val="24"/>
          <w:lang w:val="en-US"/>
        </w:rPr>
        <w:t>in patients with decompensated cirrhosis</w:t>
      </w:r>
      <w:r w:rsidR="006A1BAF" w:rsidRPr="006479DA">
        <w:rPr>
          <w:rFonts w:ascii="Book Antiqua" w:hAnsi="Book Antiqua"/>
          <w:sz w:val="24"/>
          <w:szCs w:val="24"/>
          <w:lang w:val="en-US"/>
        </w:rPr>
        <w:t xml:space="preserve">, is </w:t>
      </w:r>
      <w:r w:rsidR="00984538" w:rsidRPr="006479DA">
        <w:rPr>
          <w:rFonts w:ascii="Book Antiqua" w:hAnsi="Book Antiqua"/>
          <w:sz w:val="24"/>
          <w:szCs w:val="24"/>
          <w:lang w:val="en-US"/>
        </w:rPr>
        <w:t>the</w:t>
      </w:r>
      <w:r w:rsidR="006A1BAF" w:rsidRPr="006479DA">
        <w:rPr>
          <w:rFonts w:ascii="Book Antiqua" w:hAnsi="Book Antiqua"/>
          <w:sz w:val="24"/>
          <w:szCs w:val="24"/>
          <w:lang w:val="en-US"/>
        </w:rPr>
        <w:t xml:space="preserve"> phenomenon of</w:t>
      </w:r>
      <w:r w:rsidR="004C5A9F" w:rsidRPr="006479DA">
        <w:rPr>
          <w:rFonts w:ascii="Book Antiqua" w:hAnsi="Book Antiqua"/>
          <w:sz w:val="24"/>
          <w:szCs w:val="24"/>
          <w:lang w:val="en-US"/>
        </w:rPr>
        <w:t xml:space="preserve"> pathological bacterial translocation, where bacteria and</w:t>
      </w:r>
      <w:r w:rsidR="00984538" w:rsidRPr="006479DA">
        <w:rPr>
          <w:rFonts w:ascii="Book Antiqua" w:hAnsi="Book Antiqua"/>
          <w:sz w:val="24"/>
          <w:szCs w:val="24"/>
          <w:lang w:val="en-US"/>
        </w:rPr>
        <w:t xml:space="preserve"> bacterial</w:t>
      </w:r>
      <w:r w:rsidR="004C5A9F" w:rsidRPr="006479DA">
        <w:rPr>
          <w:rFonts w:ascii="Book Antiqua" w:hAnsi="Book Antiqua"/>
          <w:sz w:val="24"/>
          <w:szCs w:val="24"/>
          <w:lang w:val="en-US"/>
        </w:rPr>
        <w:t xml:space="preserve"> products</w:t>
      </w:r>
      <w:r w:rsidR="00984538" w:rsidRPr="006479DA">
        <w:rPr>
          <w:rFonts w:ascii="Book Antiqua" w:hAnsi="Book Antiqua"/>
          <w:sz w:val="24"/>
          <w:szCs w:val="24"/>
          <w:lang w:val="en-US"/>
        </w:rPr>
        <w:t xml:space="preserve"> translocate </w:t>
      </w:r>
      <w:r w:rsidR="006A4B4E" w:rsidRPr="006479DA">
        <w:rPr>
          <w:rFonts w:ascii="Book Antiqua" w:hAnsi="Book Antiqua"/>
          <w:sz w:val="24"/>
          <w:szCs w:val="24"/>
          <w:lang w:val="en-US"/>
        </w:rPr>
        <w:t xml:space="preserve">from the lumen of the gastrointestinal tract through the </w:t>
      </w:r>
      <w:r w:rsidR="004C5A9F" w:rsidRPr="006479DA">
        <w:rPr>
          <w:rFonts w:ascii="Book Antiqua" w:hAnsi="Book Antiqua"/>
          <w:sz w:val="24"/>
          <w:szCs w:val="24"/>
          <w:lang w:val="en-US"/>
        </w:rPr>
        <w:t>intestinal wall into mesenteric</w:t>
      </w:r>
      <w:r w:rsidR="006A4B4E" w:rsidRPr="006479DA">
        <w:rPr>
          <w:rFonts w:ascii="Book Antiqua" w:hAnsi="Book Antiqua"/>
          <w:sz w:val="24"/>
          <w:szCs w:val="24"/>
          <w:lang w:val="en-US"/>
        </w:rPr>
        <w:t xml:space="preserve"> lymph nodes</w:t>
      </w:r>
      <w:r w:rsidR="004C5A9F" w:rsidRPr="006479DA">
        <w:rPr>
          <w:rFonts w:ascii="Book Antiqua" w:hAnsi="Book Antiqua"/>
          <w:sz w:val="24"/>
          <w:szCs w:val="24"/>
          <w:lang w:val="en-US"/>
        </w:rPr>
        <w:t xml:space="preserve"> and</w:t>
      </w:r>
      <w:r w:rsidR="006A4B4E" w:rsidRPr="006479DA">
        <w:rPr>
          <w:rFonts w:ascii="Book Antiqua" w:hAnsi="Book Antiqua"/>
          <w:sz w:val="24"/>
          <w:szCs w:val="24"/>
          <w:lang w:val="en-US"/>
        </w:rPr>
        <w:t xml:space="preserve"> the systemic circulation</w:t>
      </w:r>
      <w:r w:rsidR="007536F7"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{"citationID":"v8bz8kJB","properties":{"formattedCitation":"{\\rtf \\super [7\\uc0\\u8211{}9]\\nosupersub{}}","plainCitation":"[7–9]"},"citationItems":[{"id":39,"uris":["http://zotero.org/users/1744959/items/CBUX5ZK3"],"uri":["http://zotero.org/users/1744959/items/CBUX5ZK3"],"itemData":{"id":39,"type":"article-journal","title":"Short-course versus long-course antibiotic treatment of spontaneous bacterial peritonitis. A randomized controlled study of 100 patients","container-title":"Gastroenterology","page":"1737-1742","volume":"100","issue":"6","source":"NCBI PubMed","abstract":"In an attempt to determine the optimal duration of therapy of spontaneous bacterial peritonitis, 100 patients with neutrocytic ascites and suspected spontaneous bacterial peritonitis were randomized to short-course vs. long-course treatment groups. Empiric therapy was initiated before the results of ascitic fluid culture were available. Of the 90 patients who met strict criteria for spontaneous bacterial peritonitis or culture-negative neutrocytic ascites, 43 were randomized to a group receiving 5 days and 47 to a group receiving 10 days of single-agent cefotaxime, 2 g IV every 8 hours. Infection-related mortality (0% vs. 4.3%), hospitalization mortality (32.6% vs. 42.5%), bacteriologic cure (93.1% vs. 91.2%), and recurrence of ascitic fluid infection (11.6% vs. 12.8%) were not significantly different between the 5- and 10-day treatment groups, respectively. Recurrence rates were comparable to the values reported in the literature. The cost of antibiotic and antibiotic administration were significantly lower in the short-course group. Short-course treatment of spontaneous bacterial peritonitis is as efficacious as long-course therapy and significantly less expensive.","ISSN":"0016-5085","note":"PMID: 2019378","journalAbbreviation":"Gastroenterology","language":"eng","author":[{"family":"Runyon","given":"B A"},{"family":"McHutchison","given":"J G"},{"family":"Antillon","given":"M R"},{"family":"Akriviadis","given":"E A"},{"family":"Montano","given":"A A"}],"issued":{"date-parts":[["1991",6]]},"PMID":"2019378"}},{"id":43,"uris":["http://zotero.org/users/1744959/items/XRFUT8XB"],"uri":["http://zotero.org/users/1744959/items/XRFUT8XB"],"itemData":{"id":43,"type":"article-journal","title":"Intestinal permeability in cirrhotic patients with and without spontaneous bacterial peritonitis: is the ring closed?","container-title":"The American journal of gastroenterology","page":"323-327","volume":"105","issue":"2","source":"NCBI PubMed","abstract":"OBJECTIVES: Impaired intestinal permeability (IP) may have a role in the pathogenesis of ascites and in spontaneous bacterial peritonitis (SBP) in patients with liver cirrhosis (LC). The aim of this study was to assess IP in LC patients with respect to healthy controls.\nMETHODS: IP was evaluated by the (51)Cr-ethylenediaminetetraacetic acid ((51)Cr-EDTA) permeability test in 52 LC patients and in 48 sex- and age-matched controls. The presence of (51)Cr-EDTA was also evaluated in ascitic fluid after therapeutic paracentesis in all LC patients with ascites.\nRESULTS: An altered IP was found in 45% of LC patients compared with 4% of controls (P&lt;0.00001). IP impairment was significantly associated with Child-Pugh status (75% of Child C patients vs. 39% of Child B and 22% of Child A patients), with the presence of ascites (60% in ascitic patients vs. 31% in nonascitic patients), and with a history of SBP (100% of patients with SBP vs. 50% of those without SBP). (51)Cr-EDTA was present in all ascitic samples obtained from patients with SBP compared with 22% of patients without SBP.\nCONCLUSIONS: IP derangement was a common finding in LC, especially in patients with more advanced disease (presence of ascites and history of SBP). The presence of (51)Cr-EDTA in ascites in patients with SBP suggests an altered permeability of splancnic vessels and/or peritoneal membranes. Further studies are required to assess (51)Cr-EDTA urine and ascite cutoffs to set up SBP preventive strategies.","DOI":"10.1038/ajg.2009.558","ISSN":"1572-0241","note":"PMID: 19844200","shortTitle":"Intestinal permeability in cirrhotic patients with and without spontaneous bacterial peritonitis","journalAbbreviation":"Am. J. Gastroenterol.","language":"eng","author":[{"family":"Scarpellini","given":"Emidio"},{"family":"Valenza","given":"Venanzio"},{"family":"Gabrielli","given":"Maurizio"},{"family":"Lauritano","given":"Ernesto Cristiano"},{"family":"Perotti","given":"Germano"},{"family":"Merra","given":"Giuseppe"},{"family":"Dal Lago","given":"Antonio"},{"family":"Ojetti","given":"Veronica"},{"family":"Ainora","given":"Maria Elena"},{"family":"Santoro","given":"Michele"},{"family":"Ghirlanda","given":"Giovanni"},{"family":"Gasbarrini","given":"Antonio"}],"issued":{"date-parts":[["2010",2]]},"PMID":"19844200"}},{"id":49,"uris":["http://zotero.org/users/1744959/items/M2II5HCN"],"uri":["http://zotero.org/users/1744959/items/M2II5HCN"],"itemData":{"id":49,"type":"article-journal","title":"Intestinal bacterial translocation in rats with cirrhosis is related to compromised Paneth cell antimicrobial host defense","container-title":"Hepatology (Baltimore, Md.)","page":"1154-1163","volume":"55","issue":"4","source":"NCBI PubMed","abstract":"Liver cirrhosis is associated with bacterial translocation (BT) and endotoxemia. Most translocating bacteria belong to the common intestinal microbiota, suggesting a breakdown of intestinal barrier function. We hypothesized that diminished mucosal antimicrobial host defense could predispose to BT. Two rodent models of portal hypertension with increased BT were used, CCl(4)-induced ascitic cirrhosis and 2-day portal vein-ligated (PVL) animals. BT was assessed by standard microbiological techniques on mesenteric lymph nodes. Total RNA was isolated systematically throughout the intestinal tract, and expression of Paneth cell α-cryptdins and β-defensins was determined by real-time quantitative polymerase chain reaction (qPCR). To determine functional consequences, mucosal antimicrobial activity was assessed with a fluorescence-activated cell sorting assay. BT was detectable in 40% of rats with cirrhosis. Compared with the group without BT, these animals exhibited diminished intestinal Paneth cell α-cryptdin 5 and 7 expression. In contrast, PVL was associated with BT in all animals but did not affect antimicrobial peptides. The decrease in Paneth cell antimicrobials was most pronounced in the ileum and the coecum. Other antimicrobials showed no changes or even an induction in the case of BT at different sites. Antimicrobial activity toward different commensal strains was reduced, especially in the distal ileum and the cecum in experimental cirrhosis with BT (excluding PVL). Conclusion: Compromised Paneth cell antimicrobial host defense seems to predispose to BT in experimental cirrhosis. Understanding this liver-gut axis including the underlying mechanisms could help us to find new treatment avenues.","DOI":"10.1002/hep.24789","ISSN":"1527-3350","note":"PMID: 22095436","journalAbbreviation":"Hepatology","language":"eng","author":[{"family":"Teltschik","given":"Zora"},{"family":"Wiest","given":"Reiner"},{"family":"Beisner","given":"Julia"},{"family":"Nuding","given":"Sabine"},{"family":"Hofmann","given":"Claudia"},{"family":"Schoelmerich","given":"Juergen"},{"family":"Bevins","given":"Charles L"},{"family":"Stange","given":"Eduard F"},{"family":"Wehkamp","given":"Jan"}],"issued":{"date-parts":[["2012",4]]},"PMID":"22095436"}}],"schema":"https://github.com/citation-style-language/schema/raw/master/csl-citation.json"} </w:instrText>
      </w:r>
      <w:r w:rsidR="007536F7"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[7–9]</w:t>
      </w:r>
      <w:r w:rsidR="007536F7" w:rsidRPr="006479DA">
        <w:rPr>
          <w:rFonts w:ascii="Book Antiqua" w:hAnsi="Book Antiqua"/>
          <w:sz w:val="24"/>
          <w:szCs w:val="24"/>
          <w:lang w:val="en-US"/>
        </w:rPr>
        <w:fldChar w:fldCharType="end"/>
      </w:r>
      <w:r w:rsidR="00F50F5E" w:rsidRPr="006479DA">
        <w:rPr>
          <w:rFonts w:ascii="Book Antiqua" w:hAnsi="Book Antiqua"/>
          <w:sz w:val="24"/>
          <w:szCs w:val="24"/>
          <w:lang w:val="en-US"/>
        </w:rPr>
        <w:t xml:space="preserve">. </w:t>
      </w:r>
      <w:r w:rsidR="004F7046" w:rsidRPr="006479DA">
        <w:rPr>
          <w:rFonts w:ascii="Book Antiqua" w:hAnsi="Book Antiqua"/>
          <w:sz w:val="24"/>
          <w:szCs w:val="24"/>
          <w:lang w:val="en-US"/>
        </w:rPr>
        <w:t xml:space="preserve">Whereas </w:t>
      </w:r>
      <w:r w:rsidR="00A553C7" w:rsidRPr="006479DA">
        <w:rPr>
          <w:rFonts w:ascii="Book Antiqua" w:hAnsi="Book Antiqua"/>
          <w:sz w:val="24"/>
          <w:szCs w:val="24"/>
          <w:lang w:val="en-US"/>
        </w:rPr>
        <w:t xml:space="preserve">healthy </w:t>
      </w:r>
      <w:r w:rsidR="004F7046" w:rsidRPr="006479DA">
        <w:rPr>
          <w:rFonts w:ascii="Book Antiqua" w:hAnsi="Book Antiqua"/>
          <w:sz w:val="24"/>
          <w:szCs w:val="24"/>
          <w:lang w:val="en-US"/>
        </w:rPr>
        <w:t>subjects are capable to</w:t>
      </w:r>
      <w:r w:rsidR="00A553C7" w:rsidRPr="006479DA">
        <w:rPr>
          <w:rFonts w:ascii="Book Antiqua" w:hAnsi="Book Antiqua"/>
          <w:sz w:val="24"/>
          <w:szCs w:val="24"/>
          <w:lang w:val="en-US"/>
        </w:rPr>
        <w:t xml:space="preserve"> control bacterial translocation </w:t>
      </w:r>
      <w:r w:rsidR="004F7046" w:rsidRPr="006479DA">
        <w:rPr>
          <w:rFonts w:ascii="Book Antiqua" w:hAnsi="Book Antiqua"/>
          <w:i/>
          <w:sz w:val="24"/>
          <w:szCs w:val="24"/>
          <w:lang w:val="en-US"/>
        </w:rPr>
        <w:t>via</w:t>
      </w:r>
      <w:r w:rsidR="004F7046" w:rsidRPr="006479DA">
        <w:rPr>
          <w:rFonts w:ascii="Book Antiqua" w:hAnsi="Book Antiqua"/>
          <w:sz w:val="24"/>
          <w:szCs w:val="24"/>
          <w:lang w:val="en-US"/>
        </w:rPr>
        <w:t xml:space="preserve"> various immunological barriers, </w:t>
      </w:r>
      <w:r w:rsidR="004C5A9F" w:rsidRPr="006479DA">
        <w:rPr>
          <w:rFonts w:ascii="Book Antiqua" w:hAnsi="Book Antiqua"/>
          <w:sz w:val="24"/>
          <w:szCs w:val="24"/>
          <w:lang w:val="en-US"/>
        </w:rPr>
        <w:t>pathological</w:t>
      </w:r>
      <w:r w:rsidR="004F7046" w:rsidRPr="006479DA">
        <w:rPr>
          <w:rFonts w:ascii="Book Antiqua" w:hAnsi="Book Antiqua"/>
          <w:sz w:val="24"/>
          <w:szCs w:val="24"/>
          <w:lang w:val="en-US"/>
        </w:rPr>
        <w:t xml:space="preserve"> bacterial translocation frequently escalates to systemic inflammation</w:t>
      </w:r>
      <w:r w:rsidR="004C5A9F" w:rsidRPr="006479DA">
        <w:rPr>
          <w:rFonts w:ascii="Book Antiqua" w:hAnsi="Book Antiqua"/>
          <w:sz w:val="24"/>
          <w:szCs w:val="24"/>
          <w:lang w:val="en-US"/>
        </w:rPr>
        <w:t xml:space="preserve"> and bacterial infections</w:t>
      </w:r>
      <w:r w:rsidR="004F7046" w:rsidRPr="006479DA">
        <w:rPr>
          <w:rFonts w:ascii="Book Antiqua" w:hAnsi="Book Antiqua"/>
          <w:sz w:val="24"/>
          <w:szCs w:val="24"/>
          <w:lang w:val="en-US"/>
        </w:rPr>
        <w:t xml:space="preserve"> due to</w:t>
      </w:r>
      <w:r w:rsidR="004C5A9F" w:rsidRPr="006479DA">
        <w:rPr>
          <w:rFonts w:ascii="Book Antiqua" w:hAnsi="Book Antiqua"/>
          <w:sz w:val="24"/>
          <w:szCs w:val="24"/>
          <w:lang w:val="en-US"/>
        </w:rPr>
        <w:t xml:space="preserve"> several</w:t>
      </w:r>
      <w:r w:rsidR="004F7046" w:rsidRPr="006479DA">
        <w:rPr>
          <w:rFonts w:ascii="Book Antiqua" w:hAnsi="Book Antiqua"/>
          <w:sz w:val="24"/>
          <w:szCs w:val="24"/>
          <w:lang w:val="en-US"/>
        </w:rPr>
        <w:t xml:space="preserve"> </w:t>
      </w:r>
      <w:r w:rsidR="00A553C7" w:rsidRPr="006479DA">
        <w:rPr>
          <w:rFonts w:ascii="Book Antiqua" w:hAnsi="Book Antiqua"/>
          <w:sz w:val="24"/>
          <w:szCs w:val="24"/>
          <w:lang w:val="en-US"/>
        </w:rPr>
        <w:t>immunological dysfunctions</w:t>
      </w:r>
      <w:r w:rsidR="00173F68">
        <w:rPr>
          <w:rFonts w:ascii="Book Antiqua" w:hAnsi="Book Antiqua"/>
          <w:sz w:val="24"/>
          <w:szCs w:val="24"/>
          <w:lang w:val="en-US"/>
        </w:rPr>
        <w:t xml:space="preserve"> as reviewed elsewhere</w:t>
      </w:r>
      <w:r w:rsidR="004C5A9F"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{"citationID":"26sv2qls8o","properties":{"formattedCitation":"{\\rtf \\super [10]\\nosupersub{}}","plainCitation":"[10]"},"citationItems":[{"id":348,"uris":["http://zotero.org/users/1744959/items/9TGQ83N7"],"uri":["http://zotero.org/users/1744959/items/9TGQ83N7"],"itemData":{"id":348,"type":"article-journal","title":"Risk factors and outcome of bacterial infections in cirrhosis","container-title":"World journal of gastroenterology: WJG","page":"2542-2554","volume":"20","issue":"10","source":"NCBI PubMed","abstract":"Viable and non-viable pathological bacterial translocation promote a self-perpetuating circle of dysfunctional immune activation and systemic inflammation facilitating infections and organ failure in advanced cirrhosis. Bacterial infections and sepsis are now recognized as a distinct stage in the natural progression of chronic liver disease as they accelerate organ failure and contribute to the high mortality observed in decompensated cirrhosis. The increasing knowledge of structural, immunological and hemodynamic pathophysiology in advanced cirrhosis has not yet translated into significantly improved outcomes of bacterial infections over the last decades. Therefore, early identification of patients at the highest risk for developing infections and infection-related complications is required to tailor the currently available measures of surveillance, prophylaxis and therapy to the patients in need in order to improve the detrimental outcome of bacterial infections in cirrhosis.","DOI":"10.3748/wjg.v20.i10.2542","ISSN":"2219-2840","note":"PMID: 24627590 \nPMCID: PMC3949263","journalAbbreviation":"World J. Gastroenterol.","language":"eng","author":[{"family":"Bruns","given":"Tony"},{"family":"Zimmermann","given":"Henning W."},{"family":"Stallmach","given":"Andreas"}],"issued":{"date-parts":[["2014",3,14]]},"PMID":"24627590","PMCID":"PMC3949263"}}],"schema":"https://github.com/citation-style-language/schema/raw/master/csl-citation.json"} </w:instrText>
      </w:r>
      <w:r w:rsidR="004C5A9F"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[10]</w:t>
      </w:r>
      <w:r w:rsidR="004C5A9F" w:rsidRPr="006479DA">
        <w:rPr>
          <w:rFonts w:ascii="Book Antiqua" w:hAnsi="Book Antiqua"/>
          <w:sz w:val="24"/>
          <w:szCs w:val="24"/>
          <w:lang w:val="en-US"/>
        </w:rPr>
        <w:fldChar w:fldCharType="end"/>
      </w:r>
      <w:r w:rsidR="004C5A9F" w:rsidRPr="006479DA">
        <w:rPr>
          <w:rFonts w:ascii="Book Antiqua" w:hAnsi="Book Antiqua"/>
          <w:sz w:val="24"/>
          <w:szCs w:val="24"/>
          <w:lang w:val="en-US"/>
        </w:rPr>
        <w:t>.</w:t>
      </w:r>
    </w:p>
    <w:p w14:paraId="00B86843" w14:textId="709C6649" w:rsidR="00250020" w:rsidRPr="006479DA" w:rsidRDefault="00250020" w:rsidP="00265BAF">
      <w:pPr>
        <w:spacing w:after="0" w:line="360" w:lineRule="auto"/>
        <w:ind w:firstLineChars="100" w:firstLine="240"/>
        <w:jc w:val="both"/>
        <w:rPr>
          <w:rFonts w:ascii="Book Antiqua" w:hAnsi="Book Antiqua"/>
          <w:sz w:val="24"/>
          <w:szCs w:val="24"/>
          <w:lang w:val="en-US"/>
        </w:rPr>
      </w:pPr>
      <w:r w:rsidRPr="006479DA">
        <w:rPr>
          <w:rFonts w:ascii="Book Antiqua" w:hAnsi="Book Antiqua"/>
          <w:sz w:val="24"/>
          <w:szCs w:val="24"/>
          <w:lang w:val="en-US"/>
        </w:rPr>
        <w:t>Increased intestinal permeability</w:t>
      </w:r>
      <w:r w:rsidR="007D4F91" w:rsidRPr="006479DA">
        <w:rPr>
          <w:rFonts w:ascii="Book Antiqua" w:hAnsi="Book Antiqua"/>
          <w:sz w:val="24"/>
          <w:szCs w:val="24"/>
          <w:lang w:val="en-US"/>
        </w:rPr>
        <w:t xml:space="preserve"> (IP)</w:t>
      </w:r>
      <w:r w:rsidRPr="006479DA">
        <w:rPr>
          <w:rFonts w:ascii="Book Antiqua" w:hAnsi="Book Antiqua"/>
          <w:sz w:val="24"/>
          <w:szCs w:val="24"/>
          <w:lang w:val="en-US"/>
        </w:rPr>
        <w:t xml:space="preserve"> is a frequently observed phenomenon in patients with cirrhosis</w:t>
      </w:r>
      <w:r w:rsidR="001362BD" w:rsidRPr="006479DA">
        <w:rPr>
          <w:rFonts w:ascii="Book Antiqua" w:hAnsi="Book Antiqua"/>
          <w:sz w:val="24"/>
          <w:szCs w:val="24"/>
          <w:vertAlign w:val="superscript"/>
          <w:lang w:val="en-US"/>
        </w:rPr>
        <w:fldChar w:fldCharType="begin"/>
      </w:r>
      <w:r w:rsidR="009807D1" w:rsidRPr="006479DA">
        <w:rPr>
          <w:rFonts w:ascii="Book Antiqua" w:hAnsi="Book Antiqua"/>
          <w:sz w:val="24"/>
          <w:szCs w:val="24"/>
          <w:vertAlign w:val="superscript"/>
          <w:lang w:val="en-US"/>
        </w:rPr>
        <w:instrText xml:space="preserve"> </w:instrText>
      </w:r>
      <w:r w:rsidR="00F22811" w:rsidRPr="006479DA">
        <w:rPr>
          <w:rFonts w:ascii="Book Antiqua" w:hAnsi="Book Antiqua"/>
          <w:sz w:val="24"/>
          <w:szCs w:val="24"/>
          <w:vertAlign w:val="superscript"/>
          <w:lang w:val="en-US"/>
        </w:rPr>
        <w:instrText>ADDIN</w:instrText>
      </w:r>
      <w:r w:rsidR="009807D1" w:rsidRPr="006479DA">
        <w:rPr>
          <w:rFonts w:ascii="Book Antiqua" w:hAnsi="Book Antiqua"/>
          <w:sz w:val="24"/>
          <w:szCs w:val="24"/>
          <w:vertAlign w:val="superscript"/>
          <w:lang w:val="en-US"/>
        </w:rPr>
        <w:instrText xml:space="preserve"> ZOTERO_ITEM CSL_CITATION {"citationID":"crdr7g9lo","properties":{"formattedCitation":"{\\rtf \\super [11\\uc0\\u8211{}13]\\nosupersub{}}","plainCitation":"[11–13]"},"citationItems":[{"id":160,"uris":["http://zotero.org/users/1744959/items/R4D2EJ5Q"],"uri":["http://zotero.org/users/1744959/items/R4D2EJ5Q"],"itemData":{"id":160,"type":"article-journal","title":"Nutrition Status and Intestinal Permeability in Patients Eligible for Liver Transplantation","container-title":"JPEN. Journal of parenteral and enteral nutrition","source":"NCBI PubMed","abstract":"BACKGROUND: Increased intestinal permeability has been reported in multiple studies of cirrhotic patients, although specific factors associated with this finding have not been fully elucidated. Thus, the aim of this study was to investigate whether there was an association between nutrition status measured by different methods and intestinal permeability in cirrhotic patients who were candidates for liver transplantation. Materials and Methods: The study group comprised 18 cirrhotic patients and 15 healthy controls. Patients' nutrition status was evaluated by Subjective Global Assessment (SGA), anthropometry, dynamometry, and phase angle, which was determined by bioelectrical impedance analysis. Intestinal permeability was assessed by the lactulose/mannitol test. Results: The prevalence of malnutrition showed wide variance between different assessment methods (5.5%-77.8%). Intestinal permeability was significantly higher in cirrhotic patients than in healthy controls. In relation to nutrition status, intestinal permeability and phase angle did not differ significantly between patients who were considered well nourished (median intestinal permeability, 0.010 [range, 0.001-0.198]; median phase angle, 6.0 [range, 4.2-6.9]) and malnourished patients (intestinal permeability, 0.032 [range, 0.002-0.079]; phase angle, 4.8 [range, 2.2-6.1]) by SGA. In addition, no correlation was found between nutrition diagnosis as assessed by different methods, patient age, liver disease severity scores, and laboratory measurements with intestinal permeability. Conclusion: Although intestinal permeability was increased in cirrhotic patients, this finding was not associated with nutrition status.","DOI":"10.1177/0148607113513465","ISSN":"0148-6071","note":"PMID: 24255087","journalAbbreviation":"JPEN J Parenter Enteral Nutr","language":"ENG","author":[{"family":"Liboredo","given":"Juliana Costa"},{"family":"Vilela","given":"Eduardo Garcia"},{"family":"Ferrari","given":"Maria de Lourdes de Abreu"},{"family":"Lima","given":"Agnaldo Soares"},{"family":"Correia","given":"Maria Isabel Toulson Davisson"}],"issued":{"date-parts":[["2013",11,19]]},"PMID":"24255087"}},{"id":249,"uris":["http://zotero.org/users/1744959/items/5VQRMU8D"],"uri":["http://zotero.org/users/1744959/items/5VQRMU8D"],"itemData":{"id":249,"type":"article-journal","title":"Intestinal permeability is increased in patients with advanced cirrhosis","container-title":"Hepato-gastroenterology","page":"1482-1486","volume":"50","issue":"53","source":"NCBI PubMed","abstract":"BACKGROUND/AIMS: The dysfunction of the intestinal barrier is a factor that has been related to bacterial translocation from lumen to extra-intestinal sites and consequently to the development of spontaneous bacterial peritonitis. The aim of this study was to investigate if the alterations of the intestinal barrier in cirrhosis are related with the degree of liver failure and associated with other clinical complications.\nMETHODOLOGY: Intestinal permeability was assessed by means of the lactulose/mannitol test in 79 cirrhotic and 25 controls subjects. They received 10 g of lactulose and 5 g of mannitol. Lactulose and mannitol were measured in a five-hour urinary volume.\nRESULTS: Lactulose/mannitol ratio was significantly higher in cirrhotic patients than in controls (p = 0.03). This was more evident in end-stage cirrhosis. Patients with ascites, or encephalopathy showed a statistically significant increase in lactulose/mannitol ratio when compared to patients without these complications.\nCONCLUSIONS: The increased intestinal permeability is related to the progression of the liver disease and is more relevant with overt clinical complications. This is due to an increased absorption of lactulose. However, as liver disease progresses, mannitol absorption is progressively reduced, probably due to a reduced surface of absorption, and these events are more relevant in patients with overt clinical complications.","ISSN":"0172-6390","note":"PMID: 14571769","journalAbbreviation":"Hepatogastroenterology","language":"eng","author":[{"family":"Pascual","given":"Sonia"},{"family":"Such","given":"José"},{"family":"Esteban","given":"Angel"},{"family":"Zapater","given":"Pedro"},{"family":"Casellas","given":"Juan A"},{"family":"Aparicio","given":"José R"},{"family":"Girona","given":"Eva"},{"family":"Gutiérrez","given":"Ana"},{"family":"Carnices","given":"Fernando"},{"family":"Palazón","given":"Jose M"},{"family":"Sola-Vera","given":"Javier"},{"family":"Pérez-Mateo","given":"Miguel"}],"issued":{"date-parts":[["2003",10]]},"PMID":"14571769"}},{"id":247,"uris":["http://zotero.org/users/1744959/items/EGGEI6JZ"],"uri":["http://zotero.org/users/1744959/items/EGGEI6JZ"],"itemData":{"id":247,"type":"article-journal","title":"Increased intestinal permeability in malnourished patients with liver cirrhosis","container-title":"European journal of clinical nutrition","page":"1116-1119","volume":"66","issue":"10","source":"NCBI PubMed","abstract":"BACKGROUND/OBJECTIVE: Malnutrition is a prominent feature in liver cirrhosis, with deleterious impact on clinical outcome. The objective of this study is to investigate whether malnutrition is associated with increased gastrointestinal permeability in liver cirrhosis reflected by altered urinary excretion of non-metabolizable sugar probes.\nSUBJECTS/METHODS: Patients with advanced liver cirrhosis (Child Pugh Score B or C) were recruited. Nutritional status was determined according to the Subjective Global Assessment. Intestinal permeability was assessed by measuring the urinary excretion of orally administered, non-metabolized sugar probe molecules. The lactulose/mannitol ratio served as marker for intestinal permeability and reflects non-carrier-mediated transcellular and paracellular transport of the small intestine during the first 5</w:instrText>
      </w:r>
      <w:r w:rsidR="009807D1" w:rsidRPr="006479DA">
        <w:rPr>
          <w:rFonts w:ascii="Cambria Math" w:hAnsi="Cambria Math" w:cs="Cambria Math"/>
          <w:sz w:val="24"/>
          <w:szCs w:val="24"/>
          <w:vertAlign w:val="superscript"/>
          <w:lang w:val="en-US"/>
        </w:rPr>
        <w:instrText> </w:instrText>
      </w:r>
      <w:r w:rsidR="009807D1" w:rsidRPr="006479DA">
        <w:rPr>
          <w:rFonts w:ascii="Book Antiqua" w:hAnsi="Book Antiqua"/>
          <w:sz w:val="24"/>
          <w:szCs w:val="24"/>
          <w:vertAlign w:val="superscript"/>
          <w:lang w:val="en-US"/>
        </w:rPr>
        <w:instrText>h. Sucrose recovery in urine within the first 5</w:instrText>
      </w:r>
      <w:r w:rsidR="009807D1" w:rsidRPr="006479DA">
        <w:rPr>
          <w:rFonts w:ascii="Cambria Math" w:hAnsi="Cambria Math" w:cs="Cambria Math"/>
          <w:sz w:val="24"/>
          <w:szCs w:val="24"/>
          <w:vertAlign w:val="superscript"/>
          <w:lang w:val="en-US"/>
        </w:rPr>
        <w:instrText> </w:instrText>
      </w:r>
      <w:r w:rsidR="009807D1" w:rsidRPr="006479DA">
        <w:rPr>
          <w:rFonts w:ascii="Book Antiqua" w:hAnsi="Book Antiqua"/>
          <w:sz w:val="24"/>
          <w:szCs w:val="24"/>
          <w:vertAlign w:val="superscript"/>
          <w:lang w:val="en-US"/>
        </w:rPr>
        <w:instrText>h reflects gastroduodenal permeability; sucralose recovery in urine 5-26</w:instrText>
      </w:r>
      <w:r w:rsidR="009807D1" w:rsidRPr="006479DA">
        <w:rPr>
          <w:rFonts w:ascii="Cambria Math" w:hAnsi="Cambria Math" w:cs="Cambria Math"/>
          <w:sz w:val="24"/>
          <w:szCs w:val="24"/>
          <w:vertAlign w:val="superscript"/>
          <w:lang w:val="en-US"/>
        </w:rPr>
        <w:instrText> </w:instrText>
      </w:r>
      <w:r w:rsidR="009807D1" w:rsidRPr="006479DA">
        <w:rPr>
          <w:rFonts w:ascii="Book Antiqua" w:hAnsi="Book Antiqua"/>
          <w:sz w:val="24"/>
          <w:szCs w:val="24"/>
          <w:vertAlign w:val="superscript"/>
          <w:lang w:val="en-US"/>
        </w:rPr>
        <w:instrText xml:space="preserve">h after consumption reflects colonic permeability.\nRESULTS: Sixty-four patients (56.7±10.8 years; 33% female) were included in the study. Twenty-one patients were considered well nourished according to the Subjective Global Assessment, 23 moderately nourished and 20 patients severely malnourished; 74% had alcoholic liver disease and 67% had cirrhosis stage Child C. Gastroduodenal and colonic permeability was significantly increased in patients with liver cirrhosis compared with 63 healthy controls (0.23±0.22 and 1.37±1.42% vs 0.14±0.10 and 0.41±0.72% in controls), but not different between well and malnourished subjects. Small intestinal permeability (lactulose/mannitol ratio) was increased in all patients (0.069±0.055%) and further increased in malnourished patients (0.048±0.031% vs 0.084±0.061%, P=0.004) due to decreased mannitol recovery only.\nCONCLUSIONS: Gastric, small intestinal and even colonic permeability was altogether increased in liver cirrhosis, and malnutrition was associated with further increased small intestinal permeability indicative of villous atrophy.","DOI":"10.1038/ejcn.2012.104","ISSN":"1476-5640","note":"PMID: 22872031","journalAbbreviation":"Eur J Clin Nutr","language":"eng","author":[{"family":"Norman","given":"K"},{"family":"Pirlich","given":"M"},{"family":"Schulzke","given":"J-D"},{"family":"Smoliner","given":"C"},{"family":"Lochs","given":"H"},{"family":"Valentini","given":"L"},{"family":"Bühner","given":"S"}],"issued":{"date-parts":[["2012",10]]},"PMID":"22872031"}}],"schema":"https://github.com/citation-style-language/schema/raw/master/csl-citation.json"} </w:instrText>
      </w:r>
      <w:r w:rsidR="001362BD" w:rsidRPr="006479DA">
        <w:rPr>
          <w:rFonts w:ascii="Book Antiqua" w:hAnsi="Book Antiqua"/>
          <w:sz w:val="24"/>
          <w:szCs w:val="24"/>
          <w:vertAlign w:val="superscript"/>
          <w:lang w:val="en-US"/>
        </w:rPr>
        <w:fldChar w:fldCharType="separate"/>
      </w:r>
      <w:r w:rsidR="009807D1" w:rsidRPr="006479DA">
        <w:rPr>
          <w:rFonts w:ascii="Book Antiqua" w:hAnsi="Book Antiqua"/>
          <w:sz w:val="24"/>
          <w:szCs w:val="24"/>
          <w:vertAlign w:val="superscript"/>
        </w:rPr>
        <w:t>[11–13]</w:t>
      </w:r>
      <w:r w:rsidR="001362BD" w:rsidRPr="006479DA">
        <w:rPr>
          <w:rFonts w:ascii="Book Antiqua" w:hAnsi="Book Antiqua"/>
          <w:sz w:val="24"/>
          <w:szCs w:val="24"/>
          <w:vertAlign w:val="superscript"/>
          <w:lang w:val="en-US"/>
        </w:rPr>
        <w:fldChar w:fldCharType="end"/>
      </w:r>
      <w:r w:rsidR="001362BD" w:rsidRPr="006479DA">
        <w:rPr>
          <w:rFonts w:ascii="Book Antiqua" w:hAnsi="Book Antiqua"/>
          <w:sz w:val="24"/>
          <w:szCs w:val="24"/>
          <w:lang w:val="en-US"/>
        </w:rPr>
        <w:t xml:space="preserve"> </w:t>
      </w:r>
      <w:r w:rsidRPr="006479DA">
        <w:rPr>
          <w:rFonts w:ascii="Book Antiqua" w:hAnsi="Book Antiqua"/>
          <w:sz w:val="24"/>
          <w:szCs w:val="24"/>
          <w:lang w:val="en-US"/>
        </w:rPr>
        <w:t>and is believed to contribute to pathological bacterial translocation in cirrhosis</w:t>
      </w:r>
      <w:r w:rsidR="001362BD"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{"citationID":"2lmitu0sje","properties":{"formattedCitation":"{\\rtf \\super [14]\\nosupersub{}}","plainCitation":"[14]"},"citationItems":[{"id":53,"uris":["http://zotero.org/users/1744959/items/Q88BKHVE"],"uri":["http://zotero.org/users/1744959/items/Q88BKHVE"],"itemData":{"id":53,"type":"article-journal","title":"Bacterial translocation (BT) in cirrhosis","container-title":"Hepatology (Baltimore, Md.)","page":"422-433","volume":"41","issue":"3","source":"NCBI PubMed","abstract":"Gut flora and bacterial translocation (BT) play an important role in the pathogenesis of the complications of cirrhosis. Research on the pathogenesis of BT and its clinical significance transcends established boundaries between microbiology, cell biology, intestinal pathophysiology, and immunology. This review delineates multiple mechanisms involved in the process of BT, with an emphasis on alterations in intestinal flora and mucosal barrier function, particularly immunological defense mechanisms. Current knowledge on the innate and adaptive immune response that allows a \"friendly\" communication between bacteria and host is summarized, and alterations occurring in cirrhosis that may facilitate BT are discussed. In addition, definition of a \"pathological\" BT is proposed together with an analysis of the anatomical site and route of BT. Finally, therapeutic approaches for the prevention of BT in experimental and human cirrhosis are reviewed. Future research in the field of BT in cirrhosis will allow the development of new therapeutic targets in the prevention of infections and other complications of cirrhosis.","DOI":"10.1002/hep.20632","ISSN":"0270-9139","note":"PMID: 15723320","journalAbbreviation":"Hepatology","language":"eng","author":[{"family":"Wiest","given":"Reiner"},{"family":"Garcia-Tsao","given":"Guadalupe"}],"issued":{"date-parts":[["2005",3]]},"PMID":"15723320"}}],"schema":"https://github.com/citation-style-language/schema/raw/master/csl-citation.json"} </w:instrText>
      </w:r>
      <w:r w:rsidR="001362BD"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[14]</w:t>
      </w:r>
      <w:r w:rsidR="001362BD" w:rsidRPr="006479DA">
        <w:rPr>
          <w:rFonts w:ascii="Book Antiqua" w:hAnsi="Book Antiqua"/>
          <w:sz w:val="24"/>
          <w:szCs w:val="24"/>
          <w:lang w:val="en-US"/>
        </w:rPr>
        <w:fldChar w:fldCharType="end"/>
      </w:r>
      <w:r w:rsidR="00506D3E" w:rsidRPr="006479DA">
        <w:rPr>
          <w:rFonts w:ascii="Book Antiqua" w:hAnsi="Book Antiqua"/>
          <w:sz w:val="24"/>
          <w:szCs w:val="24"/>
          <w:lang w:val="en-US"/>
        </w:rPr>
        <w:t>. It correlates</w:t>
      </w:r>
      <w:r w:rsidRPr="006479DA">
        <w:rPr>
          <w:rFonts w:ascii="Book Antiqua" w:hAnsi="Book Antiqua"/>
          <w:sz w:val="24"/>
          <w:szCs w:val="24"/>
          <w:lang w:val="en-US"/>
        </w:rPr>
        <w:t xml:space="preserve"> with portal hypertension as well as with systemic inflammation</w:t>
      </w:r>
      <w:r w:rsidR="001362BD"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{"citationID":"166urbqqoe","properties":{"formattedCitation":"{\\rtf \\super [15]\\nosupersub{}}","plainCitation":"[15]"},"citationItems":[{"id":260,"uris":["http://zotero.org/users/1744959/items/M53HW9W4"],"uri":["http://zotero.org/users/1744959/items/M53HW9W4"],"itemData":{"id":260,"type":"article-journal","title":"Non-selective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Lab","given":""}],"issued":{"date-parts":[["2013",5]]},"PMID":"23262249"}}],"schema":"https://github.com/citation-style-language/schema/raw/master/csl-citation.json"} </w:instrText>
      </w:r>
      <w:r w:rsidR="001362BD"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[15]</w:t>
      </w:r>
      <w:r w:rsidR="001362BD" w:rsidRPr="006479DA">
        <w:rPr>
          <w:rFonts w:ascii="Book Antiqua" w:hAnsi="Book Antiqua"/>
          <w:sz w:val="24"/>
          <w:szCs w:val="24"/>
          <w:lang w:val="en-US"/>
        </w:rPr>
        <w:fldChar w:fldCharType="end"/>
      </w:r>
      <w:r w:rsidRPr="006479DA">
        <w:rPr>
          <w:rFonts w:ascii="Book Antiqua" w:hAnsi="Book Antiqua"/>
          <w:sz w:val="24"/>
          <w:szCs w:val="24"/>
          <w:lang w:val="en-US"/>
        </w:rPr>
        <w:t>. Catabolic and inflammatory stressors affect the intestinal epithelial barrier and contribute to pathological IP</w:t>
      </w:r>
      <w:r w:rsidR="001362BD" w:rsidRPr="006479DA">
        <w:rPr>
          <w:rFonts w:ascii="Book Antiqua" w:hAnsi="Book Antiqua"/>
          <w:sz w:val="24"/>
          <w:szCs w:val="24"/>
          <w:vertAlign w:val="superscript"/>
          <w:lang w:val="en-US"/>
        </w:rPr>
        <w:fldChar w:fldCharType="begin"/>
      </w:r>
      <w:r w:rsidR="009807D1" w:rsidRPr="006479DA">
        <w:rPr>
          <w:rFonts w:ascii="Book Antiqua" w:hAnsi="Book Antiqua"/>
          <w:sz w:val="24"/>
          <w:szCs w:val="24"/>
          <w:vertAlign w:val="superscript"/>
          <w:lang w:val="en-US"/>
        </w:rPr>
        <w:instrText xml:space="preserve"> </w:instrText>
      </w:r>
      <w:r w:rsidR="00F22811" w:rsidRPr="006479DA">
        <w:rPr>
          <w:rFonts w:ascii="Book Antiqua" w:hAnsi="Book Antiqua"/>
          <w:sz w:val="24"/>
          <w:szCs w:val="24"/>
          <w:vertAlign w:val="superscript"/>
          <w:lang w:val="en-US"/>
        </w:rPr>
        <w:instrText>ADDIN</w:instrText>
      </w:r>
      <w:r w:rsidR="009807D1" w:rsidRPr="006479DA">
        <w:rPr>
          <w:rFonts w:ascii="Book Antiqua" w:hAnsi="Book Antiqua"/>
          <w:sz w:val="24"/>
          <w:szCs w:val="24"/>
          <w:vertAlign w:val="superscript"/>
          <w:lang w:val="en-US"/>
        </w:rPr>
        <w:instrText xml:space="preserve"> ZOTERO_ITEM CSL_CITATION {"citationID":"1bp47e81f","properties":{"formattedCitation":"{\\rtf \\super [16\\uc0\\u8211{}18]\\nosupersub{}}","plainCitation":"[16–18]"},"citationItems":[{"id":25,"uris":["http://zotero.org/users/1744959/items/7D67Z5KX"],"uri":["http://zotero.org/users/1744959/items/7D67Z5KX"],"itemData":{"id":25,"type":"article-journal","title":"Selective translocation of coliform bacteria adhering to caecal epithelium of rats during catabolic stress","container-title":"Journal of medical microbiology","page":"571-578","volume":"46","issue":"7","source":"NCBI PubMed","abstract":"Adult conventional rats were starved for 48 h with or without haemorrhage at 24 h, and translocation of caecal coliforms to mesenteric lymph nodes (MLNs) was measured. Translocation was detected in three of 11 rats without haemorrhage, in 6 of 11 starved and sham-operated rats and in 12 of 22 rats after haemorrhage. In contrast, only one of 13 non-instrumented and fed control rats showed translocation. Translocation was associated with more coliforms adhering to caecal epithelium in rats. Coliform isolates from caecum, caecal epithelium and MLNs were characterised and grouped into different biochemical phenotypes (BPTs) by a biochemical fingerprinting method. Of 291 BPTs detected in the caecum of all rats, 108 were also found on caecal epithelium; 36 BPTs were detected in MLNs, of which 17 were not detected either in the caecum or on the caecal epithelium of the corresponding rats. One isolate from each of these 36 BPTs was selected and compared to the others. Four common (C) BPTs (i.e., C1-C4) were identified among them. Strains of C1 formed the majority of isolates from the caecum (79%), caecal epithelium (71%) and MLNs (91%). In contrast, C2-C4 had a significantly lower incidence both in the caecum and on the caecal epithelium, but not in the MLNs. These findings indicate that not all caecal coliforms adhere to the epithelium during catabolic stress and that for translocation to occur, other bacterial properties besides adhesion are needed. It is also concluded that coliforms with a low incidence in the caecum can translocate with the same efficiency as those with a high incidence.","ISSN":"0022-2615","note":"PMID: 9236741","journalAbbreviation":"J. Med. Microbiol.","language":"eng","author":[{"family":"Katouli","given":"M"},{"family":"Nettebladt","given":"C G"},{"family":"Muratov","given":"V"},{"family":"Ljungqvist","given":"O"},{"family":"Bark","given":"T"},{"family":"Svenberg","given":"T"},{"family":"Möllby","given":"R"}],"issued":{"date-parts":[["1997",7]]},"PMID":"9236741"}},{"id":9,"uris":["http://zotero.org/users/1744959/items/33PZI6G3"],"uri":["http://zotero.org/users/1744959/items/33PZI6G3"],"itemData":{"id":9,"type":"article-journal","title":"Interferon gamma induces translocation of commensal Escherichia coli across gut epithelial cells via a lipid raft-mediated process","container-title":"Gastroenterology","page":"1258-1267","volume":"128","issue":"5","source":"NCBI PubMed","abstract":"BACKGROUND &amp; AIMS: The \"leaky gut\" hypothesis proposes that leakage of enteric bacteria into the body resulting from disruption of the epithelial barrier is a critical step in the pathophysiology of various disorders such as inflammatory bowel disease and sepsis. However, the pathways and underlying mechanisms by which commensal bacteria cross the epithelial barrier in inflammatory conditions remain unclear. This study investigated the mechanisms of interferon gamma-mediated bacterial translocation across human colonic epithelial monolayers.\nMETHODS: Caco-2 and T84 monolayers were exposed to interferon gamma. Barrier function was assessed by transepithelial electrical resistance and lucifer yellow permeability. Internalization and translocation of Escherichia coli strain C25 were measured by quantitative bacterial culture. Expression and distribution of junctional proteins were assessed by immunoblotting and confocal imaging.\nRESULTS: Minimal apical to basolateral translocation of C25 was observed in untreated T84 and Caco-2 monolayers. Interferon gamma caused a dramatic, dose-dependent increase in C25 translocation, which was uncoupled from cytokine-induced increases in paracellular permeability and disruption of tight junction proteins at low interferon gamma concentrations. These effects were associated with increased internalization of viable bacteria into, but not adherence to, Caco-2 cells. Interferon gamma-mediated bacterial translocation was abolished by pretreatment with the cholesterol-disrupting drugs filipin and methyl-beta-cyclodextrin, whereas these agents had no effect on infection of Caco-2 by the enteric pathogen Shigella sonnei.\nCONCLUSIONS: Normally poorly invasive enteric bacteria may, in situations of inflammatory stress, exploit lipid raft-mediated transcytotic pathways to cross the intestinal epithelium, and these effects may precede cytokine-induced disruption of tight junctions.","ISSN":"0016-5085","note":"PMID: 15887109","journalAbbreviation":"Gastroenterology","language":"eng","author":[{"family":"Clark","given":"Edwin"},{"family":"Hoare","given":"Catherine"},{"family":"Tanianis-Hughes","given":"Jolanta"},{"family":"Carlson","given":"Gordon L"},{"family":"Warhurst","given":"Geoffrey"}],"issued":{"date-parts":[["2005",5]]},"PMID":"15887109"}},{"id":29,"uris":["http://zotero.org/users/1744959/items/HM3D2WX9"],"uri":["http://zotero.org/users/1744959/items/HM3D2WX9"],"itemData":{"id":29,"type":"article-journal","title":"Characterisation of Escherichia coli strains involved in transcytosis across gut epithelial cells exposed to metabolic and inflammatory stress","container-title":"Microbes and infection / Institut Pasteur","page":"424-431","volume":"10","issue":"4","source":"NCBI PubMed","abstract":"Translocation of normally non-pathogenic bacteria across the gut may drive inflammatory responses associated with sepsis and inflammatory bowel disease. Recent evidence suggests translocation may not be purely passive, but occurs via novel transcellular pathways activated in enterocytes by inflammatory and metabolic stress. The specificity of this pathway with respect to different E. coli strains and other bacterial species, and possible molecular determinants of the \"translocating\" phenotype have been investigated. Translocation of E. coli strains and other bacteria was studied across Caco-2 monolayers exposed to different forms of cellular stress. All bacteria, apart from the pathogen Shigella sonnei, exhibited low levels of translocation in untreated monolayers. However, following enterocyte stress, translocation of E. coli strains C25 and HBTEC-1 was markedly stimulated, accompanied by increased internalisation into enterocytes. C25 and HBTEC-1 were typed to ECOR group A and group D respectively. Pathoarray analysis showed both strains had profiles quite different to those predicted for typical ExPEC isolates, lacking many of the genes associated with pathogenicity, although they contained several ORFs in common with ExPEC isolates. These data suggest translocating E. coli strains associated with infections are not opportunistic ExPEC strains but may comprise a separate group of E. coli strains.","DOI":"10.1016/j.micinf.2008.01.001","ISSN":"1286-4579","note":"PMID: 18403240","journalAbbreviation":"Microbes Infect.","language":"eng","author":[{"family":"Macutkiewicz","given":"Christian"},{"family":"Carlson","given":"Gordon"},{"family":"Clark","given":"Edwin"},{"family":"Dobrindt","given":"Ulrich"},{"family":"Roberts","given":"Ian"},{"family":"Warhurst","given":"Geoffrey"}],"issued":{"date-parts":[["2008",4]]},"PMID":"18403240"}}],"schema":"https://github.com/citation-style-language/schema/raw/master/csl-citation.json"} </w:instrText>
      </w:r>
      <w:r w:rsidR="001362BD" w:rsidRPr="006479DA">
        <w:rPr>
          <w:rFonts w:ascii="Book Antiqua" w:hAnsi="Book Antiqua"/>
          <w:sz w:val="24"/>
          <w:szCs w:val="24"/>
          <w:vertAlign w:val="superscript"/>
          <w:lang w:val="en-US"/>
        </w:rPr>
        <w:fldChar w:fldCharType="separate"/>
      </w:r>
      <w:r w:rsidR="009807D1" w:rsidRPr="006479DA">
        <w:rPr>
          <w:rFonts w:ascii="Book Antiqua" w:hAnsi="Book Antiqua"/>
          <w:sz w:val="24"/>
          <w:szCs w:val="24"/>
          <w:vertAlign w:val="superscript"/>
        </w:rPr>
        <w:t>[16–18]</w:t>
      </w:r>
      <w:r w:rsidR="001362BD" w:rsidRPr="006479DA">
        <w:rPr>
          <w:rFonts w:ascii="Book Antiqua" w:hAnsi="Book Antiqua"/>
          <w:sz w:val="24"/>
          <w:szCs w:val="24"/>
          <w:vertAlign w:val="superscript"/>
          <w:lang w:val="en-US"/>
        </w:rPr>
        <w:fldChar w:fldCharType="end"/>
      </w:r>
      <w:r w:rsidRPr="006479DA">
        <w:rPr>
          <w:rFonts w:ascii="Book Antiqua" w:hAnsi="Book Antiqua"/>
          <w:sz w:val="24"/>
          <w:szCs w:val="24"/>
          <w:lang w:val="en-US"/>
        </w:rPr>
        <w:t>. As a result, incre</w:t>
      </w:r>
      <w:r w:rsidR="00F706CA" w:rsidRPr="006479DA">
        <w:rPr>
          <w:rFonts w:ascii="Book Antiqua" w:hAnsi="Book Antiqua"/>
          <w:sz w:val="24"/>
          <w:szCs w:val="24"/>
          <w:lang w:val="en-US"/>
        </w:rPr>
        <w:t xml:space="preserve">ased bacterial translocation and </w:t>
      </w:r>
      <w:r w:rsidRPr="006479DA">
        <w:rPr>
          <w:rFonts w:ascii="Book Antiqua" w:hAnsi="Book Antiqua"/>
          <w:sz w:val="24"/>
          <w:szCs w:val="24"/>
          <w:lang w:val="en-US"/>
        </w:rPr>
        <w:t>induced p</w:t>
      </w:r>
      <w:r w:rsidR="00F706CA" w:rsidRPr="006479DA">
        <w:rPr>
          <w:rFonts w:ascii="Book Antiqua" w:hAnsi="Book Antiqua"/>
          <w:sz w:val="24"/>
          <w:szCs w:val="24"/>
          <w:lang w:val="en-US"/>
        </w:rPr>
        <w:t>roinflammatory cytokines leading</w:t>
      </w:r>
      <w:r w:rsidR="00D73E5D" w:rsidRPr="006479DA">
        <w:rPr>
          <w:rFonts w:ascii="Book Antiqua" w:hAnsi="Book Antiqua"/>
          <w:sz w:val="24"/>
          <w:szCs w:val="24"/>
          <w:lang w:val="en-US"/>
        </w:rPr>
        <w:t xml:space="preserve"> to</w:t>
      </w:r>
      <w:r w:rsidR="00506D3E" w:rsidRPr="006479DA">
        <w:rPr>
          <w:rFonts w:ascii="Book Antiqua" w:hAnsi="Book Antiqua"/>
          <w:sz w:val="24"/>
          <w:szCs w:val="24"/>
          <w:lang w:val="en-US"/>
        </w:rPr>
        <w:t xml:space="preserve"> </w:t>
      </w:r>
      <w:r w:rsidR="00F706CA" w:rsidRPr="006479DA">
        <w:rPr>
          <w:rFonts w:ascii="Book Antiqua" w:hAnsi="Book Antiqua"/>
          <w:sz w:val="24"/>
          <w:szCs w:val="24"/>
          <w:lang w:val="en-US"/>
        </w:rPr>
        <w:t xml:space="preserve">alterations of the structure of apical adhesion complexes </w:t>
      </w:r>
      <w:r w:rsidR="00D73E5D" w:rsidRPr="006479DA">
        <w:rPr>
          <w:rFonts w:ascii="Book Antiqua" w:hAnsi="Book Antiqua"/>
          <w:sz w:val="24"/>
          <w:szCs w:val="24"/>
          <w:lang w:val="en-US"/>
        </w:rPr>
        <w:t xml:space="preserve">as well as </w:t>
      </w:r>
      <w:r w:rsidR="00F706CA" w:rsidRPr="006479DA">
        <w:rPr>
          <w:rFonts w:ascii="Book Antiqua" w:hAnsi="Book Antiqua"/>
          <w:sz w:val="24"/>
          <w:szCs w:val="24"/>
          <w:lang w:val="en-US"/>
        </w:rPr>
        <w:t>edema, fibromuscular and</w:t>
      </w:r>
      <w:r w:rsidR="00D73E5D" w:rsidRPr="006479DA">
        <w:rPr>
          <w:rFonts w:ascii="Book Antiqua" w:hAnsi="Book Antiqua"/>
          <w:sz w:val="24"/>
          <w:szCs w:val="24"/>
          <w:lang w:val="en-US"/>
        </w:rPr>
        <w:t xml:space="preserve"> vascular proliferation, widening of intercellular space and an enlarged </w:t>
      </w:r>
      <w:r w:rsidR="00D73E5D" w:rsidRPr="00173F68">
        <w:rPr>
          <w:rFonts w:ascii="Book Antiqua" w:hAnsi="Book Antiqua"/>
          <w:sz w:val="24"/>
          <w:szCs w:val="24"/>
          <w:lang w:val="en-US"/>
        </w:rPr>
        <w:t>muscularis mucosae</w:t>
      </w:r>
      <w:r w:rsidR="00D73E5D" w:rsidRPr="006479DA">
        <w:rPr>
          <w:rFonts w:ascii="Book Antiqua" w:hAnsi="Book Antiqua"/>
          <w:sz w:val="24"/>
          <w:szCs w:val="24"/>
          <w:lang w:val="en-US"/>
        </w:rPr>
        <w:t xml:space="preserve"> </w:t>
      </w:r>
      <w:r w:rsidRPr="006479DA">
        <w:rPr>
          <w:rFonts w:ascii="Book Antiqua" w:hAnsi="Book Antiqua"/>
          <w:sz w:val="24"/>
          <w:szCs w:val="24"/>
          <w:lang w:val="en-US"/>
        </w:rPr>
        <w:t>augment the destruction of the int</w:t>
      </w:r>
      <w:r w:rsidR="00D73E5D" w:rsidRPr="006479DA">
        <w:rPr>
          <w:rFonts w:ascii="Book Antiqua" w:hAnsi="Book Antiqua"/>
          <w:sz w:val="24"/>
          <w:szCs w:val="24"/>
          <w:lang w:val="en-US"/>
        </w:rPr>
        <w:t>estinal integrity</w:t>
      </w:r>
      <w:r w:rsidR="001362BD" w:rsidRPr="006479DA">
        <w:rPr>
          <w:rFonts w:ascii="Book Antiqua" w:hAnsi="Book Antiqua"/>
          <w:sz w:val="24"/>
          <w:szCs w:val="24"/>
          <w:vertAlign w:val="superscript"/>
          <w:lang w:val="en-US"/>
        </w:rPr>
        <w:fldChar w:fldCharType="begin"/>
      </w:r>
      <w:r w:rsidR="009807D1" w:rsidRPr="006479DA">
        <w:rPr>
          <w:rFonts w:ascii="Book Antiqua" w:hAnsi="Book Antiqua"/>
          <w:sz w:val="24"/>
          <w:szCs w:val="24"/>
          <w:vertAlign w:val="superscript"/>
          <w:lang w:val="en-US"/>
        </w:rPr>
        <w:instrText xml:space="preserve"> </w:instrText>
      </w:r>
      <w:r w:rsidR="00F22811" w:rsidRPr="006479DA">
        <w:rPr>
          <w:rFonts w:ascii="Book Antiqua" w:hAnsi="Book Antiqua"/>
          <w:sz w:val="24"/>
          <w:szCs w:val="24"/>
          <w:vertAlign w:val="superscript"/>
          <w:lang w:val="en-US"/>
        </w:rPr>
        <w:instrText>ADDIN</w:instrText>
      </w:r>
      <w:r w:rsidR="009807D1" w:rsidRPr="006479DA">
        <w:rPr>
          <w:rFonts w:ascii="Book Antiqua" w:hAnsi="Book Antiqua"/>
          <w:sz w:val="24"/>
          <w:szCs w:val="24"/>
          <w:vertAlign w:val="superscript"/>
          <w:lang w:val="en-US"/>
        </w:rPr>
        <w:instrText xml:space="preserve"> ZOTERO_ITEM CSL_CITATION {"citationID":"sX5bxXkB","properties":{"formattedCitation":"{\\rtf \\super [14,19]\\nosupersub{}}","plainCitation":"[14,19]"},"citationItems":[{"id":81,"uris":["http://zotero.org/users/1744959/items/T9942EPF"],"uri":["http://zotero.org/users/1744959/items/T9942EPF"],"itemData":{"id":81,"type":"article-journal","title":"Proinflammatory cytokines disrupt epithelial barrier function by apoptosis-independent mechanisms","container-title":"Journal of immunology (Baltimore, Md.: 1950)","page":"6164-6172","volume":"171","issue":"11","source":"NCBI PubMed","abstract":"It is well known that inflammatory conditions of the intestinal mucosa result in compromised barrier function. Inflammation is characterized by an influx into the mucosa of immune cells that influence epithelial function by releasing proinflammatory cytokines such as IFN-gamma and TNF-alpha. Mucosal barrier function is regulated by the epithelial apical junctional complex (AJC) consisting of the tight junction and the adherens junction. Since the AJC regulates barrier function, we analyzed the influence of IFN-gamma and TNF-alpha on its structure/function and determined the contribution of apoptosis to this process using a model intestinal epithelial cell line, T84, and IFN-gamma and TNF-alpha. AJC structure/function was analyzed by confocal microscopy, biochemical analysis, and physiologic measurement of epithelial gate/fence function. Apoptosis was monitored by determining cytokeratin 18 cleavage and caspase-3 activation. IFN-gamma induced time-dependent disruptions in epithelial gate function that were potentiated by coincubation with TNF-alpha. Tight junction fence function was somewhat disrupted. Cytokine treatment was associated with internalization of AJC transmembrane proteins, junction adhesion molecule 1, occludin, and claudin-1/4 with minimal effects on the cytoplasmic plaque protein zonula occludens 1. Detergent solubility profiles of junction adhesion molecule 1 and E-cadherin and their affiliation with \"raft-like\" membrane microdomains were modified by these cytokines. Inhibition of cytokine-induced apoptosis did not block induced permeability defects; further emphasizing their primary influence on the epithelial AJC structure and barrier function. Our findings for the first time clearly separate the proapoptotic effects of IFN-gamma and TNF-alpha from their abilities to disrupt barrier function.","ISSN":"0022-1767","note":"PMID: 14634132","journalAbbreviation":"J. Immunol.","language":"eng","author":[{"family":"Bruewer","given":"Matthias"},{"family":"Luegering","given":"Andreas"},{"family":"Kucharzik","given":"Torsten"},{"family":"Parkos","given":"Charles A"},{"family":"Madara","given":"James L"},{"family":"Hopkins","given":"Ann M"},{"family":"Nusrat","given":"Asma"}],"issued":{"date-parts":[["2003",12,1]]},"PMID":"14634132"}},{"id":53,"uris":["http://zotero.org/users/1744959/items/Q88BKHVE"],"uri":["http://zotero.org/users/1744959/items/Q88BKHVE"],"itemData":{"id":53,"type":"article-journal","title":"Bacterial translocation (BT) in cirrhosis","container-title":"Hepatology (Baltimore, Md.)","page":"422-433","volume":"41","issue":"3","source":"NCBI PubMed","abstract":"Gut flora and bacterial translocation (BT) play an important role in the pathogenesis of the complications of cirrhosis. Research on the pathogenesis of BT and its clinical significance transcends established boundaries between microbiology, cell biology, intestinal pathophysiology, and immunology. This review delineates multiple mechanisms involved in the process of BT, with an emphasis on alterations in intestinal flora and mucosal barrier function, particularly immunological defense mechanisms. Current knowledge on the innate and adaptive immune response that allows a \"friendly\" communication between bacteria and host is summarized, and alterations occurring in cirrhosis that may facilitate BT are discussed. In addition, definition of a \"pathological\" BT is proposed together with an analysis of the anatomical site and route of BT. Finally, therapeutic approaches for the prevention of BT in experimental and human cirrhosis are reviewed. Future research in the field of BT in cirrhosis will allow the development of new therapeutic targets in the prevention of infections and other complications of cirrhosis.","DOI":"10.1002/hep.20632","ISSN":"0270-9139","note":"PMID: 15723320","journalAbbreviation":"Hepatology","language":"eng","author":[{"family":"Wiest","given":"Reiner"},{"family":"Garcia-Tsao","given":"Guadalupe"}],"issued":{"date-parts":[["2005",3]]},"PMID":"15723320"}}],"schema":"https://github.com/citation-style-language/schema/raw/master/csl-citation.json"} </w:instrText>
      </w:r>
      <w:r w:rsidR="001362BD" w:rsidRPr="006479DA">
        <w:rPr>
          <w:rFonts w:ascii="Book Antiqua" w:hAnsi="Book Antiqua"/>
          <w:sz w:val="24"/>
          <w:szCs w:val="24"/>
          <w:vertAlign w:val="superscript"/>
          <w:lang w:val="en-US"/>
        </w:rPr>
        <w:fldChar w:fldCharType="separate"/>
      </w:r>
      <w:r w:rsidR="009807D1" w:rsidRPr="006479DA">
        <w:rPr>
          <w:rFonts w:ascii="Book Antiqua" w:hAnsi="Book Antiqua"/>
          <w:sz w:val="24"/>
          <w:szCs w:val="24"/>
          <w:vertAlign w:val="superscript"/>
        </w:rPr>
        <w:t>[14,19]</w:t>
      </w:r>
      <w:r w:rsidR="001362BD" w:rsidRPr="006479DA">
        <w:rPr>
          <w:rFonts w:ascii="Book Antiqua" w:hAnsi="Book Antiqua"/>
          <w:sz w:val="24"/>
          <w:szCs w:val="24"/>
          <w:vertAlign w:val="superscript"/>
          <w:lang w:val="en-US"/>
        </w:rPr>
        <w:fldChar w:fldCharType="end"/>
      </w:r>
      <w:r w:rsidRPr="006479DA">
        <w:rPr>
          <w:rFonts w:ascii="Book Antiqua" w:hAnsi="Book Antiqua"/>
          <w:sz w:val="24"/>
          <w:szCs w:val="24"/>
          <w:lang w:val="en-US"/>
        </w:rPr>
        <w:t xml:space="preserve"> likely in a self-</w:t>
      </w:r>
      <w:r w:rsidR="00EB7DF2" w:rsidRPr="006479DA">
        <w:rPr>
          <w:rFonts w:ascii="Book Antiqua" w:hAnsi="Book Antiqua"/>
          <w:sz w:val="24"/>
          <w:szCs w:val="24"/>
          <w:lang w:val="en-US"/>
        </w:rPr>
        <w:t>perpetuating manner. Since it is not</w:t>
      </w:r>
      <w:r w:rsidRPr="006479DA">
        <w:rPr>
          <w:rFonts w:ascii="Book Antiqua" w:hAnsi="Book Antiqua"/>
          <w:sz w:val="24"/>
          <w:szCs w:val="24"/>
          <w:lang w:val="en-US"/>
        </w:rPr>
        <w:t xml:space="preserve"> known, whether increased IP is the caus</w:t>
      </w:r>
      <w:r w:rsidR="0005298B" w:rsidRPr="006479DA">
        <w:rPr>
          <w:rFonts w:ascii="Book Antiqua" w:hAnsi="Book Antiqua"/>
          <w:sz w:val="24"/>
          <w:szCs w:val="24"/>
          <w:lang w:val="en-US"/>
        </w:rPr>
        <w:t>e or the result of pathological</w:t>
      </w:r>
      <w:r w:rsidR="00EB7DF2" w:rsidRPr="006479DA">
        <w:rPr>
          <w:rFonts w:ascii="Book Antiqua" w:hAnsi="Book Antiqua"/>
          <w:sz w:val="24"/>
          <w:szCs w:val="24"/>
          <w:lang w:val="en-US"/>
        </w:rPr>
        <w:t xml:space="preserve"> bacterial translocation</w:t>
      </w:r>
      <w:r w:rsidRPr="006479DA">
        <w:rPr>
          <w:rFonts w:ascii="Book Antiqua" w:hAnsi="Book Antiqua"/>
          <w:sz w:val="24"/>
          <w:szCs w:val="24"/>
          <w:lang w:val="en-US"/>
        </w:rPr>
        <w:t xml:space="preserve"> in cirrhosis, the assessment of </w:t>
      </w:r>
      <w:r w:rsidR="00EB7DF2" w:rsidRPr="006479DA">
        <w:rPr>
          <w:rFonts w:ascii="Book Antiqua" w:hAnsi="Book Antiqua"/>
          <w:sz w:val="24"/>
          <w:szCs w:val="24"/>
          <w:lang w:val="en-US"/>
        </w:rPr>
        <w:t xml:space="preserve">IP </w:t>
      </w:r>
      <w:r w:rsidRPr="006479DA">
        <w:rPr>
          <w:rFonts w:ascii="Book Antiqua" w:hAnsi="Book Antiqua"/>
          <w:sz w:val="24"/>
          <w:szCs w:val="24"/>
          <w:lang w:val="en-US"/>
        </w:rPr>
        <w:t>as a clinical test to  predict complications in cirrhosis is controversial.</w:t>
      </w:r>
    </w:p>
    <w:p w14:paraId="603106EF" w14:textId="77777777" w:rsidR="00173F68" w:rsidRDefault="00250020" w:rsidP="00265BAF">
      <w:pPr>
        <w:spacing w:after="0" w:line="360" w:lineRule="auto"/>
        <w:ind w:firstLineChars="100" w:firstLine="240"/>
        <w:jc w:val="both"/>
        <w:rPr>
          <w:rFonts w:ascii="Book Antiqua" w:eastAsia="SimSun" w:hAnsi="Book Antiqua"/>
          <w:sz w:val="24"/>
          <w:szCs w:val="24"/>
          <w:lang w:val="en-US" w:eastAsia="zh-CN"/>
        </w:rPr>
      </w:pPr>
      <w:r w:rsidRPr="006479DA">
        <w:rPr>
          <w:rFonts w:ascii="Book Antiqua" w:hAnsi="Book Antiqua"/>
          <w:sz w:val="24"/>
          <w:szCs w:val="24"/>
          <w:lang w:val="en-US"/>
        </w:rPr>
        <w:t xml:space="preserve">In some clinical studies, </w:t>
      </w:r>
      <w:r w:rsidR="00983A95" w:rsidRPr="006479DA">
        <w:rPr>
          <w:rFonts w:ascii="Book Antiqua" w:hAnsi="Book Antiqua"/>
          <w:sz w:val="24"/>
          <w:szCs w:val="24"/>
          <w:lang w:val="en-US"/>
        </w:rPr>
        <w:t>increased</w:t>
      </w:r>
      <w:r w:rsidRPr="006479DA">
        <w:rPr>
          <w:rFonts w:ascii="Book Antiqua" w:hAnsi="Book Antiqua"/>
          <w:sz w:val="24"/>
          <w:szCs w:val="24"/>
          <w:lang w:val="en-US"/>
        </w:rPr>
        <w:t xml:space="preserve"> IP has been correlated with spontaneous bacterial peritonitis (SBP) and bacteremia</w:t>
      </w:r>
      <w:r w:rsidR="007858C2" w:rsidRPr="006479DA">
        <w:rPr>
          <w:rFonts w:ascii="Book Antiqua" w:hAnsi="Book Antiqua"/>
          <w:sz w:val="24"/>
          <w:szCs w:val="24"/>
          <w:lang w:val="en-US"/>
        </w:rPr>
        <w:t xml:space="preserve"> mainly</w:t>
      </w:r>
      <w:r w:rsidR="009E0558" w:rsidRPr="006479DA">
        <w:rPr>
          <w:rFonts w:ascii="Book Antiqua" w:hAnsi="Book Antiqua"/>
          <w:sz w:val="24"/>
          <w:szCs w:val="24"/>
          <w:lang w:val="en-US"/>
        </w:rPr>
        <w:t xml:space="preserve"> in</w:t>
      </w:r>
      <w:r w:rsidR="007858C2" w:rsidRPr="006479DA">
        <w:rPr>
          <w:rFonts w:ascii="Book Antiqua" w:hAnsi="Book Antiqua"/>
          <w:sz w:val="24"/>
          <w:szCs w:val="24"/>
          <w:lang w:val="en-US"/>
        </w:rPr>
        <w:t xml:space="preserve"> </w:t>
      </w:r>
      <w:r w:rsidR="00173F68">
        <w:rPr>
          <w:rFonts w:ascii="Book Antiqua" w:hAnsi="Book Antiqua"/>
          <w:sz w:val="24"/>
          <w:szCs w:val="24"/>
          <w:lang w:val="en-US"/>
        </w:rPr>
        <w:t>retrospective cohort studies</w:t>
      </w:r>
      <w:r w:rsidR="001362BD"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{"citationID":"F3YkGvfG","properties":{"formattedCitation":"{\\rtf \\super [8,20]\\nosupersub{}}","plainCitation":"[8,20]"},"citationItems":[{"id":85,"uris":["http://zotero.org/users/1744959/items/W833A6GC"],"uri":["http://zotero.org/users/1744959/items/W833A6GC"],"itemData":{"id":85,"type":"article-journal","title":"Intestinal permeability in liver cirrhosis: relationship with severe septic complications","container-title":"European journal of gastroenterology &amp; hepatology","page":"755-759","volume":"11","issue":"7","source":"NCBI PubMed","abstract":"OBJECTIVES: Patients with liver cirrhosis are at high risk of severe septic complications such as spontaneous bacterial peritonitis (SBP) and bacteraemia. The aims of this study were to assess intestinal permeability in patients with liver cirrhosis and to search for a relationship between an impaired intestinal permeability and the occurrence of severe septic complications.\nMETHODS: Intestinal permeability was assessed in a group of 80 cirrhotic patients (Child A, n = 13; Child B, n = 26; Child C, n = 41) and 28 healthy control subjects. A severe septic complication (bacteraemia and/or SBP) occurred in 16 patients, within 10 days before (n = 8 cases) or after (n = 8 cases) the test was performed. Lactulose (LAC) 10 g was given orally together with mannitol (MAN) 5 g, and urinary excretion rates were determined.\nRESULTS: Urinary mannitol excretion (MAN%) was lower while the LAC/MAN ratio was higher in patients than in control subjects (P &lt; 0.001); these abnormalities were more marked in Child C patients (Child C patients vs control subjects: MAN%, 8.20 +/- 0.79 vs 14.59 +/- 0.58, P &lt; 0.001; LAC/MAN, 0.066 +/- 0.026 vs 0.017 +/- 0.001, P &lt; 0.02). When compared with non-infected patients, septic patients had a lower MAN% and an increased LAC/ MAN ratio (5.45 +/- 1.12 vs 9.83 +/- 0.87, P &lt; 0.02; 0.130 +/- 0.063 vs 0.029 +/- 0.005, P &lt; 0.02).\nCONCLUSION: Although the main mechanism involved in the decrease in MAN% is likely a reduction in area of the intestinal absorptive surface, these results argue in favour of an increased intestinal permeability in liver cirrhosis, especially in patients with severe infectious complications. The impairment of intestinal function barrier may contribute to severe septic complications in these patients.","ISSN":"0954-691X","note":"PMID: 10445796","shortTitle":"Intestinal permeability in liver cirrhosis","journalAbbreviation":"Eur J Gastroenterol Hepatol","language":"eng","author":[{"family":"Campillo","given":"B"},{"family":"Pernet","given":"P"},{"family":"Bories","given":"P N"},{"family":"Richardet","given":"J P"},{"family":"Devanlay","given":"M"},{"family":"Aussel","given":"C"}],"issued":{"date-parts":[["1999",7]]},"PMID":"10445796"}},{"id":43,"uris":["http://zotero.org/users/1744959/items/XRFUT8XB"],"uri":["http://zotero.org/users/1744959/items/XRFUT8XB"],"itemData":{"id":43,"type":"article-journal","title":"Intestinal permeability in cirrhotic patients with and without spontaneous bacterial peritonitis: is the ring closed?","container-title":"The American journal of gastroenterology","page":"323-327","volume":"105","issue":"2","source":"NCBI PubMed","abstract":"OBJECTIVES: Impaired intestinal permeability (IP) may have a role in the pathogenesis of ascites and in spontaneous bacterial peritonitis (SBP) in patients with liver cirrhosis (LC). The aim of this study was to assess IP in LC patients with respect to healthy controls.\nMETHODS: IP was evaluated by the (51)Cr-ethylenediaminetetraacetic acid ((51)Cr-EDTA) permeability test in 52 LC patients and in 48 sex- and age-matched controls. The presence of (51)Cr-EDTA was also evaluated in ascitic fluid after therapeutic paracentesis in all LC patients with ascites.\nRESULTS: An altered IP was found in 45% of LC patients compared with 4% of controls (P&lt;0.00001). IP impairment was significantly associated with Child-Pugh status (75% of Child C patients vs. 39% of Child B and 22% of Child A patients), with the presence of ascites (60% in ascitic patients vs. 31% in nonascitic patients), and with a history of SBP (100% of patients with SBP vs. 50% of those without SBP). (51)Cr-EDTA was present in all ascitic samples obtained from patients with SBP compared with 22% of patients without SBP.\nCONCLUSIONS: IP derangement was a common finding in LC, especially in patients with more advanced disease (presence of ascites and history of SBP). The presence of (51)Cr-EDTA in ascites in patients with SBP suggests an altered permeability of splancnic vessels and/or peritoneal membranes. Further studies are required to assess (51)Cr-EDTA urine and ascite cutoffs to set up SBP preventive strategies.","DOI":"10.1038/ajg.2009.558","ISSN":"1572-0241","note":"PMID: 19844200","shortTitle":"Intestinal permeability in cirrhotic patients with and without spontaneous bacterial peritonitis","journalAbbreviation":"Am. J. Gastroenterol.","language":"eng","author":[{"family":"Scarpellini","given":"Emidio"},{"family":"Valenza","given":"Venanzio"},{"family":"Gabrielli","given":"Maurizio"},{"family":"Lauritano","given":"Ernesto Cristiano"},{"family":"Perotti","given":"Germano"},{"family":"Merra","given":"Giuseppe"},{"family":"Dal Lago","given":"Antonio"},{"family":"Ojetti","given":"Veronica"},{"family":"Ainora","given":"Maria Elena"},{"family":"Santoro","given":"Michele"},{"family":"Ghirlanda","given":"Giovanni"},{"family":"Gasbarrini","given":"Antonio"}],"issued":{"date-parts":[["2010",2]]},"PMID":"19844200"}}],"schema":"https://github.com/citation-style-language/schema/raw/master/csl-citation.json"} </w:instrText>
      </w:r>
      <w:r w:rsidR="001362BD"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[8,20]</w:t>
      </w:r>
      <w:r w:rsidR="001362BD" w:rsidRPr="006479DA">
        <w:rPr>
          <w:rFonts w:ascii="Book Antiqua" w:hAnsi="Book Antiqua"/>
          <w:sz w:val="24"/>
          <w:szCs w:val="24"/>
          <w:lang w:val="en-US"/>
        </w:rPr>
        <w:fldChar w:fldCharType="end"/>
      </w:r>
      <w:r w:rsidR="001362BD" w:rsidRPr="006479DA">
        <w:rPr>
          <w:rFonts w:ascii="Book Antiqua" w:hAnsi="Book Antiqua"/>
          <w:sz w:val="24"/>
          <w:szCs w:val="24"/>
          <w:lang w:val="en-US"/>
        </w:rPr>
        <w:t xml:space="preserve">, </w:t>
      </w:r>
      <w:r w:rsidR="007858C2" w:rsidRPr="006479DA">
        <w:rPr>
          <w:rFonts w:ascii="Book Antiqua" w:hAnsi="Book Antiqua"/>
          <w:sz w:val="24"/>
          <w:szCs w:val="24"/>
          <w:lang w:val="en-US"/>
        </w:rPr>
        <w:t xml:space="preserve">which </w:t>
      </w:r>
      <w:r w:rsidRPr="006479DA">
        <w:rPr>
          <w:rFonts w:ascii="Book Antiqua" w:hAnsi="Book Antiqua"/>
          <w:sz w:val="24"/>
          <w:szCs w:val="24"/>
          <w:lang w:val="en-US"/>
        </w:rPr>
        <w:t xml:space="preserve">could not be </w:t>
      </w:r>
      <w:r w:rsidR="009E0558" w:rsidRPr="006479DA">
        <w:rPr>
          <w:rFonts w:ascii="Book Antiqua" w:hAnsi="Book Antiqua"/>
          <w:sz w:val="24"/>
          <w:szCs w:val="24"/>
          <w:lang w:val="en-US"/>
        </w:rPr>
        <w:t>replicated</w:t>
      </w:r>
      <w:r w:rsidRPr="006479DA">
        <w:rPr>
          <w:rFonts w:ascii="Book Antiqua" w:hAnsi="Book Antiqua"/>
          <w:sz w:val="24"/>
          <w:szCs w:val="24"/>
          <w:lang w:val="en-US"/>
        </w:rPr>
        <w:t xml:space="preserve"> i</w:t>
      </w:r>
      <w:r w:rsidR="001362BD" w:rsidRPr="006479DA">
        <w:rPr>
          <w:rFonts w:ascii="Book Antiqua" w:hAnsi="Book Antiqua"/>
          <w:sz w:val="24"/>
          <w:szCs w:val="24"/>
          <w:lang w:val="en-US"/>
        </w:rPr>
        <w:t xml:space="preserve">n </w:t>
      </w:r>
      <w:r w:rsidR="009E0558" w:rsidRPr="006479DA">
        <w:rPr>
          <w:rFonts w:ascii="Book Antiqua" w:hAnsi="Book Antiqua"/>
          <w:sz w:val="24"/>
          <w:szCs w:val="24"/>
          <w:lang w:val="en-US"/>
        </w:rPr>
        <w:t>one</w:t>
      </w:r>
      <w:r w:rsidR="00173F68">
        <w:rPr>
          <w:rFonts w:ascii="Book Antiqua" w:hAnsi="Book Antiqua"/>
          <w:sz w:val="24"/>
          <w:szCs w:val="24"/>
          <w:lang w:val="en-US"/>
        </w:rPr>
        <w:t xml:space="preserve"> prospective study</w:t>
      </w:r>
      <w:r w:rsidR="001362BD"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{"citationID":"2h7vug0bq6","properties":{"formattedCitation":"{\\rtf \\super [21]\\nosupersub{}}","plainCitation":"[21]"},"citationItems":[{"id":87,"uris":["http://zotero.org/users/1744959/items/DBEB2BW4"],"uri":["http://zotero.org/users/1744959/items/DBEB2BW4"],"itemData":{"id":87,"type":"article-journal","title":"Intestinal permeability and complications in liver cirrhosis: A prospective cohort study","container-title":"Hepatology research: the official journal of the Japan Society of Hepatology","page":"200-207","volume":"43","issue":"2","source":"NCBI PubMed","abstract":"Aim:  Increased intestinal permeability (IP) has been implicated as an important factor for bacterial translocation (BT), leading to bacteremia and endotoxemia, resulting in various septic complications, variceal bleeding (VB), hepatic encephalopathy (HE), hepatorenal syndrome (HRS) and death in patients with liver cirrhosis (LC). This study was planned to assess IP in patients with LC and follow them for the occurrence of complications. Methods:  Patients with Child B and C cirrhosis without a history of disease-related complications were followed up for 6 months. IP was measured by lactulose and mannitol excretion ratio (LMR) in patients and 50 healthy controls (HC). Serum endotoxin levels were also assessed in 48 patients and 20 HC. Results:  Eighty patients (74 male), 41 (51.3%) Child B and 56 (70%) Child C, with a mean age of 40.7 ± 9.8 years were enrolled. IP was increased in 28 (35%) patients. LMR of patients was higher than HC (patients vs HC = 0.0238 [0.0010-1.557] vs 0.0166 [0.0018-0.720]; P = 0.007]. No significant difference was seen in the LMR of patients among various Child classes and etiologies. Serum endotoxin levels (GMU/mL) were higher in patients than HC (patients vs HC = 1.42 [0.68-2.13] vs 0.994 [0.067-1.382]; P = 0.001), but comparable between patients with abnormal and normal IP. At follow up, there was no significant difference in the incidence of complications like spontaneous bacterial peritonitis, HRS, VB, HE and death between patients with abnormal and normal IP. Conclusion:  IP was increased in 35% of patients with LC; however, it was not associated with a higher incidence of disease-related complications.","DOI":"10.1111/j.1872-034X.2012.01054.x","ISSN":"1386-6346","note":"PMID: 22726344","shortTitle":"Intestinal permeability and complications in liver cirrhosis","journalAbbreviation":"Hepatol. Res.","language":"eng","author":[{"family":"Benjamin","given":"Jaya"},{"family":"Singla","given":"Vikas"},{"family":"Arora","given":"Indu"},{"family":"Sood","given":"Seema"},{"family":"Joshi","given":"Yogendra Kumar"}],"issued":{"date-parts":[["2013",2]]},"PMID":"22726344"}}],"schema":"https://github.com/citation-style-language/schema/raw/master/csl-citation.json"} </w:instrText>
      </w:r>
      <w:r w:rsidR="001362BD"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[21]</w:t>
      </w:r>
      <w:r w:rsidR="001362BD" w:rsidRPr="006479DA">
        <w:rPr>
          <w:rFonts w:ascii="Book Antiqua" w:hAnsi="Book Antiqua"/>
          <w:sz w:val="24"/>
          <w:szCs w:val="24"/>
          <w:lang w:val="en-US"/>
        </w:rPr>
        <w:fldChar w:fldCharType="end"/>
      </w:r>
      <w:r w:rsidR="001362BD" w:rsidRPr="006479DA">
        <w:rPr>
          <w:rFonts w:ascii="Book Antiqua" w:hAnsi="Book Antiqua"/>
          <w:sz w:val="24"/>
          <w:szCs w:val="24"/>
          <w:lang w:val="en-US"/>
        </w:rPr>
        <w:t xml:space="preserve">. In a recent </w:t>
      </w:r>
      <w:r w:rsidR="007858C2" w:rsidRPr="006479DA">
        <w:rPr>
          <w:rFonts w:ascii="Book Antiqua" w:hAnsi="Book Antiqua"/>
          <w:sz w:val="24"/>
          <w:szCs w:val="24"/>
          <w:lang w:val="en-US"/>
        </w:rPr>
        <w:t>report</w:t>
      </w:r>
      <w:r w:rsidR="001362BD"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{"citationID":"27rshbbd33","properties":{"formattedCitation":"{\\rtf \\super [15]\\nosupersub{}}","plainCitation":"[15]"},"citationItems":[{"id":260,"uris":["http://zotero.org/users/1744959/items/M53HW9W4"],"uri":["http://zotero.org/users/1744959/items/M53HW9W4"],"itemData":{"id":260,"type":"article-journal","title":"Non-selective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Lab","given":""}],"issued":{"date-parts":[["2013",5]]},"PMID":"23262249"}}],"schema":"https://github.com/citation-style-language/schema/raw/master/csl-citation.json"} </w:instrText>
      </w:r>
      <w:r w:rsidR="001362BD"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[15]</w:t>
      </w:r>
      <w:r w:rsidR="001362BD" w:rsidRPr="006479DA">
        <w:rPr>
          <w:rFonts w:ascii="Book Antiqua" w:hAnsi="Book Antiqua"/>
          <w:sz w:val="24"/>
          <w:szCs w:val="24"/>
          <w:lang w:val="en-US"/>
        </w:rPr>
        <w:fldChar w:fldCharType="end"/>
      </w:r>
      <w:r w:rsidR="001362BD" w:rsidRPr="006479DA">
        <w:rPr>
          <w:rFonts w:ascii="Book Antiqua" w:hAnsi="Book Antiqua"/>
          <w:sz w:val="24"/>
          <w:szCs w:val="24"/>
          <w:lang w:val="en-US"/>
        </w:rPr>
        <w:t xml:space="preserve"> </w:t>
      </w:r>
      <w:r w:rsidR="00B96AD4" w:rsidRPr="006479DA">
        <w:rPr>
          <w:rFonts w:ascii="Book Antiqua" w:hAnsi="Book Antiqua"/>
          <w:sz w:val="24"/>
          <w:szCs w:val="24"/>
          <w:lang w:val="en-US"/>
        </w:rPr>
        <w:t>altered</w:t>
      </w:r>
      <w:r w:rsidRPr="006479DA">
        <w:rPr>
          <w:rFonts w:ascii="Book Antiqua" w:hAnsi="Book Antiqua"/>
          <w:sz w:val="24"/>
          <w:szCs w:val="24"/>
          <w:lang w:val="en-US"/>
        </w:rPr>
        <w:t xml:space="preserve"> IP was associated with variceal bleeding but not with mortality questioning a clinically significant association with bacterial infections. Against that background, we performed a cohort study to</w:t>
      </w:r>
      <w:r w:rsidR="009E0558" w:rsidRPr="006479DA">
        <w:rPr>
          <w:rFonts w:ascii="Book Antiqua" w:hAnsi="Book Antiqua"/>
          <w:sz w:val="24"/>
          <w:szCs w:val="24"/>
          <w:lang w:val="en-US"/>
        </w:rPr>
        <w:t xml:space="preserve"> prospectively</w:t>
      </w:r>
      <w:r w:rsidRPr="006479DA">
        <w:rPr>
          <w:rFonts w:ascii="Book Antiqua" w:hAnsi="Book Antiqua"/>
          <w:sz w:val="24"/>
          <w:szCs w:val="24"/>
          <w:lang w:val="en-US"/>
        </w:rPr>
        <w:t xml:space="preserve"> assess the impact of IP on bacterial infections and mortality in cirrhosis and to compare its predictive accuracy with </w:t>
      </w:r>
      <w:r w:rsidRPr="006479DA">
        <w:rPr>
          <w:rFonts w:ascii="Book Antiqua" w:hAnsi="Book Antiqua"/>
          <w:sz w:val="24"/>
          <w:szCs w:val="24"/>
          <w:lang w:val="en-US"/>
        </w:rPr>
        <w:lastRenderedPageBreak/>
        <w:t>serum surrogate markers of systemic inflammation</w:t>
      </w:r>
      <w:r w:rsidR="00312570" w:rsidRPr="006479DA">
        <w:rPr>
          <w:rFonts w:ascii="Book Antiqua" w:hAnsi="Book Antiqua"/>
          <w:sz w:val="24"/>
          <w:szCs w:val="24"/>
          <w:lang w:val="en-US"/>
        </w:rPr>
        <w:t xml:space="preserve"> and a marker of enterocyte damage</w:t>
      </w:r>
      <w:r w:rsidR="00173F68">
        <w:rPr>
          <w:rFonts w:ascii="Book Antiqua" w:hAnsi="Book Antiqua"/>
          <w:sz w:val="24"/>
          <w:szCs w:val="24"/>
          <w:lang w:val="en-US"/>
        </w:rPr>
        <w:t>.</w:t>
      </w:r>
    </w:p>
    <w:p w14:paraId="58ABD6C3" w14:textId="77777777" w:rsidR="00173F68" w:rsidRDefault="00173F68" w:rsidP="00265BAF">
      <w:pPr>
        <w:spacing w:after="0" w:line="360" w:lineRule="auto"/>
        <w:jc w:val="both"/>
        <w:rPr>
          <w:rFonts w:ascii="Book Antiqua" w:eastAsia="SimSun" w:hAnsi="Book Antiqua"/>
          <w:sz w:val="24"/>
          <w:szCs w:val="24"/>
          <w:lang w:val="en-US" w:eastAsia="zh-CN"/>
        </w:rPr>
      </w:pPr>
    </w:p>
    <w:p w14:paraId="183FAD73" w14:textId="53E3E86F" w:rsidR="009A7F1F" w:rsidRPr="00173F68" w:rsidRDefault="002A4B64" w:rsidP="00265BAF">
      <w:pPr>
        <w:spacing w:after="0" w:line="360" w:lineRule="auto"/>
        <w:jc w:val="both"/>
        <w:rPr>
          <w:rFonts w:ascii="Book Antiqua" w:eastAsia="SimSun" w:hAnsi="Book Antiqua"/>
          <w:b/>
          <w:sz w:val="24"/>
          <w:szCs w:val="24"/>
          <w:lang w:val="en-US" w:eastAsia="zh-CN"/>
        </w:rPr>
      </w:pPr>
      <w:r w:rsidRPr="00173F68">
        <w:rPr>
          <w:rFonts w:ascii="Book Antiqua" w:hAnsi="Book Antiqua"/>
          <w:b/>
          <w:sz w:val="24"/>
          <w:szCs w:val="24"/>
          <w:lang w:val="en-US"/>
        </w:rPr>
        <w:t>MATERIALS AND METHODS</w:t>
      </w:r>
    </w:p>
    <w:p w14:paraId="5DEDCBD9" w14:textId="77777777" w:rsidR="009A7F1F" w:rsidRPr="006479DA" w:rsidRDefault="009A7F1F" w:rsidP="00265BAF">
      <w:pPr>
        <w:spacing w:after="0" w:line="360" w:lineRule="auto"/>
        <w:jc w:val="both"/>
        <w:rPr>
          <w:rFonts w:ascii="Book Antiqua" w:hAnsi="Book Antiqua"/>
          <w:b/>
          <w:i/>
          <w:sz w:val="24"/>
          <w:szCs w:val="24"/>
          <w:lang w:val="en-US"/>
        </w:rPr>
      </w:pPr>
      <w:r w:rsidRPr="006479DA">
        <w:rPr>
          <w:rFonts w:ascii="Book Antiqua" w:hAnsi="Book Antiqua"/>
          <w:b/>
          <w:i/>
          <w:sz w:val="24"/>
          <w:szCs w:val="24"/>
          <w:lang w:val="en-US"/>
        </w:rPr>
        <w:t>Study population</w:t>
      </w:r>
    </w:p>
    <w:p w14:paraId="6EA3A083" w14:textId="506B79BE" w:rsidR="007210AB" w:rsidRPr="006479DA" w:rsidRDefault="006A6D55"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During Novemb</w:t>
      </w:r>
      <w:r w:rsidR="00671275" w:rsidRPr="006479DA">
        <w:rPr>
          <w:rFonts w:ascii="Book Antiqua" w:hAnsi="Book Antiqua"/>
          <w:sz w:val="24"/>
          <w:szCs w:val="24"/>
          <w:lang w:val="en-US"/>
        </w:rPr>
        <w:t>er 2010 and March 2012</w:t>
      </w:r>
      <w:r w:rsidR="00250289" w:rsidRPr="006479DA">
        <w:rPr>
          <w:rFonts w:ascii="Book Antiqua" w:hAnsi="Book Antiqua"/>
          <w:sz w:val="24"/>
          <w:szCs w:val="24"/>
          <w:lang w:val="en-US"/>
        </w:rPr>
        <w:t xml:space="preserve">, </w:t>
      </w:r>
      <w:r w:rsidRPr="006479DA">
        <w:rPr>
          <w:rFonts w:ascii="Book Antiqua" w:hAnsi="Book Antiqua"/>
          <w:sz w:val="24"/>
          <w:szCs w:val="24"/>
          <w:lang w:val="en-US"/>
        </w:rPr>
        <w:t xml:space="preserve">46 </w:t>
      </w:r>
      <w:r w:rsidR="00486134" w:rsidRPr="006479DA">
        <w:rPr>
          <w:rFonts w:ascii="Book Antiqua" w:hAnsi="Book Antiqua"/>
          <w:sz w:val="24"/>
          <w:szCs w:val="24"/>
          <w:lang w:val="en-US"/>
        </w:rPr>
        <w:t xml:space="preserve">consecutive </w:t>
      </w:r>
      <w:r w:rsidRPr="006479DA">
        <w:rPr>
          <w:rFonts w:ascii="Book Antiqua" w:hAnsi="Book Antiqua"/>
          <w:sz w:val="24"/>
          <w:szCs w:val="24"/>
          <w:lang w:val="en-US"/>
        </w:rPr>
        <w:t xml:space="preserve">hospitalized patients with liver cirrhosis, defined by </w:t>
      </w:r>
      <w:r w:rsidR="00506D3E" w:rsidRPr="006479DA">
        <w:rPr>
          <w:rFonts w:ascii="Book Antiqua" w:hAnsi="Book Antiqua"/>
          <w:sz w:val="24"/>
          <w:szCs w:val="24"/>
          <w:lang w:val="en-US"/>
        </w:rPr>
        <w:t>the</w:t>
      </w:r>
      <w:r w:rsidR="00671275" w:rsidRPr="006479DA">
        <w:rPr>
          <w:rFonts w:ascii="Book Antiqua" w:hAnsi="Book Antiqua"/>
          <w:sz w:val="24"/>
          <w:szCs w:val="24"/>
          <w:lang w:val="en-US"/>
        </w:rPr>
        <w:t xml:space="preserve"> combination of clinical, analytic and imaging</w:t>
      </w:r>
      <w:r w:rsidRPr="006479DA">
        <w:rPr>
          <w:rFonts w:ascii="Book Antiqua" w:hAnsi="Book Antiqua"/>
          <w:sz w:val="24"/>
          <w:szCs w:val="24"/>
          <w:lang w:val="en-US"/>
        </w:rPr>
        <w:t xml:space="preserve"> criteria</w:t>
      </w:r>
      <w:r w:rsidR="00250289" w:rsidRPr="006479DA">
        <w:rPr>
          <w:rFonts w:ascii="Book Antiqua" w:hAnsi="Book Antiqua"/>
          <w:sz w:val="24"/>
          <w:szCs w:val="24"/>
          <w:lang w:val="en-US"/>
        </w:rPr>
        <w:t xml:space="preserve">, were included in the study. </w:t>
      </w:r>
      <w:r w:rsidRPr="006479DA">
        <w:rPr>
          <w:rFonts w:ascii="Book Antiqua" w:hAnsi="Book Antiqua"/>
          <w:sz w:val="24"/>
          <w:szCs w:val="24"/>
          <w:lang w:val="en-US"/>
        </w:rPr>
        <w:t>Exclusion criteria w</w:t>
      </w:r>
      <w:r w:rsidR="00671275" w:rsidRPr="006479DA">
        <w:rPr>
          <w:rFonts w:ascii="Book Antiqua" w:hAnsi="Book Antiqua"/>
          <w:sz w:val="24"/>
          <w:szCs w:val="24"/>
          <w:lang w:val="en-US"/>
        </w:rPr>
        <w:t>ere</w:t>
      </w:r>
      <w:r w:rsidR="00506D3E" w:rsidRPr="006479DA">
        <w:rPr>
          <w:rFonts w:ascii="Book Antiqua" w:hAnsi="Book Antiqua"/>
          <w:sz w:val="24"/>
          <w:szCs w:val="24"/>
          <w:lang w:val="en-US"/>
        </w:rPr>
        <w:t xml:space="preserve"> </w:t>
      </w:r>
      <w:r w:rsidR="009E0558" w:rsidRPr="006479DA">
        <w:rPr>
          <w:rFonts w:ascii="Book Antiqua" w:hAnsi="Book Antiqua"/>
          <w:sz w:val="24"/>
          <w:szCs w:val="24"/>
          <w:lang w:val="en-US"/>
        </w:rPr>
        <w:t xml:space="preserve">gastrointestinal bleeding, </w:t>
      </w:r>
      <w:r w:rsidRPr="006479DA">
        <w:rPr>
          <w:rFonts w:ascii="Book Antiqua" w:hAnsi="Book Antiqua"/>
          <w:sz w:val="24"/>
          <w:szCs w:val="24"/>
          <w:lang w:val="en-US"/>
        </w:rPr>
        <w:t xml:space="preserve">the </w:t>
      </w:r>
      <w:r w:rsidR="00671275" w:rsidRPr="006479DA">
        <w:rPr>
          <w:rFonts w:ascii="Book Antiqua" w:hAnsi="Book Antiqua"/>
          <w:sz w:val="24"/>
          <w:szCs w:val="24"/>
          <w:lang w:val="en-US"/>
        </w:rPr>
        <w:t>use</w:t>
      </w:r>
      <w:r w:rsidRPr="006479DA">
        <w:rPr>
          <w:rFonts w:ascii="Book Antiqua" w:hAnsi="Book Antiqua"/>
          <w:sz w:val="24"/>
          <w:szCs w:val="24"/>
          <w:lang w:val="en-US"/>
        </w:rPr>
        <w:t xml:space="preserve"> of antibiotics</w:t>
      </w:r>
      <w:r w:rsidR="00671275" w:rsidRPr="006479DA">
        <w:rPr>
          <w:rFonts w:ascii="Book Antiqua" w:hAnsi="Book Antiqua"/>
          <w:sz w:val="24"/>
          <w:szCs w:val="24"/>
          <w:lang w:val="en-US"/>
        </w:rPr>
        <w:t xml:space="preserve">, steroids or </w:t>
      </w:r>
      <w:r w:rsidR="00906C40" w:rsidRPr="006479DA">
        <w:rPr>
          <w:rFonts w:ascii="Book Antiqua" w:hAnsi="Book Antiqua"/>
          <w:sz w:val="24"/>
          <w:szCs w:val="24"/>
          <w:lang w:val="en-US"/>
        </w:rPr>
        <w:t xml:space="preserve">immunosuppressive </w:t>
      </w:r>
      <w:r w:rsidR="00671275" w:rsidRPr="006479DA">
        <w:rPr>
          <w:rFonts w:ascii="Book Antiqua" w:hAnsi="Book Antiqua"/>
          <w:sz w:val="24"/>
          <w:szCs w:val="24"/>
          <w:lang w:val="en-US"/>
        </w:rPr>
        <w:t>drugs</w:t>
      </w:r>
      <w:r w:rsidR="009E0558" w:rsidRPr="006479DA">
        <w:rPr>
          <w:rFonts w:ascii="Book Antiqua" w:hAnsi="Book Antiqua"/>
          <w:sz w:val="24"/>
          <w:szCs w:val="24"/>
          <w:lang w:val="en-US"/>
        </w:rPr>
        <w:t xml:space="preserve"> or drinking alcohol within</w:t>
      </w:r>
      <w:r w:rsidR="00671275" w:rsidRPr="006479DA">
        <w:rPr>
          <w:rFonts w:ascii="Book Antiqua" w:hAnsi="Book Antiqua"/>
          <w:sz w:val="24"/>
          <w:szCs w:val="24"/>
          <w:lang w:val="en-US"/>
        </w:rPr>
        <w:t xml:space="preserve"> </w:t>
      </w:r>
      <w:r w:rsidRPr="006479DA">
        <w:rPr>
          <w:rFonts w:ascii="Book Antiqua" w:hAnsi="Book Antiqua"/>
          <w:sz w:val="24"/>
          <w:szCs w:val="24"/>
          <w:lang w:val="en-US"/>
        </w:rPr>
        <w:t>the last two weeks</w:t>
      </w:r>
      <w:r w:rsidR="00671275" w:rsidRPr="006479DA">
        <w:rPr>
          <w:rFonts w:ascii="Book Antiqua" w:hAnsi="Book Antiqua"/>
          <w:sz w:val="24"/>
          <w:szCs w:val="24"/>
          <w:lang w:val="en-US"/>
        </w:rPr>
        <w:t>.</w:t>
      </w:r>
      <w:r w:rsidRPr="006479DA">
        <w:rPr>
          <w:rFonts w:ascii="Book Antiqua" w:hAnsi="Book Antiqua"/>
          <w:sz w:val="24"/>
          <w:szCs w:val="24"/>
          <w:lang w:val="en-US"/>
        </w:rPr>
        <w:t xml:space="preserve"> </w:t>
      </w:r>
      <w:r w:rsidR="00250289" w:rsidRPr="006479DA">
        <w:rPr>
          <w:rFonts w:ascii="Book Antiqua" w:hAnsi="Book Antiqua"/>
          <w:sz w:val="24"/>
          <w:szCs w:val="24"/>
          <w:lang w:val="en-US"/>
        </w:rPr>
        <w:t>W</w:t>
      </w:r>
      <w:r w:rsidR="0024788B" w:rsidRPr="006479DA">
        <w:rPr>
          <w:rFonts w:ascii="Book Antiqua" w:hAnsi="Book Antiqua"/>
          <w:sz w:val="24"/>
          <w:szCs w:val="24"/>
          <w:lang w:val="en-US"/>
        </w:rPr>
        <w:t>ritten</w:t>
      </w:r>
      <w:r w:rsidR="00250289" w:rsidRPr="006479DA">
        <w:rPr>
          <w:rFonts w:ascii="Book Antiqua" w:hAnsi="Book Antiqua"/>
          <w:sz w:val="24"/>
          <w:szCs w:val="24"/>
          <w:lang w:val="en-US"/>
        </w:rPr>
        <w:t xml:space="preserve"> informed</w:t>
      </w:r>
      <w:r w:rsidR="0024788B" w:rsidRPr="006479DA">
        <w:rPr>
          <w:rFonts w:ascii="Book Antiqua" w:hAnsi="Book Antiqua"/>
          <w:sz w:val="24"/>
          <w:szCs w:val="24"/>
          <w:lang w:val="en-US"/>
        </w:rPr>
        <w:t xml:space="preserve"> consent </w:t>
      </w:r>
      <w:r w:rsidR="00250289" w:rsidRPr="006479DA">
        <w:rPr>
          <w:rFonts w:ascii="Book Antiqua" w:hAnsi="Book Antiqua"/>
          <w:sz w:val="24"/>
          <w:szCs w:val="24"/>
          <w:lang w:val="en-US"/>
        </w:rPr>
        <w:t xml:space="preserve">was given by </w:t>
      </w:r>
      <w:r w:rsidR="0024788B" w:rsidRPr="006479DA">
        <w:rPr>
          <w:rFonts w:ascii="Book Antiqua" w:hAnsi="Book Antiqua"/>
          <w:sz w:val="24"/>
          <w:szCs w:val="24"/>
          <w:lang w:val="en-US"/>
        </w:rPr>
        <w:t>all patients</w:t>
      </w:r>
      <w:r w:rsidR="00250289" w:rsidRPr="006479DA">
        <w:rPr>
          <w:rFonts w:ascii="Book Antiqua" w:hAnsi="Book Antiqua"/>
          <w:sz w:val="24"/>
          <w:szCs w:val="24"/>
          <w:lang w:val="en-US"/>
        </w:rPr>
        <w:t>.</w:t>
      </w:r>
      <w:r w:rsidR="00E22AC5" w:rsidRPr="006479DA">
        <w:rPr>
          <w:rFonts w:ascii="Book Antiqua" w:hAnsi="Book Antiqua"/>
          <w:sz w:val="24"/>
          <w:szCs w:val="24"/>
          <w:lang w:val="en-US"/>
        </w:rPr>
        <w:t xml:space="preserve"> The study protocol was approved by the</w:t>
      </w:r>
      <w:r w:rsidR="00671275" w:rsidRPr="006479DA">
        <w:rPr>
          <w:rFonts w:ascii="Book Antiqua" w:hAnsi="Book Antiqua"/>
          <w:sz w:val="24"/>
          <w:szCs w:val="24"/>
          <w:lang w:val="en-US"/>
        </w:rPr>
        <w:t xml:space="preserve"> Internal Review Board (</w:t>
      </w:r>
      <w:r w:rsidR="00E22AC5" w:rsidRPr="006479DA">
        <w:rPr>
          <w:rFonts w:ascii="Book Antiqua" w:hAnsi="Book Antiqua"/>
          <w:sz w:val="24"/>
          <w:szCs w:val="24"/>
          <w:lang w:val="en-US"/>
        </w:rPr>
        <w:t>Ethics Committee</w:t>
      </w:r>
      <w:r w:rsidR="0024788B" w:rsidRPr="006479DA">
        <w:rPr>
          <w:rFonts w:ascii="Book Antiqua" w:hAnsi="Book Antiqua"/>
          <w:sz w:val="24"/>
          <w:szCs w:val="24"/>
          <w:lang w:val="en-US"/>
        </w:rPr>
        <w:t xml:space="preserve"> </w:t>
      </w:r>
      <w:r w:rsidR="00E22AC5" w:rsidRPr="006479DA">
        <w:rPr>
          <w:rFonts w:ascii="Book Antiqua" w:hAnsi="Book Antiqua"/>
          <w:sz w:val="24"/>
          <w:szCs w:val="24"/>
          <w:lang w:val="en-US"/>
        </w:rPr>
        <w:t>of the Friedrich</w:t>
      </w:r>
      <w:r w:rsidR="00250289" w:rsidRPr="006479DA">
        <w:rPr>
          <w:rFonts w:ascii="Book Antiqua" w:hAnsi="Book Antiqua"/>
          <w:sz w:val="24"/>
          <w:szCs w:val="24"/>
          <w:lang w:val="en-US"/>
        </w:rPr>
        <w:t xml:space="preserve"> </w:t>
      </w:r>
      <w:r w:rsidR="00E22AC5" w:rsidRPr="006479DA">
        <w:rPr>
          <w:rFonts w:ascii="Book Antiqua" w:hAnsi="Book Antiqua"/>
          <w:sz w:val="24"/>
          <w:szCs w:val="24"/>
          <w:lang w:val="en-US"/>
        </w:rPr>
        <w:t>Schiller University Jena</w:t>
      </w:r>
      <w:r w:rsidR="00671275" w:rsidRPr="006479DA">
        <w:rPr>
          <w:rFonts w:ascii="Book Antiqua" w:hAnsi="Book Antiqua"/>
          <w:sz w:val="24"/>
          <w:szCs w:val="24"/>
          <w:lang w:val="en-US"/>
        </w:rPr>
        <w:t>, 293</w:t>
      </w:r>
      <w:r w:rsidR="00DA184E" w:rsidRPr="006479DA">
        <w:rPr>
          <w:rFonts w:ascii="Book Antiqua" w:hAnsi="Book Antiqua"/>
          <w:sz w:val="24"/>
          <w:szCs w:val="24"/>
          <w:lang w:val="en-US"/>
        </w:rPr>
        <w:t>1-09/10)</w:t>
      </w:r>
      <w:r w:rsidR="00E22AC5" w:rsidRPr="006479DA">
        <w:rPr>
          <w:rFonts w:ascii="Book Antiqua" w:hAnsi="Book Antiqua"/>
          <w:sz w:val="24"/>
          <w:szCs w:val="24"/>
          <w:lang w:val="en-US"/>
        </w:rPr>
        <w:t xml:space="preserve">. </w:t>
      </w:r>
      <w:r w:rsidR="00671275" w:rsidRPr="006479DA">
        <w:rPr>
          <w:rFonts w:ascii="Book Antiqua" w:hAnsi="Book Antiqua"/>
          <w:sz w:val="24"/>
          <w:szCs w:val="24"/>
          <w:lang w:val="en-US"/>
        </w:rPr>
        <w:t>E</w:t>
      </w:r>
      <w:r w:rsidR="008A7C6C" w:rsidRPr="006479DA">
        <w:rPr>
          <w:rFonts w:ascii="Book Antiqua" w:hAnsi="Book Antiqua"/>
          <w:sz w:val="24"/>
          <w:szCs w:val="24"/>
          <w:lang w:val="en-US"/>
        </w:rPr>
        <w:t>tiology</w:t>
      </w:r>
      <w:r w:rsidR="0024788B" w:rsidRPr="006479DA">
        <w:rPr>
          <w:rFonts w:ascii="Book Antiqua" w:hAnsi="Book Antiqua"/>
          <w:sz w:val="24"/>
          <w:szCs w:val="24"/>
          <w:lang w:val="en-US"/>
        </w:rPr>
        <w:t xml:space="preserve"> of the liver cirrhosis, age, gender, </w:t>
      </w:r>
      <w:r w:rsidR="00671275" w:rsidRPr="006479DA">
        <w:rPr>
          <w:rFonts w:ascii="Book Antiqua" w:hAnsi="Book Antiqua"/>
          <w:sz w:val="24"/>
          <w:szCs w:val="24"/>
          <w:lang w:val="en-US"/>
        </w:rPr>
        <w:t xml:space="preserve">grade of </w:t>
      </w:r>
      <w:r w:rsidR="00DA184E" w:rsidRPr="006479DA">
        <w:rPr>
          <w:rFonts w:ascii="Book Antiqua" w:hAnsi="Book Antiqua"/>
          <w:sz w:val="24"/>
          <w:szCs w:val="24"/>
          <w:lang w:val="en-US"/>
        </w:rPr>
        <w:t>a</w:t>
      </w:r>
      <w:r w:rsidR="00C31D63" w:rsidRPr="006479DA">
        <w:rPr>
          <w:rFonts w:ascii="Book Antiqua" w:hAnsi="Book Antiqua"/>
          <w:sz w:val="24"/>
          <w:szCs w:val="24"/>
          <w:lang w:val="en-US"/>
        </w:rPr>
        <w:t>scites</w:t>
      </w:r>
      <w:r w:rsidR="00671275" w:rsidRPr="006479DA">
        <w:rPr>
          <w:rFonts w:ascii="Book Antiqua" w:hAnsi="Book Antiqua"/>
          <w:sz w:val="24"/>
          <w:szCs w:val="24"/>
          <w:lang w:val="en-US"/>
        </w:rPr>
        <w:t xml:space="preserve"> and hepatic encephalopathy</w:t>
      </w:r>
      <w:r w:rsidR="0024788B" w:rsidRPr="006479DA">
        <w:rPr>
          <w:rFonts w:ascii="Book Antiqua" w:hAnsi="Book Antiqua"/>
          <w:sz w:val="24"/>
          <w:szCs w:val="24"/>
          <w:lang w:val="en-US"/>
        </w:rPr>
        <w:t xml:space="preserve">, </w:t>
      </w:r>
      <w:r w:rsidR="00671275" w:rsidRPr="006479DA">
        <w:rPr>
          <w:rFonts w:ascii="Book Antiqua" w:hAnsi="Book Antiqua"/>
          <w:sz w:val="24"/>
          <w:szCs w:val="24"/>
          <w:lang w:val="en-US"/>
        </w:rPr>
        <w:t xml:space="preserve">concurrent </w:t>
      </w:r>
      <w:r w:rsidR="0024788B" w:rsidRPr="006479DA">
        <w:rPr>
          <w:rFonts w:ascii="Book Antiqua" w:hAnsi="Book Antiqua"/>
          <w:sz w:val="24"/>
          <w:szCs w:val="24"/>
          <w:lang w:val="en-US"/>
        </w:rPr>
        <w:t xml:space="preserve">medication, </w:t>
      </w:r>
      <w:r w:rsidR="00671275" w:rsidRPr="006479DA">
        <w:rPr>
          <w:rFonts w:ascii="Book Antiqua" w:hAnsi="Book Antiqua"/>
          <w:sz w:val="24"/>
          <w:szCs w:val="24"/>
          <w:lang w:val="en-US"/>
        </w:rPr>
        <w:t>history of</w:t>
      </w:r>
      <w:r w:rsidR="00250289" w:rsidRPr="006479DA">
        <w:rPr>
          <w:rFonts w:ascii="Book Antiqua" w:hAnsi="Book Antiqua"/>
          <w:sz w:val="24"/>
          <w:szCs w:val="24"/>
          <w:lang w:val="en-US"/>
        </w:rPr>
        <w:t xml:space="preserve"> </w:t>
      </w:r>
      <w:r w:rsidR="0024788B" w:rsidRPr="006479DA">
        <w:rPr>
          <w:rFonts w:ascii="Book Antiqua" w:hAnsi="Book Antiqua"/>
          <w:sz w:val="24"/>
          <w:szCs w:val="24"/>
          <w:lang w:val="en-US"/>
        </w:rPr>
        <w:t>SBP</w:t>
      </w:r>
      <w:r w:rsidR="004B2FBA" w:rsidRPr="006479DA">
        <w:rPr>
          <w:rFonts w:ascii="Book Antiqua" w:hAnsi="Book Antiqua"/>
          <w:sz w:val="24"/>
          <w:szCs w:val="24"/>
          <w:lang w:val="en-US"/>
        </w:rPr>
        <w:t xml:space="preserve"> </w:t>
      </w:r>
      <w:r w:rsidR="0024788B" w:rsidRPr="006479DA">
        <w:rPr>
          <w:rFonts w:ascii="Book Antiqua" w:hAnsi="Book Antiqua"/>
          <w:sz w:val="24"/>
          <w:szCs w:val="24"/>
          <w:lang w:val="en-US"/>
        </w:rPr>
        <w:t xml:space="preserve">and vital parameters of the patients were </w:t>
      </w:r>
      <w:r w:rsidR="00250289" w:rsidRPr="006479DA">
        <w:rPr>
          <w:rFonts w:ascii="Book Antiqua" w:hAnsi="Book Antiqua"/>
          <w:sz w:val="24"/>
          <w:szCs w:val="24"/>
          <w:lang w:val="en-US"/>
        </w:rPr>
        <w:t xml:space="preserve">assessed </w:t>
      </w:r>
      <w:r w:rsidR="0024788B" w:rsidRPr="006479DA">
        <w:rPr>
          <w:rFonts w:ascii="Book Antiqua" w:hAnsi="Book Antiqua"/>
          <w:sz w:val="24"/>
          <w:szCs w:val="24"/>
          <w:lang w:val="en-US"/>
        </w:rPr>
        <w:t>on</w:t>
      </w:r>
      <w:r w:rsidR="00C31D63" w:rsidRPr="006479DA">
        <w:rPr>
          <w:rFonts w:ascii="Book Antiqua" w:hAnsi="Book Antiqua"/>
          <w:sz w:val="24"/>
          <w:szCs w:val="24"/>
          <w:lang w:val="en-US"/>
        </w:rPr>
        <w:t xml:space="preserve"> the day of inclusion.</w:t>
      </w:r>
      <w:r w:rsidR="00642EB2" w:rsidRPr="006479DA">
        <w:rPr>
          <w:rFonts w:ascii="Book Antiqua" w:hAnsi="Book Antiqua"/>
          <w:sz w:val="24"/>
          <w:szCs w:val="24"/>
          <w:lang w:val="en-US"/>
        </w:rPr>
        <w:t xml:space="preserve"> </w:t>
      </w:r>
      <w:r w:rsidR="00671275" w:rsidRPr="006479DA">
        <w:rPr>
          <w:rFonts w:ascii="Book Antiqua" w:hAnsi="Book Antiqua"/>
          <w:sz w:val="24"/>
          <w:szCs w:val="24"/>
          <w:lang w:val="en-US"/>
        </w:rPr>
        <w:t>Components of the model of e</w:t>
      </w:r>
      <w:r w:rsidR="0062374E" w:rsidRPr="006479DA">
        <w:rPr>
          <w:rFonts w:ascii="Book Antiqua" w:hAnsi="Book Antiqua"/>
          <w:sz w:val="24"/>
          <w:szCs w:val="24"/>
          <w:lang w:val="en-US"/>
        </w:rPr>
        <w:t>nd-</w:t>
      </w:r>
      <w:r w:rsidR="00671275" w:rsidRPr="006479DA">
        <w:rPr>
          <w:rFonts w:ascii="Book Antiqua" w:hAnsi="Book Antiqua"/>
          <w:sz w:val="24"/>
          <w:szCs w:val="24"/>
          <w:lang w:val="en-US"/>
        </w:rPr>
        <w:t>stage liver disease (MELD)</w:t>
      </w:r>
      <w:r w:rsidR="0062374E" w:rsidRPr="006479DA">
        <w:rPr>
          <w:rFonts w:ascii="Book Antiqua" w:hAnsi="Book Antiqua"/>
          <w:sz w:val="24"/>
          <w:szCs w:val="24"/>
          <w:lang w:val="en-US"/>
        </w:rPr>
        <w:t xml:space="preserve"> score and the Child-Pugh score were assessed using routine laboratory data. To assess intestinal permeability,</w:t>
      </w:r>
      <w:r w:rsidR="00671275" w:rsidRPr="006479DA">
        <w:rPr>
          <w:rFonts w:ascii="Book Antiqua" w:hAnsi="Book Antiqua"/>
          <w:sz w:val="24"/>
          <w:szCs w:val="24"/>
          <w:lang w:val="en-US"/>
        </w:rPr>
        <w:t xml:space="preserve"> </w:t>
      </w:r>
      <w:r w:rsidR="00116737" w:rsidRPr="006479DA">
        <w:rPr>
          <w:rFonts w:ascii="Book Antiqua" w:hAnsi="Book Antiqua"/>
          <w:sz w:val="24"/>
          <w:szCs w:val="24"/>
          <w:lang w:val="en-US"/>
        </w:rPr>
        <w:t>l</w:t>
      </w:r>
      <w:r w:rsidR="00F91C29" w:rsidRPr="006479DA">
        <w:rPr>
          <w:rFonts w:ascii="Book Antiqua" w:hAnsi="Book Antiqua"/>
          <w:sz w:val="24"/>
          <w:szCs w:val="24"/>
          <w:lang w:val="en-US"/>
        </w:rPr>
        <w:t>actulose</w:t>
      </w:r>
      <w:r w:rsidR="008D7526" w:rsidRPr="006479DA">
        <w:rPr>
          <w:rFonts w:ascii="Book Antiqua" w:hAnsi="Book Antiqua"/>
          <w:sz w:val="24"/>
          <w:szCs w:val="24"/>
          <w:lang w:val="en-US"/>
        </w:rPr>
        <w:t>/</w:t>
      </w:r>
      <w:r w:rsidR="00F91C29" w:rsidRPr="006479DA">
        <w:rPr>
          <w:rFonts w:ascii="Book Antiqua" w:hAnsi="Book Antiqua"/>
          <w:sz w:val="24"/>
          <w:szCs w:val="24"/>
          <w:lang w:val="en-US"/>
        </w:rPr>
        <w:t>mannitol test</w:t>
      </w:r>
      <w:r w:rsidR="00250289" w:rsidRPr="006479DA">
        <w:rPr>
          <w:rFonts w:ascii="Book Antiqua" w:hAnsi="Book Antiqua"/>
          <w:sz w:val="24"/>
          <w:szCs w:val="24"/>
          <w:lang w:val="en-US"/>
        </w:rPr>
        <w:t xml:space="preserve"> was performed</w:t>
      </w:r>
      <w:r w:rsidR="0062374E" w:rsidRPr="006479DA">
        <w:rPr>
          <w:rFonts w:ascii="Book Antiqua" w:hAnsi="Book Antiqua"/>
          <w:sz w:val="24"/>
          <w:szCs w:val="24"/>
          <w:lang w:val="en-US"/>
        </w:rPr>
        <w:t xml:space="preserve"> as described below. Serum samples were collected at the day of inclusion and stored at -80</w:t>
      </w:r>
      <w:r w:rsidR="000E693F" w:rsidRPr="006479DA">
        <w:rPr>
          <w:rFonts w:ascii="Book Antiqua" w:hAnsi="Book Antiqua"/>
          <w:sz w:val="24"/>
          <w:szCs w:val="24"/>
          <w:lang w:val="en-US"/>
        </w:rPr>
        <w:t xml:space="preserve"> </w:t>
      </w:r>
      <w:r w:rsidR="0062374E" w:rsidRPr="006479DA">
        <w:rPr>
          <w:rFonts w:ascii="Book Antiqua" w:hAnsi="Book Antiqua"/>
          <w:sz w:val="24"/>
          <w:szCs w:val="24"/>
          <w:lang w:val="en-US"/>
        </w:rPr>
        <w:t xml:space="preserve">°C until further analysis. </w:t>
      </w:r>
      <w:r w:rsidR="00B761CD" w:rsidRPr="006479DA">
        <w:rPr>
          <w:rFonts w:ascii="Book Antiqua" w:hAnsi="Book Antiqua"/>
          <w:sz w:val="24"/>
          <w:szCs w:val="24"/>
          <w:lang w:val="en-US"/>
        </w:rPr>
        <w:t>P</w:t>
      </w:r>
      <w:r w:rsidR="00CE4D19" w:rsidRPr="006479DA">
        <w:rPr>
          <w:rFonts w:ascii="Book Antiqua" w:hAnsi="Book Antiqua"/>
          <w:sz w:val="24"/>
          <w:szCs w:val="24"/>
          <w:lang w:val="en-US"/>
        </w:rPr>
        <w:t>atients were followed-</w:t>
      </w:r>
      <w:r w:rsidR="0062374E" w:rsidRPr="006479DA">
        <w:rPr>
          <w:rFonts w:ascii="Book Antiqua" w:hAnsi="Book Antiqua"/>
          <w:sz w:val="24"/>
          <w:szCs w:val="24"/>
          <w:lang w:val="en-US"/>
        </w:rPr>
        <w:t xml:space="preserve">up </w:t>
      </w:r>
      <w:r w:rsidR="005A0E74" w:rsidRPr="006479DA">
        <w:rPr>
          <w:rFonts w:ascii="Book Antiqua" w:hAnsi="Book Antiqua"/>
          <w:sz w:val="24"/>
          <w:szCs w:val="24"/>
          <w:lang w:val="en-US"/>
        </w:rPr>
        <w:t>for a maximum of 365 d and</w:t>
      </w:r>
      <w:r w:rsidR="0062374E" w:rsidRPr="006479DA">
        <w:rPr>
          <w:rFonts w:ascii="Book Antiqua" w:hAnsi="Book Antiqua"/>
          <w:sz w:val="24"/>
          <w:szCs w:val="24"/>
          <w:lang w:val="en-US"/>
        </w:rPr>
        <w:t xml:space="preserve"> assessed for survival, liver transplantation, the necessity of hospitalization and the occurrence of bacterial infections</w:t>
      </w:r>
      <w:r w:rsidR="00642EB2" w:rsidRPr="006479DA">
        <w:rPr>
          <w:rFonts w:ascii="Book Antiqua" w:hAnsi="Book Antiqua"/>
          <w:sz w:val="24"/>
          <w:szCs w:val="24"/>
          <w:lang w:val="en-US"/>
        </w:rPr>
        <w:t>.</w:t>
      </w:r>
      <w:r w:rsidR="00766283" w:rsidRPr="006479DA">
        <w:rPr>
          <w:rFonts w:ascii="Book Antiqua" w:hAnsi="Book Antiqua"/>
          <w:sz w:val="24"/>
          <w:szCs w:val="24"/>
          <w:lang w:val="en-US"/>
        </w:rPr>
        <w:t xml:space="preserve"> </w:t>
      </w:r>
      <w:r w:rsidR="0062374E" w:rsidRPr="006479DA">
        <w:rPr>
          <w:rFonts w:ascii="Book Antiqua" w:hAnsi="Book Antiqua"/>
          <w:sz w:val="24"/>
          <w:szCs w:val="24"/>
          <w:lang w:val="en-US"/>
        </w:rPr>
        <w:t>As a</w:t>
      </w:r>
      <w:r w:rsidR="00B761CD" w:rsidRPr="006479DA">
        <w:rPr>
          <w:rFonts w:ascii="Book Antiqua" w:hAnsi="Book Antiqua"/>
          <w:sz w:val="24"/>
          <w:szCs w:val="24"/>
          <w:lang w:val="en-US"/>
        </w:rPr>
        <w:t xml:space="preserve"> control group, </w:t>
      </w:r>
      <w:r w:rsidR="00766283" w:rsidRPr="006479DA">
        <w:rPr>
          <w:rFonts w:ascii="Book Antiqua" w:hAnsi="Book Antiqua"/>
          <w:sz w:val="24"/>
          <w:szCs w:val="24"/>
          <w:lang w:val="en-US"/>
        </w:rPr>
        <w:t>16 healthy volunteers were enclosed</w:t>
      </w:r>
      <w:r w:rsidR="00B761CD" w:rsidRPr="006479DA">
        <w:rPr>
          <w:rFonts w:ascii="Book Antiqua" w:hAnsi="Book Antiqua"/>
          <w:sz w:val="24"/>
          <w:szCs w:val="24"/>
          <w:lang w:val="en-US"/>
        </w:rPr>
        <w:t xml:space="preserve">. All of them </w:t>
      </w:r>
      <w:r w:rsidR="00766283" w:rsidRPr="006479DA">
        <w:rPr>
          <w:rFonts w:ascii="Book Antiqua" w:hAnsi="Book Antiqua"/>
          <w:sz w:val="24"/>
          <w:szCs w:val="24"/>
          <w:lang w:val="en-US"/>
        </w:rPr>
        <w:t>had a</w:t>
      </w:r>
      <w:r w:rsidR="00B761CD" w:rsidRPr="006479DA">
        <w:rPr>
          <w:rFonts w:ascii="Book Antiqua" w:hAnsi="Book Antiqua"/>
          <w:sz w:val="24"/>
          <w:szCs w:val="24"/>
          <w:lang w:val="en-US"/>
        </w:rPr>
        <w:t xml:space="preserve">n inconspicuous </w:t>
      </w:r>
      <w:r w:rsidR="00766283" w:rsidRPr="006479DA">
        <w:rPr>
          <w:rFonts w:ascii="Book Antiqua" w:hAnsi="Book Antiqua"/>
          <w:sz w:val="24"/>
          <w:szCs w:val="24"/>
          <w:lang w:val="en-US"/>
        </w:rPr>
        <w:t xml:space="preserve">medical history, </w:t>
      </w:r>
      <w:r w:rsidR="000C3F37" w:rsidRPr="006479DA">
        <w:rPr>
          <w:rFonts w:ascii="Book Antiqua" w:hAnsi="Book Antiqua"/>
          <w:sz w:val="24"/>
          <w:szCs w:val="24"/>
          <w:lang w:val="en-US"/>
        </w:rPr>
        <w:t>without</w:t>
      </w:r>
      <w:r w:rsidR="00766283" w:rsidRPr="006479DA">
        <w:rPr>
          <w:rFonts w:ascii="Book Antiqua" w:hAnsi="Book Antiqua"/>
          <w:sz w:val="24"/>
          <w:szCs w:val="24"/>
          <w:lang w:val="en-US"/>
        </w:rPr>
        <w:t xml:space="preserve"> gastrointestinal abnormalities, infections, liver disease, history</w:t>
      </w:r>
      <w:r w:rsidR="00173F68">
        <w:rPr>
          <w:rFonts w:ascii="Book Antiqua" w:eastAsia="SimSun" w:hAnsi="Book Antiqua" w:hint="eastAsia"/>
          <w:sz w:val="24"/>
          <w:szCs w:val="24"/>
          <w:lang w:val="en-US" w:eastAsia="zh-CN"/>
        </w:rPr>
        <w:t xml:space="preserve"> </w:t>
      </w:r>
      <w:r w:rsidR="00766283" w:rsidRPr="006479DA">
        <w:rPr>
          <w:rFonts w:ascii="Book Antiqua" w:hAnsi="Book Antiqua"/>
          <w:sz w:val="24"/>
          <w:szCs w:val="24"/>
          <w:lang w:val="en-US"/>
        </w:rPr>
        <w:t xml:space="preserve">of major intestinal surgery or alcohol abuse and </w:t>
      </w:r>
      <w:r w:rsidR="000C3F37" w:rsidRPr="006479DA">
        <w:rPr>
          <w:rFonts w:ascii="Book Antiqua" w:hAnsi="Book Antiqua"/>
          <w:sz w:val="24"/>
          <w:szCs w:val="24"/>
          <w:lang w:val="en-US"/>
        </w:rPr>
        <w:t xml:space="preserve">were not allowed to have taken </w:t>
      </w:r>
      <w:r w:rsidR="00766283" w:rsidRPr="006479DA">
        <w:rPr>
          <w:rFonts w:ascii="Book Antiqua" w:hAnsi="Book Antiqua"/>
          <w:sz w:val="24"/>
          <w:szCs w:val="24"/>
          <w:lang w:val="en-US"/>
        </w:rPr>
        <w:t xml:space="preserve">antibiotics or anti-inflammatory drugs </w:t>
      </w:r>
      <w:r w:rsidR="000C3F37" w:rsidRPr="006479DA">
        <w:rPr>
          <w:rFonts w:ascii="Book Antiqua" w:hAnsi="Book Antiqua"/>
          <w:sz w:val="24"/>
          <w:szCs w:val="24"/>
          <w:lang w:val="en-US"/>
        </w:rPr>
        <w:t xml:space="preserve">within </w:t>
      </w:r>
      <w:r w:rsidR="00766283" w:rsidRPr="006479DA">
        <w:rPr>
          <w:rFonts w:ascii="Book Antiqua" w:hAnsi="Book Antiqua"/>
          <w:sz w:val="24"/>
          <w:szCs w:val="24"/>
          <w:lang w:val="en-US"/>
        </w:rPr>
        <w:t>the last month.</w:t>
      </w:r>
    </w:p>
    <w:p w14:paraId="35AA0C24" w14:textId="44571C98" w:rsidR="00387E49" w:rsidRPr="006479DA" w:rsidRDefault="00387E49" w:rsidP="00265BAF">
      <w:pPr>
        <w:spacing w:after="0" w:line="360" w:lineRule="auto"/>
        <w:ind w:firstLineChars="100" w:firstLine="240"/>
        <w:jc w:val="both"/>
        <w:rPr>
          <w:rFonts w:ascii="Book Antiqua" w:hAnsi="Book Antiqua"/>
          <w:sz w:val="24"/>
          <w:szCs w:val="24"/>
          <w:lang w:val="en-US"/>
        </w:rPr>
      </w:pPr>
      <w:r w:rsidRPr="006479DA">
        <w:rPr>
          <w:rFonts w:ascii="Book Antiqua" w:hAnsi="Book Antiqua"/>
          <w:sz w:val="24"/>
          <w:szCs w:val="24"/>
          <w:lang w:val="en-US"/>
        </w:rPr>
        <w:t>The primary end-point of the study was defined as differences in 90-d</w:t>
      </w:r>
      <w:r w:rsidR="00173F68">
        <w:rPr>
          <w:rFonts w:ascii="Book Antiqua" w:eastAsia="SimSun" w:hAnsi="Book Antiqua" w:hint="eastAsia"/>
          <w:sz w:val="24"/>
          <w:szCs w:val="24"/>
          <w:lang w:val="en-US" w:eastAsia="zh-CN"/>
        </w:rPr>
        <w:t xml:space="preserve"> </w:t>
      </w:r>
      <w:r w:rsidR="005A0E74" w:rsidRPr="006479DA">
        <w:rPr>
          <w:rFonts w:ascii="Book Antiqua" w:hAnsi="Book Antiqua"/>
          <w:sz w:val="24"/>
          <w:szCs w:val="24"/>
          <w:lang w:val="en-US"/>
        </w:rPr>
        <w:t xml:space="preserve">mortality rates </w:t>
      </w:r>
      <w:r w:rsidRPr="006479DA">
        <w:rPr>
          <w:rFonts w:ascii="Book Antiqua" w:hAnsi="Book Antiqua"/>
          <w:sz w:val="24"/>
          <w:szCs w:val="24"/>
          <w:lang w:val="en-US"/>
        </w:rPr>
        <w:t xml:space="preserve">between patients with pathological and without pathological lactulose/mannitol test. </w:t>
      </w:r>
      <w:r w:rsidR="008C228F" w:rsidRPr="006479DA">
        <w:rPr>
          <w:rFonts w:ascii="Book Antiqua" w:hAnsi="Book Antiqua"/>
          <w:sz w:val="24"/>
          <w:szCs w:val="24"/>
          <w:lang w:val="en-US"/>
        </w:rPr>
        <w:t>Owing to few events within 90</w:t>
      </w:r>
      <w:r w:rsidR="008C6BCC" w:rsidRPr="006479DA">
        <w:rPr>
          <w:rFonts w:ascii="Book Antiqua" w:hAnsi="Book Antiqua"/>
          <w:sz w:val="24"/>
          <w:szCs w:val="24"/>
          <w:lang w:val="en-US"/>
        </w:rPr>
        <w:t xml:space="preserve"> </w:t>
      </w:r>
      <w:r w:rsidR="008C228F" w:rsidRPr="006479DA">
        <w:rPr>
          <w:rFonts w:ascii="Book Antiqua" w:hAnsi="Book Antiqua"/>
          <w:sz w:val="24"/>
          <w:szCs w:val="24"/>
          <w:lang w:val="en-US"/>
        </w:rPr>
        <w:t xml:space="preserve">d (4 deaths), the observation period was extended to one year and differences in </w:t>
      </w:r>
      <w:r w:rsidR="005A0E74" w:rsidRPr="006479DA">
        <w:rPr>
          <w:rFonts w:ascii="Book Antiqua" w:hAnsi="Book Antiqua"/>
          <w:sz w:val="24"/>
          <w:szCs w:val="24"/>
          <w:lang w:val="en-US"/>
        </w:rPr>
        <w:t>survival</w:t>
      </w:r>
      <w:r w:rsidR="008C228F" w:rsidRPr="006479DA">
        <w:rPr>
          <w:rFonts w:ascii="Book Antiqua" w:hAnsi="Book Antiqua"/>
          <w:sz w:val="24"/>
          <w:szCs w:val="24"/>
          <w:lang w:val="en-US"/>
        </w:rPr>
        <w:t xml:space="preserve"> between both groups were analyzed. </w:t>
      </w:r>
      <w:r w:rsidRPr="006479DA">
        <w:rPr>
          <w:rFonts w:ascii="Book Antiqua" w:hAnsi="Book Antiqua"/>
          <w:sz w:val="24"/>
          <w:szCs w:val="24"/>
          <w:lang w:val="en-US"/>
        </w:rPr>
        <w:t>Secondary endpoints were the occurrence of bacterial infections, occurrence</w:t>
      </w:r>
      <w:r w:rsidR="00486134" w:rsidRPr="006479DA">
        <w:rPr>
          <w:rFonts w:ascii="Book Antiqua" w:hAnsi="Book Antiqua"/>
          <w:sz w:val="24"/>
          <w:szCs w:val="24"/>
          <w:lang w:val="en-US"/>
        </w:rPr>
        <w:t xml:space="preserve"> of SBP and the number of hospitalizations. </w:t>
      </w:r>
    </w:p>
    <w:p w14:paraId="1BD75BCF" w14:textId="77777777" w:rsidR="00F55204" w:rsidRPr="006479DA" w:rsidRDefault="00F55204" w:rsidP="00265BAF">
      <w:pPr>
        <w:spacing w:after="0" w:line="360" w:lineRule="auto"/>
        <w:jc w:val="both"/>
        <w:rPr>
          <w:rFonts w:ascii="Book Antiqua" w:hAnsi="Book Antiqua"/>
          <w:sz w:val="24"/>
          <w:szCs w:val="24"/>
          <w:lang w:val="en-US"/>
        </w:rPr>
      </w:pPr>
    </w:p>
    <w:p w14:paraId="60832F77" w14:textId="25DE5370" w:rsidR="001E58CE" w:rsidRPr="006479DA" w:rsidRDefault="008D7526" w:rsidP="00265BAF">
      <w:pPr>
        <w:pStyle w:val="Literaturverzeichnis1"/>
        <w:tabs>
          <w:tab w:val="clear" w:pos="384"/>
          <w:tab w:val="left" w:pos="0"/>
        </w:tabs>
        <w:spacing w:after="0" w:line="360" w:lineRule="auto"/>
        <w:ind w:left="0" w:firstLine="0"/>
        <w:rPr>
          <w:rFonts w:ascii="Book Antiqua" w:hAnsi="Book Antiqua" w:cs="Times New Roman"/>
          <w:b/>
          <w:i/>
        </w:rPr>
      </w:pPr>
      <w:r w:rsidRPr="006479DA">
        <w:rPr>
          <w:rFonts w:ascii="Book Antiqua" w:hAnsi="Book Antiqua" w:cs="Times New Roman"/>
          <w:b/>
          <w:i/>
        </w:rPr>
        <w:lastRenderedPageBreak/>
        <w:t>Lactulose/</w:t>
      </w:r>
      <w:r w:rsidR="00F91C29" w:rsidRPr="006479DA">
        <w:rPr>
          <w:rFonts w:ascii="Book Antiqua" w:hAnsi="Book Antiqua" w:cs="Times New Roman"/>
          <w:b/>
          <w:i/>
        </w:rPr>
        <w:t>mannitol test</w:t>
      </w:r>
    </w:p>
    <w:p w14:paraId="5F621B15" w14:textId="4AA087A4" w:rsidR="00D5127E" w:rsidRPr="006479DA" w:rsidRDefault="00807FCE" w:rsidP="00265BAF">
      <w:pPr>
        <w:pStyle w:val="Literaturverzeichnis1"/>
        <w:tabs>
          <w:tab w:val="clear" w:pos="384"/>
          <w:tab w:val="left" w:pos="0"/>
        </w:tabs>
        <w:spacing w:after="0" w:line="360" w:lineRule="auto"/>
        <w:ind w:left="0" w:firstLine="0"/>
        <w:rPr>
          <w:rFonts w:ascii="Book Antiqua" w:hAnsi="Book Antiqua" w:cs="Times New Roman"/>
        </w:rPr>
      </w:pPr>
      <w:r w:rsidRPr="006479DA">
        <w:rPr>
          <w:rFonts w:ascii="Book Antiqua" w:hAnsi="Book Antiqua" w:cs="Times New Roman"/>
        </w:rPr>
        <w:t xml:space="preserve">After </w:t>
      </w:r>
      <w:r w:rsidR="008E26EE" w:rsidRPr="006479DA">
        <w:rPr>
          <w:rFonts w:ascii="Book Antiqua" w:hAnsi="Book Antiqua" w:cs="Times New Roman"/>
        </w:rPr>
        <w:t>overnight fast</w:t>
      </w:r>
      <w:r w:rsidR="00B761CD" w:rsidRPr="006479DA">
        <w:rPr>
          <w:rFonts w:ascii="Book Antiqua" w:hAnsi="Book Antiqua" w:cs="Times New Roman"/>
        </w:rPr>
        <w:t>ing,</w:t>
      </w:r>
      <w:r w:rsidR="008E26EE" w:rsidRPr="006479DA">
        <w:rPr>
          <w:rFonts w:ascii="Book Antiqua" w:hAnsi="Book Antiqua" w:cs="Times New Roman"/>
        </w:rPr>
        <w:t xml:space="preserve"> the patients </w:t>
      </w:r>
      <w:r w:rsidRPr="006479DA">
        <w:rPr>
          <w:rFonts w:ascii="Book Antiqua" w:hAnsi="Book Antiqua" w:cs="Times New Roman"/>
        </w:rPr>
        <w:t xml:space="preserve">and controls </w:t>
      </w:r>
      <w:r w:rsidR="00B761CD" w:rsidRPr="006479DA">
        <w:rPr>
          <w:rFonts w:ascii="Book Antiqua" w:hAnsi="Book Antiqua" w:cs="Times New Roman"/>
        </w:rPr>
        <w:t xml:space="preserve">were instructed to drink </w:t>
      </w:r>
      <w:r w:rsidRPr="006479DA">
        <w:rPr>
          <w:rFonts w:ascii="Book Antiqua" w:hAnsi="Book Antiqua" w:cs="Times New Roman"/>
        </w:rPr>
        <w:t>100 m</w:t>
      </w:r>
      <w:r w:rsidRPr="00173F68">
        <w:rPr>
          <w:rFonts w:ascii="Book Antiqua" w:hAnsi="Book Antiqua" w:cs="Times New Roman"/>
          <w:caps/>
        </w:rPr>
        <w:t xml:space="preserve">l </w:t>
      </w:r>
      <w:r w:rsidRPr="006479DA">
        <w:rPr>
          <w:rFonts w:ascii="Book Antiqua" w:hAnsi="Book Antiqua" w:cs="Times New Roman"/>
        </w:rPr>
        <w:t xml:space="preserve">of a </w:t>
      </w:r>
      <w:r w:rsidR="001E58CE" w:rsidRPr="006479DA">
        <w:rPr>
          <w:rFonts w:ascii="Book Antiqua" w:hAnsi="Book Antiqua" w:cs="Times New Roman"/>
        </w:rPr>
        <w:t xml:space="preserve">solution </w:t>
      </w:r>
      <w:r w:rsidRPr="006479DA">
        <w:rPr>
          <w:rFonts w:ascii="Book Antiqua" w:hAnsi="Book Antiqua" w:cs="Times New Roman"/>
        </w:rPr>
        <w:t>consisting of 2</w:t>
      </w:r>
      <w:r w:rsidR="000E693F" w:rsidRPr="006479DA">
        <w:rPr>
          <w:rFonts w:ascii="Book Antiqua" w:hAnsi="Book Antiqua" w:cs="Times New Roman"/>
        </w:rPr>
        <w:t xml:space="preserve"> </w:t>
      </w:r>
      <w:r w:rsidRPr="006479DA">
        <w:rPr>
          <w:rFonts w:ascii="Book Antiqua" w:hAnsi="Book Antiqua" w:cs="Times New Roman"/>
        </w:rPr>
        <w:t>g mannitol</w:t>
      </w:r>
      <w:r w:rsidR="00273743" w:rsidRPr="006479DA">
        <w:rPr>
          <w:rFonts w:ascii="Book Antiqua" w:hAnsi="Book Antiqua" w:cs="Times New Roman"/>
        </w:rPr>
        <w:t xml:space="preserve"> and</w:t>
      </w:r>
      <w:r w:rsidRPr="006479DA">
        <w:rPr>
          <w:rFonts w:ascii="Book Antiqua" w:hAnsi="Book Antiqua" w:cs="Times New Roman"/>
        </w:rPr>
        <w:t xml:space="preserve"> 5</w:t>
      </w:r>
      <w:r w:rsidR="000E693F" w:rsidRPr="006479DA">
        <w:rPr>
          <w:rFonts w:ascii="Book Antiqua" w:hAnsi="Book Antiqua" w:cs="Times New Roman"/>
        </w:rPr>
        <w:t xml:space="preserve"> </w:t>
      </w:r>
      <w:r w:rsidRPr="006479DA">
        <w:rPr>
          <w:rFonts w:ascii="Book Antiqua" w:hAnsi="Book Antiqua" w:cs="Times New Roman"/>
        </w:rPr>
        <w:t xml:space="preserve">g lactulose </w:t>
      </w:r>
      <w:r w:rsidR="00273743" w:rsidRPr="006479DA">
        <w:rPr>
          <w:rFonts w:ascii="Book Antiqua" w:hAnsi="Book Antiqua" w:cs="Times New Roman"/>
        </w:rPr>
        <w:t>with 40 g</w:t>
      </w:r>
      <w:r w:rsidR="001E58CE" w:rsidRPr="006479DA">
        <w:rPr>
          <w:rFonts w:ascii="Book Antiqua" w:hAnsi="Book Antiqua" w:cs="Times New Roman"/>
        </w:rPr>
        <w:t xml:space="preserve"> g</w:t>
      </w:r>
      <w:r w:rsidRPr="006479DA">
        <w:rPr>
          <w:rFonts w:ascii="Book Antiqua" w:hAnsi="Book Antiqua" w:cs="Times New Roman"/>
        </w:rPr>
        <w:t xml:space="preserve">lucose as </w:t>
      </w:r>
      <w:r w:rsidR="00273743" w:rsidRPr="006479DA">
        <w:rPr>
          <w:rFonts w:ascii="Book Antiqua" w:hAnsi="Book Antiqua" w:cs="Times New Roman"/>
        </w:rPr>
        <w:t>an osmotic filler</w:t>
      </w:r>
      <w:r w:rsidR="001C7CAE" w:rsidRPr="006479DA">
        <w:rPr>
          <w:rFonts w:ascii="Book Antiqua" w:hAnsi="Book Antiqua" w:cs="Times New Roman"/>
        </w:rPr>
        <w:fldChar w:fldCharType="begin"/>
      </w:r>
      <w:r w:rsidR="009807D1" w:rsidRPr="006479DA">
        <w:rPr>
          <w:rFonts w:ascii="Book Antiqua" w:hAnsi="Book Antiqua" w:cs="Times New Roman"/>
        </w:rPr>
        <w:instrText xml:space="preserve"> </w:instrText>
      </w:r>
      <w:r w:rsidR="00F22811" w:rsidRPr="006479DA">
        <w:rPr>
          <w:rFonts w:ascii="Book Antiqua" w:hAnsi="Book Antiqua" w:cs="Times New Roman"/>
        </w:rPr>
        <w:instrText>ADDIN</w:instrText>
      </w:r>
      <w:r w:rsidR="009807D1" w:rsidRPr="006479DA">
        <w:rPr>
          <w:rFonts w:ascii="Book Antiqua" w:hAnsi="Book Antiqua" w:cs="Times New Roman"/>
        </w:rPr>
        <w:instrText xml:space="preserve"> ZOTERO_ITEM CSL_CITATION {"citationID":"17qoom65n7","properties":{"formattedCitation":"{\\rtf \\super [21,22]\\nosupersub{}}","plainCitation":"[21,22]"},"citationItems":[{"id":87,"uris":["http://zotero.org/users/1744959/items/DBEB2BW4"],"uri":["http://zotero.org/users/1744959/items/DBEB2BW4"],"itemData":{"id":87,"type":"article-journal","title":"Intestinal permeability and complications in liver cirrhosis: A prospective cohort study","container-title":"Hepatology research: the official journal of the Japan Society of Hepatology","page":"200-207","volume":"43","issue":"2","source":"NCBI PubMed","abstract":"Aim:  Increased intestinal permeability (IP) has been implicated as an important factor for bacterial translocation (BT), leading to bacteremia and endotoxemia, resulting in various septic complications, variceal bleeding (VB), hepatic encephalopathy (HE), hepatorenal syndrome (HRS) and death in patients with liver cirrhosis (LC). This study was planned to assess IP in patients with LC and follow them for the occurrence of complications. Methods:  Patients with Child B and C cirrhosis without a history of disease-related complications were followed up for 6 months. IP was measured by lactulose and mannitol excretion ratio (LMR) in patients and 50 healthy controls (HC). Serum endotoxin levels were also assessed in 48 patients and 20 HC. Results:  Eighty patients (74 male), 41 (51.3%) Child B and 56 (70%) Child C, with a mean age of 40.7 ± 9.8 years were enrolled. IP was increased in 28 (35%) patients. LMR of patients was higher than HC (patients vs HC = 0.0238 [0.0010-1.557] vs 0.0166 [0.0018-0.720]; P = 0.007]. No significant difference was seen in the LMR of patients among various Child classes and etiologies. Serum endotoxin levels (GMU/mL) were higher in patients than HC (patients vs HC = 1.42 [0.68-2.13] vs 0.994 [0.067-1.382]; P = 0.001), but comparable between patients with abnormal and normal IP. At follow up, there was no significant difference in the incidence of complications like spontaneous bacterial peritonitis, HRS, VB, HE and death between patients with abnormal and normal IP. Conclusion:  IP was increased in 35% of patients with LC; however, it was not associated with a higher incidence of disease-related complications.","DOI":"10.1111/j.1872-034X.2012.01054.x","ISSN":"1386-6346","note":"PMID: 22726344","shortTitle":"Intestinal permeability and complications in liver cirrhosis","journalAbbreviation":"Hepatol. Res.","language":"eng","author":[{"family":"Benjamin","given":"Jaya"},{"family":"Singla","given":"Vikas"},{"family":"Arora","given":"Indu"},{"family":"Sood","given":"Seema"},{"family":"Joshi","given":"Yogendra Kumar"}],"issued":{"date-parts":[["2013",2]]},"PMID":"22726344"}},{"id":162,"uris":["http://zotero.org/users/1744959/items/HN88DT69"],"uri":["http://zotero.org/users/1744959/items/HN88DT69"],"itemData":{"id":162,"type":"article-journal","title":"Intestinal permeability in patients with chronic liver diseases: Its relationship with the aetiology and the entity of liver damage","container-title":"Digestive and liver disease: official journal of the Italian Society of Gastroenterology and the Italian Association for the Study of the Liver","page":"200-204","volume":"42","issue":"3","source":"NCBI PubMed","abstract":"BACKGROUND: Alteration in intestinal permeability may be an important factor in the pathogenesis of both the progression of some chronic liver diseases and the onset of some complications in patients with liver cirrhosis.\nAIMS: To investigate the relationships between intestinal permeability, portal hypertension, alcohol use, plasma levels of pro-inflammatory cytokines, and nitric oxide, expressed as s-nitrosothiols, and nitrite levels in patients with various types and degrees of chronic liver diseases.\nMETHODS: 134 healthy volunteers and 83 patients with chronic liver damage entered the study. Intestinal permeability was assessed with the lactulose/mannitol test. Plasma levels of tumour necrosis factor-alpha, interleukin-6, and nitrite and total s-nitrosothiols were determined.\nRESULTS: Intestinal permeability was altered in patients with advanced liver disease and impaired in 15-35% of patients without cirrhosis. Independent factors for intestinal permeability alteration were age, portal hypertension, alcohol use, and diabetes. Plasma levels of inflammatory cytokines and nitrosothiols were significantly higher in patients with altered intestinal permeability.\nCONCLUSIONS: An intestinal permeability evaluation in patients with chronic liver diseases might clarify the significance of intestinal permeability in the pathophysiology of both the progression of liver damage, and the occurrence of complications that accompany liver cirrhosis.","DOI":"10.1016/j.dld.2009.05.001","ISSN":"1878-3562","note":"PMID: 19502117","shortTitle":"Intestinal permeability in patients with chronic liver diseases","journalAbbreviation":"Dig Liver Dis","language":"eng","author":[{"family":"Cariello","given":"Rita"},{"family":"Federico","given":"Alessandro"},{"family":"Sapone","given":"Anna"},{"family":"Tuccillo","given":"Concetta"},{"family":"Scialdone","given":"Valeria Rita"},{"family":"Tiso","given":"Angelo"},{"family":"Miranda","given":"Agnese"},{"family":"Portincasa","given":"Piero"},{"family":"Carbonara","given":"Veronica"},{"family":"Palasciano","given":"Giuseppe"},{"family":"Martorelli","given":"Luigi"},{"family":"Esposito","given":"Pasquale"},{"family":"Cartenì","given":"Maria"},{"family":"Del Vecchio Blanco","given":"Camillo"},{"family":"Loguercio","given":"Carmela"}],"issued":{"date-parts":[["2010",3]]},"PMID":"19502117"}}],"schema":"https://github.com/citation-style-language/schema/raw/master/csl-citation.json"} </w:instrText>
      </w:r>
      <w:r w:rsidR="001C7CAE" w:rsidRPr="006479DA">
        <w:rPr>
          <w:rFonts w:ascii="Book Antiqua" w:hAnsi="Book Antiqua" w:cs="Times New Roman"/>
        </w:rPr>
        <w:fldChar w:fldCharType="separate"/>
      </w:r>
      <w:r w:rsidR="009807D1" w:rsidRPr="006479DA">
        <w:rPr>
          <w:rFonts w:ascii="Book Antiqua" w:hAnsi="Book Antiqua" w:cs="Times New Roman"/>
          <w:vertAlign w:val="superscript"/>
        </w:rPr>
        <w:t>[21,22]</w:t>
      </w:r>
      <w:r w:rsidR="001C7CAE" w:rsidRPr="006479DA">
        <w:rPr>
          <w:rFonts w:ascii="Book Antiqua" w:hAnsi="Book Antiqua" w:cs="Times New Roman"/>
        </w:rPr>
        <w:fldChar w:fldCharType="end"/>
      </w:r>
      <w:r w:rsidR="00E60C30" w:rsidRPr="006479DA">
        <w:rPr>
          <w:rFonts w:ascii="Book Antiqua" w:hAnsi="Book Antiqua" w:cs="Times New Roman"/>
        </w:rPr>
        <w:t>.</w:t>
      </w:r>
      <w:r w:rsidR="00B761CD" w:rsidRPr="006479DA">
        <w:rPr>
          <w:rFonts w:ascii="Book Antiqua" w:hAnsi="Book Antiqua" w:cs="Times New Roman"/>
        </w:rPr>
        <w:t xml:space="preserve"> </w:t>
      </w:r>
      <w:r w:rsidR="00050107" w:rsidRPr="006479DA">
        <w:rPr>
          <w:rFonts w:ascii="Book Antiqua" w:hAnsi="Book Antiqua" w:cs="Times New Roman"/>
        </w:rPr>
        <w:t>C</w:t>
      </w:r>
      <w:r w:rsidR="00FF7FA6" w:rsidRPr="006479DA">
        <w:rPr>
          <w:rFonts w:ascii="Book Antiqua" w:hAnsi="Book Antiqua" w:cs="Times New Roman"/>
        </w:rPr>
        <w:t>oncomitant medication with lactulose</w:t>
      </w:r>
      <w:r w:rsidR="00050107" w:rsidRPr="006479DA">
        <w:rPr>
          <w:rFonts w:ascii="Book Antiqua" w:hAnsi="Book Antiqua" w:cs="Times New Roman"/>
        </w:rPr>
        <w:t xml:space="preserve"> </w:t>
      </w:r>
      <w:r w:rsidR="00FF7FA6" w:rsidRPr="006479DA">
        <w:rPr>
          <w:rFonts w:ascii="Book Antiqua" w:hAnsi="Book Antiqua" w:cs="Times New Roman"/>
        </w:rPr>
        <w:t xml:space="preserve">was stopped two days before the test. </w:t>
      </w:r>
      <w:r w:rsidR="00B761CD" w:rsidRPr="006479DA">
        <w:rPr>
          <w:rFonts w:ascii="Book Antiqua" w:hAnsi="Book Antiqua" w:cs="Times New Roman"/>
        </w:rPr>
        <w:t xml:space="preserve">Urine was collected </w:t>
      </w:r>
      <w:r w:rsidR="000E693F" w:rsidRPr="006479DA">
        <w:rPr>
          <w:rFonts w:ascii="Book Antiqua" w:hAnsi="Book Antiqua" w:cs="Times New Roman"/>
        </w:rPr>
        <w:t>over</w:t>
      </w:r>
      <w:r w:rsidR="000208E3" w:rsidRPr="006479DA">
        <w:rPr>
          <w:rFonts w:ascii="Book Antiqua" w:hAnsi="Book Antiqua" w:cs="Times New Roman"/>
        </w:rPr>
        <w:t xml:space="preserve"> 5 h and </w:t>
      </w:r>
      <w:r w:rsidR="00B761CD" w:rsidRPr="006479DA">
        <w:rPr>
          <w:rFonts w:ascii="Book Antiqua" w:hAnsi="Book Antiqua" w:cs="Times New Roman"/>
        </w:rPr>
        <w:t xml:space="preserve">the volume </w:t>
      </w:r>
      <w:r w:rsidR="000E693F" w:rsidRPr="006479DA">
        <w:rPr>
          <w:rFonts w:ascii="Book Antiqua" w:hAnsi="Book Antiqua" w:cs="Times New Roman"/>
        </w:rPr>
        <w:t>was measured</w:t>
      </w:r>
      <w:r w:rsidR="00B761CD" w:rsidRPr="006479DA">
        <w:rPr>
          <w:rFonts w:ascii="Book Antiqua" w:hAnsi="Book Antiqua" w:cs="Times New Roman"/>
        </w:rPr>
        <w:t>.</w:t>
      </w:r>
      <w:r w:rsidR="000208E3" w:rsidRPr="006479DA">
        <w:rPr>
          <w:rFonts w:ascii="Book Antiqua" w:hAnsi="Book Antiqua" w:cs="Times New Roman"/>
        </w:rPr>
        <w:t xml:space="preserve"> </w:t>
      </w:r>
      <w:r w:rsidR="000E693F" w:rsidRPr="006479DA">
        <w:rPr>
          <w:rFonts w:ascii="Book Antiqua" w:hAnsi="Book Antiqua" w:cs="Times New Roman"/>
        </w:rPr>
        <w:t>T</w:t>
      </w:r>
      <w:r w:rsidR="00B761CD" w:rsidRPr="006479DA">
        <w:rPr>
          <w:rFonts w:ascii="Book Antiqua" w:hAnsi="Book Antiqua" w:cs="Times New Roman"/>
        </w:rPr>
        <w:t>wo</w:t>
      </w:r>
      <w:r w:rsidR="0043772F" w:rsidRPr="006479DA">
        <w:rPr>
          <w:rFonts w:ascii="Book Antiqua" w:hAnsi="Book Antiqua" w:cs="Times New Roman"/>
        </w:rPr>
        <w:t xml:space="preserve"> aliquots</w:t>
      </w:r>
      <w:r w:rsidR="00B761CD" w:rsidRPr="006479DA">
        <w:rPr>
          <w:rFonts w:ascii="Book Antiqua" w:hAnsi="Book Antiqua" w:cs="Times New Roman"/>
        </w:rPr>
        <w:t xml:space="preserve"> </w:t>
      </w:r>
      <w:r w:rsidR="001E58CE" w:rsidRPr="006479DA">
        <w:rPr>
          <w:rFonts w:ascii="Book Antiqua" w:hAnsi="Book Antiqua" w:cs="Times New Roman"/>
        </w:rPr>
        <w:t>of 9</w:t>
      </w:r>
      <w:r w:rsidR="00B761CD" w:rsidRPr="006479DA">
        <w:rPr>
          <w:rFonts w:ascii="Book Antiqua" w:hAnsi="Book Antiqua" w:cs="Times New Roman"/>
        </w:rPr>
        <w:t xml:space="preserve"> m</w:t>
      </w:r>
      <w:r w:rsidR="00B761CD" w:rsidRPr="00173F68">
        <w:rPr>
          <w:rFonts w:ascii="Book Antiqua" w:hAnsi="Book Antiqua" w:cs="Times New Roman"/>
          <w:caps/>
        </w:rPr>
        <w:t>l</w:t>
      </w:r>
      <w:r w:rsidR="00B761CD" w:rsidRPr="006479DA">
        <w:rPr>
          <w:rFonts w:ascii="Book Antiqua" w:hAnsi="Book Antiqua" w:cs="Times New Roman"/>
        </w:rPr>
        <w:t xml:space="preserve"> </w:t>
      </w:r>
      <w:r w:rsidR="000E693F" w:rsidRPr="006479DA">
        <w:rPr>
          <w:rFonts w:ascii="Book Antiqua" w:hAnsi="Book Antiqua" w:cs="Times New Roman"/>
        </w:rPr>
        <w:t xml:space="preserve">urine </w:t>
      </w:r>
      <w:r w:rsidR="00B761CD" w:rsidRPr="006479DA">
        <w:rPr>
          <w:rFonts w:ascii="Book Antiqua" w:hAnsi="Book Antiqua" w:cs="Times New Roman"/>
        </w:rPr>
        <w:t>each</w:t>
      </w:r>
      <w:r w:rsidR="0043772F" w:rsidRPr="006479DA">
        <w:rPr>
          <w:rFonts w:ascii="Book Antiqua" w:hAnsi="Book Antiqua" w:cs="Times New Roman"/>
        </w:rPr>
        <w:t xml:space="preserve"> were centrifuged</w:t>
      </w:r>
      <w:r w:rsidR="002620C1" w:rsidRPr="006479DA">
        <w:rPr>
          <w:rFonts w:ascii="Book Antiqua" w:hAnsi="Book Antiqua" w:cs="Times New Roman"/>
        </w:rPr>
        <w:t xml:space="preserve"> for 5 min (700 rcf,</w:t>
      </w:r>
      <w:r w:rsidR="00173F68">
        <w:rPr>
          <w:rFonts w:ascii="Book Antiqua" w:eastAsia="SimSun" w:hAnsi="Book Antiqua" w:cs="Times New Roman" w:hint="eastAsia"/>
          <w:lang w:eastAsia="zh-CN"/>
        </w:rPr>
        <w:t xml:space="preserve"> </w:t>
      </w:r>
      <w:r w:rsidR="002620C1" w:rsidRPr="006479DA">
        <w:rPr>
          <w:rFonts w:ascii="Book Antiqua" w:hAnsi="Book Antiqua" w:cs="Times New Roman"/>
        </w:rPr>
        <w:t>20</w:t>
      </w:r>
      <w:r w:rsidR="000E693F" w:rsidRPr="006479DA">
        <w:rPr>
          <w:rFonts w:ascii="Book Antiqua" w:hAnsi="Book Antiqua" w:cs="Times New Roman"/>
        </w:rPr>
        <w:t xml:space="preserve"> </w:t>
      </w:r>
      <w:r w:rsidR="002620C1" w:rsidRPr="006479DA">
        <w:rPr>
          <w:rFonts w:ascii="Book Antiqua" w:hAnsi="Book Antiqua" w:cs="Times New Roman"/>
        </w:rPr>
        <w:t>°C)</w:t>
      </w:r>
      <w:r w:rsidR="0043772F" w:rsidRPr="006479DA">
        <w:rPr>
          <w:rFonts w:ascii="Book Antiqua" w:hAnsi="Book Antiqua" w:cs="Times New Roman"/>
        </w:rPr>
        <w:t xml:space="preserve"> and </w:t>
      </w:r>
      <w:r w:rsidR="000E693F" w:rsidRPr="006479DA">
        <w:rPr>
          <w:rFonts w:ascii="Book Antiqua" w:hAnsi="Book Antiqua" w:cs="Times New Roman"/>
        </w:rPr>
        <w:t xml:space="preserve">cell-free supernatants were </w:t>
      </w:r>
      <w:r w:rsidR="0043772F" w:rsidRPr="006479DA">
        <w:rPr>
          <w:rFonts w:ascii="Book Antiqua" w:hAnsi="Book Antiqua" w:cs="Times New Roman"/>
        </w:rPr>
        <w:t>stored at -20</w:t>
      </w:r>
      <w:r w:rsidR="000E693F" w:rsidRPr="006479DA">
        <w:rPr>
          <w:rFonts w:ascii="Book Antiqua" w:hAnsi="Book Antiqua" w:cs="Times New Roman"/>
        </w:rPr>
        <w:t xml:space="preserve"> </w:t>
      </w:r>
      <w:r w:rsidR="0043772F" w:rsidRPr="006479DA">
        <w:rPr>
          <w:rFonts w:ascii="Book Antiqua" w:hAnsi="Book Antiqua" w:cs="Times New Roman"/>
        </w:rPr>
        <w:t>°C</w:t>
      </w:r>
      <w:r w:rsidR="003C337B" w:rsidRPr="006479DA">
        <w:rPr>
          <w:rFonts w:ascii="Book Antiqua" w:hAnsi="Book Antiqua" w:cs="Times New Roman"/>
        </w:rPr>
        <w:t xml:space="preserve">. </w:t>
      </w:r>
      <w:r w:rsidR="00645A67" w:rsidRPr="006479DA">
        <w:rPr>
          <w:rFonts w:ascii="Book Antiqua" w:hAnsi="Book Antiqua" w:cs="Times New Roman"/>
        </w:rPr>
        <w:t xml:space="preserve">High performance liquid chromatography (HPLC) </w:t>
      </w:r>
      <w:r w:rsidR="0097438C" w:rsidRPr="006479DA">
        <w:rPr>
          <w:rFonts w:ascii="Book Antiqua" w:hAnsi="Book Antiqua" w:cs="Times New Roman"/>
        </w:rPr>
        <w:t>analysis</w:t>
      </w:r>
      <w:r w:rsidR="003C337B" w:rsidRPr="006479DA">
        <w:rPr>
          <w:rFonts w:ascii="Book Antiqua" w:hAnsi="Book Antiqua" w:cs="Times New Roman"/>
        </w:rPr>
        <w:t xml:space="preserve"> (Hitachi High Technology, Schaumburg,</w:t>
      </w:r>
      <w:r w:rsidR="00173F68">
        <w:rPr>
          <w:rFonts w:ascii="Book Antiqua" w:eastAsia="SimSun" w:hAnsi="Book Antiqua" w:cs="Times New Roman" w:hint="eastAsia"/>
          <w:lang w:eastAsia="zh-CN"/>
        </w:rPr>
        <w:t xml:space="preserve"> IL, </w:t>
      </w:r>
      <w:r w:rsidR="00173F68" w:rsidRPr="00173F68">
        <w:rPr>
          <w:rFonts w:ascii="Book Antiqua" w:hAnsi="Book Antiqua" w:cs="Times New Roman"/>
          <w:lang w:val="de-DE"/>
        </w:rPr>
        <w:t>United States</w:t>
      </w:r>
      <w:r w:rsidR="003C337B" w:rsidRPr="006479DA">
        <w:rPr>
          <w:rFonts w:ascii="Book Antiqua" w:hAnsi="Book Antiqua" w:cs="Times New Roman"/>
        </w:rPr>
        <w:t>)</w:t>
      </w:r>
      <w:r w:rsidR="0097438C" w:rsidRPr="006479DA">
        <w:rPr>
          <w:rFonts w:ascii="Book Antiqua" w:hAnsi="Book Antiqua" w:cs="Times New Roman"/>
        </w:rPr>
        <w:t xml:space="preserve"> </w:t>
      </w:r>
      <w:r w:rsidR="00536D44" w:rsidRPr="006479DA">
        <w:rPr>
          <w:rFonts w:ascii="Book Antiqua" w:hAnsi="Book Antiqua" w:cs="Times New Roman"/>
        </w:rPr>
        <w:t>was perfor</w:t>
      </w:r>
      <w:r w:rsidR="00A968DE" w:rsidRPr="006479DA">
        <w:rPr>
          <w:rFonts w:ascii="Book Antiqua" w:hAnsi="Book Antiqua" w:cs="Times New Roman"/>
        </w:rPr>
        <w:t>med by GANZIMMUN Diagnostics AG</w:t>
      </w:r>
      <w:r w:rsidR="00A968DE" w:rsidRPr="006479DA">
        <w:rPr>
          <w:rFonts w:ascii="Book Antiqua" w:hAnsi="Book Antiqua" w:cs="Times New Roman"/>
          <w:vertAlign w:val="superscript"/>
        </w:rPr>
        <w:t>®</w:t>
      </w:r>
      <w:r w:rsidR="00536D44" w:rsidRPr="006479DA">
        <w:rPr>
          <w:rFonts w:ascii="Book Antiqua" w:hAnsi="Book Antiqua" w:cs="Times New Roman"/>
        </w:rPr>
        <w:t xml:space="preserve"> (Frankfurt, Germany) </w:t>
      </w:r>
      <w:r w:rsidR="003C337B" w:rsidRPr="006479DA">
        <w:rPr>
          <w:rFonts w:ascii="Book Antiqua" w:hAnsi="Book Antiqua" w:cs="Times New Roman"/>
        </w:rPr>
        <w:t xml:space="preserve">to determine the lactulose and mannitol concentration </w:t>
      </w:r>
      <w:r w:rsidR="00536D44" w:rsidRPr="006479DA">
        <w:rPr>
          <w:rFonts w:ascii="Book Antiqua" w:hAnsi="Book Antiqua" w:cs="Times New Roman"/>
        </w:rPr>
        <w:t>in the 5 h</w:t>
      </w:r>
      <w:r w:rsidR="00C509DD">
        <w:rPr>
          <w:rFonts w:ascii="Book Antiqua" w:eastAsia="SimSun" w:hAnsi="Book Antiqua" w:cs="Times New Roman" w:hint="eastAsia"/>
          <w:lang w:eastAsia="zh-CN"/>
        </w:rPr>
        <w:t xml:space="preserve"> </w:t>
      </w:r>
      <w:r w:rsidR="00536D44" w:rsidRPr="006479DA">
        <w:rPr>
          <w:rFonts w:ascii="Book Antiqua" w:hAnsi="Book Antiqua" w:cs="Times New Roman"/>
        </w:rPr>
        <w:t xml:space="preserve">urine collection. </w:t>
      </w:r>
      <w:r w:rsidR="00B761CD" w:rsidRPr="006479DA">
        <w:rPr>
          <w:rFonts w:ascii="Book Antiqua" w:hAnsi="Book Antiqua" w:cs="Times New Roman"/>
        </w:rPr>
        <w:t xml:space="preserve">The </w:t>
      </w:r>
      <w:r w:rsidR="00536D44" w:rsidRPr="006479DA">
        <w:rPr>
          <w:rFonts w:ascii="Book Antiqua" w:hAnsi="Book Antiqua" w:cs="Times New Roman"/>
        </w:rPr>
        <w:t>IP index (</w:t>
      </w:r>
      <w:r w:rsidR="00695701" w:rsidRPr="006479DA">
        <w:rPr>
          <w:rFonts w:ascii="Book Antiqua" w:hAnsi="Book Antiqua" w:cs="Times New Roman"/>
        </w:rPr>
        <w:t>lactulose/m</w:t>
      </w:r>
      <w:r w:rsidR="006178FD" w:rsidRPr="006479DA">
        <w:rPr>
          <w:rFonts w:ascii="Book Antiqua" w:hAnsi="Book Antiqua" w:cs="Times New Roman"/>
        </w:rPr>
        <w:t>annitol ratio</w:t>
      </w:r>
      <w:r w:rsidR="00536D44" w:rsidRPr="006479DA">
        <w:rPr>
          <w:rFonts w:ascii="Book Antiqua" w:hAnsi="Book Antiqua" w:cs="Times New Roman"/>
        </w:rPr>
        <w:t>)</w:t>
      </w:r>
      <w:r w:rsidR="00B761CD" w:rsidRPr="006479DA">
        <w:rPr>
          <w:rFonts w:ascii="Book Antiqua" w:hAnsi="Book Antiqua" w:cs="Times New Roman"/>
        </w:rPr>
        <w:t xml:space="preserve"> was calculated for each study subject</w:t>
      </w:r>
      <w:r w:rsidR="00536D44" w:rsidRPr="006479DA">
        <w:rPr>
          <w:rFonts w:ascii="Book Antiqua" w:hAnsi="Book Antiqua" w:cs="Times New Roman"/>
        </w:rPr>
        <w:t xml:space="preserve"> using the following formula: </w:t>
      </w:r>
    </w:p>
    <w:p w14:paraId="01ABE43C" w14:textId="522D3781" w:rsidR="00E60C30" w:rsidRPr="006479DA" w:rsidRDefault="00E60C30" w:rsidP="00265BAF">
      <w:pPr>
        <w:pStyle w:val="Literaturverzeichnis1"/>
        <w:tabs>
          <w:tab w:val="clear" w:pos="384"/>
          <w:tab w:val="left" w:pos="0"/>
        </w:tabs>
        <w:spacing w:after="0" w:line="360" w:lineRule="auto"/>
        <w:ind w:left="0" w:firstLine="0"/>
        <w:rPr>
          <w:rFonts w:ascii="Book Antiqua" w:hAnsi="Book Antiqua" w:cs="Times New Roman"/>
        </w:rPr>
      </w:pPr>
      <m:oMathPara>
        <m:oMathParaPr>
          <m:jc m:val="left"/>
        </m:oMathParaPr>
        <m:oMath>
          <m:r>
            <w:rPr>
              <w:rFonts w:ascii="Cambria Math" w:hAnsi="Cambria Math" w:cs="Times New Roman"/>
            </w:rPr>
            <m:t>IP index=</m:t>
          </m:r>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recovery</m:t>
                  </m:r>
                </m:e>
                <m:sub>
                  <m:r>
                    <w:rPr>
                      <w:rFonts w:ascii="Cambria Math" w:hAnsi="Cambria Math" w:cs="Times New Roman"/>
                    </w:rPr>
                    <m:t>lac</m:t>
                  </m:r>
                </m:sub>
              </m:sSub>
              <m:r>
                <w:rPr>
                  <w:rFonts w:ascii="Cambria Math" w:hAnsi="Cambria Math" w:cs="Times New Roman"/>
                </w:rPr>
                <m:t xml:space="preserve"> </m:t>
              </m:r>
            </m:num>
            <m:den>
              <m:sSub>
                <m:sSubPr>
                  <m:ctrlPr>
                    <w:rPr>
                      <w:rFonts w:ascii="Cambria Math" w:hAnsi="Cambria Math" w:cs="Times New Roman"/>
                      <w:i/>
                    </w:rPr>
                  </m:ctrlPr>
                </m:sSubPr>
                <m:e>
                  <m:r>
                    <w:rPr>
                      <w:rFonts w:ascii="Cambria Math" w:hAnsi="Cambria Math" w:cs="Times New Roman"/>
                    </w:rPr>
                    <m:t>recovery</m:t>
                  </m:r>
                </m:e>
                <m:sub>
                  <m:r>
                    <w:rPr>
                      <w:rFonts w:ascii="Cambria Math" w:hAnsi="Cambria Math" w:cs="Times New Roman"/>
                    </w:rPr>
                    <m:t>man</m:t>
                  </m:r>
                </m:sub>
              </m:sSub>
              <m:r>
                <w:rPr>
                  <w:rFonts w:ascii="Cambria Math" w:hAnsi="Cambria Math" w:cs="Times New Roman"/>
                </w:rPr>
                <m:t xml:space="preserve"> </m:t>
              </m:r>
            </m:den>
          </m:f>
          <m:r>
            <w:rPr>
              <w:rFonts w:ascii="Cambria Math" w:hAnsi="Cambria Math" w:cs="Times New Roman"/>
            </w:rPr>
            <m:t>=</m:t>
          </m:r>
          <m:f>
            <m:fPr>
              <m:type m:val="skw"/>
              <m:ctrlPr>
                <w:rPr>
                  <w:rFonts w:ascii="Cambria Math" w:hAnsi="Cambria Math" w:cs="Times New Roman"/>
                  <w:i/>
                </w:rPr>
              </m:ctrlPr>
            </m:fPr>
            <m:num>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lac</m:t>
                      </m:r>
                    </m:sub>
                  </m:sSub>
                  <m:r>
                    <w:rPr>
                      <w:rFonts w:ascii="Cambria Math" w:hAnsi="Cambria Math" w:cs="Times New Roman"/>
                    </w:rPr>
                    <m:t>× V</m:t>
                  </m:r>
                </m:num>
                <m:den>
                  <m:r>
                    <w:rPr>
                      <w:rFonts w:ascii="Cambria Math" w:hAnsi="Cambria Math" w:cs="Times New Roman"/>
                    </w:rPr>
                    <m:t>5 g</m:t>
                  </m:r>
                </m:den>
              </m:f>
              <m:r>
                <w:rPr>
                  <w:rFonts w:ascii="Cambria Math" w:hAnsi="Cambria Math" w:cs="Times New Roman"/>
                </w:rPr>
                <m:t xml:space="preserve"> </m:t>
              </m:r>
            </m:num>
            <m:den>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man</m:t>
                      </m:r>
                    </m:sub>
                  </m:sSub>
                  <m:r>
                    <w:rPr>
                      <w:rFonts w:ascii="Cambria Math" w:hAnsi="Cambria Math" w:cs="Times New Roman"/>
                    </w:rPr>
                    <m:t>× V</m:t>
                  </m:r>
                </m:num>
                <m:den>
                  <m:r>
                    <w:rPr>
                      <w:rFonts w:ascii="Cambria Math" w:hAnsi="Cambria Math" w:cs="Times New Roman"/>
                    </w:rPr>
                    <m:t>2 g</m:t>
                  </m:r>
                </m:den>
              </m:f>
            </m:den>
          </m:f>
          <m:r>
            <w:rPr>
              <w:rFonts w:ascii="Cambria Math" w:hAnsi="Cambria Math" w:cs="Times New Roman"/>
            </w:rPr>
            <m:t xml:space="preserve"> </m:t>
          </m:r>
        </m:oMath>
      </m:oMathPara>
    </w:p>
    <w:p w14:paraId="70EFFC9E" w14:textId="674C03EC" w:rsidR="00A621F8" w:rsidRPr="006479DA" w:rsidRDefault="00A621F8" w:rsidP="00265BAF">
      <w:pPr>
        <w:pStyle w:val="Literaturverzeichnis1"/>
        <w:tabs>
          <w:tab w:val="clear" w:pos="384"/>
          <w:tab w:val="left" w:pos="0"/>
        </w:tabs>
        <w:spacing w:after="0" w:line="360" w:lineRule="auto"/>
        <w:ind w:left="0" w:firstLine="0"/>
        <w:rPr>
          <w:rFonts w:ascii="Book Antiqua" w:hAnsi="Book Antiqua" w:cs="Times New Roman"/>
        </w:rPr>
      </w:pPr>
      <w:r w:rsidRPr="006479DA">
        <w:rPr>
          <w:rFonts w:ascii="Book Antiqua" w:hAnsi="Book Antiqua" w:cs="Times New Roman"/>
          <w:lang w:eastAsia="de-DE"/>
        </w:rPr>
        <w:t xml:space="preserve">Pathologically increased IP was defined by an IP index greater than 0.07 </w:t>
      </w:r>
      <w:r w:rsidRPr="006479DA">
        <w:rPr>
          <w:rFonts w:ascii="Book Antiqua" w:hAnsi="Book Antiqua" w:cs="Times New Roman"/>
          <w:lang w:eastAsia="de-DE"/>
        </w:rPr>
        <w:fldChar w:fldCharType="begin"/>
      </w:r>
      <w:r w:rsidR="009807D1" w:rsidRPr="006479DA">
        <w:rPr>
          <w:rFonts w:ascii="Book Antiqua" w:hAnsi="Book Antiqua" w:cs="Times New Roman"/>
          <w:lang w:eastAsia="de-DE"/>
        </w:rPr>
        <w:instrText xml:space="preserve"> </w:instrText>
      </w:r>
      <w:r w:rsidR="00F22811" w:rsidRPr="006479DA">
        <w:rPr>
          <w:rFonts w:ascii="Book Antiqua" w:hAnsi="Book Antiqua" w:cs="Times New Roman"/>
          <w:lang w:eastAsia="de-DE"/>
        </w:rPr>
        <w:instrText>ADDIN</w:instrText>
      </w:r>
      <w:r w:rsidR="009807D1" w:rsidRPr="006479DA">
        <w:rPr>
          <w:rFonts w:ascii="Book Antiqua" w:hAnsi="Book Antiqua" w:cs="Times New Roman"/>
          <w:lang w:eastAsia="de-DE"/>
        </w:rPr>
        <w:instrText xml:space="preserve"> ZOTERO_ITEM CSL_CITATION {"citationID":"2mpjjj678h","properties":{"formattedCitation":"{\\rtf \\super [23]\\nosupersub{}}","plainCitation":"[23]"},"citationItems":[{"id":334,"uris":["http://zotero.org/users/1744959/items/B5SSXNFS"],"uri":["http://zotero.org/users/1744959/items/B5SSXNFS"],"itemData":{"id":334,"type":"article-journal","title":"Epidemiology of altered intestinal permeability to lactulose and mannitol in Guatemalan infants","container-title":"Journal of Pediatric Gastroenterology and Nutrition","page":"282-290","volume":"28","issue":"3","source":"NCBI PubMed","abstract":"BACKGROUND: Subclinical alterations of small intestinal function have been reported frequently in tropical countries. Studies of small intestinal permeability to lactulose and mannitol were therefore completed in Guatemalan infants from a low-income, periurban community to assess the prevalence of altered intestinal function and the factors associated with this condition.\nMETHODS: Two hundred studies were successfully completed in 158 infants who had been free of diarrhea for at least 1 week before the day of study. Urinary concentrations of lactulose and mannitol during the 5-hour period after ingestion of 400 mg/kg body weight of lactulose and 100 mg/kg body weight of mannitol were measured by gas-liquid chromatography and compared by age group, feeding practices, anthropometric indexes, and serum iron and zinc concentrations.\nRESULTS: The overall prevalence of altered intestinal permeability (defined as a ratio of urinary recovery of lactulose to mannitol [L/M] &gt; or =0.07) was 30%. The urinary L/M recovery ratio was positively associated with age; low weight for age; and, in infants less than 6 months of age, non-breast-feeding. Children with serum iron concentrations less than 7.16 microM/l (40 [microg/dl) had higher median L/M ratios (L/M = 0.068; 95% confidence interval [CI], 0.054, 0.085) than those with iron levels higher than this cutoff (L/M = 0.052; CI = 0.046, 0.058; p = 0.038). The median urinary L/M recovery ratio in 10 currently asymptomatic infants who had diarrhea during the week before testing (0.087; CI = 0.49, 0.154) was higher than that in children who had been free from diarrhea for at least 1 week (0.052; CI = 0.048, 0.056; p = 0.01).\nCONCLUSION: Age, feeding practices, low weight-for-age, low serum iron concentration, and recent diarrhea were all associated with altered intestinal function in this group of Guatemalan infants.","ISSN":"0277-2116","note":"PMID: 10067729","journalAbbreviation":"J. Pediatr. Gastroenterol. Nutr.","language":"eng","author":[{"family":"Goto","given":"K."},{"family":"Chew","given":"F."},{"family":"Torún","given":"B."},{"family":"Peerson","given":"J. M."},{"family":"Brown","given":"K. H."}],"issued":{"date-parts":[["1999",3]]},"PMID":"10067729"}}],"schema":"https://github.com/citation-style-language/schema/raw/master/csl-citation.json"} </w:instrText>
      </w:r>
      <w:r w:rsidRPr="006479DA">
        <w:rPr>
          <w:rFonts w:ascii="Book Antiqua" w:hAnsi="Book Antiqua" w:cs="Times New Roman"/>
          <w:lang w:eastAsia="de-DE"/>
        </w:rPr>
        <w:fldChar w:fldCharType="separate"/>
      </w:r>
      <w:r w:rsidR="009807D1" w:rsidRPr="006479DA">
        <w:rPr>
          <w:rFonts w:ascii="Book Antiqua" w:hAnsi="Book Antiqua" w:cs="Times New Roman"/>
          <w:vertAlign w:val="superscript"/>
        </w:rPr>
        <w:t>[23]</w:t>
      </w:r>
      <w:r w:rsidRPr="006479DA">
        <w:rPr>
          <w:rFonts w:ascii="Book Antiqua" w:hAnsi="Book Antiqua" w:cs="Times New Roman"/>
          <w:lang w:eastAsia="de-DE"/>
        </w:rPr>
        <w:fldChar w:fldCharType="end"/>
      </w:r>
      <w:r w:rsidRPr="006479DA">
        <w:rPr>
          <w:rFonts w:ascii="Book Antiqua" w:hAnsi="Book Antiqua" w:cs="Times New Roman"/>
          <w:lang w:eastAsia="de-DE"/>
        </w:rPr>
        <w:t>.</w:t>
      </w:r>
    </w:p>
    <w:p w14:paraId="0001DF64" w14:textId="77777777" w:rsidR="00AC3B43" w:rsidRPr="006479DA" w:rsidRDefault="00AC3B43" w:rsidP="00265BAF">
      <w:pPr>
        <w:pStyle w:val="Literaturverzeichnis1"/>
        <w:tabs>
          <w:tab w:val="clear" w:pos="384"/>
          <w:tab w:val="left" w:pos="0"/>
        </w:tabs>
        <w:spacing w:after="0" w:line="360" w:lineRule="auto"/>
        <w:ind w:left="0" w:firstLine="0"/>
        <w:rPr>
          <w:rFonts w:ascii="Book Antiqua" w:hAnsi="Book Antiqua" w:cs="Times New Roman"/>
          <w:i/>
        </w:rPr>
      </w:pPr>
    </w:p>
    <w:p w14:paraId="05807FC0" w14:textId="77777777" w:rsidR="005F0907" w:rsidRPr="006479DA" w:rsidRDefault="006178FD" w:rsidP="00265BAF">
      <w:pPr>
        <w:pStyle w:val="Literaturverzeichnis1"/>
        <w:tabs>
          <w:tab w:val="clear" w:pos="384"/>
          <w:tab w:val="left" w:pos="0"/>
        </w:tabs>
        <w:spacing w:after="0" w:line="360" w:lineRule="auto"/>
        <w:ind w:left="0" w:firstLine="0"/>
        <w:rPr>
          <w:rFonts w:ascii="Book Antiqua" w:hAnsi="Book Antiqua" w:cs="Times New Roman"/>
          <w:b/>
          <w:i/>
        </w:rPr>
      </w:pPr>
      <w:r w:rsidRPr="006479DA">
        <w:rPr>
          <w:rFonts w:ascii="Book Antiqua" w:hAnsi="Book Antiqua" w:cs="Times New Roman"/>
          <w:b/>
          <w:i/>
        </w:rPr>
        <w:t xml:space="preserve">Serum </w:t>
      </w:r>
      <w:r w:rsidR="005F0907" w:rsidRPr="006479DA">
        <w:rPr>
          <w:rFonts w:ascii="Book Antiqua" w:hAnsi="Book Antiqua" w:cs="Times New Roman"/>
          <w:b/>
          <w:i/>
        </w:rPr>
        <w:t>analysis</w:t>
      </w:r>
    </w:p>
    <w:p w14:paraId="1232D4D3" w14:textId="0B806B4F" w:rsidR="00B55740" w:rsidRPr="006479DA" w:rsidRDefault="00360C30" w:rsidP="00265BAF">
      <w:pPr>
        <w:pStyle w:val="Literaturverzeichnis1"/>
        <w:tabs>
          <w:tab w:val="clear" w:pos="384"/>
          <w:tab w:val="left" w:pos="0"/>
        </w:tabs>
        <w:spacing w:after="0" w:line="360" w:lineRule="auto"/>
        <w:ind w:left="0" w:firstLine="0"/>
        <w:rPr>
          <w:rFonts w:ascii="Book Antiqua" w:hAnsi="Book Antiqua" w:cs="Times New Roman"/>
        </w:rPr>
      </w:pPr>
      <w:r w:rsidRPr="006479DA">
        <w:rPr>
          <w:rFonts w:ascii="Book Antiqua" w:hAnsi="Book Antiqua" w:cs="Times New Roman"/>
        </w:rPr>
        <w:t>From each p</w:t>
      </w:r>
      <w:r w:rsidR="002620C1" w:rsidRPr="006479DA">
        <w:rPr>
          <w:rFonts w:ascii="Book Antiqua" w:hAnsi="Book Antiqua" w:cs="Times New Roman"/>
        </w:rPr>
        <w:t>atient</w:t>
      </w:r>
      <w:r w:rsidR="00B761CD" w:rsidRPr="006479DA">
        <w:rPr>
          <w:rFonts w:ascii="Book Antiqua" w:hAnsi="Book Antiqua" w:cs="Times New Roman"/>
        </w:rPr>
        <w:t>,</w:t>
      </w:r>
      <w:r w:rsidR="002620C1" w:rsidRPr="006479DA">
        <w:rPr>
          <w:rFonts w:ascii="Book Antiqua" w:hAnsi="Book Antiqua" w:cs="Times New Roman"/>
        </w:rPr>
        <w:t xml:space="preserve"> </w:t>
      </w:r>
      <w:r w:rsidR="00F91C29" w:rsidRPr="006479DA">
        <w:rPr>
          <w:rFonts w:ascii="Book Antiqua" w:hAnsi="Book Antiqua" w:cs="Times New Roman"/>
        </w:rPr>
        <w:t xml:space="preserve">a maximum of </w:t>
      </w:r>
      <w:r w:rsidR="002620C1" w:rsidRPr="006479DA">
        <w:rPr>
          <w:rFonts w:ascii="Book Antiqua" w:hAnsi="Book Antiqua" w:cs="Times New Roman"/>
        </w:rPr>
        <w:t>9</w:t>
      </w:r>
      <w:r w:rsidR="005F0907" w:rsidRPr="006479DA">
        <w:rPr>
          <w:rFonts w:ascii="Book Antiqua" w:hAnsi="Book Antiqua" w:cs="Times New Roman"/>
        </w:rPr>
        <w:t xml:space="preserve"> </w:t>
      </w:r>
      <w:r w:rsidR="002620C1" w:rsidRPr="006479DA">
        <w:rPr>
          <w:rFonts w:ascii="Book Antiqua" w:hAnsi="Book Antiqua" w:cs="Times New Roman"/>
        </w:rPr>
        <w:t>m</w:t>
      </w:r>
      <w:r w:rsidR="002620C1" w:rsidRPr="00C509DD">
        <w:rPr>
          <w:rFonts w:ascii="Book Antiqua" w:hAnsi="Book Antiqua" w:cs="Times New Roman"/>
          <w:caps/>
        </w:rPr>
        <w:t>l</w:t>
      </w:r>
      <w:r w:rsidR="002620C1" w:rsidRPr="006479DA">
        <w:rPr>
          <w:rFonts w:ascii="Book Antiqua" w:hAnsi="Book Antiqua" w:cs="Times New Roman"/>
        </w:rPr>
        <w:t xml:space="preserve"> </w:t>
      </w:r>
      <w:r w:rsidR="00B761CD" w:rsidRPr="006479DA">
        <w:rPr>
          <w:rFonts w:ascii="Book Antiqua" w:hAnsi="Book Antiqua" w:cs="Times New Roman"/>
        </w:rPr>
        <w:t xml:space="preserve">of </w:t>
      </w:r>
      <w:r w:rsidR="00F91C29" w:rsidRPr="006479DA">
        <w:rPr>
          <w:rFonts w:ascii="Book Antiqua" w:hAnsi="Book Antiqua" w:cs="Times New Roman"/>
        </w:rPr>
        <w:t>whole blood</w:t>
      </w:r>
      <w:r w:rsidR="002620C1" w:rsidRPr="006479DA">
        <w:rPr>
          <w:rFonts w:ascii="Book Antiqua" w:hAnsi="Book Antiqua" w:cs="Times New Roman"/>
        </w:rPr>
        <w:t xml:space="preserve"> were </w:t>
      </w:r>
      <w:r w:rsidR="00B761CD" w:rsidRPr="006479DA">
        <w:rPr>
          <w:rFonts w:ascii="Book Antiqua" w:hAnsi="Book Antiqua" w:cs="Times New Roman"/>
        </w:rPr>
        <w:t>taken</w:t>
      </w:r>
      <w:r w:rsidR="002620C1" w:rsidRPr="006479DA">
        <w:rPr>
          <w:rFonts w:ascii="Book Antiqua" w:hAnsi="Book Antiqua" w:cs="Times New Roman"/>
        </w:rPr>
        <w:t xml:space="preserve">, </w:t>
      </w:r>
      <w:r w:rsidR="005F0907" w:rsidRPr="006479DA">
        <w:rPr>
          <w:rFonts w:ascii="Book Antiqua" w:hAnsi="Book Antiqua" w:cs="Times New Roman"/>
        </w:rPr>
        <w:t xml:space="preserve">allowed to clot at room temperature over 30 min, </w:t>
      </w:r>
      <w:r w:rsidR="002620C1" w:rsidRPr="006479DA">
        <w:rPr>
          <w:rFonts w:ascii="Book Antiqua" w:hAnsi="Book Antiqua" w:cs="Times New Roman"/>
        </w:rPr>
        <w:t>c</w:t>
      </w:r>
      <w:r w:rsidRPr="006479DA">
        <w:rPr>
          <w:rFonts w:ascii="Book Antiqua" w:hAnsi="Book Antiqua" w:cs="Times New Roman"/>
        </w:rPr>
        <w:t xml:space="preserve">entrifuged </w:t>
      </w:r>
      <w:r w:rsidR="002620C1" w:rsidRPr="006479DA">
        <w:rPr>
          <w:rFonts w:ascii="Book Antiqua" w:hAnsi="Book Antiqua" w:cs="Times New Roman"/>
        </w:rPr>
        <w:t xml:space="preserve">for 10 </w:t>
      </w:r>
      <w:r w:rsidR="005F0907" w:rsidRPr="006479DA">
        <w:rPr>
          <w:rFonts w:ascii="Book Antiqua" w:hAnsi="Book Antiqua" w:cs="Times New Roman"/>
        </w:rPr>
        <w:t>min at 1000 rcf</w:t>
      </w:r>
      <w:r w:rsidR="002620C1" w:rsidRPr="006479DA">
        <w:rPr>
          <w:rFonts w:ascii="Book Antiqua" w:hAnsi="Book Antiqua" w:cs="Times New Roman"/>
        </w:rPr>
        <w:t xml:space="preserve"> </w:t>
      </w:r>
      <w:r w:rsidRPr="006479DA">
        <w:rPr>
          <w:rFonts w:ascii="Book Antiqua" w:hAnsi="Book Antiqua" w:cs="Times New Roman"/>
        </w:rPr>
        <w:t xml:space="preserve">and </w:t>
      </w:r>
      <w:r w:rsidR="00F91C29" w:rsidRPr="006479DA">
        <w:rPr>
          <w:rFonts w:ascii="Book Antiqua" w:hAnsi="Book Antiqua" w:cs="Times New Roman"/>
        </w:rPr>
        <w:t xml:space="preserve">serum was </w:t>
      </w:r>
      <w:r w:rsidRPr="006479DA">
        <w:rPr>
          <w:rFonts w:ascii="Book Antiqua" w:hAnsi="Book Antiqua" w:cs="Times New Roman"/>
        </w:rPr>
        <w:t xml:space="preserve">stored </w:t>
      </w:r>
      <w:r w:rsidR="00B761CD" w:rsidRPr="006479DA">
        <w:rPr>
          <w:rFonts w:ascii="Book Antiqua" w:hAnsi="Book Antiqua" w:cs="Times New Roman"/>
        </w:rPr>
        <w:t>at</w:t>
      </w:r>
      <w:r w:rsidRPr="006479DA">
        <w:rPr>
          <w:rFonts w:ascii="Book Antiqua" w:hAnsi="Book Antiqua" w:cs="Times New Roman"/>
        </w:rPr>
        <w:t xml:space="preserve"> -80</w:t>
      </w:r>
      <w:r w:rsidR="000E693F" w:rsidRPr="006479DA">
        <w:rPr>
          <w:rFonts w:ascii="Book Antiqua" w:hAnsi="Book Antiqua" w:cs="Times New Roman"/>
        </w:rPr>
        <w:t xml:space="preserve"> </w:t>
      </w:r>
      <w:r w:rsidRPr="006479DA">
        <w:rPr>
          <w:rFonts w:ascii="Book Antiqua" w:hAnsi="Book Antiqua" w:cs="Times New Roman"/>
        </w:rPr>
        <w:t xml:space="preserve">°C until </w:t>
      </w:r>
      <w:r w:rsidR="005F0907" w:rsidRPr="006479DA">
        <w:rPr>
          <w:rFonts w:ascii="Book Antiqua" w:hAnsi="Book Antiqua" w:cs="Times New Roman"/>
        </w:rPr>
        <w:t>further analysis</w:t>
      </w:r>
      <w:r w:rsidRPr="006479DA">
        <w:rPr>
          <w:rFonts w:ascii="Book Antiqua" w:hAnsi="Book Antiqua" w:cs="Times New Roman"/>
        </w:rPr>
        <w:t>.</w:t>
      </w:r>
      <w:r w:rsidR="006615F2" w:rsidRPr="006479DA">
        <w:rPr>
          <w:rFonts w:ascii="Book Antiqua" w:hAnsi="Book Antiqua" w:cs="Times New Roman"/>
        </w:rPr>
        <w:t xml:space="preserve"> </w:t>
      </w:r>
      <w:r w:rsidR="00B55740" w:rsidRPr="006479DA">
        <w:rPr>
          <w:rFonts w:ascii="Book Antiqua" w:hAnsi="Book Antiqua" w:cs="Times New Roman"/>
        </w:rPr>
        <w:t xml:space="preserve">Enzyme-linked immunoassays (ELISA) were used to asses the concentrations of intestinal fatty acid-binding protein (I-FABP), </w:t>
      </w:r>
      <w:r w:rsidR="000C3F37" w:rsidRPr="006479DA">
        <w:rPr>
          <w:rFonts w:ascii="Book Antiqua" w:hAnsi="Book Antiqua" w:cs="Times New Roman"/>
        </w:rPr>
        <w:t>l</w:t>
      </w:r>
      <w:r w:rsidR="00B55740" w:rsidRPr="006479DA">
        <w:rPr>
          <w:rFonts w:ascii="Book Antiqua" w:hAnsi="Book Antiqua" w:cs="Times New Roman"/>
        </w:rPr>
        <w:t>ipopolysaccharide-binding protein (LBP)</w:t>
      </w:r>
      <w:r w:rsidR="000C3F37" w:rsidRPr="006479DA">
        <w:rPr>
          <w:rFonts w:ascii="Book Antiqua" w:hAnsi="Book Antiqua" w:cs="Times New Roman"/>
        </w:rPr>
        <w:t xml:space="preserve"> and i</w:t>
      </w:r>
      <w:r w:rsidR="00B55740" w:rsidRPr="006479DA">
        <w:rPr>
          <w:rFonts w:ascii="Book Antiqua" w:hAnsi="Book Antiqua" w:cs="Times New Roman"/>
        </w:rPr>
        <w:t>nterleukin-6 (IL-6)</w:t>
      </w:r>
      <w:r w:rsidR="000C3F37" w:rsidRPr="006479DA">
        <w:rPr>
          <w:rFonts w:ascii="Book Antiqua" w:hAnsi="Book Antiqua" w:cs="Times New Roman"/>
        </w:rPr>
        <w:t xml:space="preserve"> in serum</w:t>
      </w:r>
      <w:r w:rsidR="00B55740" w:rsidRPr="006479DA">
        <w:rPr>
          <w:rFonts w:ascii="Book Antiqua" w:hAnsi="Book Antiqua" w:cs="Times New Roman"/>
        </w:rPr>
        <w:t xml:space="preserve">. I-FABP concentrations were determined in diluted samples using </w:t>
      </w:r>
      <w:r w:rsidR="005F7864" w:rsidRPr="006479DA">
        <w:rPr>
          <w:rFonts w:ascii="Book Antiqua" w:hAnsi="Book Antiqua" w:cs="Times New Roman"/>
        </w:rPr>
        <w:t xml:space="preserve">the </w:t>
      </w:r>
      <w:r w:rsidR="00B55740" w:rsidRPr="006479DA">
        <w:rPr>
          <w:rFonts w:ascii="Book Antiqua" w:hAnsi="Book Antiqua" w:cs="Times New Roman"/>
        </w:rPr>
        <w:t>human</w:t>
      </w:r>
      <w:r w:rsidR="005F7864" w:rsidRPr="006479DA">
        <w:rPr>
          <w:rFonts w:ascii="Book Antiqua" w:hAnsi="Book Antiqua" w:cs="Times New Roman"/>
        </w:rPr>
        <w:t xml:space="preserve"> I-FABP ELISA Kit </w:t>
      </w:r>
      <w:r w:rsidR="00B761CD" w:rsidRPr="006479DA">
        <w:rPr>
          <w:rFonts w:ascii="Book Antiqua" w:hAnsi="Book Antiqua" w:cs="Times New Roman"/>
        </w:rPr>
        <w:t>(</w:t>
      </w:r>
      <w:r w:rsidR="005F7864" w:rsidRPr="006479DA">
        <w:rPr>
          <w:rFonts w:ascii="Book Antiqua" w:hAnsi="Book Antiqua" w:cs="Times New Roman"/>
        </w:rPr>
        <w:t>Hycult biotech</w:t>
      </w:r>
      <w:r w:rsidR="00BD7C21" w:rsidRPr="006479DA">
        <w:rPr>
          <w:rFonts w:ascii="Book Antiqua" w:hAnsi="Book Antiqua" w:cs="Times New Roman"/>
        </w:rPr>
        <w:t>, Uden, Netherlands</w:t>
      </w:r>
      <w:r w:rsidR="00B761CD" w:rsidRPr="006479DA">
        <w:rPr>
          <w:rFonts w:ascii="Book Antiqua" w:hAnsi="Book Antiqua" w:cs="Times New Roman"/>
        </w:rPr>
        <w:t>)</w:t>
      </w:r>
      <w:r w:rsidR="00B55740" w:rsidRPr="006479DA">
        <w:rPr>
          <w:rFonts w:ascii="Book Antiqua" w:hAnsi="Book Antiqua" w:cs="Times New Roman"/>
        </w:rPr>
        <w:t xml:space="preserve"> providing a lower limit of detection (LOD)</w:t>
      </w:r>
      <w:r w:rsidR="005F7864" w:rsidRPr="006479DA">
        <w:rPr>
          <w:rFonts w:ascii="Book Antiqua" w:hAnsi="Book Antiqua" w:cs="Times New Roman"/>
        </w:rPr>
        <w:t xml:space="preserve"> </w:t>
      </w:r>
      <w:r w:rsidR="006B6FA8" w:rsidRPr="006479DA">
        <w:rPr>
          <w:rFonts w:ascii="Book Antiqua" w:hAnsi="Book Antiqua" w:cs="Times New Roman"/>
        </w:rPr>
        <w:t xml:space="preserve">of </w:t>
      </w:r>
      <w:r w:rsidR="00595EB8" w:rsidRPr="006479DA">
        <w:rPr>
          <w:rFonts w:ascii="Book Antiqua" w:hAnsi="Book Antiqua" w:cs="Times New Roman"/>
        </w:rPr>
        <w:t>47</w:t>
      </w:r>
      <w:r w:rsidR="006B6FA8" w:rsidRPr="006479DA">
        <w:rPr>
          <w:rFonts w:ascii="Book Antiqua" w:hAnsi="Book Antiqua" w:cs="Times New Roman"/>
        </w:rPr>
        <w:t xml:space="preserve"> pg/m</w:t>
      </w:r>
      <w:r w:rsidR="006B6FA8" w:rsidRPr="006479DA">
        <w:rPr>
          <w:rFonts w:ascii="Book Antiqua" w:hAnsi="Book Antiqua" w:cs="Times New Roman"/>
          <w:caps/>
        </w:rPr>
        <w:t>l</w:t>
      </w:r>
      <w:r w:rsidR="006B6FA8" w:rsidRPr="006479DA">
        <w:rPr>
          <w:rFonts w:ascii="Book Antiqua" w:hAnsi="Book Antiqua" w:cs="Times New Roman"/>
        </w:rPr>
        <w:t>. IL-6 was determined using the human Interleukin-6 ELISA kit (RayBiotec, Norcross, USA) in undiluted samples (LOD 3 pg/m</w:t>
      </w:r>
      <w:r w:rsidR="006B6FA8" w:rsidRPr="006479DA">
        <w:rPr>
          <w:rFonts w:ascii="Book Antiqua" w:hAnsi="Book Antiqua" w:cs="Times New Roman"/>
          <w:caps/>
        </w:rPr>
        <w:t>l</w:t>
      </w:r>
      <w:r w:rsidR="006B6FA8" w:rsidRPr="006479DA">
        <w:rPr>
          <w:rFonts w:ascii="Book Antiqua" w:hAnsi="Book Antiqua" w:cs="Times New Roman"/>
        </w:rPr>
        <w:t>). LBP was analyzed using the human LBP ELISA Kit (Hycult biotec, Uden, Netherlands) using serially diluted samples (LOD 4</w:t>
      </w:r>
      <w:r w:rsidR="0020399B" w:rsidRPr="006479DA">
        <w:rPr>
          <w:rFonts w:ascii="Book Antiqua" w:eastAsia="SimSun" w:hAnsi="Book Antiqua" w:cs="Times New Roman"/>
          <w:lang w:eastAsia="zh-CN"/>
        </w:rPr>
        <w:t>.</w:t>
      </w:r>
      <w:r w:rsidR="006B6FA8" w:rsidRPr="006479DA">
        <w:rPr>
          <w:rFonts w:ascii="Book Antiqua" w:hAnsi="Book Antiqua" w:cs="Times New Roman"/>
        </w:rPr>
        <w:t>4 ng/m</w:t>
      </w:r>
      <w:r w:rsidR="006B6FA8" w:rsidRPr="006479DA">
        <w:rPr>
          <w:rFonts w:ascii="Book Antiqua" w:hAnsi="Book Antiqua" w:cs="Times New Roman"/>
          <w:caps/>
        </w:rPr>
        <w:t>l</w:t>
      </w:r>
      <w:r w:rsidR="006B6FA8" w:rsidRPr="006479DA">
        <w:rPr>
          <w:rFonts w:ascii="Book Antiqua" w:hAnsi="Book Antiqua" w:cs="Times New Roman"/>
        </w:rPr>
        <w:t>)</w:t>
      </w:r>
      <w:r w:rsidR="005F5ABD" w:rsidRPr="006479DA">
        <w:rPr>
          <w:rFonts w:ascii="Book Antiqua" w:hAnsi="Book Antiqua" w:cs="Times New Roman"/>
        </w:rPr>
        <w:t xml:space="preserve"> as described</w:t>
      </w:r>
      <w:r w:rsidR="005F5ABD" w:rsidRPr="006479DA">
        <w:rPr>
          <w:rFonts w:ascii="Book Antiqua" w:hAnsi="Book Antiqua" w:cs="Times New Roman"/>
        </w:rPr>
        <w:fldChar w:fldCharType="begin"/>
      </w:r>
      <w:r w:rsidR="009807D1" w:rsidRPr="006479DA">
        <w:rPr>
          <w:rFonts w:ascii="Book Antiqua" w:hAnsi="Book Antiqua" w:cs="Times New Roman"/>
        </w:rPr>
        <w:instrText xml:space="preserve"> </w:instrText>
      </w:r>
      <w:r w:rsidR="00F22811" w:rsidRPr="006479DA">
        <w:rPr>
          <w:rFonts w:ascii="Book Antiqua" w:hAnsi="Book Antiqua" w:cs="Times New Roman"/>
        </w:rPr>
        <w:instrText>ADDIN</w:instrText>
      </w:r>
      <w:r w:rsidR="009807D1" w:rsidRPr="006479DA">
        <w:rPr>
          <w:rFonts w:ascii="Book Antiqua" w:hAnsi="Book Antiqua" w:cs="Times New Roman"/>
        </w:rPr>
        <w:instrText xml:space="preserve"> ZOTERO_ITEM CSL_CITATION {"citationID":"23edr9iu32","properties":{"formattedCitation":"{\\rtf \\super [24]\\nosupersub{}}","plainCitation":"[24]"},"citationItems":[{"id":151,"uris":["http://zotero.org/users/1744959/items/5D6R8DIA"],"uri":["http://zotero.org/users/1744959/items/5D6R8DIA"],"itemData":{"id":151,"type":"article-journal","title":"The augmented neutrophil respiratory burst in response to Escherichia coli is reduced in liver cirrhosis during infection","container-title":"Clinical and experimental immunology","page":"346-356","volume":"164","issue":"3","source":"NCBI PubMed","abstract":"Several functional abnormalities in phagocytes from patients with liver cirrhosis contribute to an increased risk of infection. An increased resting respiratory burst has been observed in neutrophils from cirrhotic patients. We investigated whether an infection in cirrhosis affects the respiratory burst capacity of neutrophils and monocytes in response to Escherichia coli. This study included 45 hospitalized patients with liver cirrhosis and clinical signs of infection, 39 patients with liver cirrhosis in the absence of infection and 29 healthy subjects. Respiratory burst, lipopolysaccharide-binding protein (LBP), and immunoglobulin (Ig)G-autoantibodies against oxidized low-density lipoproteins (ab-oxLDL) were measured. The fraction of neutrophils spontaneously producing reactive oxygen species (ROS) was elevated in liver cirrhosis (P &lt; 0·01). The neutrophil resting burst increased with Child-Pugh stage (P = 0·02) and correlated with augmented ROS release in response to opsonized E. coli (P &lt; 0</w:instrText>
      </w:r>
      <w:r w:rsidR="009807D1" w:rsidRPr="006479DA">
        <w:rPr>
          <w:rFonts w:ascii="Book Antiqua" w:hAnsi="Book Antiqua" w:cs="Book Antiqua"/>
        </w:rPr>
        <w:instrText>·</w:instrText>
      </w:r>
      <w:r w:rsidR="009807D1" w:rsidRPr="006479DA">
        <w:rPr>
          <w:rFonts w:ascii="Book Antiqua" w:hAnsi="Book Antiqua" w:cs="Times New Roman"/>
        </w:rPr>
        <w:instrText>05). Although LBP was increased in patients with cirrhosis (P &lt; 0</w:instrText>
      </w:r>
      <w:r w:rsidR="009807D1" w:rsidRPr="006479DA">
        <w:rPr>
          <w:rFonts w:ascii="Book Antiqua" w:hAnsi="Book Antiqua" w:cs="Book Antiqua"/>
        </w:rPr>
        <w:instrText>·</w:instrText>
      </w:r>
      <w:r w:rsidR="009807D1" w:rsidRPr="006479DA">
        <w:rPr>
          <w:rFonts w:ascii="Book Antiqua" w:hAnsi="Book Antiqua" w:cs="Times New Roman"/>
        </w:rPr>
        <w:instrText>01), higher LBP levels correlated with a lower resting burst in neutrophils (r(s)  = -0·395; P &lt; 0</w:instrText>
      </w:r>
      <w:r w:rsidR="009807D1" w:rsidRPr="006479DA">
        <w:rPr>
          <w:rFonts w:ascii="Book Antiqua" w:hAnsi="Book Antiqua" w:cs="Book Antiqua"/>
        </w:rPr>
        <w:instrText>·</w:instrText>
      </w:r>
      <w:r w:rsidR="009807D1" w:rsidRPr="006479DA">
        <w:rPr>
          <w:rFonts w:ascii="Book Antiqua" w:hAnsi="Book Antiqua" w:cs="Times New Roman"/>
        </w:rPr>
        <w:instrText>01). In the presence of infection, the resting burst was unaltered. However, neutrophil ROS release in response to E. coli was reduced markedly (P = 0</w:instrText>
      </w:r>
      <w:r w:rsidR="009807D1" w:rsidRPr="006479DA">
        <w:rPr>
          <w:rFonts w:ascii="Book Antiqua" w:hAnsi="Book Antiqua" w:cs="Book Antiqua"/>
        </w:rPr>
        <w:instrText>·</w:instrText>
      </w:r>
      <w:r w:rsidR="009807D1" w:rsidRPr="006479DA">
        <w:rPr>
          <w:rFonts w:ascii="Book Antiqua" w:hAnsi="Book Antiqua" w:cs="Times New Roman"/>
        </w:rPr>
        <w:instrText>01), and it decreased as serum C-reactive protein (CRP) concentration rose (r(s)  = -0·437; P &lt; 0</w:instrText>
      </w:r>
      <w:r w:rsidR="009807D1" w:rsidRPr="006479DA">
        <w:rPr>
          <w:rFonts w:ascii="Book Antiqua" w:hAnsi="Book Antiqua" w:cs="Book Antiqua"/>
        </w:rPr>
        <w:instrText>·</w:instrText>
      </w:r>
      <w:r w:rsidR="009807D1" w:rsidRPr="006479DA">
        <w:rPr>
          <w:rFonts w:ascii="Book Antiqua" w:hAnsi="Book Antiqua" w:cs="Times New Roman"/>
        </w:rPr>
        <w:instrText>01), indicating the development of a sepsis-like immune paralysis. A positive correlation between ab-oxLDL and ROS release was observed (P &lt; 0</w:instrText>
      </w:r>
      <w:r w:rsidR="009807D1" w:rsidRPr="006479DA">
        <w:rPr>
          <w:rFonts w:ascii="Book Antiqua" w:hAnsi="Book Antiqua" w:cs="Book Antiqua"/>
        </w:rPr>
        <w:instrText>·</w:instrText>
      </w:r>
      <w:r w:rsidR="009807D1" w:rsidRPr="006479DA">
        <w:rPr>
          <w:rFonts w:ascii="Book Antiqua" w:hAnsi="Book Antiqua" w:cs="Times New Roman"/>
        </w:rPr>
        <w:instrText xml:space="preserve">01). In conclusion, the respiratory burst increases with severity of liver cirrhosis but is restrained by increasing LBP levels. Augmented ROS release in response to E. coli is accompanied by elevated markers of oxidative damage and becomes exhausted in the presence of infection.","DOI":"10.1111/j.1365-2249.2011.04373.x","ISSN":"1365-2249","note":"PMID: 21413941 \nPMCID: PMC3087930","journalAbbreviation":"Clin. Exp. Immunol.","language":"eng","author":[{"family":"Bruns","given":"T"},{"family":"Peter","given":"J"},{"family":"Hagel","given":"S"},{"family":"Herrmann","given":"A"},{"family":"Stallmach","given":"A"}],"issued":{"date-parts":[["2011",6]]},"PMID":"21413941","PMCID":"PMC3087930"}}],"schema":"https://github.com/citation-style-language/schema/raw/master/csl-citation.json"} </w:instrText>
      </w:r>
      <w:r w:rsidR="005F5ABD" w:rsidRPr="006479DA">
        <w:rPr>
          <w:rFonts w:ascii="Book Antiqua" w:hAnsi="Book Antiqua" w:cs="Times New Roman"/>
        </w:rPr>
        <w:fldChar w:fldCharType="separate"/>
      </w:r>
      <w:r w:rsidR="009807D1" w:rsidRPr="006479DA">
        <w:rPr>
          <w:rFonts w:ascii="Book Antiqua" w:hAnsi="Book Antiqua" w:cs="Times New Roman"/>
          <w:vertAlign w:val="superscript"/>
        </w:rPr>
        <w:t>[24]</w:t>
      </w:r>
      <w:r w:rsidR="005F5ABD" w:rsidRPr="006479DA">
        <w:rPr>
          <w:rFonts w:ascii="Book Antiqua" w:hAnsi="Book Antiqua" w:cs="Times New Roman"/>
        </w:rPr>
        <w:fldChar w:fldCharType="end"/>
      </w:r>
      <w:r w:rsidR="006B6FA8" w:rsidRPr="006479DA">
        <w:rPr>
          <w:rFonts w:ascii="Book Antiqua" w:hAnsi="Book Antiqua" w:cs="Times New Roman"/>
        </w:rPr>
        <w:t xml:space="preserve">. </w:t>
      </w:r>
      <w:r w:rsidR="00B55740" w:rsidRPr="006479DA">
        <w:rPr>
          <w:rFonts w:ascii="Book Antiqua" w:hAnsi="Book Antiqua" w:cs="Times New Roman"/>
        </w:rPr>
        <w:t>Absorbance was measured in 96-well plates on a photospectrometer (Infinite</w:t>
      </w:r>
      <w:r w:rsidR="00B55740" w:rsidRPr="006479DA">
        <w:rPr>
          <w:rFonts w:ascii="Book Antiqua" w:hAnsi="Book Antiqua" w:cs="Times New Roman"/>
          <w:vertAlign w:val="superscript"/>
        </w:rPr>
        <w:t>®</w:t>
      </w:r>
      <w:r w:rsidR="00B55740" w:rsidRPr="006479DA">
        <w:rPr>
          <w:rFonts w:ascii="Book Antiqua" w:hAnsi="Book Antiqua" w:cs="Times New Roman"/>
        </w:rPr>
        <w:t xml:space="preserve"> 200 Pro, TECAN, Männedorf, Switzerland) at 450 nm.</w:t>
      </w:r>
      <w:r w:rsidR="00F91C29" w:rsidRPr="006479DA">
        <w:rPr>
          <w:rFonts w:ascii="Book Antiqua" w:hAnsi="Book Antiqua" w:cs="Times New Roman"/>
        </w:rPr>
        <w:t xml:space="preserve"> Sample volumes were insufficient to determine I-FABP concentration in 10 samples.</w:t>
      </w:r>
    </w:p>
    <w:p w14:paraId="2228B515" w14:textId="77777777" w:rsidR="00050107" w:rsidRPr="006479DA" w:rsidRDefault="00050107" w:rsidP="00265BAF">
      <w:pPr>
        <w:pStyle w:val="Literaturverzeichnis1"/>
        <w:tabs>
          <w:tab w:val="clear" w:pos="384"/>
          <w:tab w:val="left" w:pos="0"/>
        </w:tabs>
        <w:spacing w:after="0" w:line="360" w:lineRule="auto"/>
        <w:ind w:left="0" w:firstLine="0"/>
        <w:rPr>
          <w:rFonts w:ascii="Book Antiqua" w:hAnsi="Book Antiqua" w:cs="Times New Roman"/>
        </w:rPr>
      </w:pPr>
    </w:p>
    <w:p w14:paraId="0053ED32" w14:textId="434CB505" w:rsidR="009A7F1F" w:rsidRPr="006479DA" w:rsidRDefault="009A7F1F" w:rsidP="00265BAF">
      <w:pPr>
        <w:spacing w:after="0" w:line="360" w:lineRule="auto"/>
        <w:jc w:val="both"/>
        <w:rPr>
          <w:rFonts w:ascii="Book Antiqua" w:hAnsi="Book Antiqua"/>
          <w:b/>
          <w:i/>
          <w:sz w:val="24"/>
          <w:szCs w:val="24"/>
          <w:lang w:val="en-US"/>
        </w:rPr>
      </w:pPr>
      <w:r w:rsidRPr="006479DA">
        <w:rPr>
          <w:rFonts w:ascii="Book Antiqua" w:hAnsi="Book Antiqua"/>
          <w:b/>
          <w:i/>
          <w:sz w:val="24"/>
          <w:szCs w:val="24"/>
          <w:lang w:val="en-US"/>
        </w:rPr>
        <w:lastRenderedPageBreak/>
        <w:t xml:space="preserve">Statistical </w:t>
      </w:r>
      <w:r w:rsidR="00C509DD" w:rsidRPr="006479DA">
        <w:rPr>
          <w:rFonts w:ascii="Book Antiqua" w:hAnsi="Book Antiqua"/>
          <w:b/>
          <w:i/>
          <w:sz w:val="24"/>
          <w:szCs w:val="24"/>
          <w:lang w:val="en-US"/>
        </w:rPr>
        <w:t>a</w:t>
      </w:r>
      <w:r w:rsidRPr="006479DA">
        <w:rPr>
          <w:rFonts w:ascii="Book Antiqua" w:hAnsi="Book Antiqua"/>
          <w:b/>
          <w:i/>
          <w:sz w:val="24"/>
          <w:szCs w:val="24"/>
          <w:lang w:val="en-US"/>
        </w:rPr>
        <w:t>nalysis</w:t>
      </w:r>
    </w:p>
    <w:p w14:paraId="12D58F01" w14:textId="77777777" w:rsidR="00C509DD" w:rsidRDefault="007E48E7" w:rsidP="00265BAF">
      <w:pPr>
        <w:spacing w:after="0" w:line="360" w:lineRule="auto"/>
        <w:jc w:val="both"/>
        <w:rPr>
          <w:rFonts w:ascii="Book Antiqua" w:eastAsia="SimSun" w:hAnsi="Book Antiqua"/>
          <w:sz w:val="24"/>
          <w:szCs w:val="24"/>
          <w:lang w:val="en-US" w:eastAsia="zh-CN"/>
        </w:rPr>
      </w:pPr>
      <w:r w:rsidRPr="006479DA">
        <w:rPr>
          <w:rFonts w:ascii="Book Antiqua" w:hAnsi="Book Antiqua"/>
          <w:sz w:val="24"/>
          <w:szCs w:val="24"/>
          <w:lang w:val="en-US"/>
        </w:rPr>
        <w:t xml:space="preserve">The statistical analyzes were </w:t>
      </w:r>
      <w:r w:rsidR="005934F5" w:rsidRPr="006479DA">
        <w:rPr>
          <w:rFonts w:ascii="Book Antiqua" w:hAnsi="Book Antiqua"/>
          <w:sz w:val="24"/>
          <w:szCs w:val="24"/>
          <w:lang w:val="en-US"/>
        </w:rPr>
        <w:t>performed using</w:t>
      </w:r>
      <w:r w:rsidRPr="006479DA">
        <w:rPr>
          <w:rFonts w:ascii="Book Antiqua" w:hAnsi="Book Antiqua"/>
          <w:sz w:val="24"/>
          <w:szCs w:val="24"/>
          <w:lang w:val="en-US"/>
        </w:rPr>
        <w:t xml:space="preserve"> SPSS 22</w:t>
      </w:r>
      <w:r w:rsidR="00054B63" w:rsidRPr="006479DA">
        <w:rPr>
          <w:rFonts w:ascii="Book Antiqua" w:hAnsi="Book Antiqua"/>
          <w:sz w:val="24"/>
          <w:szCs w:val="24"/>
          <w:lang w:val="en-US"/>
        </w:rPr>
        <w:t xml:space="preserve"> </w:t>
      </w:r>
      <w:r w:rsidR="003B6591" w:rsidRPr="006479DA">
        <w:rPr>
          <w:rFonts w:ascii="Book Antiqua" w:hAnsi="Book Antiqua"/>
          <w:sz w:val="24"/>
          <w:szCs w:val="24"/>
          <w:lang w:val="en-US"/>
        </w:rPr>
        <w:t>(</w:t>
      </w:r>
      <w:r w:rsidR="00AC3B43" w:rsidRPr="006479DA">
        <w:rPr>
          <w:rFonts w:ascii="Book Antiqua" w:hAnsi="Book Antiqua"/>
          <w:sz w:val="24"/>
          <w:szCs w:val="24"/>
          <w:lang w:val="en-US"/>
        </w:rPr>
        <w:t xml:space="preserve">IBM, </w:t>
      </w:r>
      <w:r w:rsidR="003B6591" w:rsidRPr="006479DA">
        <w:rPr>
          <w:rFonts w:ascii="Book Antiqua" w:hAnsi="Book Antiqua"/>
          <w:sz w:val="24"/>
          <w:szCs w:val="24"/>
          <w:lang w:val="en-US"/>
        </w:rPr>
        <w:t xml:space="preserve">Armonk, </w:t>
      </w:r>
      <w:r w:rsidR="00AC3B43" w:rsidRPr="006479DA">
        <w:rPr>
          <w:rFonts w:ascii="Book Antiqua" w:hAnsi="Book Antiqua"/>
          <w:sz w:val="24"/>
          <w:szCs w:val="24"/>
          <w:lang w:val="en-US"/>
        </w:rPr>
        <w:t>NY</w:t>
      </w:r>
      <w:r w:rsidR="003B6591" w:rsidRPr="006479DA">
        <w:rPr>
          <w:rFonts w:ascii="Book Antiqua" w:hAnsi="Book Antiqua"/>
          <w:sz w:val="24"/>
          <w:szCs w:val="24"/>
          <w:lang w:val="en-US"/>
        </w:rPr>
        <w:t>,</w:t>
      </w:r>
      <w:r w:rsidR="00C509DD">
        <w:rPr>
          <w:rFonts w:ascii="Book Antiqua" w:eastAsia="SimSun" w:hAnsi="Book Antiqua" w:hint="eastAsia"/>
          <w:sz w:val="24"/>
          <w:szCs w:val="24"/>
          <w:lang w:val="en-US" w:eastAsia="zh-CN"/>
        </w:rPr>
        <w:t xml:space="preserve"> </w:t>
      </w:r>
      <w:r w:rsidR="00C509DD" w:rsidRPr="00C509DD">
        <w:rPr>
          <w:rFonts w:ascii="Book Antiqua" w:eastAsia="SimSun" w:hAnsi="Book Antiqua"/>
          <w:sz w:val="24"/>
          <w:szCs w:val="24"/>
          <w:lang w:eastAsia="zh-CN"/>
        </w:rPr>
        <w:t>United States</w:t>
      </w:r>
      <w:r w:rsidR="003B6591" w:rsidRPr="006479DA">
        <w:rPr>
          <w:rFonts w:ascii="Book Antiqua" w:hAnsi="Book Antiqua"/>
          <w:sz w:val="24"/>
          <w:szCs w:val="24"/>
          <w:lang w:val="en-US"/>
        </w:rPr>
        <w:t xml:space="preserve">) </w:t>
      </w:r>
      <w:r w:rsidR="00054B63" w:rsidRPr="006479DA">
        <w:rPr>
          <w:rFonts w:ascii="Book Antiqua" w:hAnsi="Book Antiqua"/>
          <w:sz w:val="24"/>
          <w:szCs w:val="24"/>
          <w:lang w:val="en-US"/>
        </w:rPr>
        <w:t>and Prism 5</w:t>
      </w:r>
      <w:r w:rsidR="003B6591" w:rsidRPr="006479DA">
        <w:rPr>
          <w:rFonts w:ascii="Book Antiqua" w:hAnsi="Book Antiqua"/>
          <w:sz w:val="24"/>
          <w:szCs w:val="24"/>
          <w:lang w:val="en-US"/>
        </w:rPr>
        <w:t xml:space="preserve"> (</w:t>
      </w:r>
      <w:r w:rsidR="00AC3B43" w:rsidRPr="006479DA">
        <w:rPr>
          <w:rFonts w:ascii="Book Antiqua" w:hAnsi="Book Antiqua"/>
          <w:sz w:val="24"/>
          <w:szCs w:val="24"/>
          <w:lang w:val="en-US"/>
        </w:rPr>
        <w:t xml:space="preserve">GraphPad, </w:t>
      </w:r>
      <w:r w:rsidR="003B6591" w:rsidRPr="006479DA">
        <w:rPr>
          <w:rFonts w:ascii="Book Antiqua" w:hAnsi="Book Antiqua"/>
          <w:sz w:val="24"/>
          <w:szCs w:val="24"/>
          <w:lang w:val="en-US"/>
        </w:rPr>
        <w:t xml:space="preserve">La Jolla, </w:t>
      </w:r>
      <w:r w:rsidR="00AC3B43" w:rsidRPr="006479DA">
        <w:rPr>
          <w:rFonts w:ascii="Book Antiqua" w:hAnsi="Book Antiqua"/>
          <w:sz w:val="24"/>
          <w:szCs w:val="24"/>
          <w:lang w:val="en-US"/>
        </w:rPr>
        <w:t>CA</w:t>
      </w:r>
      <w:r w:rsidR="00C509DD">
        <w:rPr>
          <w:rFonts w:ascii="Book Antiqua" w:eastAsia="SimSun" w:hAnsi="Book Antiqua" w:hint="eastAsia"/>
          <w:sz w:val="24"/>
          <w:szCs w:val="24"/>
          <w:lang w:val="en-US" w:eastAsia="zh-CN"/>
        </w:rPr>
        <w:t xml:space="preserve">, </w:t>
      </w:r>
      <w:r w:rsidR="00C509DD" w:rsidRPr="00C509DD">
        <w:rPr>
          <w:rFonts w:ascii="Book Antiqua" w:eastAsia="SimSun" w:hAnsi="Book Antiqua"/>
          <w:sz w:val="24"/>
          <w:szCs w:val="24"/>
          <w:lang w:eastAsia="zh-CN"/>
        </w:rPr>
        <w:t>United States</w:t>
      </w:r>
      <w:r w:rsidR="003B6591" w:rsidRPr="006479DA">
        <w:rPr>
          <w:rFonts w:ascii="Book Antiqua" w:hAnsi="Book Antiqua"/>
          <w:sz w:val="24"/>
          <w:szCs w:val="24"/>
          <w:lang w:val="en-US"/>
        </w:rPr>
        <w:t>)</w:t>
      </w:r>
      <w:r w:rsidRPr="006479DA">
        <w:rPr>
          <w:rFonts w:ascii="Book Antiqua" w:hAnsi="Book Antiqua"/>
          <w:sz w:val="24"/>
          <w:szCs w:val="24"/>
          <w:lang w:val="en-US"/>
        </w:rPr>
        <w:t>.</w:t>
      </w:r>
      <w:r w:rsidR="009A79DA" w:rsidRPr="006479DA">
        <w:rPr>
          <w:rFonts w:ascii="Book Antiqua" w:hAnsi="Book Antiqua"/>
          <w:sz w:val="24"/>
          <w:szCs w:val="24"/>
          <w:lang w:val="en-US"/>
        </w:rPr>
        <w:t xml:space="preserve"> B</w:t>
      </w:r>
      <w:r w:rsidRPr="006479DA">
        <w:rPr>
          <w:rFonts w:ascii="Book Antiqua" w:hAnsi="Book Antiqua"/>
          <w:sz w:val="24"/>
          <w:szCs w:val="24"/>
          <w:lang w:val="en-US"/>
        </w:rPr>
        <w:t>ivar</w:t>
      </w:r>
      <w:r w:rsidR="00661B5D" w:rsidRPr="006479DA">
        <w:rPr>
          <w:rFonts w:ascii="Book Antiqua" w:hAnsi="Book Antiqua"/>
          <w:sz w:val="24"/>
          <w:szCs w:val="24"/>
          <w:lang w:val="en-US"/>
        </w:rPr>
        <w:t xml:space="preserve">iate nonparametric </w:t>
      </w:r>
      <w:r w:rsidR="009A79DA" w:rsidRPr="006479DA">
        <w:rPr>
          <w:rFonts w:ascii="Book Antiqua" w:hAnsi="Book Antiqua"/>
          <w:sz w:val="24"/>
          <w:szCs w:val="24"/>
          <w:lang w:val="en-US"/>
        </w:rPr>
        <w:t>correlation analysis</w:t>
      </w:r>
      <w:r w:rsidR="00661B5D" w:rsidRPr="006479DA">
        <w:rPr>
          <w:rFonts w:ascii="Book Antiqua" w:hAnsi="Book Antiqua"/>
          <w:sz w:val="24"/>
          <w:szCs w:val="24"/>
          <w:lang w:val="en-US"/>
        </w:rPr>
        <w:t xml:space="preserve"> (S</w:t>
      </w:r>
      <w:r w:rsidR="008C33FB" w:rsidRPr="006479DA">
        <w:rPr>
          <w:rFonts w:ascii="Book Antiqua" w:hAnsi="Book Antiqua"/>
          <w:sz w:val="24"/>
          <w:szCs w:val="24"/>
          <w:lang w:val="en-US"/>
        </w:rPr>
        <w:t>pearman</w:t>
      </w:r>
      <w:r w:rsidR="00661B5D" w:rsidRPr="006479DA">
        <w:rPr>
          <w:rFonts w:ascii="Book Antiqua" w:hAnsi="Book Antiqua"/>
          <w:sz w:val="24"/>
          <w:szCs w:val="24"/>
          <w:lang w:val="en-US"/>
        </w:rPr>
        <w:t>’s rho</w:t>
      </w:r>
      <w:r w:rsidR="005A0E74" w:rsidRPr="006479DA">
        <w:rPr>
          <w:rFonts w:ascii="Book Antiqua" w:hAnsi="Book Antiqua"/>
          <w:sz w:val="24"/>
          <w:szCs w:val="24"/>
          <w:lang w:val="en-US"/>
        </w:rPr>
        <w:t>, r</w:t>
      </w:r>
      <w:r w:rsidR="005A0E74" w:rsidRPr="006479DA">
        <w:rPr>
          <w:rFonts w:ascii="Book Antiqua" w:hAnsi="Book Antiqua"/>
          <w:sz w:val="24"/>
          <w:szCs w:val="24"/>
          <w:vertAlign w:val="subscript"/>
          <w:lang w:val="en-US"/>
        </w:rPr>
        <w:t>s</w:t>
      </w:r>
      <w:r w:rsidR="00661B5D" w:rsidRPr="006479DA">
        <w:rPr>
          <w:rFonts w:ascii="Book Antiqua" w:hAnsi="Book Antiqua"/>
          <w:sz w:val="24"/>
          <w:szCs w:val="24"/>
          <w:lang w:val="en-US"/>
        </w:rPr>
        <w:t>)</w:t>
      </w:r>
      <w:r w:rsidR="009A79DA" w:rsidRPr="006479DA">
        <w:rPr>
          <w:rFonts w:ascii="Book Antiqua" w:hAnsi="Book Antiqua"/>
          <w:sz w:val="24"/>
          <w:szCs w:val="24"/>
          <w:lang w:val="en-US"/>
        </w:rPr>
        <w:t xml:space="preserve"> was performed to identify correlations between IP index and continuous or </w:t>
      </w:r>
      <w:r w:rsidR="005A0E74" w:rsidRPr="006479DA">
        <w:rPr>
          <w:rFonts w:ascii="Book Antiqua" w:hAnsi="Book Antiqua"/>
          <w:sz w:val="24"/>
          <w:szCs w:val="24"/>
          <w:lang w:val="en-US"/>
        </w:rPr>
        <w:t xml:space="preserve">ordinal </w:t>
      </w:r>
      <w:r w:rsidR="009A79DA" w:rsidRPr="006479DA">
        <w:rPr>
          <w:rFonts w:ascii="Book Antiqua" w:hAnsi="Book Antiqua"/>
          <w:sz w:val="24"/>
          <w:szCs w:val="24"/>
          <w:lang w:val="en-US"/>
        </w:rPr>
        <w:t>variables</w:t>
      </w:r>
      <w:r w:rsidR="00CE4D19" w:rsidRPr="006479DA">
        <w:rPr>
          <w:rFonts w:ascii="Book Antiqua" w:hAnsi="Book Antiqua"/>
          <w:sz w:val="24"/>
          <w:szCs w:val="24"/>
          <w:lang w:val="en-US"/>
        </w:rPr>
        <w:t xml:space="preserve">. </w:t>
      </w:r>
      <w:r w:rsidR="005A0E74" w:rsidRPr="006479DA">
        <w:rPr>
          <w:rFonts w:ascii="Book Antiqua" w:hAnsi="Book Antiqua"/>
          <w:sz w:val="24"/>
          <w:szCs w:val="24"/>
          <w:lang w:val="en-US"/>
        </w:rPr>
        <w:t xml:space="preserve">To compare two groups we used Wilcoxon–Mann–Whitney tests for continuous and Fisher's exact test for nominal variables. Time-to-event variables were displayed by the Kaplan Meier method and groups were contrasted by </w:t>
      </w:r>
      <w:r w:rsidR="005A0E74" w:rsidRPr="006479DA">
        <w:rPr>
          <w:rFonts w:ascii="Book Antiqua" w:eastAsia="Calibri" w:hAnsi="Book Antiqua"/>
          <w:sz w:val="24"/>
          <w:szCs w:val="24"/>
          <w:lang w:val="en-US" w:eastAsia="de-DE"/>
        </w:rPr>
        <w:t>Log-rank tests</w:t>
      </w:r>
      <w:r w:rsidR="005A0E74" w:rsidRPr="006479DA">
        <w:rPr>
          <w:rFonts w:ascii="Book Antiqua" w:hAnsi="Book Antiqua"/>
          <w:sz w:val="24"/>
          <w:szCs w:val="24"/>
          <w:lang w:val="en-US"/>
        </w:rPr>
        <w:t xml:space="preserve"> and Cox regression analyses. Continuous variables were assessed as linear and dichotomized predictors</w:t>
      </w:r>
      <w:r w:rsidR="008C33FB" w:rsidRPr="006479DA">
        <w:rPr>
          <w:rFonts w:ascii="Book Antiqua" w:hAnsi="Book Antiqua"/>
          <w:sz w:val="24"/>
          <w:szCs w:val="24"/>
          <w:lang w:val="en-US"/>
        </w:rPr>
        <w:t xml:space="preserve"> </w:t>
      </w:r>
      <w:r w:rsidR="00850451" w:rsidRPr="006479DA">
        <w:rPr>
          <w:rFonts w:ascii="Book Antiqua" w:hAnsi="Book Antiqua"/>
          <w:sz w:val="24"/>
          <w:szCs w:val="24"/>
          <w:lang w:val="en-US"/>
        </w:rPr>
        <w:t xml:space="preserve">according to the maximum Youden index in receiver operating characteristics (ROC) analysis or presented as quantiles if not assessable in this way. </w:t>
      </w:r>
      <w:r w:rsidR="005A0E74" w:rsidRPr="006479DA">
        <w:rPr>
          <w:rFonts w:ascii="Book Antiqua" w:hAnsi="Book Antiqua"/>
          <w:sz w:val="24"/>
          <w:szCs w:val="24"/>
          <w:lang w:val="en-US"/>
        </w:rPr>
        <w:t xml:space="preserve">Multiple stepwise-forward Cox regression analysis was performed using dichotomized variables, which met </w:t>
      </w:r>
      <w:r w:rsidR="005A0E74" w:rsidRPr="00C509DD">
        <w:rPr>
          <w:rFonts w:ascii="Book Antiqua" w:eastAsia="Arial Unicode MS" w:hAnsi="Book Antiqua"/>
          <w:i/>
          <w:caps/>
          <w:sz w:val="24"/>
          <w:szCs w:val="24"/>
          <w:lang w:val="en-US" w:eastAsia="de-DE"/>
        </w:rPr>
        <w:t>p</w:t>
      </w:r>
      <w:r w:rsidR="005A0E74" w:rsidRPr="006479DA">
        <w:rPr>
          <w:rFonts w:ascii="Book Antiqua" w:hAnsi="Book Antiqua"/>
          <w:sz w:val="24"/>
          <w:szCs w:val="24"/>
          <w:lang w:val="en-US"/>
        </w:rPr>
        <w:t xml:space="preserve"> &lt;</w:t>
      </w:r>
      <w:r w:rsidR="00C509DD">
        <w:rPr>
          <w:rFonts w:ascii="Book Antiqua" w:eastAsia="SimSun" w:hAnsi="Book Antiqua" w:hint="eastAsia"/>
          <w:sz w:val="24"/>
          <w:szCs w:val="24"/>
          <w:lang w:val="en-US" w:eastAsia="zh-CN"/>
        </w:rPr>
        <w:t xml:space="preserve"> </w:t>
      </w:r>
      <w:r w:rsidR="005A0E74" w:rsidRPr="006479DA">
        <w:rPr>
          <w:rFonts w:ascii="Book Antiqua" w:hAnsi="Book Antiqua"/>
          <w:sz w:val="24"/>
          <w:szCs w:val="24"/>
          <w:lang w:val="en-US"/>
        </w:rPr>
        <w:t xml:space="preserve">0.05 in univariate analysis and which were available for the total cohort. We applied a two-sided significance level </w:t>
      </w:r>
      <w:r w:rsidR="005A0E74" w:rsidRPr="00C509DD">
        <w:rPr>
          <w:rFonts w:ascii="Book Antiqua" w:eastAsia="Arial Unicode MS" w:hAnsi="Book Antiqua"/>
          <w:i/>
          <w:caps/>
          <w:sz w:val="24"/>
          <w:szCs w:val="24"/>
          <w:lang w:val="en-US" w:eastAsia="de-DE"/>
        </w:rPr>
        <w:t>p</w:t>
      </w:r>
      <w:r w:rsidR="005A0E74" w:rsidRPr="00C509DD">
        <w:rPr>
          <w:rFonts w:ascii="Book Antiqua" w:hAnsi="Book Antiqua"/>
          <w:caps/>
          <w:sz w:val="24"/>
          <w:szCs w:val="24"/>
          <w:lang w:val="en-US"/>
        </w:rPr>
        <w:t xml:space="preserve"> </w:t>
      </w:r>
      <w:r w:rsidR="005A0E74" w:rsidRPr="006479DA">
        <w:rPr>
          <w:rFonts w:ascii="Book Antiqua" w:hAnsi="Book Antiqua"/>
          <w:sz w:val="24"/>
          <w:szCs w:val="24"/>
          <w:lang w:val="en-US"/>
        </w:rPr>
        <w:t>=</w:t>
      </w:r>
      <w:r w:rsidR="00C509DD">
        <w:rPr>
          <w:rFonts w:ascii="Book Antiqua" w:eastAsia="SimSun" w:hAnsi="Book Antiqua" w:hint="eastAsia"/>
          <w:sz w:val="24"/>
          <w:szCs w:val="24"/>
          <w:lang w:val="en-US" w:eastAsia="zh-CN"/>
        </w:rPr>
        <w:t xml:space="preserve"> </w:t>
      </w:r>
      <w:r w:rsidR="005A0E74" w:rsidRPr="006479DA">
        <w:rPr>
          <w:rFonts w:ascii="Book Antiqua" w:hAnsi="Book Antiqua"/>
          <w:sz w:val="24"/>
          <w:szCs w:val="24"/>
          <w:lang w:val="en-US"/>
        </w:rPr>
        <w:t xml:space="preserve">0.05 and did not correct for multiple testing due to the limited statistical power of this explorative observational study. </w:t>
      </w:r>
    </w:p>
    <w:p w14:paraId="7E818C6D" w14:textId="77777777" w:rsidR="00C509DD" w:rsidRDefault="00C509DD" w:rsidP="00265BAF">
      <w:pPr>
        <w:spacing w:after="0" w:line="360" w:lineRule="auto"/>
        <w:jc w:val="both"/>
        <w:rPr>
          <w:rFonts w:ascii="Book Antiqua" w:eastAsia="SimSun" w:hAnsi="Book Antiqua"/>
          <w:sz w:val="24"/>
          <w:szCs w:val="24"/>
          <w:lang w:val="en-US" w:eastAsia="zh-CN"/>
        </w:rPr>
      </w:pPr>
    </w:p>
    <w:p w14:paraId="3018DA48" w14:textId="25DBDB87" w:rsidR="009A7F1F" w:rsidRPr="00C509DD" w:rsidRDefault="002A4B64" w:rsidP="00265BAF">
      <w:pPr>
        <w:spacing w:after="0" w:line="360" w:lineRule="auto"/>
        <w:jc w:val="both"/>
        <w:rPr>
          <w:rFonts w:ascii="Book Antiqua" w:hAnsi="Book Antiqua"/>
          <w:b/>
          <w:sz w:val="24"/>
          <w:szCs w:val="24"/>
          <w:lang w:val="en-US"/>
        </w:rPr>
      </w:pPr>
      <w:r w:rsidRPr="00C509DD">
        <w:rPr>
          <w:rFonts w:ascii="Book Antiqua" w:hAnsi="Book Antiqua"/>
          <w:b/>
          <w:sz w:val="24"/>
          <w:szCs w:val="24"/>
          <w:lang w:val="en-US" w:eastAsia="de-DE"/>
        </w:rPr>
        <w:t>RESULTS</w:t>
      </w:r>
    </w:p>
    <w:p w14:paraId="447AD53F" w14:textId="77777777" w:rsidR="009A7F1F" w:rsidRPr="006479DA" w:rsidRDefault="009A7F1F" w:rsidP="00265BAF">
      <w:pPr>
        <w:spacing w:after="0" w:line="360" w:lineRule="auto"/>
        <w:jc w:val="both"/>
        <w:rPr>
          <w:rFonts w:ascii="Book Antiqua" w:eastAsia="Arial Unicode MS" w:hAnsi="Book Antiqua"/>
          <w:b/>
          <w:i/>
          <w:sz w:val="24"/>
          <w:szCs w:val="24"/>
          <w:lang w:val="en-US" w:eastAsia="de-DE"/>
        </w:rPr>
      </w:pPr>
      <w:r w:rsidRPr="006479DA">
        <w:rPr>
          <w:rFonts w:ascii="Book Antiqua" w:eastAsia="Arial Unicode MS" w:hAnsi="Book Antiqua"/>
          <w:b/>
          <w:i/>
          <w:sz w:val="24"/>
          <w:szCs w:val="24"/>
          <w:lang w:val="en-US" w:eastAsia="de-DE"/>
        </w:rPr>
        <w:t>Baseline characteristics</w:t>
      </w:r>
    </w:p>
    <w:p w14:paraId="739124EC" w14:textId="15B91F5F" w:rsidR="00A811D0" w:rsidRPr="006479DA" w:rsidRDefault="00D713F1" w:rsidP="00265BAF">
      <w:pPr>
        <w:spacing w:after="0" w:line="360" w:lineRule="auto"/>
        <w:jc w:val="both"/>
        <w:rPr>
          <w:rFonts w:ascii="Book Antiqua" w:eastAsia="Arial Unicode MS" w:hAnsi="Book Antiqua"/>
          <w:sz w:val="24"/>
          <w:szCs w:val="24"/>
          <w:lang w:val="en-US" w:eastAsia="de-DE"/>
        </w:rPr>
      </w:pPr>
      <w:r w:rsidRPr="006479DA">
        <w:rPr>
          <w:rFonts w:ascii="Book Antiqua" w:eastAsia="Arial Unicode MS" w:hAnsi="Book Antiqua"/>
          <w:sz w:val="24"/>
          <w:szCs w:val="24"/>
          <w:lang w:val="en-US" w:eastAsia="de-DE"/>
        </w:rPr>
        <w:t xml:space="preserve">Fourty-six </w:t>
      </w:r>
      <w:r w:rsidR="00001477" w:rsidRPr="006479DA">
        <w:rPr>
          <w:rFonts w:ascii="Book Antiqua" w:eastAsia="Arial Unicode MS" w:hAnsi="Book Antiqua"/>
          <w:sz w:val="24"/>
          <w:szCs w:val="24"/>
          <w:lang w:val="en-US" w:eastAsia="de-DE"/>
        </w:rPr>
        <w:t>patients with liver</w:t>
      </w:r>
      <w:r w:rsidR="00E5363C" w:rsidRPr="006479DA">
        <w:rPr>
          <w:rFonts w:ascii="Book Antiqua" w:eastAsia="Arial Unicode MS" w:hAnsi="Book Antiqua"/>
          <w:sz w:val="24"/>
          <w:szCs w:val="24"/>
          <w:lang w:val="en-US" w:eastAsia="de-DE"/>
        </w:rPr>
        <w:t xml:space="preserve"> cirrhosis were </w:t>
      </w:r>
      <w:r w:rsidRPr="006479DA">
        <w:rPr>
          <w:rFonts w:ascii="Book Antiqua" w:eastAsia="Arial Unicode MS" w:hAnsi="Book Antiqua"/>
          <w:sz w:val="24"/>
          <w:szCs w:val="24"/>
          <w:lang w:val="en-US" w:eastAsia="de-DE"/>
        </w:rPr>
        <w:t>included. Sixty-one percent</w:t>
      </w:r>
      <w:r w:rsidR="00001477" w:rsidRPr="006479DA">
        <w:rPr>
          <w:rFonts w:ascii="Book Antiqua" w:eastAsia="Arial Unicode MS" w:hAnsi="Book Antiqua"/>
          <w:sz w:val="24"/>
          <w:szCs w:val="24"/>
          <w:lang w:val="en-US" w:eastAsia="de-DE"/>
        </w:rPr>
        <w:t xml:space="preserve"> </w:t>
      </w:r>
      <w:r w:rsidR="007758C7" w:rsidRPr="006479DA">
        <w:rPr>
          <w:rFonts w:ascii="Book Antiqua" w:eastAsia="Arial Unicode MS" w:hAnsi="Book Antiqua"/>
          <w:sz w:val="24"/>
          <w:szCs w:val="24"/>
          <w:lang w:val="en-US" w:eastAsia="de-DE"/>
        </w:rPr>
        <w:t xml:space="preserve">(28/46) </w:t>
      </w:r>
      <w:r w:rsidRPr="006479DA">
        <w:rPr>
          <w:rFonts w:ascii="Book Antiqua" w:eastAsia="Arial Unicode MS" w:hAnsi="Book Antiqua"/>
          <w:sz w:val="24"/>
          <w:szCs w:val="24"/>
          <w:lang w:val="en-US" w:eastAsia="de-DE"/>
        </w:rPr>
        <w:t xml:space="preserve">were </w:t>
      </w:r>
      <w:r w:rsidR="00001477" w:rsidRPr="006479DA">
        <w:rPr>
          <w:rFonts w:ascii="Book Antiqua" w:eastAsia="Arial Unicode MS" w:hAnsi="Book Antiqua"/>
          <w:sz w:val="24"/>
          <w:szCs w:val="24"/>
          <w:lang w:val="en-US" w:eastAsia="de-DE"/>
        </w:rPr>
        <w:t>male</w:t>
      </w:r>
      <w:r w:rsidRPr="006479DA">
        <w:rPr>
          <w:rFonts w:ascii="Book Antiqua" w:eastAsia="Arial Unicode MS" w:hAnsi="Book Antiqua"/>
          <w:sz w:val="24"/>
          <w:szCs w:val="24"/>
          <w:lang w:val="en-US" w:eastAsia="de-DE"/>
        </w:rPr>
        <w:t xml:space="preserve">.  The median age was </w:t>
      </w:r>
      <w:r w:rsidR="00824E7E" w:rsidRPr="006479DA">
        <w:rPr>
          <w:rFonts w:ascii="Book Antiqua" w:eastAsia="Arial Unicode MS" w:hAnsi="Book Antiqua"/>
          <w:sz w:val="24"/>
          <w:szCs w:val="24"/>
          <w:lang w:val="en-US" w:eastAsia="de-DE"/>
        </w:rPr>
        <w:t>59</w:t>
      </w:r>
      <w:r w:rsidRPr="006479DA">
        <w:rPr>
          <w:rFonts w:ascii="Book Antiqua" w:eastAsia="Arial Unicode MS" w:hAnsi="Book Antiqua"/>
          <w:sz w:val="24"/>
          <w:szCs w:val="24"/>
          <w:lang w:val="en-US" w:eastAsia="de-DE"/>
        </w:rPr>
        <w:t xml:space="preserve"> years</w:t>
      </w:r>
      <w:r w:rsidR="00824E7E" w:rsidRPr="006479DA">
        <w:rPr>
          <w:rFonts w:ascii="Book Antiqua" w:eastAsia="Arial Unicode MS" w:hAnsi="Book Antiqua"/>
          <w:sz w:val="24"/>
          <w:szCs w:val="24"/>
          <w:lang w:val="en-US" w:eastAsia="de-DE"/>
        </w:rPr>
        <w:t xml:space="preserve"> </w:t>
      </w:r>
      <w:r w:rsidR="00971816" w:rsidRPr="006479DA">
        <w:rPr>
          <w:rFonts w:ascii="Book Antiqua" w:eastAsia="Arial Unicode MS" w:hAnsi="Book Antiqua"/>
          <w:sz w:val="24"/>
          <w:szCs w:val="24"/>
          <w:lang w:val="en-US" w:eastAsia="de-DE"/>
        </w:rPr>
        <w:t>(</w:t>
      </w:r>
      <w:r w:rsidRPr="006479DA">
        <w:rPr>
          <w:rFonts w:ascii="Book Antiqua" w:eastAsia="Arial Unicode MS" w:hAnsi="Book Antiqua"/>
          <w:sz w:val="24"/>
          <w:szCs w:val="24"/>
          <w:lang w:val="en-US" w:eastAsia="de-DE"/>
        </w:rPr>
        <w:t xml:space="preserve">range: </w:t>
      </w:r>
      <w:r w:rsidR="00C509DD">
        <w:rPr>
          <w:rFonts w:ascii="Book Antiqua" w:eastAsia="Arial Unicode MS" w:hAnsi="Book Antiqua"/>
          <w:sz w:val="24"/>
          <w:szCs w:val="24"/>
          <w:lang w:val="en-US" w:eastAsia="de-DE"/>
        </w:rPr>
        <w:t>42-</w:t>
      </w:r>
      <w:r w:rsidR="00971816" w:rsidRPr="006479DA">
        <w:rPr>
          <w:rFonts w:ascii="Book Antiqua" w:eastAsia="Arial Unicode MS" w:hAnsi="Book Antiqua"/>
          <w:sz w:val="24"/>
          <w:szCs w:val="24"/>
          <w:lang w:val="en-US" w:eastAsia="de-DE"/>
        </w:rPr>
        <w:t>81)</w:t>
      </w:r>
      <w:r w:rsidRPr="006479DA">
        <w:rPr>
          <w:rFonts w:ascii="Book Antiqua" w:eastAsia="Arial Unicode MS" w:hAnsi="Book Antiqua"/>
          <w:sz w:val="24"/>
          <w:szCs w:val="24"/>
          <w:lang w:val="en-US" w:eastAsia="de-DE"/>
        </w:rPr>
        <w:t xml:space="preserve"> and t</w:t>
      </w:r>
      <w:r w:rsidR="00001477" w:rsidRPr="006479DA">
        <w:rPr>
          <w:rFonts w:ascii="Book Antiqua" w:eastAsia="Arial Unicode MS" w:hAnsi="Book Antiqua"/>
          <w:sz w:val="24"/>
          <w:szCs w:val="24"/>
          <w:lang w:val="en-US" w:eastAsia="de-DE"/>
        </w:rPr>
        <w:t xml:space="preserve">he </w:t>
      </w:r>
      <w:r w:rsidR="00971816" w:rsidRPr="006479DA">
        <w:rPr>
          <w:rFonts w:ascii="Book Antiqua" w:eastAsia="Arial Unicode MS" w:hAnsi="Book Antiqua"/>
          <w:sz w:val="24"/>
          <w:szCs w:val="24"/>
          <w:lang w:val="en-US" w:eastAsia="de-DE"/>
        </w:rPr>
        <w:t xml:space="preserve">majority of patients had </w:t>
      </w:r>
      <w:r w:rsidR="00001477" w:rsidRPr="006479DA">
        <w:rPr>
          <w:rFonts w:ascii="Book Antiqua" w:eastAsia="Arial Unicode MS" w:hAnsi="Book Antiqua"/>
          <w:sz w:val="24"/>
          <w:szCs w:val="24"/>
          <w:lang w:val="en-US" w:eastAsia="de-DE"/>
        </w:rPr>
        <w:t>alcoholic</w:t>
      </w:r>
      <w:r w:rsidR="00971816" w:rsidRPr="006479DA">
        <w:rPr>
          <w:rFonts w:ascii="Book Antiqua" w:eastAsia="Arial Unicode MS" w:hAnsi="Book Antiqua"/>
          <w:sz w:val="24"/>
          <w:szCs w:val="24"/>
          <w:lang w:val="en-US" w:eastAsia="de-DE"/>
        </w:rPr>
        <w:t xml:space="preserve"> liver disease</w:t>
      </w:r>
      <w:r w:rsidR="00AC3909" w:rsidRPr="006479DA">
        <w:rPr>
          <w:rFonts w:ascii="Book Antiqua" w:eastAsia="Arial Unicode MS" w:hAnsi="Book Antiqua"/>
          <w:sz w:val="24"/>
          <w:szCs w:val="24"/>
          <w:lang w:val="en-US" w:eastAsia="de-DE"/>
        </w:rPr>
        <w:t xml:space="preserve"> (72%</w:t>
      </w:r>
      <w:r w:rsidR="00971816" w:rsidRPr="006479DA">
        <w:rPr>
          <w:rFonts w:ascii="Book Antiqua" w:eastAsia="Arial Unicode MS" w:hAnsi="Book Antiqua"/>
          <w:sz w:val="24"/>
          <w:szCs w:val="24"/>
          <w:lang w:val="en-US" w:eastAsia="de-DE"/>
        </w:rPr>
        <w:t>, 33/46</w:t>
      </w:r>
      <w:r w:rsidR="00AC3909" w:rsidRPr="006479DA">
        <w:rPr>
          <w:rFonts w:ascii="Book Antiqua" w:eastAsia="Arial Unicode MS" w:hAnsi="Book Antiqua"/>
          <w:sz w:val="24"/>
          <w:szCs w:val="24"/>
          <w:lang w:val="en-US" w:eastAsia="de-DE"/>
        </w:rPr>
        <w:t>)</w:t>
      </w:r>
      <w:r w:rsidRPr="006479DA">
        <w:rPr>
          <w:rFonts w:ascii="Book Antiqua" w:eastAsia="Arial Unicode MS" w:hAnsi="Book Antiqua"/>
          <w:sz w:val="24"/>
          <w:szCs w:val="24"/>
          <w:lang w:val="en-US" w:eastAsia="de-DE"/>
        </w:rPr>
        <w:t xml:space="preserve"> </w:t>
      </w:r>
      <w:r w:rsidR="00A811D0" w:rsidRPr="006479DA">
        <w:rPr>
          <w:rFonts w:ascii="Book Antiqua" w:eastAsia="Arial Unicode MS" w:hAnsi="Book Antiqua"/>
          <w:sz w:val="24"/>
          <w:szCs w:val="24"/>
          <w:lang w:val="en-US" w:eastAsia="de-DE"/>
        </w:rPr>
        <w:t xml:space="preserve">with advanced liver disease. </w:t>
      </w:r>
      <w:r w:rsidR="00E5363C" w:rsidRPr="006479DA">
        <w:rPr>
          <w:rFonts w:ascii="Book Antiqua" w:eastAsia="Arial Unicode MS" w:hAnsi="Book Antiqua"/>
          <w:sz w:val="24"/>
          <w:szCs w:val="24"/>
          <w:lang w:val="en-US" w:eastAsia="de-DE"/>
        </w:rPr>
        <w:t xml:space="preserve">The median </w:t>
      </w:r>
      <w:r w:rsidR="00865659" w:rsidRPr="006479DA">
        <w:rPr>
          <w:rFonts w:ascii="Book Antiqua" w:eastAsia="Arial Unicode MS" w:hAnsi="Book Antiqua"/>
          <w:sz w:val="24"/>
          <w:szCs w:val="24"/>
          <w:lang w:val="en-US" w:eastAsia="de-DE"/>
        </w:rPr>
        <w:t>Child-Pugh s</w:t>
      </w:r>
      <w:r w:rsidR="00971816" w:rsidRPr="006479DA">
        <w:rPr>
          <w:rFonts w:ascii="Book Antiqua" w:eastAsia="Arial Unicode MS" w:hAnsi="Book Antiqua"/>
          <w:sz w:val="24"/>
          <w:szCs w:val="24"/>
          <w:lang w:val="en-US" w:eastAsia="de-DE"/>
        </w:rPr>
        <w:t>core was 9 (</w:t>
      </w:r>
      <w:r w:rsidR="00B85881" w:rsidRPr="006479DA">
        <w:rPr>
          <w:rFonts w:ascii="Book Antiqua" w:eastAsia="Arial Unicode MS" w:hAnsi="Book Antiqua"/>
          <w:sz w:val="24"/>
          <w:szCs w:val="24"/>
          <w:lang w:val="en-US" w:eastAsia="de-DE"/>
        </w:rPr>
        <w:t xml:space="preserve">range: </w:t>
      </w:r>
      <w:r w:rsidR="00C509DD">
        <w:rPr>
          <w:rFonts w:ascii="Book Antiqua" w:eastAsia="Arial Unicode MS" w:hAnsi="Book Antiqua"/>
          <w:sz w:val="24"/>
          <w:szCs w:val="24"/>
          <w:lang w:val="en-US" w:eastAsia="de-DE"/>
        </w:rPr>
        <w:t>5-</w:t>
      </w:r>
      <w:r w:rsidR="00E5363C" w:rsidRPr="006479DA">
        <w:rPr>
          <w:rFonts w:ascii="Book Antiqua" w:eastAsia="Arial Unicode MS" w:hAnsi="Book Antiqua"/>
          <w:sz w:val="24"/>
          <w:szCs w:val="24"/>
          <w:lang w:val="en-US" w:eastAsia="de-DE"/>
        </w:rPr>
        <w:t xml:space="preserve">14), the </w:t>
      </w:r>
      <w:r w:rsidR="00B85881" w:rsidRPr="006479DA">
        <w:rPr>
          <w:rFonts w:ascii="Book Antiqua" w:eastAsia="Arial Unicode MS" w:hAnsi="Book Antiqua"/>
          <w:sz w:val="24"/>
          <w:szCs w:val="24"/>
          <w:lang w:val="en-US" w:eastAsia="de-DE"/>
        </w:rPr>
        <w:t xml:space="preserve">median </w:t>
      </w:r>
      <w:r w:rsidR="00E5363C" w:rsidRPr="006479DA">
        <w:rPr>
          <w:rFonts w:ascii="Book Antiqua" w:eastAsia="Arial Unicode MS" w:hAnsi="Book Antiqua"/>
          <w:sz w:val="24"/>
          <w:szCs w:val="24"/>
          <w:lang w:val="en-US" w:eastAsia="de-DE"/>
        </w:rPr>
        <w:t>MELD</w:t>
      </w:r>
      <w:r w:rsidR="00B85881" w:rsidRPr="006479DA">
        <w:rPr>
          <w:rFonts w:ascii="Book Antiqua" w:eastAsia="Arial Unicode MS" w:hAnsi="Book Antiqua"/>
          <w:sz w:val="24"/>
          <w:szCs w:val="24"/>
          <w:lang w:val="en-US" w:eastAsia="de-DE"/>
        </w:rPr>
        <w:t xml:space="preserve"> s</w:t>
      </w:r>
      <w:r w:rsidR="00E5363C" w:rsidRPr="006479DA">
        <w:rPr>
          <w:rFonts w:ascii="Book Antiqua" w:eastAsia="Arial Unicode MS" w:hAnsi="Book Antiqua"/>
          <w:sz w:val="24"/>
          <w:szCs w:val="24"/>
          <w:lang w:val="en-US" w:eastAsia="de-DE"/>
        </w:rPr>
        <w:t>core</w:t>
      </w:r>
      <w:r w:rsidR="00971816" w:rsidRPr="006479DA">
        <w:rPr>
          <w:rFonts w:ascii="Book Antiqua" w:eastAsia="Arial Unicode MS" w:hAnsi="Book Antiqua"/>
          <w:sz w:val="24"/>
          <w:szCs w:val="24"/>
          <w:lang w:val="en-US" w:eastAsia="de-DE"/>
        </w:rPr>
        <w:t xml:space="preserve"> 15 (</w:t>
      </w:r>
      <w:r w:rsidR="00B85881" w:rsidRPr="006479DA">
        <w:rPr>
          <w:rFonts w:ascii="Book Antiqua" w:eastAsia="Arial Unicode MS" w:hAnsi="Book Antiqua"/>
          <w:sz w:val="24"/>
          <w:szCs w:val="24"/>
          <w:lang w:val="en-US" w:eastAsia="de-DE"/>
        </w:rPr>
        <w:t xml:space="preserve">range: </w:t>
      </w:r>
      <w:r w:rsidR="00052B92" w:rsidRPr="006479DA">
        <w:rPr>
          <w:rFonts w:ascii="Book Antiqua" w:eastAsia="Arial Unicode MS" w:hAnsi="Book Antiqua"/>
          <w:sz w:val="24"/>
          <w:szCs w:val="24"/>
          <w:lang w:val="en-US" w:eastAsia="de-DE"/>
        </w:rPr>
        <w:t>6</w:t>
      </w:r>
      <w:r w:rsidR="00971816" w:rsidRPr="006479DA">
        <w:rPr>
          <w:rFonts w:ascii="Book Antiqua" w:eastAsia="Arial Unicode MS" w:hAnsi="Book Antiqua"/>
          <w:sz w:val="24"/>
          <w:szCs w:val="24"/>
          <w:lang w:val="en-US" w:eastAsia="de-DE"/>
        </w:rPr>
        <w:t>-</w:t>
      </w:r>
      <w:r w:rsidR="00824E7E" w:rsidRPr="006479DA">
        <w:rPr>
          <w:rFonts w:ascii="Book Antiqua" w:eastAsia="Arial Unicode MS" w:hAnsi="Book Antiqua"/>
          <w:sz w:val="24"/>
          <w:szCs w:val="24"/>
          <w:lang w:val="en-US" w:eastAsia="de-DE"/>
        </w:rPr>
        <w:t xml:space="preserve">27). </w:t>
      </w:r>
      <w:r w:rsidR="00B85881" w:rsidRPr="006479DA">
        <w:rPr>
          <w:rFonts w:ascii="Book Antiqua" w:eastAsia="Arial Unicode MS" w:hAnsi="Book Antiqua"/>
          <w:sz w:val="24"/>
          <w:szCs w:val="24"/>
          <w:lang w:val="en-US" w:eastAsia="de-DE"/>
        </w:rPr>
        <w:t xml:space="preserve">Frequent comorbidities were </w:t>
      </w:r>
      <w:r w:rsidR="00824E7E" w:rsidRPr="006479DA">
        <w:rPr>
          <w:rFonts w:ascii="Book Antiqua" w:eastAsia="Arial Unicode MS" w:hAnsi="Book Antiqua"/>
          <w:sz w:val="24"/>
          <w:szCs w:val="24"/>
          <w:lang w:val="en-US" w:eastAsia="de-DE"/>
        </w:rPr>
        <w:t>diabetes (22%</w:t>
      </w:r>
      <w:r w:rsidR="00971816" w:rsidRPr="006479DA">
        <w:rPr>
          <w:rFonts w:ascii="Book Antiqua" w:eastAsia="Arial Unicode MS" w:hAnsi="Book Antiqua"/>
          <w:sz w:val="24"/>
          <w:szCs w:val="24"/>
          <w:lang w:val="en-US" w:eastAsia="de-DE"/>
        </w:rPr>
        <w:t>, 10/46</w:t>
      </w:r>
      <w:r w:rsidR="00824E7E" w:rsidRPr="006479DA">
        <w:rPr>
          <w:rFonts w:ascii="Book Antiqua" w:eastAsia="Arial Unicode MS" w:hAnsi="Book Antiqua"/>
          <w:sz w:val="24"/>
          <w:szCs w:val="24"/>
          <w:lang w:val="en-US" w:eastAsia="de-DE"/>
        </w:rPr>
        <w:t>)</w:t>
      </w:r>
      <w:r w:rsidR="00B85881" w:rsidRPr="006479DA">
        <w:rPr>
          <w:rFonts w:ascii="Book Antiqua" w:eastAsia="Arial Unicode MS" w:hAnsi="Book Antiqua"/>
          <w:sz w:val="24"/>
          <w:szCs w:val="24"/>
          <w:lang w:val="en-US" w:eastAsia="de-DE"/>
        </w:rPr>
        <w:t xml:space="preserve"> and</w:t>
      </w:r>
      <w:r w:rsidR="00824E7E" w:rsidRPr="006479DA">
        <w:rPr>
          <w:rFonts w:ascii="Book Antiqua" w:eastAsia="Arial Unicode MS" w:hAnsi="Book Antiqua"/>
          <w:sz w:val="24"/>
          <w:szCs w:val="24"/>
          <w:lang w:val="en-US" w:eastAsia="de-DE"/>
        </w:rPr>
        <w:t xml:space="preserve"> </w:t>
      </w:r>
      <w:r w:rsidR="00B85881" w:rsidRPr="006479DA">
        <w:rPr>
          <w:rFonts w:ascii="Book Antiqua" w:eastAsia="Arial Unicode MS" w:hAnsi="Book Antiqua"/>
          <w:sz w:val="24"/>
          <w:szCs w:val="24"/>
          <w:lang w:val="en-US" w:eastAsia="de-DE"/>
        </w:rPr>
        <w:t xml:space="preserve">hepatocellular carcinoma </w:t>
      </w:r>
      <w:r w:rsidR="00824E7E" w:rsidRPr="006479DA">
        <w:rPr>
          <w:rFonts w:ascii="Book Antiqua" w:eastAsia="Arial Unicode MS" w:hAnsi="Book Antiqua"/>
          <w:sz w:val="24"/>
          <w:szCs w:val="24"/>
          <w:lang w:val="en-US" w:eastAsia="de-DE"/>
        </w:rPr>
        <w:t>(20%</w:t>
      </w:r>
      <w:r w:rsidR="00971816" w:rsidRPr="006479DA">
        <w:rPr>
          <w:rFonts w:ascii="Book Antiqua" w:eastAsia="Arial Unicode MS" w:hAnsi="Book Antiqua"/>
          <w:sz w:val="24"/>
          <w:szCs w:val="24"/>
          <w:lang w:val="en-US" w:eastAsia="de-DE"/>
        </w:rPr>
        <w:t>, 9/46</w:t>
      </w:r>
      <w:r w:rsidR="00824E7E" w:rsidRPr="006479DA">
        <w:rPr>
          <w:rFonts w:ascii="Book Antiqua" w:eastAsia="Arial Unicode MS" w:hAnsi="Book Antiqua"/>
          <w:sz w:val="24"/>
          <w:szCs w:val="24"/>
          <w:lang w:val="en-US" w:eastAsia="de-DE"/>
        </w:rPr>
        <w:t>)</w:t>
      </w:r>
      <w:r w:rsidR="00865659" w:rsidRPr="006479DA">
        <w:rPr>
          <w:rFonts w:ascii="Book Antiqua" w:eastAsia="Arial Unicode MS" w:hAnsi="Book Antiqua"/>
          <w:sz w:val="24"/>
          <w:szCs w:val="24"/>
          <w:lang w:val="en-US" w:eastAsia="de-DE"/>
        </w:rPr>
        <w:t xml:space="preserve"> </w:t>
      </w:r>
      <w:r w:rsidR="005C55FB" w:rsidRPr="00C509DD">
        <w:rPr>
          <w:rFonts w:ascii="Book Antiqua" w:eastAsia="Arial Unicode MS" w:hAnsi="Book Antiqua"/>
          <w:sz w:val="24"/>
          <w:szCs w:val="24"/>
          <w:lang w:val="en-US" w:eastAsia="de-DE"/>
        </w:rPr>
        <w:t xml:space="preserve">(Table 1). </w:t>
      </w:r>
      <w:r w:rsidR="00B85881" w:rsidRPr="006479DA">
        <w:rPr>
          <w:rFonts w:ascii="Book Antiqua" w:eastAsia="Arial Unicode MS" w:hAnsi="Book Antiqua"/>
          <w:sz w:val="24"/>
          <w:szCs w:val="24"/>
          <w:lang w:val="en-US" w:eastAsia="de-DE"/>
        </w:rPr>
        <w:t xml:space="preserve">Among the 16 </w:t>
      </w:r>
      <w:r w:rsidR="00824E7E" w:rsidRPr="006479DA">
        <w:rPr>
          <w:rFonts w:ascii="Book Antiqua" w:eastAsia="Arial Unicode MS" w:hAnsi="Book Antiqua"/>
          <w:sz w:val="24"/>
          <w:szCs w:val="24"/>
          <w:lang w:val="en-US" w:eastAsia="de-DE"/>
        </w:rPr>
        <w:t xml:space="preserve">controls included, </w:t>
      </w:r>
      <w:r w:rsidR="00865659" w:rsidRPr="006479DA">
        <w:rPr>
          <w:rFonts w:ascii="Book Antiqua" w:eastAsia="Arial Unicode MS" w:hAnsi="Book Antiqua"/>
          <w:sz w:val="24"/>
          <w:szCs w:val="24"/>
          <w:lang w:val="en-US" w:eastAsia="de-DE"/>
        </w:rPr>
        <w:t>44% (</w:t>
      </w:r>
      <w:r w:rsidR="00B85881" w:rsidRPr="006479DA">
        <w:rPr>
          <w:rFonts w:ascii="Book Antiqua" w:eastAsia="Arial Unicode MS" w:hAnsi="Book Antiqua"/>
          <w:sz w:val="24"/>
          <w:szCs w:val="24"/>
          <w:lang w:val="en-US" w:eastAsia="de-DE"/>
        </w:rPr>
        <w:t>7</w:t>
      </w:r>
      <w:r w:rsidR="00865659" w:rsidRPr="006479DA">
        <w:rPr>
          <w:rFonts w:ascii="Book Antiqua" w:eastAsia="Arial Unicode MS" w:hAnsi="Book Antiqua"/>
          <w:sz w:val="24"/>
          <w:szCs w:val="24"/>
          <w:lang w:val="en-US" w:eastAsia="de-DE"/>
        </w:rPr>
        <w:t>/16)</w:t>
      </w:r>
      <w:r w:rsidR="00B85881" w:rsidRPr="006479DA">
        <w:rPr>
          <w:rFonts w:ascii="Book Antiqua" w:eastAsia="Arial Unicode MS" w:hAnsi="Book Antiqua"/>
          <w:sz w:val="24"/>
          <w:szCs w:val="24"/>
          <w:lang w:val="en-US" w:eastAsia="de-DE"/>
        </w:rPr>
        <w:t xml:space="preserve"> were m</w:t>
      </w:r>
      <w:r w:rsidR="00824E7E" w:rsidRPr="006479DA">
        <w:rPr>
          <w:rFonts w:ascii="Book Antiqua" w:eastAsia="Arial Unicode MS" w:hAnsi="Book Antiqua"/>
          <w:sz w:val="24"/>
          <w:szCs w:val="24"/>
          <w:lang w:val="en-US" w:eastAsia="de-DE"/>
        </w:rPr>
        <w:t>ales</w:t>
      </w:r>
      <w:r w:rsidR="00B85881" w:rsidRPr="006479DA">
        <w:rPr>
          <w:rFonts w:ascii="Book Antiqua" w:eastAsia="Arial Unicode MS" w:hAnsi="Book Antiqua"/>
          <w:sz w:val="24"/>
          <w:szCs w:val="24"/>
          <w:lang w:val="en-US" w:eastAsia="de-DE"/>
        </w:rPr>
        <w:t xml:space="preserve">. The </w:t>
      </w:r>
      <w:r w:rsidR="00971816" w:rsidRPr="006479DA">
        <w:rPr>
          <w:rFonts w:ascii="Book Antiqua" w:eastAsia="Arial Unicode MS" w:hAnsi="Book Antiqua"/>
          <w:sz w:val="24"/>
          <w:szCs w:val="24"/>
          <w:lang w:val="en-US" w:eastAsia="de-DE"/>
        </w:rPr>
        <w:t>median</w:t>
      </w:r>
      <w:r w:rsidR="00824E7E" w:rsidRPr="006479DA">
        <w:rPr>
          <w:rFonts w:ascii="Book Antiqua" w:eastAsia="Arial Unicode MS" w:hAnsi="Book Antiqua"/>
          <w:sz w:val="24"/>
          <w:szCs w:val="24"/>
          <w:lang w:val="en-US" w:eastAsia="de-DE"/>
        </w:rPr>
        <w:t xml:space="preserve"> age </w:t>
      </w:r>
      <w:r w:rsidR="00B85881" w:rsidRPr="006479DA">
        <w:rPr>
          <w:rFonts w:ascii="Book Antiqua" w:eastAsia="Arial Unicode MS" w:hAnsi="Book Antiqua"/>
          <w:sz w:val="24"/>
          <w:szCs w:val="24"/>
          <w:lang w:val="en-US" w:eastAsia="de-DE"/>
        </w:rPr>
        <w:t xml:space="preserve">of controls was </w:t>
      </w:r>
      <w:r w:rsidR="00824E7E" w:rsidRPr="006479DA">
        <w:rPr>
          <w:rFonts w:ascii="Book Antiqua" w:eastAsia="Arial Unicode MS" w:hAnsi="Book Antiqua"/>
          <w:sz w:val="24"/>
          <w:szCs w:val="24"/>
          <w:lang w:val="en-US" w:eastAsia="de-DE"/>
        </w:rPr>
        <w:t>3</w:t>
      </w:r>
      <w:r w:rsidR="00B85881" w:rsidRPr="006479DA">
        <w:rPr>
          <w:rFonts w:ascii="Book Antiqua" w:eastAsia="Arial Unicode MS" w:hAnsi="Book Antiqua"/>
          <w:sz w:val="24"/>
          <w:szCs w:val="24"/>
          <w:lang w:val="en-US" w:eastAsia="de-DE"/>
        </w:rPr>
        <w:t>3</w:t>
      </w:r>
      <w:r w:rsidR="00971816" w:rsidRPr="006479DA">
        <w:rPr>
          <w:rFonts w:ascii="Book Antiqua" w:eastAsia="Arial Unicode MS" w:hAnsi="Book Antiqua"/>
          <w:sz w:val="24"/>
          <w:szCs w:val="24"/>
          <w:lang w:val="en-US" w:eastAsia="de-DE"/>
        </w:rPr>
        <w:t xml:space="preserve"> </w:t>
      </w:r>
      <w:r w:rsidR="00B85881" w:rsidRPr="006479DA">
        <w:rPr>
          <w:rFonts w:ascii="Book Antiqua" w:eastAsia="Arial Unicode MS" w:hAnsi="Book Antiqua"/>
          <w:sz w:val="24"/>
          <w:szCs w:val="24"/>
          <w:lang w:val="en-US" w:eastAsia="de-DE"/>
        </w:rPr>
        <w:t xml:space="preserve">years </w:t>
      </w:r>
      <w:r w:rsidR="00971816" w:rsidRPr="006479DA">
        <w:rPr>
          <w:rFonts w:ascii="Book Antiqua" w:eastAsia="Arial Unicode MS" w:hAnsi="Book Antiqua"/>
          <w:sz w:val="24"/>
          <w:szCs w:val="24"/>
          <w:lang w:val="en-US" w:eastAsia="de-DE"/>
        </w:rPr>
        <w:t>(</w:t>
      </w:r>
      <w:r w:rsidR="00B85881" w:rsidRPr="006479DA">
        <w:rPr>
          <w:rFonts w:ascii="Book Antiqua" w:eastAsia="Arial Unicode MS" w:hAnsi="Book Antiqua"/>
          <w:sz w:val="24"/>
          <w:szCs w:val="24"/>
          <w:lang w:val="en-US" w:eastAsia="de-DE"/>
        </w:rPr>
        <w:t>range:</w:t>
      </w:r>
      <w:r w:rsidR="00C509DD">
        <w:rPr>
          <w:rFonts w:ascii="Book Antiqua" w:eastAsia="Arial Unicode MS" w:hAnsi="Book Antiqua" w:hint="eastAsia"/>
          <w:sz w:val="24"/>
          <w:szCs w:val="24"/>
          <w:lang w:val="en-US" w:eastAsia="zh-CN"/>
        </w:rPr>
        <w:t xml:space="preserve"> </w:t>
      </w:r>
      <w:r w:rsidR="00971816" w:rsidRPr="006479DA">
        <w:rPr>
          <w:rFonts w:ascii="Book Antiqua" w:eastAsia="Arial Unicode MS" w:hAnsi="Book Antiqua"/>
          <w:sz w:val="24"/>
          <w:szCs w:val="24"/>
          <w:lang w:val="en-US" w:eastAsia="de-DE"/>
        </w:rPr>
        <w:t>26-59)</w:t>
      </w:r>
      <w:r w:rsidR="00824E7E" w:rsidRPr="006479DA">
        <w:rPr>
          <w:rFonts w:ascii="Book Antiqua" w:eastAsia="Arial Unicode MS" w:hAnsi="Book Antiqua"/>
          <w:sz w:val="24"/>
          <w:szCs w:val="24"/>
          <w:lang w:val="en-US" w:eastAsia="de-DE"/>
        </w:rPr>
        <w:t>.</w:t>
      </w:r>
      <w:r w:rsidR="00A5778F" w:rsidRPr="006479DA">
        <w:rPr>
          <w:rFonts w:ascii="Book Antiqua" w:eastAsia="Arial Unicode MS" w:hAnsi="Book Antiqua"/>
          <w:sz w:val="24"/>
          <w:szCs w:val="24"/>
          <w:lang w:val="en-US" w:eastAsia="de-DE"/>
        </w:rPr>
        <w:t xml:space="preserve"> </w:t>
      </w:r>
    </w:p>
    <w:p w14:paraId="73B5D63C" w14:textId="77777777" w:rsidR="00050107" w:rsidRPr="006479DA" w:rsidRDefault="00050107" w:rsidP="00265BAF">
      <w:pPr>
        <w:spacing w:after="0" w:line="360" w:lineRule="auto"/>
        <w:jc w:val="both"/>
        <w:rPr>
          <w:rFonts w:ascii="Book Antiqua" w:eastAsia="Arial Unicode MS" w:hAnsi="Book Antiqua"/>
          <w:sz w:val="24"/>
          <w:szCs w:val="24"/>
          <w:lang w:val="en-US" w:eastAsia="de-DE"/>
        </w:rPr>
      </w:pPr>
    </w:p>
    <w:p w14:paraId="2817C13D" w14:textId="428D5C90" w:rsidR="005E0933" w:rsidRPr="006479DA" w:rsidRDefault="00915FDC" w:rsidP="00265BAF">
      <w:pPr>
        <w:spacing w:after="0" w:line="360" w:lineRule="auto"/>
        <w:jc w:val="both"/>
        <w:rPr>
          <w:rFonts w:ascii="Book Antiqua" w:eastAsia="Arial Unicode MS" w:hAnsi="Book Antiqua"/>
          <w:b/>
          <w:i/>
          <w:sz w:val="24"/>
          <w:szCs w:val="24"/>
          <w:lang w:val="en-US" w:eastAsia="de-DE"/>
        </w:rPr>
      </w:pPr>
      <w:r w:rsidRPr="006479DA">
        <w:rPr>
          <w:rFonts w:ascii="Book Antiqua" w:eastAsia="Arial Unicode MS" w:hAnsi="Book Antiqua"/>
          <w:b/>
          <w:i/>
          <w:sz w:val="24"/>
          <w:szCs w:val="24"/>
          <w:lang w:val="en-US" w:eastAsia="de-DE"/>
        </w:rPr>
        <w:t>Lactulose/</w:t>
      </w:r>
      <w:r w:rsidR="00F91C29" w:rsidRPr="006479DA">
        <w:rPr>
          <w:rFonts w:ascii="Book Antiqua" w:eastAsia="Arial Unicode MS" w:hAnsi="Book Antiqua"/>
          <w:b/>
          <w:i/>
          <w:sz w:val="24"/>
          <w:szCs w:val="24"/>
          <w:lang w:val="en-US" w:eastAsia="de-DE"/>
        </w:rPr>
        <w:t>mannitol test</w:t>
      </w:r>
    </w:p>
    <w:p w14:paraId="6441572E" w14:textId="3579DD73" w:rsidR="008658FC" w:rsidRPr="006479DA" w:rsidRDefault="00D713F1" w:rsidP="00265BAF">
      <w:pPr>
        <w:spacing w:after="0" w:line="360" w:lineRule="auto"/>
        <w:jc w:val="both"/>
        <w:rPr>
          <w:rFonts w:ascii="Book Antiqua" w:hAnsi="Book Antiqua"/>
          <w:sz w:val="24"/>
          <w:szCs w:val="24"/>
          <w:lang w:val="en-US"/>
        </w:rPr>
      </w:pPr>
      <w:r w:rsidRPr="006479DA">
        <w:rPr>
          <w:rFonts w:ascii="Book Antiqua" w:eastAsia="Arial Unicode MS" w:hAnsi="Book Antiqua"/>
          <w:sz w:val="24"/>
          <w:szCs w:val="24"/>
          <w:lang w:val="en-US" w:eastAsia="de-DE"/>
        </w:rPr>
        <w:t xml:space="preserve">Thirty-nine (85%) </w:t>
      </w:r>
      <w:r w:rsidR="00D81CE9" w:rsidRPr="006479DA">
        <w:rPr>
          <w:rFonts w:ascii="Book Antiqua" w:eastAsia="Arial Unicode MS" w:hAnsi="Book Antiqua"/>
          <w:sz w:val="24"/>
          <w:szCs w:val="24"/>
          <w:lang w:val="en-US" w:eastAsia="de-DE"/>
        </w:rPr>
        <w:t xml:space="preserve">patients </w:t>
      </w:r>
      <w:r w:rsidR="006B574B" w:rsidRPr="006479DA">
        <w:rPr>
          <w:rFonts w:ascii="Book Antiqua" w:eastAsia="Arial Unicode MS" w:hAnsi="Book Antiqua"/>
          <w:sz w:val="24"/>
          <w:szCs w:val="24"/>
          <w:lang w:val="en-US" w:eastAsia="de-DE"/>
        </w:rPr>
        <w:t xml:space="preserve">with cirrhosis </w:t>
      </w:r>
      <w:r w:rsidR="00D81CE9" w:rsidRPr="006479DA">
        <w:rPr>
          <w:rFonts w:ascii="Book Antiqua" w:eastAsia="Arial Unicode MS" w:hAnsi="Book Antiqua"/>
          <w:sz w:val="24"/>
          <w:szCs w:val="24"/>
          <w:lang w:val="en-US" w:eastAsia="de-DE"/>
        </w:rPr>
        <w:t>had pathologically</w:t>
      </w:r>
      <w:r w:rsidR="00D30287" w:rsidRPr="006479DA">
        <w:rPr>
          <w:rFonts w:ascii="Book Antiqua" w:eastAsia="Arial Unicode MS" w:hAnsi="Book Antiqua"/>
          <w:sz w:val="24"/>
          <w:szCs w:val="24"/>
          <w:lang w:val="en-US" w:eastAsia="de-DE"/>
        </w:rPr>
        <w:t xml:space="preserve"> increased IP</w:t>
      </w:r>
      <w:r w:rsidR="00D81CE9" w:rsidRPr="006479DA">
        <w:rPr>
          <w:rFonts w:ascii="Book Antiqua" w:eastAsia="Arial Unicode MS" w:hAnsi="Book Antiqua"/>
          <w:sz w:val="24"/>
          <w:szCs w:val="24"/>
          <w:lang w:val="en-US" w:eastAsia="de-DE"/>
        </w:rPr>
        <w:t xml:space="preserve"> in contrast to two (13</w:t>
      </w:r>
      <w:r w:rsidR="00D30287" w:rsidRPr="006479DA">
        <w:rPr>
          <w:rFonts w:ascii="Book Antiqua" w:eastAsia="Arial Unicode MS" w:hAnsi="Book Antiqua"/>
          <w:sz w:val="24"/>
          <w:szCs w:val="24"/>
          <w:lang w:val="en-US" w:eastAsia="de-DE"/>
        </w:rPr>
        <w:t>%</w:t>
      </w:r>
      <w:r w:rsidR="00D81CE9" w:rsidRPr="006479DA">
        <w:rPr>
          <w:rFonts w:ascii="Book Antiqua" w:eastAsia="Arial Unicode MS" w:hAnsi="Book Antiqua"/>
          <w:sz w:val="24"/>
          <w:szCs w:val="24"/>
          <w:lang w:val="en-US" w:eastAsia="de-DE"/>
        </w:rPr>
        <w:t>)</w:t>
      </w:r>
      <w:r w:rsidR="006B574B" w:rsidRPr="006479DA">
        <w:rPr>
          <w:rFonts w:ascii="Book Antiqua" w:eastAsia="Arial Unicode MS" w:hAnsi="Book Antiqua"/>
          <w:sz w:val="24"/>
          <w:szCs w:val="24"/>
          <w:lang w:val="en-US" w:eastAsia="de-DE"/>
        </w:rPr>
        <w:t xml:space="preserve"> of the</w:t>
      </w:r>
      <w:r w:rsidR="00D81CE9" w:rsidRPr="006479DA">
        <w:rPr>
          <w:rFonts w:ascii="Book Antiqua" w:eastAsia="Arial Unicode MS" w:hAnsi="Book Antiqua"/>
          <w:sz w:val="24"/>
          <w:szCs w:val="24"/>
          <w:lang w:val="en-US" w:eastAsia="de-DE"/>
        </w:rPr>
        <w:t xml:space="preserve"> </w:t>
      </w:r>
      <w:r w:rsidR="00D30287" w:rsidRPr="006479DA">
        <w:rPr>
          <w:rFonts w:ascii="Book Antiqua" w:eastAsia="Arial Unicode MS" w:hAnsi="Book Antiqua"/>
          <w:sz w:val="24"/>
          <w:szCs w:val="24"/>
          <w:lang w:val="en-US" w:eastAsia="de-DE"/>
        </w:rPr>
        <w:t>healthy con</w:t>
      </w:r>
      <w:r w:rsidR="00D81CE9" w:rsidRPr="006479DA">
        <w:rPr>
          <w:rFonts w:ascii="Book Antiqua" w:eastAsia="Arial Unicode MS" w:hAnsi="Book Antiqua"/>
          <w:sz w:val="24"/>
          <w:szCs w:val="24"/>
          <w:lang w:val="en-US" w:eastAsia="de-DE"/>
        </w:rPr>
        <w:t>trols (</w:t>
      </w:r>
      <w:r w:rsidR="00D81CE9" w:rsidRPr="00C509DD">
        <w:rPr>
          <w:rFonts w:ascii="Book Antiqua" w:eastAsia="Arial Unicode MS" w:hAnsi="Book Antiqua"/>
          <w:i/>
          <w:caps/>
          <w:sz w:val="24"/>
          <w:szCs w:val="24"/>
          <w:lang w:val="en-US" w:eastAsia="de-DE"/>
        </w:rPr>
        <w:t>p</w:t>
      </w:r>
      <w:r w:rsidR="00D81CE9" w:rsidRPr="006479DA">
        <w:rPr>
          <w:rFonts w:ascii="Book Antiqua" w:eastAsia="Arial Unicode MS" w:hAnsi="Book Antiqua"/>
          <w:sz w:val="24"/>
          <w:szCs w:val="24"/>
          <w:lang w:val="en-US" w:eastAsia="de-DE"/>
        </w:rPr>
        <w:t xml:space="preserve"> </w:t>
      </w:r>
      <w:r w:rsidRPr="006479DA">
        <w:rPr>
          <w:rFonts w:ascii="Book Antiqua" w:eastAsia="Arial Unicode MS" w:hAnsi="Book Antiqua"/>
          <w:sz w:val="24"/>
          <w:szCs w:val="24"/>
          <w:lang w:val="en-US" w:eastAsia="de-DE"/>
        </w:rPr>
        <w:t>&lt;</w:t>
      </w:r>
      <w:r w:rsidRPr="006479DA">
        <w:rPr>
          <w:rFonts w:ascii="Book Antiqua" w:hAnsi="Book Antiqua"/>
          <w:sz w:val="24"/>
          <w:szCs w:val="24"/>
          <w:lang w:val="en-US"/>
        </w:rPr>
        <w:t xml:space="preserve"> </w:t>
      </w:r>
      <w:r w:rsidR="00AC1BCD" w:rsidRPr="006479DA">
        <w:rPr>
          <w:rFonts w:ascii="Book Antiqua" w:eastAsia="Arial Unicode MS" w:hAnsi="Book Antiqua"/>
          <w:sz w:val="24"/>
          <w:szCs w:val="24"/>
          <w:lang w:val="en-US" w:eastAsia="de-DE"/>
        </w:rPr>
        <w:t>0</w:t>
      </w:r>
      <w:r w:rsidRPr="006479DA">
        <w:rPr>
          <w:rFonts w:ascii="Book Antiqua" w:eastAsia="Arial Unicode MS" w:hAnsi="Book Antiqua"/>
          <w:sz w:val="24"/>
          <w:szCs w:val="24"/>
          <w:lang w:val="en-US" w:eastAsia="de-DE"/>
        </w:rPr>
        <w:t>.0001</w:t>
      </w:r>
      <w:r w:rsidR="00D81CE9" w:rsidRPr="006479DA">
        <w:rPr>
          <w:rFonts w:ascii="Book Antiqua" w:eastAsia="Arial Unicode MS" w:hAnsi="Book Antiqua"/>
          <w:sz w:val="24"/>
          <w:szCs w:val="24"/>
          <w:lang w:val="en-US" w:eastAsia="de-DE"/>
        </w:rPr>
        <w:t>)</w:t>
      </w:r>
      <w:r w:rsidR="00D30287" w:rsidRPr="006479DA">
        <w:rPr>
          <w:rFonts w:ascii="Book Antiqua" w:eastAsia="Arial Unicode MS" w:hAnsi="Book Antiqua"/>
          <w:sz w:val="24"/>
          <w:szCs w:val="24"/>
          <w:lang w:val="en-US" w:eastAsia="de-DE"/>
        </w:rPr>
        <w:t>.</w:t>
      </w:r>
      <w:r w:rsidR="00E00265" w:rsidRPr="006479DA">
        <w:rPr>
          <w:rFonts w:ascii="Book Antiqua" w:eastAsia="Arial Unicode MS" w:hAnsi="Book Antiqua"/>
          <w:sz w:val="24"/>
          <w:szCs w:val="24"/>
          <w:lang w:val="en-US" w:eastAsia="de-DE"/>
        </w:rPr>
        <w:t xml:space="preserve"> </w:t>
      </w:r>
      <w:r w:rsidR="00B85881" w:rsidRPr="006479DA">
        <w:rPr>
          <w:rFonts w:ascii="Book Antiqua" w:hAnsi="Book Antiqua"/>
          <w:sz w:val="24"/>
          <w:szCs w:val="24"/>
          <w:lang w:val="en-US"/>
        </w:rPr>
        <w:t xml:space="preserve">In comparison to controls patients with cirrhosis had higher </w:t>
      </w:r>
      <w:r w:rsidR="00050107" w:rsidRPr="006479DA">
        <w:rPr>
          <w:rFonts w:ascii="Book Antiqua" w:hAnsi="Book Antiqua"/>
          <w:sz w:val="24"/>
          <w:szCs w:val="24"/>
          <w:lang w:val="en-US"/>
        </w:rPr>
        <w:t>l</w:t>
      </w:r>
      <w:r w:rsidR="00B85881" w:rsidRPr="006479DA">
        <w:rPr>
          <w:rFonts w:ascii="Book Antiqua" w:hAnsi="Book Antiqua"/>
          <w:sz w:val="24"/>
          <w:szCs w:val="24"/>
          <w:lang w:val="en-US"/>
        </w:rPr>
        <w:t>ac</w:t>
      </w:r>
      <w:r w:rsidR="00C509DD">
        <w:rPr>
          <w:rFonts w:ascii="Book Antiqua" w:hAnsi="Book Antiqua"/>
          <w:sz w:val="24"/>
          <w:szCs w:val="24"/>
          <w:lang w:val="en-US"/>
        </w:rPr>
        <w:t xml:space="preserve">tulose recovery (median 2.0% </w:t>
      </w:r>
      <w:r w:rsidR="00C509DD" w:rsidRPr="00C509DD">
        <w:rPr>
          <w:rFonts w:ascii="Book Antiqua" w:hAnsi="Book Antiqua"/>
          <w:i/>
          <w:sz w:val="24"/>
          <w:szCs w:val="24"/>
          <w:lang w:val="en-US"/>
        </w:rPr>
        <w:t>vs</w:t>
      </w:r>
      <w:r w:rsidR="00B85881" w:rsidRPr="006479DA">
        <w:rPr>
          <w:rFonts w:ascii="Book Antiqua" w:hAnsi="Book Antiqua"/>
          <w:sz w:val="24"/>
          <w:szCs w:val="24"/>
          <w:lang w:val="en-US"/>
        </w:rPr>
        <w:t xml:space="preserve"> 0.6%; </w:t>
      </w:r>
      <w:r w:rsidR="00B85881" w:rsidRPr="00C509DD">
        <w:rPr>
          <w:rFonts w:ascii="Book Antiqua" w:hAnsi="Book Antiqua"/>
          <w:i/>
          <w:caps/>
          <w:sz w:val="24"/>
          <w:szCs w:val="24"/>
          <w:lang w:val="en-US"/>
        </w:rPr>
        <w:t>p</w:t>
      </w:r>
      <w:r w:rsidR="00B85881" w:rsidRPr="006479DA">
        <w:rPr>
          <w:rFonts w:ascii="Book Antiqua" w:hAnsi="Book Antiqua"/>
          <w:sz w:val="24"/>
          <w:szCs w:val="24"/>
          <w:lang w:val="en-US"/>
        </w:rPr>
        <w:t xml:space="preserve"> = 0.005) alongside lower mannitol recovery (11.2% </w:t>
      </w:r>
      <w:r w:rsidR="00B85881" w:rsidRPr="00C509DD">
        <w:rPr>
          <w:rFonts w:ascii="Book Antiqua" w:hAnsi="Book Antiqua"/>
          <w:i/>
          <w:sz w:val="24"/>
          <w:szCs w:val="24"/>
          <w:lang w:val="en-US"/>
        </w:rPr>
        <w:t>vs</w:t>
      </w:r>
      <w:r w:rsidR="00B85881" w:rsidRPr="006479DA">
        <w:rPr>
          <w:rFonts w:ascii="Book Antiqua" w:hAnsi="Book Antiqua"/>
          <w:sz w:val="24"/>
          <w:szCs w:val="24"/>
          <w:lang w:val="en-US"/>
        </w:rPr>
        <w:t xml:space="preserve"> 16.1%; </w:t>
      </w:r>
      <w:r w:rsidR="00B85881" w:rsidRPr="00C509DD">
        <w:rPr>
          <w:rFonts w:ascii="Book Antiqua" w:hAnsi="Book Antiqua"/>
          <w:i/>
          <w:caps/>
          <w:sz w:val="24"/>
          <w:szCs w:val="24"/>
          <w:lang w:val="en-US"/>
        </w:rPr>
        <w:t>p</w:t>
      </w:r>
      <w:r w:rsidR="00B85881" w:rsidRPr="006479DA">
        <w:rPr>
          <w:rFonts w:ascii="Book Antiqua" w:hAnsi="Book Antiqua"/>
          <w:i/>
          <w:sz w:val="24"/>
          <w:szCs w:val="24"/>
          <w:lang w:val="en-US"/>
        </w:rPr>
        <w:t xml:space="preserve"> </w:t>
      </w:r>
      <w:r w:rsidR="00B85881" w:rsidRPr="006479DA">
        <w:rPr>
          <w:rFonts w:ascii="Book Antiqua" w:hAnsi="Book Antiqua"/>
          <w:sz w:val="24"/>
          <w:szCs w:val="24"/>
          <w:lang w:val="en-US"/>
        </w:rPr>
        <w:t xml:space="preserve">= 0.03). </w:t>
      </w:r>
      <w:r w:rsidR="00E00265" w:rsidRPr="006479DA">
        <w:rPr>
          <w:rFonts w:ascii="Book Antiqua" w:eastAsia="Arial Unicode MS" w:hAnsi="Book Antiqua"/>
          <w:sz w:val="24"/>
          <w:szCs w:val="24"/>
          <w:lang w:val="en-US" w:eastAsia="de-DE"/>
        </w:rPr>
        <w:t xml:space="preserve">The IP index </w:t>
      </w:r>
      <w:r w:rsidRPr="006479DA">
        <w:rPr>
          <w:rFonts w:ascii="Book Antiqua" w:eastAsia="Arial Unicode MS" w:hAnsi="Book Antiqua"/>
          <w:sz w:val="24"/>
          <w:szCs w:val="24"/>
          <w:lang w:val="en-US" w:eastAsia="de-DE"/>
        </w:rPr>
        <w:t>was highest in patie</w:t>
      </w:r>
      <w:r w:rsidR="00865659" w:rsidRPr="006479DA">
        <w:rPr>
          <w:rFonts w:ascii="Book Antiqua" w:eastAsia="Arial Unicode MS" w:hAnsi="Book Antiqua"/>
          <w:sz w:val="24"/>
          <w:szCs w:val="24"/>
          <w:lang w:val="en-US" w:eastAsia="de-DE"/>
        </w:rPr>
        <w:t>nts with Child-Pugh C cirrhosis</w:t>
      </w:r>
      <w:r w:rsidR="005C309C" w:rsidRPr="006479DA">
        <w:rPr>
          <w:rFonts w:ascii="Book Antiqua" w:eastAsia="Arial Unicode MS" w:hAnsi="Book Antiqua"/>
          <w:sz w:val="24"/>
          <w:szCs w:val="24"/>
          <w:lang w:val="en-US" w:eastAsia="de-DE"/>
        </w:rPr>
        <w:t xml:space="preserve"> </w:t>
      </w:r>
      <w:r w:rsidR="00D97DB7" w:rsidRPr="00C509DD">
        <w:rPr>
          <w:rFonts w:ascii="Book Antiqua" w:eastAsia="Arial Unicode MS" w:hAnsi="Book Antiqua"/>
          <w:sz w:val="24"/>
          <w:szCs w:val="24"/>
          <w:lang w:val="en-US" w:eastAsia="de-DE"/>
        </w:rPr>
        <w:t>(</w:t>
      </w:r>
      <w:r w:rsidR="005C55FB" w:rsidRPr="00C509DD">
        <w:rPr>
          <w:rFonts w:ascii="Book Antiqua" w:eastAsia="Arial Unicode MS" w:hAnsi="Book Antiqua"/>
          <w:sz w:val="24"/>
          <w:szCs w:val="24"/>
          <w:lang w:val="en-US" w:eastAsia="de-DE"/>
        </w:rPr>
        <w:t>Figure 1A)</w:t>
      </w:r>
      <w:r w:rsidR="005C55FB" w:rsidRPr="006479DA">
        <w:rPr>
          <w:rFonts w:ascii="Book Antiqua" w:eastAsia="Arial Unicode MS" w:hAnsi="Book Antiqua"/>
          <w:sz w:val="24"/>
          <w:szCs w:val="24"/>
          <w:lang w:val="en-US" w:eastAsia="de-DE"/>
        </w:rPr>
        <w:t xml:space="preserve"> </w:t>
      </w:r>
      <w:r w:rsidR="00E00265" w:rsidRPr="006479DA">
        <w:rPr>
          <w:rFonts w:ascii="Book Antiqua" w:eastAsia="Arial Unicode MS" w:hAnsi="Book Antiqua"/>
          <w:sz w:val="24"/>
          <w:szCs w:val="24"/>
          <w:lang w:val="en-US" w:eastAsia="de-DE"/>
        </w:rPr>
        <w:t xml:space="preserve">and </w:t>
      </w:r>
      <w:r w:rsidRPr="006479DA">
        <w:rPr>
          <w:rFonts w:ascii="Book Antiqua" w:eastAsia="Arial Unicode MS" w:hAnsi="Book Antiqua"/>
          <w:sz w:val="24"/>
          <w:szCs w:val="24"/>
          <w:lang w:val="en-US" w:eastAsia="de-DE"/>
        </w:rPr>
        <w:t xml:space="preserve">correlated with </w:t>
      </w:r>
      <w:r w:rsidR="006B574B" w:rsidRPr="006479DA">
        <w:rPr>
          <w:rFonts w:ascii="Book Antiqua" w:eastAsia="Arial Unicode MS" w:hAnsi="Book Antiqua"/>
          <w:sz w:val="24"/>
          <w:szCs w:val="24"/>
          <w:lang w:val="en-US" w:eastAsia="de-DE"/>
        </w:rPr>
        <w:lastRenderedPageBreak/>
        <w:t xml:space="preserve">Child-Pugh </w:t>
      </w:r>
      <w:r w:rsidR="00E00265" w:rsidRPr="006479DA">
        <w:rPr>
          <w:rFonts w:ascii="Book Antiqua" w:eastAsia="Arial Unicode MS" w:hAnsi="Book Antiqua"/>
          <w:sz w:val="24"/>
          <w:szCs w:val="24"/>
          <w:lang w:val="en-US" w:eastAsia="de-DE"/>
        </w:rPr>
        <w:t>score</w:t>
      </w:r>
      <w:r w:rsidR="00071707" w:rsidRPr="006479DA">
        <w:rPr>
          <w:rFonts w:ascii="Book Antiqua" w:eastAsia="Arial Unicode MS" w:hAnsi="Book Antiqua"/>
          <w:sz w:val="24"/>
          <w:szCs w:val="24"/>
          <w:lang w:val="en-US" w:eastAsia="de-DE"/>
        </w:rPr>
        <w:t xml:space="preserve"> (</w:t>
      </w:r>
      <w:r w:rsidR="006B574B" w:rsidRPr="00212710">
        <w:rPr>
          <w:rFonts w:ascii="Book Antiqua" w:eastAsia="Arial Unicode MS" w:hAnsi="Book Antiqua"/>
          <w:i/>
          <w:sz w:val="24"/>
          <w:szCs w:val="24"/>
          <w:lang w:val="en-US" w:eastAsia="de-DE"/>
        </w:rPr>
        <w:t>r</w:t>
      </w:r>
      <w:r w:rsidR="006B574B" w:rsidRPr="00212710">
        <w:rPr>
          <w:rFonts w:ascii="Book Antiqua" w:eastAsia="Arial Unicode MS" w:hAnsi="Book Antiqua"/>
          <w:i/>
          <w:sz w:val="24"/>
          <w:szCs w:val="24"/>
          <w:vertAlign w:val="subscript"/>
          <w:lang w:val="en-US" w:eastAsia="de-DE"/>
        </w:rPr>
        <w:t>s</w:t>
      </w:r>
      <w:r w:rsidR="006B574B" w:rsidRPr="00212710">
        <w:rPr>
          <w:rFonts w:ascii="Book Antiqua" w:eastAsia="Arial Unicode MS" w:hAnsi="Book Antiqua"/>
          <w:i/>
          <w:sz w:val="24"/>
          <w:szCs w:val="24"/>
          <w:lang w:val="en-US" w:eastAsia="de-DE"/>
        </w:rPr>
        <w:t xml:space="preserve"> </w:t>
      </w:r>
      <w:r w:rsidR="006B574B" w:rsidRPr="006479DA">
        <w:rPr>
          <w:rFonts w:ascii="Book Antiqua" w:eastAsia="Arial Unicode MS" w:hAnsi="Book Antiqua"/>
          <w:sz w:val="24"/>
          <w:szCs w:val="24"/>
          <w:lang w:val="en-US" w:eastAsia="de-DE"/>
        </w:rPr>
        <w:t xml:space="preserve">= 0.484, </w:t>
      </w:r>
      <w:r w:rsidR="00071707" w:rsidRPr="00C509DD">
        <w:rPr>
          <w:rFonts w:ascii="Book Antiqua" w:eastAsia="Arial Unicode MS" w:hAnsi="Book Antiqua"/>
          <w:i/>
          <w:caps/>
          <w:sz w:val="24"/>
          <w:szCs w:val="24"/>
          <w:lang w:val="en-US" w:eastAsia="de-DE"/>
        </w:rPr>
        <w:t>p</w:t>
      </w:r>
      <w:r w:rsidR="00E7062D" w:rsidRPr="006479DA">
        <w:rPr>
          <w:rFonts w:ascii="Book Antiqua" w:eastAsia="Arial Unicode MS" w:hAnsi="Book Antiqua"/>
          <w:sz w:val="24"/>
          <w:szCs w:val="24"/>
          <w:lang w:val="en-US" w:eastAsia="de-DE"/>
        </w:rPr>
        <w:t xml:space="preserve"> </w:t>
      </w:r>
      <w:r w:rsidR="00071707" w:rsidRPr="006479DA">
        <w:rPr>
          <w:rFonts w:ascii="Book Antiqua" w:eastAsia="Arial Unicode MS" w:hAnsi="Book Antiqua"/>
          <w:sz w:val="24"/>
          <w:szCs w:val="24"/>
          <w:lang w:val="en-US" w:eastAsia="de-DE"/>
        </w:rPr>
        <w:t>=</w:t>
      </w:r>
      <w:r w:rsidR="00E7062D" w:rsidRPr="006479DA">
        <w:rPr>
          <w:rFonts w:ascii="Book Antiqua" w:eastAsia="Arial Unicode MS" w:hAnsi="Book Antiqua"/>
          <w:sz w:val="24"/>
          <w:szCs w:val="24"/>
          <w:lang w:val="en-US" w:eastAsia="de-DE"/>
        </w:rPr>
        <w:t xml:space="preserve"> </w:t>
      </w:r>
      <w:r w:rsidR="00071707" w:rsidRPr="006479DA">
        <w:rPr>
          <w:rFonts w:ascii="Book Antiqua" w:eastAsia="Arial Unicode MS" w:hAnsi="Book Antiqua"/>
          <w:sz w:val="24"/>
          <w:szCs w:val="24"/>
          <w:lang w:val="en-US" w:eastAsia="de-DE"/>
        </w:rPr>
        <w:t>0</w:t>
      </w:r>
      <w:r w:rsidR="00054B63" w:rsidRPr="006479DA">
        <w:rPr>
          <w:rFonts w:ascii="Book Antiqua" w:eastAsia="Arial Unicode MS" w:hAnsi="Book Antiqua"/>
          <w:sz w:val="24"/>
          <w:szCs w:val="24"/>
          <w:lang w:val="en-US" w:eastAsia="de-DE"/>
        </w:rPr>
        <w:t>.</w:t>
      </w:r>
      <w:r w:rsidR="00071707" w:rsidRPr="006479DA">
        <w:rPr>
          <w:rFonts w:ascii="Book Antiqua" w:eastAsia="Arial Unicode MS" w:hAnsi="Book Antiqua"/>
          <w:sz w:val="24"/>
          <w:szCs w:val="24"/>
          <w:lang w:val="en-US" w:eastAsia="de-DE"/>
        </w:rPr>
        <w:t>001)</w:t>
      </w:r>
      <w:r w:rsidR="00E00265" w:rsidRPr="006479DA">
        <w:rPr>
          <w:rFonts w:ascii="Book Antiqua" w:eastAsia="Arial Unicode MS" w:hAnsi="Book Antiqua"/>
          <w:sz w:val="24"/>
          <w:szCs w:val="24"/>
          <w:lang w:val="en-US" w:eastAsia="de-DE"/>
        </w:rPr>
        <w:t xml:space="preserve"> and </w:t>
      </w:r>
      <w:r w:rsidR="006B574B" w:rsidRPr="006479DA">
        <w:rPr>
          <w:rFonts w:ascii="Book Antiqua" w:eastAsia="Arial Unicode MS" w:hAnsi="Book Antiqua"/>
          <w:sz w:val="24"/>
          <w:szCs w:val="24"/>
          <w:lang w:val="en-US" w:eastAsia="de-DE"/>
        </w:rPr>
        <w:t>its components</w:t>
      </w:r>
      <w:r w:rsidR="005076A3" w:rsidRPr="006479DA">
        <w:rPr>
          <w:rFonts w:ascii="Book Antiqua" w:eastAsia="Arial Unicode MS" w:hAnsi="Book Antiqua"/>
          <w:sz w:val="24"/>
          <w:szCs w:val="24"/>
          <w:lang w:val="en-US" w:eastAsia="de-DE"/>
        </w:rPr>
        <w:t xml:space="preserve"> </w:t>
      </w:r>
      <w:r w:rsidR="00404DAE" w:rsidRPr="006479DA">
        <w:rPr>
          <w:rFonts w:ascii="Book Antiqua" w:eastAsia="Arial Unicode MS" w:hAnsi="Book Antiqua"/>
          <w:sz w:val="24"/>
          <w:szCs w:val="24"/>
          <w:lang w:val="en-US" w:eastAsia="de-DE"/>
        </w:rPr>
        <w:t>b</w:t>
      </w:r>
      <w:r w:rsidR="00E00265" w:rsidRPr="006479DA">
        <w:rPr>
          <w:rFonts w:ascii="Book Antiqua" w:eastAsia="Arial Unicode MS" w:hAnsi="Book Antiqua"/>
          <w:sz w:val="24"/>
          <w:szCs w:val="24"/>
          <w:lang w:val="en-US" w:eastAsia="de-DE"/>
        </w:rPr>
        <w:t>ilirubin</w:t>
      </w:r>
      <w:r w:rsidR="00071707" w:rsidRPr="006479DA">
        <w:rPr>
          <w:rFonts w:ascii="Book Antiqua" w:eastAsia="Arial Unicode MS" w:hAnsi="Book Antiqua"/>
          <w:sz w:val="24"/>
          <w:szCs w:val="24"/>
          <w:lang w:val="en-US" w:eastAsia="de-DE"/>
        </w:rPr>
        <w:t xml:space="preserve"> (</w:t>
      </w:r>
      <w:r w:rsidR="005076A3" w:rsidRPr="00212710">
        <w:rPr>
          <w:rFonts w:ascii="Book Antiqua" w:eastAsia="Arial Unicode MS" w:hAnsi="Book Antiqua"/>
          <w:i/>
          <w:sz w:val="24"/>
          <w:szCs w:val="24"/>
          <w:lang w:val="en-US" w:eastAsia="de-DE"/>
        </w:rPr>
        <w:t>r</w:t>
      </w:r>
      <w:r w:rsidR="005076A3" w:rsidRPr="00212710">
        <w:rPr>
          <w:rFonts w:ascii="Book Antiqua" w:eastAsia="Arial Unicode MS" w:hAnsi="Book Antiqua"/>
          <w:i/>
          <w:sz w:val="24"/>
          <w:szCs w:val="24"/>
          <w:vertAlign w:val="subscript"/>
          <w:lang w:val="en-US" w:eastAsia="de-DE"/>
        </w:rPr>
        <w:t>s</w:t>
      </w:r>
      <w:r w:rsidR="005076A3" w:rsidRPr="006479DA">
        <w:rPr>
          <w:rFonts w:ascii="Book Antiqua" w:eastAsia="Arial Unicode MS" w:hAnsi="Book Antiqua"/>
          <w:sz w:val="24"/>
          <w:szCs w:val="24"/>
          <w:lang w:val="en-US" w:eastAsia="de-DE"/>
        </w:rPr>
        <w:t xml:space="preserve"> = </w:t>
      </w:r>
      <w:r w:rsidR="0017068C" w:rsidRPr="006479DA">
        <w:rPr>
          <w:rFonts w:ascii="Book Antiqua" w:eastAsia="Arial Unicode MS" w:hAnsi="Book Antiqua"/>
          <w:sz w:val="24"/>
          <w:szCs w:val="24"/>
          <w:lang w:val="en-US" w:eastAsia="de-DE"/>
        </w:rPr>
        <w:t>0.381</w:t>
      </w:r>
      <w:r w:rsidR="005076A3" w:rsidRPr="006479DA">
        <w:rPr>
          <w:rFonts w:ascii="Book Antiqua" w:eastAsia="Arial Unicode MS" w:hAnsi="Book Antiqua"/>
          <w:sz w:val="24"/>
          <w:szCs w:val="24"/>
          <w:lang w:val="en-US" w:eastAsia="de-DE"/>
        </w:rPr>
        <w:t xml:space="preserve">, </w:t>
      </w:r>
      <w:r w:rsidR="00783C2B" w:rsidRPr="00C509DD">
        <w:rPr>
          <w:rFonts w:ascii="Book Antiqua" w:eastAsia="Arial Unicode MS" w:hAnsi="Book Antiqua"/>
          <w:i/>
          <w:caps/>
          <w:sz w:val="24"/>
          <w:szCs w:val="24"/>
          <w:lang w:val="en-US" w:eastAsia="de-DE"/>
        </w:rPr>
        <w:t>p</w:t>
      </w:r>
      <w:r w:rsidR="00E7062D" w:rsidRPr="006479DA">
        <w:rPr>
          <w:rFonts w:ascii="Book Antiqua" w:eastAsia="Arial Unicode MS" w:hAnsi="Book Antiqua"/>
          <w:sz w:val="24"/>
          <w:szCs w:val="24"/>
          <w:lang w:val="en-US" w:eastAsia="de-DE"/>
        </w:rPr>
        <w:t xml:space="preserve"> </w:t>
      </w:r>
      <w:r w:rsidR="00783C2B" w:rsidRPr="006479DA">
        <w:rPr>
          <w:rFonts w:ascii="Book Antiqua" w:eastAsia="Arial Unicode MS" w:hAnsi="Book Antiqua"/>
          <w:sz w:val="24"/>
          <w:szCs w:val="24"/>
          <w:lang w:val="en-US" w:eastAsia="de-DE"/>
        </w:rPr>
        <w:t>=</w:t>
      </w:r>
      <w:r w:rsidR="00E7062D" w:rsidRPr="006479DA">
        <w:rPr>
          <w:rFonts w:ascii="Book Antiqua" w:eastAsia="Arial Unicode MS" w:hAnsi="Book Antiqua"/>
          <w:sz w:val="24"/>
          <w:szCs w:val="24"/>
          <w:lang w:val="en-US" w:eastAsia="de-DE"/>
        </w:rPr>
        <w:t xml:space="preserve"> </w:t>
      </w:r>
      <w:r w:rsidR="00783C2B" w:rsidRPr="006479DA">
        <w:rPr>
          <w:rFonts w:ascii="Book Antiqua" w:eastAsia="Arial Unicode MS" w:hAnsi="Book Antiqua"/>
          <w:sz w:val="24"/>
          <w:szCs w:val="24"/>
          <w:lang w:val="en-US" w:eastAsia="de-DE"/>
        </w:rPr>
        <w:t>0</w:t>
      </w:r>
      <w:r w:rsidR="00054B63" w:rsidRPr="006479DA">
        <w:rPr>
          <w:rFonts w:ascii="Book Antiqua" w:eastAsia="Arial Unicode MS" w:hAnsi="Book Antiqua"/>
          <w:sz w:val="24"/>
          <w:szCs w:val="24"/>
          <w:lang w:val="en-US" w:eastAsia="de-DE"/>
        </w:rPr>
        <w:t>.</w:t>
      </w:r>
      <w:r w:rsidR="00783C2B" w:rsidRPr="006479DA">
        <w:rPr>
          <w:rFonts w:ascii="Book Antiqua" w:eastAsia="Arial Unicode MS" w:hAnsi="Book Antiqua"/>
          <w:sz w:val="24"/>
          <w:szCs w:val="24"/>
          <w:lang w:val="en-US" w:eastAsia="de-DE"/>
        </w:rPr>
        <w:t>009)</w:t>
      </w:r>
      <w:r w:rsidR="00404DAE" w:rsidRPr="006479DA">
        <w:rPr>
          <w:rFonts w:ascii="Book Antiqua" w:eastAsia="Arial Unicode MS" w:hAnsi="Book Antiqua"/>
          <w:sz w:val="24"/>
          <w:szCs w:val="24"/>
          <w:lang w:val="en-US" w:eastAsia="de-DE"/>
        </w:rPr>
        <w:t>, a</w:t>
      </w:r>
      <w:r w:rsidR="00E00265" w:rsidRPr="006479DA">
        <w:rPr>
          <w:rFonts w:ascii="Book Antiqua" w:eastAsia="Arial Unicode MS" w:hAnsi="Book Antiqua"/>
          <w:sz w:val="24"/>
          <w:szCs w:val="24"/>
          <w:lang w:val="en-US" w:eastAsia="de-DE"/>
        </w:rPr>
        <w:t>lbumin</w:t>
      </w:r>
      <w:r w:rsidR="00783C2B" w:rsidRPr="006479DA">
        <w:rPr>
          <w:rFonts w:ascii="Book Antiqua" w:eastAsia="Arial Unicode MS" w:hAnsi="Book Antiqua"/>
          <w:sz w:val="24"/>
          <w:szCs w:val="24"/>
          <w:lang w:val="en-US" w:eastAsia="de-DE"/>
        </w:rPr>
        <w:t xml:space="preserve"> (</w:t>
      </w:r>
      <w:r w:rsidR="005076A3" w:rsidRPr="00212710">
        <w:rPr>
          <w:rFonts w:ascii="Book Antiqua" w:eastAsia="Arial Unicode MS" w:hAnsi="Book Antiqua"/>
          <w:i/>
          <w:sz w:val="24"/>
          <w:szCs w:val="24"/>
          <w:lang w:val="en-US" w:eastAsia="de-DE"/>
        </w:rPr>
        <w:t>r</w:t>
      </w:r>
      <w:r w:rsidR="005076A3" w:rsidRPr="00212710">
        <w:rPr>
          <w:rFonts w:ascii="Book Antiqua" w:eastAsia="Arial Unicode MS" w:hAnsi="Book Antiqua"/>
          <w:i/>
          <w:sz w:val="24"/>
          <w:szCs w:val="24"/>
          <w:vertAlign w:val="subscript"/>
          <w:lang w:val="en-US" w:eastAsia="de-DE"/>
        </w:rPr>
        <w:t>s</w:t>
      </w:r>
      <w:r w:rsidR="005076A3" w:rsidRPr="006479DA">
        <w:rPr>
          <w:rFonts w:ascii="Book Antiqua" w:eastAsia="Arial Unicode MS" w:hAnsi="Book Antiqua"/>
          <w:sz w:val="24"/>
          <w:szCs w:val="24"/>
          <w:lang w:val="en-US" w:eastAsia="de-DE"/>
        </w:rPr>
        <w:t xml:space="preserve"> = </w:t>
      </w:r>
      <w:r w:rsidR="0017068C" w:rsidRPr="006479DA">
        <w:rPr>
          <w:rFonts w:ascii="Book Antiqua" w:eastAsia="Arial Unicode MS" w:hAnsi="Book Antiqua"/>
          <w:sz w:val="24"/>
          <w:szCs w:val="24"/>
          <w:lang w:val="en-US" w:eastAsia="de-DE"/>
        </w:rPr>
        <w:t>-0.339</w:t>
      </w:r>
      <w:r w:rsidR="005076A3" w:rsidRPr="006479DA">
        <w:rPr>
          <w:rFonts w:ascii="Book Antiqua" w:eastAsia="Arial Unicode MS" w:hAnsi="Book Antiqua"/>
          <w:sz w:val="24"/>
          <w:szCs w:val="24"/>
          <w:lang w:val="en-US" w:eastAsia="de-DE"/>
        </w:rPr>
        <w:t xml:space="preserve">, </w:t>
      </w:r>
      <w:r w:rsidR="00783C2B" w:rsidRPr="00C509DD">
        <w:rPr>
          <w:rFonts w:ascii="Book Antiqua" w:eastAsia="Arial Unicode MS" w:hAnsi="Book Antiqua"/>
          <w:i/>
          <w:caps/>
          <w:sz w:val="24"/>
          <w:szCs w:val="24"/>
          <w:lang w:val="en-US" w:eastAsia="de-DE"/>
        </w:rPr>
        <w:t>p</w:t>
      </w:r>
      <w:r w:rsidR="00E7062D" w:rsidRPr="006479DA">
        <w:rPr>
          <w:rFonts w:ascii="Book Antiqua" w:eastAsia="Arial Unicode MS" w:hAnsi="Book Antiqua"/>
          <w:sz w:val="24"/>
          <w:szCs w:val="24"/>
          <w:lang w:val="en-US" w:eastAsia="de-DE"/>
        </w:rPr>
        <w:t xml:space="preserve"> </w:t>
      </w:r>
      <w:r w:rsidR="00783C2B" w:rsidRPr="006479DA">
        <w:rPr>
          <w:rFonts w:ascii="Book Antiqua" w:eastAsia="Arial Unicode MS" w:hAnsi="Book Antiqua"/>
          <w:sz w:val="24"/>
          <w:szCs w:val="24"/>
          <w:lang w:val="en-US" w:eastAsia="de-DE"/>
        </w:rPr>
        <w:t>=</w:t>
      </w:r>
      <w:r w:rsidR="00E7062D" w:rsidRPr="006479DA">
        <w:rPr>
          <w:rFonts w:ascii="Book Antiqua" w:eastAsia="Arial Unicode MS" w:hAnsi="Book Antiqua"/>
          <w:sz w:val="24"/>
          <w:szCs w:val="24"/>
          <w:lang w:val="en-US" w:eastAsia="de-DE"/>
        </w:rPr>
        <w:t xml:space="preserve"> </w:t>
      </w:r>
      <w:r w:rsidR="00783C2B" w:rsidRPr="006479DA">
        <w:rPr>
          <w:rFonts w:ascii="Book Antiqua" w:eastAsia="Arial Unicode MS" w:hAnsi="Book Antiqua"/>
          <w:sz w:val="24"/>
          <w:szCs w:val="24"/>
          <w:lang w:val="en-US" w:eastAsia="de-DE"/>
        </w:rPr>
        <w:t>0</w:t>
      </w:r>
      <w:r w:rsidR="00054B63" w:rsidRPr="006479DA">
        <w:rPr>
          <w:rFonts w:ascii="Book Antiqua" w:eastAsia="Arial Unicode MS" w:hAnsi="Book Antiqua"/>
          <w:sz w:val="24"/>
          <w:szCs w:val="24"/>
          <w:lang w:val="en-US" w:eastAsia="de-DE"/>
        </w:rPr>
        <w:t>.</w:t>
      </w:r>
      <w:r w:rsidR="00783C2B" w:rsidRPr="006479DA">
        <w:rPr>
          <w:rFonts w:ascii="Book Antiqua" w:eastAsia="Arial Unicode MS" w:hAnsi="Book Antiqua"/>
          <w:sz w:val="24"/>
          <w:szCs w:val="24"/>
          <w:lang w:val="en-US" w:eastAsia="de-DE"/>
        </w:rPr>
        <w:t>021)</w:t>
      </w:r>
      <w:r w:rsidR="00E00265" w:rsidRPr="006479DA">
        <w:rPr>
          <w:rFonts w:ascii="Book Antiqua" w:eastAsia="Arial Unicode MS" w:hAnsi="Book Antiqua"/>
          <w:sz w:val="24"/>
          <w:szCs w:val="24"/>
          <w:lang w:val="en-US" w:eastAsia="de-DE"/>
        </w:rPr>
        <w:t xml:space="preserve"> and</w:t>
      </w:r>
      <w:r w:rsidR="005076A3" w:rsidRPr="006479DA">
        <w:rPr>
          <w:rFonts w:ascii="Book Antiqua" w:eastAsia="Arial Unicode MS" w:hAnsi="Book Antiqua"/>
          <w:sz w:val="24"/>
          <w:szCs w:val="24"/>
          <w:lang w:val="en-US" w:eastAsia="de-DE"/>
        </w:rPr>
        <w:t xml:space="preserve"> the international normalized ratio (</w:t>
      </w:r>
      <w:r w:rsidR="00E00265" w:rsidRPr="006479DA">
        <w:rPr>
          <w:rFonts w:ascii="Book Antiqua" w:eastAsia="Arial Unicode MS" w:hAnsi="Book Antiqua"/>
          <w:sz w:val="24"/>
          <w:szCs w:val="24"/>
          <w:lang w:val="en-US" w:eastAsia="de-DE"/>
        </w:rPr>
        <w:t>INR</w:t>
      </w:r>
      <w:r w:rsidR="005076A3" w:rsidRPr="006479DA">
        <w:rPr>
          <w:rFonts w:ascii="Book Antiqua" w:eastAsia="Arial Unicode MS" w:hAnsi="Book Antiqua"/>
          <w:sz w:val="24"/>
          <w:szCs w:val="24"/>
          <w:lang w:val="en-US" w:eastAsia="de-DE"/>
        </w:rPr>
        <w:t xml:space="preserve">, </w:t>
      </w:r>
      <w:r w:rsidR="005076A3" w:rsidRPr="00212710">
        <w:rPr>
          <w:rFonts w:ascii="Book Antiqua" w:eastAsia="Arial Unicode MS" w:hAnsi="Book Antiqua"/>
          <w:i/>
          <w:sz w:val="24"/>
          <w:szCs w:val="24"/>
          <w:lang w:val="en-US" w:eastAsia="de-DE"/>
        </w:rPr>
        <w:t>r</w:t>
      </w:r>
      <w:r w:rsidR="005076A3" w:rsidRPr="00212710">
        <w:rPr>
          <w:rFonts w:ascii="Book Antiqua" w:eastAsia="Arial Unicode MS" w:hAnsi="Book Antiqua"/>
          <w:i/>
          <w:sz w:val="24"/>
          <w:szCs w:val="24"/>
          <w:vertAlign w:val="subscript"/>
          <w:lang w:val="en-US" w:eastAsia="de-DE"/>
        </w:rPr>
        <w:t>s</w:t>
      </w:r>
      <w:r w:rsidR="005076A3" w:rsidRPr="00212710">
        <w:rPr>
          <w:rFonts w:ascii="Book Antiqua" w:eastAsia="Arial Unicode MS" w:hAnsi="Book Antiqua"/>
          <w:i/>
          <w:sz w:val="24"/>
          <w:szCs w:val="24"/>
          <w:lang w:val="en-US" w:eastAsia="de-DE"/>
        </w:rPr>
        <w:t xml:space="preserve"> </w:t>
      </w:r>
      <w:r w:rsidR="005076A3" w:rsidRPr="006479DA">
        <w:rPr>
          <w:rFonts w:ascii="Book Antiqua" w:eastAsia="Arial Unicode MS" w:hAnsi="Book Antiqua"/>
          <w:sz w:val="24"/>
          <w:szCs w:val="24"/>
          <w:lang w:val="en-US" w:eastAsia="de-DE"/>
        </w:rPr>
        <w:t xml:space="preserve">= </w:t>
      </w:r>
      <w:r w:rsidR="0017068C" w:rsidRPr="006479DA">
        <w:rPr>
          <w:rFonts w:ascii="Book Antiqua" w:eastAsia="Arial Unicode MS" w:hAnsi="Book Antiqua"/>
          <w:sz w:val="24"/>
          <w:szCs w:val="24"/>
          <w:lang w:val="en-US" w:eastAsia="de-DE"/>
        </w:rPr>
        <w:t>0.445</w:t>
      </w:r>
      <w:r w:rsidR="005076A3" w:rsidRPr="006479DA">
        <w:rPr>
          <w:rFonts w:ascii="Book Antiqua" w:eastAsia="Arial Unicode MS" w:hAnsi="Book Antiqua"/>
          <w:sz w:val="24"/>
          <w:szCs w:val="24"/>
          <w:lang w:val="en-US" w:eastAsia="de-DE"/>
        </w:rPr>
        <w:t xml:space="preserve">, </w:t>
      </w:r>
      <w:r w:rsidR="00783C2B" w:rsidRPr="00C509DD">
        <w:rPr>
          <w:rFonts w:ascii="Book Antiqua" w:eastAsia="Arial Unicode MS" w:hAnsi="Book Antiqua"/>
          <w:i/>
          <w:caps/>
          <w:sz w:val="24"/>
          <w:szCs w:val="24"/>
          <w:lang w:val="en-US" w:eastAsia="de-DE"/>
        </w:rPr>
        <w:t>p</w:t>
      </w:r>
      <w:r w:rsidR="00E7062D" w:rsidRPr="006479DA">
        <w:rPr>
          <w:rFonts w:ascii="Book Antiqua" w:eastAsia="Arial Unicode MS" w:hAnsi="Book Antiqua"/>
          <w:sz w:val="24"/>
          <w:szCs w:val="24"/>
          <w:lang w:val="en-US" w:eastAsia="de-DE"/>
        </w:rPr>
        <w:t xml:space="preserve"> </w:t>
      </w:r>
      <w:r w:rsidR="00783C2B" w:rsidRPr="006479DA">
        <w:rPr>
          <w:rFonts w:ascii="Book Antiqua" w:eastAsia="Arial Unicode MS" w:hAnsi="Book Antiqua"/>
          <w:sz w:val="24"/>
          <w:szCs w:val="24"/>
          <w:lang w:val="en-US" w:eastAsia="de-DE"/>
        </w:rPr>
        <w:t>=</w:t>
      </w:r>
      <w:r w:rsidR="00E7062D" w:rsidRPr="006479DA">
        <w:rPr>
          <w:rFonts w:ascii="Book Antiqua" w:eastAsia="Arial Unicode MS" w:hAnsi="Book Antiqua"/>
          <w:sz w:val="24"/>
          <w:szCs w:val="24"/>
          <w:lang w:val="en-US" w:eastAsia="de-DE"/>
        </w:rPr>
        <w:t xml:space="preserve"> </w:t>
      </w:r>
      <w:r w:rsidR="00783C2B" w:rsidRPr="006479DA">
        <w:rPr>
          <w:rFonts w:ascii="Book Antiqua" w:eastAsia="Arial Unicode MS" w:hAnsi="Book Antiqua"/>
          <w:sz w:val="24"/>
          <w:szCs w:val="24"/>
          <w:lang w:val="en-US" w:eastAsia="de-DE"/>
        </w:rPr>
        <w:t>0</w:t>
      </w:r>
      <w:r w:rsidR="00054B63" w:rsidRPr="006479DA">
        <w:rPr>
          <w:rFonts w:ascii="Book Antiqua" w:eastAsia="Arial Unicode MS" w:hAnsi="Book Antiqua"/>
          <w:sz w:val="24"/>
          <w:szCs w:val="24"/>
          <w:lang w:val="en-US" w:eastAsia="de-DE"/>
        </w:rPr>
        <w:t>.</w:t>
      </w:r>
      <w:r w:rsidR="005076A3" w:rsidRPr="006479DA">
        <w:rPr>
          <w:rFonts w:ascii="Book Antiqua" w:eastAsia="Arial Unicode MS" w:hAnsi="Book Antiqua"/>
          <w:sz w:val="24"/>
          <w:szCs w:val="24"/>
          <w:lang w:val="en-US" w:eastAsia="de-DE"/>
        </w:rPr>
        <w:t>002</w:t>
      </w:r>
      <w:r w:rsidR="00E00265" w:rsidRPr="006479DA">
        <w:rPr>
          <w:rFonts w:ascii="Book Antiqua" w:eastAsia="Arial Unicode MS" w:hAnsi="Book Antiqua"/>
          <w:sz w:val="24"/>
          <w:szCs w:val="24"/>
          <w:lang w:val="en-US" w:eastAsia="de-DE"/>
        </w:rPr>
        <w:t>)</w:t>
      </w:r>
      <w:r w:rsidR="005C55FB" w:rsidRPr="006479DA">
        <w:rPr>
          <w:rFonts w:ascii="Book Antiqua" w:eastAsia="Arial Unicode MS" w:hAnsi="Book Antiqua"/>
          <w:sz w:val="24"/>
          <w:szCs w:val="24"/>
          <w:lang w:val="en-US" w:eastAsia="de-DE"/>
        </w:rPr>
        <w:t xml:space="preserve"> </w:t>
      </w:r>
      <w:r w:rsidR="005C55FB" w:rsidRPr="00C509DD">
        <w:rPr>
          <w:rFonts w:ascii="Book Antiqua" w:eastAsia="Arial Unicode MS" w:hAnsi="Book Antiqua"/>
          <w:sz w:val="24"/>
          <w:szCs w:val="24"/>
          <w:lang w:val="en-US" w:eastAsia="de-DE"/>
        </w:rPr>
        <w:t>(Table 2)</w:t>
      </w:r>
      <w:r w:rsidR="00E00265" w:rsidRPr="00C509DD">
        <w:rPr>
          <w:rFonts w:ascii="Book Antiqua" w:eastAsia="Arial Unicode MS" w:hAnsi="Book Antiqua"/>
          <w:sz w:val="24"/>
          <w:szCs w:val="24"/>
          <w:lang w:val="en-US" w:eastAsia="de-DE"/>
        </w:rPr>
        <w:t>.</w:t>
      </w:r>
      <w:r w:rsidR="00783C2B" w:rsidRPr="006479DA">
        <w:rPr>
          <w:rFonts w:ascii="Book Antiqua" w:eastAsia="Arial Unicode MS" w:hAnsi="Book Antiqua"/>
          <w:sz w:val="24"/>
          <w:szCs w:val="24"/>
          <w:lang w:val="en-US" w:eastAsia="de-DE"/>
        </w:rPr>
        <w:t xml:space="preserve"> </w:t>
      </w:r>
      <w:r w:rsidR="00E66472" w:rsidRPr="006479DA">
        <w:rPr>
          <w:rFonts w:ascii="Book Antiqua" w:eastAsia="Arial Unicode MS" w:hAnsi="Book Antiqua"/>
          <w:sz w:val="24"/>
          <w:szCs w:val="24"/>
          <w:lang w:val="en-US" w:eastAsia="de-DE"/>
        </w:rPr>
        <w:t>Because of lack of association of the IP index wit</w:t>
      </w:r>
      <w:r w:rsidR="005C55FB" w:rsidRPr="006479DA">
        <w:rPr>
          <w:rFonts w:ascii="Book Antiqua" w:eastAsia="Arial Unicode MS" w:hAnsi="Book Antiqua"/>
          <w:sz w:val="24"/>
          <w:szCs w:val="24"/>
          <w:lang w:val="en-US" w:eastAsia="de-DE"/>
        </w:rPr>
        <w:t>h creatinine</w:t>
      </w:r>
      <w:r w:rsidR="00E66472" w:rsidRPr="006479DA">
        <w:rPr>
          <w:rFonts w:ascii="Book Antiqua" w:eastAsia="Arial Unicode MS" w:hAnsi="Book Antiqua"/>
          <w:sz w:val="24"/>
          <w:szCs w:val="24"/>
          <w:lang w:val="en-US" w:eastAsia="de-DE"/>
        </w:rPr>
        <w:t>, a correlation of the IP index with the MELD s</w:t>
      </w:r>
      <w:r w:rsidR="00464FF9" w:rsidRPr="006479DA">
        <w:rPr>
          <w:rFonts w:ascii="Book Antiqua" w:eastAsia="Arial Unicode MS" w:hAnsi="Book Antiqua"/>
          <w:sz w:val="24"/>
          <w:szCs w:val="24"/>
          <w:lang w:val="en-US" w:eastAsia="de-DE"/>
        </w:rPr>
        <w:t>core</w:t>
      </w:r>
      <w:r w:rsidR="00783C2B" w:rsidRPr="006479DA">
        <w:rPr>
          <w:rFonts w:ascii="Book Antiqua" w:eastAsia="Arial Unicode MS" w:hAnsi="Book Antiqua"/>
          <w:sz w:val="24"/>
          <w:szCs w:val="24"/>
          <w:lang w:val="en-US" w:eastAsia="de-DE"/>
        </w:rPr>
        <w:t xml:space="preserve"> </w:t>
      </w:r>
      <w:r w:rsidR="00E66472" w:rsidRPr="006479DA">
        <w:rPr>
          <w:rFonts w:ascii="Book Antiqua" w:eastAsia="Arial Unicode MS" w:hAnsi="Book Antiqua"/>
          <w:sz w:val="24"/>
          <w:szCs w:val="24"/>
          <w:lang w:val="en-US" w:eastAsia="de-DE"/>
        </w:rPr>
        <w:t xml:space="preserve">failed the level of statistical significance </w:t>
      </w:r>
      <w:r w:rsidR="00464FF9" w:rsidRPr="006479DA">
        <w:rPr>
          <w:rFonts w:ascii="Book Antiqua" w:eastAsia="Arial Unicode MS" w:hAnsi="Book Antiqua"/>
          <w:sz w:val="24"/>
          <w:szCs w:val="24"/>
          <w:lang w:val="en-US" w:eastAsia="de-DE"/>
        </w:rPr>
        <w:t>(</w:t>
      </w:r>
      <w:r w:rsidR="005C55FB" w:rsidRPr="00C509DD">
        <w:rPr>
          <w:rFonts w:ascii="Book Antiqua" w:eastAsia="Arial Unicode MS" w:hAnsi="Book Antiqua"/>
          <w:sz w:val="24"/>
          <w:szCs w:val="24"/>
          <w:lang w:val="en-US" w:eastAsia="de-DE"/>
        </w:rPr>
        <w:t>Figure 1B).</w:t>
      </w:r>
      <w:r w:rsidR="008953D6" w:rsidRPr="006479DA">
        <w:rPr>
          <w:rFonts w:ascii="Book Antiqua" w:eastAsia="Arial Unicode MS" w:hAnsi="Book Antiqua"/>
          <w:sz w:val="24"/>
          <w:szCs w:val="24"/>
          <w:lang w:val="en-US" w:eastAsia="de-DE"/>
        </w:rPr>
        <w:t xml:space="preserve"> </w:t>
      </w:r>
      <w:r w:rsidR="00273743" w:rsidRPr="006479DA">
        <w:rPr>
          <w:rFonts w:ascii="Book Antiqua" w:eastAsia="Arial Unicode MS" w:hAnsi="Book Antiqua"/>
          <w:sz w:val="24"/>
          <w:szCs w:val="24"/>
          <w:lang w:val="en-US" w:eastAsia="de-DE"/>
        </w:rPr>
        <w:t xml:space="preserve">There was no significant association the IP index with diabetes, serum creatinine or co-medication with </w:t>
      </w:r>
      <w:r w:rsidR="00E317E2" w:rsidRPr="006479DA">
        <w:rPr>
          <w:rFonts w:ascii="Book Antiqua" w:hAnsi="Book Antiqua"/>
          <w:sz w:val="24"/>
          <w:szCs w:val="24"/>
          <w:lang w:val="en-US"/>
        </w:rPr>
        <w:t>proton pump inhibitors (PPI) or non</w:t>
      </w:r>
      <w:r w:rsidR="00865659" w:rsidRPr="006479DA">
        <w:rPr>
          <w:rFonts w:ascii="Book Antiqua" w:hAnsi="Book Antiqua"/>
          <w:sz w:val="24"/>
          <w:szCs w:val="24"/>
          <w:lang w:val="en-US"/>
        </w:rPr>
        <w:t>-selective beta blockers (NSBB)</w:t>
      </w:r>
      <w:r w:rsidR="00E317E2" w:rsidRPr="006479DA">
        <w:rPr>
          <w:rFonts w:ascii="Book Antiqua" w:hAnsi="Book Antiqua"/>
          <w:sz w:val="24"/>
          <w:szCs w:val="24"/>
          <w:lang w:val="en-US"/>
        </w:rPr>
        <w:t xml:space="preserve">. </w:t>
      </w:r>
    </w:p>
    <w:p w14:paraId="2D9DB5B7" w14:textId="77777777" w:rsidR="00FD649A" w:rsidRPr="006479DA" w:rsidRDefault="00FD649A" w:rsidP="00265BAF">
      <w:pPr>
        <w:spacing w:after="0" w:line="360" w:lineRule="auto"/>
        <w:jc w:val="both"/>
        <w:rPr>
          <w:rFonts w:ascii="Book Antiqua" w:hAnsi="Book Antiqua"/>
          <w:sz w:val="24"/>
          <w:szCs w:val="24"/>
          <w:lang w:val="en-US"/>
        </w:rPr>
      </w:pPr>
    </w:p>
    <w:p w14:paraId="295AC6E5" w14:textId="66EE84D7" w:rsidR="003B0F3B" w:rsidRPr="006479DA" w:rsidRDefault="00850451" w:rsidP="00265BAF">
      <w:pPr>
        <w:spacing w:after="0" w:line="360" w:lineRule="auto"/>
        <w:jc w:val="both"/>
        <w:rPr>
          <w:rFonts w:ascii="Book Antiqua" w:hAnsi="Book Antiqua"/>
          <w:b/>
          <w:i/>
          <w:sz w:val="24"/>
          <w:szCs w:val="24"/>
          <w:lang w:val="en-US"/>
        </w:rPr>
      </w:pPr>
      <w:r w:rsidRPr="006479DA">
        <w:rPr>
          <w:rFonts w:ascii="Book Antiqua" w:hAnsi="Book Antiqua"/>
          <w:b/>
          <w:i/>
          <w:sz w:val="24"/>
          <w:szCs w:val="24"/>
          <w:lang w:val="en-US"/>
        </w:rPr>
        <w:t>I</w:t>
      </w:r>
      <w:r w:rsidR="003B0F3B" w:rsidRPr="006479DA">
        <w:rPr>
          <w:rFonts w:ascii="Book Antiqua" w:hAnsi="Book Antiqua"/>
          <w:b/>
          <w:i/>
          <w:sz w:val="24"/>
          <w:szCs w:val="24"/>
          <w:lang w:val="en-US"/>
        </w:rPr>
        <w:t>nflammation and mucosal injury</w:t>
      </w:r>
    </w:p>
    <w:p w14:paraId="44DCB496" w14:textId="4488FF40" w:rsidR="005534CC" w:rsidRPr="006479DA" w:rsidRDefault="00F266EC" w:rsidP="00265BAF">
      <w:pPr>
        <w:spacing w:after="0" w:line="360" w:lineRule="auto"/>
        <w:jc w:val="both"/>
        <w:rPr>
          <w:rFonts w:ascii="Book Antiqua" w:eastAsia="Arial Unicode MS" w:hAnsi="Book Antiqua"/>
          <w:sz w:val="24"/>
          <w:szCs w:val="24"/>
          <w:lang w:val="en-US" w:eastAsia="de-DE"/>
        </w:rPr>
      </w:pPr>
      <w:r w:rsidRPr="006479DA">
        <w:rPr>
          <w:rFonts w:ascii="Book Antiqua" w:eastAsia="Arial Unicode MS" w:hAnsi="Book Antiqua"/>
          <w:sz w:val="24"/>
          <w:szCs w:val="24"/>
          <w:lang w:val="en-US" w:eastAsia="de-DE"/>
        </w:rPr>
        <w:t xml:space="preserve">Although there was no overall correlation of the IP index with LBP serum concentrations </w:t>
      </w:r>
      <w:r w:rsidRPr="00C509DD">
        <w:rPr>
          <w:rFonts w:ascii="Book Antiqua" w:eastAsia="Arial Unicode MS" w:hAnsi="Book Antiqua"/>
          <w:sz w:val="24"/>
          <w:szCs w:val="24"/>
          <w:lang w:val="en-US" w:eastAsia="de-DE"/>
        </w:rPr>
        <w:t>(Figure 2A),</w:t>
      </w:r>
      <w:r w:rsidRPr="006479DA">
        <w:rPr>
          <w:rFonts w:ascii="Book Antiqua" w:eastAsia="Arial Unicode MS" w:hAnsi="Book Antiqua"/>
          <w:sz w:val="24"/>
          <w:szCs w:val="24"/>
          <w:lang w:val="en-US" w:eastAsia="de-DE"/>
        </w:rPr>
        <w:t xml:space="preserve"> median LBP levels were significantly higher in patients with pathological IP than in patients without (median 25 µg/m</w:t>
      </w:r>
      <w:r w:rsidRPr="00C509DD">
        <w:rPr>
          <w:rFonts w:ascii="Book Antiqua" w:eastAsia="Arial Unicode MS" w:hAnsi="Book Antiqua"/>
          <w:caps/>
          <w:sz w:val="24"/>
          <w:szCs w:val="24"/>
          <w:lang w:val="en-US" w:eastAsia="de-DE"/>
        </w:rPr>
        <w:t xml:space="preserve">l </w:t>
      </w:r>
      <w:r w:rsidRPr="00C509DD">
        <w:rPr>
          <w:rFonts w:ascii="Book Antiqua" w:eastAsia="Arial Unicode MS" w:hAnsi="Book Antiqua"/>
          <w:i/>
          <w:sz w:val="24"/>
          <w:szCs w:val="24"/>
          <w:lang w:val="en-US" w:eastAsia="de-DE"/>
        </w:rPr>
        <w:t>vs</w:t>
      </w:r>
      <w:r w:rsidR="00C509DD">
        <w:rPr>
          <w:rFonts w:ascii="Book Antiqua" w:eastAsia="Arial Unicode MS" w:hAnsi="Book Antiqua" w:hint="eastAsia"/>
          <w:sz w:val="24"/>
          <w:szCs w:val="24"/>
          <w:lang w:val="en-US" w:eastAsia="zh-CN"/>
        </w:rPr>
        <w:t xml:space="preserve"> </w:t>
      </w:r>
      <w:r w:rsidRPr="006479DA">
        <w:rPr>
          <w:rFonts w:ascii="Book Antiqua" w:eastAsia="Arial Unicode MS" w:hAnsi="Book Antiqua"/>
          <w:sz w:val="24"/>
          <w:szCs w:val="24"/>
          <w:lang w:val="en-US" w:eastAsia="de-DE"/>
        </w:rPr>
        <w:t>13 µg/m</w:t>
      </w:r>
      <w:r w:rsidRPr="00C509DD">
        <w:rPr>
          <w:rFonts w:ascii="Book Antiqua" w:eastAsia="Arial Unicode MS" w:hAnsi="Book Antiqua"/>
          <w:caps/>
          <w:sz w:val="24"/>
          <w:szCs w:val="24"/>
          <w:lang w:val="en-US" w:eastAsia="de-DE"/>
        </w:rPr>
        <w:t>l</w:t>
      </w:r>
      <w:r w:rsidRPr="006479DA">
        <w:rPr>
          <w:rFonts w:ascii="Book Antiqua" w:eastAsia="Arial Unicode MS" w:hAnsi="Book Antiqua"/>
          <w:sz w:val="24"/>
          <w:szCs w:val="24"/>
          <w:lang w:val="en-US" w:eastAsia="de-DE"/>
        </w:rPr>
        <w:t xml:space="preserve">, </w:t>
      </w:r>
      <w:r w:rsidRPr="00C509DD">
        <w:rPr>
          <w:rFonts w:ascii="Book Antiqua" w:eastAsia="Arial Unicode MS" w:hAnsi="Book Antiqua"/>
          <w:i/>
          <w:caps/>
          <w:sz w:val="24"/>
          <w:szCs w:val="24"/>
          <w:lang w:val="en-US" w:eastAsia="de-DE"/>
        </w:rPr>
        <w:t xml:space="preserve">p </w:t>
      </w:r>
      <w:r w:rsidRPr="006479DA">
        <w:rPr>
          <w:rFonts w:ascii="Book Antiqua" w:eastAsia="Arial Unicode MS" w:hAnsi="Book Antiqua"/>
          <w:sz w:val="24"/>
          <w:szCs w:val="24"/>
          <w:lang w:val="en-US" w:eastAsia="de-DE"/>
        </w:rPr>
        <w:t>= 0.01)</w:t>
      </w:r>
      <w:r w:rsidR="00FD649A" w:rsidRPr="006479DA">
        <w:rPr>
          <w:rFonts w:ascii="Book Antiqua" w:eastAsia="Arial Unicode MS" w:hAnsi="Book Antiqua"/>
          <w:sz w:val="24"/>
          <w:szCs w:val="24"/>
          <w:lang w:val="en-US" w:eastAsia="de-DE"/>
        </w:rPr>
        <w:t xml:space="preserve">. </w:t>
      </w:r>
      <w:r w:rsidRPr="006479DA">
        <w:rPr>
          <w:rFonts w:ascii="Book Antiqua" w:eastAsia="Arial Unicode MS" w:hAnsi="Book Antiqua"/>
          <w:sz w:val="24"/>
          <w:szCs w:val="24"/>
          <w:lang w:val="en-US" w:eastAsia="de-DE"/>
        </w:rPr>
        <w:t>I</w:t>
      </w:r>
      <w:r w:rsidR="00F55204" w:rsidRPr="006479DA">
        <w:rPr>
          <w:rFonts w:ascii="Book Antiqua" w:eastAsia="Arial Unicode MS" w:hAnsi="Book Antiqua"/>
          <w:sz w:val="24"/>
          <w:szCs w:val="24"/>
          <w:lang w:val="en-US" w:eastAsia="de-DE"/>
        </w:rPr>
        <w:t xml:space="preserve">n addition, </w:t>
      </w:r>
      <w:r w:rsidR="00050107" w:rsidRPr="006479DA">
        <w:rPr>
          <w:rFonts w:ascii="Book Antiqua" w:eastAsia="Arial Unicode MS" w:hAnsi="Book Antiqua"/>
          <w:sz w:val="24"/>
          <w:szCs w:val="24"/>
          <w:lang w:val="en-US" w:eastAsia="de-DE"/>
        </w:rPr>
        <w:t xml:space="preserve">higher </w:t>
      </w:r>
      <w:r w:rsidR="00F55204" w:rsidRPr="006479DA">
        <w:rPr>
          <w:rFonts w:ascii="Book Antiqua" w:eastAsia="Arial Unicode MS" w:hAnsi="Book Antiqua"/>
          <w:sz w:val="24"/>
          <w:szCs w:val="24"/>
          <w:lang w:val="en-US" w:eastAsia="de-DE"/>
        </w:rPr>
        <w:t xml:space="preserve">serum concentrations </w:t>
      </w:r>
      <w:r w:rsidR="00050107" w:rsidRPr="006479DA">
        <w:rPr>
          <w:rFonts w:ascii="Book Antiqua" w:eastAsia="Arial Unicode MS" w:hAnsi="Book Antiqua"/>
          <w:sz w:val="24"/>
          <w:szCs w:val="24"/>
          <w:lang w:val="en-US" w:eastAsia="de-DE"/>
        </w:rPr>
        <w:t xml:space="preserve">of IL-6 </w:t>
      </w:r>
      <w:r w:rsidR="00F55204" w:rsidRPr="006479DA">
        <w:rPr>
          <w:rFonts w:ascii="Book Antiqua" w:eastAsia="Arial Unicode MS" w:hAnsi="Book Antiqua"/>
          <w:sz w:val="24"/>
          <w:szCs w:val="24"/>
          <w:lang w:val="en-US" w:eastAsia="de-DE"/>
        </w:rPr>
        <w:t>correlated with</w:t>
      </w:r>
      <w:r w:rsidR="00050107" w:rsidRPr="006479DA">
        <w:rPr>
          <w:rFonts w:ascii="Book Antiqua" w:eastAsia="Arial Unicode MS" w:hAnsi="Book Antiqua"/>
          <w:sz w:val="24"/>
          <w:szCs w:val="24"/>
          <w:lang w:val="en-US" w:eastAsia="de-DE"/>
        </w:rPr>
        <w:t xml:space="preserve"> higher</w:t>
      </w:r>
      <w:r w:rsidR="00F55204" w:rsidRPr="006479DA">
        <w:rPr>
          <w:rFonts w:ascii="Book Antiqua" w:eastAsia="Arial Unicode MS" w:hAnsi="Book Antiqua"/>
          <w:sz w:val="24"/>
          <w:szCs w:val="24"/>
          <w:lang w:val="en-US" w:eastAsia="de-DE"/>
        </w:rPr>
        <w:t xml:space="preserve"> IP index </w:t>
      </w:r>
      <w:r w:rsidR="00F55204" w:rsidRPr="00C509DD">
        <w:rPr>
          <w:rFonts w:ascii="Book Antiqua" w:eastAsia="Arial Unicode MS" w:hAnsi="Book Antiqua"/>
          <w:sz w:val="24"/>
          <w:szCs w:val="24"/>
          <w:lang w:val="en-US" w:eastAsia="de-DE"/>
        </w:rPr>
        <w:t>(Figure 2B)</w:t>
      </w:r>
      <w:r w:rsidR="00F55204" w:rsidRPr="006479DA">
        <w:rPr>
          <w:rFonts w:ascii="Book Antiqua" w:eastAsia="Arial Unicode MS" w:hAnsi="Book Antiqua"/>
          <w:sz w:val="24"/>
          <w:szCs w:val="24"/>
          <w:lang w:val="en-US" w:eastAsia="de-DE"/>
        </w:rPr>
        <w:t xml:space="preserve">. </w:t>
      </w:r>
      <w:r w:rsidRPr="006479DA">
        <w:rPr>
          <w:rFonts w:ascii="Book Antiqua" w:eastAsia="Arial Unicode MS" w:hAnsi="Book Antiqua"/>
          <w:sz w:val="24"/>
          <w:szCs w:val="24"/>
          <w:lang w:val="en-US" w:eastAsia="de-DE"/>
        </w:rPr>
        <w:t xml:space="preserve"> </w:t>
      </w:r>
      <w:r w:rsidR="00F55204" w:rsidRPr="006479DA">
        <w:rPr>
          <w:rFonts w:ascii="Book Antiqua" w:eastAsia="Arial Unicode MS" w:hAnsi="Book Antiqua"/>
          <w:sz w:val="24"/>
          <w:szCs w:val="24"/>
          <w:lang w:val="en-US" w:eastAsia="de-DE"/>
        </w:rPr>
        <w:t>When serum was assessed for concentrations of I-FABP, an enterocyte-specific marker of mucosal injury,</w:t>
      </w:r>
      <w:r w:rsidR="00A23DF4" w:rsidRPr="006479DA">
        <w:rPr>
          <w:rFonts w:ascii="Book Antiqua" w:eastAsia="Arial Unicode MS" w:hAnsi="Book Antiqua"/>
          <w:sz w:val="24"/>
          <w:szCs w:val="24"/>
          <w:lang w:val="en-US" w:eastAsia="de-DE"/>
        </w:rPr>
        <w:t xml:space="preserve"> I-FABP was higher than the expected normal range</w:t>
      </w:r>
      <w:r w:rsidR="00FD649A" w:rsidRPr="006479DA">
        <w:rPr>
          <w:rFonts w:ascii="Book Antiqua" w:eastAsia="Arial Unicode MS" w:hAnsi="Book Antiqua"/>
          <w:sz w:val="24"/>
          <w:szCs w:val="24"/>
          <w:lang w:val="en-US" w:eastAsia="de-DE"/>
        </w:rPr>
        <w:t xml:space="preserve"> (210 - 870</w:t>
      </w:r>
      <w:r w:rsidR="00F55204" w:rsidRPr="006479DA">
        <w:rPr>
          <w:rFonts w:ascii="Book Antiqua" w:eastAsia="Arial Unicode MS" w:hAnsi="Book Antiqua"/>
          <w:sz w:val="24"/>
          <w:szCs w:val="24"/>
          <w:lang w:val="en-US" w:eastAsia="de-DE"/>
        </w:rPr>
        <w:t xml:space="preserve"> pg/m</w:t>
      </w:r>
      <w:r w:rsidR="00F55204" w:rsidRPr="00C509DD">
        <w:rPr>
          <w:rFonts w:ascii="Book Antiqua" w:eastAsia="Arial Unicode MS" w:hAnsi="Book Antiqua"/>
          <w:caps/>
          <w:sz w:val="24"/>
          <w:szCs w:val="24"/>
          <w:lang w:val="en-US" w:eastAsia="de-DE"/>
        </w:rPr>
        <w:t>l</w:t>
      </w:r>
      <w:r w:rsidR="00F55204" w:rsidRPr="006479DA">
        <w:rPr>
          <w:rFonts w:ascii="Book Antiqua" w:eastAsia="Arial Unicode MS" w:hAnsi="Book Antiqua"/>
          <w:sz w:val="24"/>
          <w:szCs w:val="24"/>
          <w:lang w:val="en-US" w:eastAsia="de-DE"/>
        </w:rPr>
        <w:t>)</w:t>
      </w:r>
      <w:r w:rsidR="00A23DF4" w:rsidRPr="006479DA">
        <w:rPr>
          <w:rFonts w:ascii="Book Antiqua" w:eastAsia="Arial Unicode MS" w:hAnsi="Book Antiqua"/>
          <w:sz w:val="24"/>
          <w:szCs w:val="24"/>
          <w:lang w:val="en-US" w:eastAsia="de-DE"/>
        </w:rPr>
        <w:t xml:space="preserve"> in 72% (26/36)</w:t>
      </w:r>
      <w:r w:rsidR="00806516" w:rsidRPr="006479DA">
        <w:rPr>
          <w:rFonts w:ascii="Book Antiqua" w:eastAsia="Arial Unicode MS" w:hAnsi="Book Antiqua"/>
          <w:sz w:val="24"/>
          <w:szCs w:val="24"/>
          <w:lang w:val="en-US" w:eastAsia="de-DE"/>
        </w:rPr>
        <w:t xml:space="preserve"> of </w:t>
      </w:r>
      <w:r w:rsidR="00F55204" w:rsidRPr="006479DA">
        <w:rPr>
          <w:rFonts w:ascii="Book Antiqua" w:eastAsia="Arial Unicode MS" w:hAnsi="Book Antiqua"/>
          <w:sz w:val="24"/>
          <w:szCs w:val="24"/>
          <w:lang w:val="en-US" w:eastAsia="de-DE"/>
        </w:rPr>
        <w:t>patients</w:t>
      </w:r>
      <w:r w:rsidR="00B02720" w:rsidRPr="006479DA">
        <w:rPr>
          <w:rFonts w:ascii="Book Antiqua" w:eastAsia="Arial Unicode MS" w:hAnsi="Book Antiqua"/>
          <w:sz w:val="24"/>
          <w:szCs w:val="24"/>
          <w:lang w:val="en-US" w:eastAsia="de-DE"/>
        </w:rPr>
        <w:t xml:space="preserve">. There was no </w:t>
      </w:r>
      <w:r w:rsidR="005A0E74" w:rsidRPr="006479DA">
        <w:rPr>
          <w:rFonts w:ascii="Book Antiqua" w:eastAsia="Arial Unicode MS" w:hAnsi="Book Antiqua"/>
          <w:sz w:val="24"/>
          <w:szCs w:val="24"/>
          <w:lang w:val="en-US" w:eastAsia="de-DE"/>
        </w:rPr>
        <w:t xml:space="preserve">evidence for a </w:t>
      </w:r>
      <w:r w:rsidR="00B02720" w:rsidRPr="006479DA">
        <w:rPr>
          <w:rFonts w:ascii="Book Antiqua" w:eastAsia="Arial Unicode MS" w:hAnsi="Book Antiqua"/>
          <w:sz w:val="24"/>
          <w:szCs w:val="24"/>
          <w:lang w:val="en-US" w:eastAsia="de-DE"/>
        </w:rPr>
        <w:t>correlatio</w:t>
      </w:r>
      <w:r w:rsidR="00342459" w:rsidRPr="006479DA">
        <w:rPr>
          <w:rFonts w:ascii="Book Antiqua" w:eastAsia="Arial Unicode MS" w:hAnsi="Book Antiqua"/>
          <w:sz w:val="24"/>
          <w:szCs w:val="24"/>
          <w:lang w:val="en-US" w:eastAsia="de-DE"/>
        </w:rPr>
        <w:t xml:space="preserve">n </w:t>
      </w:r>
      <w:r w:rsidR="008953D6" w:rsidRPr="006479DA">
        <w:rPr>
          <w:rFonts w:ascii="Book Antiqua" w:eastAsia="Arial Unicode MS" w:hAnsi="Book Antiqua"/>
          <w:sz w:val="24"/>
          <w:szCs w:val="24"/>
          <w:lang w:val="en-US" w:eastAsia="de-DE"/>
        </w:rPr>
        <w:t>of</w:t>
      </w:r>
      <w:r w:rsidR="00342459" w:rsidRPr="006479DA">
        <w:rPr>
          <w:rFonts w:ascii="Book Antiqua" w:eastAsia="Arial Unicode MS" w:hAnsi="Book Antiqua"/>
          <w:sz w:val="24"/>
          <w:szCs w:val="24"/>
          <w:lang w:val="en-US" w:eastAsia="de-DE"/>
        </w:rPr>
        <w:t xml:space="preserve"> I-FABP </w:t>
      </w:r>
      <w:r w:rsidR="008953D6" w:rsidRPr="006479DA">
        <w:rPr>
          <w:rFonts w:ascii="Book Antiqua" w:eastAsia="Arial Unicode MS" w:hAnsi="Book Antiqua"/>
          <w:sz w:val="24"/>
          <w:szCs w:val="24"/>
          <w:lang w:val="en-US" w:eastAsia="de-DE"/>
        </w:rPr>
        <w:t>with the</w:t>
      </w:r>
      <w:r w:rsidR="00342459" w:rsidRPr="006479DA">
        <w:rPr>
          <w:rFonts w:ascii="Book Antiqua" w:eastAsia="Arial Unicode MS" w:hAnsi="Book Antiqua"/>
          <w:sz w:val="24"/>
          <w:szCs w:val="24"/>
          <w:lang w:val="en-US" w:eastAsia="de-DE"/>
        </w:rPr>
        <w:t xml:space="preserve"> IP index</w:t>
      </w:r>
      <w:r w:rsidR="008953D6" w:rsidRPr="006479DA">
        <w:rPr>
          <w:rFonts w:ascii="Book Antiqua" w:eastAsia="Arial Unicode MS" w:hAnsi="Book Antiqua"/>
          <w:sz w:val="24"/>
          <w:szCs w:val="24"/>
          <w:lang w:val="en-US" w:eastAsia="de-DE"/>
        </w:rPr>
        <w:t xml:space="preserve"> </w:t>
      </w:r>
      <w:r w:rsidR="008953D6" w:rsidRPr="00C509DD">
        <w:rPr>
          <w:rFonts w:ascii="Book Antiqua" w:eastAsia="Arial Unicode MS" w:hAnsi="Book Antiqua"/>
          <w:sz w:val="24"/>
          <w:szCs w:val="24"/>
          <w:lang w:val="en-US" w:eastAsia="de-DE"/>
        </w:rPr>
        <w:t xml:space="preserve">(Figure </w:t>
      </w:r>
      <w:r w:rsidR="00CC0443" w:rsidRPr="00C509DD">
        <w:rPr>
          <w:rFonts w:ascii="Book Antiqua" w:eastAsia="Arial Unicode MS" w:hAnsi="Book Antiqua"/>
          <w:sz w:val="24"/>
          <w:szCs w:val="24"/>
          <w:lang w:val="en-US" w:eastAsia="de-DE"/>
        </w:rPr>
        <w:t>2</w:t>
      </w:r>
      <w:r w:rsidR="008953D6" w:rsidRPr="00C509DD">
        <w:rPr>
          <w:rFonts w:ascii="Book Antiqua" w:eastAsia="Arial Unicode MS" w:hAnsi="Book Antiqua"/>
          <w:sz w:val="24"/>
          <w:szCs w:val="24"/>
          <w:lang w:val="en-US" w:eastAsia="de-DE"/>
        </w:rPr>
        <w:t>C)</w:t>
      </w:r>
      <w:r w:rsidR="008953D6" w:rsidRPr="006479DA">
        <w:rPr>
          <w:rFonts w:ascii="Book Antiqua" w:eastAsia="Arial Unicode MS" w:hAnsi="Book Antiqua"/>
          <w:sz w:val="24"/>
          <w:szCs w:val="24"/>
          <w:lang w:val="en-US" w:eastAsia="de-DE"/>
        </w:rPr>
        <w:t xml:space="preserve"> </w:t>
      </w:r>
      <w:r w:rsidR="00F55204" w:rsidRPr="006479DA">
        <w:rPr>
          <w:rFonts w:ascii="Book Antiqua" w:eastAsia="Arial Unicode MS" w:hAnsi="Book Antiqua"/>
          <w:sz w:val="24"/>
          <w:szCs w:val="24"/>
          <w:lang w:val="en-US" w:eastAsia="de-DE"/>
        </w:rPr>
        <w:t xml:space="preserve">or </w:t>
      </w:r>
      <w:r w:rsidR="008953D6" w:rsidRPr="006479DA">
        <w:rPr>
          <w:rFonts w:ascii="Book Antiqua" w:eastAsia="Arial Unicode MS" w:hAnsi="Book Antiqua"/>
          <w:sz w:val="24"/>
          <w:szCs w:val="24"/>
          <w:lang w:val="en-US" w:eastAsia="de-DE"/>
        </w:rPr>
        <w:t xml:space="preserve">with </w:t>
      </w:r>
      <w:r w:rsidR="00F55204" w:rsidRPr="006479DA">
        <w:rPr>
          <w:rFonts w:ascii="Book Antiqua" w:eastAsia="Arial Unicode MS" w:hAnsi="Book Antiqua"/>
          <w:sz w:val="24"/>
          <w:szCs w:val="24"/>
          <w:lang w:val="en-US" w:eastAsia="de-DE"/>
        </w:rPr>
        <w:t>pathological IP (</w:t>
      </w:r>
      <w:r w:rsidR="00F55204" w:rsidRPr="00C509DD">
        <w:rPr>
          <w:rFonts w:ascii="Book Antiqua" w:eastAsia="Arial Unicode MS" w:hAnsi="Book Antiqua"/>
          <w:i/>
          <w:caps/>
          <w:sz w:val="24"/>
          <w:szCs w:val="24"/>
          <w:lang w:val="en-US" w:eastAsia="de-DE"/>
        </w:rPr>
        <w:t>p</w:t>
      </w:r>
      <w:r w:rsidR="00F55204" w:rsidRPr="006479DA">
        <w:rPr>
          <w:rFonts w:ascii="Book Antiqua" w:eastAsia="Arial Unicode MS" w:hAnsi="Book Antiqua"/>
          <w:i/>
          <w:sz w:val="24"/>
          <w:szCs w:val="24"/>
          <w:lang w:val="en-US" w:eastAsia="de-DE"/>
        </w:rPr>
        <w:t xml:space="preserve"> </w:t>
      </w:r>
      <w:r w:rsidR="00AC7C40" w:rsidRPr="006479DA">
        <w:rPr>
          <w:rFonts w:ascii="Book Antiqua" w:eastAsia="Arial Unicode MS" w:hAnsi="Book Antiqua"/>
          <w:sz w:val="24"/>
          <w:szCs w:val="24"/>
          <w:lang w:val="en-US" w:eastAsia="de-DE"/>
        </w:rPr>
        <w:t>= 0</w:t>
      </w:r>
      <w:r w:rsidR="00F41B2E" w:rsidRPr="006479DA">
        <w:rPr>
          <w:rFonts w:ascii="Book Antiqua" w:eastAsia="Arial Unicode MS" w:hAnsi="Book Antiqua"/>
          <w:sz w:val="24"/>
          <w:szCs w:val="24"/>
          <w:lang w:val="en-US" w:eastAsia="de-DE"/>
        </w:rPr>
        <w:t>.</w:t>
      </w:r>
      <w:r w:rsidR="00AC7C40" w:rsidRPr="006479DA">
        <w:rPr>
          <w:rFonts w:ascii="Book Antiqua" w:eastAsia="Arial Unicode MS" w:hAnsi="Book Antiqua"/>
          <w:sz w:val="24"/>
          <w:szCs w:val="24"/>
          <w:lang w:val="en-US" w:eastAsia="de-DE"/>
        </w:rPr>
        <w:t>61)</w:t>
      </w:r>
      <w:r w:rsidR="00995DC7" w:rsidRPr="006479DA">
        <w:rPr>
          <w:rFonts w:ascii="Book Antiqua" w:eastAsia="Arial Unicode MS" w:hAnsi="Book Antiqua"/>
          <w:sz w:val="24"/>
          <w:szCs w:val="24"/>
          <w:lang w:val="en-US" w:eastAsia="de-DE"/>
        </w:rPr>
        <w:t>.</w:t>
      </w:r>
      <w:r w:rsidR="00F55204" w:rsidRPr="006479DA">
        <w:rPr>
          <w:rFonts w:ascii="Book Antiqua" w:eastAsia="Arial Unicode MS" w:hAnsi="Book Antiqua"/>
          <w:sz w:val="24"/>
          <w:szCs w:val="24"/>
          <w:lang w:val="en-US" w:eastAsia="de-DE"/>
        </w:rPr>
        <w:t xml:space="preserve"> </w:t>
      </w:r>
    </w:p>
    <w:p w14:paraId="7EEDE1E0" w14:textId="77777777" w:rsidR="00B85881" w:rsidRPr="006479DA" w:rsidRDefault="00B85881" w:rsidP="00265BAF">
      <w:pPr>
        <w:spacing w:after="0" w:line="360" w:lineRule="auto"/>
        <w:jc w:val="both"/>
        <w:rPr>
          <w:rFonts w:ascii="Book Antiqua" w:eastAsia="Arial Unicode MS" w:hAnsi="Book Antiqua"/>
          <w:sz w:val="24"/>
          <w:szCs w:val="24"/>
          <w:lang w:val="en-US" w:eastAsia="de-DE"/>
        </w:rPr>
      </w:pPr>
    </w:p>
    <w:p w14:paraId="448CE09C" w14:textId="40E53CCE" w:rsidR="00E32D12" w:rsidRPr="006479DA" w:rsidRDefault="00EA495C" w:rsidP="00265BAF">
      <w:pPr>
        <w:spacing w:after="0" w:line="360" w:lineRule="auto"/>
        <w:jc w:val="both"/>
        <w:rPr>
          <w:rFonts w:ascii="Book Antiqua" w:eastAsia="Arial Unicode MS" w:hAnsi="Book Antiqua"/>
          <w:b/>
          <w:i/>
          <w:sz w:val="24"/>
          <w:szCs w:val="24"/>
          <w:lang w:val="en-US" w:eastAsia="de-DE"/>
        </w:rPr>
      </w:pPr>
      <w:r w:rsidRPr="006479DA">
        <w:rPr>
          <w:rFonts w:ascii="Book Antiqua" w:eastAsia="Arial Unicode MS" w:hAnsi="Book Antiqua"/>
          <w:b/>
          <w:i/>
          <w:sz w:val="24"/>
          <w:szCs w:val="24"/>
          <w:lang w:val="en-US" w:eastAsia="de-DE"/>
        </w:rPr>
        <w:t>Development of infections</w:t>
      </w:r>
    </w:p>
    <w:p w14:paraId="6C867CBC" w14:textId="300D0798" w:rsidR="00822BA1" w:rsidRPr="006479DA" w:rsidRDefault="00467147" w:rsidP="00265BAF">
      <w:pPr>
        <w:tabs>
          <w:tab w:val="left" w:pos="2040"/>
        </w:tabs>
        <w:spacing w:after="0" w:line="360" w:lineRule="auto"/>
        <w:jc w:val="both"/>
        <w:rPr>
          <w:rFonts w:ascii="Book Antiqua" w:eastAsia="Arial Unicode MS" w:hAnsi="Book Antiqua"/>
          <w:sz w:val="24"/>
          <w:szCs w:val="24"/>
          <w:lang w:val="en-US" w:eastAsia="zh-CN"/>
        </w:rPr>
      </w:pPr>
      <w:r w:rsidRPr="006479DA">
        <w:rPr>
          <w:rFonts w:ascii="Book Antiqua" w:eastAsia="Arial Unicode MS" w:hAnsi="Book Antiqua"/>
          <w:sz w:val="24"/>
          <w:szCs w:val="24"/>
          <w:lang w:val="en-US" w:eastAsia="de-DE"/>
        </w:rPr>
        <w:t>W</w:t>
      </w:r>
      <w:r w:rsidR="00FC022C" w:rsidRPr="006479DA">
        <w:rPr>
          <w:rFonts w:ascii="Book Antiqua" w:eastAsia="Arial Unicode MS" w:hAnsi="Book Antiqua"/>
          <w:sz w:val="24"/>
          <w:szCs w:val="24"/>
          <w:lang w:val="en-US" w:eastAsia="de-DE"/>
        </w:rPr>
        <w:t>ithin 365 d</w:t>
      </w:r>
      <w:r w:rsidR="00C509DD">
        <w:rPr>
          <w:rFonts w:ascii="Book Antiqua" w:eastAsia="Arial Unicode MS" w:hAnsi="Book Antiqua" w:hint="eastAsia"/>
          <w:sz w:val="24"/>
          <w:szCs w:val="24"/>
          <w:lang w:val="en-US" w:eastAsia="zh-CN"/>
        </w:rPr>
        <w:t xml:space="preserve"> </w:t>
      </w:r>
      <w:r w:rsidR="00FC022C" w:rsidRPr="006479DA">
        <w:rPr>
          <w:rFonts w:ascii="Book Antiqua" w:eastAsia="Arial Unicode MS" w:hAnsi="Book Antiqua"/>
          <w:sz w:val="24"/>
          <w:szCs w:val="24"/>
          <w:lang w:val="en-US" w:eastAsia="de-DE"/>
        </w:rPr>
        <w:t>follow-up</w:t>
      </w:r>
      <w:r w:rsidR="00202D3C" w:rsidRPr="006479DA">
        <w:rPr>
          <w:rFonts w:ascii="Book Antiqua" w:eastAsia="Arial Unicode MS" w:hAnsi="Book Antiqua"/>
          <w:sz w:val="24"/>
          <w:szCs w:val="24"/>
          <w:lang w:val="en-US" w:eastAsia="de-DE"/>
        </w:rPr>
        <w:t>,</w:t>
      </w:r>
      <w:r w:rsidR="00FC022C" w:rsidRPr="006479DA">
        <w:rPr>
          <w:rFonts w:ascii="Book Antiqua" w:eastAsia="Arial Unicode MS" w:hAnsi="Book Antiqua"/>
          <w:sz w:val="24"/>
          <w:szCs w:val="24"/>
          <w:lang w:val="en-US" w:eastAsia="de-DE"/>
        </w:rPr>
        <w:t xml:space="preserve"> 78% (36</w:t>
      </w:r>
      <w:r w:rsidRPr="006479DA">
        <w:rPr>
          <w:rFonts w:ascii="Book Antiqua" w:eastAsia="Arial Unicode MS" w:hAnsi="Book Antiqua"/>
          <w:sz w:val="24"/>
          <w:szCs w:val="24"/>
          <w:lang w:val="en-US" w:eastAsia="de-DE"/>
        </w:rPr>
        <w:t>/46) of the patients were hospitalized</w:t>
      </w:r>
      <w:r w:rsidR="000862BB" w:rsidRPr="006479DA">
        <w:rPr>
          <w:rFonts w:ascii="Book Antiqua" w:eastAsia="Arial Unicode MS" w:hAnsi="Book Antiqua"/>
          <w:sz w:val="24"/>
          <w:szCs w:val="24"/>
          <w:lang w:val="en-US" w:eastAsia="de-DE"/>
        </w:rPr>
        <w:t xml:space="preserve"> </w:t>
      </w:r>
      <w:r w:rsidR="00FC022C" w:rsidRPr="006479DA">
        <w:rPr>
          <w:rFonts w:ascii="Book Antiqua" w:eastAsia="Arial Unicode MS" w:hAnsi="Book Antiqua"/>
          <w:sz w:val="24"/>
          <w:szCs w:val="24"/>
          <w:lang w:val="en-US" w:eastAsia="de-DE"/>
        </w:rPr>
        <w:t>after a median of 42</w:t>
      </w:r>
      <w:r w:rsidRPr="006479DA">
        <w:rPr>
          <w:rFonts w:ascii="Book Antiqua" w:eastAsia="Arial Unicode MS" w:hAnsi="Book Antiqua"/>
          <w:sz w:val="24"/>
          <w:szCs w:val="24"/>
          <w:lang w:val="en-US" w:eastAsia="de-DE"/>
        </w:rPr>
        <w:t xml:space="preserve"> d</w:t>
      </w:r>
      <w:r w:rsidR="00C509DD">
        <w:rPr>
          <w:rFonts w:ascii="Book Antiqua" w:eastAsia="Arial Unicode MS" w:hAnsi="Book Antiqua"/>
          <w:sz w:val="24"/>
          <w:szCs w:val="24"/>
          <w:lang w:val="en-US" w:eastAsia="de-DE"/>
        </w:rPr>
        <w:t xml:space="preserve"> (range:  11–</w:t>
      </w:r>
      <w:r w:rsidR="00D13540" w:rsidRPr="006479DA">
        <w:rPr>
          <w:rFonts w:ascii="Book Antiqua" w:eastAsia="Arial Unicode MS" w:hAnsi="Book Antiqua"/>
          <w:sz w:val="24"/>
          <w:szCs w:val="24"/>
          <w:lang w:val="en-US" w:eastAsia="de-DE"/>
        </w:rPr>
        <w:t>216 d)</w:t>
      </w:r>
      <w:r w:rsidR="00202D3C" w:rsidRPr="006479DA">
        <w:rPr>
          <w:rFonts w:ascii="Book Antiqua" w:eastAsia="Arial Unicode MS" w:hAnsi="Book Antiqua"/>
          <w:sz w:val="24"/>
          <w:szCs w:val="24"/>
          <w:lang w:val="en-US" w:eastAsia="de-DE"/>
        </w:rPr>
        <w:t xml:space="preserve"> resulting in 111 hospitalizations with a total duration of 1464 d. </w:t>
      </w:r>
      <w:r w:rsidR="008C5FB9" w:rsidRPr="006479DA">
        <w:rPr>
          <w:rFonts w:ascii="Book Antiqua" w:eastAsia="Arial Unicode MS" w:hAnsi="Book Antiqua"/>
          <w:sz w:val="24"/>
          <w:szCs w:val="24"/>
          <w:lang w:val="en-US" w:eastAsia="de-DE"/>
        </w:rPr>
        <w:t xml:space="preserve">On average 2 hospitalizations per patient with a median duration of 20 d were observed. </w:t>
      </w:r>
      <w:r w:rsidR="00D13540" w:rsidRPr="006479DA">
        <w:rPr>
          <w:rFonts w:ascii="Book Antiqua" w:eastAsia="Arial Unicode MS" w:hAnsi="Book Antiqua"/>
          <w:sz w:val="24"/>
          <w:szCs w:val="24"/>
          <w:lang w:val="en-US" w:eastAsia="de-DE"/>
        </w:rPr>
        <w:t xml:space="preserve">Nineteen (41%) patients </w:t>
      </w:r>
      <w:r w:rsidR="00202D3C" w:rsidRPr="006479DA">
        <w:rPr>
          <w:rFonts w:ascii="Book Antiqua" w:eastAsia="Arial Unicode MS" w:hAnsi="Book Antiqua"/>
          <w:sz w:val="24"/>
          <w:szCs w:val="24"/>
          <w:lang w:val="en-US" w:eastAsia="de-DE"/>
        </w:rPr>
        <w:t xml:space="preserve">had a total of 33 episodes of hospitalization </w:t>
      </w:r>
      <w:r w:rsidR="00C539E2" w:rsidRPr="006479DA">
        <w:rPr>
          <w:rFonts w:ascii="Book Antiqua" w:eastAsia="Arial Unicode MS" w:hAnsi="Book Antiqua"/>
          <w:sz w:val="24"/>
          <w:szCs w:val="24"/>
          <w:lang w:val="en-US" w:eastAsia="de-DE"/>
        </w:rPr>
        <w:t xml:space="preserve">with admission for </w:t>
      </w:r>
      <w:r w:rsidR="00202D3C" w:rsidRPr="006479DA">
        <w:rPr>
          <w:rFonts w:ascii="Book Antiqua" w:eastAsia="Arial Unicode MS" w:hAnsi="Book Antiqua"/>
          <w:sz w:val="24"/>
          <w:szCs w:val="24"/>
          <w:lang w:val="en-US" w:eastAsia="de-DE"/>
        </w:rPr>
        <w:t xml:space="preserve">bacterial or fungal infection or </w:t>
      </w:r>
      <w:r w:rsidR="00C539E2" w:rsidRPr="006479DA">
        <w:rPr>
          <w:rFonts w:ascii="Book Antiqua" w:eastAsia="Arial Unicode MS" w:hAnsi="Book Antiqua"/>
          <w:sz w:val="24"/>
          <w:szCs w:val="24"/>
          <w:lang w:val="en-US" w:eastAsia="de-DE"/>
        </w:rPr>
        <w:t xml:space="preserve">development of </w:t>
      </w:r>
      <w:r w:rsidR="00202D3C" w:rsidRPr="006479DA">
        <w:rPr>
          <w:rFonts w:ascii="Book Antiqua" w:eastAsia="Arial Unicode MS" w:hAnsi="Book Antiqua"/>
          <w:sz w:val="24"/>
          <w:szCs w:val="24"/>
          <w:lang w:val="en-US" w:eastAsia="de-DE"/>
        </w:rPr>
        <w:t>infection during hospital stay.</w:t>
      </w:r>
      <w:r w:rsidR="00C539E2" w:rsidRPr="006479DA">
        <w:rPr>
          <w:rFonts w:ascii="Book Antiqua" w:eastAsia="Arial Unicode MS" w:hAnsi="Book Antiqua"/>
          <w:sz w:val="24"/>
          <w:szCs w:val="24"/>
          <w:lang w:val="en-US" w:eastAsia="de-DE"/>
        </w:rPr>
        <w:t xml:space="preserve"> </w:t>
      </w:r>
      <w:r w:rsidR="008C5FB9" w:rsidRPr="006479DA">
        <w:rPr>
          <w:rFonts w:ascii="Book Antiqua" w:eastAsia="Arial Unicode MS" w:hAnsi="Book Antiqua"/>
          <w:sz w:val="24"/>
          <w:szCs w:val="24"/>
          <w:lang w:val="en-US" w:eastAsia="de-DE"/>
        </w:rPr>
        <w:t xml:space="preserve">The most frequent infections were urinary tract infections in 9 (20%) patients, SBP in 7 patients (15%), spontaneous or </w:t>
      </w:r>
      <w:r w:rsidR="00EA495C" w:rsidRPr="006479DA">
        <w:rPr>
          <w:rFonts w:ascii="Book Antiqua" w:eastAsia="Arial Unicode MS" w:hAnsi="Book Antiqua"/>
          <w:sz w:val="24"/>
          <w:szCs w:val="24"/>
          <w:lang w:val="en-US" w:eastAsia="de-DE"/>
        </w:rPr>
        <w:t>secondary</w:t>
      </w:r>
      <w:r w:rsidR="008C5FB9" w:rsidRPr="006479DA">
        <w:rPr>
          <w:rFonts w:ascii="Book Antiqua" w:eastAsia="Arial Unicode MS" w:hAnsi="Book Antiqua"/>
          <w:sz w:val="24"/>
          <w:szCs w:val="24"/>
          <w:lang w:val="en-US" w:eastAsia="de-DE"/>
        </w:rPr>
        <w:t xml:space="preserve"> bacteremia/fungemia in 6 (13%) patients</w:t>
      </w:r>
      <w:r w:rsidR="000C3F37" w:rsidRPr="006479DA">
        <w:rPr>
          <w:rFonts w:ascii="Book Antiqua" w:eastAsia="Arial Unicode MS" w:hAnsi="Book Antiqua"/>
          <w:sz w:val="24"/>
          <w:szCs w:val="24"/>
          <w:lang w:val="en-US" w:eastAsia="de-DE"/>
        </w:rPr>
        <w:t xml:space="preserve"> (4</w:t>
      </w:r>
      <w:r w:rsidR="00C509DD">
        <w:rPr>
          <w:rFonts w:ascii="Book Antiqua" w:eastAsia="Arial Unicode MS" w:hAnsi="Book Antiqua" w:hint="eastAsia"/>
          <w:sz w:val="24"/>
          <w:szCs w:val="24"/>
          <w:lang w:val="en-US" w:eastAsia="zh-CN"/>
        </w:rPr>
        <w:t xml:space="preserve"> </w:t>
      </w:r>
      <w:r w:rsidR="000C3F37" w:rsidRPr="006479DA">
        <w:rPr>
          <w:rFonts w:ascii="Book Antiqua" w:eastAsia="Arial Unicode MS" w:hAnsi="Book Antiqua"/>
          <w:sz w:val="24"/>
          <w:szCs w:val="24"/>
          <w:lang w:val="en-US" w:eastAsia="de-DE"/>
        </w:rPr>
        <w:t>× Gram-positive cocci, 1</w:t>
      </w:r>
      <w:r w:rsidR="00C509DD">
        <w:rPr>
          <w:rFonts w:ascii="Book Antiqua" w:eastAsia="Arial Unicode MS" w:hAnsi="Book Antiqua" w:hint="eastAsia"/>
          <w:sz w:val="24"/>
          <w:szCs w:val="24"/>
          <w:lang w:val="en-US" w:eastAsia="zh-CN"/>
        </w:rPr>
        <w:t xml:space="preserve"> </w:t>
      </w:r>
      <w:r w:rsidR="000C3F37" w:rsidRPr="006479DA">
        <w:rPr>
          <w:rFonts w:ascii="Book Antiqua" w:eastAsia="Arial Unicode MS" w:hAnsi="Book Antiqua"/>
          <w:sz w:val="24"/>
          <w:szCs w:val="24"/>
          <w:lang w:val="en-US" w:eastAsia="de-DE"/>
        </w:rPr>
        <w:t xml:space="preserve">× </w:t>
      </w:r>
      <w:r w:rsidR="000C3F37" w:rsidRPr="006479DA">
        <w:rPr>
          <w:rFonts w:ascii="Book Antiqua" w:eastAsia="Arial Unicode MS" w:hAnsi="Book Antiqua"/>
          <w:i/>
          <w:sz w:val="24"/>
          <w:szCs w:val="24"/>
          <w:lang w:val="en-US" w:eastAsia="de-DE"/>
        </w:rPr>
        <w:t>E. coli,</w:t>
      </w:r>
      <w:r w:rsidR="000C3F37" w:rsidRPr="006479DA">
        <w:rPr>
          <w:rFonts w:ascii="Book Antiqua" w:eastAsia="Arial Unicode MS" w:hAnsi="Book Antiqua"/>
          <w:sz w:val="24"/>
          <w:szCs w:val="24"/>
          <w:lang w:val="en-US" w:eastAsia="de-DE"/>
        </w:rPr>
        <w:t xml:space="preserve"> 1</w:t>
      </w:r>
      <w:r w:rsidR="00C509DD">
        <w:rPr>
          <w:rFonts w:ascii="Book Antiqua" w:eastAsia="Arial Unicode MS" w:hAnsi="Book Antiqua" w:hint="eastAsia"/>
          <w:sz w:val="24"/>
          <w:szCs w:val="24"/>
          <w:lang w:val="en-US" w:eastAsia="zh-CN"/>
        </w:rPr>
        <w:t xml:space="preserve"> </w:t>
      </w:r>
      <w:r w:rsidR="000C3F37" w:rsidRPr="006479DA">
        <w:rPr>
          <w:rFonts w:ascii="Book Antiqua" w:eastAsia="Arial Unicode MS" w:hAnsi="Book Antiqua"/>
          <w:sz w:val="24"/>
          <w:szCs w:val="24"/>
          <w:lang w:val="en-US" w:eastAsia="de-DE"/>
        </w:rPr>
        <w:t xml:space="preserve">× </w:t>
      </w:r>
      <w:r w:rsidR="000C3F37" w:rsidRPr="006479DA">
        <w:rPr>
          <w:rFonts w:ascii="Book Antiqua" w:eastAsia="Arial Unicode MS" w:hAnsi="Book Antiqua"/>
          <w:i/>
          <w:sz w:val="24"/>
          <w:szCs w:val="24"/>
          <w:lang w:val="en-US" w:eastAsia="de-DE"/>
        </w:rPr>
        <w:t>Candida</w:t>
      </w:r>
      <w:r w:rsidR="000C3F37" w:rsidRPr="006479DA">
        <w:rPr>
          <w:rFonts w:ascii="Book Antiqua" w:eastAsia="Arial Unicode MS" w:hAnsi="Book Antiqua"/>
          <w:sz w:val="24"/>
          <w:szCs w:val="24"/>
          <w:lang w:val="en-US" w:eastAsia="de-DE"/>
        </w:rPr>
        <w:t xml:space="preserve"> spp.)</w:t>
      </w:r>
      <w:r w:rsidR="008C5FB9" w:rsidRPr="006479DA">
        <w:rPr>
          <w:rFonts w:ascii="Book Antiqua" w:eastAsia="Arial Unicode MS" w:hAnsi="Book Antiqua"/>
          <w:sz w:val="24"/>
          <w:szCs w:val="24"/>
          <w:lang w:val="en-US" w:eastAsia="de-DE"/>
        </w:rPr>
        <w:t xml:space="preserve">, </w:t>
      </w:r>
      <w:r w:rsidR="008C5FB9" w:rsidRPr="006479DA">
        <w:rPr>
          <w:rFonts w:ascii="Book Antiqua" w:eastAsia="Arial Unicode MS" w:hAnsi="Book Antiqua"/>
          <w:i/>
          <w:sz w:val="24"/>
          <w:szCs w:val="24"/>
          <w:lang w:val="en-US" w:eastAsia="de-DE"/>
        </w:rPr>
        <w:t>Clostridium difficile</w:t>
      </w:r>
      <w:r w:rsidR="008C5FB9" w:rsidRPr="006479DA">
        <w:rPr>
          <w:rFonts w:ascii="Book Antiqua" w:eastAsia="Arial Unicode MS" w:hAnsi="Book Antiqua"/>
          <w:sz w:val="24"/>
          <w:szCs w:val="24"/>
          <w:lang w:val="en-US" w:eastAsia="de-DE"/>
        </w:rPr>
        <w:t xml:space="preserve">-associated enterocolitis in 5 (11%) patients. Less frequently observed infections were </w:t>
      </w:r>
      <w:r w:rsidR="00F22811" w:rsidRPr="006479DA">
        <w:rPr>
          <w:rFonts w:ascii="Book Antiqua" w:eastAsia="Arial Unicode MS" w:hAnsi="Book Antiqua"/>
          <w:sz w:val="24"/>
          <w:szCs w:val="24"/>
          <w:lang w:val="en-US" w:eastAsia="de-DE"/>
        </w:rPr>
        <w:t>purulent skin and soft tissue infections including wound infections</w:t>
      </w:r>
      <w:r w:rsidR="00F22811" w:rsidRPr="006479DA" w:rsidDel="00F22811">
        <w:rPr>
          <w:rFonts w:ascii="Book Antiqua" w:eastAsia="Arial Unicode MS" w:hAnsi="Book Antiqua"/>
          <w:sz w:val="24"/>
          <w:szCs w:val="24"/>
          <w:lang w:val="en-US" w:eastAsia="de-DE"/>
        </w:rPr>
        <w:t xml:space="preserve"> </w:t>
      </w:r>
      <w:r w:rsidR="006A14DF" w:rsidRPr="006479DA">
        <w:rPr>
          <w:rFonts w:ascii="Book Antiqua" w:eastAsia="Arial Unicode MS" w:hAnsi="Book Antiqua"/>
          <w:sz w:val="24"/>
          <w:szCs w:val="24"/>
          <w:lang w:val="en-US" w:eastAsia="de-DE"/>
        </w:rPr>
        <w:t>(</w:t>
      </w:r>
      <w:r w:rsidR="00C539E2" w:rsidRPr="00C509DD">
        <w:rPr>
          <w:rFonts w:ascii="Book Antiqua" w:eastAsia="Arial Unicode MS" w:hAnsi="Book Antiqua"/>
          <w:i/>
          <w:sz w:val="24"/>
          <w:szCs w:val="24"/>
          <w:lang w:val="en-US" w:eastAsia="de-DE"/>
        </w:rPr>
        <w:t>n</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w:t>
      </w:r>
      <w:r w:rsidR="00C509DD">
        <w:rPr>
          <w:rFonts w:ascii="Book Antiqua" w:eastAsia="Arial Unicode MS" w:hAnsi="Book Antiqua" w:hint="eastAsia"/>
          <w:sz w:val="24"/>
          <w:szCs w:val="24"/>
          <w:lang w:val="en-US" w:eastAsia="zh-CN"/>
        </w:rPr>
        <w:t xml:space="preserve"> </w:t>
      </w:r>
      <w:r w:rsidR="006A14DF" w:rsidRPr="006479DA">
        <w:rPr>
          <w:rFonts w:ascii="Book Antiqua" w:eastAsia="Arial Unicode MS" w:hAnsi="Book Antiqua"/>
          <w:sz w:val="24"/>
          <w:szCs w:val="24"/>
          <w:lang w:val="en-US" w:eastAsia="de-DE"/>
        </w:rPr>
        <w:t xml:space="preserve">2), </w:t>
      </w:r>
      <w:r w:rsidR="008C5FB9" w:rsidRPr="006479DA">
        <w:rPr>
          <w:rFonts w:ascii="Book Antiqua" w:eastAsia="Arial Unicode MS" w:hAnsi="Book Antiqua"/>
          <w:sz w:val="24"/>
          <w:szCs w:val="24"/>
          <w:lang w:val="en-US" w:eastAsia="de-DE"/>
        </w:rPr>
        <w:t>pneumonia</w:t>
      </w:r>
      <w:r w:rsidR="006A14DF" w:rsidRPr="006479DA">
        <w:rPr>
          <w:rFonts w:ascii="Book Antiqua" w:eastAsia="Arial Unicode MS" w:hAnsi="Book Antiqua"/>
          <w:sz w:val="24"/>
          <w:szCs w:val="24"/>
          <w:lang w:val="en-US" w:eastAsia="de-DE"/>
        </w:rPr>
        <w:t xml:space="preserve"> (</w:t>
      </w:r>
      <w:r w:rsidR="00C539E2" w:rsidRPr="00C509DD">
        <w:rPr>
          <w:rFonts w:ascii="Book Antiqua" w:eastAsia="Arial Unicode MS" w:hAnsi="Book Antiqua"/>
          <w:i/>
          <w:sz w:val="24"/>
          <w:szCs w:val="24"/>
          <w:lang w:val="en-US" w:eastAsia="de-DE"/>
        </w:rPr>
        <w:t>n</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w:t>
      </w:r>
      <w:r w:rsidR="00C509DD">
        <w:rPr>
          <w:rFonts w:ascii="Book Antiqua" w:eastAsia="Arial Unicode MS" w:hAnsi="Book Antiqua" w:hint="eastAsia"/>
          <w:sz w:val="24"/>
          <w:szCs w:val="24"/>
          <w:lang w:val="en-US" w:eastAsia="zh-CN"/>
        </w:rPr>
        <w:t xml:space="preserve"> </w:t>
      </w:r>
      <w:r w:rsidR="006A14DF" w:rsidRPr="006479DA">
        <w:rPr>
          <w:rFonts w:ascii="Book Antiqua" w:eastAsia="Arial Unicode MS" w:hAnsi="Book Antiqua"/>
          <w:sz w:val="24"/>
          <w:szCs w:val="24"/>
          <w:lang w:val="en-US" w:eastAsia="de-DE"/>
        </w:rPr>
        <w:t>1)</w:t>
      </w:r>
      <w:r w:rsidR="008C5FB9" w:rsidRPr="006479DA">
        <w:rPr>
          <w:rFonts w:ascii="Book Antiqua" w:eastAsia="Arial Unicode MS" w:hAnsi="Book Antiqua"/>
          <w:sz w:val="24"/>
          <w:szCs w:val="24"/>
          <w:lang w:val="en-US" w:eastAsia="de-DE"/>
        </w:rPr>
        <w:t xml:space="preserve">, </w:t>
      </w:r>
      <w:r w:rsidR="006A14DF" w:rsidRPr="006479DA">
        <w:rPr>
          <w:rFonts w:ascii="Book Antiqua" w:eastAsia="Arial Unicode MS" w:hAnsi="Book Antiqua"/>
          <w:sz w:val="24"/>
          <w:szCs w:val="24"/>
          <w:lang w:val="en-US" w:eastAsia="de-DE"/>
        </w:rPr>
        <w:t>campylobacter enteritis (</w:t>
      </w:r>
      <w:r w:rsidR="00C539E2" w:rsidRPr="00C509DD">
        <w:rPr>
          <w:rFonts w:ascii="Book Antiqua" w:eastAsia="Arial Unicode MS" w:hAnsi="Book Antiqua"/>
          <w:i/>
          <w:sz w:val="24"/>
          <w:szCs w:val="24"/>
          <w:lang w:val="en-US" w:eastAsia="de-DE"/>
        </w:rPr>
        <w:t>n</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w:t>
      </w:r>
      <w:r w:rsidR="00C509DD">
        <w:rPr>
          <w:rFonts w:ascii="Book Antiqua" w:eastAsia="Arial Unicode MS" w:hAnsi="Book Antiqua" w:hint="eastAsia"/>
          <w:sz w:val="24"/>
          <w:szCs w:val="24"/>
          <w:lang w:val="en-US" w:eastAsia="zh-CN"/>
        </w:rPr>
        <w:t xml:space="preserve"> </w:t>
      </w:r>
      <w:r w:rsidR="006A14DF" w:rsidRPr="006479DA">
        <w:rPr>
          <w:rFonts w:ascii="Book Antiqua" w:eastAsia="Arial Unicode MS" w:hAnsi="Book Antiqua"/>
          <w:sz w:val="24"/>
          <w:szCs w:val="24"/>
          <w:lang w:val="en-US" w:eastAsia="de-DE"/>
        </w:rPr>
        <w:t>1)</w:t>
      </w:r>
      <w:r w:rsidR="00C539E2" w:rsidRPr="006479DA">
        <w:rPr>
          <w:rFonts w:ascii="Book Antiqua" w:eastAsia="Arial Unicode MS" w:hAnsi="Book Antiqua"/>
          <w:sz w:val="24"/>
          <w:szCs w:val="24"/>
          <w:lang w:val="en-US" w:eastAsia="de-DE"/>
        </w:rPr>
        <w:t xml:space="preserve">, </w:t>
      </w:r>
      <w:r w:rsidR="008C5FB9" w:rsidRPr="006479DA">
        <w:rPr>
          <w:rFonts w:ascii="Book Antiqua" w:eastAsia="Arial Unicode MS" w:hAnsi="Book Antiqua"/>
          <w:sz w:val="24"/>
          <w:szCs w:val="24"/>
          <w:lang w:val="en-US" w:eastAsia="de-DE"/>
        </w:rPr>
        <w:t>spontaneous bacterial empyema</w:t>
      </w:r>
      <w:r w:rsidR="006A14DF" w:rsidRPr="006479DA">
        <w:rPr>
          <w:rFonts w:ascii="Book Antiqua" w:eastAsia="Arial Unicode MS" w:hAnsi="Book Antiqua"/>
          <w:sz w:val="24"/>
          <w:szCs w:val="24"/>
          <w:lang w:val="en-US" w:eastAsia="de-DE"/>
        </w:rPr>
        <w:t xml:space="preserve"> (</w:t>
      </w:r>
      <w:r w:rsidR="00C539E2" w:rsidRPr="00C509DD">
        <w:rPr>
          <w:rFonts w:ascii="Book Antiqua" w:eastAsia="Arial Unicode MS" w:hAnsi="Book Antiqua"/>
          <w:i/>
          <w:sz w:val="24"/>
          <w:szCs w:val="24"/>
          <w:lang w:val="en-US" w:eastAsia="de-DE"/>
        </w:rPr>
        <w:t>n</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w:t>
      </w:r>
      <w:r w:rsidR="00C509DD">
        <w:rPr>
          <w:rFonts w:ascii="Book Antiqua" w:eastAsia="Arial Unicode MS" w:hAnsi="Book Antiqua" w:hint="eastAsia"/>
          <w:sz w:val="24"/>
          <w:szCs w:val="24"/>
          <w:lang w:val="en-US" w:eastAsia="zh-CN"/>
        </w:rPr>
        <w:t xml:space="preserve"> </w:t>
      </w:r>
      <w:r w:rsidR="006A14DF" w:rsidRPr="006479DA">
        <w:rPr>
          <w:rFonts w:ascii="Book Antiqua" w:eastAsia="Arial Unicode MS" w:hAnsi="Book Antiqua"/>
          <w:sz w:val="24"/>
          <w:szCs w:val="24"/>
          <w:lang w:val="en-US" w:eastAsia="de-DE"/>
        </w:rPr>
        <w:t>1)</w:t>
      </w:r>
      <w:r w:rsidR="00C539E2" w:rsidRPr="006479DA">
        <w:rPr>
          <w:rFonts w:ascii="Book Antiqua" w:eastAsia="Arial Unicode MS" w:hAnsi="Book Antiqua"/>
          <w:sz w:val="24"/>
          <w:szCs w:val="24"/>
          <w:lang w:val="en-US" w:eastAsia="de-DE"/>
        </w:rPr>
        <w:t>, monomicrobial bacterascites (</w:t>
      </w:r>
      <w:r w:rsidR="00C539E2" w:rsidRPr="00C509DD">
        <w:rPr>
          <w:rFonts w:ascii="Book Antiqua" w:eastAsia="Arial Unicode MS" w:hAnsi="Book Antiqua"/>
          <w:i/>
          <w:sz w:val="24"/>
          <w:szCs w:val="24"/>
          <w:lang w:val="en-US" w:eastAsia="de-DE"/>
        </w:rPr>
        <w:t>n</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 xml:space="preserve">1) and severe sepsis with </w:t>
      </w:r>
      <w:r w:rsidR="00C539E2" w:rsidRPr="006479DA">
        <w:rPr>
          <w:rFonts w:ascii="Book Antiqua" w:eastAsia="Arial Unicode MS" w:hAnsi="Book Antiqua"/>
          <w:sz w:val="24"/>
          <w:szCs w:val="24"/>
          <w:lang w:val="en-US" w:eastAsia="de-DE"/>
        </w:rPr>
        <w:lastRenderedPageBreak/>
        <w:t>unknown focus (</w:t>
      </w:r>
      <w:r w:rsidR="00C539E2" w:rsidRPr="00C509DD">
        <w:rPr>
          <w:rFonts w:ascii="Book Antiqua" w:eastAsia="Arial Unicode MS" w:hAnsi="Book Antiqua"/>
          <w:i/>
          <w:sz w:val="24"/>
          <w:szCs w:val="24"/>
          <w:lang w:val="en-US" w:eastAsia="de-DE"/>
        </w:rPr>
        <w:t>n</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w:t>
      </w:r>
      <w:r w:rsidR="00C509DD">
        <w:rPr>
          <w:rFonts w:ascii="Book Antiqua" w:eastAsia="Arial Unicode MS" w:hAnsi="Book Antiqua" w:hint="eastAsia"/>
          <w:sz w:val="24"/>
          <w:szCs w:val="24"/>
          <w:lang w:val="en-US" w:eastAsia="zh-CN"/>
        </w:rPr>
        <w:t xml:space="preserve"> </w:t>
      </w:r>
      <w:r w:rsidR="00C539E2" w:rsidRPr="006479DA">
        <w:rPr>
          <w:rFonts w:ascii="Book Antiqua" w:eastAsia="Arial Unicode MS" w:hAnsi="Book Antiqua"/>
          <w:sz w:val="24"/>
          <w:szCs w:val="24"/>
          <w:lang w:val="en-US" w:eastAsia="de-DE"/>
        </w:rPr>
        <w:t>1)</w:t>
      </w:r>
      <w:r w:rsidR="006A14DF" w:rsidRPr="006479DA">
        <w:rPr>
          <w:rFonts w:ascii="Book Antiqua" w:eastAsia="Arial Unicode MS" w:hAnsi="Book Antiqua"/>
          <w:sz w:val="24"/>
          <w:szCs w:val="24"/>
          <w:lang w:val="en-US" w:eastAsia="de-DE"/>
        </w:rPr>
        <w:t xml:space="preserve">. </w:t>
      </w:r>
      <w:r w:rsidR="008C5FB9" w:rsidRPr="006479DA">
        <w:rPr>
          <w:rFonts w:ascii="Book Antiqua" w:eastAsia="Arial Unicode MS" w:hAnsi="Book Antiqua"/>
          <w:sz w:val="24"/>
          <w:szCs w:val="24"/>
          <w:lang w:val="en-US" w:eastAsia="de-DE"/>
        </w:rPr>
        <w:t xml:space="preserve">The median time to </w:t>
      </w:r>
      <w:r w:rsidR="006A14DF" w:rsidRPr="006479DA">
        <w:rPr>
          <w:rFonts w:ascii="Book Antiqua" w:eastAsia="Arial Unicode MS" w:hAnsi="Book Antiqua"/>
          <w:sz w:val="24"/>
          <w:szCs w:val="24"/>
          <w:lang w:val="en-US" w:eastAsia="de-DE"/>
        </w:rPr>
        <w:t xml:space="preserve">hospitalization for </w:t>
      </w:r>
      <w:r w:rsidR="008C5FB9" w:rsidRPr="006479DA">
        <w:rPr>
          <w:rFonts w:ascii="Book Antiqua" w:eastAsia="Arial Unicode MS" w:hAnsi="Book Antiqua"/>
          <w:sz w:val="24"/>
          <w:szCs w:val="24"/>
          <w:lang w:val="en-US" w:eastAsia="de-DE"/>
        </w:rPr>
        <w:t>infection was 71 d</w:t>
      </w:r>
      <w:r w:rsidR="00C509DD">
        <w:rPr>
          <w:rFonts w:ascii="Book Antiqua" w:eastAsia="Arial Unicode MS" w:hAnsi="Book Antiqua"/>
          <w:sz w:val="24"/>
          <w:szCs w:val="24"/>
          <w:lang w:val="en-US" w:eastAsia="de-DE"/>
        </w:rPr>
        <w:t xml:space="preserve"> (range: 17–</w:t>
      </w:r>
      <w:r w:rsidR="008C5FB9" w:rsidRPr="006479DA">
        <w:rPr>
          <w:rFonts w:ascii="Book Antiqua" w:eastAsia="Arial Unicode MS" w:hAnsi="Book Antiqua"/>
          <w:sz w:val="24"/>
          <w:szCs w:val="24"/>
          <w:lang w:val="en-US" w:eastAsia="de-DE"/>
        </w:rPr>
        <w:t>302). Patients who developed bacterial infection</w:t>
      </w:r>
      <w:r w:rsidR="006A14DF" w:rsidRPr="006479DA">
        <w:rPr>
          <w:rFonts w:ascii="Book Antiqua" w:eastAsia="Arial Unicode MS" w:hAnsi="Book Antiqua"/>
          <w:sz w:val="24"/>
          <w:szCs w:val="24"/>
          <w:lang w:val="en-US" w:eastAsia="de-DE"/>
        </w:rPr>
        <w:t xml:space="preserve"> </w:t>
      </w:r>
      <w:r w:rsidR="008C5FB9" w:rsidRPr="006479DA">
        <w:rPr>
          <w:rFonts w:ascii="Book Antiqua" w:eastAsia="Arial Unicode MS" w:hAnsi="Book Antiqua"/>
          <w:sz w:val="24"/>
          <w:szCs w:val="24"/>
          <w:lang w:val="en-US" w:eastAsia="de-DE"/>
        </w:rPr>
        <w:t xml:space="preserve">had higher Child-Pugh score and higher MELD scores at baseline, lower platelet count and higher I-FABP serum concentration than patients who did not. The IP index at baseline was not associated with the occurrence of </w:t>
      </w:r>
      <w:r w:rsidR="006A14DF" w:rsidRPr="006479DA">
        <w:rPr>
          <w:rFonts w:ascii="Book Antiqua" w:eastAsia="Arial Unicode MS" w:hAnsi="Book Antiqua"/>
          <w:sz w:val="24"/>
          <w:szCs w:val="24"/>
          <w:lang w:val="en-US" w:eastAsia="de-DE"/>
        </w:rPr>
        <w:t xml:space="preserve">bacterial or fungal </w:t>
      </w:r>
      <w:r w:rsidR="008C5FB9" w:rsidRPr="006479DA">
        <w:rPr>
          <w:rFonts w:ascii="Book Antiqua" w:eastAsia="Arial Unicode MS" w:hAnsi="Book Antiqua"/>
          <w:sz w:val="24"/>
          <w:szCs w:val="24"/>
          <w:lang w:val="en-US" w:eastAsia="de-DE"/>
        </w:rPr>
        <w:t xml:space="preserve">infection </w:t>
      </w:r>
      <w:r w:rsidR="00ED3E4C" w:rsidRPr="006479DA">
        <w:rPr>
          <w:rFonts w:ascii="Book Antiqua" w:eastAsia="Arial Unicode MS" w:hAnsi="Book Antiqua"/>
          <w:sz w:val="24"/>
          <w:szCs w:val="24"/>
          <w:lang w:val="en-US" w:eastAsia="de-DE"/>
        </w:rPr>
        <w:t xml:space="preserve">in general </w:t>
      </w:r>
      <w:r w:rsidR="008C5FB9" w:rsidRPr="00C509DD">
        <w:rPr>
          <w:rFonts w:ascii="Book Antiqua" w:eastAsia="Arial Unicode MS" w:hAnsi="Book Antiqua"/>
          <w:sz w:val="24"/>
          <w:szCs w:val="24"/>
          <w:lang w:val="en-US" w:eastAsia="de-DE"/>
        </w:rPr>
        <w:t>(Table 3).</w:t>
      </w:r>
      <w:r w:rsidR="006A14DF" w:rsidRPr="00C509DD">
        <w:rPr>
          <w:rFonts w:ascii="Book Antiqua" w:eastAsia="Arial Unicode MS" w:hAnsi="Book Antiqua"/>
          <w:sz w:val="24"/>
          <w:szCs w:val="24"/>
          <w:lang w:val="en-US" w:eastAsia="de-DE"/>
        </w:rPr>
        <w:t xml:space="preserve"> </w:t>
      </w:r>
      <w:r w:rsidR="00947C64" w:rsidRPr="006479DA">
        <w:rPr>
          <w:rFonts w:ascii="Book Antiqua" w:eastAsia="Arial Unicode MS" w:hAnsi="Book Antiqua"/>
          <w:sz w:val="24"/>
          <w:szCs w:val="24"/>
          <w:lang w:val="en-US" w:eastAsia="de-DE"/>
        </w:rPr>
        <w:t xml:space="preserve">The </w:t>
      </w:r>
      <w:r w:rsidR="00ED3E4C" w:rsidRPr="006479DA">
        <w:rPr>
          <w:rFonts w:ascii="Book Antiqua" w:eastAsia="Arial Unicode MS" w:hAnsi="Book Antiqua"/>
          <w:sz w:val="24"/>
          <w:szCs w:val="24"/>
          <w:lang w:val="en-US" w:eastAsia="de-DE"/>
        </w:rPr>
        <w:t>IP index</w:t>
      </w:r>
      <w:r w:rsidR="00947C64" w:rsidRPr="006479DA">
        <w:rPr>
          <w:rFonts w:ascii="Book Antiqua" w:eastAsia="Arial Unicode MS" w:hAnsi="Book Antiqua"/>
          <w:sz w:val="24"/>
          <w:szCs w:val="24"/>
          <w:lang w:val="en-US" w:eastAsia="de-DE"/>
        </w:rPr>
        <w:t xml:space="preserve"> was not higher in patients who </w:t>
      </w:r>
      <w:r w:rsidR="00ED3E4C" w:rsidRPr="006479DA">
        <w:rPr>
          <w:rFonts w:ascii="Book Antiqua" w:eastAsia="Arial Unicode MS" w:hAnsi="Book Antiqua"/>
          <w:sz w:val="24"/>
          <w:szCs w:val="24"/>
          <w:lang w:val="en-US" w:eastAsia="de-DE"/>
        </w:rPr>
        <w:t xml:space="preserve">urinary tract infection (median 0.22 </w:t>
      </w:r>
      <w:r w:rsidR="00ED3E4C" w:rsidRPr="00C509DD">
        <w:rPr>
          <w:rFonts w:ascii="Book Antiqua" w:eastAsia="Arial Unicode MS" w:hAnsi="Book Antiqua"/>
          <w:i/>
          <w:sz w:val="24"/>
          <w:szCs w:val="24"/>
          <w:lang w:val="en-US" w:eastAsia="de-DE"/>
        </w:rPr>
        <w:t>vs</w:t>
      </w:r>
      <w:r w:rsidR="00C509DD">
        <w:rPr>
          <w:rFonts w:ascii="Book Antiqua" w:eastAsia="Arial Unicode MS" w:hAnsi="Book Antiqua" w:hint="eastAsia"/>
          <w:sz w:val="24"/>
          <w:szCs w:val="24"/>
          <w:lang w:val="en-US" w:eastAsia="zh-CN"/>
        </w:rPr>
        <w:t xml:space="preserve"> </w:t>
      </w:r>
      <w:r w:rsidR="00ED3E4C" w:rsidRPr="006479DA">
        <w:rPr>
          <w:rFonts w:ascii="Book Antiqua" w:eastAsia="Arial Unicode MS" w:hAnsi="Book Antiqua"/>
          <w:sz w:val="24"/>
          <w:szCs w:val="24"/>
          <w:lang w:val="en-US" w:eastAsia="de-DE"/>
        </w:rPr>
        <w:t xml:space="preserve">0.15; </w:t>
      </w:r>
      <w:r w:rsidR="00ED3E4C" w:rsidRPr="00C509DD">
        <w:rPr>
          <w:rFonts w:ascii="Book Antiqua" w:eastAsia="Arial Unicode MS" w:hAnsi="Book Antiqua"/>
          <w:i/>
          <w:caps/>
          <w:sz w:val="24"/>
          <w:szCs w:val="24"/>
          <w:lang w:val="en-US" w:eastAsia="de-DE"/>
        </w:rPr>
        <w:t>p</w:t>
      </w:r>
      <w:r w:rsidR="00ED3E4C" w:rsidRPr="006479DA">
        <w:rPr>
          <w:rFonts w:ascii="Book Antiqua" w:eastAsia="Arial Unicode MS" w:hAnsi="Book Antiqua"/>
          <w:sz w:val="24"/>
          <w:szCs w:val="24"/>
          <w:lang w:val="en-US" w:eastAsia="de-DE"/>
        </w:rPr>
        <w:t xml:space="preserve"> = 0.41), bacteremia/fungemia (0.16 </w:t>
      </w:r>
      <w:r w:rsidR="00ED3E4C" w:rsidRPr="00C509DD">
        <w:rPr>
          <w:rFonts w:ascii="Book Antiqua" w:eastAsia="Arial Unicode MS" w:hAnsi="Book Antiqua"/>
          <w:i/>
          <w:sz w:val="24"/>
          <w:szCs w:val="24"/>
          <w:lang w:val="en-US" w:eastAsia="de-DE"/>
        </w:rPr>
        <w:t>vs</w:t>
      </w:r>
      <w:r w:rsidR="00C509DD">
        <w:rPr>
          <w:rFonts w:ascii="Book Antiqua" w:eastAsia="Arial Unicode MS" w:hAnsi="Book Antiqua" w:hint="eastAsia"/>
          <w:sz w:val="24"/>
          <w:szCs w:val="24"/>
          <w:lang w:val="en-US" w:eastAsia="zh-CN"/>
        </w:rPr>
        <w:t xml:space="preserve"> </w:t>
      </w:r>
      <w:r w:rsidR="00ED3E4C" w:rsidRPr="006479DA">
        <w:rPr>
          <w:rFonts w:ascii="Book Antiqua" w:eastAsia="Arial Unicode MS" w:hAnsi="Book Antiqua"/>
          <w:sz w:val="24"/>
          <w:szCs w:val="24"/>
          <w:lang w:val="en-US" w:eastAsia="de-DE"/>
        </w:rPr>
        <w:t xml:space="preserve">0.19; </w:t>
      </w:r>
      <w:r w:rsidR="00ED3E4C" w:rsidRPr="00C509DD">
        <w:rPr>
          <w:rFonts w:ascii="Book Antiqua" w:eastAsia="Arial Unicode MS" w:hAnsi="Book Antiqua"/>
          <w:i/>
          <w:caps/>
          <w:sz w:val="24"/>
          <w:szCs w:val="24"/>
          <w:lang w:val="en-US" w:eastAsia="de-DE"/>
        </w:rPr>
        <w:t>p</w:t>
      </w:r>
      <w:r w:rsidR="00ED3E4C" w:rsidRPr="006479DA">
        <w:rPr>
          <w:rFonts w:ascii="Book Antiqua" w:eastAsia="Arial Unicode MS" w:hAnsi="Book Antiqua"/>
          <w:sz w:val="24"/>
          <w:szCs w:val="24"/>
          <w:lang w:val="en-US" w:eastAsia="de-DE"/>
        </w:rPr>
        <w:t xml:space="preserve"> = 0.71) or </w:t>
      </w:r>
      <w:r w:rsidR="00ED3E4C" w:rsidRPr="006479DA">
        <w:rPr>
          <w:rFonts w:ascii="Book Antiqua" w:eastAsia="Arial Unicode MS" w:hAnsi="Book Antiqua"/>
          <w:i/>
          <w:sz w:val="24"/>
          <w:szCs w:val="24"/>
          <w:lang w:val="en-US" w:eastAsia="de-DE"/>
        </w:rPr>
        <w:t>Clostridium difficile</w:t>
      </w:r>
      <w:r w:rsidR="00ED3E4C" w:rsidRPr="006479DA">
        <w:rPr>
          <w:rFonts w:ascii="Book Antiqua" w:eastAsia="Arial Unicode MS" w:hAnsi="Book Antiqua"/>
          <w:sz w:val="24"/>
          <w:szCs w:val="24"/>
          <w:lang w:val="en-US" w:eastAsia="de-DE"/>
        </w:rPr>
        <w:t xml:space="preserve">-associated enterocolitis (0.19 </w:t>
      </w:r>
      <w:r w:rsidR="00ED3E4C" w:rsidRPr="00C509DD">
        <w:rPr>
          <w:rFonts w:ascii="Book Antiqua" w:eastAsia="Arial Unicode MS" w:hAnsi="Book Antiqua"/>
          <w:i/>
          <w:sz w:val="24"/>
          <w:szCs w:val="24"/>
          <w:lang w:val="en-US" w:eastAsia="de-DE"/>
        </w:rPr>
        <w:t>vs</w:t>
      </w:r>
      <w:r w:rsidR="00C509DD">
        <w:rPr>
          <w:rFonts w:ascii="Book Antiqua" w:eastAsia="Arial Unicode MS" w:hAnsi="Book Antiqua" w:hint="eastAsia"/>
          <w:sz w:val="24"/>
          <w:szCs w:val="24"/>
          <w:lang w:val="en-US" w:eastAsia="zh-CN"/>
        </w:rPr>
        <w:t xml:space="preserve"> </w:t>
      </w:r>
      <w:r w:rsidR="00ED3E4C" w:rsidRPr="006479DA">
        <w:rPr>
          <w:rFonts w:ascii="Book Antiqua" w:eastAsia="Arial Unicode MS" w:hAnsi="Book Antiqua"/>
          <w:sz w:val="24"/>
          <w:szCs w:val="24"/>
          <w:lang w:val="en-US" w:eastAsia="de-DE"/>
        </w:rPr>
        <w:t xml:space="preserve">0.18; </w:t>
      </w:r>
      <w:r w:rsidR="00ED3E4C" w:rsidRPr="00C509DD">
        <w:rPr>
          <w:rFonts w:ascii="Book Antiqua" w:eastAsia="Arial Unicode MS" w:hAnsi="Book Antiqua"/>
          <w:i/>
          <w:caps/>
          <w:sz w:val="24"/>
          <w:szCs w:val="24"/>
          <w:lang w:val="en-US" w:eastAsia="de-DE"/>
        </w:rPr>
        <w:t>p</w:t>
      </w:r>
      <w:r w:rsidR="00ED3E4C" w:rsidRPr="00C509DD">
        <w:rPr>
          <w:rFonts w:ascii="Book Antiqua" w:eastAsia="Arial Unicode MS" w:hAnsi="Book Antiqua"/>
          <w:caps/>
          <w:sz w:val="24"/>
          <w:szCs w:val="24"/>
          <w:lang w:val="en-US" w:eastAsia="de-DE"/>
        </w:rPr>
        <w:t xml:space="preserve"> </w:t>
      </w:r>
      <w:r w:rsidR="00ED3E4C" w:rsidRPr="006479DA">
        <w:rPr>
          <w:rFonts w:ascii="Book Antiqua" w:eastAsia="Arial Unicode MS" w:hAnsi="Book Antiqua"/>
          <w:sz w:val="24"/>
          <w:szCs w:val="24"/>
          <w:lang w:val="en-US" w:eastAsia="de-DE"/>
        </w:rPr>
        <w:t xml:space="preserve">= 0.49) </w:t>
      </w:r>
      <w:r w:rsidR="00947C64" w:rsidRPr="006479DA">
        <w:rPr>
          <w:rFonts w:ascii="Book Antiqua" w:eastAsia="Arial Unicode MS" w:hAnsi="Book Antiqua"/>
          <w:sz w:val="24"/>
          <w:szCs w:val="24"/>
          <w:lang w:val="en-US" w:eastAsia="de-DE"/>
        </w:rPr>
        <w:t xml:space="preserve">compared to </w:t>
      </w:r>
      <w:r w:rsidR="00ED3E4C" w:rsidRPr="006479DA">
        <w:rPr>
          <w:rFonts w:ascii="Book Antiqua" w:eastAsia="Arial Unicode MS" w:hAnsi="Book Antiqua"/>
          <w:sz w:val="24"/>
          <w:szCs w:val="24"/>
          <w:lang w:val="en-US" w:eastAsia="de-DE"/>
        </w:rPr>
        <w:t xml:space="preserve">patients </w:t>
      </w:r>
      <w:r w:rsidR="00947C64" w:rsidRPr="006479DA">
        <w:rPr>
          <w:rFonts w:ascii="Book Antiqua" w:eastAsia="Arial Unicode MS" w:hAnsi="Book Antiqua"/>
          <w:sz w:val="24"/>
          <w:szCs w:val="24"/>
          <w:lang w:val="en-US" w:eastAsia="de-DE"/>
        </w:rPr>
        <w:t>who did not</w:t>
      </w:r>
      <w:r w:rsidR="00ED3E4C" w:rsidRPr="006479DA">
        <w:rPr>
          <w:rFonts w:ascii="Book Antiqua" w:eastAsia="Arial Unicode MS" w:hAnsi="Book Antiqua"/>
          <w:sz w:val="24"/>
          <w:szCs w:val="24"/>
          <w:lang w:val="en-US" w:eastAsia="de-DE"/>
        </w:rPr>
        <w:t>.</w:t>
      </w:r>
    </w:p>
    <w:p w14:paraId="616A5D36" w14:textId="45AFDF97" w:rsidR="00306F78" w:rsidRPr="006479DA" w:rsidRDefault="006A14DF" w:rsidP="00265BAF">
      <w:pPr>
        <w:tabs>
          <w:tab w:val="left" w:pos="2040"/>
        </w:tabs>
        <w:spacing w:after="0" w:line="360" w:lineRule="auto"/>
        <w:ind w:firstLineChars="100" w:firstLine="240"/>
        <w:jc w:val="both"/>
        <w:rPr>
          <w:rFonts w:ascii="Book Antiqua" w:eastAsia="Arial Unicode MS" w:hAnsi="Book Antiqua"/>
          <w:sz w:val="24"/>
          <w:szCs w:val="24"/>
          <w:lang w:val="en-US" w:eastAsia="de-DE"/>
        </w:rPr>
      </w:pPr>
      <w:r w:rsidRPr="006479DA">
        <w:rPr>
          <w:rFonts w:ascii="Book Antiqua" w:eastAsia="Arial Unicode MS" w:hAnsi="Book Antiqua"/>
          <w:sz w:val="24"/>
          <w:szCs w:val="24"/>
          <w:lang w:val="en-US" w:eastAsia="de-DE"/>
        </w:rPr>
        <w:t xml:space="preserve">However, patients who developed SBP had </w:t>
      </w:r>
      <w:r w:rsidR="00C539E2" w:rsidRPr="006479DA">
        <w:rPr>
          <w:rFonts w:ascii="Book Antiqua" w:eastAsia="Arial Unicode MS" w:hAnsi="Book Antiqua"/>
          <w:sz w:val="24"/>
          <w:szCs w:val="24"/>
          <w:lang w:val="en-US" w:eastAsia="de-DE"/>
        </w:rPr>
        <w:t xml:space="preserve">a </w:t>
      </w:r>
      <w:r w:rsidRPr="006479DA">
        <w:rPr>
          <w:rFonts w:ascii="Book Antiqua" w:eastAsia="Arial Unicode MS" w:hAnsi="Book Antiqua"/>
          <w:sz w:val="24"/>
          <w:szCs w:val="24"/>
          <w:lang w:val="en-US" w:eastAsia="de-DE"/>
        </w:rPr>
        <w:t xml:space="preserve">higher IP index </w:t>
      </w:r>
      <w:r w:rsidR="00C539E2" w:rsidRPr="006479DA">
        <w:rPr>
          <w:rFonts w:ascii="Book Antiqua" w:eastAsia="Arial Unicode MS" w:hAnsi="Book Antiqua"/>
          <w:sz w:val="24"/>
          <w:szCs w:val="24"/>
          <w:lang w:val="en-US" w:eastAsia="de-DE"/>
        </w:rPr>
        <w:t xml:space="preserve">(median 0.27) </w:t>
      </w:r>
      <w:r w:rsidRPr="006479DA">
        <w:rPr>
          <w:rFonts w:ascii="Book Antiqua" w:eastAsia="Arial Unicode MS" w:hAnsi="Book Antiqua"/>
          <w:sz w:val="24"/>
          <w:szCs w:val="24"/>
          <w:lang w:val="en-US" w:eastAsia="de-DE"/>
        </w:rPr>
        <w:t>than patient</w:t>
      </w:r>
      <w:r w:rsidR="005479E0" w:rsidRPr="006479DA">
        <w:rPr>
          <w:rFonts w:ascii="Book Antiqua" w:eastAsia="Arial Unicode MS" w:hAnsi="Book Antiqua"/>
          <w:sz w:val="24"/>
          <w:szCs w:val="24"/>
          <w:lang w:val="en-US" w:eastAsia="de-DE"/>
        </w:rPr>
        <w:t>s</w:t>
      </w:r>
      <w:r w:rsidRPr="006479DA">
        <w:rPr>
          <w:rFonts w:ascii="Book Antiqua" w:eastAsia="Arial Unicode MS" w:hAnsi="Book Antiqua"/>
          <w:sz w:val="24"/>
          <w:szCs w:val="24"/>
          <w:lang w:val="en-US" w:eastAsia="de-DE"/>
        </w:rPr>
        <w:t xml:space="preserve"> who did not (</w:t>
      </w:r>
      <w:r w:rsidR="00C539E2" w:rsidRPr="006479DA">
        <w:rPr>
          <w:rFonts w:ascii="Book Antiqua" w:eastAsia="Arial Unicode MS" w:hAnsi="Book Antiqua"/>
          <w:sz w:val="24"/>
          <w:szCs w:val="24"/>
          <w:lang w:val="en-US" w:eastAsia="de-DE"/>
        </w:rPr>
        <w:t xml:space="preserve">median 0.14; </w:t>
      </w:r>
      <w:r w:rsidR="00C539E2" w:rsidRPr="00C509DD">
        <w:rPr>
          <w:rFonts w:ascii="Book Antiqua" w:eastAsia="Arial Unicode MS" w:hAnsi="Book Antiqua"/>
          <w:i/>
          <w:caps/>
          <w:sz w:val="24"/>
          <w:szCs w:val="24"/>
          <w:lang w:val="en-US" w:eastAsia="de-DE"/>
        </w:rPr>
        <w:t>p</w:t>
      </w:r>
      <w:r w:rsidR="00C539E2" w:rsidRPr="00C509DD">
        <w:rPr>
          <w:rFonts w:ascii="Book Antiqua" w:eastAsia="Arial Unicode MS" w:hAnsi="Book Antiqua"/>
          <w:caps/>
          <w:sz w:val="24"/>
          <w:szCs w:val="24"/>
          <w:lang w:val="en-US" w:eastAsia="de-DE"/>
        </w:rPr>
        <w:t xml:space="preserve"> </w:t>
      </w:r>
      <w:r w:rsidR="00C539E2" w:rsidRPr="006479DA">
        <w:rPr>
          <w:rFonts w:ascii="Book Antiqua" w:eastAsia="Arial Unicode MS" w:hAnsi="Book Antiqua"/>
          <w:sz w:val="24"/>
          <w:szCs w:val="24"/>
          <w:lang w:val="en-US" w:eastAsia="de-DE"/>
        </w:rPr>
        <w:t xml:space="preserve">= </w:t>
      </w:r>
      <w:r w:rsidR="00EA495C" w:rsidRPr="006479DA">
        <w:rPr>
          <w:rFonts w:ascii="Book Antiqua" w:eastAsia="Arial Unicode MS" w:hAnsi="Book Antiqua"/>
          <w:sz w:val="24"/>
          <w:szCs w:val="24"/>
          <w:lang w:val="en-US" w:eastAsia="de-DE"/>
        </w:rPr>
        <w:t>0.018</w:t>
      </w:r>
      <w:r w:rsidRPr="006479DA">
        <w:rPr>
          <w:rFonts w:ascii="Book Antiqua" w:eastAsia="Arial Unicode MS" w:hAnsi="Book Antiqua"/>
          <w:sz w:val="24"/>
          <w:szCs w:val="24"/>
          <w:lang w:val="en-US" w:eastAsia="de-DE"/>
        </w:rPr>
        <w:t>)</w:t>
      </w:r>
      <w:r w:rsidR="00C539E2" w:rsidRPr="006479DA">
        <w:rPr>
          <w:rFonts w:ascii="Book Antiqua" w:eastAsia="Arial Unicode MS" w:hAnsi="Book Antiqua"/>
          <w:sz w:val="24"/>
          <w:szCs w:val="24"/>
          <w:lang w:val="en-US" w:eastAsia="de-DE"/>
        </w:rPr>
        <w:t xml:space="preserve">. </w:t>
      </w:r>
      <w:r w:rsidR="00822BA1" w:rsidRPr="006479DA">
        <w:rPr>
          <w:rFonts w:ascii="Book Antiqua" w:eastAsia="Arial Unicode MS" w:hAnsi="Book Antiqua"/>
          <w:sz w:val="24"/>
          <w:szCs w:val="24"/>
          <w:lang w:val="en-US" w:eastAsia="de-DE"/>
        </w:rPr>
        <w:t xml:space="preserve">The accuracy of the IP index to identify patients with subsequent SBP </w:t>
      </w:r>
      <w:r w:rsidR="00C509DD">
        <w:rPr>
          <w:rFonts w:ascii="Book Antiqua" w:eastAsia="Arial Unicode MS" w:hAnsi="Book Antiqua" w:hint="eastAsia"/>
          <w:sz w:val="24"/>
          <w:szCs w:val="24"/>
          <w:lang w:val="en-US" w:eastAsia="zh-CN"/>
        </w:rPr>
        <w:t>[</w:t>
      </w:r>
      <w:r w:rsidR="005A0E74" w:rsidRPr="006479DA">
        <w:rPr>
          <w:rFonts w:ascii="Book Antiqua" w:eastAsia="Arial Unicode MS" w:hAnsi="Book Antiqua"/>
          <w:sz w:val="24"/>
          <w:szCs w:val="24"/>
          <w:lang w:val="en-US" w:eastAsia="de-DE"/>
        </w:rPr>
        <w:t xml:space="preserve">area under the ROC curve </w:t>
      </w:r>
      <w:r w:rsidR="00C509DD">
        <w:rPr>
          <w:rFonts w:ascii="Book Antiqua" w:eastAsia="Arial Unicode MS" w:hAnsi="Book Antiqua" w:hint="eastAsia"/>
          <w:sz w:val="24"/>
          <w:szCs w:val="24"/>
          <w:lang w:val="en-US" w:eastAsia="zh-CN"/>
        </w:rPr>
        <w:t>(</w:t>
      </w:r>
      <w:r w:rsidR="00ED3E4C" w:rsidRPr="006479DA">
        <w:rPr>
          <w:rFonts w:ascii="Book Antiqua" w:eastAsia="Arial Unicode MS" w:hAnsi="Book Antiqua"/>
          <w:sz w:val="24"/>
          <w:szCs w:val="24"/>
          <w:lang w:val="en-US" w:eastAsia="de-DE"/>
        </w:rPr>
        <w:t>AUROC</w:t>
      </w:r>
      <w:r w:rsidR="00C509DD">
        <w:rPr>
          <w:rFonts w:ascii="Book Antiqua" w:eastAsia="Arial Unicode MS" w:hAnsi="Book Antiqua" w:hint="eastAsia"/>
          <w:sz w:val="24"/>
          <w:szCs w:val="24"/>
          <w:lang w:val="en-US" w:eastAsia="zh-CN"/>
        </w:rPr>
        <w:t>)</w:t>
      </w:r>
      <w:r w:rsidR="00ED3E4C" w:rsidRPr="006479DA">
        <w:rPr>
          <w:rFonts w:ascii="Book Antiqua" w:eastAsia="Arial Unicode MS" w:hAnsi="Book Antiqua"/>
          <w:sz w:val="24"/>
          <w:szCs w:val="24"/>
          <w:lang w:val="en-US" w:eastAsia="de-DE"/>
        </w:rPr>
        <w:t xml:space="preserve"> 0.780; </w:t>
      </w:r>
      <w:r w:rsidR="00ED3E4C" w:rsidRPr="00C509DD">
        <w:rPr>
          <w:rFonts w:ascii="Book Antiqua" w:eastAsia="Arial Unicode MS" w:hAnsi="Book Antiqua"/>
          <w:i/>
          <w:caps/>
          <w:sz w:val="24"/>
          <w:szCs w:val="24"/>
          <w:lang w:val="en-US" w:eastAsia="de-DE"/>
        </w:rPr>
        <w:t>p</w:t>
      </w:r>
      <w:r w:rsidR="00ED3E4C" w:rsidRPr="006479DA">
        <w:rPr>
          <w:rFonts w:ascii="Book Antiqua" w:eastAsia="Arial Unicode MS" w:hAnsi="Book Antiqua"/>
          <w:sz w:val="24"/>
          <w:szCs w:val="24"/>
          <w:lang w:val="en-US" w:eastAsia="de-DE"/>
        </w:rPr>
        <w:t xml:space="preserve"> = 0.02</w:t>
      </w:r>
      <w:r w:rsidR="00C509DD">
        <w:rPr>
          <w:rFonts w:ascii="Book Antiqua" w:eastAsia="Arial Unicode MS" w:hAnsi="Book Antiqua" w:hint="eastAsia"/>
          <w:sz w:val="24"/>
          <w:szCs w:val="24"/>
          <w:lang w:val="en-US" w:eastAsia="zh-CN"/>
        </w:rPr>
        <w:t xml:space="preserve">] </w:t>
      </w:r>
      <w:r w:rsidR="00ED3E4C" w:rsidRPr="006479DA">
        <w:rPr>
          <w:rFonts w:ascii="Book Antiqua" w:eastAsia="Arial Unicode MS" w:hAnsi="Book Antiqua"/>
          <w:sz w:val="24"/>
          <w:szCs w:val="24"/>
          <w:lang w:val="en-US" w:eastAsia="de-DE"/>
        </w:rPr>
        <w:t xml:space="preserve">were comparable to </w:t>
      </w:r>
      <w:r w:rsidR="00822BA1" w:rsidRPr="006479DA">
        <w:rPr>
          <w:rFonts w:ascii="Book Antiqua" w:eastAsia="Arial Unicode MS" w:hAnsi="Book Antiqua"/>
          <w:sz w:val="24"/>
          <w:szCs w:val="24"/>
          <w:lang w:val="en-US" w:eastAsia="de-DE"/>
        </w:rPr>
        <w:t>the MELD score (</w:t>
      </w:r>
      <w:r w:rsidR="00ED3E4C" w:rsidRPr="006479DA">
        <w:rPr>
          <w:rFonts w:ascii="Book Antiqua" w:eastAsia="Arial Unicode MS" w:hAnsi="Book Antiqua"/>
          <w:sz w:val="24"/>
          <w:szCs w:val="24"/>
          <w:lang w:val="en-US" w:eastAsia="de-DE"/>
        </w:rPr>
        <w:t>AUROC 0.744;</w:t>
      </w:r>
      <w:r w:rsidR="00C509DD">
        <w:rPr>
          <w:rFonts w:ascii="Book Antiqua" w:eastAsia="Arial Unicode MS" w:hAnsi="Book Antiqua" w:hint="eastAsia"/>
          <w:sz w:val="24"/>
          <w:szCs w:val="24"/>
          <w:lang w:val="en-US" w:eastAsia="zh-CN"/>
        </w:rPr>
        <w:t xml:space="preserve"> </w:t>
      </w:r>
      <w:r w:rsidR="00ED3E4C" w:rsidRPr="00C509DD">
        <w:rPr>
          <w:rFonts w:ascii="Book Antiqua" w:eastAsia="Arial Unicode MS" w:hAnsi="Book Antiqua"/>
          <w:i/>
          <w:caps/>
          <w:sz w:val="24"/>
          <w:szCs w:val="24"/>
          <w:lang w:val="en-US" w:eastAsia="de-DE"/>
        </w:rPr>
        <w:t>p</w:t>
      </w:r>
      <w:r w:rsidR="00ED3E4C" w:rsidRPr="00C509DD">
        <w:rPr>
          <w:rFonts w:ascii="Book Antiqua" w:eastAsia="Arial Unicode MS" w:hAnsi="Book Antiqua"/>
          <w:caps/>
          <w:sz w:val="24"/>
          <w:szCs w:val="24"/>
          <w:lang w:val="en-US" w:eastAsia="de-DE"/>
        </w:rPr>
        <w:t xml:space="preserve"> </w:t>
      </w:r>
      <w:r w:rsidR="00ED3E4C" w:rsidRPr="006479DA">
        <w:rPr>
          <w:rFonts w:ascii="Book Antiqua" w:eastAsia="Arial Unicode MS" w:hAnsi="Book Antiqua"/>
          <w:sz w:val="24"/>
          <w:szCs w:val="24"/>
          <w:lang w:val="en-US" w:eastAsia="de-DE"/>
        </w:rPr>
        <w:t>= 0.04</w:t>
      </w:r>
      <w:r w:rsidR="00822BA1" w:rsidRPr="006479DA">
        <w:rPr>
          <w:rFonts w:ascii="Book Antiqua" w:eastAsia="Arial Unicode MS" w:hAnsi="Book Antiqua"/>
          <w:sz w:val="24"/>
          <w:szCs w:val="24"/>
          <w:lang w:val="en-US" w:eastAsia="de-DE"/>
        </w:rPr>
        <w:t>)</w:t>
      </w:r>
      <w:r w:rsidR="00ED3E4C" w:rsidRPr="006479DA">
        <w:rPr>
          <w:rFonts w:ascii="Book Antiqua" w:eastAsia="Arial Unicode MS" w:hAnsi="Book Antiqua"/>
          <w:sz w:val="24"/>
          <w:szCs w:val="24"/>
          <w:lang w:val="en-US" w:eastAsia="de-DE"/>
        </w:rPr>
        <w:t xml:space="preserve">, Child-Pugh score (AUROC 0.736; </w:t>
      </w:r>
      <w:r w:rsidR="00ED3E4C" w:rsidRPr="00C509DD">
        <w:rPr>
          <w:rFonts w:ascii="Book Antiqua" w:eastAsia="Arial Unicode MS" w:hAnsi="Book Antiqua"/>
          <w:i/>
          <w:caps/>
          <w:sz w:val="24"/>
          <w:szCs w:val="24"/>
          <w:lang w:val="en-US" w:eastAsia="de-DE"/>
        </w:rPr>
        <w:t xml:space="preserve">p </w:t>
      </w:r>
      <w:r w:rsidR="00ED3E4C" w:rsidRPr="006479DA">
        <w:rPr>
          <w:rFonts w:ascii="Book Antiqua" w:eastAsia="Arial Unicode MS" w:hAnsi="Book Antiqua"/>
          <w:sz w:val="24"/>
          <w:szCs w:val="24"/>
          <w:lang w:val="en-US" w:eastAsia="de-DE"/>
        </w:rPr>
        <w:t xml:space="preserve">= 0.05), serum I-FABP (AUROC 0.879; </w:t>
      </w:r>
      <w:r w:rsidR="00ED3E4C" w:rsidRPr="00C509DD">
        <w:rPr>
          <w:rFonts w:ascii="Book Antiqua" w:eastAsia="Arial Unicode MS" w:hAnsi="Book Antiqua"/>
          <w:i/>
          <w:caps/>
          <w:sz w:val="24"/>
          <w:szCs w:val="24"/>
          <w:lang w:val="en-US" w:eastAsia="de-DE"/>
        </w:rPr>
        <w:t>p</w:t>
      </w:r>
      <w:r w:rsidR="00ED3E4C" w:rsidRPr="006479DA">
        <w:rPr>
          <w:rFonts w:ascii="Book Antiqua" w:eastAsia="Arial Unicode MS" w:hAnsi="Book Antiqua"/>
          <w:sz w:val="24"/>
          <w:szCs w:val="24"/>
          <w:lang w:val="en-US" w:eastAsia="de-DE"/>
        </w:rPr>
        <w:t xml:space="preserve"> = 0.03)</w:t>
      </w:r>
      <w:r w:rsidR="00822BA1" w:rsidRPr="006479DA">
        <w:rPr>
          <w:rFonts w:ascii="Book Antiqua" w:eastAsia="Arial Unicode MS" w:hAnsi="Book Antiqua"/>
          <w:sz w:val="24"/>
          <w:szCs w:val="24"/>
          <w:lang w:val="en-US" w:eastAsia="de-DE"/>
        </w:rPr>
        <w:t xml:space="preserve"> </w:t>
      </w:r>
      <w:r w:rsidR="00ED3E4C" w:rsidRPr="006479DA">
        <w:rPr>
          <w:rFonts w:ascii="Book Antiqua" w:eastAsia="Arial Unicode MS" w:hAnsi="Book Antiqua"/>
          <w:sz w:val="24"/>
          <w:szCs w:val="24"/>
          <w:lang w:val="en-US" w:eastAsia="de-DE"/>
        </w:rPr>
        <w:t>or</w:t>
      </w:r>
      <w:r w:rsidR="00822BA1" w:rsidRPr="006479DA">
        <w:rPr>
          <w:rFonts w:ascii="Book Antiqua" w:eastAsia="Arial Unicode MS" w:hAnsi="Book Antiqua"/>
          <w:sz w:val="24"/>
          <w:szCs w:val="24"/>
          <w:lang w:val="en-US" w:eastAsia="de-DE"/>
        </w:rPr>
        <w:t xml:space="preserve"> the platelet count (AUROC 0.700; </w:t>
      </w:r>
      <w:r w:rsidR="00822BA1" w:rsidRPr="00C509DD">
        <w:rPr>
          <w:rFonts w:ascii="Book Antiqua" w:eastAsia="Arial Unicode MS" w:hAnsi="Book Antiqua"/>
          <w:i/>
          <w:caps/>
          <w:sz w:val="24"/>
          <w:szCs w:val="24"/>
          <w:lang w:val="en-US" w:eastAsia="de-DE"/>
        </w:rPr>
        <w:t>p</w:t>
      </w:r>
      <w:r w:rsidR="00822BA1" w:rsidRPr="006479DA">
        <w:rPr>
          <w:rFonts w:ascii="Book Antiqua" w:eastAsia="Arial Unicode MS" w:hAnsi="Book Antiqua"/>
          <w:sz w:val="24"/>
          <w:szCs w:val="24"/>
          <w:lang w:val="en-US" w:eastAsia="de-DE"/>
        </w:rPr>
        <w:t xml:space="preserve"> = 0.10)</w:t>
      </w:r>
      <w:r w:rsidR="00ED3E4C" w:rsidRPr="006479DA">
        <w:rPr>
          <w:rFonts w:ascii="Book Antiqua" w:eastAsia="Arial Unicode MS" w:hAnsi="Book Antiqua"/>
          <w:sz w:val="24"/>
          <w:szCs w:val="24"/>
          <w:lang w:val="en-US" w:eastAsia="de-DE"/>
        </w:rPr>
        <w:t xml:space="preserve">. </w:t>
      </w:r>
      <w:r w:rsidR="00F33E8F" w:rsidRPr="006479DA">
        <w:rPr>
          <w:rFonts w:ascii="Book Antiqua" w:eastAsia="Arial Unicode MS" w:hAnsi="Book Antiqua"/>
          <w:sz w:val="24"/>
          <w:szCs w:val="24"/>
          <w:lang w:val="en-US" w:eastAsia="de-DE"/>
        </w:rPr>
        <w:t xml:space="preserve">When IP index was stratified </w:t>
      </w:r>
      <w:r w:rsidR="00B73514" w:rsidRPr="006479DA">
        <w:rPr>
          <w:rFonts w:ascii="Book Antiqua" w:eastAsia="Arial Unicode MS" w:hAnsi="Book Antiqua"/>
          <w:sz w:val="24"/>
          <w:szCs w:val="24"/>
          <w:lang w:val="en-US" w:eastAsia="de-DE"/>
        </w:rPr>
        <w:t xml:space="preserve">according to tertiles, the cumulative 1-year incidences of SBP were 0%, </w:t>
      </w:r>
      <w:r w:rsidR="008A6BF7" w:rsidRPr="006479DA">
        <w:rPr>
          <w:rFonts w:ascii="Book Antiqua" w:eastAsia="Arial Unicode MS" w:hAnsi="Book Antiqua"/>
          <w:sz w:val="24"/>
          <w:szCs w:val="24"/>
          <w:lang w:val="en-US" w:eastAsia="de-DE"/>
        </w:rPr>
        <w:t>20</w:t>
      </w:r>
      <w:r w:rsidR="00B73514" w:rsidRPr="006479DA">
        <w:rPr>
          <w:rFonts w:ascii="Book Antiqua" w:eastAsia="Arial Unicode MS" w:hAnsi="Book Antiqua"/>
          <w:sz w:val="24"/>
          <w:szCs w:val="24"/>
          <w:lang w:val="en-US" w:eastAsia="de-DE"/>
        </w:rPr>
        <w:t xml:space="preserve">% ± </w:t>
      </w:r>
      <w:r w:rsidR="008A6BF7" w:rsidRPr="006479DA">
        <w:rPr>
          <w:rFonts w:ascii="Book Antiqua" w:eastAsia="Arial Unicode MS" w:hAnsi="Book Antiqua"/>
          <w:sz w:val="24"/>
          <w:szCs w:val="24"/>
          <w:lang w:val="en-US" w:eastAsia="de-DE"/>
        </w:rPr>
        <w:t>13</w:t>
      </w:r>
      <w:r w:rsidR="00B73514" w:rsidRPr="006479DA">
        <w:rPr>
          <w:rFonts w:ascii="Book Antiqua" w:eastAsia="Arial Unicode MS" w:hAnsi="Book Antiqua"/>
          <w:sz w:val="24"/>
          <w:szCs w:val="24"/>
          <w:lang w:val="en-US" w:eastAsia="de-DE"/>
        </w:rPr>
        <w:t xml:space="preserve">%, and </w:t>
      </w:r>
      <w:r w:rsidR="008A6BF7" w:rsidRPr="006479DA">
        <w:rPr>
          <w:rFonts w:ascii="Book Antiqua" w:eastAsia="Arial Unicode MS" w:hAnsi="Book Antiqua"/>
          <w:sz w:val="24"/>
          <w:szCs w:val="24"/>
          <w:lang w:val="en-US" w:eastAsia="de-DE"/>
        </w:rPr>
        <w:t>34</w:t>
      </w:r>
      <w:r w:rsidR="00B73514" w:rsidRPr="006479DA">
        <w:rPr>
          <w:rFonts w:ascii="Book Antiqua" w:eastAsia="Arial Unicode MS" w:hAnsi="Book Antiqua"/>
          <w:sz w:val="24"/>
          <w:szCs w:val="24"/>
          <w:lang w:val="en-US" w:eastAsia="de-DE"/>
        </w:rPr>
        <w:t>%</w:t>
      </w:r>
      <w:r w:rsidR="008A6BF7" w:rsidRPr="006479DA">
        <w:rPr>
          <w:rFonts w:ascii="Book Antiqua" w:eastAsia="Arial Unicode MS" w:hAnsi="Book Antiqua"/>
          <w:sz w:val="24"/>
          <w:szCs w:val="24"/>
          <w:lang w:val="en-US" w:eastAsia="de-DE"/>
        </w:rPr>
        <w:t xml:space="preserve"> ± 12% (estimates ± standard error), </w:t>
      </w:r>
      <w:r w:rsidR="00B73514" w:rsidRPr="006479DA">
        <w:rPr>
          <w:rFonts w:ascii="Book Antiqua" w:eastAsia="Arial Unicode MS" w:hAnsi="Book Antiqua"/>
          <w:sz w:val="24"/>
          <w:szCs w:val="24"/>
          <w:lang w:val="en-US" w:eastAsia="de-DE"/>
        </w:rPr>
        <w:t xml:space="preserve"> in patients in the lowest, median and highest tertile </w:t>
      </w:r>
      <w:r w:rsidR="008A6BF7" w:rsidRPr="006479DA">
        <w:rPr>
          <w:rFonts w:ascii="Book Antiqua" w:eastAsia="Arial Unicode MS" w:hAnsi="Book Antiqua"/>
          <w:sz w:val="24"/>
          <w:szCs w:val="24"/>
          <w:lang w:val="en-US" w:eastAsia="de-DE"/>
        </w:rPr>
        <w:t xml:space="preserve">according to Kaplan-Meier analysis </w:t>
      </w:r>
      <w:r w:rsidR="00B73514" w:rsidRPr="006479DA">
        <w:rPr>
          <w:rFonts w:ascii="Book Antiqua" w:eastAsia="Arial Unicode MS" w:hAnsi="Book Antiqua"/>
          <w:sz w:val="24"/>
          <w:szCs w:val="24"/>
          <w:lang w:val="en-US" w:eastAsia="de-DE"/>
        </w:rPr>
        <w:t>(</w:t>
      </w:r>
      <w:r w:rsidR="00B73514" w:rsidRPr="00C509DD">
        <w:rPr>
          <w:rFonts w:ascii="Book Antiqua" w:eastAsia="Arial Unicode MS" w:hAnsi="Book Antiqua"/>
          <w:i/>
          <w:caps/>
          <w:sz w:val="24"/>
          <w:szCs w:val="24"/>
          <w:lang w:val="en-US" w:eastAsia="de-DE"/>
        </w:rPr>
        <w:t>p</w:t>
      </w:r>
      <w:r w:rsidR="00B73514" w:rsidRPr="006479DA">
        <w:rPr>
          <w:rFonts w:ascii="Book Antiqua" w:eastAsia="Arial Unicode MS" w:hAnsi="Book Antiqua"/>
          <w:sz w:val="24"/>
          <w:szCs w:val="24"/>
          <w:lang w:val="en-US" w:eastAsia="de-DE"/>
        </w:rPr>
        <w:t xml:space="preserve"> for linear </w:t>
      </w:r>
      <w:r w:rsidR="005A0E74" w:rsidRPr="006479DA">
        <w:rPr>
          <w:rFonts w:ascii="Book Antiqua" w:eastAsia="Arial Unicode MS" w:hAnsi="Book Antiqua"/>
          <w:sz w:val="24"/>
          <w:szCs w:val="24"/>
          <w:lang w:val="en-US" w:eastAsia="de-DE"/>
        </w:rPr>
        <w:t xml:space="preserve">trend </w:t>
      </w:r>
      <w:r w:rsidR="00B73514" w:rsidRPr="006479DA">
        <w:rPr>
          <w:rFonts w:ascii="Book Antiqua" w:eastAsia="Arial Unicode MS" w:hAnsi="Book Antiqua"/>
          <w:sz w:val="24"/>
          <w:szCs w:val="24"/>
          <w:lang w:val="en-US" w:eastAsia="de-DE"/>
        </w:rPr>
        <w:t>= 0.</w:t>
      </w:r>
      <w:r w:rsidR="008A6BF7" w:rsidRPr="006479DA">
        <w:rPr>
          <w:rFonts w:ascii="Book Antiqua" w:eastAsia="Arial Unicode MS" w:hAnsi="Book Antiqua"/>
          <w:sz w:val="24"/>
          <w:szCs w:val="24"/>
          <w:lang w:val="en-US" w:eastAsia="de-DE"/>
        </w:rPr>
        <w:t>016</w:t>
      </w:r>
      <w:r w:rsidR="00B73514" w:rsidRPr="006479DA">
        <w:rPr>
          <w:rFonts w:ascii="Book Antiqua" w:eastAsia="Arial Unicode MS" w:hAnsi="Book Antiqua"/>
          <w:sz w:val="24"/>
          <w:szCs w:val="24"/>
          <w:lang w:val="en-US" w:eastAsia="de-DE"/>
        </w:rPr>
        <w:t xml:space="preserve">) </w:t>
      </w:r>
      <w:r w:rsidR="00B73514" w:rsidRPr="00C509DD">
        <w:rPr>
          <w:rFonts w:ascii="Book Antiqua" w:eastAsia="Arial Unicode MS" w:hAnsi="Book Antiqua"/>
          <w:sz w:val="24"/>
          <w:szCs w:val="24"/>
          <w:lang w:val="en-US" w:eastAsia="de-DE"/>
        </w:rPr>
        <w:t xml:space="preserve">(Figure </w:t>
      </w:r>
      <w:r w:rsidR="008A6BF7" w:rsidRPr="00C509DD">
        <w:rPr>
          <w:rFonts w:ascii="Book Antiqua" w:eastAsia="Arial Unicode MS" w:hAnsi="Book Antiqua"/>
          <w:sz w:val="24"/>
          <w:szCs w:val="24"/>
          <w:lang w:val="en-US" w:eastAsia="de-DE"/>
        </w:rPr>
        <w:t>3</w:t>
      </w:r>
      <w:r w:rsidR="00822BA1" w:rsidRPr="00C509DD">
        <w:rPr>
          <w:rFonts w:ascii="Book Antiqua" w:eastAsia="Arial Unicode MS" w:hAnsi="Book Antiqua"/>
          <w:sz w:val="24"/>
          <w:szCs w:val="24"/>
          <w:lang w:val="en-US" w:eastAsia="de-DE"/>
        </w:rPr>
        <w:t>A</w:t>
      </w:r>
      <w:r w:rsidR="00B73514" w:rsidRPr="00C509DD">
        <w:rPr>
          <w:rFonts w:ascii="Book Antiqua" w:eastAsia="Arial Unicode MS" w:hAnsi="Book Antiqua"/>
          <w:sz w:val="24"/>
          <w:szCs w:val="24"/>
          <w:lang w:val="en-US" w:eastAsia="de-DE"/>
        </w:rPr>
        <w:t>).</w:t>
      </w:r>
      <w:r w:rsidR="00B73514" w:rsidRPr="006479DA">
        <w:rPr>
          <w:rFonts w:ascii="Book Antiqua" w:eastAsia="Arial Unicode MS" w:hAnsi="Book Antiqua"/>
          <w:sz w:val="24"/>
          <w:szCs w:val="24"/>
          <w:lang w:val="en-US" w:eastAsia="de-DE"/>
        </w:rPr>
        <w:t xml:space="preserve"> The cumulative incidences of </w:t>
      </w:r>
      <w:r w:rsidR="008A6BF7" w:rsidRPr="006479DA">
        <w:rPr>
          <w:rFonts w:ascii="Book Antiqua" w:eastAsia="Arial Unicode MS" w:hAnsi="Book Antiqua"/>
          <w:sz w:val="24"/>
          <w:szCs w:val="24"/>
          <w:lang w:val="en-US" w:eastAsia="de-DE"/>
        </w:rPr>
        <w:t xml:space="preserve">hospitalization for </w:t>
      </w:r>
      <w:r w:rsidR="00B73514" w:rsidRPr="006479DA">
        <w:rPr>
          <w:rFonts w:ascii="Book Antiqua" w:eastAsia="Arial Unicode MS" w:hAnsi="Book Antiqua"/>
          <w:sz w:val="24"/>
          <w:szCs w:val="24"/>
          <w:lang w:val="en-US" w:eastAsia="de-DE"/>
        </w:rPr>
        <w:t xml:space="preserve">infection did not </w:t>
      </w:r>
      <w:r w:rsidR="008A6BF7" w:rsidRPr="006479DA">
        <w:rPr>
          <w:rFonts w:ascii="Book Antiqua" w:eastAsia="Arial Unicode MS" w:hAnsi="Book Antiqua"/>
          <w:sz w:val="24"/>
          <w:szCs w:val="24"/>
          <w:lang w:val="en-US" w:eastAsia="de-DE"/>
        </w:rPr>
        <w:t>s</w:t>
      </w:r>
      <w:r w:rsidR="00B73514" w:rsidRPr="006479DA">
        <w:rPr>
          <w:rFonts w:ascii="Book Antiqua" w:eastAsia="Arial Unicode MS" w:hAnsi="Book Antiqua"/>
          <w:sz w:val="24"/>
          <w:szCs w:val="24"/>
          <w:lang w:val="en-US" w:eastAsia="de-DE"/>
        </w:rPr>
        <w:t xml:space="preserve">ignificantly differ between patients in the </w:t>
      </w:r>
      <w:r w:rsidR="008A6BF7" w:rsidRPr="006479DA">
        <w:rPr>
          <w:rFonts w:ascii="Book Antiqua" w:eastAsia="Arial Unicode MS" w:hAnsi="Book Antiqua"/>
          <w:sz w:val="24"/>
          <w:szCs w:val="24"/>
          <w:lang w:val="en-US" w:eastAsia="de-DE"/>
        </w:rPr>
        <w:t>lowest</w:t>
      </w:r>
      <w:r w:rsidR="00B73514" w:rsidRPr="006479DA">
        <w:rPr>
          <w:rFonts w:ascii="Book Antiqua" w:eastAsia="Arial Unicode MS" w:hAnsi="Book Antiqua"/>
          <w:sz w:val="24"/>
          <w:szCs w:val="24"/>
          <w:lang w:val="en-US" w:eastAsia="de-DE"/>
        </w:rPr>
        <w:t xml:space="preserve"> (</w:t>
      </w:r>
      <w:r w:rsidR="008A6BF7" w:rsidRPr="006479DA">
        <w:rPr>
          <w:rFonts w:ascii="Book Antiqua" w:eastAsia="Arial Unicode MS" w:hAnsi="Book Antiqua"/>
          <w:sz w:val="24"/>
          <w:szCs w:val="24"/>
          <w:lang w:val="en-US" w:eastAsia="de-DE"/>
        </w:rPr>
        <w:t>28% ± 12%</w:t>
      </w:r>
      <w:r w:rsidR="00B73514" w:rsidRPr="006479DA">
        <w:rPr>
          <w:rFonts w:ascii="Book Antiqua" w:eastAsia="Arial Unicode MS" w:hAnsi="Book Antiqua"/>
          <w:sz w:val="24"/>
          <w:szCs w:val="24"/>
          <w:lang w:val="en-US" w:eastAsia="de-DE"/>
        </w:rPr>
        <w:t>), median (</w:t>
      </w:r>
      <w:r w:rsidR="008A6BF7" w:rsidRPr="006479DA">
        <w:rPr>
          <w:rFonts w:ascii="Book Antiqua" w:eastAsia="Arial Unicode MS" w:hAnsi="Book Antiqua"/>
          <w:sz w:val="24"/>
          <w:szCs w:val="24"/>
          <w:lang w:val="en-US" w:eastAsia="de-DE"/>
        </w:rPr>
        <w:t>43% ± 13%</w:t>
      </w:r>
      <w:r w:rsidR="00B73514" w:rsidRPr="006479DA">
        <w:rPr>
          <w:rFonts w:ascii="Book Antiqua" w:eastAsia="Arial Unicode MS" w:hAnsi="Book Antiqua"/>
          <w:sz w:val="24"/>
          <w:szCs w:val="24"/>
          <w:lang w:val="en-US" w:eastAsia="de-DE"/>
        </w:rPr>
        <w:t xml:space="preserve">), and </w:t>
      </w:r>
      <w:r w:rsidR="008A6BF7" w:rsidRPr="006479DA">
        <w:rPr>
          <w:rFonts w:ascii="Book Antiqua" w:eastAsia="Arial Unicode MS" w:hAnsi="Book Antiqua"/>
          <w:sz w:val="24"/>
          <w:szCs w:val="24"/>
          <w:lang w:val="en-US" w:eastAsia="de-DE"/>
        </w:rPr>
        <w:t>highest</w:t>
      </w:r>
      <w:r w:rsidR="00B73514" w:rsidRPr="006479DA">
        <w:rPr>
          <w:rFonts w:ascii="Book Antiqua" w:eastAsia="Arial Unicode MS" w:hAnsi="Book Antiqua"/>
          <w:sz w:val="24"/>
          <w:szCs w:val="24"/>
          <w:lang w:val="en-US" w:eastAsia="de-DE"/>
        </w:rPr>
        <w:t xml:space="preserve"> (</w:t>
      </w:r>
      <w:r w:rsidR="008A6BF7" w:rsidRPr="006479DA">
        <w:rPr>
          <w:rFonts w:ascii="Book Antiqua" w:eastAsia="Arial Unicode MS" w:hAnsi="Book Antiqua"/>
          <w:sz w:val="24"/>
          <w:szCs w:val="24"/>
          <w:lang w:val="en-US" w:eastAsia="de-DE"/>
        </w:rPr>
        <w:t>63%</w:t>
      </w:r>
      <w:r w:rsidR="00C509DD">
        <w:rPr>
          <w:rFonts w:ascii="Book Antiqua" w:eastAsia="Arial Unicode MS" w:hAnsi="Book Antiqua" w:hint="eastAsia"/>
          <w:sz w:val="24"/>
          <w:szCs w:val="24"/>
          <w:lang w:val="en-US" w:eastAsia="zh-CN"/>
        </w:rPr>
        <w:t xml:space="preserve"> </w:t>
      </w:r>
      <w:r w:rsidR="008A6BF7" w:rsidRPr="006479DA">
        <w:rPr>
          <w:rFonts w:ascii="Book Antiqua" w:eastAsia="Arial Unicode MS" w:hAnsi="Book Antiqua"/>
          <w:sz w:val="24"/>
          <w:szCs w:val="24"/>
          <w:lang w:val="en-US" w:eastAsia="de-DE"/>
        </w:rPr>
        <w:t>± 13%</w:t>
      </w:r>
      <w:r w:rsidR="00B73514" w:rsidRPr="006479DA">
        <w:rPr>
          <w:rFonts w:ascii="Book Antiqua" w:eastAsia="Arial Unicode MS" w:hAnsi="Book Antiqua"/>
          <w:sz w:val="24"/>
          <w:szCs w:val="24"/>
          <w:lang w:val="en-US" w:eastAsia="de-DE"/>
        </w:rPr>
        <w:t>) tertile (</w:t>
      </w:r>
      <w:r w:rsidR="00B73514" w:rsidRPr="00C509DD">
        <w:rPr>
          <w:rFonts w:ascii="Book Antiqua" w:eastAsia="Arial Unicode MS" w:hAnsi="Book Antiqua"/>
          <w:i/>
          <w:caps/>
          <w:sz w:val="24"/>
          <w:szCs w:val="24"/>
          <w:lang w:val="en-US" w:eastAsia="de-DE"/>
        </w:rPr>
        <w:t>p</w:t>
      </w:r>
      <w:r w:rsidR="00B73514" w:rsidRPr="00C509DD">
        <w:rPr>
          <w:rFonts w:ascii="Book Antiqua" w:eastAsia="Arial Unicode MS" w:hAnsi="Book Antiqua"/>
          <w:caps/>
          <w:sz w:val="24"/>
          <w:szCs w:val="24"/>
          <w:lang w:val="en-US" w:eastAsia="de-DE"/>
        </w:rPr>
        <w:t xml:space="preserve"> </w:t>
      </w:r>
      <w:r w:rsidR="00B73514" w:rsidRPr="006479DA">
        <w:rPr>
          <w:rFonts w:ascii="Book Antiqua" w:eastAsia="Arial Unicode MS" w:hAnsi="Book Antiqua"/>
          <w:sz w:val="24"/>
          <w:szCs w:val="24"/>
          <w:lang w:val="en-US" w:eastAsia="de-DE"/>
        </w:rPr>
        <w:t xml:space="preserve">for linear </w:t>
      </w:r>
      <w:r w:rsidR="005A0E74" w:rsidRPr="006479DA">
        <w:rPr>
          <w:rFonts w:ascii="Book Antiqua" w:eastAsia="Arial Unicode MS" w:hAnsi="Book Antiqua"/>
          <w:sz w:val="24"/>
          <w:szCs w:val="24"/>
          <w:lang w:val="en-US" w:eastAsia="de-DE"/>
        </w:rPr>
        <w:t xml:space="preserve">trend </w:t>
      </w:r>
      <w:r w:rsidR="00B73514" w:rsidRPr="006479DA">
        <w:rPr>
          <w:rFonts w:ascii="Book Antiqua" w:eastAsia="Arial Unicode MS" w:hAnsi="Book Antiqua"/>
          <w:sz w:val="24"/>
          <w:szCs w:val="24"/>
          <w:lang w:val="en-US" w:eastAsia="de-DE"/>
        </w:rPr>
        <w:t>= 0.</w:t>
      </w:r>
      <w:r w:rsidR="008A6BF7" w:rsidRPr="006479DA">
        <w:rPr>
          <w:rFonts w:ascii="Book Antiqua" w:eastAsia="Arial Unicode MS" w:hAnsi="Book Antiqua"/>
          <w:sz w:val="24"/>
          <w:szCs w:val="24"/>
          <w:lang w:val="en-US" w:eastAsia="de-DE"/>
        </w:rPr>
        <w:t>096</w:t>
      </w:r>
      <w:r w:rsidR="00B73514" w:rsidRPr="006479DA">
        <w:rPr>
          <w:rFonts w:ascii="Book Antiqua" w:eastAsia="Arial Unicode MS" w:hAnsi="Book Antiqua"/>
          <w:sz w:val="24"/>
          <w:szCs w:val="24"/>
          <w:lang w:val="en-US" w:eastAsia="de-DE"/>
        </w:rPr>
        <w:t>)</w:t>
      </w:r>
      <w:r w:rsidR="008A6BF7" w:rsidRPr="006479DA">
        <w:rPr>
          <w:rFonts w:ascii="Book Antiqua" w:eastAsia="Arial Unicode MS" w:hAnsi="Book Antiqua"/>
          <w:sz w:val="24"/>
          <w:szCs w:val="24"/>
          <w:lang w:val="en-US" w:eastAsia="de-DE"/>
        </w:rPr>
        <w:t xml:space="preserve"> </w:t>
      </w:r>
      <w:r w:rsidR="008A6BF7" w:rsidRPr="00C509DD">
        <w:rPr>
          <w:rFonts w:ascii="Book Antiqua" w:eastAsia="Arial Unicode MS" w:hAnsi="Book Antiqua"/>
          <w:sz w:val="24"/>
          <w:szCs w:val="24"/>
          <w:lang w:val="en-US" w:eastAsia="de-DE"/>
        </w:rPr>
        <w:t>(Figure 3</w:t>
      </w:r>
      <w:r w:rsidR="00822BA1" w:rsidRPr="00C509DD">
        <w:rPr>
          <w:rFonts w:ascii="Book Antiqua" w:eastAsia="Arial Unicode MS" w:hAnsi="Book Antiqua"/>
          <w:sz w:val="24"/>
          <w:szCs w:val="24"/>
          <w:lang w:val="en-US" w:eastAsia="de-DE"/>
        </w:rPr>
        <w:t>B</w:t>
      </w:r>
      <w:r w:rsidR="008A6BF7" w:rsidRPr="00C509DD">
        <w:rPr>
          <w:rFonts w:ascii="Book Antiqua" w:eastAsia="Arial Unicode MS" w:hAnsi="Book Antiqua"/>
          <w:sz w:val="24"/>
          <w:szCs w:val="24"/>
          <w:lang w:val="en-US" w:eastAsia="de-DE"/>
        </w:rPr>
        <w:t>)</w:t>
      </w:r>
      <w:r w:rsidR="00B73514" w:rsidRPr="00C509DD">
        <w:rPr>
          <w:rFonts w:ascii="Book Antiqua" w:eastAsia="Arial Unicode MS" w:hAnsi="Book Antiqua"/>
          <w:sz w:val="24"/>
          <w:szCs w:val="24"/>
          <w:lang w:val="en-US" w:eastAsia="de-DE"/>
        </w:rPr>
        <w:t>.</w:t>
      </w:r>
    </w:p>
    <w:p w14:paraId="0A66E9EE" w14:textId="77777777" w:rsidR="00B73514" w:rsidRPr="006479DA" w:rsidRDefault="00B73514" w:rsidP="00265BAF">
      <w:pPr>
        <w:tabs>
          <w:tab w:val="left" w:pos="2040"/>
        </w:tabs>
        <w:spacing w:after="0" w:line="360" w:lineRule="auto"/>
        <w:jc w:val="both"/>
        <w:rPr>
          <w:rFonts w:ascii="Book Antiqua" w:eastAsia="Arial Unicode MS" w:hAnsi="Book Antiqua"/>
          <w:sz w:val="24"/>
          <w:szCs w:val="24"/>
          <w:lang w:val="en-US" w:eastAsia="de-DE"/>
        </w:rPr>
      </w:pPr>
    </w:p>
    <w:p w14:paraId="2BF92FCE" w14:textId="08F8F2C3" w:rsidR="00EA495C" w:rsidRPr="006479DA" w:rsidRDefault="00EA495C" w:rsidP="00265BAF">
      <w:pPr>
        <w:tabs>
          <w:tab w:val="left" w:pos="2040"/>
        </w:tabs>
        <w:spacing w:after="0" w:line="360" w:lineRule="auto"/>
        <w:jc w:val="both"/>
        <w:rPr>
          <w:rFonts w:ascii="Book Antiqua" w:eastAsia="Arial Unicode MS" w:hAnsi="Book Antiqua"/>
          <w:b/>
          <w:i/>
          <w:sz w:val="24"/>
          <w:szCs w:val="24"/>
          <w:lang w:val="en-US" w:eastAsia="de-DE"/>
        </w:rPr>
      </w:pPr>
      <w:r w:rsidRPr="006479DA">
        <w:rPr>
          <w:rFonts w:ascii="Book Antiqua" w:eastAsia="Arial Unicode MS" w:hAnsi="Book Antiqua"/>
          <w:b/>
          <w:i/>
          <w:sz w:val="24"/>
          <w:szCs w:val="24"/>
          <w:lang w:val="en-US" w:eastAsia="de-DE"/>
        </w:rPr>
        <w:t>Survival</w:t>
      </w:r>
      <w:r w:rsidR="00306F78" w:rsidRPr="006479DA">
        <w:rPr>
          <w:rFonts w:ascii="Book Antiqua" w:eastAsia="Arial Unicode MS" w:hAnsi="Book Antiqua"/>
          <w:b/>
          <w:i/>
          <w:sz w:val="24"/>
          <w:szCs w:val="24"/>
          <w:lang w:val="en-US" w:eastAsia="de-DE"/>
        </w:rPr>
        <w:t xml:space="preserve"> and infection-free survival</w:t>
      </w:r>
    </w:p>
    <w:p w14:paraId="71556F2C" w14:textId="542CFBDB" w:rsidR="008C228F" w:rsidRPr="006479DA" w:rsidRDefault="00B96AD4" w:rsidP="00265BAF">
      <w:pPr>
        <w:tabs>
          <w:tab w:val="left" w:pos="2040"/>
        </w:tabs>
        <w:spacing w:after="0" w:line="360" w:lineRule="auto"/>
        <w:jc w:val="both"/>
        <w:rPr>
          <w:rFonts w:ascii="Book Antiqua" w:eastAsia="Arial Unicode MS" w:hAnsi="Book Antiqua"/>
          <w:sz w:val="24"/>
          <w:szCs w:val="24"/>
          <w:lang w:val="en-US" w:eastAsia="de-DE"/>
        </w:rPr>
      </w:pPr>
      <w:r w:rsidRPr="006479DA">
        <w:rPr>
          <w:rFonts w:ascii="Book Antiqua" w:eastAsia="Arial Unicode MS" w:hAnsi="Book Antiqua"/>
          <w:sz w:val="24"/>
          <w:szCs w:val="24"/>
          <w:lang w:val="en-US" w:eastAsia="de-DE"/>
        </w:rPr>
        <w:t>Twenty-eight percent (13/46) of the patients died within 365 d of follow-up after a median of 116 d. Nine percent (4/46) underwent liver transplantation after a median of 180 d. One patient was lost to follow-up after 58 d, and three patients after 267-292 d</w:t>
      </w:r>
      <w:r w:rsidR="00C509DD">
        <w:rPr>
          <w:rFonts w:ascii="Book Antiqua" w:eastAsia="Arial Unicode MS" w:hAnsi="Book Antiqua" w:hint="eastAsia"/>
          <w:sz w:val="24"/>
          <w:szCs w:val="24"/>
          <w:lang w:val="en-US" w:eastAsia="zh-CN"/>
        </w:rPr>
        <w:t>.</w:t>
      </w:r>
      <w:r w:rsidRPr="006479DA">
        <w:rPr>
          <w:rFonts w:ascii="Book Antiqua" w:eastAsia="Arial Unicode MS" w:hAnsi="Book Antiqua"/>
          <w:sz w:val="24"/>
          <w:szCs w:val="24"/>
          <w:lang w:val="en-US" w:eastAsia="de-DE"/>
        </w:rPr>
        <w:t xml:space="preserve">  </w:t>
      </w:r>
      <w:r w:rsidR="00382CED" w:rsidRPr="006479DA">
        <w:rPr>
          <w:rFonts w:ascii="Book Antiqua" w:eastAsia="Arial Unicode MS" w:hAnsi="Book Antiqua"/>
          <w:sz w:val="24"/>
          <w:szCs w:val="24"/>
          <w:lang w:val="en-US" w:eastAsia="de-DE"/>
        </w:rPr>
        <w:t>Among the 19 patients who developed bacterial infection, 9 (47%) died within the observation period, in contrast to 4 out of 27 (15%) patients who did not develop infection (</w:t>
      </w:r>
      <w:r w:rsidR="00382CED" w:rsidRPr="00C509DD">
        <w:rPr>
          <w:rFonts w:ascii="Book Antiqua" w:eastAsia="Arial Unicode MS" w:hAnsi="Book Antiqua"/>
          <w:i/>
          <w:caps/>
          <w:sz w:val="24"/>
          <w:szCs w:val="24"/>
          <w:lang w:val="en-US" w:eastAsia="de-DE"/>
        </w:rPr>
        <w:t>p</w:t>
      </w:r>
      <w:r w:rsidR="00382CED" w:rsidRPr="00C509DD">
        <w:rPr>
          <w:rFonts w:ascii="Book Antiqua" w:eastAsia="Arial Unicode MS" w:hAnsi="Book Antiqua"/>
          <w:caps/>
          <w:sz w:val="24"/>
          <w:szCs w:val="24"/>
          <w:lang w:val="en-US" w:eastAsia="de-DE"/>
        </w:rPr>
        <w:t xml:space="preserve"> </w:t>
      </w:r>
      <w:r w:rsidR="00382CED" w:rsidRPr="006479DA">
        <w:rPr>
          <w:rFonts w:ascii="Book Antiqua" w:eastAsia="Arial Unicode MS" w:hAnsi="Book Antiqua"/>
          <w:sz w:val="24"/>
          <w:szCs w:val="24"/>
          <w:lang w:val="en-US" w:eastAsia="de-DE"/>
        </w:rPr>
        <w:t>= 0.02).</w:t>
      </w:r>
      <w:r w:rsidR="009E039C" w:rsidRPr="006479DA">
        <w:rPr>
          <w:rFonts w:ascii="Book Antiqua" w:eastAsia="Arial Unicode MS" w:hAnsi="Book Antiqua"/>
          <w:sz w:val="24"/>
          <w:szCs w:val="24"/>
          <w:lang w:val="en-US" w:eastAsia="de-DE"/>
        </w:rPr>
        <w:t xml:space="preserve"> </w:t>
      </w:r>
    </w:p>
    <w:p w14:paraId="1DD0CF4A" w14:textId="77777777" w:rsidR="008C228F" w:rsidRPr="006479DA" w:rsidRDefault="008C228F" w:rsidP="00265BAF">
      <w:pPr>
        <w:tabs>
          <w:tab w:val="left" w:pos="2040"/>
        </w:tabs>
        <w:spacing w:after="0" w:line="360" w:lineRule="auto"/>
        <w:jc w:val="both"/>
        <w:rPr>
          <w:rFonts w:ascii="Book Antiqua" w:eastAsia="Arial Unicode MS" w:hAnsi="Book Antiqua"/>
          <w:sz w:val="24"/>
          <w:szCs w:val="24"/>
          <w:lang w:val="en-US" w:eastAsia="de-DE"/>
        </w:rPr>
      </w:pPr>
    </w:p>
    <w:p w14:paraId="2EC44404" w14:textId="5CC6D124" w:rsidR="00F62957" w:rsidRPr="00C509DD" w:rsidRDefault="008C228F" w:rsidP="00265BAF">
      <w:pPr>
        <w:tabs>
          <w:tab w:val="left" w:pos="2040"/>
        </w:tabs>
        <w:spacing w:after="0" w:line="360" w:lineRule="auto"/>
        <w:jc w:val="both"/>
        <w:rPr>
          <w:rFonts w:ascii="Book Antiqua" w:eastAsia="Arial Unicode MS" w:hAnsi="Book Antiqua"/>
          <w:sz w:val="24"/>
          <w:szCs w:val="24"/>
          <w:lang w:val="en-US" w:eastAsia="zh-CN"/>
        </w:rPr>
      </w:pPr>
      <w:r w:rsidRPr="006479DA">
        <w:rPr>
          <w:rFonts w:ascii="Book Antiqua" w:eastAsia="Arial Unicode MS" w:hAnsi="Book Antiqua"/>
          <w:sz w:val="24"/>
          <w:szCs w:val="24"/>
          <w:lang w:val="en-US" w:eastAsia="de-DE"/>
        </w:rPr>
        <w:t>We observed 2 (29%) deaths in patients with normal IP compared to 11 (28%) death</w:t>
      </w:r>
      <w:r w:rsidR="0044472A" w:rsidRPr="006479DA">
        <w:rPr>
          <w:rFonts w:ascii="Book Antiqua" w:eastAsia="Arial Unicode MS" w:hAnsi="Book Antiqua"/>
          <w:sz w:val="24"/>
          <w:szCs w:val="24"/>
          <w:lang w:val="en-US" w:eastAsia="de-DE"/>
        </w:rPr>
        <w:t>s</w:t>
      </w:r>
      <w:r w:rsidRPr="006479DA">
        <w:rPr>
          <w:rFonts w:ascii="Book Antiqua" w:eastAsia="Arial Unicode MS" w:hAnsi="Book Antiqua"/>
          <w:sz w:val="24"/>
          <w:szCs w:val="24"/>
          <w:lang w:val="en-US" w:eastAsia="de-DE"/>
        </w:rPr>
        <w:t xml:space="preserve"> in patients with pathologically increased IP (</w:t>
      </w:r>
      <w:r w:rsidRPr="00C509DD">
        <w:rPr>
          <w:rFonts w:ascii="Book Antiqua" w:eastAsia="Arial Unicode MS" w:hAnsi="Book Antiqua"/>
          <w:i/>
          <w:caps/>
          <w:sz w:val="24"/>
          <w:szCs w:val="24"/>
          <w:lang w:val="en-US" w:eastAsia="de-DE"/>
        </w:rPr>
        <w:t>p</w:t>
      </w:r>
      <w:r w:rsidRPr="006479DA">
        <w:rPr>
          <w:rFonts w:ascii="Book Antiqua" w:eastAsia="Arial Unicode MS" w:hAnsi="Book Antiqua"/>
          <w:sz w:val="24"/>
          <w:szCs w:val="24"/>
          <w:lang w:val="en-US" w:eastAsia="de-DE"/>
        </w:rPr>
        <w:t xml:space="preserve"> = </w:t>
      </w:r>
      <w:r w:rsidR="0044472A" w:rsidRPr="006479DA">
        <w:rPr>
          <w:rFonts w:ascii="Book Antiqua" w:eastAsia="Arial Unicode MS" w:hAnsi="Book Antiqua"/>
          <w:sz w:val="24"/>
          <w:szCs w:val="24"/>
          <w:lang w:val="en-US" w:eastAsia="de-DE"/>
        </w:rPr>
        <w:t>1.000</w:t>
      </w:r>
      <w:r w:rsidRPr="006479DA">
        <w:rPr>
          <w:rFonts w:ascii="Book Antiqua" w:eastAsia="Arial Unicode MS" w:hAnsi="Book Antiqua"/>
          <w:sz w:val="24"/>
          <w:szCs w:val="24"/>
          <w:lang w:val="en-US" w:eastAsia="de-DE"/>
        </w:rPr>
        <w:t xml:space="preserve">). </w:t>
      </w:r>
      <w:r w:rsidR="005D3527" w:rsidRPr="006479DA">
        <w:rPr>
          <w:rFonts w:ascii="Book Antiqua" w:eastAsia="Arial Unicode MS" w:hAnsi="Book Antiqua"/>
          <w:sz w:val="24"/>
          <w:szCs w:val="24"/>
          <w:lang w:val="en-US" w:eastAsia="de-DE"/>
        </w:rPr>
        <w:t>There was no significant correlation between pathological IP and mortality (</w:t>
      </w:r>
      <w:r w:rsidR="005D3527" w:rsidRPr="00C509DD">
        <w:rPr>
          <w:rFonts w:ascii="Book Antiqua" w:eastAsia="Arial Unicode MS" w:hAnsi="Book Antiqua"/>
          <w:i/>
          <w:caps/>
          <w:sz w:val="24"/>
          <w:szCs w:val="24"/>
          <w:lang w:val="en-US" w:eastAsia="de-DE"/>
        </w:rPr>
        <w:t>p</w:t>
      </w:r>
      <w:r w:rsidR="005D3527" w:rsidRPr="006479DA">
        <w:rPr>
          <w:rFonts w:ascii="Book Antiqua" w:eastAsia="Arial Unicode MS" w:hAnsi="Book Antiqua"/>
          <w:i/>
          <w:sz w:val="24"/>
          <w:szCs w:val="24"/>
          <w:lang w:val="en-US" w:eastAsia="de-DE"/>
        </w:rPr>
        <w:t xml:space="preserve"> </w:t>
      </w:r>
      <w:r w:rsidR="005D3527" w:rsidRPr="006479DA">
        <w:rPr>
          <w:rFonts w:ascii="Book Antiqua" w:eastAsia="Arial Unicode MS" w:hAnsi="Book Antiqua"/>
          <w:sz w:val="24"/>
          <w:szCs w:val="24"/>
          <w:lang w:val="en-US" w:eastAsia="de-DE"/>
        </w:rPr>
        <w:t xml:space="preserve">= 0.82), transplant-free survival </w:t>
      </w:r>
      <w:r w:rsidR="005D3527" w:rsidRPr="006479DA">
        <w:rPr>
          <w:rFonts w:ascii="Book Antiqua" w:eastAsia="Arial Unicode MS" w:hAnsi="Book Antiqua"/>
          <w:sz w:val="24"/>
          <w:szCs w:val="24"/>
          <w:lang w:val="en-US" w:eastAsia="de-DE"/>
        </w:rPr>
        <w:lastRenderedPageBreak/>
        <w:t>(</w:t>
      </w:r>
      <w:r w:rsidR="005D3527" w:rsidRPr="00C509DD">
        <w:rPr>
          <w:rFonts w:ascii="Book Antiqua" w:eastAsia="Arial Unicode MS" w:hAnsi="Book Antiqua"/>
          <w:i/>
          <w:caps/>
          <w:sz w:val="24"/>
          <w:szCs w:val="24"/>
          <w:lang w:val="en-US" w:eastAsia="de-DE"/>
        </w:rPr>
        <w:t>p</w:t>
      </w:r>
      <w:r w:rsidR="005D3527" w:rsidRPr="006479DA">
        <w:rPr>
          <w:rFonts w:ascii="Book Antiqua" w:eastAsia="Arial Unicode MS" w:hAnsi="Book Antiqua"/>
          <w:i/>
          <w:sz w:val="24"/>
          <w:szCs w:val="24"/>
          <w:lang w:val="en-US" w:eastAsia="de-DE"/>
        </w:rPr>
        <w:t xml:space="preserve"> </w:t>
      </w:r>
      <w:r w:rsidR="005D3527" w:rsidRPr="006479DA">
        <w:rPr>
          <w:rFonts w:ascii="Book Antiqua" w:eastAsia="Arial Unicode MS" w:hAnsi="Book Antiqua"/>
          <w:sz w:val="24"/>
          <w:szCs w:val="24"/>
          <w:lang w:val="en-US" w:eastAsia="de-DE"/>
        </w:rPr>
        <w:t>= 0.90) or infection-free survival (</w:t>
      </w:r>
      <w:r w:rsidR="005D3527" w:rsidRPr="00C509DD">
        <w:rPr>
          <w:rFonts w:ascii="Book Antiqua" w:eastAsia="Arial Unicode MS" w:hAnsi="Book Antiqua"/>
          <w:i/>
          <w:caps/>
          <w:sz w:val="24"/>
          <w:szCs w:val="24"/>
          <w:lang w:val="en-US" w:eastAsia="de-DE"/>
        </w:rPr>
        <w:t>p</w:t>
      </w:r>
      <w:r w:rsidR="005D3527" w:rsidRPr="006479DA">
        <w:rPr>
          <w:rFonts w:ascii="Book Antiqua" w:eastAsia="Arial Unicode MS" w:hAnsi="Book Antiqua"/>
          <w:i/>
          <w:sz w:val="24"/>
          <w:szCs w:val="24"/>
          <w:lang w:val="en-US" w:eastAsia="de-DE"/>
        </w:rPr>
        <w:t xml:space="preserve"> </w:t>
      </w:r>
      <w:r w:rsidR="005D3527" w:rsidRPr="006479DA">
        <w:rPr>
          <w:rFonts w:ascii="Book Antiqua" w:eastAsia="Arial Unicode MS" w:hAnsi="Book Antiqua"/>
          <w:sz w:val="24"/>
          <w:szCs w:val="24"/>
          <w:lang w:val="en-US" w:eastAsia="de-DE"/>
        </w:rPr>
        <w:t xml:space="preserve">= 0.90) according to Kaplan-Meier analysis. </w:t>
      </w:r>
      <w:r w:rsidR="008A6BF7" w:rsidRPr="006479DA">
        <w:rPr>
          <w:rFonts w:ascii="Book Antiqua" w:eastAsia="Arial Unicode MS" w:hAnsi="Book Antiqua"/>
          <w:sz w:val="24"/>
          <w:szCs w:val="24"/>
          <w:lang w:val="en-US" w:eastAsia="de-DE"/>
        </w:rPr>
        <w:t>Overall survival and transplan</w:t>
      </w:r>
      <w:r w:rsidR="005479E0" w:rsidRPr="006479DA">
        <w:rPr>
          <w:rFonts w:ascii="Book Antiqua" w:eastAsia="Arial Unicode MS" w:hAnsi="Book Antiqua"/>
          <w:sz w:val="24"/>
          <w:szCs w:val="24"/>
          <w:lang w:val="en-US" w:eastAsia="de-DE"/>
        </w:rPr>
        <w:t>ta</w:t>
      </w:r>
      <w:r w:rsidR="008A6BF7" w:rsidRPr="006479DA">
        <w:rPr>
          <w:rFonts w:ascii="Book Antiqua" w:eastAsia="Arial Unicode MS" w:hAnsi="Book Antiqua"/>
          <w:sz w:val="24"/>
          <w:szCs w:val="24"/>
          <w:lang w:val="en-US" w:eastAsia="de-DE"/>
        </w:rPr>
        <w:t>tion-free survival were lowest in patients in the median tertile group compared to patients in the highest and lowest tertile</w:t>
      </w:r>
      <w:r w:rsidR="005C55FB" w:rsidRPr="006479DA">
        <w:rPr>
          <w:rFonts w:ascii="Book Antiqua" w:eastAsia="Arial Unicode MS" w:hAnsi="Book Antiqua"/>
          <w:sz w:val="24"/>
          <w:szCs w:val="24"/>
          <w:lang w:val="en-US" w:eastAsia="de-DE"/>
        </w:rPr>
        <w:t xml:space="preserve">, </w:t>
      </w:r>
      <w:r w:rsidR="008A6BF7" w:rsidRPr="006479DA">
        <w:rPr>
          <w:rFonts w:ascii="Book Antiqua" w:eastAsia="Arial Unicode MS" w:hAnsi="Book Antiqua"/>
          <w:sz w:val="24"/>
          <w:szCs w:val="24"/>
          <w:lang w:val="en-US" w:eastAsia="de-DE"/>
        </w:rPr>
        <w:t>and the transplan</w:t>
      </w:r>
      <w:r w:rsidR="005479E0" w:rsidRPr="006479DA">
        <w:rPr>
          <w:rFonts w:ascii="Book Antiqua" w:eastAsia="Arial Unicode MS" w:hAnsi="Book Antiqua"/>
          <w:sz w:val="24"/>
          <w:szCs w:val="24"/>
          <w:lang w:val="en-US" w:eastAsia="de-DE"/>
        </w:rPr>
        <w:t>ta</w:t>
      </w:r>
      <w:r w:rsidR="008A6BF7" w:rsidRPr="006479DA">
        <w:rPr>
          <w:rFonts w:ascii="Book Antiqua" w:eastAsia="Arial Unicode MS" w:hAnsi="Book Antiqua"/>
          <w:sz w:val="24"/>
          <w:szCs w:val="24"/>
          <w:lang w:val="en-US" w:eastAsia="de-DE"/>
        </w:rPr>
        <w:t>tion-free survival did not differ between the groups</w:t>
      </w:r>
      <w:r w:rsidR="008A6BF7" w:rsidRPr="00C509DD">
        <w:rPr>
          <w:rFonts w:ascii="Book Antiqua" w:eastAsia="Arial Unicode MS" w:hAnsi="Book Antiqua"/>
          <w:sz w:val="24"/>
          <w:szCs w:val="24"/>
          <w:lang w:val="en-US" w:eastAsia="de-DE"/>
        </w:rPr>
        <w:t xml:space="preserve"> (Figure 4). </w:t>
      </w:r>
    </w:p>
    <w:p w14:paraId="7F59E800" w14:textId="77777777" w:rsidR="00C509DD" w:rsidRDefault="009E039C" w:rsidP="00265BAF">
      <w:pPr>
        <w:tabs>
          <w:tab w:val="left" w:pos="2040"/>
        </w:tabs>
        <w:spacing w:after="0" w:line="360" w:lineRule="auto"/>
        <w:ind w:firstLineChars="100" w:firstLine="240"/>
        <w:jc w:val="both"/>
        <w:rPr>
          <w:rFonts w:ascii="Book Antiqua" w:eastAsia="Arial Unicode MS" w:hAnsi="Book Antiqua"/>
          <w:sz w:val="24"/>
          <w:szCs w:val="24"/>
          <w:lang w:val="en-US" w:eastAsia="zh-CN"/>
        </w:rPr>
      </w:pPr>
      <w:r w:rsidRPr="006479DA">
        <w:rPr>
          <w:rFonts w:ascii="Book Antiqua" w:eastAsia="Arial Unicode MS" w:hAnsi="Book Antiqua"/>
          <w:sz w:val="24"/>
          <w:szCs w:val="24"/>
          <w:lang w:val="en-US" w:eastAsia="de-DE"/>
        </w:rPr>
        <w:t>In contrast</w:t>
      </w:r>
      <w:r w:rsidR="00850451" w:rsidRPr="006479DA">
        <w:rPr>
          <w:rFonts w:ascii="Book Antiqua" w:eastAsia="Arial Unicode MS" w:hAnsi="Book Antiqua"/>
          <w:sz w:val="24"/>
          <w:szCs w:val="24"/>
          <w:lang w:val="en-US" w:eastAsia="de-DE"/>
        </w:rPr>
        <w:t xml:space="preserve"> to </w:t>
      </w:r>
      <w:r w:rsidR="008A6BF7" w:rsidRPr="006479DA">
        <w:rPr>
          <w:rFonts w:ascii="Book Antiqua" w:eastAsia="Arial Unicode MS" w:hAnsi="Book Antiqua"/>
          <w:sz w:val="24"/>
          <w:szCs w:val="24"/>
          <w:lang w:val="en-US" w:eastAsia="de-DE"/>
        </w:rPr>
        <w:t xml:space="preserve">the </w:t>
      </w:r>
      <w:r w:rsidR="00850451" w:rsidRPr="006479DA">
        <w:rPr>
          <w:rFonts w:ascii="Book Antiqua" w:eastAsia="Arial Unicode MS" w:hAnsi="Book Antiqua"/>
          <w:sz w:val="24"/>
          <w:szCs w:val="24"/>
          <w:lang w:val="en-US" w:eastAsia="de-DE"/>
        </w:rPr>
        <w:t>IP</w:t>
      </w:r>
      <w:r w:rsidR="00537AFC" w:rsidRPr="006479DA">
        <w:rPr>
          <w:rFonts w:ascii="Book Antiqua" w:eastAsia="Arial Unicode MS" w:hAnsi="Book Antiqua"/>
          <w:sz w:val="24"/>
          <w:szCs w:val="24"/>
          <w:lang w:val="en-US" w:eastAsia="de-DE"/>
        </w:rPr>
        <w:t xml:space="preserve"> (AUROC 0.550; </w:t>
      </w:r>
      <w:r w:rsidR="00537AFC" w:rsidRPr="00C509DD">
        <w:rPr>
          <w:rFonts w:ascii="Book Antiqua" w:eastAsia="Arial Unicode MS" w:hAnsi="Book Antiqua"/>
          <w:i/>
          <w:caps/>
          <w:sz w:val="24"/>
          <w:szCs w:val="24"/>
          <w:lang w:val="en-US" w:eastAsia="de-DE"/>
        </w:rPr>
        <w:t>p</w:t>
      </w:r>
      <w:r w:rsidR="00537AFC" w:rsidRPr="006479DA">
        <w:rPr>
          <w:rFonts w:ascii="Book Antiqua" w:eastAsia="Arial Unicode MS" w:hAnsi="Book Antiqua"/>
          <w:sz w:val="24"/>
          <w:szCs w:val="24"/>
          <w:lang w:val="en-US" w:eastAsia="de-DE"/>
        </w:rPr>
        <w:t xml:space="preserve"> = 0.56)</w:t>
      </w:r>
      <w:r w:rsidRPr="006479DA">
        <w:rPr>
          <w:rFonts w:ascii="Book Antiqua" w:eastAsia="Arial Unicode MS" w:hAnsi="Book Antiqua"/>
          <w:sz w:val="24"/>
          <w:szCs w:val="24"/>
          <w:lang w:val="en-US" w:eastAsia="de-DE"/>
        </w:rPr>
        <w:t xml:space="preserve">, </w:t>
      </w:r>
      <w:r w:rsidR="000C7713" w:rsidRPr="006479DA">
        <w:rPr>
          <w:rFonts w:ascii="Book Antiqua" w:eastAsia="Arial Unicode MS" w:hAnsi="Book Antiqua"/>
          <w:sz w:val="24"/>
          <w:szCs w:val="24"/>
          <w:lang w:val="en-US" w:eastAsia="de-DE"/>
        </w:rPr>
        <w:t xml:space="preserve">higher MELD score (AUROC 0.736; </w:t>
      </w:r>
      <w:r w:rsidR="000C7713" w:rsidRPr="00C509DD">
        <w:rPr>
          <w:rFonts w:ascii="Book Antiqua" w:eastAsia="Arial Unicode MS" w:hAnsi="Book Antiqua"/>
          <w:i/>
          <w:caps/>
          <w:sz w:val="24"/>
          <w:szCs w:val="24"/>
          <w:lang w:val="en-US" w:eastAsia="de-DE"/>
        </w:rPr>
        <w:t>p</w:t>
      </w:r>
      <w:r w:rsidR="00C509DD">
        <w:rPr>
          <w:rFonts w:ascii="Book Antiqua" w:eastAsia="Arial Unicode MS" w:hAnsi="Book Antiqua" w:hint="eastAsia"/>
          <w:i/>
          <w:sz w:val="24"/>
          <w:szCs w:val="24"/>
          <w:lang w:val="en-US" w:eastAsia="zh-CN"/>
        </w:rPr>
        <w:t xml:space="preserve"> </w:t>
      </w:r>
      <w:r w:rsidR="000C7713" w:rsidRPr="006479DA">
        <w:rPr>
          <w:rFonts w:ascii="Book Antiqua" w:eastAsia="Arial Unicode MS" w:hAnsi="Book Antiqua"/>
          <w:i/>
          <w:sz w:val="24"/>
          <w:szCs w:val="24"/>
          <w:lang w:val="en-US" w:eastAsia="de-DE"/>
        </w:rPr>
        <w:t>=</w:t>
      </w:r>
      <w:r w:rsidR="000C7713" w:rsidRPr="006479DA">
        <w:rPr>
          <w:rFonts w:ascii="Book Antiqua" w:eastAsia="Arial Unicode MS" w:hAnsi="Book Antiqua"/>
          <w:sz w:val="24"/>
          <w:szCs w:val="24"/>
          <w:lang w:val="en-US" w:eastAsia="de-DE"/>
        </w:rPr>
        <w:t xml:space="preserve"> 0.006), higher Child</w:t>
      </w:r>
      <w:r w:rsidR="00850451" w:rsidRPr="006479DA">
        <w:rPr>
          <w:rFonts w:ascii="Book Antiqua" w:eastAsia="Arial Unicode MS" w:hAnsi="Book Antiqua"/>
          <w:sz w:val="24"/>
          <w:szCs w:val="24"/>
          <w:lang w:val="en-US" w:eastAsia="de-DE"/>
        </w:rPr>
        <w:t>-</w:t>
      </w:r>
      <w:r w:rsidR="000C7713" w:rsidRPr="006479DA">
        <w:rPr>
          <w:rFonts w:ascii="Book Antiqua" w:eastAsia="Arial Unicode MS" w:hAnsi="Book Antiqua"/>
          <w:sz w:val="24"/>
          <w:szCs w:val="24"/>
          <w:lang w:val="en-US" w:eastAsia="de-DE"/>
        </w:rPr>
        <w:t xml:space="preserve">Pugh score (AUROC 0.736; </w:t>
      </w:r>
      <w:r w:rsidR="000C7713" w:rsidRPr="00C509DD">
        <w:rPr>
          <w:rFonts w:ascii="Book Antiqua" w:eastAsia="Arial Unicode MS" w:hAnsi="Book Antiqua"/>
          <w:i/>
          <w:caps/>
          <w:sz w:val="24"/>
          <w:szCs w:val="24"/>
          <w:lang w:val="en-US" w:eastAsia="de-DE"/>
        </w:rPr>
        <w:t>p</w:t>
      </w:r>
      <w:r w:rsidR="000C7713" w:rsidRPr="00C509DD">
        <w:rPr>
          <w:rFonts w:ascii="Book Antiqua" w:eastAsia="Arial Unicode MS" w:hAnsi="Book Antiqua"/>
          <w:caps/>
          <w:sz w:val="24"/>
          <w:szCs w:val="24"/>
          <w:lang w:val="en-US" w:eastAsia="de-DE"/>
        </w:rPr>
        <w:t xml:space="preserve"> </w:t>
      </w:r>
      <w:r w:rsidR="000C7713" w:rsidRPr="006479DA">
        <w:rPr>
          <w:rFonts w:ascii="Book Antiqua" w:eastAsia="Arial Unicode MS" w:hAnsi="Book Antiqua"/>
          <w:sz w:val="24"/>
          <w:szCs w:val="24"/>
          <w:lang w:val="en-US" w:eastAsia="de-DE"/>
        </w:rPr>
        <w:t xml:space="preserve">= 0.006), and higher I-FABP concentration (AUROC 0.774; </w:t>
      </w:r>
      <w:r w:rsidR="000C7713" w:rsidRPr="00C509DD">
        <w:rPr>
          <w:rFonts w:ascii="Book Antiqua" w:eastAsia="Arial Unicode MS" w:hAnsi="Book Antiqua"/>
          <w:i/>
          <w:caps/>
          <w:sz w:val="24"/>
          <w:szCs w:val="24"/>
          <w:lang w:val="en-US" w:eastAsia="de-DE"/>
        </w:rPr>
        <w:t>p</w:t>
      </w:r>
      <w:r w:rsidR="000C7713" w:rsidRPr="006479DA">
        <w:rPr>
          <w:rFonts w:ascii="Book Antiqua" w:eastAsia="Arial Unicode MS" w:hAnsi="Book Antiqua"/>
          <w:i/>
          <w:sz w:val="24"/>
          <w:szCs w:val="24"/>
          <w:lang w:val="en-US" w:eastAsia="de-DE"/>
        </w:rPr>
        <w:t xml:space="preserve"> </w:t>
      </w:r>
      <w:r w:rsidR="000C7713" w:rsidRPr="006479DA">
        <w:rPr>
          <w:rFonts w:ascii="Book Antiqua" w:eastAsia="Arial Unicode MS" w:hAnsi="Book Antiqua"/>
          <w:sz w:val="24"/>
          <w:szCs w:val="24"/>
          <w:lang w:val="en-US" w:eastAsia="de-DE"/>
        </w:rPr>
        <w:t xml:space="preserve">= 0.005) were </w:t>
      </w:r>
      <w:r w:rsidRPr="006479DA">
        <w:rPr>
          <w:rFonts w:ascii="Book Antiqua" w:eastAsia="Arial Unicode MS" w:hAnsi="Book Antiqua"/>
          <w:sz w:val="24"/>
          <w:szCs w:val="24"/>
          <w:lang w:val="en-US" w:eastAsia="de-DE"/>
        </w:rPr>
        <w:t xml:space="preserve">significantly </w:t>
      </w:r>
      <w:r w:rsidR="000C7713" w:rsidRPr="006479DA">
        <w:rPr>
          <w:rFonts w:ascii="Book Antiqua" w:eastAsia="Arial Unicode MS" w:hAnsi="Book Antiqua"/>
          <w:sz w:val="24"/>
          <w:szCs w:val="24"/>
          <w:lang w:val="en-US" w:eastAsia="de-DE"/>
        </w:rPr>
        <w:t>associated with 1-year infection-free survival</w:t>
      </w:r>
      <w:r w:rsidR="005D3527" w:rsidRPr="006479DA">
        <w:rPr>
          <w:rFonts w:ascii="Book Antiqua" w:eastAsia="Arial Unicode MS" w:hAnsi="Book Antiqua"/>
          <w:sz w:val="24"/>
          <w:szCs w:val="24"/>
          <w:lang w:val="en-US" w:eastAsia="de-DE"/>
        </w:rPr>
        <w:t xml:space="preserve"> when linearly assessed in ROC analysis and</w:t>
      </w:r>
      <w:r w:rsidR="00850451" w:rsidRPr="006479DA">
        <w:rPr>
          <w:rFonts w:ascii="Book Antiqua" w:eastAsia="Arial Unicode MS" w:hAnsi="Book Antiqua"/>
          <w:sz w:val="24"/>
          <w:szCs w:val="24"/>
          <w:lang w:val="en-US" w:eastAsia="de-DE"/>
        </w:rPr>
        <w:t xml:space="preserve"> also</w:t>
      </w:r>
      <w:r w:rsidR="005D3527" w:rsidRPr="006479DA">
        <w:rPr>
          <w:rFonts w:ascii="Book Antiqua" w:eastAsia="Arial Unicode MS" w:hAnsi="Book Antiqua"/>
          <w:sz w:val="24"/>
          <w:szCs w:val="24"/>
          <w:lang w:val="en-US" w:eastAsia="de-DE"/>
        </w:rPr>
        <w:t xml:space="preserve"> in Cox regression </w:t>
      </w:r>
      <w:r w:rsidR="00850451" w:rsidRPr="006479DA">
        <w:rPr>
          <w:rFonts w:ascii="Book Antiqua" w:eastAsia="Arial Unicode MS" w:hAnsi="Book Antiqua"/>
          <w:sz w:val="24"/>
          <w:szCs w:val="24"/>
          <w:lang w:val="en-US" w:eastAsia="de-DE"/>
        </w:rPr>
        <w:t>after dichotomization</w:t>
      </w:r>
      <w:r w:rsidRPr="006479DA">
        <w:rPr>
          <w:rFonts w:ascii="Book Antiqua" w:eastAsia="Arial Unicode MS" w:hAnsi="Book Antiqua"/>
          <w:sz w:val="24"/>
          <w:szCs w:val="24"/>
          <w:lang w:val="en-US" w:eastAsia="de-DE"/>
        </w:rPr>
        <w:t xml:space="preserve">. Higher serum IL-6 (AUROC 0.660; </w:t>
      </w:r>
      <w:r w:rsidRPr="00C509DD">
        <w:rPr>
          <w:rFonts w:ascii="Book Antiqua" w:eastAsia="Arial Unicode MS" w:hAnsi="Book Antiqua"/>
          <w:i/>
          <w:caps/>
          <w:sz w:val="24"/>
          <w:szCs w:val="24"/>
          <w:lang w:val="en-US" w:eastAsia="de-DE"/>
        </w:rPr>
        <w:t>p</w:t>
      </w:r>
      <w:r w:rsidRPr="006479DA">
        <w:rPr>
          <w:rFonts w:ascii="Book Antiqua" w:eastAsia="Arial Unicode MS" w:hAnsi="Book Antiqua"/>
          <w:sz w:val="24"/>
          <w:szCs w:val="24"/>
          <w:lang w:val="en-US" w:eastAsia="de-DE"/>
        </w:rPr>
        <w:t xml:space="preserve"> = 0.06) showed a trend for predicting infection-free survival wh</w:t>
      </w:r>
      <w:r w:rsidR="00F41B2E" w:rsidRPr="006479DA">
        <w:rPr>
          <w:rFonts w:ascii="Book Antiqua" w:eastAsia="Arial Unicode MS" w:hAnsi="Book Antiqua"/>
          <w:sz w:val="24"/>
          <w:szCs w:val="24"/>
          <w:lang w:val="en-US" w:eastAsia="de-DE"/>
        </w:rPr>
        <w:t xml:space="preserve">en assessed as linear </w:t>
      </w:r>
      <w:r w:rsidR="005A0E74" w:rsidRPr="006479DA">
        <w:rPr>
          <w:rFonts w:ascii="Book Antiqua" w:eastAsia="Arial Unicode MS" w:hAnsi="Book Antiqua"/>
          <w:sz w:val="24"/>
          <w:szCs w:val="24"/>
          <w:lang w:val="en-US" w:eastAsia="de-DE"/>
        </w:rPr>
        <w:t xml:space="preserve">continuous </w:t>
      </w:r>
      <w:r w:rsidR="00F41B2E" w:rsidRPr="006479DA">
        <w:rPr>
          <w:rFonts w:ascii="Book Antiqua" w:eastAsia="Arial Unicode MS" w:hAnsi="Book Antiqua"/>
          <w:sz w:val="24"/>
          <w:szCs w:val="24"/>
          <w:lang w:val="en-US" w:eastAsia="de-DE"/>
        </w:rPr>
        <w:t>variable</w:t>
      </w:r>
      <w:r w:rsidR="005D3527" w:rsidRPr="006479DA">
        <w:rPr>
          <w:rFonts w:ascii="Book Antiqua" w:eastAsia="Arial Unicode MS" w:hAnsi="Book Antiqua"/>
          <w:sz w:val="24"/>
          <w:szCs w:val="24"/>
          <w:lang w:val="en-US" w:eastAsia="de-DE"/>
        </w:rPr>
        <w:t xml:space="preserve"> and </w:t>
      </w:r>
      <w:r w:rsidR="00F41B2E" w:rsidRPr="006479DA">
        <w:rPr>
          <w:rFonts w:ascii="Book Antiqua" w:eastAsia="Arial Unicode MS" w:hAnsi="Book Antiqua"/>
          <w:sz w:val="24"/>
          <w:szCs w:val="24"/>
          <w:lang w:val="en-US" w:eastAsia="de-DE"/>
        </w:rPr>
        <w:t>was</w:t>
      </w:r>
      <w:r w:rsidR="005D3527" w:rsidRPr="006479DA">
        <w:rPr>
          <w:rFonts w:ascii="Book Antiqua" w:eastAsia="Arial Unicode MS" w:hAnsi="Book Antiqua"/>
          <w:sz w:val="24"/>
          <w:szCs w:val="24"/>
          <w:lang w:val="en-US" w:eastAsia="de-DE"/>
        </w:rPr>
        <w:t xml:space="preserve"> significant in a Cox regression model after dichotomization. </w:t>
      </w:r>
      <w:r w:rsidR="000B1033" w:rsidRPr="006479DA">
        <w:rPr>
          <w:rFonts w:ascii="Book Antiqua" w:eastAsia="Arial Unicode MS" w:hAnsi="Book Antiqua"/>
          <w:sz w:val="24"/>
          <w:szCs w:val="24"/>
          <w:lang w:val="en-US" w:eastAsia="de-DE"/>
        </w:rPr>
        <w:t>In multivariate analysis only MELD score &gt;</w:t>
      </w:r>
      <w:r w:rsidR="00C509DD">
        <w:rPr>
          <w:rFonts w:ascii="Book Antiqua" w:eastAsia="Arial Unicode MS" w:hAnsi="Book Antiqua" w:hint="eastAsia"/>
          <w:sz w:val="24"/>
          <w:szCs w:val="24"/>
          <w:lang w:val="en-US" w:eastAsia="zh-CN"/>
        </w:rPr>
        <w:t xml:space="preserve"> </w:t>
      </w:r>
      <w:r w:rsidR="000B1033" w:rsidRPr="006479DA">
        <w:rPr>
          <w:rFonts w:ascii="Book Antiqua" w:eastAsia="Arial Unicode MS" w:hAnsi="Book Antiqua"/>
          <w:sz w:val="24"/>
          <w:szCs w:val="24"/>
          <w:lang w:val="en-US" w:eastAsia="de-DE"/>
        </w:rPr>
        <w:t xml:space="preserve">13 and the presence of ascites at baseline predicted infection-free survival </w:t>
      </w:r>
      <w:r w:rsidR="000B1033" w:rsidRPr="00C509DD">
        <w:rPr>
          <w:rFonts w:ascii="Book Antiqua" w:eastAsia="Arial Unicode MS" w:hAnsi="Book Antiqua"/>
          <w:sz w:val="24"/>
          <w:szCs w:val="24"/>
          <w:lang w:val="en-US" w:eastAsia="de-DE"/>
        </w:rPr>
        <w:t>(Table 4).</w:t>
      </w:r>
    </w:p>
    <w:p w14:paraId="2422E5B8" w14:textId="77777777" w:rsidR="00C509DD" w:rsidRDefault="00C509DD" w:rsidP="00265BAF">
      <w:pPr>
        <w:tabs>
          <w:tab w:val="left" w:pos="2040"/>
        </w:tabs>
        <w:spacing w:after="0" w:line="360" w:lineRule="auto"/>
        <w:jc w:val="both"/>
        <w:rPr>
          <w:rFonts w:ascii="Book Antiqua" w:eastAsia="Arial Unicode MS" w:hAnsi="Book Antiqua"/>
          <w:sz w:val="24"/>
          <w:szCs w:val="24"/>
          <w:lang w:val="en-US" w:eastAsia="zh-CN"/>
        </w:rPr>
      </w:pPr>
    </w:p>
    <w:p w14:paraId="1A641109" w14:textId="3726322D" w:rsidR="009A7F1F" w:rsidRPr="00C509DD" w:rsidRDefault="002A4B64" w:rsidP="00265BAF">
      <w:pPr>
        <w:tabs>
          <w:tab w:val="left" w:pos="2040"/>
        </w:tabs>
        <w:spacing w:after="0" w:line="360" w:lineRule="auto"/>
        <w:jc w:val="both"/>
        <w:rPr>
          <w:rFonts w:ascii="Book Antiqua" w:eastAsia="Arial Unicode MS" w:hAnsi="Book Antiqua"/>
          <w:b/>
          <w:sz w:val="24"/>
          <w:szCs w:val="24"/>
          <w:lang w:val="en-US" w:eastAsia="de-DE"/>
        </w:rPr>
      </w:pPr>
      <w:r w:rsidRPr="00C509DD">
        <w:rPr>
          <w:rFonts w:ascii="Book Antiqua" w:hAnsi="Book Antiqua"/>
          <w:b/>
          <w:sz w:val="24"/>
          <w:szCs w:val="24"/>
          <w:lang w:val="en-US" w:eastAsia="de-DE"/>
        </w:rPr>
        <w:t>DISCUSSION</w:t>
      </w:r>
    </w:p>
    <w:p w14:paraId="664A6B45" w14:textId="65732E4D" w:rsidR="00C43C01" w:rsidRPr="00C509DD" w:rsidRDefault="00294A74" w:rsidP="00265BAF">
      <w:pPr>
        <w:spacing w:after="0" w:line="360" w:lineRule="auto"/>
        <w:jc w:val="both"/>
        <w:rPr>
          <w:rFonts w:ascii="Book Antiqua" w:eastAsia="SimSun" w:hAnsi="Book Antiqua"/>
          <w:sz w:val="24"/>
          <w:szCs w:val="24"/>
          <w:lang w:val="en-US" w:eastAsia="zh-CN"/>
        </w:rPr>
      </w:pPr>
      <w:r w:rsidRPr="006479DA">
        <w:rPr>
          <w:rFonts w:ascii="Book Antiqua" w:hAnsi="Book Antiqua"/>
          <w:sz w:val="24"/>
          <w:szCs w:val="24"/>
          <w:lang w:val="en-US" w:eastAsia="de-DE"/>
        </w:rPr>
        <w:t xml:space="preserve">In </w:t>
      </w:r>
      <w:r w:rsidR="004F5420" w:rsidRPr="006479DA">
        <w:rPr>
          <w:rFonts w:ascii="Book Antiqua" w:hAnsi="Book Antiqua"/>
          <w:sz w:val="24"/>
          <w:szCs w:val="24"/>
          <w:lang w:val="en-US" w:eastAsia="de-DE"/>
        </w:rPr>
        <w:t xml:space="preserve">this </w:t>
      </w:r>
      <w:r w:rsidR="000C4A14" w:rsidRPr="006479DA">
        <w:rPr>
          <w:rFonts w:ascii="Book Antiqua" w:hAnsi="Book Antiqua"/>
          <w:sz w:val="24"/>
          <w:szCs w:val="24"/>
          <w:lang w:val="en-US" w:eastAsia="de-DE"/>
        </w:rPr>
        <w:t xml:space="preserve">prospective </w:t>
      </w:r>
      <w:r w:rsidR="004F5420" w:rsidRPr="006479DA">
        <w:rPr>
          <w:rFonts w:ascii="Book Antiqua" w:hAnsi="Book Antiqua"/>
          <w:sz w:val="24"/>
          <w:szCs w:val="24"/>
          <w:lang w:val="en-US" w:eastAsia="de-DE"/>
        </w:rPr>
        <w:t>study</w:t>
      </w:r>
      <w:r w:rsidR="00C43C01" w:rsidRPr="006479DA">
        <w:rPr>
          <w:rFonts w:ascii="Book Antiqua" w:hAnsi="Book Antiqua"/>
          <w:sz w:val="24"/>
          <w:szCs w:val="24"/>
          <w:lang w:val="en-US" w:eastAsia="de-DE"/>
        </w:rPr>
        <w:t>,</w:t>
      </w:r>
      <w:r w:rsidR="004F5420" w:rsidRPr="006479DA">
        <w:rPr>
          <w:rFonts w:ascii="Book Antiqua" w:hAnsi="Book Antiqua"/>
          <w:sz w:val="24"/>
          <w:szCs w:val="24"/>
          <w:lang w:val="en-US" w:eastAsia="de-DE"/>
        </w:rPr>
        <w:t xml:space="preserve"> </w:t>
      </w:r>
      <w:r w:rsidR="00983A95" w:rsidRPr="006479DA">
        <w:rPr>
          <w:rFonts w:ascii="Book Antiqua" w:hAnsi="Book Antiqua"/>
          <w:sz w:val="24"/>
          <w:szCs w:val="24"/>
          <w:lang w:val="en-US" w:eastAsia="de-DE"/>
        </w:rPr>
        <w:t>increased</w:t>
      </w:r>
      <w:r w:rsidR="00FF4B6F" w:rsidRPr="006479DA">
        <w:rPr>
          <w:rFonts w:ascii="Book Antiqua" w:hAnsi="Book Antiqua"/>
          <w:sz w:val="24"/>
          <w:szCs w:val="24"/>
          <w:lang w:val="en-US" w:eastAsia="de-DE"/>
        </w:rPr>
        <w:t xml:space="preserve"> IP was associated with </w:t>
      </w:r>
      <w:r w:rsidR="00C43C01" w:rsidRPr="006479DA">
        <w:rPr>
          <w:rFonts w:ascii="Book Antiqua" w:hAnsi="Book Antiqua"/>
          <w:sz w:val="24"/>
          <w:szCs w:val="24"/>
          <w:lang w:val="en-US" w:eastAsia="de-DE"/>
        </w:rPr>
        <w:t xml:space="preserve">more </w:t>
      </w:r>
      <w:r w:rsidR="00FF4B6F" w:rsidRPr="006479DA">
        <w:rPr>
          <w:rFonts w:ascii="Book Antiqua" w:hAnsi="Book Antiqua"/>
          <w:sz w:val="24"/>
          <w:szCs w:val="24"/>
          <w:lang w:val="en-US" w:eastAsia="de-DE"/>
        </w:rPr>
        <w:t xml:space="preserve">advanced liver disease and </w:t>
      </w:r>
      <w:r w:rsidR="00C43C01" w:rsidRPr="006479DA">
        <w:rPr>
          <w:rFonts w:ascii="Book Antiqua" w:hAnsi="Book Antiqua"/>
          <w:sz w:val="24"/>
          <w:szCs w:val="24"/>
          <w:lang w:val="en-US" w:eastAsia="de-DE"/>
        </w:rPr>
        <w:t xml:space="preserve">increased </w:t>
      </w:r>
      <w:r w:rsidR="00FF4B6F" w:rsidRPr="006479DA">
        <w:rPr>
          <w:rFonts w:ascii="Book Antiqua" w:hAnsi="Book Antiqua"/>
          <w:sz w:val="24"/>
          <w:szCs w:val="24"/>
          <w:lang w:val="en-US" w:eastAsia="de-DE"/>
        </w:rPr>
        <w:t xml:space="preserve">systemic inflammation at baseline but failed to predict </w:t>
      </w:r>
      <w:r w:rsidR="007B0C9F" w:rsidRPr="006479DA">
        <w:rPr>
          <w:rFonts w:ascii="Book Antiqua" w:hAnsi="Book Antiqua"/>
          <w:sz w:val="24"/>
          <w:szCs w:val="24"/>
          <w:lang w:val="en-US" w:eastAsia="de-DE"/>
        </w:rPr>
        <w:t xml:space="preserve">adverse </w:t>
      </w:r>
      <w:r w:rsidR="004F5420" w:rsidRPr="006479DA">
        <w:rPr>
          <w:rFonts w:ascii="Book Antiqua" w:hAnsi="Book Antiqua"/>
          <w:sz w:val="24"/>
          <w:szCs w:val="24"/>
          <w:lang w:val="en-US" w:eastAsia="de-DE"/>
        </w:rPr>
        <w:t>clinical outcome</w:t>
      </w:r>
      <w:r w:rsidRPr="006479DA">
        <w:rPr>
          <w:rFonts w:ascii="Book Antiqua" w:hAnsi="Book Antiqua"/>
          <w:sz w:val="24"/>
          <w:szCs w:val="24"/>
          <w:lang w:val="en-US" w:eastAsia="de-DE"/>
        </w:rPr>
        <w:t xml:space="preserve"> in a 1-year follow-up period when focusing on the endpoints </w:t>
      </w:r>
      <w:r w:rsidR="004F5420" w:rsidRPr="006479DA">
        <w:rPr>
          <w:rFonts w:ascii="Book Antiqua" w:hAnsi="Book Antiqua"/>
          <w:sz w:val="24"/>
          <w:szCs w:val="24"/>
          <w:lang w:val="en-US" w:eastAsia="de-DE"/>
        </w:rPr>
        <w:t>mortality, liver transplantation and infection</w:t>
      </w:r>
      <w:r w:rsidR="00C43C01" w:rsidRPr="006479DA">
        <w:rPr>
          <w:rFonts w:ascii="Book Antiqua" w:hAnsi="Book Antiqua"/>
          <w:sz w:val="24"/>
          <w:szCs w:val="24"/>
          <w:lang w:val="en-US" w:eastAsia="de-DE"/>
        </w:rPr>
        <w:t>s</w:t>
      </w:r>
      <w:r w:rsidR="004F5420" w:rsidRPr="006479DA">
        <w:rPr>
          <w:rFonts w:ascii="Book Antiqua" w:hAnsi="Book Antiqua"/>
          <w:sz w:val="24"/>
          <w:szCs w:val="24"/>
          <w:lang w:val="en-US" w:eastAsia="de-DE"/>
        </w:rPr>
        <w:t xml:space="preserve">. </w:t>
      </w:r>
      <w:r w:rsidR="005E168B" w:rsidRPr="006479DA">
        <w:rPr>
          <w:rFonts w:ascii="Book Antiqua" w:hAnsi="Book Antiqua"/>
          <w:sz w:val="24"/>
          <w:szCs w:val="24"/>
          <w:lang w:val="en-US" w:eastAsia="de-DE"/>
        </w:rPr>
        <w:t>Because</w:t>
      </w:r>
      <w:r w:rsidR="000C4A14" w:rsidRPr="006479DA">
        <w:rPr>
          <w:rFonts w:ascii="Book Antiqua" w:hAnsi="Book Antiqua"/>
          <w:sz w:val="24"/>
          <w:szCs w:val="24"/>
          <w:lang w:val="en-US" w:eastAsia="de-DE"/>
        </w:rPr>
        <w:t xml:space="preserve"> </w:t>
      </w:r>
      <w:r w:rsidR="00983A95" w:rsidRPr="006479DA">
        <w:rPr>
          <w:rFonts w:ascii="Book Antiqua" w:hAnsi="Book Antiqua"/>
          <w:sz w:val="24"/>
          <w:szCs w:val="24"/>
          <w:lang w:val="en-US" w:eastAsia="de-DE"/>
        </w:rPr>
        <w:t xml:space="preserve">bacterial </w:t>
      </w:r>
      <w:r w:rsidR="00B85ADC" w:rsidRPr="006479DA">
        <w:rPr>
          <w:rFonts w:ascii="Book Antiqua" w:hAnsi="Book Antiqua"/>
          <w:sz w:val="24"/>
          <w:szCs w:val="24"/>
          <w:lang w:val="en-US" w:eastAsia="de-DE"/>
        </w:rPr>
        <w:t>i</w:t>
      </w:r>
      <w:r w:rsidR="004F4966" w:rsidRPr="006479DA">
        <w:rPr>
          <w:rFonts w:ascii="Book Antiqua" w:hAnsi="Book Antiqua"/>
          <w:sz w:val="24"/>
          <w:szCs w:val="24"/>
          <w:lang w:val="en-US" w:eastAsia="de-DE"/>
        </w:rPr>
        <w:t>nfectio</w:t>
      </w:r>
      <w:r w:rsidR="009810E2" w:rsidRPr="006479DA">
        <w:rPr>
          <w:rFonts w:ascii="Book Antiqua" w:hAnsi="Book Antiqua"/>
          <w:sz w:val="24"/>
          <w:szCs w:val="24"/>
          <w:lang w:val="en-US" w:eastAsia="de-DE"/>
        </w:rPr>
        <w:t>n</w:t>
      </w:r>
      <w:r w:rsidR="004F4966" w:rsidRPr="006479DA">
        <w:rPr>
          <w:rFonts w:ascii="Book Antiqua" w:hAnsi="Book Antiqua"/>
          <w:sz w:val="24"/>
          <w:szCs w:val="24"/>
          <w:lang w:val="en-US" w:eastAsia="de-DE"/>
        </w:rPr>
        <w:t xml:space="preserve">s are a common complication </w:t>
      </w:r>
      <w:r w:rsidRPr="006479DA">
        <w:rPr>
          <w:rFonts w:ascii="Book Antiqua" w:hAnsi="Book Antiqua"/>
          <w:sz w:val="24"/>
          <w:szCs w:val="24"/>
          <w:lang w:val="en-US" w:eastAsia="de-DE"/>
        </w:rPr>
        <w:t xml:space="preserve">during </w:t>
      </w:r>
      <w:r w:rsidR="004F4966" w:rsidRPr="006479DA">
        <w:rPr>
          <w:rFonts w:ascii="Book Antiqua" w:hAnsi="Book Antiqua"/>
          <w:sz w:val="24"/>
          <w:szCs w:val="24"/>
          <w:lang w:val="en-US" w:eastAsia="de-DE"/>
        </w:rPr>
        <w:t xml:space="preserve">disease progression of cirrhosis and </w:t>
      </w:r>
      <w:r w:rsidRPr="006479DA">
        <w:rPr>
          <w:rFonts w:ascii="Book Antiqua" w:hAnsi="Book Antiqua"/>
          <w:sz w:val="24"/>
          <w:szCs w:val="24"/>
          <w:lang w:val="en-US" w:eastAsia="de-DE"/>
        </w:rPr>
        <w:t>are accompanied by</w:t>
      </w:r>
      <w:r w:rsidR="004F4966" w:rsidRPr="006479DA">
        <w:rPr>
          <w:rFonts w:ascii="Book Antiqua" w:hAnsi="Book Antiqua"/>
          <w:sz w:val="24"/>
          <w:szCs w:val="24"/>
          <w:lang w:val="en-US" w:eastAsia="de-DE"/>
        </w:rPr>
        <w:t xml:space="preserve"> higher mortality </w:t>
      </w:r>
      <w:r w:rsidRPr="006479DA">
        <w:rPr>
          <w:rFonts w:ascii="Book Antiqua" w:hAnsi="Book Antiqua"/>
          <w:sz w:val="24"/>
          <w:szCs w:val="24"/>
          <w:lang w:val="en-US" w:eastAsia="de-DE"/>
        </w:rPr>
        <w:t xml:space="preserve">rates </w:t>
      </w:r>
      <w:r w:rsidR="004F4966" w:rsidRPr="006479DA">
        <w:rPr>
          <w:rFonts w:ascii="Book Antiqua" w:hAnsi="Book Antiqua"/>
          <w:sz w:val="24"/>
          <w:szCs w:val="24"/>
          <w:lang w:val="en-US" w:eastAsia="de-DE"/>
        </w:rPr>
        <w:t xml:space="preserve">and </w:t>
      </w:r>
      <w:r w:rsidRPr="006479DA">
        <w:rPr>
          <w:rFonts w:ascii="Book Antiqua" w:hAnsi="Book Antiqua"/>
          <w:sz w:val="24"/>
          <w:szCs w:val="24"/>
          <w:lang w:val="en-US" w:eastAsia="de-DE"/>
        </w:rPr>
        <w:t xml:space="preserve">prolonged </w:t>
      </w:r>
      <w:r w:rsidR="004F4966" w:rsidRPr="006479DA">
        <w:rPr>
          <w:rFonts w:ascii="Book Antiqua" w:hAnsi="Book Antiqua"/>
          <w:sz w:val="24"/>
          <w:szCs w:val="24"/>
          <w:lang w:val="en-US" w:eastAsia="de-DE"/>
        </w:rPr>
        <w:t>hospital stays</w:t>
      </w:r>
      <w:r w:rsidR="003475ED"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{"citationID":"11cui8gid3","properties":{"formattedCitation":"{\\rtf \\super [2,6]\\nosupersub{}}","plainCitation":"[2,6]"},"citationItems":[{"id":5,"uris":["http://zotero.org/users/1744959/items/BTPJU2TN"],"uri":["http://zotero.org/users/1744959/items/BTPJU2TN"],"itemData":{"id":5,"type":"article-journal","title":"Bacterial infection in patients with advanced cirrhosis: a multicentre prospective study","container-title":"Digestive and liver disease: official journal of the Italian Society of Gastroenterology and the Italian Association for the Study of the Liver","page":"41-48","volume":"33","issue":"1","source":"NCBI PubMed","abstract":"AIMS: To evaluate the prevalence, incidence and clinical relevance of bacterial infection in predominantly non-alcoholic cirrhotic patients hospitalised for decompensation.\nPATIENTS/METHODS: A total of 405 consecutive admissions in 361 patients (249 males and 112 females; 66 Child-Pugh class B and 295 class C) were analysed. Blood, urine, ascitic and pleural fluid cultures were performed within the first 24 hours, during hospitalisation whenever infection was suspected, and again before discharge.\nRESULTS: Over a one year period, 150 (34%) bacterial infections (89 community- and 61 hospital-acquired) involving urinary tract (41%), ascites (23%), blood (21%) and respiratory tract (17%) were diagnosed. The prevalence of bacterial peritonitis was 12%. Infections were asymptomatic in 69 cases (46%) and 130 (87%) involved a single site. Enteric flora accounted for 62% of infections, Escherichia Coli being the most frequent pathogen (25%). Community-acquired infections were associated with more advanced liver disease (Child-Pugh mean score 10.2+/-2.1 versus 9.5+/-1.9, p&lt;0.05), renal failure (p&lt;0.05), and high white blood cell count (p&lt;0.01). Hospital-acquired infections occurred more frequently in patients admitted for gastrointestinal bleeding (p&lt;0.05). The in-hospital mortality was significantly higher in infected than in non-infected patients (15% versus 7%, p&lt;0.05), and infection emerged as an independent variable affecting survival. Moreover bacterial infection accounted for a significantly prolonged hospital stay.\nCONCLUSIONS: Bacterial infection, regardless of the aetiology, is a severe complication of decompensated cirrhosis, and, although frequently asymptomatic, accounts for both longer hospital stay and increased mortality.","ISSN":"1590-8658","note":"PMID: 11303974","shortTitle":"Bacterial infection in patients with advanced cirrhosis","journalAbbreviation":"Dig Liver Dis","language":"eng","author":[{"family":"Borzio","given":"M"},{"family":"Salerno","given":"F"},{"family":"Piantoni","given":"L"},{"family":"Cazzaniga","given":"M"},{"family":"Angeli","given":"P"},{"family":"Bissoli","given":"F"},{"family":"Boccia","given":"S"},{"family":"Colloredo-Mels","given":"G"},{"family":"Corigliano","given":"P"},{"family":"Fornaciari","given":"G"},{"family":"Marenco","given":"G"},{"family":"Pistarà","given":"R"},{"family":"Salvagnini","given":"M"},{"family":"Sangiovanni","given":"A"}],"issued":{"date-parts":[["2001",2]]},"PMID":"11303974"}},{"id":107,"uris":["http://zotero.org/users/1744959/items/23IAWZV4"],"uri":["http://zotero.org/users/1744959/items/23IAWZV4"],"itemData":{"id":107,"type":"article-journal","title":"Infections in Patients With Cirrhosis Increase Mortality Four-Fold and Should Be Used in Determining Prognosis","container-title":"Gastroenterology","page":"1246-1256.e5","volume":"139","issue":"4","source":"ScienceDirect","abstract":"Background &amp;amp; Aims\nA staged prognostic model of cirrhosis based on varices, ascites, and bleeding has been proposed. We analyzed data on infections in patients with cirrhosis to determine whether it is also a prognostic factor.\nMethods\nStudies were identified by MEDLINE, EMBASE, COCHRANE, and ISI Web of Science searches (1978–2009); search terms included sepsis, infection, mortality, and cirrhosis. Studies (n = 178) reporting more than 10 patients and mortality data were evaluated (225 cohorts, 11,987 patients). Mortality after 1, 3, and 12 months was compared with severity, site, microbial cause of infection, etiology of cirrhosis, and publication year. Pooled odds ratio of death was compared for infected versus noninfected groups (18 cohorts, 2317 patients).\nResults\nOverall median mortality of infected patients was 38%: 30.3% at 1 month and 63% at 12 months. Pooled odds ratio for death of infected versus noninfected patients was 3.75 (95% confidence interval, 2.12–4.23). In 101 studies that reported spontaneous bacterial peritonitis (7062 patients), the median mortality was 43.7%: 31.5% at 1 month and 66.2% at 12 months. In 30 studies that reported bacteremia (1437 patients), the median mortality rate was 42.2%. Mortality before 2000 was 47.7% and after 2000 was 32.3% (P = .023); mortality was reduced only at 30 days after spontaneous bacterial peritonitis (49% vs 31.5%; P = .005).\nConclusions\nIn patients with cirrhosis, infections increase mortality 4-fold; 30% of patients die within 1 month after infection and another 30% die by 1 year. Prospective studies with prolonged follow-up evaluation and to evaluate preventative strategies are needed.","DOI":"10.1053/j.gastro.2010.06.019","ISSN":"0016-5085","journalAbbreviation":"Gastroenterology","author":[{"family":"Arvaniti","given":"Vasiliki"},{"family":"D'Amico","given":"Gennaro"},{"family":"Fede","given":"Giuseppe"},{"family":"Manousou","given":"Pinelopi"},{"family":"Tsochatzis","given":"Emmanuel"},{"family":"Pleguezuelo","given":"Maria"},{"family":"Burroughs","given":"Andrew Kenneth"}],"issued":{"date-parts":[["2010",10]]},"accessed":{"date-parts":[["2014",1,10]],"season":"10:27:18"}}}],"schema":"https://github.com/citation-style-language/schema/raw/master/csl-citation.json"} </w:instrText>
      </w:r>
      <w:r w:rsidR="003475ED"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[2,6]</w:t>
      </w:r>
      <w:r w:rsidR="003475ED" w:rsidRPr="006479DA">
        <w:rPr>
          <w:rFonts w:ascii="Book Antiqua" w:hAnsi="Book Antiqua"/>
          <w:sz w:val="24"/>
          <w:szCs w:val="24"/>
          <w:lang w:val="en-US" w:eastAsia="de-DE"/>
        </w:rPr>
        <w:fldChar w:fldCharType="end"/>
      </w:r>
      <w:r w:rsidR="003475ED" w:rsidRPr="006479DA">
        <w:rPr>
          <w:rFonts w:ascii="Book Antiqua" w:hAnsi="Book Antiqua"/>
          <w:sz w:val="24"/>
          <w:szCs w:val="24"/>
          <w:lang w:val="en-US" w:eastAsia="de-DE"/>
        </w:rPr>
        <w:t>,</w:t>
      </w:r>
      <w:r w:rsidR="000C4A14" w:rsidRPr="006479DA">
        <w:rPr>
          <w:rFonts w:ascii="Book Antiqua" w:hAnsi="Book Antiqua"/>
          <w:sz w:val="24"/>
          <w:szCs w:val="24"/>
          <w:lang w:val="en-US" w:eastAsia="de-DE"/>
        </w:rPr>
        <w:t xml:space="preserve"> </w:t>
      </w:r>
      <w:r w:rsidR="00983A95" w:rsidRPr="006479DA">
        <w:rPr>
          <w:rFonts w:ascii="Book Antiqua" w:hAnsi="Book Antiqua"/>
          <w:sz w:val="24"/>
          <w:szCs w:val="24"/>
          <w:lang w:val="en-US" w:eastAsia="de-DE"/>
        </w:rPr>
        <w:t xml:space="preserve">reliable </w:t>
      </w:r>
      <w:r w:rsidR="000C4A14" w:rsidRPr="006479DA">
        <w:rPr>
          <w:rFonts w:ascii="Book Antiqua" w:hAnsi="Book Antiqua"/>
          <w:sz w:val="24"/>
          <w:szCs w:val="24"/>
          <w:lang w:val="en-US" w:eastAsia="de-DE"/>
        </w:rPr>
        <w:t>predictors of infection are needed in order to identify patients at the highest risk.</w:t>
      </w:r>
      <w:r w:rsidR="00C43C01" w:rsidRPr="006479DA">
        <w:rPr>
          <w:rFonts w:ascii="Book Antiqua" w:hAnsi="Book Antiqua"/>
          <w:sz w:val="24"/>
          <w:szCs w:val="24"/>
          <w:lang w:val="en-US" w:eastAsia="de-DE"/>
        </w:rPr>
        <w:t xml:space="preserve"> </w:t>
      </w:r>
      <w:r w:rsidR="00983A95" w:rsidRPr="006479DA">
        <w:rPr>
          <w:rFonts w:ascii="Book Antiqua" w:hAnsi="Book Antiqua"/>
          <w:sz w:val="24"/>
          <w:szCs w:val="24"/>
          <w:lang w:val="en-US" w:eastAsia="de-DE"/>
        </w:rPr>
        <w:t>I</w:t>
      </w:r>
      <w:r w:rsidR="009810E2" w:rsidRPr="006479DA">
        <w:rPr>
          <w:rFonts w:ascii="Book Antiqua" w:hAnsi="Book Antiqua"/>
          <w:sz w:val="24"/>
          <w:szCs w:val="24"/>
          <w:lang w:val="en-US" w:eastAsia="de-DE"/>
        </w:rPr>
        <w:t xml:space="preserve">ncreased IP </w:t>
      </w:r>
      <w:r w:rsidR="000C4A14" w:rsidRPr="006479DA">
        <w:rPr>
          <w:rFonts w:ascii="Book Antiqua" w:hAnsi="Book Antiqua"/>
          <w:sz w:val="24"/>
          <w:szCs w:val="24"/>
          <w:lang w:val="en-US" w:eastAsia="de-DE"/>
        </w:rPr>
        <w:t xml:space="preserve">is understood as a major contributor to bacterial infections in cirrhosis and </w:t>
      </w:r>
      <w:r w:rsidR="00C509DD">
        <w:rPr>
          <w:rFonts w:ascii="Book Antiqua" w:hAnsi="Book Antiqua"/>
          <w:sz w:val="24"/>
          <w:szCs w:val="24"/>
          <w:lang w:val="en-US" w:eastAsia="de-DE"/>
        </w:rPr>
        <w:t>acute-on-chronic liver failure</w:t>
      </w:r>
      <w:r w:rsidR="00BC28FD"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{"citationID":"24h7u74teg","properties":{"formattedCitation":"{\\rtf \\super [10]\\nosupersub{}}","plainCitation":"[10]"},"citationItems":[{"id":348,"uris":["http://zotero.org/users/1744959/items/9TGQ83N7"],"uri":["http://zotero.org/users/1744959/items/9TGQ83N7"],"itemData":{"id":348,"type":"article-journal","title":"Risk factors and outcome of bacterial infections in cirrhosis","container-title":"World journal of gastroenterology: WJG","page":"2542-2554","volume":"20","issue":"10","source":"NCBI PubMed","abstract":"Viable and non-viable pathological bacterial translocation promote a self-perpetuating circle of dysfunctional immune activation and systemic inflammation facilitating infections and organ failure in advanced cirrhosis. Bacterial infections and sepsis are now recognized as a distinct stage in the natural progression of chronic liver disease as they accelerate organ failure and contribute to the high mortality observed in decompensated cirrhosis. The increasing knowledge of structural, immunological and hemodynamic pathophysiology in advanced cirrhosis has not yet translated into significantly improved outcomes of bacterial infections over the last decades. Therefore, early identification of patients at the highest risk for developing infections and infection-related complications is required to tailor the currently available measures of surveillance, prophylaxis and therapy to the patients in need in order to improve the detrimental outcome of bacterial infections in cirrhosis.","DOI":"10.3748/wjg.v20.i10.2542","ISSN":"2219-2840","note":"PMID: 24627590 \nPMCID: PMC3949263","journalAbbreviation":"World J. Gastroenterol.","language":"eng","author":[{"family":"Bruns","given":"Tony"},{"family":"Zimmermann","given":"Henning W."},{"family":"Stallmach","given":"Andreas"}],"issued":{"date-parts":[["2014",3,14]]},"PMID":"24627590","PMCID":"PMC3949263"}}],"schema":"https://github.com/citation-style-language/schema/raw/master/csl-citation.json"} </w:instrText>
      </w:r>
      <w:r w:rsidR="00BC28FD"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[10]</w:t>
      </w:r>
      <w:r w:rsidR="00BC28FD" w:rsidRPr="006479DA">
        <w:rPr>
          <w:rFonts w:ascii="Book Antiqua" w:hAnsi="Book Antiqua"/>
          <w:sz w:val="24"/>
          <w:szCs w:val="24"/>
          <w:lang w:val="en-US" w:eastAsia="de-DE"/>
        </w:rPr>
        <w:fldChar w:fldCharType="end"/>
      </w:r>
      <w:r w:rsidR="00C43C01" w:rsidRPr="006479DA">
        <w:rPr>
          <w:rFonts w:ascii="Book Antiqua" w:hAnsi="Book Antiqua"/>
          <w:sz w:val="24"/>
          <w:szCs w:val="24"/>
          <w:lang w:val="en-US" w:eastAsia="de-DE"/>
        </w:rPr>
        <w:t>. However, prospective studies directly showing a link between the degr</w:t>
      </w:r>
      <w:r w:rsidR="008C228F" w:rsidRPr="006479DA">
        <w:rPr>
          <w:rFonts w:ascii="Book Antiqua" w:hAnsi="Book Antiqua"/>
          <w:sz w:val="24"/>
          <w:szCs w:val="24"/>
          <w:lang w:val="en-US" w:eastAsia="de-DE"/>
        </w:rPr>
        <w:t xml:space="preserve">ee of IP in cirrhosis and clinical endpoints </w:t>
      </w:r>
      <w:r w:rsidR="00C509DD">
        <w:rPr>
          <w:rFonts w:ascii="Book Antiqua" w:hAnsi="Book Antiqua"/>
          <w:sz w:val="24"/>
          <w:szCs w:val="24"/>
          <w:lang w:val="en-US" w:eastAsia="de-DE"/>
        </w:rPr>
        <w:t>are scarce.</w:t>
      </w:r>
    </w:p>
    <w:p w14:paraId="24D1BBF2" w14:textId="424EA870" w:rsidR="003644F6" w:rsidRPr="00265BAF" w:rsidRDefault="00B758AD" w:rsidP="00265BAF">
      <w:pPr>
        <w:spacing w:after="0" w:line="360" w:lineRule="auto"/>
        <w:ind w:firstLineChars="100" w:firstLine="240"/>
        <w:jc w:val="both"/>
        <w:rPr>
          <w:rFonts w:ascii="Book Antiqua" w:eastAsia="SimSun" w:hAnsi="Book Antiqua"/>
          <w:sz w:val="24"/>
          <w:szCs w:val="24"/>
          <w:lang w:val="en-US" w:eastAsia="zh-CN"/>
        </w:rPr>
      </w:pPr>
      <w:r w:rsidRPr="006479DA">
        <w:rPr>
          <w:rFonts w:ascii="Book Antiqua" w:hAnsi="Book Antiqua"/>
          <w:sz w:val="24"/>
          <w:szCs w:val="24"/>
          <w:lang w:val="en-US" w:eastAsia="de-DE"/>
        </w:rPr>
        <w:t xml:space="preserve">To assess the degree of </w:t>
      </w:r>
      <w:r w:rsidR="00274511" w:rsidRPr="006479DA">
        <w:rPr>
          <w:rFonts w:ascii="Book Antiqua" w:hAnsi="Book Antiqua"/>
          <w:sz w:val="24"/>
          <w:szCs w:val="24"/>
          <w:lang w:val="en-US" w:eastAsia="de-DE"/>
        </w:rPr>
        <w:t>small-bowel</w:t>
      </w:r>
      <w:r w:rsidR="00F62D82" w:rsidRPr="006479DA">
        <w:rPr>
          <w:rFonts w:ascii="Book Antiqua" w:hAnsi="Book Antiqua"/>
          <w:sz w:val="24"/>
          <w:szCs w:val="24"/>
          <w:lang w:val="en-US" w:eastAsia="de-DE"/>
        </w:rPr>
        <w:t xml:space="preserve"> </w:t>
      </w:r>
      <w:r w:rsidRPr="006479DA">
        <w:rPr>
          <w:rFonts w:ascii="Book Antiqua" w:hAnsi="Book Antiqua"/>
          <w:sz w:val="24"/>
          <w:szCs w:val="24"/>
          <w:lang w:val="en-US" w:eastAsia="de-DE"/>
        </w:rPr>
        <w:t>IP, w</w:t>
      </w:r>
      <w:r w:rsidR="00AA66EB" w:rsidRPr="006479DA">
        <w:rPr>
          <w:rFonts w:ascii="Book Antiqua" w:hAnsi="Book Antiqua"/>
          <w:sz w:val="24"/>
          <w:szCs w:val="24"/>
          <w:lang w:val="en-US" w:eastAsia="de-DE"/>
        </w:rPr>
        <w:t xml:space="preserve">e </w:t>
      </w:r>
      <w:r w:rsidR="00B85ADC" w:rsidRPr="006479DA">
        <w:rPr>
          <w:rFonts w:ascii="Book Antiqua" w:hAnsi="Book Antiqua"/>
          <w:sz w:val="24"/>
          <w:szCs w:val="24"/>
          <w:lang w:val="en-US" w:eastAsia="de-DE"/>
        </w:rPr>
        <w:t xml:space="preserve">applied </w:t>
      </w:r>
      <w:r w:rsidR="00AA66EB" w:rsidRPr="006479DA">
        <w:rPr>
          <w:rFonts w:ascii="Book Antiqua" w:hAnsi="Book Antiqua"/>
          <w:sz w:val="24"/>
          <w:szCs w:val="24"/>
          <w:lang w:val="en-US" w:eastAsia="de-DE"/>
        </w:rPr>
        <w:t xml:space="preserve">the </w:t>
      </w:r>
      <w:r w:rsidR="00C43C01" w:rsidRPr="006479DA">
        <w:rPr>
          <w:rFonts w:ascii="Book Antiqua" w:hAnsi="Book Antiqua"/>
          <w:sz w:val="24"/>
          <w:szCs w:val="24"/>
          <w:lang w:val="en-US" w:eastAsia="de-DE"/>
        </w:rPr>
        <w:t xml:space="preserve">frequently </w:t>
      </w:r>
      <w:r w:rsidR="00B85ADC" w:rsidRPr="006479DA">
        <w:rPr>
          <w:rFonts w:ascii="Book Antiqua" w:hAnsi="Book Antiqua"/>
          <w:sz w:val="24"/>
          <w:szCs w:val="24"/>
          <w:lang w:val="en-US" w:eastAsia="de-DE"/>
        </w:rPr>
        <w:t>utilized</w:t>
      </w:r>
      <w:r w:rsidR="000C4A14" w:rsidRPr="006479DA">
        <w:rPr>
          <w:rFonts w:ascii="Book Antiqua" w:hAnsi="Book Antiqua"/>
          <w:sz w:val="24"/>
          <w:szCs w:val="24"/>
          <w:lang w:val="en-US" w:eastAsia="de-DE"/>
        </w:rPr>
        <w:t xml:space="preserve"> </w:t>
      </w:r>
      <w:r w:rsidR="007415DE" w:rsidRPr="006479DA">
        <w:rPr>
          <w:rFonts w:ascii="Book Antiqua" w:hAnsi="Book Antiqua"/>
          <w:sz w:val="24"/>
          <w:szCs w:val="24"/>
          <w:lang w:val="en-US" w:eastAsia="de-DE"/>
        </w:rPr>
        <w:t>l</w:t>
      </w:r>
      <w:r w:rsidR="00445F00" w:rsidRPr="006479DA">
        <w:rPr>
          <w:rFonts w:ascii="Book Antiqua" w:hAnsi="Book Antiqua"/>
          <w:sz w:val="24"/>
          <w:szCs w:val="24"/>
          <w:lang w:val="en-US" w:eastAsia="de-DE"/>
        </w:rPr>
        <w:t>actulose/</w:t>
      </w:r>
      <w:r w:rsidR="00F91C29" w:rsidRPr="006479DA">
        <w:rPr>
          <w:rFonts w:ascii="Book Antiqua" w:hAnsi="Book Antiqua"/>
          <w:sz w:val="24"/>
          <w:szCs w:val="24"/>
          <w:lang w:val="en-US" w:eastAsia="de-DE"/>
        </w:rPr>
        <w:t>mannitol test</w:t>
      </w:r>
      <w:r w:rsidR="00AA66EB" w:rsidRPr="006479DA">
        <w:rPr>
          <w:rFonts w:ascii="Book Antiqua" w:hAnsi="Book Antiqua"/>
          <w:sz w:val="24"/>
          <w:szCs w:val="24"/>
          <w:lang w:val="en-US" w:eastAsia="de-DE"/>
        </w:rPr>
        <w:t>.</w:t>
      </w:r>
      <w:r w:rsidR="000C4A14" w:rsidRPr="006479DA">
        <w:rPr>
          <w:rFonts w:ascii="Book Antiqua" w:hAnsi="Book Antiqua"/>
          <w:sz w:val="24"/>
          <w:szCs w:val="24"/>
          <w:lang w:val="en-US" w:eastAsia="de-DE"/>
        </w:rPr>
        <w:t xml:space="preserve"> As </w:t>
      </w:r>
      <w:r w:rsidR="00C509DD">
        <w:rPr>
          <w:rFonts w:ascii="Book Antiqua" w:hAnsi="Book Antiqua"/>
          <w:sz w:val="24"/>
          <w:szCs w:val="24"/>
          <w:lang w:val="en-US" w:eastAsia="de-DE"/>
        </w:rPr>
        <w:t>reported</w:t>
      </w:r>
      <w:r w:rsidR="00B85ADC"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{"citationID":"2f1g2qc354","properties":{"formattedCitation":"{\\rtf \\super [11\\uc0\\u8211{}13]\\nosupersub{}}","plainCitation":"[11–13]"},"citationItems":[{"id":249,"uris":["http://zotero.org/users/1744959/items/5VQRMU8D"],"uri":["http://zotero.org/users/1744959/items/5VQRMU8D"],"itemData":{"id":249,"type":"article-journal","title":"Intestinal permeability is increased in patients with advanced cirrhosis","container-title":"Hepato-gastroenterology","page":"1482-1486","volume":"50","issue":"53","source":"NCBI PubMed","abstract":"BACKGROUND/AIMS: The dysfunction of the intestinal barrier is a factor that has been related to bacterial translocation from lumen to extra-intestinal sites and consequently to the development of spontaneous bacterial peritonitis. The aim of this study was to investigate if the alterations of the intestinal barrier in cirrhosis are related with the degree of liver failure and associated with other clinical complications.\nMETHODOLOGY: Intestinal permeability was assessed by means of the lactulose/mannitol test in 79 cirrhotic and 25 controls subjects. They received 10 g of lactulose and 5 g of mannitol. Lactulose and mannitol were measured in a five-hour urinary volume.\nRESULTS: Lactulose/mannitol ratio was significantly higher in cirrhotic patients than in controls (p = 0.03). This was more evident in end-stage cirrhosis. Patients with ascites, or encephalopathy showed a statistically significant increase in lactulose/mannitol ratio when compared to patients without these complications.\nCONCLUSIONS: The increased intestinal permeability is related to the progression of the liver disease and is more relevant with overt clinical complications. This is due to an increased absorption of lactulose. However, as liver disease progresses, mannitol absorption is progressively reduced, probably due to a reduced surface of absorption, and these events are more relevant in patients with overt clinical complications.","ISSN":"0172-6390","note":"PMID: 14571769","journalAbbreviation":"Hepatogastroenterology","language":"eng","author":[{"family":"Pascual","given":"Sonia"},{"family":"Such","given":"José"},{"family":"Esteban","given":"Angel"},{"family":"Zapater","given":"Pedro"},{"family":"Casellas","given":"Juan A"},{"family":"Aparicio","given":"José R"},{"family":"Girona","given":"Eva"},{"family":"Gutiérrez","given":"Ana"},{"family":"Carnices","given":"Fernando"},{"family":"Palazón","given":"Jose M"},{"family":"Sola-Vera","given":"Javier"},{"family":"Pérez-Mateo","given":"Miguel"}],"issued":{"date-parts":[["2003",10]]},"PMID":"14571769"}},{"id":247,"uris":["http://zotero.org/users/1744959/items/EGGEI6JZ"],"uri":["http://zotero.org/users/1744959/items/EGGEI6JZ"],"itemData":{"id":247,"type":"article-journal","title":"Increased intestinal permeability in malnourished patients with liver cirrhosis","container-title":"European journal of clinical nutrition","page":"1116-1119","volume":"66","issue":"10","source":"NCBI PubMed","abstract":"BACKGROUND/OBJECTIVE: Malnutrition is a prominent feature in liver cirrhosis, with deleterious impact on clinical outcome. The objective of this study is to investigate whether malnutrition is associated with increased gastrointestinal permeability in liver cirrhosis reflected by altered urinary excretion of non-metabolizable sugar probes.\nSUBJECTS/METHODS: Patients with advanced liver cirrhosis (Child Pugh Score B or C) were recruited. Nutritional status was determined according to the Subjective Global Assessment. Intestinal permeability was assessed by measuring the urinary excretion of orally administered, non-metabolized sugar probe molecules. The lactulose/mannitol ratio served as marker for intestinal permeability and reflects non-carrier-mediated transcellular and paracellular transport of the small intestine during the first 5</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h. Sucrose recovery in urine within the first 5</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h reflects gastroduodenal permeability; sucralose recovery in urine 5-26</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h after consumption reflects colonic permeability.\nRESULTS: Sixty-four patients (56.7</w:instrText>
      </w:r>
      <w:r w:rsidR="009807D1" w:rsidRPr="006479DA">
        <w:rPr>
          <w:rFonts w:ascii="Book Antiqua" w:hAnsi="Book Antiqua" w:cs="Book Antiqua"/>
          <w:sz w:val="24"/>
          <w:szCs w:val="24"/>
          <w:lang w:val="en-US" w:eastAsia="de-DE"/>
        </w:rPr>
        <w:instrText>±</w:instrText>
      </w:r>
      <w:r w:rsidR="009807D1" w:rsidRPr="006479DA">
        <w:rPr>
          <w:rFonts w:ascii="Book Antiqua" w:hAnsi="Book Antiqua"/>
          <w:sz w:val="24"/>
          <w:szCs w:val="24"/>
          <w:lang w:val="en-US" w:eastAsia="de-DE"/>
        </w:rPr>
        <w:instrText xml:space="preserve">10.8 years; 33% female) were included in the study. Twenty-one patients were considered well nourished according to the Subjective Global Assessment, 23 moderately nourished and 20 patients severely malnourished; 74% had alcoholic liver disease and 67% had cirrhosis stage Child C. Gastroduodenal and colonic permeability was significantly increased in patients with liver cirrhosis compared with 63 healthy controls (0.23±0.22 and 1.37±1.42% vs 0.14±0.10 and 0.41±0.72% in controls), but not different between well and malnourished subjects. Small intestinal permeability (lactulose/mannitol ratio) was increased in all patients (0.069±0.055%) and further increased in malnourished patients (0.048±0.031% vs 0.084±0.061%, P=0.004) due to decreased mannitol recovery only.\nCONCLUSIONS: Gastric, small intestinal and even colonic permeability was altogether increased in liver cirrhosis, and malnutrition was associated with further increased small intestinal permeability indicative of villous atrophy.","DOI":"10.1038/ejcn.2012.104","ISSN":"1476-5640","note":"PMID: 22872031","journalAbbreviation":"Eur J Clin Nutr","language":"eng","author":[{"family":"Norman","given":"K"},{"family":"Pirlich","given":"M"},{"family":"Schulzke","given":"J-D"},{"family":"Smoliner","given":"C"},{"family":"Lochs","given":"H"},{"family":"Valentini","given":"L"},{"family":"Bühner","given":"S"}],"issued":{"date-parts":[["2012",10]]},"PMID":"22872031"}},{"id":160,"uris":["http://zotero.org/users/1744959/items/R4D2EJ5Q"],"uri":["http://zotero.org/users/1744959/items/R4D2EJ5Q"],"itemData":{"id":160,"type":"article-journal","title":"Nutrition Status and Intestinal Permeability in Patients Eligible for Liver Transplantation","container-title":"JPEN. Journal of parenteral and enteral nutrition","source":"NCBI PubMed","abstract":"BACKGROUND: Increased intestinal permeability has been reported in multiple studies of cirrhotic patients, although specific factors associated with this finding have not been fully elucidated. Thus, the aim of this study was to investigate whether there was an association between nutrition status measured by different methods and intestinal permeability in cirrhotic patients who were candidates for liver transplantation. Materials and Methods: The study group comprised 18 cirrhotic patients and 15 healthy controls. Patients' nutrition status was evaluated by Subjective Global Assessment (SGA), anthropometry, dynamometry, and phase angle, which was determined by bioelectrical impedance analysis. Intestinal permeability was assessed by the lactulose/mannitol test. Results: The prevalence of malnutrition showed wide variance between different assessment methods (5.5%-77.8%). Intestinal permeability was significantly higher in cirrhotic patients than in healthy controls. In relation to nutrition status, intestinal permeability and phase angle did not differ significantly between patients who were considered well nourished (median intestinal permeability, 0.010 [range, 0.001-0.198]; median phase angle, 6.0 [range, 4.2-6.9]) and malnourished patients (intestinal permeability, 0.032 [range, 0.002-0.079]; phase angle, 4.8 [range, 2.2-6.1]) by SGA. In addition, no correlation was found between nutrition diagnosis as assessed by different methods, patient age, liver disease severity scores, and laboratory measurements with intestinal permeability. Conclusion: Although intestinal permeability was increased in cirrhotic patients, this finding was not associated with nutrition status.","DOI":"10.1177/0148607113513465","ISSN":"0148-6071","note":"PMID: 24255087","journalAbbreviation":"JPEN J Parenter Enteral Nutr","language":"ENG","author":[{"family":"Liboredo","given":"Juliana Costa"},{"family":"Vilela","given":"Eduardo Garcia"},{"family":"Ferrari","given":"Maria de Lourdes de Abreu"},{"family":"Lima","given":"Agnaldo Soares"},{"family":"Correia","given":"Maria Isabel Toulson Davisson"}],"issued":{"date-parts":[["2013",11,19]]},"PMID":"24255087"}}],"schema":"https://github.com/citation-style-language/schema/raw/master/csl-citation.json"} </w:instrText>
      </w:r>
      <w:r w:rsidR="00B85ADC"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[11–13]</w:t>
      </w:r>
      <w:r w:rsidR="00B85ADC" w:rsidRPr="006479DA">
        <w:rPr>
          <w:rFonts w:ascii="Book Antiqua" w:hAnsi="Book Antiqua"/>
          <w:sz w:val="24"/>
          <w:szCs w:val="24"/>
          <w:lang w:val="en-US" w:eastAsia="de-DE"/>
        </w:rPr>
        <w:fldChar w:fldCharType="end"/>
      </w:r>
      <w:r w:rsidR="000C4A14" w:rsidRPr="006479DA">
        <w:rPr>
          <w:rFonts w:ascii="Book Antiqua" w:hAnsi="Book Antiqua"/>
          <w:sz w:val="24"/>
          <w:szCs w:val="24"/>
          <w:lang w:val="en-US" w:eastAsia="de-DE"/>
        </w:rPr>
        <w:t xml:space="preserve">, IP indices in </w:t>
      </w:r>
      <w:r w:rsidR="00B85ADC" w:rsidRPr="006479DA">
        <w:rPr>
          <w:rFonts w:ascii="Book Antiqua" w:hAnsi="Book Antiqua"/>
          <w:sz w:val="24"/>
          <w:szCs w:val="24"/>
          <w:lang w:val="en-US" w:eastAsia="de-DE"/>
        </w:rPr>
        <w:t xml:space="preserve">patients with cirrhosis </w:t>
      </w:r>
      <w:r w:rsidRPr="006479DA">
        <w:rPr>
          <w:rFonts w:ascii="Book Antiqua" w:hAnsi="Book Antiqua"/>
          <w:sz w:val="24"/>
          <w:szCs w:val="24"/>
          <w:lang w:val="en-US" w:eastAsia="de-DE"/>
        </w:rPr>
        <w:t xml:space="preserve">were elevated </w:t>
      </w:r>
      <w:r w:rsidR="00C43C01" w:rsidRPr="006479DA">
        <w:rPr>
          <w:rFonts w:ascii="Book Antiqua" w:hAnsi="Book Antiqua"/>
          <w:sz w:val="24"/>
          <w:szCs w:val="24"/>
          <w:lang w:val="en-US" w:eastAsia="de-DE"/>
        </w:rPr>
        <w:t xml:space="preserve">when </w:t>
      </w:r>
      <w:r w:rsidR="00B85ADC" w:rsidRPr="006479DA">
        <w:rPr>
          <w:rFonts w:ascii="Book Antiqua" w:hAnsi="Book Antiqua"/>
          <w:sz w:val="24"/>
          <w:szCs w:val="24"/>
          <w:lang w:val="en-US" w:eastAsia="de-DE"/>
        </w:rPr>
        <w:t xml:space="preserve">compared </w:t>
      </w:r>
      <w:r w:rsidR="000C4A14" w:rsidRPr="006479DA">
        <w:rPr>
          <w:rFonts w:ascii="Book Antiqua" w:hAnsi="Book Antiqua"/>
          <w:sz w:val="24"/>
          <w:szCs w:val="24"/>
          <w:lang w:val="en-US" w:eastAsia="de-DE"/>
        </w:rPr>
        <w:t xml:space="preserve">to healthy controls, </w:t>
      </w:r>
      <w:r w:rsidR="00B85ADC" w:rsidRPr="006479DA">
        <w:rPr>
          <w:rFonts w:ascii="Book Antiqua" w:hAnsi="Book Antiqua"/>
          <w:sz w:val="24"/>
          <w:szCs w:val="24"/>
          <w:lang w:val="en-US" w:eastAsia="de-DE"/>
        </w:rPr>
        <w:t xml:space="preserve">and the IP index </w:t>
      </w:r>
      <w:r w:rsidR="00C43C01" w:rsidRPr="006479DA">
        <w:rPr>
          <w:rFonts w:ascii="Book Antiqua" w:hAnsi="Book Antiqua"/>
          <w:sz w:val="24"/>
          <w:szCs w:val="24"/>
          <w:lang w:val="en-US" w:eastAsia="de-DE"/>
        </w:rPr>
        <w:t xml:space="preserve">in patients </w:t>
      </w:r>
      <w:r w:rsidR="007E24D3" w:rsidRPr="006479DA">
        <w:rPr>
          <w:rFonts w:ascii="Book Antiqua" w:hAnsi="Book Antiqua"/>
          <w:sz w:val="24"/>
          <w:szCs w:val="24"/>
          <w:lang w:val="en-US" w:eastAsia="de-DE"/>
        </w:rPr>
        <w:t>correlated with t</w:t>
      </w:r>
      <w:r w:rsidR="000C4A14" w:rsidRPr="006479DA">
        <w:rPr>
          <w:rFonts w:ascii="Book Antiqua" w:hAnsi="Book Antiqua"/>
          <w:sz w:val="24"/>
          <w:szCs w:val="24"/>
          <w:lang w:val="en-US" w:eastAsia="de-DE"/>
        </w:rPr>
        <w:t xml:space="preserve">he severity of liver cirrhosis as </w:t>
      </w:r>
      <w:r w:rsidR="007E24D3" w:rsidRPr="006479DA">
        <w:rPr>
          <w:rFonts w:ascii="Book Antiqua" w:hAnsi="Book Antiqua"/>
          <w:sz w:val="24"/>
          <w:szCs w:val="24"/>
          <w:lang w:val="en-US" w:eastAsia="de-DE"/>
        </w:rPr>
        <w:t>quantifi</w:t>
      </w:r>
      <w:r w:rsidR="000C4A14" w:rsidRPr="006479DA">
        <w:rPr>
          <w:rFonts w:ascii="Book Antiqua" w:hAnsi="Book Antiqua"/>
          <w:sz w:val="24"/>
          <w:szCs w:val="24"/>
          <w:lang w:val="en-US" w:eastAsia="de-DE"/>
        </w:rPr>
        <w:t xml:space="preserve">ed by </w:t>
      </w:r>
      <w:r w:rsidR="007E24D3" w:rsidRPr="006479DA">
        <w:rPr>
          <w:rFonts w:ascii="Book Antiqua" w:hAnsi="Book Antiqua"/>
          <w:sz w:val="24"/>
          <w:szCs w:val="24"/>
          <w:lang w:val="en-US" w:eastAsia="de-DE"/>
        </w:rPr>
        <w:t>the Child-Pugh</w:t>
      </w:r>
      <w:r w:rsidR="00B85ADC" w:rsidRPr="006479DA">
        <w:rPr>
          <w:rFonts w:ascii="Book Antiqua" w:hAnsi="Book Antiqua"/>
          <w:sz w:val="24"/>
          <w:szCs w:val="24"/>
          <w:lang w:val="en-US" w:eastAsia="de-DE"/>
        </w:rPr>
        <w:t xml:space="preserve"> </w:t>
      </w:r>
      <w:r w:rsidR="007E24D3" w:rsidRPr="006479DA">
        <w:rPr>
          <w:rFonts w:ascii="Book Antiqua" w:hAnsi="Book Antiqua"/>
          <w:sz w:val="24"/>
          <w:szCs w:val="24"/>
          <w:lang w:val="en-US" w:eastAsia="de-DE"/>
        </w:rPr>
        <w:t xml:space="preserve">score and </w:t>
      </w:r>
      <w:r w:rsidR="000C4A14" w:rsidRPr="006479DA">
        <w:rPr>
          <w:rFonts w:ascii="Book Antiqua" w:hAnsi="Book Antiqua"/>
          <w:sz w:val="24"/>
          <w:szCs w:val="24"/>
          <w:lang w:val="en-US" w:eastAsia="de-DE"/>
        </w:rPr>
        <w:t xml:space="preserve">its components. </w:t>
      </w:r>
      <w:r w:rsidR="00C150A5" w:rsidRPr="006479DA">
        <w:rPr>
          <w:rFonts w:ascii="Book Antiqua" w:hAnsi="Book Antiqua"/>
          <w:sz w:val="24"/>
          <w:szCs w:val="24"/>
          <w:lang w:val="en-US" w:eastAsia="de-DE"/>
        </w:rPr>
        <w:t xml:space="preserve">The prevalence of pathological IP in our study </w:t>
      </w:r>
      <w:r w:rsidR="00C43C01" w:rsidRPr="006479DA">
        <w:rPr>
          <w:rFonts w:ascii="Book Antiqua" w:hAnsi="Book Antiqua"/>
          <w:sz w:val="24"/>
          <w:szCs w:val="24"/>
          <w:lang w:val="en-US" w:eastAsia="de-DE"/>
        </w:rPr>
        <w:t xml:space="preserve">(85%) </w:t>
      </w:r>
      <w:r w:rsidR="00C150A5" w:rsidRPr="006479DA">
        <w:rPr>
          <w:rFonts w:ascii="Book Antiqua" w:hAnsi="Book Antiqua"/>
          <w:sz w:val="24"/>
          <w:szCs w:val="24"/>
          <w:lang w:val="en-US" w:eastAsia="de-DE"/>
        </w:rPr>
        <w:t>was within range reported (62%-10</w:t>
      </w:r>
      <w:r w:rsidR="00C509DD">
        <w:rPr>
          <w:rFonts w:ascii="Book Antiqua" w:hAnsi="Book Antiqua"/>
          <w:sz w:val="24"/>
          <w:szCs w:val="24"/>
          <w:lang w:val="en-US" w:eastAsia="de-DE"/>
        </w:rPr>
        <w:t>0%)</w:t>
      </w:r>
      <w:r w:rsidR="00AF6A17"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{"citationID":"6pmqkr93i","properties":{"formattedCitation":"{\\rtf \\super [13,15]\\nosupersub{}}","plainCitation":"[13,15]"},"citationItems":[{"id":247,"uris":["http://zotero.org/users/1744959/items/EGGEI6JZ"],"uri":["http://zotero.org/users/1744959/items/EGGEI6JZ"],"itemData":{"id":247,"type":"article-journal","title":"Increased intestinal permeability in malnourished patients with liver cirrhosis","container-title":"European journal of clinical nutrition","page":"1116-1119","volume":"66","issue":"10","source":"NCBI PubMed","abstract":"BACKGROUND/OBJECTIVE: Malnutrition is a prominent feature in liver cirrhosis, with deleterious impact on clinical outcome. The objective of this study is to investigate whether malnutrition is associated with increased gastrointestinal permeability in liver cirrhosis reflected by altered urinary excretion of non-metabolizable sugar probes.\nSUBJECTS/METHODS: Patients with advanced liver cirrhosis (Child Pugh Score B or C) were recruited. Nutritional status was determined according to the Subjective Global Assessment. Intestinal permeability was assessed by measuring the urinary excretion of orally administered, non-metabolized sugar probe molecules. The lactulose/mannitol ratio served as marker for intestinal permeability and reflects non-carrier-mediated transcellular and paracellular transport of the small intestine during the first 5</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h. Sucrose recovery in urine within the first 5</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h reflects gastroduodenal permeability; sucralose recovery in urine 5-26</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h after consumption reflects colonic permeability.\nRESULTS: Sixty-four patients (56.7</w:instrText>
      </w:r>
      <w:r w:rsidR="009807D1" w:rsidRPr="006479DA">
        <w:rPr>
          <w:rFonts w:ascii="Book Antiqua" w:hAnsi="Book Antiqua" w:cs="Book Antiqua"/>
          <w:sz w:val="24"/>
          <w:szCs w:val="24"/>
          <w:lang w:val="en-US" w:eastAsia="de-DE"/>
        </w:rPr>
        <w:instrText>±</w:instrText>
      </w:r>
      <w:r w:rsidR="009807D1" w:rsidRPr="006479DA">
        <w:rPr>
          <w:rFonts w:ascii="Book Antiqua" w:hAnsi="Book Antiqua"/>
          <w:sz w:val="24"/>
          <w:szCs w:val="24"/>
          <w:lang w:val="en-US" w:eastAsia="de-DE"/>
        </w:rPr>
        <w:instrText xml:space="preserve">10.8 years; 33% female) were included in the study. Twenty-one patients were considered well nourished according to the Subjective Global Assessment, 23 moderately nourished and 20 patients severely malnourished; 74% had alcoholic liver disease and 67% had cirrhosis stage Child C. Gastroduodenal and colonic permeability was significantly increased in patients with liver cirrhosis compared with 63 healthy controls (0.23±0.22 and 1.37±1.42% vs 0.14±0.10 and 0.41±0.72% in controls), but not different between well and malnourished subjects. Small intestinal permeability (lactulose/mannitol ratio) was increased in all patients (0.069±0.055%) and further increased in malnourished patients (0.048±0.031% vs 0.084±0.061%, P=0.004) due to decreased mannitol recovery only.\nCONCLUSIONS: Gastric, small intestinal and even colonic permeability was altogether increased in liver cirrhosis, and malnutrition was associated with further increased small intestinal permeability indicative of villous atrophy.","DOI":"10.1038/ejcn.2012.104","ISSN":"1476-5640","note":"PMID: 22872031","journalAbbreviation":"Eur J Clin Nutr","language":"eng","author":[{"family":"Norman","given":"K"},{"family":"Pirlich","given":"M"},{"family":"Schulzke","given":"J-D"},{"family":"Smoliner","given":"C"},{"family":"Lochs","given":"H"},{"family":"Valentini","given":"L"},{"family":"Bühner","given":"S"}],"issued":{"date-parts":[["2012",10]]},"PMID":"22872031"}},{"id":260,"uris":["http://zotero.org/users/1744959/items/M53HW9W4"],"uri":["http://zotero.org/users/1744959/items/M53HW9W4"],"itemData":{"id":260,"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Lab","given":""}],"issued":{"date-parts":[["2013",5]]},"PMID":"23262249"}}],"schema":"https://github.com/citation-style-language/schema/raw/master/csl-citation.json"} </w:instrText>
      </w:r>
      <w:r w:rsidR="00AF6A17"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[13,15]</w:t>
      </w:r>
      <w:r w:rsidR="00AF6A17" w:rsidRPr="006479DA">
        <w:rPr>
          <w:rFonts w:ascii="Book Antiqua" w:hAnsi="Book Antiqua"/>
          <w:sz w:val="24"/>
          <w:szCs w:val="24"/>
          <w:lang w:val="en-US" w:eastAsia="de-DE"/>
        </w:rPr>
        <w:fldChar w:fldCharType="end"/>
      </w:r>
      <w:r w:rsidR="00C43C01" w:rsidRPr="006479DA">
        <w:rPr>
          <w:rFonts w:ascii="Book Antiqua" w:hAnsi="Book Antiqua"/>
          <w:sz w:val="24"/>
          <w:szCs w:val="24"/>
          <w:lang w:val="en-US" w:eastAsia="de-DE"/>
        </w:rPr>
        <w:t xml:space="preserve"> but exceeded </w:t>
      </w:r>
      <w:r w:rsidR="009E7A8F" w:rsidRPr="006479DA">
        <w:rPr>
          <w:rFonts w:ascii="Book Antiqua" w:hAnsi="Book Antiqua"/>
          <w:sz w:val="24"/>
          <w:szCs w:val="24"/>
          <w:lang w:val="en-US" w:eastAsia="de-DE"/>
        </w:rPr>
        <w:t xml:space="preserve">prevalences </w:t>
      </w:r>
      <w:r w:rsidR="00983A95" w:rsidRPr="006479DA">
        <w:rPr>
          <w:rFonts w:ascii="Book Antiqua" w:hAnsi="Book Antiqua"/>
          <w:sz w:val="24"/>
          <w:szCs w:val="24"/>
          <w:lang w:val="en-US" w:eastAsia="de-DE"/>
        </w:rPr>
        <w:t>reported with the</w:t>
      </w:r>
      <w:r w:rsidR="00265BAF">
        <w:rPr>
          <w:rFonts w:ascii="Book Antiqua" w:hAnsi="Book Antiqua"/>
          <w:sz w:val="24"/>
          <w:szCs w:val="24"/>
          <w:lang w:val="en-US"/>
        </w:rPr>
        <w:t xml:space="preserve"> </w:t>
      </w:r>
      <w:r w:rsidR="009E7A8F" w:rsidRPr="00265BAF">
        <w:rPr>
          <w:rFonts w:ascii="Book Antiqua" w:hAnsi="Book Antiqua"/>
          <w:sz w:val="24"/>
          <w:szCs w:val="24"/>
          <w:vertAlign w:val="superscript"/>
          <w:lang w:val="en-US"/>
        </w:rPr>
        <w:t>51</w:t>
      </w:r>
      <w:r w:rsidR="009E7A8F" w:rsidRPr="006479DA">
        <w:rPr>
          <w:rFonts w:ascii="Book Antiqua" w:hAnsi="Book Antiqua"/>
          <w:sz w:val="24"/>
          <w:szCs w:val="24"/>
          <w:lang w:val="en-US"/>
        </w:rPr>
        <w:t>Cr-EDTA test ranging from 31% in compensated to</w:t>
      </w:r>
      <w:r w:rsidR="00265BAF">
        <w:rPr>
          <w:rFonts w:ascii="Book Antiqua" w:hAnsi="Book Antiqua"/>
          <w:sz w:val="24"/>
          <w:szCs w:val="24"/>
          <w:lang w:val="en-US"/>
        </w:rPr>
        <w:t xml:space="preserve"> 60% in decompensated cirrhosis</w:t>
      </w:r>
      <w:r w:rsidR="009E7A8F" w:rsidRPr="006479DA">
        <w:rPr>
          <w:rFonts w:ascii="Book Antiqua" w:hAnsi="Book Antiqua"/>
          <w:sz w:val="24"/>
          <w:szCs w:val="24"/>
          <w:lang w:val="en-US"/>
        </w:rPr>
        <w:fldChar w:fldCharType="begin"/>
      </w:r>
      <w:r w:rsidR="009807D1" w:rsidRPr="006479DA">
        <w:rPr>
          <w:rFonts w:ascii="Book Antiqua" w:hAnsi="Book Antiqua"/>
          <w:sz w:val="24"/>
          <w:szCs w:val="24"/>
          <w:lang w:val="en-US"/>
        </w:rPr>
        <w:instrText xml:space="preserve"> </w:instrText>
      </w:r>
      <w:r w:rsidR="00F22811" w:rsidRPr="006479DA">
        <w:rPr>
          <w:rFonts w:ascii="Book Antiqua" w:hAnsi="Book Antiqua"/>
          <w:sz w:val="24"/>
          <w:szCs w:val="24"/>
          <w:lang w:val="en-US"/>
        </w:rPr>
        <w:instrText>ADDIN</w:instrText>
      </w:r>
      <w:r w:rsidR="009807D1" w:rsidRPr="006479DA">
        <w:rPr>
          <w:rFonts w:ascii="Book Antiqua" w:hAnsi="Book Antiqua"/>
          <w:sz w:val="24"/>
          <w:szCs w:val="24"/>
          <w:lang w:val="en-US"/>
        </w:rPr>
        <w:instrText xml:space="preserve"> ZOTERO_ITEM CSL_CITATION {"citationID":"zhfUzoS5","properties":{"formattedCitation":"{\\rtf \\super [8]\\nosupersub{}}","plainCitation":"[8]"},"citationItems":[{"id":43,"uris":["http://zotero.org/users/1744959/items/XRFUT8XB"],"uri":["http://zotero.org/users/1744959/items/XRFUT8XB"],"itemData":{"id":43,"type":"article-journal","title":"Intestinal permeability in cirrhotic patients with and without spontaneous bacterial peritonitis: is the ring closed?","container-title":"The American journal of gastroenterology","page":"323-327","volume":"105","issue":"2","source":"NCBI PubMed","abstract":"OBJECTIVES: Impaired intestinal permeability (IP) may have a role in the pathogenesis of ascites and in spontaneous bacterial peritonitis (SBP) in patients with liver cirrhosis (LC). The aim of this study was to assess IP in LC patients with respect to healthy controls.\nMETHODS: IP was evaluated by the (51)Cr-ethylenediaminetetraacetic acid ((51)Cr-EDTA) permeability test in 52 LC patients and in 48 sex- and age-matched controls. The presence of (51)Cr-EDTA was also evaluated in ascitic fluid after therapeutic paracentesis in all LC patients with ascites.\nRESULTS: An altered IP was found in 45% of LC patients compared with 4% of controls (P&lt;0.00001). IP impairment was significantly associated with Child-Pugh status (75% of Child C patients vs. 39% of Child B and 22% of Child A patients), with the presence of ascites (60% in ascitic patients vs. 31% in nonascitic patients), and with a history of SBP (100% of patients with SBP vs. 50% of those without SBP). (51)Cr-EDTA was present in all ascitic samples obtained from patients with SBP compared with 22% of patients without SBP.\nCONCLUSIONS: IP derangement was a common finding in LC, especially in patients with more advanced disease (presence of ascites and history of SBP). The presence of (51)Cr-EDTA in ascites in patients with SBP suggests an altered permeability of splancnic vessels and/or peritoneal membranes. Further studies are required to assess (51)Cr-EDTA urine and ascite cutoffs to set up SBP preventive strategies.","DOI":"10.1038/ajg.2009.558","ISSN":"1572-0241","note":"PMID: 19844200","shortTitle":"Intestinal permeability in cirrhotic patients with and without spontaneous bacterial peritonitis","journalAbbreviation":"Am. J. Gastroenterol.","language":"eng","author":[{"family":"Scarpellini","given":"Emidio"},{"family":"Valenza","given":"Venanzio"},{"family":"Gabrielli","given":"Maurizio"},{"family":"Lauritano","given":"Ernesto Cristiano"},{"family":"Perotti","given":"Germano"},{"family":"Merra","given":"Giuseppe"},{"family":"Dal Lago","given":"Antonio"},{"family":"Ojetti","given":"Veronica"},{"family":"Ainora","given":"Maria Elena"},{"family":"Santoro","given":"Michele"},{"family":"Ghirlanda","given":"Giovanni"},{"family":"Gasbarrini","given":"Antonio"}],"issued":{"date-parts":[["2010",2]]},"PMID":"19844200"}}],"schema":"https://github.com/citation-style-language/schema/raw/master/csl-citation.json"} </w:instrText>
      </w:r>
      <w:r w:rsidR="009E7A8F" w:rsidRPr="006479DA">
        <w:rPr>
          <w:rFonts w:ascii="Book Antiqua" w:hAnsi="Book Antiqua"/>
          <w:sz w:val="24"/>
          <w:szCs w:val="24"/>
          <w:lang w:val="en-US"/>
        </w:rPr>
        <w:fldChar w:fldCharType="separate"/>
      </w:r>
      <w:r w:rsidR="009807D1" w:rsidRPr="006479DA">
        <w:rPr>
          <w:rFonts w:ascii="Book Antiqua" w:hAnsi="Book Antiqua"/>
          <w:sz w:val="24"/>
          <w:szCs w:val="24"/>
          <w:vertAlign w:val="superscript"/>
        </w:rPr>
        <w:t>[8]</w:t>
      </w:r>
      <w:r w:rsidR="009E7A8F" w:rsidRPr="006479DA">
        <w:rPr>
          <w:rFonts w:ascii="Book Antiqua" w:hAnsi="Book Antiqua"/>
          <w:sz w:val="24"/>
          <w:szCs w:val="24"/>
          <w:lang w:val="en-US"/>
        </w:rPr>
        <w:fldChar w:fldCharType="end"/>
      </w:r>
      <w:r w:rsidR="009E7A8F" w:rsidRPr="006479DA">
        <w:rPr>
          <w:rFonts w:ascii="Book Antiqua" w:hAnsi="Book Antiqua"/>
          <w:sz w:val="24"/>
          <w:szCs w:val="24"/>
          <w:lang w:val="en-US"/>
        </w:rPr>
        <w:t xml:space="preserve">. </w:t>
      </w:r>
    </w:p>
    <w:p w14:paraId="6289A907" w14:textId="5F01A5D7" w:rsidR="003644F6" w:rsidRPr="00265BAF" w:rsidRDefault="003644F6" w:rsidP="00265BAF">
      <w:pPr>
        <w:spacing w:after="0" w:line="360" w:lineRule="auto"/>
        <w:ind w:firstLineChars="100" w:firstLine="240"/>
        <w:jc w:val="both"/>
        <w:rPr>
          <w:rFonts w:ascii="Book Antiqua" w:eastAsia="SimSun" w:hAnsi="Book Antiqua"/>
          <w:sz w:val="24"/>
          <w:szCs w:val="24"/>
          <w:lang w:val="en-US" w:eastAsia="zh-CN"/>
        </w:rPr>
      </w:pPr>
      <w:r w:rsidRPr="006479DA">
        <w:rPr>
          <w:rFonts w:ascii="Book Antiqua" w:hAnsi="Book Antiqua"/>
          <w:sz w:val="24"/>
          <w:szCs w:val="24"/>
          <w:lang w:val="en-US" w:eastAsia="de-DE"/>
        </w:rPr>
        <w:lastRenderedPageBreak/>
        <w:t>Although the use of oral sugar tests to assess global intestinal permeability and the risk of pathological bacterial translocation i</w:t>
      </w:r>
      <w:r w:rsidR="00265BAF">
        <w:rPr>
          <w:rFonts w:ascii="Book Antiqua" w:hAnsi="Book Antiqua"/>
          <w:sz w:val="24"/>
          <w:szCs w:val="24"/>
          <w:lang w:val="en-US" w:eastAsia="de-DE"/>
        </w:rPr>
        <w:t>n cirrhosis is debatable</w:t>
      </w:r>
      <w:r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{"citationID":"2goaelgiub","properties":{"formattedCitation":"{\\rtf \\super [25]\\nosupersub{}}","plainCitation":"[25]"},"citationItems":[{"id":345,"uris":["http://zotero.org/users/1744959/items/E7RVGJUU"],"uri":["http://zotero.org/users/1744959/items/E7RVGJUU"],"itemData":{"id":345,"type":"article-journal","title":"Methods to determine intestinal permeability and bacterial translocation during liver disease","container-title":"Journal of Immunological Methods","source":"ScienceDirect","abstract":"Liver disease is often times associated with increased intestinal permeability. A disruption of the gut barrier allows microbial products and viable bacteria to translocate from the intestinal lumen to extraintestinal organs. The majority of the venous blood from the intestinal tract is drained into the portal circulation, which is part of the dual hepatic blood supply. The liver is therefore the first organ in the body to encounter not only absorbed nutrients, but also gut-derived bacteria and pathogen associated molecular patterns (PAMPs). Chronic exposure to increased levels of PAMPs has been linked to disease progression during early stages and to infectious complications during late stages of liver disease (cirrhosis). It is therefore important to assess and monitor gut barrier dysfunction during hepatic disease. We review methods to assess intestinal barrier disruption and discuss advantages and disadvantages. We will in particular focus on methods that we have used to measure increased intestinal permeability and bacterial translocation during experimental liver disease models.","URL":"http://www.sciencedirect.com/science/article/pii/S0022175915000058","DOI":"10.1016/j.jim.2014.12.015","ISSN":"0022-1759","journalAbbreviation":"Journal of Immunological Methods","author":[{"family":"Wang","given":"Lirui"},{"family":"Llorente","given":"Cristina"},{"family":"Hartmann","given":"Phillipp"},{"family":"Yang","given":"An-Ming"},{"family":"Chen","given":"Peng"},{"family":"Schnabl","given":"Bernd"}],"accessed":{"date-parts":[["2015",1,20]],"season":"10:00:09"}}}],"schema":"https://github.com/citation-style-language/schema/raw/master/csl-citation.json"} </w:instrText>
      </w:r>
      <w:r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[25]</w:t>
      </w:r>
      <w:r w:rsidRPr="006479DA">
        <w:rPr>
          <w:rFonts w:ascii="Book Antiqua" w:hAnsi="Book Antiqua"/>
          <w:sz w:val="24"/>
          <w:szCs w:val="24"/>
          <w:lang w:val="en-US" w:eastAsia="de-DE"/>
        </w:rPr>
        <w:fldChar w:fldCharType="end"/>
      </w:r>
      <w:r w:rsidRPr="006479DA">
        <w:rPr>
          <w:rFonts w:ascii="Book Antiqua" w:hAnsi="Book Antiqua"/>
          <w:sz w:val="24"/>
          <w:szCs w:val="24"/>
          <w:lang w:val="en-US" w:eastAsia="de-DE"/>
        </w:rPr>
        <w:t xml:space="preserve">, </w:t>
      </w:r>
      <w:r w:rsidR="00983A95" w:rsidRPr="006479DA">
        <w:rPr>
          <w:rFonts w:ascii="Book Antiqua" w:hAnsi="Book Antiqua"/>
          <w:sz w:val="24"/>
          <w:szCs w:val="24"/>
          <w:lang w:val="en-US" w:eastAsia="de-DE"/>
        </w:rPr>
        <w:t xml:space="preserve">the results of the </w:t>
      </w:r>
      <w:r w:rsidRPr="006479DA">
        <w:rPr>
          <w:rFonts w:ascii="Book Antiqua" w:hAnsi="Book Antiqua"/>
          <w:sz w:val="24"/>
          <w:szCs w:val="24"/>
          <w:lang w:val="en-US" w:eastAsia="de-DE"/>
        </w:rPr>
        <w:t>lactulose/mannitol test correlated with degree of portal hypertension and improved after</w:t>
      </w:r>
      <w:r w:rsidR="00265BAF">
        <w:rPr>
          <w:rFonts w:ascii="Book Antiqua" w:hAnsi="Book Antiqua"/>
          <w:sz w:val="24"/>
          <w:szCs w:val="24"/>
          <w:lang w:val="en-US" w:eastAsia="de-DE"/>
        </w:rPr>
        <w:t xml:space="preserve"> NSBB therapy in a recent study</w:t>
      </w:r>
      <w:r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{"citationID":"22000d1luj","properties":{"formattedCitation":"{\\rtf \\super [15]\\nosupersub{}}","plainCitation":"[15]"},"citationItems":[{"id":260,"uris":["http://zotero.org/users/1744959/items/M53HW9W4"],"uri":["http://zotero.org/users/1744959/items/M53HW9W4"],"itemData":{"id":260,"type":"article-journal","title":"Non-selective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Lab","given":""}],"issued":{"date-parts":[["2013",5]]},"PMID":"23262249"}}],"schema":"https://github.com/citation-style-language/schema/raw/master/csl-citation.json"} </w:instrText>
      </w:r>
      <w:r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[15]</w:t>
      </w:r>
      <w:r w:rsidRPr="006479DA">
        <w:rPr>
          <w:rFonts w:ascii="Book Antiqua" w:hAnsi="Book Antiqua"/>
          <w:sz w:val="24"/>
          <w:szCs w:val="24"/>
          <w:lang w:val="en-US" w:eastAsia="de-DE"/>
        </w:rPr>
        <w:fldChar w:fldCharType="end"/>
      </w:r>
      <w:r w:rsidRPr="006479DA">
        <w:rPr>
          <w:rFonts w:ascii="Book Antiqua" w:hAnsi="Book Antiqua"/>
          <w:sz w:val="24"/>
          <w:szCs w:val="24"/>
          <w:lang w:val="en-US" w:eastAsia="de-DE"/>
        </w:rPr>
        <w:t xml:space="preserve">. In our study, IP was associated with surrogates of endotoxemia (LBP) and inflammation (IL-6) supporting the validity of the lactulose/mannitol to assess </w:t>
      </w:r>
      <w:r w:rsidR="00983A95" w:rsidRPr="006479DA">
        <w:rPr>
          <w:rFonts w:ascii="Book Antiqua" w:hAnsi="Book Antiqua"/>
          <w:sz w:val="24"/>
          <w:szCs w:val="24"/>
          <w:lang w:val="en-US" w:eastAsia="de-DE"/>
        </w:rPr>
        <w:t xml:space="preserve">pathological </w:t>
      </w:r>
      <w:r w:rsidR="00FF0797" w:rsidRPr="006479DA">
        <w:rPr>
          <w:rFonts w:ascii="Book Antiqua" w:hAnsi="Book Antiqua"/>
          <w:sz w:val="24"/>
          <w:szCs w:val="24"/>
          <w:lang w:val="en-US" w:eastAsia="de-DE"/>
        </w:rPr>
        <w:t>bacterial translocation (</w:t>
      </w:r>
      <w:r w:rsidR="00983A95" w:rsidRPr="006479DA">
        <w:rPr>
          <w:rFonts w:ascii="Book Antiqua" w:hAnsi="Book Antiqua"/>
          <w:sz w:val="24"/>
          <w:szCs w:val="24"/>
          <w:lang w:val="en-US" w:eastAsia="de-DE"/>
        </w:rPr>
        <w:t>BT</w:t>
      </w:r>
      <w:r w:rsidR="00FF0797" w:rsidRPr="006479DA">
        <w:rPr>
          <w:rFonts w:ascii="Book Antiqua" w:hAnsi="Book Antiqua"/>
          <w:sz w:val="24"/>
          <w:szCs w:val="24"/>
          <w:lang w:val="en-US" w:eastAsia="de-DE"/>
        </w:rPr>
        <w:t>)</w:t>
      </w:r>
      <w:r w:rsidR="00983A95" w:rsidRPr="006479DA">
        <w:rPr>
          <w:rFonts w:ascii="Book Antiqua" w:hAnsi="Book Antiqua"/>
          <w:sz w:val="24"/>
          <w:szCs w:val="24"/>
          <w:lang w:val="en-US" w:eastAsia="de-DE"/>
        </w:rPr>
        <w:t xml:space="preserve"> </w:t>
      </w:r>
      <w:r w:rsidRPr="006479DA">
        <w:rPr>
          <w:rFonts w:ascii="Book Antiqua" w:hAnsi="Book Antiqua"/>
          <w:sz w:val="24"/>
          <w:szCs w:val="24"/>
          <w:lang w:val="en-US" w:eastAsia="de-DE"/>
        </w:rPr>
        <w:t xml:space="preserve">and its pro-inflammatory consequences in cirrhosis. Particularly, its </w:t>
      </w:r>
      <w:r w:rsidR="00983A95" w:rsidRPr="006479DA">
        <w:rPr>
          <w:rFonts w:ascii="Book Antiqua" w:hAnsi="Book Antiqua"/>
          <w:sz w:val="24"/>
          <w:szCs w:val="24"/>
          <w:lang w:val="en-US" w:eastAsia="de-DE"/>
        </w:rPr>
        <w:t xml:space="preserve">association </w:t>
      </w:r>
      <w:r w:rsidRPr="006479DA">
        <w:rPr>
          <w:rFonts w:ascii="Book Antiqua" w:hAnsi="Book Antiqua"/>
          <w:sz w:val="24"/>
          <w:szCs w:val="24"/>
          <w:lang w:val="en-US" w:eastAsia="de-DE"/>
        </w:rPr>
        <w:t xml:space="preserve">with </w:t>
      </w:r>
      <w:r w:rsidR="00983A95" w:rsidRPr="006479DA">
        <w:rPr>
          <w:rFonts w:ascii="Book Antiqua" w:hAnsi="Book Antiqua"/>
          <w:sz w:val="24"/>
          <w:szCs w:val="24"/>
          <w:lang w:val="en-US" w:eastAsia="de-DE"/>
        </w:rPr>
        <w:t xml:space="preserve">higher </w:t>
      </w:r>
      <w:r w:rsidRPr="006479DA">
        <w:rPr>
          <w:rFonts w:ascii="Book Antiqua" w:hAnsi="Book Antiqua"/>
          <w:sz w:val="24"/>
          <w:szCs w:val="24"/>
          <w:lang w:val="en-US" w:eastAsia="de-DE"/>
        </w:rPr>
        <w:t>LBP</w:t>
      </w:r>
      <w:r w:rsidR="00983A95" w:rsidRPr="006479DA">
        <w:rPr>
          <w:rFonts w:ascii="Book Antiqua" w:hAnsi="Book Antiqua"/>
          <w:sz w:val="24"/>
          <w:szCs w:val="24"/>
          <w:lang w:val="en-US" w:eastAsia="de-DE"/>
        </w:rPr>
        <w:t xml:space="preserve"> levels</w:t>
      </w:r>
      <w:r w:rsidRPr="006479DA">
        <w:rPr>
          <w:rFonts w:ascii="Book Antiqua" w:hAnsi="Book Antiqua"/>
          <w:sz w:val="24"/>
          <w:szCs w:val="24"/>
          <w:lang w:val="en-US" w:eastAsia="de-DE"/>
        </w:rPr>
        <w:t>, which predict</w:t>
      </w:r>
      <w:r w:rsidR="00983A95" w:rsidRPr="006479DA">
        <w:rPr>
          <w:rFonts w:ascii="Book Antiqua" w:hAnsi="Book Antiqua"/>
          <w:sz w:val="24"/>
          <w:szCs w:val="24"/>
          <w:lang w:val="en-US" w:eastAsia="de-DE"/>
        </w:rPr>
        <w:t>ed</w:t>
      </w:r>
      <w:r w:rsidR="00265BAF">
        <w:rPr>
          <w:rFonts w:ascii="Book Antiqua" w:hAnsi="Book Antiqua"/>
          <w:sz w:val="24"/>
          <w:szCs w:val="24"/>
          <w:lang w:val="en-US" w:eastAsia="de-DE"/>
        </w:rPr>
        <w:t xml:space="preserve"> decompensation</w:t>
      </w:r>
      <w:r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{"citationID":"3uevu0v88","properties":{"formattedCitation":"{\\rtf \\super [26]\\nosupersub{}}","plainCitation":"[26]"},"citationItems":[{"id":112,"uris":["http://zotero.org/users/1744959/items/UWJSPEUW"],"uri":["http://zotero.org/users/1744959/items/UWJSPEUW"],"itemData":{"id":112,"type":"article-journal","title":"Increased lipopolysaccharide binding protein in cirrhotic patients with marked immune and hemodynamic derangement","container-title":"Hepatology (Baltimore, Md.)","page":"208-217","volume":"37","issue":"1","source":"NCBI PubMed","abstract":"Intestinal bacterial overgrowth and translocation, both common in cirrhosis with ascites, may lead to the activation of monocytes and lymphocytes, increased levels of proinflammatory cytokines, and enhanced synthesis of nitric oxide present in cirrhosis. Bacterial endotoxin promotes the synthesis of lipopolysaccharide (LPS)-binding protein (LBP), and forms a LPS-LBP complex that binds to CD14. This study was designed to evaluate LBP levels and their correlation to the immune response and the hemodynamic status in cirrhotic patients. Plasma LBP, endotoxin, soluble CD14 (sCD14), cytokines, renin, nitrites, and systemic vascular resistance were determined before and 4 weeks after norfloxacin or placebo in 102 cirrhotic patients and 30 controls. LBP was elevated in 42% of ascitic cirrhotic patients (15.7 +/- 0.7 versus 6.06 +/- 0.5 microg/mL, P &lt;.01). In 60% of high LBP patients, endotoxin was within normal range. Among ascitic patients, those with high LBP showed greater (P &lt;.05) levels of sCD14, tumor necrosis factor alpha (TNF-alpha), interleukin 6 (IL-6), nitrites + nitrates (NOx)/creatinine, and renin, and lower vascular resistance. In the cirrhotic patients with high LBP, norfloxacin normalized (P &lt;.01) LBP (from 16.6 +/- 0.5 to 5.82 +/- 0.8 microg/mL) and sCD14; reduced the level of cytokines, NOx/creatinine, and renin; and increased vascular resistance; but lacked effect in patients with normal LBP. Portal pressure was unchanged after norfloxacin in another group of 18 cirrhotic patients with high and 19 with normal LBP. In conclusion, the subset of ascitic cirrhotic patients with marked immune and hemodynamic derangement is identified by increased LBP levels. Amelioration of these abnormalities by norfloxacin suggests the involvement of enteric bacteria or their products in the triggering of the process.","DOI":"10.1053/jhep.2003.50038","ISSN":"0270-9139","note":"PMID: 12500206","journalAbbreviation":"Hepatology","language":"eng","author":[{"family":"Albillos","given":"Agustín"},{"family":"de la Hera","given":"Antonio"},{"family":"González","given":"Mónica"},{"family":"Moya","given":"Jose-Luis"},{"family":"Calleja","given":"Jose-Luis"},{"family":"Monserrat","given":"Jorge"},{"family":"Ruiz-del-Arbol","given":"Luis"},{"family":"Alvarez-Mon","given":"Melchor"}],"issued":{"date-parts":[["2003",1]]},"PMID":"12500206"}}],"schema":"https://github.com/citation-style-language/schema/raw/master/csl-citation.json"} </w:instrText>
      </w:r>
      <w:r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[26]</w:t>
      </w:r>
      <w:r w:rsidRPr="006479DA">
        <w:rPr>
          <w:rFonts w:ascii="Book Antiqua" w:hAnsi="Book Antiqua"/>
          <w:sz w:val="24"/>
          <w:szCs w:val="24"/>
          <w:lang w:val="en-US" w:eastAsia="de-DE"/>
        </w:rPr>
        <w:fldChar w:fldCharType="end"/>
      </w:r>
      <w:r w:rsidR="00265BAF">
        <w:rPr>
          <w:rFonts w:ascii="Book Antiqua" w:hAnsi="Book Antiqua"/>
          <w:sz w:val="24"/>
          <w:szCs w:val="24"/>
          <w:lang w:val="en-US" w:eastAsia="de-DE"/>
        </w:rPr>
        <w:t xml:space="preserve"> and bacterial infections</w:t>
      </w:r>
      <w:r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{"citationID":"1f3mgu35s7","properties":{"formattedCitation":"{\\rtf \\super [27]\\nosupersub{}}","plainCitation":"[27]"},"citationItems":[{"id":317,"uris":["http://zotero.org/users/1744959/items/JTT7GKMA"],"uri":["http://zotero.org/users/1744959/items/JTT7GKMA"],"itemData":{"id":317,"type":"article-journal","title":"[Significance of lipopolysaccharide binding protein in serum and ascites of patients with hepatic cirrhosis complicated with spontaneous bacterial peritonitis]","container-title":"Zhonghua gan zang bing za zhi = Zhonghua ganzangbing zazhi = Chinese journal of hepatology","page":"492-496","volume":"20","issue":"7","source":"NCBI PubMed","abstract":"OBJECTIVE: To investigate the levels of lipopolysaccharide binding protein (LBP) in serum and ascites of cirrhotic patients, and determine their diagnostic value for spontaneous bacterial peritonitis (SBP).\nMETHODS: Cirrhotic patients were divided into groups according to diagnosis of SBP, ascites without SBP, no ascites. To explore the significance of LBP in clinically suspect SBP cases, the ascites without SBP group was sub-divided into two groups according to the symptoms of abdominal pain or elevated white blood cell (WBC) count, and abdominal pain combined with elevated WBC count. Two control groups were composed of patients with intraperitoneal pus and a group of healthy, non-cirrhotic individuals. The LBP levels in serum and ascites were determined by enzyme-linked immunosorbent assay (ELISA). The ascites routine, ascites culture and albumin assay were carried out in the Second Affiliated Hospital of Chongqing Medical University. Data between the two groups were compared using the t-test or nonparametric test of independent samples, and the areas under the curve were compared using the Z test. Results The levels of LBP in serum and pus were significantly higher in the intraperitoneal pus group than in the cirrhosis group with ascites (P less than 0.01).\nRESULTS: The level of serum LBP was significantly higher in the cirrhosis group with SBP than in the cirrhosis group without SBP but with ascites and the cirrhosis group with no ascites (P less than 0.01). There was no significant difference in the level of ascites LBP in the cirrhosis group with SBP and the cirrhosis group without SBP but with ascites (P more than 0.05). In the clinically suspect cases with SBP, the levels of LBP in serum and ascites were significantly higher than those in the cirrhosis group without SBP but with ascites (228.00 mug/ml vs. 80.95 mug/ml and 22.50 mug/ml vs. 11.45 mug/ml, P less than 0.05). Determination of serum LBP had a higher sensitivity than the determination of ascites LBP or ascites WBC.\nCONCLUSION: Gram-negative bacteria infection in the intra-abdominal cavity causes serum and body fluid levels of LBP to increase significantly. Patients with cirrhosis complicated with SBP have significantly elevated levels of serum LBP. The serum and ascites LBP levels are significantly elevated in SBP patients with suspected clinical diagnosis. Measurements of both the serum LBP and ascites LBP may have diagnostic value for SBP.","ISSN":"1007-3418","note":"PMID: 23044232","journalAbbreviation":"Zhonghua Gan Zang Bing Za Zhi","language":"chi","author":[{"family":"Tang","given":"Neng-yuan"},{"family":"Chen","given":"Wei-qing"}],"issued":{"date-parts":[["2012",7]]},"PMID":"23044232"}}],"schema":"https://github.com/citation-style-language/schema/raw/master/csl-citation.json"} </w:instrText>
      </w:r>
      <w:r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[27]</w:t>
      </w:r>
      <w:r w:rsidRPr="006479DA">
        <w:rPr>
          <w:rFonts w:ascii="Book Antiqua" w:hAnsi="Book Antiqua"/>
          <w:sz w:val="24"/>
          <w:szCs w:val="24"/>
          <w:lang w:val="en-US" w:eastAsia="de-DE"/>
        </w:rPr>
        <w:fldChar w:fldCharType="end"/>
      </w:r>
      <w:r w:rsidR="00983A95" w:rsidRPr="006479DA">
        <w:rPr>
          <w:rFonts w:ascii="Book Antiqua" w:hAnsi="Book Antiqua"/>
          <w:sz w:val="24"/>
          <w:szCs w:val="24"/>
          <w:lang w:val="en-US" w:eastAsia="de-DE"/>
        </w:rPr>
        <w:t xml:space="preserve"> i</w:t>
      </w:r>
      <w:r w:rsidR="00FF0797" w:rsidRPr="006479DA">
        <w:rPr>
          <w:rFonts w:ascii="Book Antiqua" w:hAnsi="Book Antiqua"/>
          <w:sz w:val="24"/>
          <w:szCs w:val="24"/>
          <w:lang w:val="en-US" w:eastAsia="de-DE"/>
        </w:rPr>
        <w:t>n</w:t>
      </w:r>
      <w:r w:rsidR="00983A95" w:rsidRPr="006479DA">
        <w:rPr>
          <w:rFonts w:ascii="Book Antiqua" w:hAnsi="Book Antiqua"/>
          <w:sz w:val="24"/>
          <w:szCs w:val="24"/>
          <w:lang w:val="en-US" w:eastAsia="de-DE"/>
        </w:rPr>
        <w:t xml:space="preserve"> some studies</w:t>
      </w:r>
      <w:r w:rsidRPr="006479DA">
        <w:rPr>
          <w:rFonts w:ascii="Book Antiqua" w:hAnsi="Book Antiqua"/>
          <w:sz w:val="24"/>
          <w:szCs w:val="24"/>
          <w:lang w:val="en-US" w:eastAsia="de-DE"/>
        </w:rPr>
        <w:t xml:space="preserve">, might </w:t>
      </w:r>
      <w:r w:rsidR="00983A95" w:rsidRPr="006479DA">
        <w:rPr>
          <w:rFonts w:ascii="Book Antiqua" w:hAnsi="Book Antiqua"/>
          <w:sz w:val="24"/>
          <w:szCs w:val="24"/>
          <w:lang w:val="en-US" w:eastAsia="de-DE"/>
        </w:rPr>
        <w:t xml:space="preserve">therefore </w:t>
      </w:r>
      <w:r w:rsidRPr="006479DA">
        <w:rPr>
          <w:rFonts w:ascii="Book Antiqua" w:hAnsi="Book Antiqua"/>
          <w:sz w:val="24"/>
          <w:szCs w:val="24"/>
          <w:lang w:val="en-US" w:eastAsia="de-DE"/>
        </w:rPr>
        <w:t xml:space="preserve">suggest </w:t>
      </w:r>
      <w:r w:rsidR="00983A95" w:rsidRPr="006479DA">
        <w:rPr>
          <w:rFonts w:ascii="Book Antiqua" w:hAnsi="Book Antiqua"/>
          <w:sz w:val="24"/>
          <w:szCs w:val="24"/>
          <w:lang w:val="en-US" w:eastAsia="de-DE"/>
        </w:rPr>
        <w:t xml:space="preserve">a </w:t>
      </w:r>
      <w:r w:rsidRPr="006479DA">
        <w:rPr>
          <w:rFonts w:ascii="Book Antiqua" w:hAnsi="Book Antiqua"/>
          <w:sz w:val="24"/>
          <w:szCs w:val="24"/>
          <w:lang w:val="en-US" w:eastAsia="de-DE"/>
        </w:rPr>
        <w:t xml:space="preserve">prognostic relevance of </w:t>
      </w:r>
      <w:r w:rsidR="00983A95" w:rsidRPr="006479DA">
        <w:rPr>
          <w:rFonts w:ascii="Book Antiqua" w:hAnsi="Book Antiqua"/>
          <w:sz w:val="24"/>
          <w:szCs w:val="24"/>
          <w:lang w:val="en-US" w:eastAsia="de-DE"/>
        </w:rPr>
        <w:t xml:space="preserve">increased </w:t>
      </w:r>
      <w:r w:rsidRPr="006479DA">
        <w:rPr>
          <w:rFonts w:ascii="Book Antiqua" w:hAnsi="Book Antiqua"/>
          <w:sz w:val="24"/>
          <w:szCs w:val="24"/>
          <w:lang w:val="en-US" w:eastAsia="de-DE"/>
        </w:rPr>
        <w:t xml:space="preserve">IP in patients with cirrhosis. However, in our study </w:t>
      </w:r>
      <w:r w:rsidR="00983A95" w:rsidRPr="006479DA">
        <w:rPr>
          <w:rFonts w:ascii="Book Antiqua" w:hAnsi="Book Antiqua"/>
          <w:sz w:val="24"/>
          <w:szCs w:val="24"/>
          <w:lang w:val="en-US" w:eastAsia="de-DE"/>
        </w:rPr>
        <w:t xml:space="preserve">only </w:t>
      </w:r>
      <w:r w:rsidRPr="006479DA">
        <w:rPr>
          <w:rFonts w:ascii="Book Antiqua" w:hAnsi="Book Antiqua"/>
          <w:sz w:val="24"/>
          <w:szCs w:val="24"/>
          <w:lang w:val="en-US" w:eastAsia="de-DE"/>
        </w:rPr>
        <w:t xml:space="preserve">surrogates of liver function (MELD score, Child-Pugh score) and consequences of portal hypertension (ascites, low platelet count, high I-FABP) </w:t>
      </w:r>
      <w:r w:rsidR="00983A95" w:rsidRPr="006479DA">
        <w:rPr>
          <w:rFonts w:ascii="Book Antiqua" w:hAnsi="Book Antiqua"/>
          <w:sz w:val="24"/>
          <w:szCs w:val="24"/>
          <w:lang w:val="en-US" w:eastAsia="de-DE"/>
        </w:rPr>
        <w:t>but not the degree of</w:t>
      </w:r>
      <w:r w:rsidR="00265BAF">
        <w:rPr>
          <w:rFonts w:ascii="Book Antiqua" w:eastAsia="SimSun" w:hAnsi="Book Antiqua" w:hint="eastAsia"/>
          <w:sz w:val="24"/>
          <w:szCs w:val="24"/>
          <w:lang w:val="en-US" w:eastAsia="zh-CN"/>
        </w:rPr>
        <w:t xml:space="preserve"> </w:t>
      </w:r>
      <w:r w:rsidR="00983A95" w:rsidRPr="006479DA">
        <w:rPr>
          <w:rFonts w:ascii="Book Antiqua" w:hAnsi="Book Antiqua"/>
          <w:sz w:val="24"/>
          <w:szCs w:val="24"/>
          <w:lang w:val="en-US" w:eastAsia="de-DE"/>
        </w:rPr>
        <w:t xml:space="preserve">IP </w:t>
      </w:r>
      <w:r w:rsidRPr="006479DA">
        <w:rPr>
          <w:rFonts w:ascii="Book Antiqua" w:hAnsi="Book Antiqua"/>
          <w:sz w:val="24"/>
          <w:szCs w:val="24"/>
          <w:lang w:val="en-US" w:eastAsia="de-DE"/>
        </w:rPr>
        <w:t>w</w:t>
      </w:r>
      <w:r w:rsidR="00265BAF">
        <w:rPr>
          <w:rFonts w:ascii="Book Antiqua" w:eastAsia="SimSun" w:hAnsi="Book Antiqua" w:hint="eastAsia"/>
          <w:sz w:val="24"/>
          <w:szCs w:val="24"/>
          <w:lang w:val="en-US" w:eastAsia="zh-CN"/>
        </w:rPr>
        <w:t xml:space="preserve">as </w:t>
      </w:r>
      <w:r w:rsidRPr="006479DA">
        <w:rPr>
          <w:rFonts w:ascii="Book Antiqua" w:hAnsi="Book Antiqua"/>
          <w:sz w:val="24"/>
          <w:szCs w:val="24"/>
          <w:lang w:val="en-US" w:eastAsia="de-DE"/>
        </w:rPr>
        <w:t xml:space="preserve">significantly associated with the development of infections. </w:t>
      </w:r>
    </w:p>
    <w:p w14:paraId="47723898" w14:textId="621045B2" w:rsidR="00995B66" w:rsidRPr="006479DA" w:rsidRDefault="00381D0A" w:rsidP="00265BAF">
      <w:pPr>
        <w:spacing w:after="0" w:line="360" w:lineRule="auto"/>
        <w:ind w:firstLineChars="100" w:firstLine="240"/>
        <w:jc w:val="both"/>
        <w:rPr>
          <w:rFonts w:ascii="Book Antiqua" w:hAnsi="Book Antiqua"/>
          <w:sz w:val="24"/>
          <w:szCs w:val="24"/>
          <w:lang w:val="en-US" w:eastAsia="de-DE"/>
        </w:rPr>
      </w:pPr>
      <w:r w:rsidRPr="006479DA">
        <w:rPr>
          <w:rFonts w:ascii="Book Antiqua" w:hAnsi="Book Antiqua"/>
          <w:sz w:val="24"/>
          <w:szCs w:val="24"/>
          <w:lang w:val="en-US" w:eastAsia="de-DE"/>
        </w:rPr>
        <w:t>Because an arbitrary cut-off of the IP index may not be appropriate to assess IP in cirrhosis, we performed analysis for the L/M ratio assessed as linear variable, as quantiles and dichotomiz</w:t>
      </w:r>
      <w:r w:rsidR="00265BAF">
        <w:rPr>
          <w:rFonts w:ascii="Book Antiqua" w:hAnsi="Book Antiqua"/>
          <w:sz w:val="24"/>
          <w:szCs w:val="24"/>
          <w:lang w:val="en-US" w:eastAsia="de-DE"/>
        </w:rPr>
        <w:t>ed using an established cut-off</w:t>
      </w:r>
      <w:r w:rsidRPr="006479DA">
        <w:rPr>
          <w:rFonts w:ascii="Book Antiqua" w:hAnsi="Book Antiqua"/>
          <w:sz w:val="24"/>
          <w:szCs w:val="24"/>
          <w:lang w:val="en-US" w:eastAsia="de-DE"/>
        </w:rPr>
        <w:fldChar w:fldCharType="begin"/>
      </w:r>
      <w:r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Pr="006479DA">
        <w:rPr>
          <w:rFonts w:ascii="Book Antiqua" w:hAnsi="Book Antiqua"/>
          <w:sz w:val="24"/>
          <w:szCs w:val="24"/>
          <w:lang w:val="en-US" w:eastAsia="de-DE"/>
        </w:rPr>
        <w:instrText xml:space="preserve"> ZOTERO_ITEM CSL_CITATION {"citationID":"2lb0aint6p","properties":{"formattedCitation":"{\\rtf \\super [15]\\nosupersub{}}","plainCitation":"[15]"},"citationItems":[{"id":"2Ofdff5c/PsfZLV16","uris":["http://zotero.org/users/1744959/items/M53HW9W4"],"uri":["http://zotero.org/users/1744959/items/M53HW9W4"],"itemData":{"id":"2Ofdff5c/PsfZLV16","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Lab","given":""}],"issued":{"year":2013,"month":5},"PMID":"23262249","page-first":"911","container-title-short":"J. Hepatol."}}],"schema":"https://github.com/citation-style-language/schema/raw/master/csl-citation.json"} </w:instrText>
      </w:r>
      <w:r w:rsidRPr="006479DA">
        <w:rPr>
          <w:rFonts w:ascii="Book Antiqua" w:hAnsi="Book Antiqua"/>
          <w:sz w:val="24"/>
          <w:szCs w:val="24"/>
          <w:lang w:val="en-US" w:eastAsia="de-DE"/>
        </w:rPr>
        <w:fldChar w:fldCharType="separate"/>
      </w:r>
      <w:r w:rsidRPr="006479DA">
        <w:rPr>
          <w:rFonts w:ascii="Book Antiqua" w:hAnsi="Book Antiqua"/>
          <w:sz w:val="24"/>
          <w:szCs w:val="24"/>
          <w:vertAlign w:val="superscript"/>
        </w:rPr>
        <w:t>[15]</w:t>
      </w:r>
      <w:r w:rsidRPr="006479DA">
        <w:rPr>
          <w:rFonts w:ascii="Book Antiqua" w:hAnsi="Book Antiqua"/>
          <w:sz w:val="24"/>
          <w:szCs w:val="24"/>
          <w:lang w:val="en-US" w:eastAsia="de-DE"/>
        </w:rPr>
        <w:fldChar w:fldCharType="end"/>
      </w:r>
      <w:r w:rsidRPr="006479DA">
        <w:rPr>
          <w:rFonts w:ascii="Book Antiqua" w:hAnsi="Book Antiqua"/>
          <w:sz w:val="24"/>
          <w:szCs w:val="24"/>
          <w:lang w:val="en-US" w:eastAsia="de-DE"/>
        </w:rPr>
        <w:t xml:space="preserve">. In none of these approaches, the IP index </w:t>
      </w:r>
      <w:r w:rsidR="00C150A5" w:rsidRPr="006479DA">
        <w:rPr>
          <w:rFonts w:ascii="Book Antiqua" w:hAnsi="Book Antiqua"/>
          <w:sz w:val="24"/>
          <w:szCs w:val="24"/>
          <w:lang w:val="en-US" w:eastAsia="de-DE"/>
        </w:rPr>
        <w:t xml:space="preserve">was able to predict </w:t>
      </w:r>
      <w:r w:rsidR="00995B66" w:rsidRPr="006479DA">
        <w:rPr>
          <w:rFonts w:ascii="Book Antiqua" w:hAnsi="Book Antiqua"/>
          <w:sz w:val="24"/>
          <w:szCs w:val="24"/>
          <w:lang w:val="en-US" w:eastAsia="de-DE"/>
        </w:rPr>
        <w:t xml:space="preserve">the predefined </w:t>
      </w:r>
      <w:r w:rsidR="00C150A5" w:rsidRPr="006479DA">
        <w:rPr>
          <w:rFonts w:ascii="Book Antiqua" w:hAnsi="Book Antiqua"/>
          <w:sz w:val="24"/>
          <w:szCs w:val="24"/>
          <w:lang w:val="en-US" w:eastAsia="de-DE"/>
        </w:rPr>
        <w:t>clinical endpoints within one-year of follow-up</w:t>
      </w:r>
      <w:r w:rsidR="00B85ADC" w:rsidRPr="006479DA">
        <w:rPr>
          <w:rFonts w:ascii="Book Antiqua" w:hAnsi="Book Antiqua"/>
          <w:sz w:val="24"/>
          <w:szCs w:val="24"/>
          <w:lang w:val="en-US" w:eastAsia="de-DE"/>
        </w:rPr>
        <w:t xml:space="preserve"> in contrast to </w:t>
      </w:r>
      <w:r w:rsidR="00ED3E4C" w:rsidRPr="006479DA">
        <w:rPr>
          <w:rFonts w:ascii="Book Antiqua" w:hAnsi="Book Antiqua"/>
          <w:sz w:val="24"/>
          <w:szCs w:val="24"/>
          <w:lang w:val="en-US" w:eastAsia="de-DE"/>
        </w:rPr>
        <w:t xml:space="preserve">the evaluated </w:t>
      </w:r>
      <w:r w:rsidR="00B85ADC" w:rsidRPr="006479DA">
        <w:rPr>
          <w:rFonts w:ascii="Book Antiqua" w:hAnsi="Book Antiqua"/>
          <w:sz w:val="24"/>
          <w:szCs w:val="24"/>
          <w:lang w:val="en-US" w:eastAsia="de-DE"/>
        </w:rPr>
        <w:t>prognostic indices</w:t>
      </w:r>
      <w:r w:rsidR="00ED3E4C" w:rsidRPr="006479DA">
        <w:rPr>
          <w:rFonts w:ascii="Book Antiqua" w:hAnsi="Book Antiqua"/>
          <w:sz w:val="24"/>
          <w:szCs w:val="24"/>
          <w:lang w:val="en-US" w:eastAsia="de-DE"/>
        </w:rPr>
        <w:t xml:space="preserve"> and serum markers</w:t>
      </w:r>
      <w:r w:rsidR="00C150A5" w:rsidRPr="006479DA">
        <w:rPr>
          <w:rFonts w:ascii="Book Antiqua" w:hAnsi="Book Antiqua"/>
          <w:sz w:val="24"/>
          <w:szCs w:val="24"/>
          <w:lang w:val="en-US" w:eastAsia="de-DE"/>
        </w:rPr>
        <w:t xml:space="preserve">. </w:t>
      </w:r>
      <w:r w:rsidR="003644F6" w:rsidRPr="006479DA">
        <w:rPr>
          <w:rFonts w:ascii="Book Antiqua" w:hAnsi="Book Antiqua"/>
          <w:sz w:val="24"/>
          <w:szCs w:val="24"/>
          <w:lang w:val="en-US" w:eastAsia="de-DE"/>
        </w:rPr>
        <w:t xml:space="preserve">Our results go in line with the prospective study of Benjamin </w:t>
      </w:r>
      <w:r w:rsidR="003644F6" w:rsidRPr="006479DA">
        <w:rPr>
          <w:rFonts w:ascii="Book Antiqua" w:hAnsi="Book Antiqua"/>
          <w:i/>
          <w:sz w:val="24"/>
          <w:szCs w:val="24"/>
          <w:lang w:val="en-US" w:eastAsia="de-DE"/>
        </w:rPr>
        <w:t>et al</w:t>
      </w:r>
      <w:r w:rsidR="003644F6"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{"citationID":"2grp08f9ja","properties":{"formattedCitation":"{\\rtf \\super [21]\\nosupersub{}}","plainCitation":"[21]"},"citationItems":[{"id":87,"uris":["http://zotero.org/users/1744959/items/DBEB2BW4"],"uri":["http://zotero.org/users/1744959/items/DBEB2BW4"],"itemData":{"id":87,"type":"article-journal","title":"Intestinal permeability and complications in liver cirrhosis: A prospective cohort study","container-title":"Hepatology research: the official journal of the Japan Society of Hepatology","page":"200-207","volume":"43","issue":"2","source":"NCBI PubMed","abstract":"Aim:  Increased intestinal permeability (IP) has been implicated as an important factor for bacterial translocation (BT), leading to bacteremia and endotoxemia, resulting in various septic complications, variceal bleeding (VB), hepatic encephalopathy (HE), hepatorenal syndrome (HRS) and death in patients with liver cirrhosis (LC). This study was planned to assess IP in patients with LC and follow them for the occurrence of complications. Methods:  Patients with Child B and C cirrhosis without a history of disease-related complications were followed up for 6 months. IP was measured by lactulose and mannitol excretion ratio (LMR) in patients and 50 healthy controls (HC). Serum endotoxin levels were also assessed in 48 patients and 20 HC. Results:  Eighty patients (74 male), 41 (51.3%) Child B and 56 (70%) Child C, with a mean age of 40.7 ± 9.8 years were enrolled. IP was increased in 28 (35%) patients. LMR of patients was higher than HC (patients vs HC = 0.0238 [0.0010-1.557] vs 0.0166 [0.0018-0.720]; P = 0.007]. No significant difference was seen in the LMR of patients among various Child classes and etiologies. Serum endotoxin levels (GMU/mL) were higher in patients than HC (patients vs HC = 1.42 [0.68-2.13] vs 0.994 [0.067-1.382]; P = 0.001), but comparable between patients with abnormal and normal IP. At follow up, there was no significant difference in the incidence of complications like spontaneous bacterial peritonitis, HRS, VB, HE and death between patients with abnormal and normal IP. Conclusion:  IP was increased in 35% of patients with LC; however, it was not associated with a higher incidence of disease-related complications.","DOI":"10.1111/j.1872-034X.2012.01054.x","ISSN":"1386-6346","note":"PMID: 22726344","shortTitle":"Intestinal permeability and complications in liver cirrhosis","journalAbbreviation":"Hepatol. Res.","language":"eng","author":[{"family":"Benjamin","given":"Jaya"},{"family":"Singla","given":"Vikas"},{"family":"Arora","given":"Indu"},{"family":"Sood","given":"Seema"},{"family":"Joshi","given":"Yogendra Kumar"}],"issued":{"date-parts":[["2013",2]]},"PMID":"22726344"}}],"schema":"https://github.com/citation-style-language/schema/raw/master/csl-citation.json"} </w:instrText>
      </w:r>
      <w:r w:rsidR="003644F6"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[21]</w:t>
      </w:r>
      <w:r w:rsidR="003644F6" w:rsidRPr="006479DA">
        <w:rPr>
          <w:rFonts w:ascii="Book Antiqua" w:hAnsi="Book Antiqua"/>
          <w:sz w:val="24"/>
          <w:szCs w:val="24"/>
          <w:lang w:val="en-US" w:eastAsia="de-DE"/>
        </w:rPr>
        <w:fldChar w:fldCharType="end"/>
      </w:r>
      <w:r w:rsidR="003644F6" w:rsidRPr="006479DA">
        <w:rPr>
          <w:rFonts w:ascii="Book Antiqua" w:hAnsi="Book Antiqua"/>
          <w:sz w:val="24"/>
          <w:szCs w:val="24"/>
          <w:lang w:val="en-US" w:eastAsia="de-DE"/>
        </w:rPr>
        <w:t>, who were not able to demonstrate an association between increased IP and subsequent complications, including bacterial infections, hepatic encephalopathy, hepatorenal syndrome or varice</w:t>
      </w:r>
      <w:r w:rsidR="00947C64" w:rsidRPr="006479DA">
        <w:rPr>
          <w:rFonts w:ascii="Book Antiqua" w:hAnsi="Book Antiqua"/>
          <w:sz w:val="24"/>
          <w:szCs w:val="24"/>
          <w:lang w:val="en-US" w:eastAsia="de-DE"/>
        </w:rPr>
        <w:t>al</w:t>
      </w:r>
      <w:r w:rsidR="003644F6" w:rsidRPr="006479DA">
        <w:rPr>
          <w:rFonts w:ascii="Book Antiqua" w:hAnsi="Book Antiqua"/>
          <w:sz w:val="24"/>
          <w:szCs w:val="24"/>
          <w:lang w:val="en-US" w:eastAsia="de-DE"/>
        </w:rPr>
        <w:t xml:space="preserve"> bleeding</w:t>
      </w:r>
      <w:r w:rsidR="0044472A" w:rsidRPr="006479DA">
        <w:rPr>
          <w:rFonts w:ascii="Book Antiqua" w:hAnsi="Book Antiqua"/>
          <w:sz w:val="24"/>
          <w:szCs w:val="24"/>
          <w:lang w:val="en-US" w:eastAsia="de-DE"/>
        </w:rPr>
        <w:t xml:space="preserve"> in cohort with a lower incidence of pathological IP (35%) using a cut-off of 0.037</w:t>
      </w:r>
      <w:r w:rsidR="003644F6" w:rsidRPr="006479DA">
        <w:rPr>
          <w:rFonts w:ascii="Book Antiqua" w:hAnsi="Book Antiqua"/>
          <w:sz w:val="24"/>
          <w:szCs w:val="24"/>
          <w:lang w:val="en-US" w:eastAsia="de-DE"/>
        </w:rPr>
        <w:t xml:space="preserve">. </w:t>
      </w:r>
      <w:r w:rsidR="00ED3E4C" w:rsidRPr="006479DA">
        <w:rPr>
          <w:rFonts w:ascii="Book Antiqua" w:hAnsi="Book Antiqua"/>
          <w:sz w:val="24"/>
          <w:szCs w:val="24"/>
          <w:lang w:val="en-US" w:eastAsia="de-DE"/>
        </w:rPr>
        <w:t xml:space="preserve">Although we did observe an association of higher IP index at baseline with </w:t>
      </w:r>
      <w:r w:rsidR="00995B66" w:rsidRPr="006479DA">
        <w:rPr>
          <w:rFonts w:ascii="Book Antiqua" w:hAnsi="Book Antiqua"/>
          <w:sz w:val="24"/>
          <w:szCs w:val="24"/>
          <w:lang w:val="en-US" w:eastAsia="de-DE"/>
        </w:rPr>
        <w:t xml:space="preserve">the development of </w:t>
      </w:r>
      <w:r w:rsidR="00ED3E4C" w:rsidRPr="006479DA">
        <w:rPr>
          <w:rFonts w:ascii="Book Antiqua" w:hAnsi="Book Antiqua"/>
          <w:sz w:val="24"/>
          <w:szCs w:val="24"/>
          <w:lang w:val="en-US" w:eastAsia="de-DE"/>
        </w:rPr>
        <w:t>SBP,</w:t>
      </w:r>
      <w:r w:rsidR="0044472A" w:rsidRPr="006479DA">
        <w:rPr>
          <w:rFonts w:ascii="Book Antiqua" w:hAnsi="Book Antiqua"/>
          <w:sz w:val="24"/>
          <w:szCs w:val="24"/>
          <w:lang w:val="en-US" w:eastAsia="de-DE"/>
        </w:rPr>
        <w:t xml:space="preserve"> </w:t>
      </w:r>
      <w:r w:rsidR="0057068B" w:rsidRPr="006479DA">
        <w:rPr>
          <w:rFonts w:ascii="Book Antiqua" w:hAnsi="Book Antiqua"/>
          <w:sz w:val="24"/>
          <w:szCs w:val="24"/>
          <w:lang w:val="en-US" w:eastAsia="de-DE"/>
        </w:rPr>
        <w:t>the diagnostic accuracy of the IP index to predict SBP was comparable to the MELD score providing no additional information over established prognostic indices.</w:t>
      </w:r>
      <w:r w:rsidR="00DF0E77" w:rsidRPr="006479DA">
        <w:rPr>
          <w:rFonts w:ascii="Book Antiqua" w:hAnsi="Book Antiqua"/>
          <w:sz w:val="24"/>
          <w:szCs w:val="24"/>
          <w:lang w:val="en-US" w:eastAsia="de-DE"/>
        </w:rPr>
        <w:t xml:space="preserve"> In addition</w:t>
      </w:r>
      <w:r w:rsidR="0044472A" w:rsidRPr="006479DA">
        <w:rPr>
          <w:rFonts w:ascii="Book Antiqua" w:hAnsi="Book Antiqua"/>
          <w:sz w:val="24"/>
          <w:szCs w:val="24"/>
          <w:lang w:val="en-US" w:eastAsia="de-DE"/>
        </w:rPr>
        <w:t>,</w:t>
      </w:r>
      <w:r w:rsidR="00ED3E4C" w:rsidRPr="006479DA">
        <w:rPr>
          <w:rFonts w:ascii="Book Antiqua" w:hAnsi="Book Antiqua"/>
          <w:sz w:val="24"/>
          <w:szCs w:val="24"/>
          <w:lang w:val="en-US" w:eastAsia="de-DE"/>
        </w:rPr>
        <w:t xml:space="preserve"> this study was underpowered to assess an association of IP with </w:t>
      </w:r>
      <w:r w:rsidR="0057068B" w:rsidRPr="006479DA">
        <w:rPr>
          <w:rFonts w:ascii="Book Antiqua" w:hAnsi="Book Antiqua"/>
          <w:sz w:val="24"/>
          <w:szCs w:val="24"/>
          <w:lang w:val="en-US" w:eastAsia="de-DE"/>
        </w:rPr>
        <w:t>specific infectious complications</w:t>
      </w:r>
      <w:r w:rsidR="005D6CE9" w:rsidRPr="006479DA">
        <w:rPr>
          <w:rFonts w:ascii="Book Antiqua" w:hAnsi="Book Antiqua"/>
          <w:sz w:val="24"/>
          <w:szCs w:val="24"/>
          <w:lang w:val="en-US" w:eastAsia="de-DE"/>
        </w:rPr>
        <w:t xml:space="preserve"> but even with mortality</w:t>
      </w:r>
      <w:r w:rsidR="0057068B" w:rsidRPr="006479DA">
        <w:rPr>
          <w:rFonts w:ascii="Book Antiqua" w:hAnsi="Book Antiqua"/>
          <w:sz w:val="24"/>
          <w:szCs w:val="24"/>
          <w:lang w:val="en-US" w:eastAsia="de-DE"/>
        </w:rPr>
        <w:t xml:space="preserve">. </w:t>
      </w:r>
      <w:r w:rsidR="00DF0E77" w:rsidRPr="006479DA">
        <w:rPr>
          <w:rFonts w:ascii="Book Antiqua" w:hAnsi="Book Antiqua"/>
          <w:sz w:val="24"/>
          <w:szCs w:val="24"/>
          <w:lang w:val="en-US" w:eastAsia="de-DE"/>
        </w:rPr>
        <w:t xml:space="preserve">In order </w:t>
      </w:r>
      <w:r w:rsidR="0057068B" w:rsidRPr="006479DA">
        <w:rPr>
          <w:rFonts w:ascii="Book Antiqua" w:hAnsi="Book Antiqua"/>
          <w:sz w:val="24"/>
          <w:szCs w:val="24"/>
          <w:lang w:val="en-US" w:eastAsia="de-DE"/>
        </w:rPr>
        <w:t>t</w:t>
      </w:r>
      <w:r w:rsidR="0044472A" w:rsidRPr="006479DA">
        <w:rPr>
          <w:rFonts w:ascii="Book Antiqua" w:hAnsi="Book Antiqua"/>
          <w:sz w:val="24"/>
          <w:szCs w:val="24"/>
          <w:lang w:val="en-US" w:eastAsia="de-DE"/>
        </w:rPr>
        <w:t xml:space="preserve">o detect </w:t>
      </w:r>
      <w:r w:rsidR="00DF0E77" w:rsidRPr="006479DA">
        <w:rPr>
          <w:rFonts w:ascii="Book Antiqua" w:hAnsi="Book Antiqua"/>
          <w:sz w:val="24"/>
          <w:szCs w:val="24"/>
          <w:lang w:val="en-US" w:eastAsia="de-DE"/>
        </w:rPr>
        <w:t>differences</w:t>
      </w:r>
      <w:r w:rsidR="0044472A" w:rsidRPr="006479DA">
        <w:rPr>
          <w:rFonts w:ascii="Book Antiqua" w:hAnsi="Book Antiqua"/>
          <w:sz w:val="24"/>
          <w:szCs w:val="24"/>
          <w:lang w:val="en-US" w:eastAsia="de-DE"/>
        </w:rPr>
        <w:t xml:space="preserve"> </w:t>
      </w:r>
      <w:r w:rsidR="0057068B" w:rsidRPr="006479DA">
        <w:rPr>
          <w:rFonts w:ascii="Book Antiqua" w:hAnsi="Book Antiqua"/>
          <w:sz w:val="24"/>
          <w:szCs w:val="24"/>
          <w:lang w:val="en-US" w:eastAsia="de-DE"/>
        </w:rPr>
        <w:t xml:space="preserve">in </w:t>
      </w:r>
      <w:r w:rsidR="0044472A" w:rsidRPr="006479DA">
        <w:rPr>
          <w:rFonts w:ascii="Book Antiqua" w:hAnsi="Book Antiqua"/>
          <w:sz w:val="24"/>
          <w:szCs w:val="24"/>
          <w:lang w:val="en-US" w:eastAsia="de-DE"/>
        </w:rPr>
        <w:t>outcome</w:t>
      </w:r>
      <w:r w:rsidR="0057068B" w:rsidRPr="006479DA">
        <w:rPr>
          <w:rFonts w:ascii="Book Antiqua" w:hAnsi="Book Antiqua"/>
          <w:sz w:val="24"/>
          <w:szCs w:val="24"/>
          <w:lang w:val="en-US" w:eastAsia="de-DE"/>
        </w:rPr>
        <w:t xml:space="preserve"> event</w:t>
      </w:r>
      <w:r w:rsidR="00DF0E77" w:rsidRPr="006479DA">
        <w:rPr>
          <w:rFonts w:ascii="Book Antiqua" w:hAnsi="Book Antiqua"/>
          <w:sz w:val="24"/>
          <w:szCs w:val="24"/>
          <w:lang w:val="en-US" w:eastAsia="de-DE"/>
        </w:rPr>
        <w:t>s</w:t>
      </w:r>
      <w:r w:rsidR="002A5FA3" w:rsidRPr="006479DA">
        <w:rPr>
          <w:rFonts w:ascii="Book Antiqua" w:hAnsi="Book Antiqua"/>
          <w:sz w:val="24"/>
          <w:szCs w:val="24"/>
          <w:lang w:val="en-US" w:eastAsia="de-DE"/>
        </w:rPr>
        <w:t xml:space="preserve"> </w:t>
      </w:r>
      <w:r w:rsidR="0057068B" w:rsidRPr="006479DA">
        <w:rPr>
          <w:rFonts w:ascii="Book Antiqua" w:hAnsi="Book Antiqua"/>
          <w:sz w:val="24"/>
          <w:szCs w:val="24"/>
          <w:lang w:val="en-US" w:eastAsia="de-DE"/>
        </w:rPr>
        <w:t>between</w:t>
      </w:r>
      <w:r w:rsidR="002A5FA3" w:rsidRPr="006479DA">
        <w:rPr>
          <w:rFonts w:ascii="Book Antiqua" w:hAnsi="Book Antiqua"/>
          <w:sz w:val="24"/>
          <w:szCs w:val="24"/>
          <w:lang w:val="en-US" w:eastAsia="de-DE"/>
        </w:rPr>
        <w:t xml:space="preserve"> 5% in patients with </w:t>
      </w:r>
      <w:r w:rsidR="0057068B" w:rsidRPr="006479DA">
        <w:rPr>
          <w:rFonts w:ascii="Book Antiqua" w:hAnsi="Book Antiqua"/>
          <w:sz w:val="24"/>
          <w:szCs w:val="24"/>
          <w:lang w:val="en-US" w:eastAsia="de-DE"/>
        </w:rPr>
        <w:t>normal</w:t>
      </w:r>
      <w:r w:rsidR="002A5FA3" w:rsidRPr="006479DA">
        <w:rPr>
          <w:rFonts w:ascii="Book Antiqua" w:hAnsi="Book Antiqua"/>
          <w:sz w:val="24"/>
          <w:szCs w:val="24"/>
          <w:lang w:val="en-US" w:eastAsia="de-DE"/>
        </w:rPr>
        <w:t xml:space="preserve"> </w:t>
      </w:r>
      <w:r w:rsidR="0057068B" w:rsidRPr="006479DA">
        <w:rPr>
          <w:rFonts w:ascii="Book Antiqua" w:hAnsi="Book Antiqua"/>
          <w:sz w:val="24"/>
          <w:szCs w:val="24"/>
          <w:lang w:val="en-US" w:eastAsia="de-DE"/>
        </w:rPr>
        <w:t xml:space="preserve">IP and </w:t>
      </w:r>
      <w:r w:rsidR="002A5FA3" w:rsidRPr="006479DA">
        <w:rPr>
          <w:rFonts w:ascii="Book Antiqua" w:hAnsi="Book Antiqua"/>
          <w:sz w:val="24"/>
          <w:szCs w:val="24"/>
          <w:lang w:val="en-US" w:eastAsia="de-DE"/>
        </w:rPr>
        <w:t>20% in patients with pathological IP with a statistical power of 0.85</w:t>
      </w:r>
      <w:r w:rsidR="005D6CE9" w:rsidRPr="006479DA">
        <w:rPr>
          <w:rFonts w:ascii="Book Antiqua" w:hAnsi="Book Antiqua"/>
          <w:sz w:val="24"/>
          <w:szCs w:val="24"/>
          <w:lang w:val="en-US" w:eastAsia="de-DE"/>
        </w:rPr>
        <w:t xml:space="preserve"> using Fisher’s exact test</w:t>
      </w:r>
      <w:r w:rsidR="002A5FA3" w:rsidRPr="006479DA">
        <w:rPr>
          <w:rFonts w:ascii="Book Antiqua" w:hAnsi="Book Antiqua"/>
          <w:sz w:val="24"/>
          <w:szCs w:val="24"/>
          <w:lang w:val="en-US" w:eastAsia="de-DE"/>
        </w:rPr>
        <w:t xml:space="preserve">, we would have needed to include </w:t>
      </w:r>
      <w:r w:rsidR="005A0E74" w:rsidRPr="006479DA">
        <w:rPr>
          <w:rFonts w:ascii="Book Antiqua" w:hAnsi="Book Antiqua"/>
          <w:sz w:val="24"/>
          <w:szCs w:val="24"/>
          <w:lang w:val="en-US" w:eastAsia="de-DE"/>
        </w:rPr>
        <w:t xml:space="preserve">about </w:t>
      </w:r>
      <w:r w:rsidR="002A5FA3" w:rsidRPr="006479DA">
        <w:rPr>
          <w:rFonts w:ascii="Book Antiqua" w:hAnsi="Book Antiqua"/>
          <w:sz w:val="24"/>
          <w:szCs w:val="24"/>
          <w:lang w:val="en-US" w:eastAsia="de-DE"/>
        </w:rPr>
        <w:t xml:space="preserve">360 patients given </w:t>
      </w:r>
      <w:r w:rsidR="0057068B" w:rsidRPr="006479DA">
        <w:rPr>
          <w:rFonts w:ascii="Book Antiqua" w:hAnsi="Book Antiqua"/>
          <w:sz w:val="24"/>
          <w:szCs w:val="24"/>
          <w:lang w:val="en-US" w:eastAsia="de-DE"/>
        </w:rPr>
        <w:t xml:space="preserve">the observed </w:t>
      </w:r>
      <w:r w:rsidR="002A5FA3" w:rsidRPr="006479DA">
        <w:rPr>
          <w:rFonts w:ascii="Book Antiqua" w:hAnsi="Book Antiqua"/>
          <w:sz w:val="24"/>
          <w:szCs w:val="24"/>
          <w:lang w:val="en-US" w:eastAsia="de-DE"/>
        </w:rPr>
        <w:t>prevalence of pathological IP</w:t>
      </w:r>
      <w:r w:rsidR="0057068B" w:rsidRPr="006479DA">
        <w:rPr>
          <w:rFonts w:ascii="Book Antiqua" w:hAnsi="Book Antiqua"/>
          <w:sz w:val="24"/>
          <w:szCs w:val="24"/>
          <w:lang w:val="en-US" w:eastAsia="de-DE"/>
        </w:rPr>
        <w:t xml:space="preserve"> (15%)</w:t>
      </w:r>
      <w:r w:rsidR="005A0E74" w:rsidRPr="006479DA">
        <w:rPr>
          <w:rFonts w:ascii="Book Antiqua" w:hAnsi="Book Antiqua"/>
          <w:sz w:val="24"/>
          <w:szCs w:val="24"/>
          <w:lang w:val="en-US" w:eastAsia="de-DE"/>
        </w:rPr>
        <w:t xml:space="preserve"> based on two-sided Fisher’s exact tests at a significance level</w:t>
      </w:r>
      <w:r w:rsidR="005A0E74" w:rsidRPr="00265BAF">
        <w:rPr>
          <w:rFonts w:ascii="Book Antiqua" w:hAnsi="Book Antiqua"/>
          <w:caps/>
          <w:sz w:val="24"/>
          <w:szCs w:val="24"/>
          <w:lang w:val="en-US" w:eastAsia="de-DE"/>
        </w:rPr>
        <w:t xml:space="preserve"> </w:t>
      </w:r>
      <w:r w:rsidR="005A0E74" w:rsidRPr="00265BAF">
        <w:rPr>
          <w:rFonts w:ascii="Book Antiqua" w:eastAsia="Arial Unicode MS" w:hAnsi="Book Antiqua"/>
          <w:i/>
          <w:caps/>
          <w:sz w:val="24"/>
          <w:szCs w:val="24"/>
          <w:lang w:val="en-US" w:eastAsia="de-DE"/>
        </w:rPr>
        <w:t>p</w:t>
      </w:r>
      <w:r w:rsidR="005A0E74" w:rsidRPr="006479DA">
        <w:rPr>
          <w:rFonts w:ascii="Book Antiqua" w:hAnsi="Book Antiqua"/>
          <w:sz w:val="24"/>
          <w:szCs w:val="24"/>
          <w:lang w:val="en-US"/>
        </w:rPr>
        <w:t xml:space="preserve"> =0.05</w:t>
      </w:r>
      <w:r w:rsidR="005A0E74" w:rsidRPr="006479DA">
        <w:rPr>
          <w:rFonts w:ascii="Book Antiqua" w:hAnsi="Book Antiqua"/>
          <w:sz w:val="24"/>
          <w:szCs w:val="24"/>
          <w:lang w:val="en-US" w:eastAsia="de-DE"/>
        </w:rPr>
        <w:t>.</w:t>
      </w:r>
    </w:p>
    <w:p w14:paraId="1FF8159E" w14:textId="036E0461" w:rsidR="009E0558" w:rsidRPr="00265BAF" w:rsidRDefault="00F62D82" w:rsidP="00265BAF">
      <w:pPr>
        <w:spacing w:after="0" w:line="360" w:lineRule="auto"/>
        <w:ind w:firstLineChars="100" w:firstLine="240"/>
        <w:jc w:val="both"/>
        <w:rPr>
          <w:rFonts w:ascii="Book Antiqua" w:eastAsia="SimSun" w:hAnsi="Book Antiqua"/>
          <w:sz w:val="24"/>
          <w:szCs w:val="24"/>
          <w:lang w:val="en-US" w:eastAsia="zh-CN"/>
        </w:rPr>
      </w:pPr>
      <w:r w:rsidRPr="006479DA">
        <w:rPr>
          <w:rFonts w:ascii="Book Antiqua" w:hAnsi="Book Antiqua"/>
          <w:sz w:val="24"/>
          <w:szCs w:val="24"/>
          <w:lang w:val="en-US" w:eastAsia="de-DE"/>
        </w:rPr>
        <w:lastRenderedPageBreak/>
        <w:t>Therefore, i</w:t>
      </w:r>
      <w:r w:rsidR="00983A95" w:rsidRPr="006479DA">
        <w:rPr>
          <w:rFonts w:ascii="Book Antiqua" w:hAnsi="Book Antiqua"/>
          <w:sz w:val="24"/>
          <w:szCs w:val="24"/>
          <w:lang w:val="en-US" w:eastAsia="de-DE"/>
        </w:rPr>
        <w:t>n contrast to assessing IP, other b</w:t>
      </w:r>
      <w:r w:rsidR="003644F6" w:rsidRPr="006479DA">
        <w:rPr>
          <w:rFonts w:ascii="Book Antiqua" w:hAnsi="Book Antiqua"/>
          <w:sz w:val="24"/>
          <w:szCs w:val="24"/>
          <w:lang w:val="en-US" w:eastAsia="de-DE"/>
        </w:rPr>
        <w:t>iomarkers of enterocyte mass and function</w:t>
      </w:r>
      <w:r w:rsidRPr="006479DA">
        <w:rPr>
          <w:rFonts w:ascii="Book Antiqua" w:hAnsi="Book Antiqua"/>
          <w:sz w:val="24"/>
          <w:szCs w:val="24"/>
          <w:lang w:val="en-US" w:eastAsia="de-DE"/>
        </w:rPr>
        <w:t>, such as I-FABP,</w:t>
      </w:r>
      <w:r w:rsidR="003644F6" w:rsidRPr="006479DA">
        <w:rPr>
          <w:rFonts w:ascii="Book Antiqua" w:hAnsi="Book Antiqua"/>
          <w:sz w:val="24"/>
          <w:szCs w:val="24"/>
          <w:lang w:val="en-US" w:eastAsia="de-DE"/>
        </w:rPr>
        <w:t xml:space="preserve"> </w:t>
      </w:r>
      <w:r w:rsidRPr="006479DA">
        <w:rPr>
          <w:rFonts w:ascii="Book Antiqua" w:hAnsi="Book Antiqua"/>
          <w:sz w:val="24"/>
          <w:szCs w:val="24"/>
          <w:lang w:val="en-US" w:eastAsia="de-DE"/>
        </w:rPr>
        <w:t>seem</w:t>
      </w:r>
      <w:r w:rsidR="003644F6" w:rsidRPr="006479DA">
        <w:rPr>
          <w:rFonts w:ascii="Book Antiqua" w:hAnsi="Book Antiqua"/>
          <w:sz w:val="24"/>
          <w:szCs w:val="24"/>
          <w:lang w:val="en-US" w:eastAsia="de-DE"/>
        </w:rPr>
        <w:t xml:space="preserve"> </w:t>
      </w:r>
      <w:r w:rsidRPr="006479DA">
        <w:rPr>
          <w:rFonts w:ascii="Book Antiqua" w:hAnsi="Book Antiqua"/>
          <w:sz w:val="24"/>
          <w:szCs w:val="24"/>
          <w:lang w:val="en-US" w:eastAsia="de-DE"/>
        </w:rPr>
        <w:t>more</w:t>
      </w:r>
      <w:r w:rsidR="003644F6" w:rsidRPr="006479DA">
        <w:rPr>
          <w:rFonts w:ascii="Book Antiqua" w:hAnsi="Book Antiqua"/>
          <w:sz w:val="24"/>
          <w:szCs w:val="24"/>
          <w:lang w:val="en-US" w:eastAsia="de-DE"/>
        </w:rPr>
        <w:t xml:space="preserve"> appropriate to estimate the clinical outcome of patients suffering from cirrhosis. </w:t>
      </w:r>
      <w:r w:rsidR="00983A95" w:rsidRPr="006479DA">
        <w:rPr>
          <w:rFonts w:ascii="Book Antiqua" w:hAnsi="Book Antiqua"/>
          <w:sz w:val="24"/>
          <w:szCs w:val="24"/>
          <w:lang w:val="en-US" w:eastAsia="de-DE"/>
        </w:rPr>
        <w:t xml:space="preserve">To our knowledge, </w:t>
      </w:r>
      <w:r w:rsidRPr="006479DA">
        <w:rPr>
          <w:rFonts w:ascii="Book Antiqua" w:hAnsi="Book Antiqua"/>
          <w:sz w:val="24"/>
          <w:szCs w:val="24"/>
          <w:lang w:val="en-US" w:eastAsia="de-DE"/>
        </w:rPr>
        <w:t>this</w:t>
      </w:r>
      <w:r w:rsidR="00983A95" w:rsidRPr="006479DA">
        <w:rPr>
          <w:rFonts w:ascii="Book Antiqua" w:hAnsi="Book Antiqua"/>
          <w:sz w:val="24"/>
          <w:szCs w:val="24"/>
          <w:lang w:val="en-US" w:eastAsia="de-DE"/>
        </w:rPr>
        <w:t xml:space="preserve"> study is the first to demonstrate an association of I-FABP with the development of bacterial infections and with infection-free survival in cirrhosis. </w:t>
      </w:r>
      <w:r w:rsidR="00822BA1" w:rsidRPr="006479DA">
        <w:rPr>
          <w:rFonts w:ascii="Book Antiqua" w:hAnsi="Book Antiqua"/>
          <w:sz w:val="24"/>
          <w:szCs w:val="24"/>
          <w:lang w:val="en-US" w:eastAsia="de-DE"/>
        </w:rPr>
        <w:t>I-FABP is specifically stored in enterocytes and released in case of enterocytes death during infl</w:t>
      </w:r>
      <w:r w:rsidR="00265BAF">
        <w:rPr>
          <w:rFonts w:ascii="Book Antiqua" w:hAnsi="Book Antiqua"/>
          <w:sz w:val="24"/>
          <w:szCs w:val="24"/>
          <w:lang w:val="en-US" w:eastAsia="de-DE"/>
        </w:rPr>
        <w:t>ammatory and ischemic processes</w:t>
      </w:r>
      <w:r w:rsidR="00822BA1"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{"citationID":"EhGl0INH","properties":{"formattedCitation":"{\\rtf \\super [28,29]\\nosupersub{}}","plainCitation":"[28,29]"},"citationItems":[{"id":262,"uris":["http://zotero.org/users/1744959/items/TXQT7I7T"],"uri":["http://zotero.org/users/1744959/items/TXQT7I7T"],"itemData":{"id":262,"type":"article-journal","title":"Cellular fatty acid-binding proteins: Their function and physiological significance","container-title":"Progress in Lipid Research","page":"243-282","volume":"35","issue":"3","source":"ScienceDirect","DOI":"10.1016/S0163-7827(96)00006-9","ISSN":"0163-7827","shortTitle":"Cellular fatty acid-binding proteins","journalAbbreviation":"Progress in Lipid Research","author":[{"family":"Glatz","given":"Jan F. C."},{"family":"van der Vusse","given":"Ger J."}],"issued":{"date-parts":[["1996",9]]},"accessed":{"date-parts":[["2014",3,6]]}}},{"id":207,"uris":["http://zotero.org/users/1744959/items/38BRKXJG"],"uri":["http://zotero.org/users/1744959/items/38BRKXJG"],"itemData":{"id":207,"type":"article-journal","title":"Host response to translocated microbial products predicts outcomes of patients with HBV or HCV infection","container-title":"Gastroenterology","page":"1220-1230, 1230.e1-3","volume":"141","issue":"4","source":"NCBI PubMed","abstract":"BACKGROUND &amp; AIMS: Chronic infection with hepatitis B or C virus (HBV or HCV) is a leading cause of cirrhosis by unknown mechanisms of pathogenesis. Translocation of gut microbial products into the systemic circulation might increase because of increased intestinal permeability, bacterial overgrowth, or impaired clearance of microbial products by Kupffer cells. We investigated whether the extent and progression of liver disease in patients with chronic HBV or HCV infection are associated with microbial translocation and subsequent activation of monocytes.\nMETHODS: In a retrospective study, we analyzed data from 16 patients with minimal fibrosis, 68 with cirrhosis, and 67 uninfected volunteers. We analyzed plasma levels of soluble CD14 (sCD14), intestinal fatty acid binding protein, and interleukin-6 by enzyme-linked immunosorbent assay, and lipopolysaccharide (LPS) by the limulus amebocyte lysate assay, at presentation and after antiviral treatment.\nRESULTS: Compared with uninfected individuals, HCV- and HBV-infected individuals had higher plasma levels of LPS, intestinal fatty acid binding protein (indicating enterocyte death), sCD14 (produced upon LPS activation of monocytes), and interleukin-6. Portal hypertension, indicated by low platelet counts, was associated with enterocyte death (P=.045 at presentation, P&lt;.0001 after therapy). Levels of sCD14 correlated with markers of hepatic inflammation (P=.02 for aspartate aminotransferase, P=.002 for ferritin) and fibrosis (P&lt;.0001 for γ-glutamyl transpeptidase, P=.01 for alkaline phosphatase, P&lt;.0001 for α-fetoprotein). Compared to subjects with minimal fibrosis, subjects with severe fibrosis at presentation had higher plasma levels of sCD14 (P=.01) and more hepatic CD14+ cells (P=.0002); each increased risk for disease progression (P=.0009 and P=.005, respectively).\nCONCLUSIONS: LPS-induced local and systemic inflammation is associated with cirrhosis and predicts progression to end-stage liver disease in patients with HBV or HCV infection.","DOI":"10.1053/j.gastro.2011.06.063","ISSN":"1528-0012","note":"PMID: 21726511 \nPMCID: PMC3186837","journalAbbreviation":"Gastroenterology","language":"eng","author":[{"family":"Sandler","given":"Netanya G"},{"family":"Koh","given":"Christopher"},{"family":"Roque","given":"Annelys"},{"family":"Eccleston","given":"Jason L"},{"family":"Siegel","given":"Rebecca B"},{"family":"Demino","given":"Mary"},{"family":"Kleiner","given":"David E"},{"family":"Deeks","given":"Steven G"},{"family":"Liang","given":"T Jake"},{"family":"Heller","given":"Theo"},{"family":"Douek","given":"Daniel C"}],"issued":{"date-parts":[["2011",10]]},"PMID":"21726511","PMCID":"PMC3186837"}}],"schema":"https://github.com/citation-style-language/schema/raw/master/csl-citation.json"} </w:instrText>
      </w:r>
      <w:r w:rsidR="00822BA1"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[28,29]</w:t>
      </w:r>
      <w:r w:rsidR="00822BA1" w:rsidRPr="006479DA">
        <w:rPr>
          <w:rFonts w:ascii="Book Antiqua" w:hAnsi="Book Antiqua"/>
          <w:sz w:val="24"/>
          <w:szCs w:val="24"/>
          <w:lang w:val="en-US" w:eastAsia="de-DE"/>
        </w:rPr>
        <w:fldChar w:fldCharType="end"/>
      </w:r>
      <w:r w:rsidR="00822BA1" w:rsidRPr="006479DA">
        <w:rPr>
          <w:rFonts w:ascii="Book Antiqua" w:hAnsi="Book Antiqua"/>
          <w:sz w:val="24"/>
          <w:szCs w:val="24"/>
          <w:lang w:val="en-US" w:eastAsia="de-DE"/>
        </w:rPr>
        <w:t>. Similar to the IP index, higher circulating I-FABP levels are associated with the degree of portal hypertension as asses</w:t>
      </w:r>
      <w:r w:rsidR="00265BAF">
        <w:rPr>
          <w:rFonts w:ascii="Book Antiqua" w:hAnsi="Book Antiqua"/>
          <w:sz w:val="24"/>
          <w:szCs w:val="24"/>
          <w:lang w:val="en-US" w:eastAsia="de-DE"/>
        </w:rPr>
        <w:t>sed by the portal vein diameter</w:t>
      </w:r>
      <w:r w:rsidR="00822BA1"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{"citationID":"2jcp7ih6sn","properties":{"formattedCitation":"{\\rtf \\super [30]\\nosupersub{}}","plainCitation":"[30]"},"citationItems":[{"id":204,"uris":["http://zotero.org/users/1744959/items/9E5U3G57"],"uri":["http://zotero.org/users/1744959/items/9E5U3G57"],"itemData":{"id":204,"type":"article-journal","title":"Enoxaparin Prevents Portal Vein Thrombosis and Liver Decompensation in Patients With Advanced Cirrhosis","container-title":"Gastroenterology","page":"1253-1260.e4","volume":"143","issue":"5","source":"www.gastrojournal.org","abstract":"Background &amp; Aims\nWe performed a randomized controlled trial to evaluate the safety and efficacy of enoxaparin, a low-molecular-weight heparin, in preventing portal vein thrombosis (PVT) in patients with advanced cirrhosis.\nMethods\nIn a nonblinded, single-center study, 70 outpatients with cirrhosis (Child–Pugh classes B7–C10) with demonstrated patent portal veins and without hepatocellular carcinoma were assigned randomly to groups that were given enoxaparin (4000 IU/day, subcutaneously for 48 weeks; n = 34) or no treatment (controls, n = 36). Ultrasonography (every 3 months) and computed tomography (every 6 months) were performed to check the portal vein axis. The primary outcome was prevention of PVT. Radiologists and hepatologists that assessed outcomes were blinded to group assignments. Analysis was by intention to treat.\nResults\nAt 48 weeks, none of the patients in the enoxaparin group had developed PVT, compared with 6 of 36 (16.6%) controls (P = .025). At 96 weeks, no patient developed PVT in the enoxaparin group, compared with 10 of 36 (27.7%) controls (P = .001). At the end of the follow-up period, 8.8% of patients in the enoxaparin group and 27.7% of controls developed PVT (P = .048). The actuarial probability of PVT was lower in the enoxaparin group (P = .006). Liver decompensation was less frequent among patients given enoxaparin (11.7%) than controls (59.4%) (P &lt; .0001); overall values were 38.2% vs 83.0%, respectively (P &lt; .0001). The actuarial probability of liver decompensation was lower in the enoxaparin group (P &lt; .0001). Eight patients in the enoxaparin group and 13 controls died. The actuarial probability of survival was higher in the enoxaparin group (P = .020). No relevant side effects or hemorrhagic events were reported.\nConclusions\nIn a small randomized controlled trial, a 12-month course of enoxaparin was safe and effective in preventing PVT in patients with cirrhosis and a Child–Pugh score of 7–10. Enoxaparin appeared to delay the occurrence of hepatic decompensation and to improve survival. www.isrctn.&gt;org: ISRCTN32383354; www.clinicaltrialsregister.eu: EudraCT2007-007890-22.\n\n\n\n\n\n\nPortal vein thrombosis (PVT) is a critical but frequent event in patients with cirrhosis. Its reported incidence in compensated disease ranges from 0.6% to 5%, which increases up to 40% in advanced disease.1, 2, 3 PVT may result in deterioration of the clinical course,4 increased complications caused by portal hypertension (PH),5 and post-transplant mortality.6, 7 Its development is associated inversely with platelet levels.1, 8 Other risk factors for PVT include recurrent liver decompensation3 and history of infection,9 bleeding, endoscopic treatment, and abdominal surgery (eg, splenectomy, and so forth).10\nThe local and systemic factors involved in PVT pathogenesis suggest a procoagulant, multifactorial status culminating in PVT in cirrhotic patients. Local alterations may include changes in the liver cytoarchitecture, including periportal lymphangitis and fibrosis,11, 12 leading to flow reduction and endothelial activation.13 Systemic factors include altered levels of natural inhibitors of coagulation,14 inherited coagulation abnormalities,15 and the presence of antiphospholipid antibodies.16\nBecause anticoagulants can reverse acute PVT in subjects without liver disease,17 the efficacy of anticoagulation in treating PVT has been tested in cirrhotic patients. Francoz et al8 showed that sequential anticoagulation with low-molecular-weight heparin and vitamin K antagonists resulted in a 42% complete recanalization (in the period between enrollment and transplant), without bleeding complications. However, no randomized prospective studies devoted to PVT prevention have been performed. We designed a pragmatic, nonprofit, randomized, controlled trial (RCT) comparing the safety and efficacy of enoxaparin with no treatment in patients with advanced cirrhosis, with the primary end point of preventing PVT. Secondary end points were prevention of liver decompensation, overall survival, and transplant-free survival. Because a compromised intestinal mucosal barrier (as found in advanced cirrhosis)18, 19 may lead to increased bacterial translocation and favor inappropriate activation of coagulation, we also evaluated intestinal fatty acid binding protein (I-FABP), a marker of enterocyte damage and 3 markers associated with microbial translocation and the immune response to it (16S ribosomal DNA [rDNA], soluble CD14 [sCD14], interleukin [IL]-6)20 to evaluate whether enoxaparin, by improving intestinal microcirculation, was able to decrease mucosal ischemia and reduce bacterial translocation.\nBack to Article Outline\nStudy Design and Participants \nBetween April 2008 and November 2010, all consecutive patients seen at a tertiary referral liver unit (Azienda Ospedaliero-Universitaria, Modena) and satisfying predefined inclusion criteria were recruited. Eligible patients were 18 years and older and had cirrhosis of any etiology, a Child–Pugh score between B7 and C10, absence of ascites, spontaneous bacterial peritonitis (SBP), portal hypertensive bleeding or portosystemic encephalopathy for at least 3 months before enrollment, and no evidence of PVT or splenomesenteric thrombosis by ultrasound evaluation and angio-computed tomography. Before enrollment, all patients underwent hepatic, renal, and coagulative evaluations.\nExclusion criteria were as follows: age older than 75 years; history of gastrointestinal bleeding, hepatocellular carcinoma, other intrahepatic/extrahepatic cancers, or thromboembolic disease; ongoing anticoagulation, antiaggregation, or antiphospholipid antibody treatment; pregnancy or breastfeeding; F2 varices with red whale marks or F3 varices unless ligated; platelet count less than 10,000/mm3; evidence of paroxysmal nocturnal hemoglobinuria (based on CD55–CD59 flow cytometry); or human immunodeficiency virus infection.\nAll patients provided written informed consent. The study protocol was approved by the Ethics Committee of Azienda Ospedaliero-Universitaria, Modena (ISRCTN32383354, EudraCT 2007-007890-22). The study was conducted according to the guidelines of the Declaration of Helsinki and the applicable provisions of Good Clinical Practice in clinical trials. All authors had access to the study data, reviewed, and approved the final manuscript.\nStudy Design \nThe experimental arm received enoxaparin (Clexane; Sanofi Aventis, Milan, Italy) subcutaneously at a prophylactic dose (4000 IU/day) for 48 weeks. The control arm received no treatment. After the first year, both groups continued follow-up evaluation.\nRandomization and Masking \nPatients were randomized to treatment groups by an independent statistician who prepared sequentially numbered, sealed, opaque envelopes derived from a computer-generated scheme, with a concealed block size of 10. Patients who met the inclusion criteria were assigned randomly, with equal probability, to 1 of 2 treatment arms. Caregivers and patients were not masked to treatment assignments. Radiologists and hepatologists (performing computed tomography and ultrasound, respectively) assessing primary outcome were instead blinded to group assignment.\nEfficacy Assessment \nThe primary end point of the study was the 2-year prevention of portal or mesenteric vein thrombosis. Ultrasound evaluation of the portal vein system was performed at baseline and every 3 months thereafter. Patency of the portal vein system was confirmed at enrollment and at weeks 48, 96, and 144 by angio–computed tomography (which was repeated whenever a thrombotic event was suspected). Secondary end points were as follows: (1) occurrence or recurrence of liver decompensation, defined as development of ascites, portosystemic encephalopathy, SBP, or portal hypertensive bleeding; and (2) overall and transplant-free survival.\nPatients were seen regularly in the outpatient clinic every 3 months, unless their clinical condition required more frequent monitoring. At each interval, complete biochemical tests were obtained. Patients who stopped the planned treatment or missed 2 consecutive drug doses at any time, because of subjective intolerance or side effects, would have been considered as withdrawn from treatment. All other patients were followed up until death, liver transplant, or completion of the study. Results were analyzed by intention to treat. Reporting of this RCT was performed according to criteria in the last CONSORT statement.21\nSafety Assessment \nSide effects were recorded according to the World Health Organization grading system of toxicity.22 Protocol guidelines allowed for dose interruption in patients who had relevant adverse events or important laboratory value abnormalities. If these issues resolved, then the drug was restarted; otherwise, therapy was stopped.\nBiomarkers of Microbial Translocation \nBacterial cells were pelleted from 500 μL of serum at 14,000 rpm, 4°C. Pellets were resuspended in 180 μL of enzyme solution (20 mmol/L Tris-HCl, pH 8.0; 2 mmol/L EDTA; 1.2% Triton; lysozyme 20 mg/mL). The mixture was incubated at 37°C for 30 minutes to break the bacterial cell walls. DNA extraction and purification were performed with the QIAamp DNA Mini Kit (Qiagen, Hilden, Germany). Cellular suspensions were resuspended in proteinase K/lysis buffer at 56°C. At 3 hours, DNA was purified by the spin column method and eluted with 30 μL of sterile water.\nA 24-μL aliquot of the DNA template was added to polymerase chain reaction (PCR) mixtures that contained 50 pmol of each appropriate primer (oligonucleotide primers, forward: 5′-GATCATGGCT CAGATTGAAC G-3′ and reverse: 5′-CGTATTACCG CGGCTGCT-3′) (Eurofins MWG Operon, Ebersberg, German), 200 μmol/L of each deoxynucleoside triphosphate, 1× Taq buffer advanced (5 PRIME, Gaithersburg, MD), 2.5 U of Taq DNA polymerase (5 PRIME), and 16 μL of deionized water. The total reaction volume was 50 μL.\nThe PCR primers were designed against a conserved region of the bacterial 16S ribosomal RNA gene with Primer3 software (available at: http://www.bioinformatics.nl/cgi-bin/primer3plus/primer3plus.cgi) and the Escherichia coli 16S ribosomal RNA sequence (gene accession number: J01695). The expected amplicon size was approximately 521 bp. In each PCR assay, positive controls (DNA from E coli DH5α) and negative controls (sterile water and PCR mixtures, without DNA) were used.\nPCR was performed on a GeneAmp PCR System 2700 thermal cycler (Applied Biosystems, Carlsbad, CA). The PCR running conditions were an initial denaturation of 94°C for 6 minutes, followed by 35 cycles of 94°C for 30 seconds, 55°C for 30 seconds, and 72°C for 30 seconds, with a final extension step at 72°C for 10 minutes. Purified products were separated on 1.8% agarose gel containing ethidium bromide by electrophoresis. The PCR products were visualized by exposure to UV light on a Trans illuminator and photographed with a Molecular Imager Gel Doc XR+ System (Bio-Rad, Hercules, CA). A band of approximately 521 bp was obtained, corresponding to the specific amplification of the prokaryotic 16S ribosomal RNA gene.\nBacterial DNA (16S rDNA) in sera was PCR-amplified at baseline and at 48 and 72 weeks from enrollment.\nI-FABP, IL-6, and sCD14 levels were measured in duplicate with a commercial enzyme-linked immunosorbent assay kit, according to the manufacturer's instructions. Serum I-FABP concentrations were tested with the human I-FABP enzyme-linked immunosorbent assay kit (Hycult Biotechnology, PB Uden, The Netherlands), according to the manufacturer's instructions. Serum IL-6 and sCD14 levels were determined with the quantikine/high-sensitivity enzyme-linked immunosorbent assay kit (R&amp;D Systems, Minneapolis, MN), according to the manufacturer's instructions. Each experiment was performed in duplicate. Absorbances were measured at 450 and 490 nm with an automatic microplate reader (Multiskan EX; Thermo Fisher Scientific, Inc, Waltham, MA), with background subtraction at 570 and 650 nm, respectively.\nStatistical Analysis \nPrevention of 2-year portal or splenomesenteric vein thrombosis was chosen as the primary outcome to calculate sample size. Assuming a 20% difference in the 2-year rate of portal or splenomesenteric vein thrombosis between the enoxaparin (5%) and control groups (25%), and 5% α error and 20% β error, 34 patients were needed in each group.\nDichotomous or continuous variables were compared with the Fisher exact test with mid-p correction or the nonparametric Mann–Whitney rank-sum test, respectively. The Kaplan–Meier method was used to estimate the cumulative probability of portal or splenomesenteric vein thrombosis development, occurrence or recurrence of liver decompensation, and overall or transplant-free survival. Differences in observed probability were assessed by log-rank test.\nThe following variables at baseline were considered for univariate analysis: age, sex, etiology of cirrhosis (viral vs nonviral), Child–Pugh score, Model for End-Stage Liver Disease (MELD) score, esophageal varices size, portal vein diameter, allocation to treatment, platelet level, bilirubin level, albumin level, international normalized ratio (INR), creatinine level, sodium level, and potassium level. To avoid the effect of colinearity, individual components of the MELD score (bilirubin level, INR, and creatinine level) were not included in multivariate models that included the MELD score. Variables with a P value of less than .10 in univariate analysis were included in the final multivariate model. The Cox proportional hazards model was used to identify risk factors for portal or splenomesenteric vein thrombosis development, occurrence or recurrence of liver decompensation, and overall or transplant-free survival. The PASW Statistics 18 program (SPSS, Inc, Chicago, IL) was used for analysis.\nBack to Article Outline\nSupplementary Figure 1 shows the trial profile. A total of 396 patients with cirrhosis were screened for study eligibility: 326 patients were excluded (Supplementary Figure 1), and 70 patients were assigned randomly to the enoxaparin (n = 34) or control group (n = 36). All patients but 1 (withdrawn for thrombocytopenia) completed the treatment. The trial was completed as planned in November 2011. There were no missing values for the primary outcome. There were no significant differences in baseline characteristics between the 2 groups at the time of entry into the study (Table 1). The mean (± standard deviation) follow-up period was 58 ± 37 weeks in the control and 89 ± 57 weeks in the enoxaparin group. Seven patients (4 controls, 3 enoxaparin patients) underwent liver transplantation during the follow-up period.\nHBV, hepatitis B virus; HCV, hepatitis C virus; HE, hepatic encephalopathy; NASH, nonalcoholic steato-hepatitis; SD, standard deviation.\nPVT Incidence \nDuring the year of active treatment, no patient in the enoxaparin group (0 of 34) developed PVT, compared with 6 of 36 (16.6%) controls (P = .025). At 2 years, none of the enoxaparin-treated patients (0 of 34) had yet developed PVT, compared with 10 of 36 (27.7%) controls (P = .001). Enoxaparin-treated patients developed PVT only at weeks 105, 111, and 121 after enrollment. Overall, 3 of 34 (8.8%) enoxaparin-treated patients and 10 of 36 (27.7%) controls developed PVT (P = .048). All patients developing PVT in the enoxaparin group and 9 of 10 patients developing PVT in the control group were symptomatic. The actuarial probability of developing PVT was lower in the enoxaparin-treated group (P = .006) (Figure 1A). Cox regression analysis showed that enoxaparin treatment (hazard ratio [HR], 0.098; 95% CI, 0.014–0.697; P = .020) and higher protein C levels (HR, 0.984; 95% CI, 0.858–0.981; P = .012) were associated independently with a decreased risk of developing PVT (Supplementary Table 1).\nOccurrence of Decompensation \nDuring the active treatment period, decompensation was more frequent in controls than in enoxaparin-treated patients (21 of 36 [59.4%] vs 4 of 34 [11.7%]; P &lt; .0001). During the follow-up period, new decompensation occurred in 9 of 31 (29.0%) controls and 9 of 32 (28.0%) enoxaparin-treated patients (P = .890). Overall, decompensation occurred in 30 of 36 (83.0%) controls and 13 of 34 (38.2%) enoxaparin-treated patients (P &lt; .0001). In the year of active treatment, occurrence of decompensation was significantly lower in enoxaparin-treated patients independently from previous decompensation (previous decompensation: controls: 11 of 17 [64.7%] vs enoxaparin: 3 of 14 [21.4%]; P = .029; no previous decompensation: controls: 10 of 19 [52.6%] vs enoxaparin: 1 of 20 [5%]; P = .001). Ascites was the most frequent event (control, 19 of 36 [52.5%] vs enoxaparin, 6 of 34 [17.6%]; P = .002), followed by sepsis (control, 6 of 36 [16.6%] vs enoxaparin, 4 of 34 [11.7%]; P = .558), variceal bleeding (control, 1 of 36 [2.7%] vs enoxaparin, 2 of 34 [5.8%]; P = .521), and encephalopathy (control, 1 of 36 [2.7%] vs enoxaparin, 1 of 34 [2.9%]; P = .967). In patients developing PVT, the disease course was mostly complicated by ascites occurrence (control, 7 of 10 [70.0%] vs enoxaparin, none). Bleeding and sepsis developed equally (1 and 2 for each group, respectively).\nPaired comparison within enoxaparin-treated patients and control groups of markers of disease severity (albumin level, INR, bilirubin level) and of renal function (creatinine) between baseline and 48 weeks (before stopping treatment) or 96 weeks showed a significant improvement of all liver tests but renal function in enoxaparin-treated patients at 48 weeks. In contrast, in controls, paired comparison showed worsening of renal function both at 48 (P = .021) and 96 weeks (P = .030) whereas liver function tests showed a trend toward deterioration, although the trend was nonsignificant (Table 2).\nNOTE. Data were analyzed by paired t test comparing baseline levels with data at 48 and 96 weeks.\nThe actuarial probability of developing decompensation was lower in enoxaparin-treated patients than in controls (P &lt; .0001) (Figure 1B). Cox regression analysis showed that enoxaparin treatment (HR, 0.331; 95% CI, 0.148–0.741; P = .007), baseline bilirubin level (HR, 1.478; 95% CI, 1.074–2.033; P = .017), portal vein diameter (HR, 1.216; 95% CI, 1.010–1.464; P = .026), and previous encephalopathy (HR, 3.196; 95% CI, 1.282–7.964; P = .013) were independent risk factors for decompensation (Supplementary Table 2). Actuarial probability during follow-up evaluation of not changing or worsening by 2 or more points in the Child–Pugh score was different between enoxaparin-treated and control patients (P &lt; .0001) (Figure 2). The improvement of clinical conditions was paralleled by a significant difference both in the number of patients requiring hospital admission (enoxaparin-treated patients vs controls: 11 of 34 [32.3%] vs 22 of 36 [55.5%], respectively; P = .016) and in the length of stay in hospital (enoxaparin-treated patients vs controls: 6.1 ± 14.6 vs 15.2 ± 17.6 days, respectively; P = .045).\nSurvival \nThirteen controls and 8 enoxaparin-treated patients died (P = .251). Causes of death were sepsis (4 enoxaparin, 6 controls), progressive liver failure (5 controls), hepatocellular carcinoma (2 enoxaparin, 1 control), esophageal variceal bleeding (1 in each group), and hemoperitoneum from intra-abdominal hepatocellular carcinoma rupture (1 enoxaparin). Kaplan–Meier curve analysis revealed a higher survival rate in the enoxaparin-treated group than in controls (Figure 1C) (P = .020). Independent factors related to survival were enoxaparin treatment (HR, 0.366; 95% CI, 0.082–0.795; P = .018) and portal vein diameter (HR, 1.349; 95% CI, 1.051–1.731; P = .019) (Supplementary Table 3).\nRate of Bacterial Infections and Biomarkers of Microbial Translocation \nA significantly different rate of bacterial infections (either as SBP or bacteremia) occurred during the year of active treatment between enoxaparin-treated patients and controls (3 of 34 [8.8%] and 12 of 36 [33.3%], respectively; P = .019). Therapy with intravenous antibiotics was strictly related to occurrence of bacterial infections and was therefore less used in enoxaparin-treated patients. Use of poorly absorbed antibiotics was not significantly different between cases and controls.\nTo explore a possible counteracting effect of enoxaparin on bacterial translocation as a factor determining the observed prevention of PVT and decompensation in our cohort of cirrhotic patients, we evaluated circulating biomarkers of intestinal integrity and immune activation to bacterial products.\nPaired levels of I-FABP showed no difference at weeks 0, 48, or 72 in controls. In enoxaparin-treated subjects, paired levels of I-FABP were decreased at week 48 (P = .003) (Figure 3A). Baseline I-FABP levels correlated with greater portal vein diameter (r = 0.638, P = .006). In controls, paired levels of IL-6 showed no difference at weeks 0 and 48, but levels at week 72 were higher than at baseline (P = .046). During enoxaparin treatment, levels at week 48 were decreased compared with baseline (P = .012) (Figure 3B). Higher baseline IL-6 level positively correlated with baseline CD14 levels (r = 0.525, P = .006) and survival (nonsurvivors, 8.7 ± 5.5 pg/mL vs survivors, 5.3 ± 4.1 pg/mL; P = .022).\nTo identify the presence of bacterial DNA, 16S rDNA was amplified from patient sera at baseline (0 weeks; n = 68 samples), 48 weeks (end of the active treatment period; n = 60), and 72 weeks (end of follow-up period; n = 55). At baseline, all but 4 serum samples (2 per group) were positive for bacterial DNA. All but 2 controls gave consistently positive results at 48 and 72 weeks. At 48 weeks, 64.5% of serum samples from surviving enoxaparin-treated patients (21 of 32) were negative for bacterial DNA (P &lt; .0001); they reverted to positive at week 72 (Figure 3C).\nTo evaluate host response to microbial products, we measured basal levels of serum CD14. Baseline and follow-up levels did not differ significantly in controls, whereas enoxaparin treatment was associated with a decrease in sCD14 levels at week 48 (P = .004) (Figure 3D). Baseline sCD14 was associated with occurrence of PVT (r = 0.417, P = .030).\nSafety \nEnoxaparin treatment was very well tolerated. Only 1 patient stopped treatment at week 36 for marked thrombocytopenia. On the whole, platelet count significantly decreased in enoxaparin-treated patients during treatment (baseline vs week 48: 100 ± 42 × 103/mm3 vs 56 ± 78 × 103/mm3 × 103/mm3, P = .002, paired t test) to return to baseline after stopping the drug (baseline vs week 96: 97 ± 38 × 103/mm3 vs 103 ± 63 × 103/mm3 × 103/mm3, P = .850, paired t test). No difference was observed in controls.\nThere were 3 bleeding episodes from ruptured esophageal varices, 2 in treated patients and 1 in the control group (P = .521). They were controlled by conservative endoscopic therapy. Three episodes of epistaxis (1 in the control group, 2 in the enoxaparin-treated group) were also encountered. No significant difference from baseline was observed in hemoglobin levels during the year of active treatment and during the follow-up period in each of the groups.\nBack to Article Outline\nThe results of this RCT in a cohort of patients with advanced cirrhosis showed that anticoagulant treatment with enoxaparin is safe and effective, significantly reducing risk of PVT development and liver decompensation, markedly improving liver function and Child–Pugh score, and increasing overall survival. Our findings are consistent with data showing that successful PVT recanalization is accompanied by improvement of the Child–Pugh score.23\nIt is plausible that PVT prevention has a protective role in liver disease progression. Nevertheless, taken alone, PVT prevention by enoxaparin cannot explain the observed improvement in terms of liver decompensation and survival. Enoxaparin treatment was associated with a definite improvement of liver function and a striking decrease of occurrence or recurrence of decompensation (mostly ascites), a favorable effect that was much greater than the mere prevention of PVT. Although PVT prevention may be attributed to the anticoagulant action of enoxaparin, its effect on decompensation is less obvious. Although this study was not designed to clarify the pathogenetic link between enoxaparin treatment and the prevention of PVT or improvement of the course of liver disease, some hypotheses can be made.\nPH has severe consequences for the upper and lower gastrointestinal tracts.24 In the colon, PH is associated with profound changes in the intestinal microcirculation, leading to microthrombosis.25 It can lead to ischemic damage of enterocytes, followed by a marked increase in permeability of the intestinal mucosa, a key factor for bacterial translocation,26 progression of liver damage,20 and decompensation.27 Our patients displayed extremely high I-FABP serum levels that correlated positively on ultrasound with the portal vein diameter (a well-known surrogate for PH). The protein I-FABP is made exclusively by enterocytes, and it is released into the circulation upon enterocyte necrosis. A high percentage of subjects were positive for circulating 16S rDNA. Patients also displayed extremely high baseline levels of CD14, a marker of immune activation against lipopolysaccharide,20 and showed markedly increased levels of IL-6, a biomarker of inflammation associated with endotoxemia and sepsis.28 Therefore, the protective effect of enoxaparin on the course of liver disease might be mediated by an improvement of intestinal microcirculation able to improve enterocytic damage and therefore reducing bacterial translocation. In this view, enoxaparin could act on microthrombosis, facilitating blood flow and improving endothelial function by interfering with the hypercoagulable state through tissue factor, a molecule that plays an extremely relevant role29 in initiating septic coagulopathy after activation by bacterial endotoxins, lipopolysaccharide, and Toll-like receptor 4.30 As might be expected, the positive effect was bound to drug administration and maintained only for some time after its discontinuation; this suggests the opportunity of performing larger double-blind RCTs encompassing longer treatment periods and evaluating, at the same time, modifications of portal hypertension through protocolized endoscopies and hepatic venous pressure gradient measurement.\nTaken together, our data suggest that cirrhotic patients are at increased risk for thrombotic events, particularly in the portal venous system. In our view, PVT and decompensation are similar expressions of a rapidly worsening PH. By damaging the intestinal mucosal barrier, severe PH leads to systemic dissemination of enteric-borne infection, inappropriate activation of the coagulation system (which is delicately balanced in the cirrhotic patient),31 and strong up-regulation of systemic inflammation.\nThe main limitation of this study was in the relatively low number of patients enrolled. A further methodologic question is the potentially limited external validity of the results for different populations and settings. Our study included a cohort of Italian patients enrolled at a tertiary care center, with advanced cirrhosis arising from different etiologies. Lastly, we did not test for anti-Xa activity: this is a relevant issue that should be addressed in future trials together with evaluation of novel tests that work independently of antithrombin III concentrations.32\nIn conclusion, we showed that enoxaparin treatment is safe in patients with advanced cirrhosis, as it has been shown in the treatment of established PVT.17 No potentially life-threatening side effects occurred, and the occurrence of bleeding episodes did not differ between the control (1 episode) and enoxaparin groups (2 episodes) (P = .521). Future therapeutic interventions should aim to reinforce prevention of the microvascular disturbances associated with PVT progression, acting well before establishment of end-stage liver disease.24\nBack to Article Outline\nE.V., M.L., R.C., B.L., V.B., R.V., A.K., M.D.B., E.T., and A.F. on behalf of the Research Network “Women_in_Hepatology.”\nThe corresponding author had full access to all of the data and takes full responsibility for the veracity of the data and statistical analysis.\n\n\n\nBack to Article Outline\n\nHE, hepatic encephalopathy.\nHE, hepatic encephalopathy.\nHE, hepatic encephalopathy.\n\n\nBack to Article Outline","DOI":"10.1053/j.gastro.2012.07.018","ISSN":"0016-5085","author":[{"family":"Villa","given":"Erica"},{"family":"Cammà","given":"Calogero"},{"family":"Marietta","given":"Marco"},{"family":"Luongo","given":"Monica"},{"family":"Critelli","given":"Rosina"},{"family":"Colopi","given":"Stefano"},{"family":"Tata","given":"Cristina"},{"family":"Zecchini","given":"Ramona"},{"family":"Gitto","given":"Stefano"},{"family":"Petta","given":"Salvatore"},{"family":"Lei","given":"Barbara"},{"family":"Bernabucci","given":"Veronica"},{"family":"Vukotic","given":"Ranka"},{"family":"De Maria","given":"Nicola"},{"family":"Schepis","given":"Filippo"},{"family":"Karampatou","given":"Aimilia"},{"family":"Caporali","given":"Cristian"},{"family":"Simoni","given":"Luisa"},{"family":"Del Buono","given":"Mariagrazia"},{"family":"Zambotto","given":"Beatrice"},{"family":"Turola","given":"Elena"},{"family":"Fornaciari","given":"Giovanni"},{"family":"Schianchi","given":"Susanna"},{"family":"Ferrari","given":"Anna"},{"family":"Valla","given":"Dominique"}],"issued":{"date-parts":[["2012",11]]},"accessed":{"date-parts":[["2014",2,19]]}}}],"schema":"https://github.com/citation-style-language/schema/raw/master/csl-citation.json"} </w:instrText>
      </w:r>
      <w:r w:rsidR="00822BA1"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[30]</w:t>
      </w:r>
      <w:r w:rsidR="00822BA1" w:rsidRPr="006479DA">
        <w:rPr>
          <w:rFonts w:ascii="Book Antiqua" w:hAnsi="Book Antiqua"/>
          <w:sz w:val="24"/>
          <w:szCs w:val="24"/>
          <w:lang w:val="en-US" w:eastAsia="de-DE"/>
        </w:rPr>
        <w:fldChar w:fldCharType="end"/>
      </w:r>
      <w:r w:rsidR="00822BA1" w:rsidRPr="006479DA">
        <w:rPr>
          <w:rFonts w:ascii="Book Antiqua" w:hAnsi="Book Antiqua"/>
          <w:sz w:val="24"/>
          <w:szCs w:val="24"/>
          <w:lang w:val="en-US" w:eastAsia="de-DE"/>
        </w:rPr>
        <w:t>. In addition, elevated I-FABP levels correlate with serum markers of liver injury and loss of func</w:t>
      </w:r>
      <w:r w:rsidR="00265BAF">
        <w:rPr>
          <w:rFonts w:ascii="Book Antiqua" w:hAnsi="Book Antiqua"/>
          <w:sz w:val="24"/>
          <w:szCs w:val="24"/>
          <w:lang w:val="en-US" w:eastAsia="de-DE"/>
        </w:rPr>
        <w:t>tion (ALAT, ASAT, INR, albumin)</w:t>
      </w:r>
      <w:r w:rsidR="00822BA1"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{"citationID":"2csqt1bfen","properties":{"formattedCitation":"{\\rtf \\super [29]\\nosupersub{}}","plainCitation":"[29]"},"citationItems":[{"id":207,"uris":["http://zotero.org/users/1744959/items/38BRKXJG"],"uri":["http://zotero.org/users/1744959/items/38BRKXJG"],"itemData":{"id":207,"type":"article-journal","title":"Host response to translocated microbial products predicts outcomes of patients with HBV or HCV infection","container-title":"Gastroenterology","page":"1220-1230, 1230.e1-3","volume":"141","issue":"4","source":"NCBI PubMed","abstract":"BACKGROUND &amp; AIMS: Chronic infection with hepatitis B or C virus (HBV or HCV) is a leading cause of cirrhosis by unknown mechanisms of pathogenesis. Translocation of gut microbial products into the systemic circulation might increase because of increased intestinal permeability, bacterial overgrowth, or impaired clearance of microbial products by Kupffer cells. We investigated whether the extent and progression of liver disease in patients with chronic HBV or HCV infection are associated with microbial translocation and subsequent activation of monocytes.\nMETHODS: In a retrospective study, we analyzed data from 16 patients with minimal fibrosis, 68 with cirrhosis, and 67 uninfected volunteers. We analyzed plasma levels of soluble CD14 (sCD14), intestinal fatty acid binding protein, and interleukin-6 by enzyme-linked immunosorbent assay, and lipopolysaccharide (LPS) by the limulus amebocyte lysate assay, at presentation and after antiviral treatment.\nRESULTS: Compared with uninfected individuals, HCV- and HBV-infected individuals had higher plasma levels of LPS, intestinal fatty acid binding protein (indicating enterocyte death), sCD14 (produced upon LPS activation of monocytes), and interleukin-6. Portal hypertension, indicated by low platelet counts, was associated with enterocyte death (P=.045 at presentation, P&lt;.0001 after therapy). Levels of sCD14 correlated with markers of hepatic inflammation (P=.02 for aspartate aminotransferase, P=.002 for ferritin) and fibrosis (P&lt;.0001 for γ-glutamyl transpeptidase, P=.01 for alkaline phosphatase, P&lt;.0001 for α-fetoprotein). Compared to subjects with minimal fibrosis, subjects with severe fibrosis at presentation had higher plasma levels of sCD14 (P=.01) and more hepatic CD14+ cells (P=.0002); each increased risk for disease progression (P=.0009 and P=.005, respectively).\nCONCLUSIONS: LPS-induced local and systemic inflammation is associated with cirrhosis and predicts progression to end-stage liver disease in patients with HBV or HCV infection.","DOI":"10.1053/j.gastro.2011.06.063","ISSN":"1528-0012","note":"PMID: 21726511 \nPMCID: PMC3186837","journalAbbreviation":"Gastroenterology","language":"eng","author":[{"family":"Sandler","given":"Netanya G"},{"family":"Koh","given":"Christopher"},{"family":"Roque","given":"Annelys"},{"family":"Eccleston","given":"Jason L"},{"family":"Siegel","given":"Rebecca B"},{"family":"Demino","given":"Mary"},{"family":"Kleiner","given":"David E"},{"family":"Deeks","given":"Steven G"},{"family":"Liang","given":"T Jake"},{"family":"Heller","given":"Theo"},{"family":"Douek","given":"Daniel C"}],"issued":{"date-parts":[["2011",10]]},"PMID":"21726511","PMCID":"PMC3186837"}}],"schema":"https://github.com/citation-style-language/schema/raw/master/csl-citation.json"} </w:instrText>
      </w:r>
      <w:r w:rsidR="00822BA1"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[29]</w:t>
      </w:r>
      <w:r w:rsidR="00822BA1" w:rsidRPr="006479DA">
        <w:rPr>
          <w:rFonts w:ascii="Book Antiqua" w:hAnsi="Book Antiqua"/>
          <w:sz w:val="24"/>
          <w:szCs w:val="24"/>
          <w:lang w:val="en-US" w:eastAsia="de-DE"/>
        </w:rPr>
        <w:fldChar w:fldCharType="end"/>
      </w:r>
      <w:r w:rsidR="00822BA1" w:rsidRPr="006479DA">
        <w:rPr>
          <w:rFonts w:ascii="Book Antiqua" w:hAnsi="Book Antiqua"/>
          <w:sz w:val="24"/>
          <w:szCs w:val="24"/>
          <w:lang w:val="en-US" w:eastAsia="de-DE"/>
        </w:rPr>
        <w:t xml:space="preserve"> and have therefore been suggested as </w:t>
      </w:r>
      <w:r w:rsidR="00BE0B10" w:rsidRPr="006479DA">
        <w:rPr>
          <w:rFonts w:ascii="Book Antiqua" w:hAnsi="Book Antiqua"/>
          <w:sz w:val="24"/>
          <w:szCs w:val="24"/>
          <w:lang w:val="en-US" w:eastAsia="de-DE"/>
        </w:rPr>
        <w:t xml:space="preserve">a </w:t>
      </w:r>
      <w:r w:rsidR="00822BA1" w:rsidRPr="006479DA">
        <w:rPr>
          <w:rFonts w:ascii="Book Antiqua" w:hAnsi="Book Antiqua"/>
          <w:sz w:val="24"/>
          <w:szCs w:val="24"/>
          <w:lang w:val="en-US" w:eastAsia="de-DE"/>
        </w:rPr>
        <w:t xml:space="preserve">valuable surrogate for the severity of liver injury and dysfunction. </w:t>
      </w:r>
      <w:r w:rsidR="003644F6" w:rsidRPr="006479DA">
        <w:rPr>
          <w:rFonts w:ascii="Book Antiqua" w:hAnsi="Book Antiqua"/>
          <w:sz w:val="24"/>
          <w:szCs w:val="24"/>
          <w:lang w:val="en-US" w:eastAsia="de-DE"/>
        </w:rPr>
        <w:t xml:space="preserve">Since </w:t>
      </w:r>
      <w:r w:rsidR="00822BA1" w:rsidRPr="006479DA">
        <w:rPr>
          <w:rFonts w:ascii="Book Antiqua" w:hAnsi="Book Antiqua"/>
          <w:sz w:val="24"/>
          <w:szCs w:val="24"/>
          <w:lang w:val="en-US" w:eastAsia="de-DE"/>
        </w:rPr>
        <w:t xml:space="preserve">I-FABP is discussed as a marker for intestinal ischemia </w:t>
      </w:r>
      <w:r w:rsidR="00265BAF">
        <w:rPr>
          <w:rFonts w:ascii="Book Antiqua" w:hAnsi="Book Antiqua"/>
          <w:sz w:val="24"/>
          <w:szCs w:val="24"/>
          <w:lang w:val="en-US" w:eastAsia="de-DE"/>
        </w:rPr>
        <w:t>in the critically ill</w:t>
      </w:r>
      <w:r w:rsidR="00822BA1"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{"citationID":"1u46j59sr8","properties":{"formattedCitation":"{\\rtf \\super [31,32]\\nosupersub{}}","plainCitation":"[31,32]"},"citationItems":[{"id":326,"uris":["http://zotero.org/users/1744959/items/VHB8HJFK"],"uri":["http://zotero.org/users/1744959/items/VHB8HJFK"],"itemData":{"id":326,"type":"article-journal","title":"The value of the serum I-FABP level for diagnosing acute mesenteric ischemia","container-title":"Surgery today","source":"NCBI PubMed","abstract":"PURPOSE: This study examined the feasibility of using the serum intestinal fatty acid binding protein (I-FABP) level for the early diagnosis of acute mesenteric ischemia, and investigated whether it contributes to the clinical decision-making process.\nMETHOD: Thirty patients diagnosed with acute mesenteric ischemia, 27 patients with other types of acute abdomen who presented with acute abdomen symptoms but were not diagnosed with acute mesenteric ischemia, and 20 healthy people were included in the study. Mesenteric ischemia was confirmed by a pathological evaluation in patients who underwent intestinal resection due to detection of mesenteric ischemia during surgery.\nRESULTS: There was no significant difference in the leukocyte counts and D-dimer levels between subjects with mesenteric ischemia and acute abdomen due to other causes (p &gt; 0.05). There was a significant difference in the serum I-FABP level between these groups (p &lt; 0.001).\nCONCLUSION: The I-FABP level is a more reliable parameter for diagnosing acute mesenteric ischemia compared to leukocytosis and D-dimer elevation.","DOI":"10.1007/s00595-013-0810-3","ISSN":"1436-2813","note":"PMID: 24337529","journalAbbreviation":"Surg. Today","language":"ENG","author":[{"family":"Güzel","given":"Murat"},{"family":"Sözüer","given":"Erdoğan Mütevelli"},{"family":"Salt","given":"Omer"},{"family":"Ikizceli","given":"Ibrahim"},{"family":"Akdur","given":"Okhan"},{"family":"Yazıcı","given":"Cevat"}],"issued":{"date-parts":[["2013",12,17]]},"PMID":"24337529"}},{"id":324,"uris":["http://zotero.org/users/1744959/items/SPGTF4DP"],"uri":["http://zotero.org/users/1744959/items/SPGTF4DP"],"itemData":{"id":324,"type":"article-journal","title":"Diagnostic performance of plasma biomarkers in patients with acute intestinal ischaemia","container-title":"The British journal of surgery","page":"232-238","volume":"101","issue":"3","source":"NCBI PubMed","abstract":"BACKGROUND: The aim of this study was to evaluate the use of intestinal fatty acid binding protein (I-FABP) and traditional biomarkers in the early diagnosis of acute intestinal ischaemia of different causes.\nMETHODS: I-FABP, white blood cell (WBC) count, C-reactive protein, base deficit, lactate, lactate dehydrogenase, aspartate aminotransferase, creatine kinase and D-dimer were measured prospectively in consecutive patients suspected of having acute intestinal ischaemia. Biomarker levels were compared in patients with vascular and non-vascular ischaemia.\nRESULTS: Two hundred and eight patients with a clinical suspicion of acute intestinal ischaemia were enrolled. Vascular intestinal ischaemia was diagnosed in 24 patients (11·5 per cent), non-vascular ischaemia in 62 (29·8 per cent) and non-ischaemic disease in 122 (58·7 per cent). The levels of most biomarkers (except WBC count and creatine kinase) were significantly higher in the vascular ischaemia group than in the other groups (P</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&lt;</w:instrText>
      </w:r>
      <w:r w:rsidR="009807D1" w:rsidRPr="006479DA">
        <w:rPr>
          <w:rFonts w:ascii="Cambria Math" w:hAnsi="Cambria Math" w:cs="Cambria Math"/>
          <w:sz w:val="24"/>
          <w:szCs w:val="24"/>
          <w:lang w:val="en-US" w:eastAsia="de-DE"/>
        </w:rPr>
        <w:instrText> </w:instrText>
      </w:r>
      <w:r w:rsidR="009807D1" w:rsidRPr="006479DA">
        <w:rPr>
          <w:rFonts w:ascii="Book Antiqua" w:hAnsi="Book Antiqua"/>
          <w:sz w:val="24"/>
          <w:szCs w:val="24"/>
          <w:lang w:val="en-US" w:eastAsia="de-DE"/>
        </w:rPr>
        <w:instrText>0</w:instrText>
      </w:r>
      <w:r w:rsidR="009807D1" w:rsidRPr="006479DA">
        <w:rPr>
          <w:rFonts w:ascii="Book Antiqua" w:hAnsi="Book Antiqua" w:cs="Book Antiqua"/>
          <w:sz w:val="24"/>
          <w:szCs w:val="24"/>
          <w:lang w:val="en-US" w:eastAsia="de-DE"/>
        </w:rPr>
        <w:instrText>·</w:instrText>
      </w:r>
      <w:r w:rsidR="009807D1" w:rsidRPr="006479DA">
        <w:rPr>
          <w:rFonts w:ascii="Book Antiqua" w:hAnsi="Book Antiqua"/>
          <w:sz w:val="24"/>
          <w:szCs w:val="24"/>
          <w:lang w:val="en-US" w:eastAsia="de-DE"/>
        </w:rPr>
        <w:instrText xml:space="preserve">010). However, none of the biomarker levels differed between patients with non-vascular intestinal ischaemia and those with non-ischaemic disease. Receiver operating characteristic (ROC) curve analysis suggested that I-FABP was best at diagnosing vascular intestinal ischaemia (area under the curve 0·88).\nCONCLUSION: Serum biomarkers may be useful in the diagnosis of vascular, but not non-vascular, intestinal ischaemia. Among them, I-FABP shows promise for detecting vascular ischaemia.","DOI":"10.1002/bjs.9331","ISSN":"1365-2168","note":"PMID: 24402763","journalAbbreviation":"Br J Surg","language":"eng","author":[{"family":"Matsumoto","given":"S"},{"family":"Sekine","given":"K"},{"family":"Funaoka","given":"H"},{"family":"Yamazaki","given":"M"},{"family":"Shimizu","given":"M"},{"family":"Hayashida","given":"K"},{"family":"Kitano","given":"M"}],"issued":{"date-parts":[["2014",2]]},"PMID":"24402763"}}],"schema":"https://github.com/citation-style-language/schema/raw/master/csl-citation.json"} </w:instrText>
      </w:r>
      <w:r w:rsidR="00822BA1"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[31,32]</w:t>
      </w:r>
      <w:r w:rsidR="00822BA1" w:rsidRPr="006479DA">
        <w:rPr>
          <w:rFonts w:ascii="Book Antiqua" w:hAnsi="Book Antiqua"/>
          <w:sz w:val="24"/>
          <w:szCs w:val="24"/>
          <w:lang w:val="en-US" w:eastAsia="de-DE"/>
        </w:rPr>
        <w:fldChar w:fldCharType="end"/>
      </w:r>
      <w:r w:rsidR="00822BA1" w:rsidRPr="006479DA">
        <w:rPr>
          <w:rFonts w:ascii="Book Antiqua" w:hAnsi="Book Antiqua"/>
          <w:sz w:val="24"/>
          <w:szCs w:val="24"/>
          <w:lang w:val="en-US" w:eastAsia="de-DE"/>
        </w:rPr>
        <w:t xml:space="preserve">, its </w:t>
      </w:r>
      <w:r w:rsidR="003644F6" w:rsidRPr="006479DA">
        <w:rPr>
          <w:rFonts w:ascii="Book Antiqua" w:hAnsi="Book Antiqua"/>
          <w:sz w:val="24"/>
          <w:szCs w:val="24"/>
          <w:lang w:val="en-US" w:eastAsia="de-DE"/>
        </w:rPr>
        <w:t xml:space="preserve">interpretation </w:t>
      </w:r>
      <w:r w:rsidR="00822BA1" w:rsidRPr="006479DA">
        <w:rPr>
          <w:rFonts w:ascii="Book Antiqua" w:hAnsi="Book Antiqua"/>
          <w:sz w:val="24"/>
          <w:szCs w:val="24"/>
          <w:lang w:val="en-US" w:eastAsia="de-DE"/>
        </w:rPr>
        <w:t>in patients with cirrhosis and circulatory dysfunction</w:t>
      </w:r>
      <w:r w:rsidR="00265BAF">
        <w:rPr>
          <w:rFonts w:ascii="Book Antiqua" w:hAnsi="Book Antiqua"/>
          <w:sz w:val="24"/>
          <w:szCs w:val="24"/>
          <w:lang w:val="en-US" w:eastAsia="de-DE"/>
        </w:rPr>
        <w:t xml:space="preserve"> has to be examined critically.</w:t>
      </w:r>
    </w:p>
    <w:p w14:paraId="51526F8B" w14:textId="03FEB27F" w:rsidR="00072F0F" w:rsidRPr="006479DA" w:rsidRDefault="00F62D82" w:rsidP="00265BAF">
      <w:pPr>
        <w:spacing w:after="0" w:line="360" w:lineRule="auto"/>
        <w:ind w:firstLineChars="100" w:firstLine="240"/>
        <w:jc w:val="both"/>
        <w:rPr>
          <w:rFonts w:ascii="Book Antiqua" w:hAnsi="Book Antiqua"/>
          <w:sz w:val="24"/>
          <w:szCs w:val="24"/>
          <w:lang w:val="en-US" w:eastAsia="de-DE"/>
        </w:rPr>
      </w:pPr>
      <w:r w:rsidRPr="006479DA">
        <w:rPr>
          <w:rFonts w:ascii="Book Antiqua" w:hAnsi="Book Antiqua"/>
          <w:sz w:val="24"/>
          <w:szCs w:val="24"/>
          <w:lang w:val="en-US" w:eastAsia="de-DE"/>
        </w:rPr>
        <w:t xml:space="preserve">Our study has several limitations. </w:t>
      </w:r>
      <w:r w:rsidR="00DD5EB7" w:rsidRPr="006479DA">
        <w:rPr>
          <w:rFonts w:ascii="Book Antiqua" w:hAnsi="Book Antiqua"/>
          <w:sz w:val="24"/>
          <w:szCs w:val="24"/>
          <w:lang w:val="en-US" w:eastAsia="de-DE"/>
        </w:rPr>
        <w:t>First, t</w:t>
      </w:r>
      <w:r w:rsidRPr="006479DA">
        <w:rPr>
          <w:rFonts w:ascii="Book Antiqua" w:hAnsi="Book Antiqua"/>
          <w:sz w:val="24"/>
          <w:szCs w:val="24"/>
          <w:lang w:val="en-US" w:eastAsia="de-DE"/>
        </w:rPr>
        <w:t xml:space="preserve">o address the aforementioned limited power of the study, we did not distinguish spontaneous gram-negative infections </w:t>
      </w:r>
      <w:r w:rsidR="00381D0A" w:rsidRPr="006479DA">
        <w:rPr>
          <w:rFonts w:ascii="Book Antiqua" w:hAnsi="Book Antiqua"/>
          <w:sz w:val="24"/>
          <w:szCs w:val="24"/>
          <w:lang w:val="en-US" w:eastAsia="de-DE"/>
        </w:rPr>
        <w:t>other than SBP</w:t>
      </w:r>
      <w:r w:rsidRPr="006479DA">
        <w:rPr>
          <w:rFonts w:ascii="Book Antiqua" w:hAnsi="Book Antiqua"/>
          <w:sz w:val="24"/>
          <w:szCs w:val="24"/>
          <w:lang w:val="en-US" w:eastAsia="de-DE"/>
        </w:rPr>
        <w:t xml:space="preserve"> from bacterial infections, which are unlike</w:t>
      </w:r>
      <w:r w:rsidR="00DD5EB7" w:rsidRPr="006479DA">
        <w:rPr>
          <w:rFonts w:ascii="Book Antiqua" w:hAnsi="Book Antiqua"/>
          <w:sz w:val="24"/>
          <w:szCs w:val="24"/>
          <w:lang w:val="en-US" w:eastAsia="de-DE"/>
        </w:rPr>
        <w:t xml:space="preserve">ly a result of pathological BT. However, </w:t>
      </w:r>
      <w:r w:rsidR="00381D0A" w:rsidRPr="006479DA">
        <w:rPr>
          <w:rFonts w:ascii="Book Antiqua" w:hAnsi="Book Antiqua"/>
          <w:sz w:val="24"/>
          <w:szCs w:val="24"/>
          <w:lang w:val="en-US" w:eastAsia="de-DE"/>
        </w:rPr>
        <w:t xml:space="preserve">SBP is the most common </w:t>
      </w:r>
      <w:r w:rsidR="00DD5EB7" w:rsidRPr="006479DA">
        <w:rPr>
          <w:rFonts w:ascii="Book Antiqua" w:hAnsi="Book Antiqua"/>
          <w:sz w:val="24"/>
          <w:szCs w:val="24"/>
          <w:lang w:val="en-US" w:eastAsia="de-DE"/>
        </w:rPr>
        <w:t xml:space="preserve">spontaneous infection in cirrhosis, </w:t>
      </w:r>
      <w:r w:rsidR="00381D0A" w:rsidRPr="006479DA">
        <w:rPr>
          <w:rFonts w:ascii="Book Antiqua" w:hAnsi="Book Antiqua"/>
          <w:sz w:val="24"/>
          <w:szCs w:val="24"/>
          <w:lang w:val="en-US" w:eastAsia="de-DE"/>
        </w:rPr>
        <w:t xml:space="preserve">and other </w:t>
      </w:r>
      <w:r w:rsidR="00DD5EB7" w:rsidRPr="006479DA">
        <w:rPr>
          <w:rFonts w:ascii="Book Antiqua" w:hAnsi="Book Antiqua"/>
          <w:sz w:val="24"/>
          <w:szCs w:val="24"/>
          <w:lang w:val="en-US" w:eastAsia="de-DE"/>
        </w:rPr>
        <w:t>spontaneous</w:t>
      </w:r>
      <w:r w:rsidR="00381D0A" w:rsidRPr="006479DA">
        <w:rPr>
          <w:rFonts w:ascii="Book Antiqua" w:hAnsi="Book Antiqua"/>
          <w:sz w:val="24"/>
          <w:szCs w:val="24"/>
          <w:lang w:val="en-US" w:eastAsia="de-DE"/>
        </w:rPr>
        <w:t xml:space="preserve"> infections, such as spontaneous bacterial empyema and spontaneous bacteremia</w:t>
      </w:r>
      <w:r w:rsidR="00DD5EB7" w:rsidRPr="006479DA">
        <w:rPr>
          <w:rFonts w:ascii="Book Antiqua" w:hAnsi="Book Antiqua"/>
          <w:sz w:val="24"/>
          <w:szCs w:val="24"/>
          <w:lang w:val="en-US" w:eastAsia="de-DE"/>
        </w:rPr>
        <w:t xml:space="preserve"> are </w:t>
      </w:r>
      <w:r w:rsidR="00381D0A" w:rsidRPr="006479DA">
        <w:rPr>
          <w:rFonts w:ascii="Book Antiqua" w:hAnsi="Book Antiqua"/>
          <w:sz w:val="24"/>
          <w:szCs w:val="24"/>
          <w:lang w:val="en-US" w:eastAsia="de-DE"/>
        </w:rPr>
        <w:t xml:space="preserve">also </w:t>
      </w:r>
      <w:r w:rsidR="00265BAF">
        <w:rPr>
          <w:rFonts w:ascii="Book Antiqua" w:hAnsi="Book Antiqua"/>
          <w:sz w:val="24"/>
          <w:szCs w:val="24"/>
          <w:lang w:val="en-US" w:eastAsia="de-DE"/>
        </w:rPr>
        <w:t>associated with high mortality</w:t>
      </w:r>
      <w:r w:rsidR="00DD5EB7"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{"citationID":"2plds2vajt","properties":{"formattedCitation":"{\\rtf \\super [6]\\nosupersub{}}","plainCitation":"[6]"},"citationItems":[{"id":"2Ofdff5c/Xuw9eFTk","uris":["http://zotero.org/users/1744959/items/23IAWZV4"],"uri":["http://zotero.org/users/1744959/items/23IAWZV4"],"itemData":{"id":"2Ofdff5c/Xuw9eFTk","type":"article-journal","title":"Infections in Patients With Cirrhosis Increase Mortality Four-Fold and Should Be Used in Determining Prognosis","container-title":"Gastroenterology","page":"1246-1256.e5","volume":"139","issue":"4","source":"ScienceDirect","abstract":"Background &amp;amp; Aims\nA staged prognostic model of cirrhosis based on varices, ascites, and bleeding has been proposed. We analyzed data on infections in patients with cirrhosis to determine whether it is also a prognostic factor.\nMethods\nStudies were identified by MEDLINE, EMBASE, COCHRANE, and ISI Web of Science searches (1978–2009); search terms included sepsis, infection, mortality, and cirrhosis. Studies (n = 178) reporting more than 10 patients and mortality data were evaluated (225 cohorts, 11,987 patients). Mortality after 1, 3, and 12 months was compared with severity, site, microbial cause of infection, etiology of cirrhosis, and publication year. Pooled odds ratio of death was compared for infected versus noninfected groups (18 cohorts, 2317 patients).\nResults\nOverall median mortality of infected patients was 38%: 30.3% at 1 month and 63% at 12 months. Pooled odds ratio for death of infected versus noninfected patients was 3.75 (95% confidence interval, 2.12–4.23). In 101 studies that reported spontaneous bacterial peritonitis (7062 patients), the median mortality was 43.7%: 31.5% at 1 month and 66.2% at 12 months. In 30 studies that reported bacteremia (1437 patients), the median mortality rate was 42.2%. Mortality before 2000 was 47.7% and after 2000 was 32.3% (P = .023); mortality was reduced only at 30 days after spontaneous bacterial peritonitis (49% vs 31.5%; P = .005).\nConclusions\nIn patients with cirrhosis, infections increase mortality 4-fold; 30% of patients die within 1 month after infection and another 30% die by 1 year. Prospective studies with prolonged follow-up evaluation and to evaluate preventative strategies are needed.","DOI":"10.1053/j.gastro.2010.06.019","ISSN":"0016-5085","journalAbbreviation":"Gastroenterology","author":[{"family":"Arvaniti","given":"Vasiliki"},{"family":"D'Amico","given":"Gennaro"},{"family":"Fede","given":"Giuseppe"},{"family":"Manousou","given":"Pinelopi"},{"family":"Tsochatzis","given":"Emmanuel"},{"family":"Pleguezuelo","given":"Maria"},{"family":"Burroughs","given":"Andrew Kenneth"}],"issued":{"year":2010,"month":10},"accessed":{"year":2014,"month":1,"day":10,"season":"10:27:18"},"page-first":"1246","container-title-short":"Gastroenterology"}}],"schema":"https://github.com/citation-style-language/schema/raw/master/csl-citation.json"} </w:instrText>
      </w:r>
      <w:r w:rsidR="00DD5EB7"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[6]</w:t>
      </w:r>
      <w:r w:rsidR="00DD5EB7" w:rsidRPr="006479DA">
        <w:rPr>
          <w:rFonts w:ascii="Book Antiqua" w:hAnsi="Book Antiqua"/>
          <w:sz w:val="24"/>
          <w:szCs w:val="24"/>
          <w:lang w:val="en-US" w:eastAsia="de-DE"/>
        </w:rPr>
        <w:fldChar w:fldCharType="end"/>
      </w:r>
      <w:r w:rsidR="00381D0A" w:rsidRPr="006479DA">
        <w:rPr>
          <w:rFonts w:ascii="Book Antiqua" w:hAnsi="Book Antiqua"/>
          <w:sz w:val="24"/>
          <w:szCs w:val="24"/>
          <w:lang w:val="en-US" w:eastAsia="de-DE"/>
        </w:rPr>
        <w:t>. T</w:t>
      </w:r>
      <w:r w:rsidR="00DD5EB7" w:rsidRPr="006479DA">
        <w:rPr>
          <w:rFonts w:ascii="Book Antiqua" w:hAnsi="Book Antiqua"/>
          <w:sz w:val="24"/>
          <w:szCs w:val="24"/>
          <w:lang w:val="en-US" w:eastAsia="de-DE"/>
        </w:rPr>
        <w:t>herefore</w:t>
      </w:r>
      <w:r w:rsidR="00381D0A" w:rsidRPr="006479DA">
        <w:rPr>
          <w:rFonts w:ascii="Book Antiqua" w:hAnsi="Book Antiqua"/>
          <w:sz w:val="24"/>
          <w:szCs w:val="24"/>
          <w:lang w:val="en-US" w:eastAsia="de-DE"/>
        </w:rPr>
        <w:t>, a significant</w:t>
      </w:r>
      <w:r w:rsidR="00DD5EB7" w:rsidRPr="006479DA">
        <w:rPr>
          <w:rFonts w:ascii="Book Antiqua" w:hAnsi="Book Antiqua"/>
          <w:sz w:val="24"/>
          <w:szCs w:val="24"/>
          <w:lang w:val="en-US" w:eastAsia="de-DE"/>
        </w:rPr>
        <w:t xml:space="preserve"> increase in spontaneous infections </w:t>
      </w:r>
      <w:r w:rsidR="00381D0A" w:rsidRPr="006479DA">
        <w:rPr>
          <w:rFonts w:ascii="Book Antiqua" w:hAnsi="Book Antiqua"/>
          <w:sz w:val="24"/>
          <w:szCs w:val="24"/>
          <w:lang w:val="en-US" w:eastAsia="de-DE"/>
        </w:rPr>
        <w:t xml:space="preserve">other than SBP </w:t>
      </w:r>
      <w:r w:rsidR="00DD5EB7" w:rsidRPr="006479DA">
        <w:rPr>
          <w:rFonts w:ascii="Book Antiqua" w:hAnsi="Book Antiqua"/>
          <w:sz w:val="24"/>
          <w:szCs w:val="24"/>
          <w:lang w:val="en-US" w:eastAsia="de-DE"/>
        </w:rPr>
        <w:t xml:space="preserve">should </w:t>
      </w:r>
      <w:r w:rsidR="00381D0A" w:rsidRPr="006479DA">
        <w:rPr>
          <w:rFonts w:ascii="Book Antiqua" w:hAnsi="Book Antiqua"/>
          <w:sz w:val="24"/>
          <w:szCs w:val="24"/>
          <w:lang w:val="en-US" w:eastAsia="de-DE"/>
        </w:rPr>
        <w:t>translate into</w:t>
      </w:r>
      <w:r w:rsidR="00DD5EB7" w:rsidRPr="006479DA">
        <w:rPr>
          <w:rFonts w:ascii="Book Antiqua" w:hAnsi="Book Antiqua"/>
          <w:sz w:val="24"/>
          <w:szCs w:val="24"/>
          <w:lang w:val="en-US" w:eastAsia="de-DE"/>
        </w:rPr>
        <w:t xml:space="preserve"> increased mortality</w:t>
      </w:r>
      <w:r w:rsidR="00381D0A" w:rsidRPr="006479DA">
        <w:rPr>
          <w:rFonts w:ascii="Book Antiqua" w:hAnsi="Book Antiqua"/>
          <w:sz w:val="24"/>
          <w:szCs w:val="24"/>
          <w:lang w:val="en-US" w:eastAsia="de-DE"/>
        </w:rPr>
        <w:t xml:space="preserve"> if clinically relevant</w:t>
      </w:r>
      <w:r w:rsidR="00DD5EB7" w:rsidRPr="006479DA">
        <w:rPr>
          <w:rFonts w:ascii="Book Antiqua" w:hAnsi="Book Antiqua"/>
          <w:sz w:val="24"/>
          <w:szCs w:val="24"/>
          <w:lang w:val="en-US" w:eastAsia="de-DE"/>
        </w:rPr>
        <w:t>.</w:t>
      </w:r>
      <w:r w:rsidR="008D624C" w:rsidRPr="006479DA">
        <w:rPr>
          <w:rFonts w:ascii="Book Antiqua" w:hAnsi="Book Antiqua"/>
          <w:sz w:val="24"/>
          <w:szCs w:val="24"/>
          <w:lang w:val="en-US" w:eastAsia="de-DE"/>
        </w:rPr>
        <w:t xml:space="preserve"> Second, there is some evidence that in addition to the proximal small bowel, the cecum and colon may significantl</w:t>
      </w:r>
      <w:r w:rsidR="00265BAF">
        <w:rPr>
          <w:rFonts w:ascii="Book Antiqua" w:hAnsi="Book Antiqua"/>
          <w:sz w:val="24"/>
          <w:szCs w:val="24"/>
          <w:lang w:val="en-US" w:eastAsia="de-DE"/>
        </w:rPr>
        <w:t>y contribute to pathological BT</w:t>
      </w:r>
      <w:r w:rsidR="008D624C" w:rsidRPr="006479DA">
        <w:rPr>
          <w:rFonts w:ascii="Book Antiqua" w:hAnsi="Book Antiqua"/>
          <w:sz w:val="24"/>
          <w:szCs w:val="24"/>
          <w:lang w:val="en-US" w:eastAsia="de-DE"/>
        </w:rPr>
        <w:fldChar w:fldCharType="begin"/>
      </w:r>
      <w:r w:rsidR="009807D1" w:rsidRPr="006479DA">
        <w:rPr>
          <w:rFonts w:ascii="Book Antiqua" w:hAnsi="Book Antiqua"/>
          <w:sz w:val="24"/>
          <w:szCs w:val="24"/>
          <w:lang w:val="en-US" w:eastAsia="de-DE"/>
        </w:rPr>
        <w:instrText xml:space="preserve"> </w:instrText>
      </w:r>
      <w:r w:rsidR="00F22811" w:rsidRPr="006479DA">
        <w:rPr>
          <w:rFonts w:ascii="Book Antiqua" w:hAnsi="Book Antiqua"/>
          <w:sz w:val="24"/>
          <w:szCs w:val="24"/>
          <w:lang w:val="en-US" w:eastAsia="de-DE"/>
        </w:rPr>
        <w:instrText>ADDIN</w:instrText>
      </w:r>
      <w:r w:rsidR="009807D1" w:rsidRPr="006479DA">
        <w:rPr>
          <w:rFonts w:ascii="Book Antiqua" w:hAnsi="Book Antiqua"/>
          <w:sz w:val="24"/>
          <w:szCs w:val="24"/>
          <w:lang w:val="en-US" w:eastAsia="de-DE"/>
        </w:rPr>
        <w:instrText xml:space="preserve"> ZOTERO_ITEM CSL_CITATION {"citationID":"2ii6qvgpde","properties":{"formattedCitation":"{\\rtf \\super [33]\\nosupersub{}}","plainCitation":"[33]"},"citationItems":[{"id":4315,"uris":["http://zotero.org/users/36013/items/G2FJSUZK"],"uri":["http://zotero.org/users/36013/items/G2FJSUZK"],"itemData":{"id":4315,"type":"article-journal","title":"Pathological bacterial translocation in liver cirrhosis","container-title":"Journal of Hepatology","page":"197-209","volume":"60","issue":"1","source":"www.journal-of-hepatology.eu","DOI":"10.1016/j.jhep.2013.07.044","ISSN":"0168-8278","note":"PMID: 23993913","language":"English","author":[{"family":"Wiest","given":"Reiner"},{"family":"Lawson","given":"Melissa"},{"family":"Geuking","given":"Markus"}],"issued":{"date-parts":[["2014",1,1]]},"accessed":{"date-parts":[["2015",2,20]]},"PMID":"23993913"}}],"schema":"https://github.com/citation-style-language/schema/raw/master/csl-citation.json"} </w:instrText>
      </w:r>
      <w:r w:rsidR="008D624C" w:rsidRPr="006479DA">
        <w:rPr>
          <w:rFonts w:ascii="Book Antiqua" w:hAnsi="Book Antiqua"/>
          <w:sz w:val="24"/>
          <w:szCs w:val="24"/>
          <w:lang w:val="en-US" w:eastAsia="de-DE"/>
        </w:rPr>
        <w:fldChar w:fldCharType="separate"/>
      </w:r>
      <w:r w:rsidR="009807D1" w:rsidRPr="006479DA">
        <w:rPr>
          <w:rFonts w:ascii="Book Antiqua" w:hAnsi="Book Antiqua"/>
          <w:sz w:val="24"/>
          <w:szCs w:val="24"/>
          <w:vertAlign w:val="superscript"/>
        </w:rPr>
        <w:t>[33]</w:t>
      </w:r>
      <w:r w:rsidR="008D624C" w:rsidRPr="006479DA">
        <w:rPr>
          <w:rFonts w:ascii="Book Antiqua" w:hAnsi="Book Antiqua"/>
          <w:sz w:val="24"/>
          <w:szCs w:val="24"/>
          <w:lang w:val="en-US" w:eastAsia="de-DE"/>
        </w:rPr>
        <w:fldChar w:fldCharType="end"/>
      </w:r>
      <w:r w:rsidR="008D624C" w:rsidRPr="006479DA">
        <w:rPr>
          <w:rFonts w:ascii="Book Antiqua" w:hAnsi="Book Antiqua"/>
          <w:sz w:val="24"/>
          <w:szCs w:val="24"/>
          <w:lang w:val="en-US" w:eastAsia="de-DE"/>
        </w:rPr>
        <w:t xml:space="preserve">, which may not be adequately assessed by the use of dual sugar tests. Third, </w:t>
      </w:r>
      <w:r w:rsidR="00072F0F" w:rsidRPr="006479DA">
        <w:rPr>
          <w:rFonts w:ascii="Book Antiqua" w:hAnsi="Book Antiqua"/>
          <w:sz w:val="24"/>
          <w:szCs w:val="24"/>
          <w:lang w:val="en-US" w:eastAsia="de-DE"/>
        </w:rPr>
        <w:t xml:space="preserve">although co-medication with PPI or NSBB as well as renal or diabetic comorbidity was not associated with increased IP in our analysis, we cannot exclude systematic error from these confounders. However, as this study addressed the usefulness of the lactulose/mannitol test </w:t>
      </w:r>
      <w:r w:rsidR="007921DB" w:rsidRPr="006479DA">
        <w:rPr>
          <w:rFonts w:ascii="Book Antiqua" w:hAnsi="Book Antiqua"/>
          <w:sz w:val="24"/>
          <w:szCs w:val="24"/>
          <w:lang w:val="en-US" w:eastAsia="de-DE"/>
        </w:rPr>
        <w:t>to predict end-points in cirrhosis and</w:t>
      </w:r>
      <w:r w:rsidR="00072F0F" w:rsidRPr="006479DA">
        <w:rPr>
          <w:rFonts w:ascii="Book Antiqua" w:hAnsi="Book Antiqua"/>
          <w:sz w:val="24"/>
          <w:szCs w:val="24"/>
          <w:lang w:val="en-US" w:eastAsia="de-DE"/>
        </w:rPr>
        <w:t xml:space="preserve"> </w:t>
      </w:r>
      <w:r w:rsidR="007921DB" w:rsidRPr="006479DA">
        <w:rPr>
          <w:rFonts w:ascii="Book Antiqua" w:hAnsi="Book Antiqua"/>
          <w:sz w:val="24"/>
          <w:szCs w:val="24"/>
          <w:lang w:val="en-US" w:eastAsia="de-DE"/>
        </w:rPr>
        <w:t>these putative confounders are frequently present in patients with advanced liver disease, they may limit its role as a prognostic test in clinical practice.</w:t>
      </w:r>
    </w:p>
    <w:p w14:paraId="74CA8587" w14:textId="72ED106D" w:rsidR="003644F6" w:rsidRPr="006479DA" w:rsidRDefault="00356E62" w:rsidP="00265BAF">
      <w:pPr>
        <w:spacing w:after="0" w:line="360" w:lineRule="auto"/>
        <w:ind w:firstLineChars="100" w:firstLine="240"/>
        <w:jc w:val="both"/>
        <w:rPr>
          <w:rFonts w:ascii="Book Antiqua" w:eastAsia="SimSun" w:hAnsi="Book Antiqua"/>
          <w:sz w:val="24"/>
          <w:szCs w:val="24"/>
          <w:lang w:val="en-US" w:eastAsia="zh-CN"/>
        </w:rPr>
      </w:pPr>
      <w:r w:rsidRPr="006479DA">
        <w:rPr>
          <w:rFonts w:ascii="Book Antiqua" w:hAnsi="Book Antiqua"/>
          <w:sz w:val="24"/>
          <w:szCs w:val="24"/>
          <w:lang w:val="en-US" w:eastAsia="de-DE"/>
        </w:rPr>
        <w:t xml:space="preserve">In conclusion, the results of </w:t>
      </w:r>
      <w:r w:rsidR="003644F6" w:rsidRPr="006479DA">
        <w:rPr>
          <w:rFonts w:ascii="Book Antiqua" w:hAnsi="Book Antiqua"/>
          <w:sz w:val="24"/>
          <w:szCs w:val="24"/>
          <w:lang w:val="en-US" w:eastAsia="de-DE"/>
        </w:rPr>
        <w:t>dual</w:t>
      </w:r>
      <w:r w:rsidR="00A87285" w:rsidRPr="006479DA">
        <w:rPr>
          <w:rFonts w:ascii="Book Antiqua" w:hAnsi="Book Antiqua"/>
          <w:sz w:val="24"/>
          <w:szCs w:val="24"/>
          <w:lang w:val="en-US" w:eastAsia="de-DE"/>
        </w:rPr>
        <w:t xml:space="preserve"> </w:t>
      </w:r>
      <w:r w:rsidR="003644F6" w:rsidRPr="006479DA">
        <w:rPr>
          <w:rFonts w:ascii="Book Antiqua" w:hAnsi="Book Antiqua"/>
          <w:sz w:val="24"/>
          <w:szCs w:val="24"/>
          <w:lang w:val="en-US" w:eastAsia="de-DE"/>
        </w:rPr>
        <w:t xml:space="preserve">sugar tests </w:t>
      </w:r>
      <w:r w:rsidRPr="006479DA">
        <w:rPr>
          <w:rFonts w:ascii="Book Antiqua" w:hAnsi="Book Antiqua"/>
          <w:sz w:val="24"/>
          <w:szCs w:val="24"/>
          <w:lang w:val="en-US" w:eastAsia="de-DE"/>
        </w:rPr>
        <w:t xml:space="preserve">reflect </w:t>
      </w:r>
      <w:r w:rsidR="00847606" w:rsidRPr="006479DA">
        <w:rPr>
          <w:rFonts w:ascii="Book Antiqua" w:hAnsi="Book Antiqua"/>
          <w:sz w:val="24"/>
          <w:szCs w:val="24"/>
          <w:lang w:val="en-US" w:eastAsia="de-DE"/>
        </w:rPr>
        <w:t xml:space="preserve">a few </w:t>
      </w:r>
      <w:r w:rsidR="003644F6" w:rsidRPr="006479DA">
        <w:rPr>
          <w:rFonts w:ascii="Book Antiqua" w:hAnsi="Book Antiqua"/>
          <w:sz w:val="24"/>
          <w:szCs w:val="24"/>
          <w:lang w:val="en-US" w:eastAsia="de-DE"/>
        </w:rPr>
        <w:t>aspects that are associated with the</w:t>
      </w:r>
      <w:r w:rsidR="00E57478" w:rsidRPr="006479DA">
        <w:rPr>
          <w:rFonts w:ascii="Book Antiqua" w:hAnsi="Book Antiqua"/>
          <w:sz w:val="24"/>
          <w:szCs w:val="24"/>
          <w:lang w:val="en-US" w:eastAsia="de-DE"/>
        </w:rPr>
        <w:t xml:space="preserve"> occurrence of complications</w:t>
      </w:r>
      <w:r w:rsidR="00BE0B10" w:rsidRPr="006479DA">
        <w:rPr>
          <w:rFonts w:ascii="Book Antiqua" w:hAnsi="Book Antiqua"/>
          <w:sz w:val="24"/>
          <w:szCs w:val="24"/>
          <w:lang w:val="en-US" w:eastAsia="de-DE"/>
        </w:rPr>
        <w:t xml:space="preserve"> in cirrhosis</w:t>
      </w:r>
      <w:r w:rsidR="003644F6" w:rsidRPr="006479DA">
        <w:rPr>
          <w:rFonts w:ascii="Book Antiqua" w:hAnsi="Book Antiqua"/>
          <w:sz w:val="24"/>
          <w:szCs w:val="24"/>
          <w:lang w:val="en-US" w:eastAsia="de-DE"/>
        </w:rPr>
        <w:t xml:space="preserve">, such as portal </w:t>
      </w:r>
      <w:r w:rsidR="003644F6" w:rsidRPr="006479DA">
        <w:rPr>
          <w:rFonts w:ascii="Book Antiqua" w:hAnsi="Book Antiqua"/>
          <w:sz w:val="24"/>
          <w:szCs w:val="24"/>
          <w:lang w:val="en-US" w:eastAsia="de-DE"/>
        </w:rPr>
        <w:lastRenderedPageBreak/>
        <w:t>hypertension</w:t>
      </w:r>
      <w:r w:rsidR="00BE0B10" w:rsidRPr="006479DA">
        <w:rPr>
          <w:rFonts w:ascii="Book Antiqua" w:hAnsi="Book Antiqua"/>
          <w:sz w:val="24"/>
          <w:szCs w:val="24"/>
          <w:lang w:val="en-US" w:eastAsia="de-DE"/>
        </w:rPr>
        <w:t>, BT-associated i</w:t>
      </w:r>
      <w:r w:rsidR="003644F6" w:rsidRPr="006479DA">
        <w:rPr>
          <w:rFonts w:ascii="Book Antiqua" w:hAnsi="Book Antiqua"/>
          <w:sz w:val="24"/>
          <w:szCs w:val="24"/>
          <w:lang w:val="en-US" w:eastAsia="de-DE"/>
        </w:rPr>
        <w:t>nflammation</w:t>
      </w:r>
      <w:r w:rsidR="00BE0B10" w:rsidRPr="006479DA">
        <w:rPr>
          <w:rFonts w:ascii="Book Antiqua" w:hAnsi="Book Antiqua"/>
          <w:sz w:val="24"/>
          <w:szCs w:val="24"/>
          <w:lang w:val="en-US" w:eastAsia="de-DE"/>
        </w:rPr>
        <w:t xml:space="preserve"> </w:t>
      </w:r>
      <w:r w:rsidR="002339F5" w:rsidRPr="006479DA">
        <w:rPr>
          <w:rFonts w:ascii="Book Antiqua" w:hAnsi="Book Antiqua"/>
          <w:sz w:val="24"/>
          <w:szCs w:val="24"/>
          <w:lang w:val="en-US" w:eastAsia="de-DE"/>
        </w:rPr>
        <w:t>or</w:t>
      </w:r>
      <w:r w:rsidR="00BE0B10" w:rsidRPr="006479DA">
        <w:rPr>
          <w:rFonts w:ascii="Book Antiqua" w:hAnsi="Book Antiqua"/>
          <w:sz w:val="24"/>
          <w:szCs w:val="24"/>
          <w:lang w:val="en-US" w:eastAsia="de-DE"/>
        </w:rPr>
        <w:t xml:space="preserve"> </w:t>
      </w:r>
      <w:r w:rsidR="002339F5" w:rsidRPr="006479DA">
        <w:rPr>
          <w:rFonts w:ascii="Book Antiqua" w:hAnsi="Book Antiqua"/>
          <w:sz w:val="24"/>
          <w:szCs w:val="24"/>
          <w:lang w:val="en-US" w:eastAsia="de-DE"/>
        </w:rPr>
        <w:t xml:space="preserve">the development of </w:t>
      </w:r>
      <w:r w:rsidR="00BE0B10" w:rsidRPr="006479DA">
        <w:rPr>
          <w:rFonts w:ascii="Book Antiqua" w:hAnsi="Book Antiqua"/>
          <w:sz w:val="24"/>
          <w:szCs w:val="24"/>
          <w:lang w:val="en-US" w:eastAsia="de-DE"/>
        </w:rPr>
        <w:t>SBP</w:t>
      </w:r>
      <w:r w:rsidR="002339F5" w:rsidRPr="006479DA">
        <w:rPr>
          <w:rFonts w:ascii="Book Antiqua" w:hAnsi="Book Antiqua"/>
          <w:sz w:val="24"/>
          <w:szCs w:val="24"/>
          <w:lang w:val="en-US" w:eastAsia="de-DE"/>
        </w:rPr>
        <w:t xml:space="preserve"> to some degree</w:t>
      </w:r>
      <w:r w:rsidR="003644F6" w:rsidRPr="006479DA">
        <w:rPr>
          <w:rFonts w:ascii="Book Antiqua" w:hAnsi="Book Antiqua"/>
          <w:sz w:val="24"/>
          <w:szCs w:val="24"/>
          <w:lang w:val="en-US" w:eastAsia="de-DE"/>
        </w:rPr>
        <w:t xml:space="preserve">. </w:t>
      </w:r>
      <w:r w:rsidR="002339F5" w:rsidRPr="006479DA">
        <w:rPr>
          <w:rFonts w:ascii="Book Antiqua" w:hAnsi="Book Antiqua"/>
          <w:sz w:val="24"/>
          <w:szCs w:val="24"/>
          <w:lang w:val="en-US" w:eastAsia="de-DE"/>
        </w:rPr>
        <w:t>However, t</w:t>
      </w:r>
      <w:r w:rsidR="00BE0B10" w:rsidRPr="006479DA">
        <w:rPr>
          <w:rFonts w:ascii="Book Antiqua" w:hAnsi="Book Antiqua"/>
          <w:sz w:val="24"/>
          <w:szCs w:val="24"/>
          <w:lang w:val="en-US" w:eastAsia="de-DE"/>
        </w:rPr>
        <w:t xml:space="preserve">he high prevalence of pathological test results in advanced cirrhosis </w:t>
      </w:r>
      <w:r w:rsidR="003644F6" w:rsidRPr="006479DA">
        <w:rPr>
          <w:rFonts w:ascii="Book Antiqua" w:hAnsi="Book Antiqua"/>
          <w:sz w:val="24"/>
          <w:szCs w:val="24"/>
          <w:lang w:val="en-US" w:eastAsia="de-DE"/>
        </w:rPr>
        <w:t xml:space="preserve">and </w:t>
      </w:r>
      <w:r w:rsidR="00BE1AA4" w:rsidRPr="006479DA">
        <w:rPr>
          <w:rFonts w:ascii="Book Antiqua" w:hAnsi="Book Antiqua"/>
          <w:sz w:val="24"/>
          <w:szCs w:val="24"/>
          <w:lang w:val="en-US" w:eastAsia="de-DE"/>
        </w:rPr>
        <w:t>their</w:t>
      </w:r>
      <w:r w:rsidR="003644F6" w:rsidRPr="006479DA">
        <w:rPr>
          <w:rFonts w:ascii="Book Antiqua" w:hAnsi="Book Antiqua"/>
          <w:sz w:val="24"/>
          <w:szCs w:val="24"/>
          <w:lang w:val="en-US" w:eastAsia="de-DE"/>
        </w:rPr>
        <w:t xml:space="preserve"> failure to predict </w:t>
      </w:r>
      <w:r w:rsidR="00BE0B10" w:rsidRPr="006479DA">
        <w:rPr>
          <w:rFonts w:ascii="Book Antiqua" w:hAnsi="Book Antiqua"/>
          <w:sz w:val="24"/>
          <w:szCs w:val="24"/>
          <w:lang w:val="en-US" w:eastAsia="de-DE"/>
        </w:rPr>
        <w:t xml:space="preserve">overall and infection-free </w:t>
      </w:r>
      <w:r w:rsidR="003644F6" w:rsidRPr="006479DA">
        <w:rPr>
          <w:rFonts w:ascii="Book Antiqua" w:hAnsi="Book Antiqua"/>
          <w:sz w:val="24"/>
          <w:szCs w:val="24"/>
          <w:lang w:val="en-US" w:eastAsia="de-DE"/>
        </w:rPr>
        <w:t xml:space="preserve">survival </w:t>
      </w:r>
      <w:r w:rsidR="00E57478" w:rsidRPr="006479DA">
        <w:rPr>
          <w:rFonts w:ascii="Book Antiqua" w:hAnsi="Book Antiqua"/>
          <w:sz w:val="24"/>
          <w:szCs w:val="24"/>
          <w:lang w:val="en-US" w:eastAsia="de-DE"/>
        </w:rPr>
        <w:t xml:space="preserve">limit </w:t>
      </w:r>
      <w:r w:rsidR="00BE0B10" w:rsidRPr="006479DA">
        <w:rPr>
          <w:rFonts w:ascii="Book Antiqua" w:hAnsi="Book Antiqua"/>
          <w:sz w:val="24"/>
          <w:szCs w:val="24"/>
          <w:lang w:val="en-US" w:eastAsia="de-DE"/>
        </w:rPr>
        <w:t xml:space="preserve">the </w:t>
      </w:r>
      <w:r w:rsidR="00E57478" w:rsidRPr="006479DA">
        <w:rPr>
          <w:rFonts w:ascii="Book Antiqua" w:hAnsi="Book Antiqua"/>
          <w:sz w:val="24"/>
          <w:szCs w:val="24"/>
          <w:lang w:val="en-US" w:eastAsia="de-DE"/>
        </w:rPr>
        <w:t xml:space="preserve">use </w:t>
      </w:r>
      <w:r w:rsidR="00BE0B10" w:rsidRPr="006479DA">
        <w:rPr>
          <w:rFonts w:ascii="Book Antiqua" w:hAnsi="Book Antiqua"/>
          <w:sz w:val="24"/>
          <w:szCs w:val="24"/>
          <w:lang w:val="en-US" w:eastAsia="de-DE"/>
        </w:rPr>
        <w:t xml:space="preserve">of dual-sugar tests as a diagnostic and prognostic tool </w:t>
      </w:r>
      <w:r w:rsidR="00E57478" w:rsidRPr="006479DA">
        <w:rPr>
          <w:rFonts w:ascii="Book Antiqua" w:hAnsi="Book Antiqua"/>
          <w:sz w:val="24"/>
          <w:szCs w:val="24"/>
          <w:lang w:val="en-US" w:eastAsia="de-DE"/>
        </w:rPr>
        <w:t xml:space="preserve">in </w:t>
      </w:r>
      <w:r w:rsidRPr="006479DA">
        <w:rPr>
          <w:rFonts w:ascii="Book Antiqua" w:hAnsi="Book Antiqua"/>
          <w:sz w:val="24"/>
          <w:szCs w:val="24"/>
          <w:lang w:val="en-US" w:eastAsia="de-DE"/>
        </w:rPr>
        <w:t>clinical practice</w:t>
      </w:r>
      <w:r w:rsidR="003644F6" w:rsidRPr="006479DA">
        <w:rPr>
          <w:rFonts w:ascii="Book Antiqua" w:hAnsi="Book Antiqua"/>
          <w:sz w:val="24"/>
          <w:szCs w:val="24"/>
          <w:lang w:val="en-US" w:eastAsia="de-DE"/>
        </w:rPr>
        <w:t>.</w:t>
      </w:r>
    </w:p>
    <w:p w14:paraId="0215203A" w14:textId="77777777" w:rsidR="00B95D49" w:rsidRPr="006479DA" w:rsidRDefault="00B95D49" w:rsidP="00265BAF">
      <w:pPr>
        <w:spacing w:after="0" w:line="360" w:lineRule="auto"/>
        <w:jc w:val="both"/>
        <w:rPr>
          <w:rFonts w:ascii="Book Antiqua" w:eastAsia="SimSun" w:hAnsi="Book Antiqua"/>
          <w:sz w:val="24"/>
          <w:szCs w:val="24"/>
          <w:lang w:val="en-US" w:eastAsia="zh-CN"/>
        </w:rPr>
      </w:pPr>
    </w:p>
    <w:p w14:paraId="4F662BC8" w14:textId="77777777" w:rsidR="00B95D49" w:rsidRPr="006479DA" w:rsidRDefault="00B95D49" w:rsidP="00265BAF">
      <w:pPr>
        <w:spacing w:after="0" w:line="360" w:lineRule="auto"/>
        <w:jc w:val="both"/>
        <w:rPr>
          <w:rFonts w:ascii="Book Antiqua" w:hAnsi="Book Antiqua"/>
          <w:b/>
          <w:caps/>
          <w:snapToGrid w:val="0"/>
          <w:kern w:val="10"/>
          <w:sz w:val="24"/>
          <w:szCs w:val="24"/>
          <w:lang w:val="en-US"/>
        </w:rPr>
      </w:pPr>
      <w:r w:rsidRPr="006479DA">
        <w:rPr>
          <w:rFonts w:ascii="Book Antiqua" w:hAnsi="Book Antiqua"/>
          <w:b/>
          <w:caps/>
          <w:snapToGrid w:val="0"/>
          <w:kern w:val="10"/>
          <w:sz w:val="24"/>
          <w:szCs w:val="24"/>
          <w:lang w:val="en-US"/>
        </w:rPr>
        <w:t>Acknowledgments</w:t>
      </w:r>
    </w:p>
    <w:p w14:paraId="1DAA679B" w14:textId="5A52FA3A" w:rsidR="00B95D49" w:rsidRPr="006479DA" w:rsidRDefault="00C63923"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The authors thank the hospital staff for their help with sample collection and patients and volunteers for participation in the study.</w:t>
      </w:r>
      <w:r w:rsidR="00D419AA" w:rsidRPr="006479DA">
        <w:rPr>
          <w:rFonts w:ascii="Book Antiqua" w:hAnsi="Book Antiqua"/>
          <w:sz w:val="24"/>
          <w:szCs w:val="24"/>
          <w:lang w:val="en-US"/>
        </w:rPr>
        <w:t xml:space="preserve"> We would like </w:t>
      </w:r>
      <w:r w:rsidR="005A0E74" w:rsidRPr="006479DA">
        <w:rPr>
          <w:rFonts w:ascii="Book Antiqua" w:hAnsi="Book Antiqua"/>
          <w:sz w:val="24"/>
          <w:szCs w:val="24"/>
          <w:lang w:val="en-US"/>
        </w:rPr>
        <w:t xml:space="preserve">to </w:t>
      </w:r>
      <w:r w:rsidR="00D419AA" w:rsidRPr="006479DA">
        <w:rPr>
          <w:rFonts w:ascii="Book Antiqua" w:hAnsi="Book Antiqua"/>
          <w:sz w:val="24"/>
          <w:szCs w:val="24"/>
          <w:lang w:val="en-US"/>
        </w:rPr>
        <w:t>e</w:t>
      </w:r>
      <w:r w:rsidR="00465108">
        <w:rPr>
          <w:rFonts w:ascii="Book Antiqua" w:hAnsi="Book Antiqua"/>
          <w:sz w:val="24"/>
          <w:szCs w:val="24"/>
          <w:lang w:val="en-US"/>
        </w:rPr>
        <w:t>xpress our gratitude to Palak J</w:t>
      </w:r>
      <w:r w:rsidR="00D419AA" w:rsidRPr="006479DA">
        <w:rPr>
          <w:rFonts w:ascii="Book Antiqua" w:hAnsi="Book Antiqua"/>
          <w:sz w:val="24"/>
          <w:szCs w:val="24"/>
          <w:lang w:val="en-US"/>
        </w:rPr>
        <w:t xml:space="preserve"> Trivedi for language editing</w:t>
      </w:r>
      <w:r w:rsidR="005A0E74" w:rsidRPr="006479DA">
        <w:rPr>
          <w:rFonts w:ascii="Book Antiqua" w:hAnsi="Book Antiqua"/>
          <w:sz w:val="24"/>
          <w:szCs w:val="24"/>
          <w:lang w:val="en-US"/>
        </w:rPr>
        <w:t xml:space="preserve"> and to André Scherag for reviewing the statistical methods</w:t>
      </w:r>
      <w:r w:rsidR="00D419AA" w:rsidRPr="006479DA">
        <w:rPr>
          <w:rFonts w:ascii="Book Antiqua" w:hAnsi="Book Antiqua"/>
          <w:sz w:val="24"/>
          <w:szCs w:val="24"/>
          <w:lang w:val="en-US"/>
        </w:rPr>
        <w:t>.</w:t>
      </w:r>
    </w:p>
    <w:p w14:paraId="5D126576" w14:textId="77777777" w:rsidR="00265BAF" w:rsidRDefault="00265BAF" w:rsidP="00265BAF">
      <w:pPr>
        <w:spacing w:after="0" w:line="360" w:lineRule="auto"/>
        <w:jc w:val="both"/>
        <w:rPr>
          <w:rFonts w:ascii="Book Antiqua" w:eastAsia="SimSun" w:hAnsi="Book Antiqua"/>
          <w:b/>
          <w:sz w:val="24"/>
          <w:szCs w:val="24"/>
          <w:lang w:val="en-US" w:eastAsia="zh-CN"/>
        </w:rPr>
      </w:pPr>
      <w:bookmarkStart w:id="52" w:name="OLE_LINK399"/>
    </w:p>
    <w:p w14:paraId="2D5577E2" w14:textId="77777777" w:rsidR="00B95D49" w:rsidRPr="006479DA" w:rsidRDefault="00B95D49" w:rsidP="00265BAF">
      <w:pPr>
        <w:spacing w:after="0" w:line="360" w:lineRule="auto"/>
        <w:jc w:val="both"/>
        <w:rPr>
          <w:rFonts w:ascii="Book Antiqua" w:hAnsi="Book Antiqua"/>
          <w:b/>
          <w:sz w:val="24"/>
          <w:szCs w:val="24"/>
          <w:lang w:val="en-US"/>
        </w:rPr>
      </w:pPr>
      <w:r w:rsidRPr="006479DA">
        <w:rPr>
          <w:rFonts w:ascii="Book Antiqua" w:hAnsi="Book Antiqua"/>
          <w:b/>
          <w:sz w:val="24"/>
          <w:szCs w:val="24"/>
          <w:lang w:val="en-US"/>
        </w:rPr>
        <w:t>COMMENTS</w:t>
      </w:r>
    </w:p>
    <w:p w14:paraId="42E4D305" w14:textId="77777777" w:rsidR="00B95D49" w:rsidRPr="006479DA" w:rsidRDefault="00B95D49" w:rsidP="00265BAF">
      <w:pPr>
        <w:autoSpaceDE w:val="0"/>
        <w:autoSpaceDN w:val="0"/>
        <w:adjustRightInd w:val="0"/>
        <w:spacing w:after="0" w:line="360" w:lineRule="auto"/>
        <w:jc w:val="both"/>
        <w:rPr>
          <w:rFonts w:ascii="Book Antiqua" w:hAnsi="Book Antiqua" w:cs="Book Antiqua"/>
          <w:b/>
          <w:i/>
          <w:iCs/>
          <w:sz w:val="24"/>
          <w:szCs w:val="24"/>
          <w:lang w:val="en-US"/>
        </w:rPr>
      </w:pPr>
      <w:r w:rsidRPr="006479DA">
        <w:rPr>
          <w:rFonts w:ascii="Book Antiqua" w:hAnsi="Book Antiqua" w:cs="Book Antiqua"/>
          <w:b/>
          <w:i/>
          <w:iCs/>
          <w:sz w:val="24"/>
          <w:szCs w:val="24"/>
          <w:lang w:val="en-US"/>
        </w:rPr>
        <w:t>Background</w:t>
      </w:r>
    </w:p>
    <w:p w14:paraId="5F805050" w14:textId="67ABB3CB" w:rsidR="00B95D49" w:rsidRPr="006479DA" w:rsidRDefault="00F22811" w:rsidP="00265BAF">
      <w:pPr>
        <w:autoSpaceDE w:val="0"/>
        <w:autoSpaceDN w:val="0"/>
        <w:adjustRightInd w:val="0"/>
        <w:spacing w:after="0" w:line="360" w:lineRule="auto"/>
        <w:jc w:val="both"/>
        <w:rPr>
          <w:rFonts w:ascii="Book Antiqua" w:hAnsi="Book Antiqua" w:cs="Book Antiqua"/>
          <w:iCs/>
          <w:sz w:val="24"/>
          <w:szCs w:val="24"/>
          <w:lang w:val="en-US"/>
        </w:rPr>
      </w:pPr>
      <w:r w:rsidRPr="006479DA">
        <w:rPr>
          <w:rFonts w:ascii="Book Antiqua" w:hAnsi="Book Antiqua" w:cs="Book Antiqua"/>
          <w:iCs/>
          <w:sz w:val="24"/>
          <w:szCs w:val="24"/>
          <w:lang w:val="en-US"/>
        </w:rPr>
        <w:t xml:space="preserve">Increased </w:t>
      </w:r>
      <w:r w:rsidR="00265BAF" w:rsidRPr="00265BAF">
        <w:rPr>
          <w:rFonts w:ascii="Book Antiqua" w:hAnsi="Book Antiqua" w:cs="Book Antiqua"/>
          <w:iCs/>
          <w:sz w:val="24"/>
          <w:szCs w:val="24"/>
          <w:lang w:val="en-US"/>
        </w:rPr>
        <w:t>intestinal permeability</w:t>
      </w:r>
      <w:r w:rsidR="00265BAF">
        <w:rPr>
          <w:rFonts w:ascii="Book Antiqua" w:eastAsia="SimSun" w:hAnsi="Book Antiqua" w:cs="Book Antiqua" w:hint="eastAsia"/>
          <w:iCs/>
          <w:sz w:val="24"/>
          <w:szCs w:val="24"/>
          <w:lang w:val="en-US" w:eastAsia="zh-CN"/>
        </w:rPr>
        <w:t xml:space="preserve"> (</w:t>
      </w:r>
      <w:r w:rsidRPr="006479DA">
        <w:rPr>
          <w:rFonts w:ascii="Book Antiqua" w:hAnsi="Book Antiqua" w:cs="Book Antiqua"/>
          <w:iCs/>
          <w:sz w:val="24"/>
          <w:szCs w:val="24"/>
          <w:lang w:val="en-US"/>
        </w:rPr>
        <w:t>IP</w:t>
      </w:r>
      <w:r w:rsidR="00265BAF">
        <w:rPr>
          <w:rFonts w:ascii="Book Antiqua" w:eastAsia="SimSun" w:hAnsi="Book Antiqua" w:cs="Book Antiqua" w:hint="eastAsia"/>
          <w:iCs/>
          <w:sz w:val="24"/>
          <w:szCs w:val="24"/>
          <w:lang w:val="en-US" w:eastAsia="zh-CN"/>
        </w:rPr>
        <w:t>)</w:t>
      </w:r>
      <w:r w:rsidRPr="006479DA">
        <w:rPr>
          <w:rFonts w:ascii="Book Antiqua" w:hAnsi="Book Antiqua" w:cs="Book Antiqua"/>
          <w:iCs/>
          <w:sz w:val="24"/>
          <w:szCs w:val="24"/>
          <w:lang w:val="en-US"/>
        </w:rPr>
        <w:t xml:space="preserve"> is a frequent phenomenon in patients with cirrhosis and has been linked to pathological bacterial translocation, bacterial infections and higher mortality mainly in retrospective studies. </w:t>
      </w:r>
      <w:r w:rsidR="007F19B0" w:rsidRPr="006479DA">
        <w:rPr>
          <w:rFonts w:ascii="Book Antiqua" w:hAnsi="Book Antiqua" w:cs="Book Antiqua"/>
          <w:iCs/>
          <w:sz w:val="24"/>
          <w:szCs w:val="24"/>
          <w:lang w:val="en-US"/>
        </w:rPr>
        <w:t>However, prospective studies confirming this association are scarce.</w:t>
      </w:r>
    </w:p>
    <w:p w14:paraId="66ECE48A" w14:textId="77777777" w:rsidR="00265BAF" w:rsidRDefault="00265BAF" w:rsidP="00265BAF">
      <w:pPr>
        <w:autoSpaceDE w:val="0"/>
        <w:autoSpaceDN w:val="0"/>
        <w:adjustRightInd w:val="0"/>
        <w:spacing w:after="0" w:line="360" w:lineRule="auto"/>
        <w:jc w:val="both"/>
        <w:rPr>
          <w:rFonts w:ascii="Book Antiqua" w:eastAsia="SimSun" w:hAnsi="Book Antiqua" w:cs="Book Antiqua"/>
          <w:b/>
          <w:i/>
          <w:iCs/>
          <w:sz w:val="24"/>
          <w:szCs w:val="24"/>
          <w:lang w:val="en-US" w:eastAsia="zh-CN"/>
        </w:rPr>
      </w:pPr>
    </w:p>
    <w:p w14:paraId="589603AC" w14:textId="77777777" w:rsidR="00B95D49" w:rsidRPr="006479DA" w:rsidRDefault="00B95D49" w:rsidP="00265BAF">
      <w:pPr>
        <w:autoSpaceDE w:val="0"/>
        <w:autoSpaceDN w:val="0"/>
        <w:adjustRightInd w:val="0"/>
        <w:spacing w:after="0" w:line="360" w:lineRule="auto"/>
        <w:jc w:val="both"/>
        <w:rPr>
          <w:rFonts w:ascii="Book Antiqua" w:hAnsi="Book Antiqua" w:cs="Book Antiqua"/>
          <w:b/>
          <w:i/>
          <w:iCs/>
          <w:sz w:val="24"/>
          <w:szCs w:val="24"/>
          <w:lang w:val="en-US"/>
        </w:rPr>
      </w:pPr>
      <w:r w:rsidRPr="006479DA">
        <w:rPr>
          <w:rFonts w:ascii="Book Antiqua" w:hAnsi="Book Antiqua" w:cs="Book Antiqua"/>
          <w:b/>
          <w:i/>
          <w:iCs/>
          <w:sz w:val="24"/>
          <w:szCs w:val="24"/>
          <w:lang w:val="en-US"/>
        </w:rPr>
        <w:t>Research frontiers</w:t>
      </w:r>
    </w:p>
    <w:p w14:paraId="0E17CBEF" w14:textId="1A73FFC1" w:rsidR="00B95D49" w:rsidRPr="006479DA" w:rsidRDefault="00F22811" w:rsidP="00265BAF">
      <w:pPr>
        <w:autoSpaceDE w:val="0"/>
        <w:autoSpaceDN w:val="0"/>
        <w:adjustRightInd w:val="0"/>
        <w:spacing w:after="0" w:line="360" w:lineRule="auto"/>
        <w:jc w:val="both"/>
        <w:rPr>
          <w:rFonts w:ascii="Book Antiqua" w:hAnsi="Book Antiqua" w:cs="Book Antiqua"/>
          <w:b/>
          <w:sz w:val="24"/>
          <w:szCs w:val="24"/>
          <w:lang w:val="en-US"/>
        </w:rPr>
      </w:pPr>
      <w:r w:rsidRPr="006479DA">
        <w:rPr>
          <w:rFonts w:ascii="Book Antiqua" w:hAnsi="Book Antiqua"/>
          <w:sz w:val="24"/>
          <w:szCs w:val="24"/>
          <w:lang w:val="en-US"/>
        </w:rPr>
        <w:t>To employ pathological IP as an indicator and predictor of complications in cirrhosis</w:t>
      </w:r>
      <w:r w:rsidR="007F19B0" w:rsidRPr="006479DA">
        <w:rPr>
          <w:rFonts w:ascii="Book Antiqua" w:hAnsi="Book Antiqua"/>
          <w:sz w:val="24"/>
          <w:szCs w:val="24"/>
          <w:lang w:val="en-US"/>
        </w:rPr>
        <w:t xml:space="preserve"> in clinical practice</w:t>
      </w:r>
      <w:r w:rsidRPr="006479DA">
        <w:rPr>
          <w:rFonts w:ascii="Book Antiqua" w:hAnsi="Book Antiqua"/>
          <w:sz w:val="24"/>
          <w:szCs w:val="24"/>
          <w:lang w:val="en-US"/>
        </w:rPr>
        <w:t xml:space="preserve">, it is important to prospectively assess the association of IP with the development of bacterial infections and mortality in cirrhosis and to compare its predictive accuracy with </w:t>
      </w:r>
      <w:r w:rsidR="007F19B0" w:rsidRPr="006479DA">
        <w:rPr>
          <w:rFonts w:ascii="Book Antiqua" w:hAnsi="Book Antiqua"/>
          <w:sz w:val="24"/>
          <w:szCs w:val="24"/>
          <w:lang w:val="en-US"/>
        </w:rPr>
        <w:t>other biomarkers</w:t>
      </w:r>
      <w:r w:rsidRPr="006479DA">
        <w:rPr>
          <w:rFonts w:ascii="Book Antiqua" w:hAnsi="Book Antiqua"/>
          <w:sz w:val="24"/>
          <w:szCs w:val="24"/>
          <w:lang w:val="en-US"/>
        </w:rPr>
        <w:t xml:space="preserve"> </w:t>
      </w:r>
      <w:r w:rsidR="007F19B0" w:rsidRPr="006479DA">
        <w:rPr>
          <w:rFonts w:ascii="Book Antiqua" w:hAnsi="Book Antiqua"/>
          <w:sz w:val="24"/>
          <w:szCs w:val="24"/>
          <w:lang w:val="en-US"/>
        </w:rPr>
        <w:t>of complications in cirrhosis</w:t>
      </w:r>
      <w:r w:rsidRPr="006479DA">
        <w:rPr>
          <w:rFonts w:ascii="Book Antiqua" w:hAnsi="Book Antiqua"/>
          <w:sz w:val="24"/>
          <w:szCs w:val="24"/>
          <w:lang w:val="en-US"/>
        </w:rPr>
        <w:t>.</w:t>
      </w:r>
    </w:p>
    <w:p w14:paraId="411D635D" w14:textId="77777777" w:rsidR="00265BAF" w:rsidRDefault="00265BAF" w:rsidP="00265BAF">
      <w:pPr>
        <w:spacing w:after="0" w:line="360" w:lineRule="auto"/>
        <w:jc w:val="both"/>
        <w:rPr>
          <w:rFonts w:ascii="Book Antiqua" w:eastAsia="SimSun" w:hAnsi="Book Antiqua" w:cs="Book Antiqua"/>
          <w:b/>
          <w:i/>
          <w:iCs/>
          <w:sz w:val="24"/>
          <w:szCs w:val="24"/>
          <w:lang w:val="en-US" w:eastAsia="zh-CN"/>
        </w:rPr>
      </w:pPr>
    </w:p>
    <w:p w14:paraId="41F73943" w14:textId="77777777" w:rsidR="00B95D49" w:rsidRPr="006479DA" w:rsidRDefault="00B95D49" w:rsidP="00265BAF">
      <w:pPr>
        <w:spacing w:after="0" w:line="360" w:lineRule="auto"/>
        <w:jc w:val="both"/>
        <w:rPr>
          <w:rFonts w:ascii="Book Antiqua" w:hAnsi="Book Antiqua" w:cs="Book Antiqua"/>
          <w:b/>
          <w:i/>
          <w:iCs/>
          <w:sz w:val="24"/>
          <w:szCs w:val="24"/>
          <w:lang w:val="en-US"/>
        </w:rPr>
      </w:pPr>
      <w:r w:rsidRPr="006479DA">
        <w:rPr>
          <w:rFonts w:ascii="Book Antiqua" w:hAnsi="Book Antiqua" w:cs="Book Antiqua"/>
          <w:b/>
          <w:i/>
          <w:iCs/>
          <w:sz w:val="24"/>
          <w:szCs w:val="24"/>
          <w:lang w:val="en-US"/>
        </w:rPr>
        <w:t>Innovations and breakthrough</w:t>
      </w:r>
    </w:p>
    <w:p w14:paraId="445C83F9" w14:textId="703381C7" w:rsidR="00B95D49" w:rsidRPr="006479DA" w:rsidRDefault="00F22811" w:rsidP="00265BAF">
      <w:pPr>
        <w:spacing w:after="0" w:line="360" w:lineRule="auto"/>
        <w:jc w:val="both"/>
        <w:rPr>
          <w:rFonts w:ascii="Book Antiqua" w:hAnsi="Book Antiqua" w:cs="Book Antiqua"/>
          <w:sz w:val="24"/>
          <w:szCs w:val="24"/>
          <w:lang w:val="en-US"/>
        </w:rPr>
      </w:pPr>
      <w:r w:rsidRPr="006479DA">
        <w:rPr>
          <w:rFonts w:ascii="Book Antiqua" w:hAnsi="Book Antiqua" w:cs="Book Antiqua"/>
          <w:sz w:val="24"/>
          <w:szCs w:val="24"/>
          <w:lang w:val="en-US"/>
        </w:rPr>
        <w:t>In this prospective study, increased IP was associated with more advanced liver disease and increased systemic inflammation at baseline but failed to predict adverse clinical outcome in a 1-year follow-up period when focusing on the endpoints mortality, liver transplantation and infections.</w:t>
      </w:r>
    </w:p>
    <w:p w14:paraId="1F79C0DA" w14:textId="77777777" w:rsidR="00265BAF" w:rsidRDefault="00265BAF" w:rsidP="00265BAF">
      <w:pPr>
        <w:spacing w:after="0" w:line="360" w:lineRule="auto"/>
        <w:jc w:val="both"/>
        <w:rPr>
          <w:rFonts w:ascii="Book Antiqua" w:eastAsia="SimSun" w:hAnsi="Book Antiqua" w:cs="Book Antiqua"/>
          <w:b/>
          <w:i/>
          <w:iCs/>
          <w:sz w:val="24"/>
          <w:szCs w:val="24"/>
          <w:lang w:val="en-US" w:eastAsia="zh-CN"/>
        </w:rPr>
      </w:pPr>
    </w:p>
    <w:p w14:paraId="2C3FCFFC" w14:textId="77777777" w:rsidR="00B95D49" w:rsidRPr="006479DA" w:rsidRDefault="00B95D49" w:rsidP="00265BAF">
      <w:pPr>
        <w:spacing w:after="0" w:line="360" w:lineRule="auto"/>
        <w:jc w:val="both"/>
        <w:rPr>
          <w:rFonts w:ascii="Book Antiqua" w:hAnsi="Book Antiqua" w:cs="Book Antiqua"/>
          <w:b/>
          <w:i/>
          <w:iCs/>
          <w:sz w:val="24"/>
          <w:szCs w:val="24"/>
          <w:lang w:val="en-US"/>
        </w:rPr>
      </w:pPr>
      <w:r w:rsidRPr="006479DA">
        <w:rPr>
          <w:rFonts w:ascii="Book Antiqua" w:hAnsi="Book Antiqua" w:cs="Book Antiqua"/>
          <w:b/>
          <w:i/>
          <w:iCs/>
          <w:sz w:val="24"/>
          <w:szCs w:val="24"/>
          <w:lang w:val="en-US"/>
        </w:rPr>
        <w:t>Applications</w:t>
      </w:r>
    </w:p>
    <w:p w14:paraId="271AB8EF" w14:textId="122EC6D1" w:rsidR="00B95D49" w:rsidRPr="006479DA" w:rsidRDefault="005C16C9" w:rsidP="00265BAF">
      <w:pPr>
        <w:spacing w:after="0" w:line="360" w:lineRule="auto"/>
        <w:jc w:val="both"/>
        <w:rPr>
          <w:rFonts w:ascii="Book Antiqua" w:hAnsi="Book Antiqua" w:cs="Book Antiqua"/>
          <w:iCs/>
          <w:sz w:val="24"/>
          <w:szCs w:val="24"/>
          <w:lang w:val="en-US"/>
        </w:rPr>
      </w:pPr>
      <w:r w:rsidRPr="006479DA">
        <w:rPr>
          <w:rFonts w:ascii="Book Antiqua" w:hAnsi="Book Antiqua" w:cs="Book Antiqua"/>
          <w:iCs/>
          <w:sz w:val="24"/>
          <w:szCs w:val="24"/>
          <w:lang w:val="en-US"/>
        </w:rPr>
        <w:lastRenderedPageBreak/>
        <w:t xml:space="preserve">Patients with ascites are at the highest risk of developing bacterial infections.  For risk stratification, </w:t>
      </w:r>
      <w:r w:rsidR="007F19B0" w:rsidRPr="006479DA">
        <w:rPr>
          <w:rFonts w:ascii="Book Antiqua" w:hAnsi="Book Antiqua" w:cs="Book Antiqua"/>
          <w:iCs/>
          <w:sz w:val="24"/>
          <w:szCs w:val="24"/>
          <w:lang w:val="en-US"/>
        </w:rPr>
        <w:t xml:space="preserve">clinicians should </w:t>
      </w:r>
      <w:r w:rsidRPr="006479DA">
        <w:rPr>
          <w:rFonts w:ascii="Book Antiqua" w:hAnsi="Book Antiqua" w:cs="Book Antiqua"/>
          <w:iCs/>
          <w:sz w:val="24"/>
          <w:szCs w:val="24"/>
          <w:lang w:val="en-US"/>
        </w:rPr>
        <w:t xml:space="preserve">apply well-established composite scores, such as Child-Pugh or </w:t>
      </w:r>
      <w:r w:rsidR="00964112" w:rsidRPr="006479DA">
        <w:rPr>
          <w:rFonts w:ascii="Book Antiqua" w:hAnsi="Book Antiqua"/>
          <w:sz w:val="24"/>
          <w:szCs w:val="24"/>
          <w:lang w:val="en-US"/>
        </w:rPr>
        <w:t>the model of end-stage liver disease</w:t>
      </w:r>
      <w:r w:rsidRPr="006479DA">
        <w:rPr>
          <w:rFonts w:ascii="Book Antiqua" w:hAnsi="Book Antiqua" w:cs="Book Antiqua"/>
          <w:iCs/>
          <w:sz w:val="24"/>
          <w:szCs w:val="24"/>
          <w:lang w:val="en-US"/>
        </w:rPr>
        <w:t>, and pro-inflammatory serum markers but not dual sugar tests of intestinal permeability</w:t>
      </w:r>
      <w:r w:rsidR="007F19B0" w:rsidRPr="006479DA">
        <w:rPr>
          <w:rFonts w:ascii="Book Antiqua" w:hAnsi="Book Antiqua" w:cs="Book Antiqua"/>
          <w:iCs/>
          <w:sz w:val="24"/>
          <w:szCs w:val="24"/>
          <w:lang w:val="en-US"/>
        </w:rPr>
        <w:t>.</w:t>
      </w:r>
    </w:p>
    <w:p w14:paraId="1CE82B69" w14:textId="77777777" w:rsidR="00265BAF" w:rsidRPr="00EA2906" w:rsidRDefault="00265BAF" w:rsidP="00265BAF">
      <w:pPr>
        <w:spacing w:after="0" w:line="360" w:lineRule="auto"/>
        <w:jc w:val="both"/>
        <w:rPr>
          <w:rFonts w:ascii="Book Antiqua" w:eastAsia="SimSun" w:hAnsi="Book Antiqua" w:cs="Book Antiqua"/>
          <w:b/>
          <w:i/>
          <w:iCs/>
          <w:sz w:val="24"/>
          <w:szCs w:val="24"/>
          <w:lang w:val="en-US" w:eastAsia="zh-CN"/>
        </w:rPr>
      </w:pPr>
    </w:p>
    <w:p w14:paraId="4735801E" w14:textId="77777777" w:rsidR="00B95D49" w:rsidRPr="006479DA" w:rsidRDefault="00B95D49" w:rsidP="00265BAF">
      <w:pPr>
        <w:spacing w:after="0" w:line="360" w:lineRule="auto"/>
        <w:jc w:val="both"/>
        <w:rPr>
          <w:rFonts w:ascii="Book Antiqua" w:hAnsi="Book Antiqua" w:cs="Book Antiqua"/>
          <w:b/>
          <w:i/>
          <w:iCs/>
          <w:sz w:val="24"/>
          <w:szCs w:val="24"/>
          <w:lang w:val="en-US"/>
        </w:rPr>
      </w:pPr>
      <w:r w:rsidRPr="006479DA">
        <w:rPr>
          <w:rFonts w:ascii="Book Antiqua" w:hAnsi="Book Antiqua" w:cs="Book Antiqua"/>
          <w:b/>
          <w:i/>
          <w:iCs/>
          <w:sz w:val="24"/>
          <w:szCs w:val="24"/>
          <w:lang w:val="en-US"/>
        </w:rPr>
        <w:t>Terminology</w:t>
      </w:r>
    </w:p>
    <w:p w14:paraId="13A1D1BB" w14:textId="502208F2" w:rsidR="005C16C9" w:rsidRPr="006479DA" w:rsidRDefault="005C16C9" w:rsidP="00265BAF">
      <w:pPr>
        <w:spacing w:after="0" w:line="360" w:lineRule="auto"/>
        <w:jc w:val="both"/>
        <w:rPr>
          <w:rFonts w:ascii="Book Antiqua" w:hAnsi="Book Antiqua" w:cs="Book Antiqua"/>
          <w:iCs/>
          <w:sz w:val="24"/>
          <w:szCs w:val="24"/>
          <w:lang w:val="en-US"/>
        </w:rPr>
      </w:pPr>
      <w:r w:rsidRPr="006479DA">
        <w:rPr>
          <w:rFonts w:ascii="Book Antiqua" w:hAnsi="Book Antiqua" w:cs="Book Antiqua"/>
          <w:iCs/>
          <w:sz w:val="24"/>
          <w:szCs w:val="24"/>
          <w:lang w:val="en-US"/>
        </w:rPr>
        <w:t>Intestinal permeability describes refers to barrier function of the gut, which – if compromised - allows potentially harmful substances to penetrate across this barrier.</w:t>
      </w:r>
    </w:p>
    <w:p w14:paraId="11D6282D" w14:textId="77777777" w:rsidR="00265BAF" w:rsidRDefault="00265BAF" w:rsidP="00265BAF">
      <w:pPr>
        <w:spacing w:after="0" w:line="360" w:lineRule="auto"/>
        <w:jc w:val="both"/>
        <w:rPr>
          <w:rFonts w:ascii="Book Antiqua" w:eastAsia="SimSun" w:hAnsi="Book Antiqua" w:cs="Book Antiqua"/>
          <w:b/>
          <w:i/>
          <w:iCs/>
          <w:sz w:val="24"/>
          <w:szCs w:val="24"/>
          <w:lang w:val="en-US" w:eastAsia="zh-CN"/>
        </w:rPr>
      </w:pPr>
    </w:p>
    <w:p w14:paraId="7F821301" w14:textId="69CB9611" w:rsidR="00B95D49" w:rsidRPr="006479DA" w:rsidRDefault="00B95D49" w:rsidP="00265BAF">
      <w:pPr>
        <w:spacing w:after="0" w:line="360" w:lineRule="auto"/>
        <w:jc w:val="both"/>
        <w:rPr>
          <w:rFonts w:ascii="Book Antiqua" w:eastAsia="SimSun" w:hAnsi="Book Antiqua"/>
          <w:sz w:val="24"/>
          <w:szCs w:val="24"/>
          <w:lang w:val="en-US" w:eastAsia="zh-CN"/>
        </w:rPr>
      </w:pPr>
      <w:r w:rsidRPr="006479DA">
        <w:rPr>
          <w:rFonts w:ascii="Book Antiqua" w:hAnsi="Book Antiqua" w:cs="Book Antiqua"/>
          <w:b/>
          <w:i/>
          <w:iCs/>
          <w:sz w:val="24"/>
          <w:szCs w:val="24"/>
          <w:lang w:val="en-US"/>
        </w:rPr>
        <w:t>Peer-review</w:t>
      </w:r>
      <w:bookmarkEnd w:id="52"/>
    </w:p>
    <w:p w14:paraId="1E268BD8" w14:textId="6C1DC625" w:rsidR="00C43C01" w:rsidRPr="006479DA" w:rsidRDefault="00265BAF" w:rsidP="00265BAF">
      <w:pPr>
        <w:spacing w:after="0" w:line="360" w:lineRule="auto"/>
        <w:jc w:val="both"/>
        <w:rPr>
          <w:rFonts w:ascii="Book Antiqua" w:eastAsiaTheme="majorEastAsia" w:hAnsi="Book Antiqua"/>
          <w:b/>
          <w:bCs/>
          <w:sz w:val="24"/>
          <w:szCs w:val="24"/>
          <w:lang w:val="en-US"/>
        </w:rPr>
      </w:pPr>
      <w:r w:rsidRPr="00265BAF">
        <w:rPr>
          <w:rFonts w:ascii="Book Antiqua" w:hAnsi="Book Antiqua"/>
          <w:sz w:val="24"/>
          <w:szCs w:val="24"/>
          <w:lang w:val="en-US"/>
        </w:rPr>
        <w:t>This is well performed and interesting prospective clinical study for analyzing of impact of increased intestinal permeability on mortality and the occurrence of infection in patients with liver cirrhosis.</w:t>
      </w:r>
      <w:r>
        <w:rPr>
          <w:rFonts w:ascii="Book Antiqua" w:eastAsia="SimSun" w:hAnsi="Book Antiqua" w:hint="eastAsia"/>
          <w:sz w:val="24"/>
          <w:szCs w:val="24"/>
          <w:lang w:val="en-US" w:eastAsia="zh-CN"/>
        </w:rPr>
        <w:t xml:space="preserve"> </w:t>
      </w:r>
      <w:r w:rsidRPr="00265BAF">
        <w:rPr>
          <w:rFonts w:ascii="Book Antiqua" w:hAnsi="Book Antiqua"/>
          <w:sz w:val="24"/>
          <w:szCs w:val="24"/>
          <w:lang w:val="en-US"/>
        </w:rPr>
        <w:t xml:space="preserve">The results are described and discussed in a clear way. </w:t>
      </w:r>
      <w:r w:rsidR="00C43C01" w:rsidRPr="006479DA">
        <w:rPr>
          <w:rFonts w:ascii="Book Antiqua" w:hAnsi="Book Antiqua"/>
          <w:sz w:val="24"/>
          <w:szCs w:val="24"/>
          <w:lang w:val="en-US"/>
        </w:rPr>
        <w:br w:type="page"/>
      </w:r>
    </w:p>
    <w:p w14:paraId="79844A44" w14:textId="7C9402AF" w:rsidR="001D2B02" w:rsidRPr="006479DA" w:rsidRDefault="002A4B64" w:rsidP="00265BAF">
      <w:pPr>
        <w:pStyle w:val="Heading1"/>
        <w:spacing w:before="0" w:line="360" w:lineRule="auto"/>
        <w:jc w:val="both"/>
        <w:rPr>
          <w:rFonts w:ascii="Book Antiqua" w:hAnsi="Book Antiqua" w:cs="Times New Roman"/>
          <w:color w:val="auto"/>
          <w:sz w:val="24"/>
          <w:szCs w:val="24"/>
          <w:lang w:val="en-US" w:eastAsia="de-DE"/>
        </w:rPr>
      </w:pPr>
      <w:r w:rsidRPr="006479DA">
        <w:rPr>
          <w:rFonts w:ascii="Book Antiqua" w:hAnsi="Book Antiqua" w:cs="Times New Roman"/>
          <w:color w:val="auto"/>
          <w:sz w:val="24"/>
          <w:szCs w:val="24"/>
          <w:lang w:val="en-US" w:eastAsia="de-DE"/>
        </w:rPr>
        <w:lastRenderedPageBreak/>
        <w:t>REFERENCES</w:t>
      </w:r>
    </w:p>
    <w:p w14:paraId="04ADFE61" w14:textId="77777777" w:rsidR="005D75BA" w:rsidRPr="005D75BA" w:rsidRDefault="00810CAC" w:rsidP="005D75BA">
      <w:pPr>
        <w:spacing w:after="0" w:line="360" w:lineRule="auto"/>
        <w:jc w:val="both"/>
        <w:rPr>
          <w:rFonts w:ascii="Book Antiqua" w:eastAsia="SimSun" w:hAnsi="Book Antiqua" w:cs="SimSun"/>
          <w:color w:val="000000"/>
          <w:sz w:val="24"/>
          <w:szCs w:val="24"/>
          <w:lang w:val="en-US" w:eastAsia="zh-CN"/>
        </w:rPr>
      </w:pPr>
      <w:r w:rsidRPr="006479DA">
        <w:fldChar w:fldCharType="begin"/>
      </w:r>
      <w:r w:rsidR="009807D1" w:rsidRPr="006479DA">
        <w:instrText xml:space="preserve"> </w:instrText>
      </w:r>
      <w:r w:rsidR="00F22811" w:rsidRPr="006479DA">
        <w:instrText>ADDIN</w:instrText>
      </w:r>
      <w:r w:rsidR="009807D1" w:rsidRPr="006479DA">
        <w:instrText xml:space="preserve"> ZOTERO_BIBL {"custom":[]} CSL_BIBLIOGRAPHY </w:instrText>
      </w:r>
      <w:r w:rsidRPr="006479DA">
        <w:fldChar w:fldCharType="separate"/>
      </w:r>
      <w:r w:rsidR="005D75BA" w:rsidRPr="005D75BA">
        <w:rPr>
          <w:rFonts w:ascii="Book Antiqua" w:eastAsia="SimSun" w:hAnsi="Book Antiqua" w:cs="SimSun"/>
          <w:color w:val="000000"/>
          <w:sz w:val="24"/>
          <w:szCs w:val="24"/>
          <w:lang w:val="en-US" w:eastAsia="zh-CN"/>
        </w:rPr>
        <w:t>1 </w:t>
      </w:r>
      <w:r w:rsidR="005D75BA" w:rsidRPr="005D75BA">
        <w:rPr>
          <w:rFonts w:ascii="Book Antiqua" w:eastAsia="SimSun" w:hAnsi="Book Antiqua" w:cs="SimSun"/>
          <w:b/>
          <w:bCs/>
          <w:color w:val="000000"/>
          <w:sz w:val="24"/>
          <w:szCs w:val="24"/>
          <w:lang w:val="en-US" w:eastAsia="zh-CN"/>
        </w:rPr>
        <w:t>Caly WR</w:t>
      </w:r>
      <w:r w:rsidR="005D75BA" w:rsidRPr="005D75BA">
        <w:rPr>
          <w:rFonts w:ascii="Book Antiqua" w:eastAsia="SimSun" w:hAnsi="Book Antiqua" w:cs="SimSun"/>
          <w:color w:val="000000"/>
          <w:sz w:val="24"/>
          <w:szCs w:val="24"/>
          <w:lang w:val="en-US" w:eastAsia="zh-CN"/>
        </w:rPr>
        <w:t>, Strauss E. A prospective study of bacterial infections in patients with cirrhosis.</w:t>
      </w:r>
      <w:r w:rsidR="005D75BA" w:rsidRPr="005D75BA">
        <w:rPr>
          <w:rFonts w:ascii="Book Antiqua" w:eastAsia="SimSun" w:hAnsi="Book Antiqua" w:cs="SimSun" w:hint="eastAsia"/>
          <w:color w:val="000000"/>
          <w:sz w:val="24"/>
          <w:szCs w:val="24"/>
          <w:lang w:val="en-US" w:eastAsia="zh-CN"/>
        </w:rPr>
        <w:t xml:space="preserve"> </w:t>
      </w:r>
      <w:r w:rsidR="005D75BA" w:rsidRPr="005D75BA">
        <w:rPr>
          <w:rFonts w:ascii="Book Antiqua" w:eastAsia="SimSun" w:hAnsi="Book Antiqua" w:cs="SimSun"/>
          <w:i/>
          <w:iCs/>
          <w:color w:val="000000"/>
          <w:sz w:val="24"/>
          <w:szCs w:val="24"/>
          <w:lang w:val="en-US" w:eastAsia="zh-CN"/>
        </w:rPr>
        <w:t>J Hepatol</w:t>
      </w:r>
      <w:r w:rsidR="005D75BA" w:rsidRPr="005D75BA">
        <w:rPr>
          <w:rFonts w:ascii="Book Antiqua" w:eastAsia="SimSun" w:hAnsi="Book Antiqua" w:cs="SimSun" w:hint="eastAsia"/>
          <w:color w:val="000000"/>
          <w:sz w:val="24"/>
          <w:szCs w:val="24"/>
          <w:lang w:val="en-US" w:eastAsia="zh-CN"/>
        </w:rPr>
        <w:t xml:space="preserve"> </w:t>
      </w:r>
      <w:r w:rsidR="005D75BA" w:rsidRPr="005D75BA">
        <w:rPr>
          <w:rFonts w:ascii="Book Antiqua" w:eastAsia="SimSun" w:hAnsi="Book Antiqua" w:cs="SimSun"/>
          <w:color w:val="000000"/>
          <w:sz w:val="24"/>
          <w:szCs w:val="24"/>
          <w:lang w:val="en-US" w:eastAsia="zh-CN"/>
        </w:rPr>
        <w:t>1993; </w:t>
      </w:r>
      <w:r w:rsidR="005D75BA" w:rsidRPr="005D75BA">
        <w:rPr>
          <w:rFonts w:ascii="Book Antiqua" w:eastAsia="SimSun" w:hAnsi="Book Antiqua" w:cs="SimSun"/>
          <w:b/>
          <w:bCs/>
          <w:color w:val="000000"/>
          <w:sz w:val="24"/>
          <w:szCs w:val="24"/>
          <w:lang w:val="en-US" w:eastAsia="zh-CN"/>
        </w:rPr>
        <w:t>18</w:t>
      </w:r>
      <w:r w:rsidR="005D75BA" w:rsidRPr="005D75BA">
        <w:rPr>
          <w:rFonts w:ascii="Book Antiqua" w:eastAsia="SimSun" w:hAnsi="Book Antiqua" w:cs="SimSun"/>
          <w:color w:val="000000"/>
          <w:sz w:val="24"/>
          <w:szCs w:val="24"/>
          <w:lang w:val="en-US" w:eastAsia="zh-CN"/>
        </w:rPr>
        <w:t>: 353-358 [PMID: 8228129 DOI: 10.1016/S0168-8278(05)80280-6]</w:t>
      </w:r>
    </w:p>
    <w:p w14:paraId="2204759B"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2 </w:t>
      </w:r>
      <w:r w:rsidRPr="005D75BA">
        <w:rPr>
          <w:rFonts w:ascii="Book Antiqua" w:eastAsia="SimSun" w:hAnsi="Book Antiqua" w:cs="SimSun"/>
          <w:b/>
          <w:bCs/>
          <w:color w:val="000000"/>
          <w:sz w:val="24"/>
          <w:szCs w:val="24"/>
          <w:lang w:val="en-US" w:eastAsia="zh-CN"/>
        </w:rPr>
        <w:t>Borzio M</w:t>
      </w:r>
      <w:r w:rsidRPr="005D75BA">
        <w:rPr>
          <w:rFonts w:ascii="Book Antiqua" w:eastAsia="SimSun" w:hAnsi="Book Antiqua" w:cs="SimSun"/>
          <w:color w:val="000000"/>
          <w:sz w:val="24"/>
          <w:szCs w:val="24"/>
          <w:lang w:val="en-US" w:eastAsia="zh-CN"/>
        </w:rPr>
        <w:t>, Salerno F, Piantoni L, Cazzaniga M, Angeli P, Bissoli F, Boccia S, Colloredo-Mels G, Corigliano P, Fornaciari G, Marenco G, Pistarà R, Salvagnini M, Sangiovanni A. Bacterial infection in patients with advanced cirrhosis: a multicentre prospective study. </w:t>
      </w:r>
      <w:r w:rsidRPr="005D75BA">
        <w:rPr>
          <w:rFonts w:ascii="Book Antiqua" w:eastAsia="SimSun" w:hAnsi="Book Antiqua" w:cs="SimSun"/>
          <w:i/>
          <w:iCs/>
          <w:color w:val="000000"/>
          <w:sz w:val="24"/>
          <w:szCs w:val="24"/>
          <w:lang w:val="en-US" w:eastAsia="zh-CN"/>
        </w:rPr>
        <w:t>Dig Liver Dis</w:t>
      </w:r>
      <w:r w:rsidRPr="005D75BA">
        <w:rPr>
          <w:rFonts w:ascii="Book Antiqua" w:eastAsia="SimSun" w:hAnsi="Book Antiqua" w:cs="SimSun"/>
          <w:color w:val="000000"/>
          <w:sz w:val="24"/>
          <w:szCs w:val="24"/>
          <w:lang w:val="en-US" w:eastAsia="zh-CN"/>
        </w:rPr>
        <w:t> </w:t>
      </w:r>
      <w:r w:rsidRPr="005D75BA">
        <w:rPr>
          <w:rFonts w:ascii="Book Antiqua" w:eastAsia="SimSun" w:hAnsi="Book Antiqua" w:cs="SimSun" w:hint="eastAsia"/>
          <w:color w:val="000000"/>
          <w:sz w:val="24"/>
          <w:szCs w:val="24"/>
          <w:lang w:val="en-US" w:eastAsia="zh-CN"/>
        </w:rPr>
        <w:t>2001</w:t>
      </w:r>
      <w:r w:rsidRPr="005D75BA">
        <w:rPr>
          <w:rFonts w:ascii="Book Antiqua" w:eastAsia="SimSun" w:hAnsi="Book Antiqua" w:cs="SimSun"/>
          <w:color w:val="000000"/>
          <w:sz w:val="24"/>
          <w:szCs w:val="24"/>
          <w:lang w:val="en-US" w:eastAsia="zh-CN"/>
        </w:rPr>
        <w:t>; </w:t>
      </w:r>
      <w:r w:rsidRPr="005D75BA">
        <w:rPr>
          <w:rFonts w:ascii="Book Antiqua" w:eastAsia="SimSun" w:hAnsi="Book Antiqua" w:cs="SimSun"/>
          <w:b/>
          <w:bCs/>
          <w:color w:val="000000"/>
          <w:sz w:val="24"/>
          <w:szCs w:val="24"/>
          <w:lang w:val="en-US" w:eastAsia="zh-CN"/>
        </w:rPr>
        <w:t>33</w:t>
      </w:r>
      <w:r w:rsidRPr="005D75BA">
        <w:rPr>
          <w:rFonts w:ascii="Book Antiqua" w:eastAsia="SimSun" w:hAnsi="Book Antiqua" w:cs="SimSun"/>
          <w:color w:val="000000"/>
          <w:sz w:val="24"/>
          <w:szCs w:val="24"/>
          <w:lang w:val="en-US" w:eastAsia="zh-CN"/>
        </w:rPr>
        <w:t>: 41-48 [PMID: 11303974]</w:t>
      </w:r>
    </w:p>
    <w:p w14:paraId="20206EC9"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3 </w:t>
      </w:r>
      <w:r w:rsidRPr="005D75BA">
        <w:rPr>
          <w:rFonts w:ascii="Book Antiqua" w:eastAsia="SimSun" w:hAnsi="Book Antiqua" w:cs="SimSun"/>
          <w:b/>
          <w:bCs/>
          <w:color w:val="000000"/>
          <w:sz w:val="24"/>
          <w:szCs w:val="24"/>
          <w:lang w:val="en-US" w:eastAsia="zh-CN"/>
        </w:rPr>
        <w:t>Fernández J</w:t>
      </w:r>
      <w:r w:rsidRPr="005D75BA">
        <w:rPr>
          <w:rFonts w:ascii="Book Antiqua" w:eastAsia="SimSun" w:hAnsi="Book Antiqua" w:cs="SimSun"/>
          <w:color w:val="000000"/>
          <w:sz w:val="24"/>
          <w:szCs w:val="24"/>
          <w:lang w:val="en-US" w:eastAsia="zh-CN"/>
        </w:rPr>
        <w:t>, Navasa M, Gómez J, Colmenero J, Vila J, Arroyo V, Rodés J. Bacterial infections in cirrhosis: epidemiological changes with invasive procedures and norfloxacin prophylaxis. </w:t>
      </w:r>
      <w:r w:rsidRPr="005D75BA">
        <w:rPr>
          <w:rFonts w:ascii="Book Antiqua" w:eastAsia="SimSun" w:hAnsi="Book Antiqua" w:cs="SimSun"/>
          <w:i/>
          <w:iCs/>
          <w:color w:val="000000"/>
          <w:sz w:val="24"/>
          <w:szCs w:val="24"/>
          <w:lang w:val="en-US" w:eastAsia="zh-CN"/>
        </w:rPr>
        <w:t>Hepatology</w:t>
      </w:r>
      <w:r w:rsidRPr="005D75BA">
        <w:rPr>
          <w:rFonts w:ascii="Book Antiqua" w:eastAsia="SimSun" w:hAnsi="Book Antiqua" w:cs="SimSun"/>
          <w:color w:val="000000"/>
          <w:sz w:val="24"/>
          <w:szCs w:val="24"/>
          <w:lang w:val="en-US" w:eastAsia="zh-CN"/>
        </w:rPr>
        <w:t> 2002; </w:t>
      </w:r>
      <w:r w:rsidRPr="005D75BA">
        <w:rPr>
          <w:rFonts w:ascii="Book Antiqua" w:eastAsia="SimSun" w:hAnsi="Book Antiqua" w:cs="SimSun"/>
          <w:b/>
          <w:bCs/>
          <w:color w:val="000000"/>
          <w:sz w:val="24"/>
          <w:szCs w:val="24"/>
          <w:lang w:val="en-US" w:eastAsia="zh-CN"/>
        </w:rPr>
        <w:t>35</w:t>
      </w:r>
      <w:r w:rsidRPr="005D75BA">
        <w:rPr>
          <w:rFonts w:ascii="Book Antiqua" w:eastAsia="SimSun" w:hAnsi="Book Antiqua" w:cs="SimSun"/>
          <w:color w:val="000000"/>
          <w:sz w:val="24"/>
          <w:szCs w:val="24"/>
          <w:lang w:val="en-US" w:eastAsia="zh-CN"/>
        </w:rPr>
        <w:t>: 140-148 [PMID: 11786970 DOI: 10.1053/jhep.2002.30082]</w:t>
      </w:r>
    </w:p>
    <w:p w14:paraId="1746E6B2" w14:textId="61371CAB"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4 </w:t>
      </w:r>
      <w:r w:rsidRPr="005D75BA">
        <w:rPr>
          <w:rFonts w:ascii="Book Antiqua" w:eastAsia="SimSun" w:hAnsi="Book Antiqua" w:cs="SimSun"/>
          <w:b/>
          <w:bCs/>
          <w:color w:val="000000"/>
          <w:sz w:val="24"/>
          <w:szCs w:val="24"/>
          <w:lang w:val="en-US" w:eastAsia="zh-CN"/>
        </w:rPr>
        <w:t>Fernández J</w:t>
      </w:r>
      <w:r w:rsidRPr="005D75BA">
        <w:rPr>
          <w:rFonts w:ascii="Book Antiqua" w:eastAsia="SimSun" w:hAnsi="Book Antiqua" w:cs="SimSun"/>
          <w:color w:val="000000"/>
          <w:sz w:val="24"/>
          <w:szCs w:val="24"/>
          <w:lang w:val="en-US" w:eastAsia="zh-CN"/>
        </w:rPr>
        <w:t>, Acevedo J, Castro M, Garcia O, de Lope CR, Roca D, Pavesi M, Sola E, Moreira L, Silva A, Seva-Pereira T, Corradi F, Mensa J, Ginès P, Arroyo V. Prevalence and risk factors of infections by multiresistant bacteria in cirrhosis: a prospective study. </w:t>
      </w:r>
      <w:r w:rsidRPr="005D75BA">
        <w:rPr>
          <w:rFonts w:ascii="Book Antiqua" w:eastAsia="SimSun" w:hAnsi="Book Antiqua" w:cs="SimSun"/>
          <w:i/>
          <w:iCs/>
          <w:color w:val="000000"/>
          <w:sz w:val="24"/>
          <w:szCs w:val="24"/>
          <w:lang w:val="en-US" w:eastAsia="zh-CN"/>
        </w:rPr>
        <w:t>Hepatology</w:t>
      </w:r>
      <w:r w:rsidRPr="005D75BA">
        <w:rPr>
          <w:rFonts w:ascii="Book Antiqua" w:eastAsia="SimSun" w:hAnsi="Book Antiqua" w:cs="SimSun"/>
          <w:color w:val="000000"/>
          <w:sz w:val="24"/>
          <w:szCs w:val="24"/>
          <w:lang w:val="en-US" w:eastAsia="zh-CN"/>
        </w:rPr>
        <w:t> 2012; </w:t>
      </w:r>
      <w:r w:rsidRPr="005D75BA">
        <w:rPr>
          <w:rFonts w:ascii="Book Antiqua" w:eastAsia="SimSun" w:hAnsi="Book Antiqua" w:cs="SimSun"/>
          <w:b/>
          <w:bCs/>
          <w:color w:val="000000"/>
          <w:sz w:val="24"/>
          <w:szCs w:val="24"/>
          <w:lang w:val="en-US" w:eastAsia="zh-CN"/>
        </w:rPr>
        <w:t>55</w:t>
      </w:r>
      <w:r w:rsidRPr="005D75BA">
        <w:rPr>
          <w:rFonts w:ascii="Book Antiqua" w:eastAsia="SimSun" w:hAnsi="Book Antiqua" w:cs="SimSun"/>
          <w:color w:val="000000"/>
          <w:sz w:val="24"/>
          <w:szCs w:val="24"/>
          <w:lang w:val="en-US" w:eastAsia="zh-CN"/>
        </w:rPr>
        <w:t>: 1551-1561</w:t>
      </w:r>
      <w:r>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[PMID: 22183941 DOI: 10.1002/hep.25532]</w:t>
      </w:r>
    </w:p>
    <w:p w14:paraId="160CEDB1"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5 </w:t>
      </w:r>
      <w:r w:rsidRPr="005D75BA">
        <w:rPr>
          <w:rFonts w:ascii="Book Antiqua" w:eastAsia="SimSun" w:hAnsi="Book Antiqua" w:cs="SimSun"/>
          <w:b/>
          <w:bCs/>
          <w:color w:val="000000"/>
          <w:sz w:val="24"/>
          <w:szCs w:val="24"/>
          <w:lang w:val="en-US" w:eastAsia="zh-CN"/>
        </w:rPr>
        <w:t>Moreau R</w:t>
      </w:r>
      <w:r w:rsidRPr="005D75BA">
        <w:rPr>
          <w:rFonts w:ascii="Book Antiqua" w:eastAsia="SimSun" w:hAnsi="Book Antiqua" w:cs="SimSun"/>
          <w:color w:val="000000"/>
          <w:sz w:val="24"/>
          <w:szCs w:val="24"/>
          <w:lang w:val="en-US" w:eastAsia="zh-CN"/>
        </w:rPr>
        <w:t>, Jalan R, Gines P, Pavesi M, Angeli P, Cordoba J, Durand F, Gustot T, Saliba F, Domenicali M, Gerbes A, Wendon J, Alessandria C, Laleman W, Zeuzem S, Trebicka J, Bernardi M, Arroyo V; </w:t>
      </w:r>
      <w:hyperlink r:id="rId10" w:history="1">
        <w:r w:rsidRPr="005D75BA">
          <w:rPr>
            <w:rFonts w:ascii="Book Antiqua" w:eastAsia="SimSun" w:hAnsi="Book Antiqua" w:cs="SimSun"/>
            <w:sz w:val="24"/>
            <w:szCs w:val="24"/>
            <w:lang w:val="en-US" w:eastAsia="zh-CN"/>
          </w:rPr>
          <w:t>CANONIC Study Investigators of the EASL–CLIF Consortium</w:t>
        </w:r>
      </w:hyperlink>
      <w:r w:rsidRPr="005D75BA">
        <w:rPr>
          <w:rFonts w:ascii="Book Antiqua" w:eastAsia="SimSun" w:hAnsi="Book Antiqua" w:cs="SimSun"/>
          <w:sz w:val="24"/>
          <w:szCs w:val="24"/>
          <w:lang w:val="en-US" w:eastAsia="zh-CN"/>
        </w:rPr>
        <w:t>.</w:t>
      </w:r>
      <w:r w:rsidRPr="005D75BA">
        <w:rPr>
          <w:rFonts w:ascii="Book Antiqua" w:eastAsia="SimSun" w:hAnsi="Book Antiqua" w:cs="SimSun"/>
          <w:color w:val="000000"/>
          <w:sz w:val="24"/>
          <w:szCs w:val="24"/>
          <w:lang w:val="en-US" w:eastAsia="zh-CN"/>
        </w:rPr>
        <w:t xml:space="preserve"> Acute-on-chronic liver failure is a distinct syndrome that develops in patients with acute decompensation of cirrhosis. </w:t>
      </w:r>
      <w:r w:rsidRPr="005D75BA">
        <w:rPr>
          <w:rFonts w:ascii="Book Antiqua" w:eastAsia="SimSun" w:hAnsi="Book Antiqua" w:cs="SimSun"/>
          <w:i/>
          <w:iCs/>
          <w:color w:val="000000"/>
          <w:sz w:val="24"/>
          <w:szCs w:val="24"/>
          <w:lang w:val="en-US" w:eastAsia="zh-CN"/>
        </w:rPr>
        <w:t>Gastroenterology</w:t>
      </w:r>
      <w:r w:rsidRPr="005D75BA">
        <w:rPr>
          <w:rFonts w:ascii="Book Antiqua" w:eastAsia="SimSun" w:hAnsi="Book Antiqua" w:cs="SimSun"/>
          <w:color w:val="000000"/>
          <w:sz w:val="24"/>
          <w:szCs w:val="24"/>
          <w:lang w:val="en-US" w:eastAsia="zh-CN"/>
        </w:rPr>
        <w:t> 2013; </w:t>
      </w:r>
      <w:r w:rsidRPr="005D75BA">
        <w:rPr>
          <w:rFonts w:ascii="Book Antiqua" w:eastAsia="SimSun" w:hAnsi="Book Antiqua" w:cs="SimSun"/>
          <w:b/>
          <w:bCs/>
          <w:color w:val="000000"/>
          <w:sz w:val="24"/>
          <w:szCs w:val="24"/>
          <w:lang w:val="en-US" w:eastAsia="zh-CN"/>
        </w:rPr>
        <w:t>144</w:t>
      </w:r>
      <w:r w:rsidRPr="005D75BA">
        <w:rPr>
          <w:rFonts w:ascii="Book Antiqua" w:eastAsia="SimSun" w:hAnsi="Book Antiqua" w:cs="SimSun"/>
          <w:color w:val="000000"/>
          <w:sz w:val="24"/>
          <w:szCs w:val="24"/>
          <w:lang w:val="en-US" w:eastAsia="zh-CN"/>
        </w:rPr>
        <w:t>: 1426-137, 1437.e1-9 [PMID: 23474284 DOI: 10.1053/j.gastro.2013.02.042]</w:t>
      </w:r>
    </w:p>
    <w:p w14:paraId="09076D88"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6</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color w:val="000000"/>
          <w:sz w:val="24"/>
          <w:szCs w:val="24"/>
          <w:lang w:val="en-US" w:eastAsia="zh-CN"/>
        </w:rPr>
        <w:t>Arvaniti V</w:t>
      </w:r>
      <w:r w:rsidRPr="005D75BA">
        <w:rPr>
          <w:rFonts w:ascii="Book Antiqua" w:eastAsia="SimSun" w:hAnsi="Book Antiqua" w:cs="SimSun"/>
          <w:color w:val="000000"/>
          <w:sz w:val="24"/>
          <w:szCs w:val="24"/>
          <w:lang w:val="en-US" w:eastAsia="zh-CN"/>
        </w:rPr>
        <w:t>, D’Amico G, Fede G, Manousou P, Tsochatzis E, Pleguezuelo M, Burroughs AK. Infections in Patients With Cirrhosis Increase Mortality Four-Fold</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 xml:space="preserve">and Should Be Used in Determining Prognosis. </w:t>
      </w:r>
      <w:r w:rsidRPr="005D75BA">
        <w:rPr>
          <w:rFonts w:ascii="Book Antiqua" w:eastAsia="SimSun" w:hAnsi="Book Antiqua" w:cs="SimSun"/>
          <w:i/>
          <w:color w:val="000000"/>
          <w:sz w:val="24"/>
          <w:szCs w:val="24"/>
          <w:lang w:val="en-US" w:eastAsia="zh-CN"/>
        </w:rPr>
        <w:t xml:space="preserve">Gastroenterology </w:t>
      </w:r>
      <w:r w:rsidRPr="005D75BA">
        <w:rPr>
          <w:rFonts w:ascii="Book Antiqua" w:eastAsia="SimSun" w:hAnsi="Book Antiqua" w:cs="SimSun"/>
          <w:color w:val="000000"/>
          <w:sz w:val="24"/>
          <w:szCs w:val="24"/>
          <w:lang w:val="en-US" w:eastAsia="zh-CN"/>
        </w:rPr>
        <w:t>2010;</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color w:val="000000"/>
          <w:sz w:val="24"/>
          <w:szCs w:val="24"/>
          <w:lang w:val="en-US" w:eastAsia="zh-CN"/>
        </w:rPr>
        <w:t>139</w:t>
      </w:r>
      <w:r w:rsidRPr="005D75BA">
        <w:rPr>
          <w:rFonts w:ascii="Book Antiqua" w:eastAsia="SimSun" w:hAnsi="Book Antiqua" w:cs="SimSun"/>
          <w:color w:val="000000"/>
          <w:sz w:val="24"/>
          <w:szCs w:val="24"/>
          <w:lang w:val="en-US" w:eastAsia="zh-CN"/>
        </w:rPr>
        <w:t>: 1246–1256</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1256.e1-5</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w:t>
      </w:r>
      <w:r w:rsidRPr="005D75BA">
        <w:rPr>
          <w:rFonts w:ascii="Book Antiqua" w:eastAsia="SimSun" w:hAnsi="Book Antiqua" w:cs="SimSun" w:hint="eastAsia"/>
          <w:color w:val="000000"/>
          <w:sz w:val="24"/>
          <w:szCs w:val="24"/>
          <w:lang w:val="en-US" w:eastAsia="zh-CN"/>
        </w:rPr>
        <w:t xml:space="preserve">PMID: </w:t>
      </w:r>
      <w:r w:rsidRPr="005D75BA">
        <w:rPr>
          <w:rFonts w:ascii="Book Antiqua" w:eastAsia="SimSun" w:hAnsi="Book Antiqua" w:cs="SimSun"/>
          <w:color w:val="000000"/>
          <w:sz w:val="24"/>
          <w:szCs w:val="24"/>
          <w:lang w:val="en-US" w:eastAsia="zh-CN"/>
        </w:rPr>
        <w:t>20558165</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DOI: 10.1053/j.gastro.2010.06.019]</w:t>
      </w:r>
    </w:p>
    <w:p w14:paraId="7D019FCB"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7 </w:t>
      </w:r>
      <w:r w:rsidRPr="005D75BA">
        <w:rPr>
          <w:rFonts w:ascii="Book Antiqua" w:eastAsia="SimSun" w:hAnsi="Book Antiqua" w:cs="SimSun"/>
          <w:b/>
          <w:bCs/>
          <w:color w:val="000000"/>
          <w:sz w:val="24"/>
          <w:szCs w:val="24"/>
          <w:lang w:val="en-US" w:eastAsia="zh-CN"/>
        </w:rPr>
        <w:t>Runyon BA</w:t>
      </w:r>
      <w:r w:rsidRPr="005D75BA">
        <w:rPr>
          <w:rFonts w:ascii="Book Antiqua" w:eastAsia="SimSun" w:hAnsi="Book Antiqua" w:cs="SimSun"/>
          <w:color w:val="000000"/>
          <w:sz w:val="24"/>
          <w:szCs w:val="24"/>
          <w:lang w:val="en-US" w:eastAsia="zh-CN"/>
        </w:rPr>
        <w:t>, McHutchison JG, Antillon MR, Akriviadis EA, Montano AA. Short-course versus long-course antibiotic treatment of spontaneous bacterial peritonitis. A randomized controlled study of 100 patients.</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Gastroenterology</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1991;</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bCs/>
          <w:color w:val="000000"/>
          <w:sz w:val="24"/>
          <w:szCs w:val="24"/>
          <w:lang w:val="en-US" w:eastAsia="zh-CN"/>
        </w:rPr>
        <w:t>100</w:t>
      </w:r>
      <w:r w:rsidRPr="005D75BA">
        <w:rPr>
          <w:rFonts w:ascii="Book Antiqua" w:eastAsia="SimSun" w:hAnsi="Book Antiqua" w:cs="SimSun"/>
          <w:color w:val="000000"/>
          <w:sz w:val="24"/>
          <w:szCs w:val="24"/>
          <w:lang w:val="en-US" w:eastAsia="zh-CN"/>
        </w:rPr>
        <w:t>: 1737-1742 [PMID: 2019378]</w:t>
      </w:r>
    </w:p>
    <w:p w14:paraId="425C2116"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8 </w:t>
      </w:r>
      <w:r w:rsidRPr="005D75BA">
        <w:rPr>
          <w:rFonts w:ascii="Book Antiqua" w:eastAsia="SimSun" w:hAnsi="Book Antiqua" w:cs="SimSun"/>
          <w:b/>
          <w:bCs/>
          <w:color w:val="000000"/>
          <w:sz w:val="24"/>
          <w:szCs w:val="24"/>
          <w:lang w:val="en-US" w:eastAsia="zh-CN"/>
        </w:rPr>
        <w:t>Scarpellini E</w:t>
      </w:r>
      <w:r w:rsidRPr="005D75BA">
        <w:rPr>
          <w:rFonts w:ascii="Book Antiqua" w:eastAsia="SimSun" w:hAnsi="Book Antiqua" w:cs="SimSun"/>
          <w:color w:val="000000"/>
          <w:sz w:val="24"/>
          <w:szCs w:val="24"/>
          <w:lang w:val="en-US" w:eastAsia="zh-CN"/>
        </w:rPr>
        <w:t xml:space="preserve">, Valenza V, Gabrielli M, Lauritano EC, Perotti G, Merra G, Dal Lago A, Ojetti V, Ainora ME, Santoro M, Ghirlanda G, Gasbarrini A. Intestinal </w:t>
      </w:r>
      <w:r w:rsidRPr="005D75BA">
        <w:rPr>
          <w:rFonts w:ascii="Book Antiqua" w:eastAsia="SimSun" w:hAnsi="Book Antiqua" w:cs="SimSun"/>
          <w:color w:val="000000"/>
          <w:sz w:val="24"/>
          <w:szCs w:val="24"/>
          <w:lang w:val="en-US" w:eastAsia="zh-CN"/>
        </w:rPr>
        <w:lastRenderedPageBreak/>
        <w:t>permeability in cirrhotic patients with and without spontaneous bacterial peritonitis: is the ring closed? </w:t>
      </w:r>
      <w:r w:rsidRPr="005D75BA">
        <w:rPr>
          <w:rFonts w:ascii="Book Antiqua" w:eastAsia="SimSun" w:hAnsi="Book Antiqua" w:cs="SimSun"/>
          <w:i/>
          <w:iCs/>
          <w:color w:val="000000"/>
          <w:sz w:val="24"/>
          <w:szCs w:val="24"/>
          <w:lang w:val="en-US" w:eastAsia="zh-CN"/>
        </w:rPr>
        <w:t>Am J Gastroenterol</w:t>
      </w:r>
      <w:r w:rsidRPr="005D75BA">
        <w:rPr>
          <w:rFonts w:ascii="Book Antiqua" w:eastAsia="SimSun" w:hAnsi="Book Antiqua" w:cs="SimSun"/>
          <w:color w:val="000000"/>
          <w:sz w:val="24"/>
          <w:szCs w:val="24"/>
          <w:lang w:val="en-US" w:eastAsia="zh-CN"/>
        </w:rPr>
        <w:t> 2010; </w:t>
      </w:r>
      <w:r w:rsidRPr="005D75BA">
        <w:rPr>
          <w:rFonts w:ascii="Book Antiqua" w:eastAsia="SimSun" w:hAnsi="Book Antiqua" w:cs="SimSun"/>
          <w:b/>
          <w:bCs/>
          <w:color w:val="000000"/>
          <w:sz w:val="24"/>
          <w:szCs w:val="24"/>
          <w:lang w:val="en-US" w:eastAsia="zh-CN"/>
        </w:rPr>
        <w:t>105</w:t>
      </w:r>
      <w:r w:rsidRPr="005D75BA">
        <w:rPr>
          <w:rFonts w:ascii="Book Antiqua" w:eastAsia="SimSun" w:hAnsi="Book Antiqua" w:cs="SimSun"/>
          <w:color w:val="000000"/>
          <w:sz w:val="24"/>
          <w:szCs w:val="24"/>
          <w:lang w:val="en-US" w:eastAsia="zh-CN"/>
        </w:rPr>
        <w:t>: 323-327 [PMID: 19844200 DOI: 10.1038/ajg.2009.558]</w:t>
      </w:r>
    </w:p>
    <w:p w14:paraId="636E29DF"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9 </w:t>
      </w:r>
      <w:r w:rsidRPr="005D75BA">
        <w:rPr>
          <w:rFonts w:ascii="Book Antiqua" w:eastAsia="SimSun" w:hAnsi="Book Antiqua" w:cs="SimSun"/>
          <w:b/>
          <w:bCs/>
          <w:color w:val="000000"/>
          <w:sz w:val="24"/>
          <w:szCs w:val="24"/>
          <w:lang w:val="en-US" w:eastAsia="zh-CN"/>
        </w:rPr>
        <w:t>Teltschik Z</w:t>
      </w:r>
      <w:r w:rsidRPr="005D75BA">
        <w:rPr>
          <w:rFonts w:ascii="Book Antiqua" w:eastAsia="SimSun" w:hAnsi="Book Antiqua" w:cs="SimSun"/>
          <w:color w:val="000000"/>
          <w:sz w:val="24"/>
          <w:szCs w:val="24"/>
          <w:lang w:val="en-US" w:eastAsia="zh-CN"/>
        </w:rPr>
        <w:t>, Wiest R, Beisner J, Nuding S, Hofmann C, Schoelmerich J, Bevins CL, Stange EF, Wehkamp J. Intestinal bacterial translocation in rats with cirrhosis is related to compromised Paneth cell antimicrobial host defense. </w:t>
      </w:r>
      <w:r w:rsidRPr="005D75BA">
        <w:rPr>
          <w:rFonts w:ascii="Book Antiqua" w:eastAsia="SimSun" w:hAnsi="Book Antiqua" w:cs="SimSun"/>
          <w:i/>
          <w:iCs/>
          <w:color w:val="000000"/>
          <w:sz w:val="24"/>
          <w:szCs w:val="24"/>
          <w:lang w:val="en-US" w:eastAsia="zh-CN"/>
        </w:rPr>
        <w:t>Hepatology</w:t>
      </w:r>
      <w:r w:rsidRPr="005D75BA">
        <w:rPr>
          <w:rFonts w:ascii="Book Antiqua" w:eastAsia="SimSun" w:hAnsi="Book Antiqua" w:cs="SimSun"/>
          <w:color w:val="000000"/>
          <w:sz w:val="24"/>
          <w:szCs w:val="24"/>
          <w:lang w:val="en-US" w:eastAsia="zh-CN"/>
        </w:rPr>
        <w:t> 2012; </w:t>
      </w:r>
      <w:r w:rsidRPr="005D75BA">
        <w:rPr>
          <w:rFonts w:ascii="Book Antiqua" w:eastAsia="SimSun" w:hAnsi="Book Antiqua" w:cs="SimSun"/>
          <w:b/>
          <w:bCs/>
          <w:color w:val="000000"/>
          <w:sz w:val="24"/>
          <w:szCs w:val="24"/>
          <w:lang w:val="en-US" w:eastAsia="zh-CN"/>
        </w:rPr>
        <w:t>55</w:t>
      </w:r>
      <w:r w:rsidRPr="005D75BA">
        <w:rPr>
          <w:rFonts w:ascii="Book Antiqua" w:eastAsia="SimSun" w:hAnsi="Book Antiqua" w:cs="SimSun"/>
          <w:color w:val="000000"/>
          <w:sz w:val="24"/>
          <w:szCs w:val="24"/>
          <w:lang w:val="en-US" w:eastAsia="zh-CN"/>
        </w:rPr>
        <w:t>: 1154-1163 [PMID: 22095436 DOI: 10.1002/hep.24789]</w:t>
      </w:r>
    </w:p>
    <w:p w14:paraId="14494AE6"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10 </w:t>
      </w:r>
      <w:r w:rsidRPr="005D75BA">
        <w:rPr>
          <w:rFonts w:ascii="Book Antiqua" w:eastAsia="SimSun" w:hAnsi="Book Antiqua" w:cs="SimSun"/>
          <w:b/>
          <w:bCs/>
          <w:color w:val="000000"/>
          <w:sz w:val="24"/>
          <w:szCs w:val="24"/>
          <w:lang w:val="en-US" w:eastAsia="zh-CN"/>
        </w:rPr>
        <w:t>Bruns T</w:t>
      </w:r>
      <w:r w:rsidRPr="005D75BA">
        <w:rPr>
          <w:rFonts w:ascii="Book Antiqua" w:eastAsia="SimSun" w:hAnsi="Book Antiqua" w:cs="SimSun"/>
          <w:color w:val="000000"/>
          <w:sz w:val="24"/>
          <w:szCs w:val="24"/>
          <w:lang w:val="en-US" w:eastAsia="zh-CN"/>
        </w:rPr>
        <w:t>, Zimmermann HW, Stallmach A. Risk factors and outcome of bacterial infections in cirrhosis. </w:t>
      </w:r>
      <w:r w:rsidRPr="005D75BA">
        <w:rPr>
          <w:rFonts w:ascii="Book Antiqua" w:eastAsia="SimSun" w:hAnsi="Book Antiqua" w:cs="SimSun"/>
          <w:i/>
          <w:iCs/>
          <w:color w:val="000000"/>
          <w:sz w:val="24"/>
          <w:szCs w:val="24"/>
          <w:lang w:val="en-US" w:eastAsia="zh-CN"/>
        </w:rPr>
        <w:t>World J Gastroenterol</w:t>
      </w:r>
      <w:r w:rsidRPr="005D75BA">
        <w:rPr>
          <w:rFonts w:ascii="Book Antiqua" w:eastAsia="SimSun" w:hAnsi="Book Antiqua" w:cs="SimSun"/>
          <w:color w:val="000000"/>
          <w:sz w:val="24"/>
          <w:szCs w:val="24"/>
          <w:lang w:val="en-US" w:eastAsia="zh-CN"/>
        </w:rPr>
        <w:t> 2014; </w:t>
      </w:r>
      <w:r w:rsidRPr="005D75BA">
        <w:rPr>
          <w:rFonts w:ascii="Book Antiqua" w:eastAsia="SimSun" w:hAnsi="Book Antiqua" w:cs="SimSun"/>
          <w:b/>
          <w:bCs/>
          <w:color w:val="000000"/>
          <w:sz w:val="24"/>
          <w:szCs w:val="24"/>
          <w:lang w:val="en-US" w:eastAsia="zh-CN"/>
        </w:rPr>
        <w:t>20</w:t>
      </w:r>
      <w:r w:rsidRPr="005D75BA">
        <w:rPr>
          <w:rFonts w:ascii="Book Antiqua" w:eastAsia="SimSun" w:hAnsi="Book Antiqua" w:cs="SimSun"/>
          <w:color w:val="000000"/>
          <w:sz w:val="24"/>
          <w:szCs w:val="24"/>
          <w:lang w:val="en-US" w:eastAsia="zh-CN"/>
        </w:rPr>
        <w:t>: 2542-2554 [PMID: 24627590 DOI: 10.3748/wjg.v20.i10.2542]</w:t>
      </w:r>
    </w:p>
    <w:p w14:paraId="5ACB08D5"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11 </w:t>
      </w:r>
      <w:r w:rsidRPr="005D75BA">
        <w:rPr>
          <w:rFonts w:ascii="Book Antiqua" w:eastAsia="SimSun" w:hAnsi="Book Antiqua" w:cs="SimSun"/>
          <w:b/>
          <w:bCs/>
          <w:color w:val="000000"/>
          <w:sz w:val="24"/>
          <w:szCs w:val="24"/>
          <w:lang w:val="en-US" w:eastAsia="zh-CN"/>
        </w:rPr>
        <w:t>Liboredo JC</w:t>
      </w:r>
      <w:r w:rsidRPr="005D75BA">
        <w:rPr>
          <w:rFonts w:ascii="Book Antiqua" w:eastAsia="SimSun" w:hAnsi="Book Antiqua" w:cs="SimSun"/>
          <w:color w:val="000000"/>
          <w:sz w:val="24"/>
          <w:szCs w:val="24"/>
          <w:lang w:val="en-US" w:eastAsia="zh-CN"/>
        </w:rPr>
        <w:t>, Vilela EG, Ferrari Mde L, Lima AS, Correia MI. Nutrition status and intestinal permeability in patients eligible for liver transplantation. </w:t>
      </w:r>
      <w:r w:rsidRPr="005D75BA">
        <w:rPr>
          <w:rFonts w:ascii="Book Antiqua" w:eastAsia="SimSun" w:hAnsi="Book Antiqua" w:cs="SimSun"/>
          <w:i/>
          <w:iCs/>
          <w:color w:val="000000"/>
          <w:sz w:val="24"/>
          <w:szCs w:val="24"/>
          <w:lang w:val="en-US" w:eastAsia="zh-CN"/>
        </w:rPr>
        <w:t>JPEN J Parenter Enteral Nutr</w:t>
      </w:r>
      <w:r w:rsidRPr="005D75BA">
        <w:rPr>
          <w:rFonts w:ascii="Book Antiqua" w:eastAsia="SimSun" w:hAnsi="Book Antiqua" w:cs="SimSun"/>
          <w:color w:val="000000"/>
          <w:sz w:val="24"/>
          <w:szCs w:val="24"/>
          <w:lang w:val="en-US" w:eastAsia="zh-CN"/>
        </w:rPr>
        <w:t> 2015; </w:t>
      </w:r>
      <w:r w:rsidRPr="005D75BA">
        <w:rPr>
          <w:rFonts w:ascii="Book Antiqua" w:eastAsia="SimSun" w:hAnsi="Book Antiqua" w:cs="SimSun"/>
          <w:b/>
          <w:bCs/>
          <w:color w:val="000000"/>
          <w:sz w:val="24"/>
          <w:szCs w:val="24"/>
          <w:lang w:val="en-US" w:eastAsia="zh-CN"/>
        </w:rPr>
        <w:t>39</w:t>
      </w:r>
      <w:r w:rsidRPr="005D75BA">
        <w:rPr>
          <w:rFonts w:ascii="Book Antiqua" w:eastAsia="SimSun" w:hAnsi="Book Antiqua" w:cs="SimSun"/>
          <w:color w:val="000000"/>
          <w:sz w:val="24"/>
          <w:szCs w:val="24"/>
          <w:lang w:val="en-US" w:eastAsia="zh-CN"/>
        </w:rPr>
        <w:t>: 163-170 [PMID: 24255087 DOI: 10.1177/0148607113513465]</w:t>
      </w:r>
    </w:p>
    <w:p w14:paraId="3A1EC4D2"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12 </w:t>
      </w:r>
      <w:r w:rsidRPr="005D75BA">
        <w:rPr>
          <w:rFonts w:ascii="Book Antiqua" w:eastAsia="SimSun" w:hAnsi="Book Antiqua" w:cs="SimSun"/>
          <w:b/>
          <w:bCs/>
          <w:color w:val="000000"/>
          <w:sz w:val="24"/>
          <w:szCs w:val="24"/>
          <w:lang w:val="en-US" w:eastAsia="zh-CN"/>
        </w:rPr>
        <w:t>Pascual S</w:t>
      </w:r>
      <w:r w:rsidRPr="005D75BA">
        <w:rPr>
          <w:rFonts w:ascii="Book Antiqua" w:eastAsia="SimSun" w:hAnsi="Book Antiqua" w:cs="SimSun"/>
          <w:color w:val="000000"/>
          <w:sz w:val="24"/>
          <w:szCs w:val="24"/>
          <w:lang w:val="en-US" w:eastAsia="zh-CN"/>
        </w:rPr>
        <w:t>, Such J, Esteban A, Zapater P, Casellas JA, Aparicio JR, Girona E, Gutiérrez A, Carnices F, Palazón JM, Sola-Vera J, Pérez-Mateo M. Intestinal permeability is increased in patients with advanced cirrhosis.</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Hepatogastroenterology</w:t>
      </w:r>
      <w:r w:rsidRPr="005D75BA">
        <w:rPr>
          <w:rFonts w:ascii="Book Antiqua" w:eastAsia="SimSun" w:hAnsi="Book Antiqua" w:cs="SimSun" w:hint="eastAsia"/>
          <w:color w:val="000000"/>
          <w:sz w:val="24"/>
          <w:szCs w:val="24"/>
          <w:lang w:val="en-US" w:eastAsia="zh-CN"/>
        </w:rPr>
        <w:t xml:space="preserve"> 2003</w:t>
      </w:r>
      <w:r w:rsidRPr="005D75BA">
        <w:rPr>
          <w:rFonts w:ascii="Book Antiqua" w:eastAsia="SimSun" w:hAnsi="Book Antiqua" w:cs="SimSun"/>
          <w:color w:val="000000"/>
          <w:sz w:val="24"/>
          <w:szCs w:val="24"/>
          <w:lang w:val="en-US" w:eastAsia="zh-CN"/>
        </w:rPr>
        <w:t>; </w:t>
      </w:r>
      <w:r w:rsidRPr="005D75BA">
        <w:rPr>
          <w:rFonts w:ascii="Book Antiqua" w:eastAsia="SimSun" w:hAnsi="Book Antiqua" w:cs="SimSun"/>
          <w:b/>
          <w:bCs/>
          <w:color w:val="000000"/>
          <w:sz w:val="24"/>
          <w:szCs w:val="24"/>
          <w:lang w:val="en-US" w:eastAsia="zh-CN"/>
        </w:rPr>
        <w:t>50</w:t>
      </w:r>
      <w:r w:rsidRPr="005D75BA">
        <w:rPr>
          <w:rFonts w:ascii="Book Antiqua" w:eastAsia="SimSun" w:hAnsi="Book Antiqua" w:cs="SimSun"/>
          <w:color w:val="000000"/>
          <w:sz w:val="24"/>
          <w:szCs w:val="24"/>
          <w:lang w:val="en-US" w:eastAsia="zh-CN"/>
        </w:rPr>
        <w:t>: 1482-1486 [PMID: 14571769]</w:t>
      </w:r>
    </w:p>
    <w:p w14:paraId="49718647"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13 </w:t>
      </w:r>
      <w:r w:rsidRPr="005D75BA">
        <w:rPr>
          <w:rFonts w:ascii="Book Antiqua" w:eastAsia="SimSun" w:hAnsi="Book Antiqua" w:cs="SimSun"/>
          <w:b/>
          <w:bCs/>
          <w:color w:val="000000"/>
          <w:sz w:val="24"/>
          <w:szCs w:val="24"/>
          <w:lang w:val="en-US" w:eastAsia="zh-CN"/>
        </w:rPr>
        <w:t>Norman K</w:t>
      </w:r>
      <w:r w:rsidRPr="005D75BA">
        <w:rPr>
          <w:rFonts w:ascii="Book Antiqua" w:eastAsia="SimSun" w:hAnsi="Book Antiqua" w:cs="SimSun"/>
          <w:color w:val="000000"/>
          <w:sz w:val="24"/>
          <w:szCs w:val="24"/>
          <w:lang w:val="en-US" w:eastAsia="zh-CN"/>
        </w:rPr>
        <w:t>, Pirlich M, Schulzke JD, Smoliner C, Lochs H, Valentini L, Bühner S. Increased intestinal permeability in malnourished patients with liver cirrhosis.</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Eur J Clin Nutr</w:t>
      </w:r>
      <w:r w:rsidRPr="005D75BA">
        <w:rPr>
          <w:rFonts w:ascii="Book Antiqua" w:eastAsia="SimSun" w:hAnsi="Book Antiqua" w:cs="SimSun"/>
          <w:color w:val="000000"/>
          <w:sz w:val="24"/>
          <w:szCs w:val="24"/>
          <w:lang w:val="en-US" w:eastAsia="zh-CN"/>
        </w:rPr>
        <w:t> 2012;</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bCs/>
          <w:color w:val="000000"/>
          <w:sz w:val="24"/>
          <w:szCs w:val="24"/>
          <w:lang w:val="en-US" w:eastAsia="zh-CN"/>
        </w:rPr>
        <w:t>66</w:t>
      </w:r>
      <w:r w:rsidRPr="005D75BA">
        <w:rPr>
          <w:rFonts w:ascii="Book Antiqua" w:eastAsia="SimSun" w:hAnsi="Book Antiqua" w:cs="SimSun"/>
          <w:color w:val="000000"/>
          <w:sz w:val="24"/>
          <w:szCs w:val="24"/>
          <w:lang w:val="en-US" w:eastAsia="zh-CN"/>
        </w:rPr>
        <w:t>: 1116-1119 [PMID: 22872031 DOI: 10.1038/ejcn.2012.104]</w:t>
      </w:r>
    </w:p>
    <w:p w14:paraId="23393167" w14:textId="222FD30F"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14 </w:t>
      </w:r>
      <w:r w:rsidRPr="005D75BA">
        <w:rPr>
          <w:rFonts w:ascii="Book Antiqua" w:eastAsia="SimSun" w:hAnsi="Book Antiqua" w:cs="SimSun"/>
          <w:b/>
          <w:bCs/>
          <w:color w:val="000000"/>
          <w:sz w:val="24"/>
          <w:szCs w:val="24"/>
          <w:lang w:val="en-US" w:eastAsia="zh-CN"/>
        </w:rPr>
        <w:t>Wiest R</w:t>
      </w:r>
      <w:r w:rsidRPr="005D75BA">
        <w:rPr>
          <w:rFonts w:ascii="Book Antiqua" w:eastAsia="SimSun" w:hAnsi="Book Antiqua" w:cs="SimSun"/>
          <w:color w:val="000000"/>
          <w:sz w:val="24"/>
          <w:szCs w:val="24"/>
          <w:lang w:val="en-US" w:eastAsia="zh-CN"/>
        </w:rPr>
        <w:t>, Garcia-Tsao G. Bacterial translocation (BT) in cirrhosis.</w:t>
      </w:r>
      <w:r>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Hepatology</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2005;</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bCs/>
          <w:color w:val="000000"/>
          <w:sz w:val="24"/>
          <w:szCs w:val="24"/>
          <w:lang w:val="en-US" w:eastAsia="zh-CN"/>
        </w:rPr>
        <w:t>41</w:t>
      </w:r>
      <w:r w:rsidRPr="005D75BA">
        <w:rPr>
          <w:rFonts w:ascii="Book Antiqua" w:eastAsia="SimSun" w:hAnsi="Book Antiqua" w:cs="SimSun"/>
          <w:color w:val="000000"/>
          <w:sz w:val="24"/>
          <w:szCs w:val="24"/>
          <w:lang w:val="en-US" w:eastAsia="zh-CN"/>
        </w:rPr>
        <w:t>:</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422-433 [PMID: 15723320 DOI: 10.1002/hep.20632]</w:t>
      </w:r>
    </w:p>
    <w:p w14:paraId="64290D90"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15 </w:t>
      </w:r>
      <w:r w:rsidRPr="005D75BA">
        <w:rPr>
          <w:rFonts w:ascii="Book Antiqua" w:eastAsia="SimSun" w:hAnsi="Book Antiqua" w:cs="SimSun"/>
          <w:b/>
          <w:bCs/>
          <w:color w:val="000000"/>
          <w:sz w:val="24"/>
          <w:szCs w:val="24"/>
          <w:lang w:val="en-US" w:eastAsia="zh-CN"/>
        </w:rPr>
        <w:t>Reiberger T</w:t>
      </w:r>
      <w:r w:rsidRPr="005D75BA">
        <w:rPr>
          <w:rFonts w:ascii="Book Antiqua" w:eastAsia="SimSun" w:hAnsi="Book Antiqua" w:cs="SimSun"/>
          <w:color w:val="000000"/>
          <w:sz w:val="24"/>
          <w:szCs w:val="24"/>
          <w:lang w:val="en-US" w:eastAsia="zh-CN"/>
        </w:rPr>
        <w:t>, Ferlitsch A, Payer BA, Mandorfer M, Heinisch BB, Hayden H, Lammert F, Trauner M, Peck-Radosavljevic M, Vogelsang H; </w:t>
      </w:r>
      <w:hyperlink r:id="rId11" w:history="1">
        <w:r w:rsidRPr="005D75BA">
          <w:rPr>
            <w:rFonts w:ascii="Book Antiqua" w:eastAsia="SimSun" w:hAnsi="Book Antiqua" w:cs="SimSun"/>
            <w:sz w:val="24"/>
            <w:szCs w:val="24"/>
            <w:lang w:val="en-US" w:eastAsia="zh-CN"/>
          </w:rPr>
          <w:t>Vienna Hepatic Hemodynamic Lab</w:t>
        </w:r>
      </w:hyperlink>
      <w:r w:rsidRPr="005D75BA">
        <w:rPr>
          <w:rFonts w:ascii="Book Antiqua" w:eastAsia="SimSun" w:hAnsi="Book Antiqua" w:cs="SimSun"/>
          <w:sz w:val="24"/>
          <w:szCs w:val="24"/>
          <w:lang w:val="en-US" w:eastAsia="zh-CN"/>
        </w:rPr>
        <w:t>.</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Non-selective betablocker therapy decreases intestinal permeability and serum levels of LBP and IL-6 in patients with cirrhosis. </w:t>
      </w:r>
      <w:r w:rsidRPr="005D75BA">
        <w:rPr>
          <w:rFonts w:ascii="Book Antiqua" w:eastAsia="SimSun" w:hAnsi="Book Antiqua" w:cs="SimSun"/>
          <w:i/>
          <w:iCs/>
          <w:color w:val="000000"/>
          <w:sz w:val="24"/>
          <w:szCs w:val="24"/>
          <w:lang w:val="en-US" w:eastAsia="zh-CN"/>
        </w:rPr>
        <w:t>J Hepatol</w:t>
      </w:r>
      <w:r w:rsidRPr="005D75BA">
        <w:rPr>
          <w:rFonts w:ascii="Book Antiqua" w:eastAsia="SimSun" w:hAnsi="Book Antiqua" w:cs="SimSun"/>
          <w:color w:val="000000"/>
          <w:sz w:val="24"/>
          <w:szCs w:val="24"/>
          <w:lang w:val="en-US" w:eastAsia="zh-CN"/>
        </w:rPr>
        <w:t> 2013; </w:t>
      </w:r>
      <w:r w:rsidRPr="005D75BA">
        <w:rPr>
          <w:rFonts w:ascii="Book Antiqua" w:eastAsia="SimSun" w:hAnsi="Book Antiqua" w:cs="SimSun"/>
          <w:b/>
          <w:bCs/>
          <w:color w:val="000000"/>
          <w:sz w:val="24"/>
          <w:szCs w:val="24"/>
          <w:lang w:val="en-US" w:eastAsia="zh-CN"/>
        </w:rPr>
        <w:t>58</w:t>
      </w:r>
      <w:r w:rsidRPr="005D75BA">
        <w:rPr>
          <w:rFonts w:ascii="Book Antiqua" w:eastAsia="SimSun" w:hAnsi="Book Antiqua" w:cs="SimSun"/>
          <w:color w:val="000000"/>
          <w:sz w:val="24"/>
          <w:szCs w:val="24"/>
          <w:lang w:val="en-US" w:eastAsia="zh-CN"/>
        </w:rPr>
        <w:t>: 911-921 [PMID: 23262249 DOI: 10.1016/j.jhep.2012.12.011]</w:t>
      </w:r>
    </w:p>
    <w:p w14:paraId="15FA42A7" w14:textId="50020586"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16 </w:t>
      </w:r>
      <w:r w:rsidRPr="005D75BA">
        <w:rPr>
          <w:rFonts w:ascii="Book Antiqua" w:eastAsia="SimSun" w:hAnsi="Book Antiqua" w:cs="SimSun"/>
          <w:b/>
          <w:bCs/>
          <w:color w:val="000000"/>
          <w:sz w:val="24"/>
          <w:szCs w:val="24"/>
          <w:lang w:val="en-US" w:eastAsia="zh-CN"/>
        </w:rPr>
        <w:t>Katouli M</w:t>
      </w:r>
      <w:r w:rsidRPr="005D75BA">
        <w:rPr>
          <w:rFonts w:ascii="Book Antiqua" w:eastAsia="SimSun" w:hAnsi="Book Antiqua" w:cs="SimSun"/>
          <w:color w:val="000000"/>
          <w:sz w:val="24"/>
          <w:szCs w:val="24"/>
          <w:lang w:val="en-US" w:eastAsia="zh-CN"/>
        </w:rPr>
        <w:t>, Nettebladt CG, Muratov V, Ljungqvist O, Bark T, Svenberg T, Möllby R. Selective translocation of coliform bacteria adhering to caecal epithelium of rats during catabolic stress. </w:t>
      </w:r>
      <w:r w:rsidRPr="005D75BA">
        <w:rPr>
          <w:rFonts w:ascii="Book Antiqua" w:eastAsia="SimSun" w:hAnsi="Book Antiqua" w:cs="SimSun"/>
          <w:i/>
          <w:iCs/>
          <w:color w:val="000000"/>
          <w:sz w:val="24"/>
          <w:szCs w:val="24"/>
          <w:lang w:val="en-US" w:eastAsia="zh-CN"/>
        </w:rPr>
        <w:t>J Med Microbiol</w:t>
      </w:r>
      <w:r w:rsidRPr="005D75BA">
        <w:rPr>
          <w:rFonts w:ascii="Book Antiqua" w:eastAsia="SimSun" w:hAnsi="Book Antiqua" w:cs="SimSun"/>
          <w:color w:val="000000"/>
          <w:sz w:val="24"/>
          <w:szCs w:val="24"/>
          <w:lang w:val="en-US" w:eastAsia="zh-CN"/>
        </w:rPr>
        <w:t> 1997;</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bCs/>
          <w:color w:val="000000"/>
          <w:sz w:val="24"/>
          <w:szCs w:val="24"/>
          <w:lang w:val="en-US" w:eastAsia="zh-CN"/>
        </w:rPr>
        <w:t>46</w:t>
      </w:r>
      <w:r w:rsidRPr="005D75BA">
        <w:rPr>
          <w:rFonts w:ascii="Book Antiqua" w:eastAsia="SimSun" w:hAnsi="Book Antiqua" w:cs="SimSun"/>
          <w:color w:val="000000"/>
          <w:sz w:val="24"/>
          <w:szCs w:val="24"/>
          <w:lang w:val="en-US" w:eastAsia="zh-CN"/>
        </w:rPr>
        <w:t>: 571-578 [PMID: 9236741</w:t>
      </w:r>
      <w:r w:rsidR="00425DB0">
        <w:rPr>
          <w:rFonts w:ascii="Book Antiqua" w:eastAsia="SimSun" w:hAnsi="Book Antiqua" w:cs="SimSun" w:hint="eastAsia"/>
          <w:color w:val="000000"/>
          <w:sz w:val="24"/>
          <w:szCs w:val="24"/>
          <w:lang w:val="en-US" w:eastAsia="zh-CN"/>
        </w:rPr>
        <w:t xml:space="preserve"> </w:t>
      </w:r>
      <w:r w:rsidR="00425DB0" w:rsidRPr="00425DB0">
        <w:rPr>
          <w:rFonts w:ascii="Book Antiqua" w:eastAsia="SimSun" w:hAnsi="Book Antiqua" w:cs="SimSun"/>
          <w:color w:val="000000"/>
          <w:sz w:val="24"/>
          <w:szCs w:val="24"/>
          <w:lang w:val="en-US" w:eastAsia="zh-CN"/>
        </w:rPr>
        <w:t>DOI: 10.1099/00222615-46-7-571</w:t>
      </w:r>
      <w:r w:rsidRPr="005D75BA">
        <w:rPr>
          <w:rFonts w:ascii="Book Antiqua" w:eastAsia="SimSun" w:hAnsi="Book Antiqua" w:cs="SimSun"/>
          <w:color w:val="000000"/>
          <w:sz w:val="24"/>
          <w:szCs w:val="24"/>
          <w:lang w:val="en-US" w:eastAsia="zh-CN"/>
        </w:rPr>
        <w:t>]</w:t>
      </w:r>
    </w:p>
    <w:p w14:paraId="3CDBC561" w14:textId="1D948818"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lastRenderedPageBreak/>
        <w:t>17 </w:t>
      </w:r>
      <w:r w:rsidRPr="005D75BA">
        <w:rPr>
          <w:rFonts w:ascii="Book Antiqua" w:eastAsia="SimSun" w:hAnsi="Book Antiqua" w:cs="SimSun"/>
          <w:b/>
          <w:bCs/>
          <w:color w:val="000000"/>
          <w:sz w:val="24"/>
          <w:szCs w:val="24"/>
          <w:lang w:val="en-US" w:eastAsia="zh-CN"/>
        </w:rPr>
        <w:t>Clark E</w:t>
      </w:r>
      <w:r w:rsidRPr="005D75BA">
        <w:rPr>
          <w:rFonts w:ascii="Book Antiqua" w:eastAsia="SimSun" w:hAnsi="Book Antiqua" w:cs="SimSun"/>
          <w:color w:val="000000"/>
          <w:sz w:val="24"/>
          <w:szCs w:val="24"/>
          <w:lang w:val="en-US" w:eastAsia="zh-CN"/>
        </w:rPr>
        <w:t>, Hoare C, Tanianis-Hughes J, Carlson GL, Warhurst G. Interferon gamma induces translocation of commensal Escherichia coli across gut epithelial cells via a lipid raft-mediated process. </w:t>
      </w:r>
      <w:r w:rsidRPr="005D75BA">
        <w:rPr>
          <w:rFonts w:ascii="Book Antiqua" w:eastAsia="SimSun" w:hAnsi="Book Antiqua" w:cs="SimSun"/>
          <w:i/>
          <w:iCs/>
          <w:color w:val="000000"/>
          <w:sz w:val="24"/>
          <w:szCs w:val="24"/>
          <w:lang w:val="en-US" w:eastAsia="zh-CN"/>
        </w:rPr>
        <w:t>Gastroenterology</w:t>
      </w:r>
      <w:r w:rsidRPr="005D75BA">
        <w:rPr>
          <w:rFonts w:ascii="Book Antiqua" w:eastAsia="SimSun" w:hAnsi="Book Antiqua" w:cs="SimSun"/>
          <w:color w:val="000000"/>
          <w:sz w:val="24"/>
          <w:szCs w:val="24"/>
          <w:lang w:val="en-US" w:eastAsia="zh-CN"/>
        </w:rPr>
        <w:t> 2005; </w:t>
      </w:r>
      <w:r w:rsidRPr="005D75BA">
        <w:rPr>
          <w:rFonts w:ascii="Book Antiqua" w:eastAsia="SimSun" w:hAnsi="Book Antiqua" w:cs="SimSun"/>
          <w:b/>
          <w:bCs/>
          <w:color w:val="000000"/>
          <w:sz w:val="24"/>
          <w:szCs w:val="24"/>
          <w:lang w:val="en-US" w:eastAsia="zh-CN"/>
        </w:rPr>
        <w:t>128</w:t>
      </w:r>
      <w:r w:rsidRPr="005D75BA">
        <w:rPr>
          <w:rFonts w:ascii="Book Antiqua" w:eastAsia="SimSun" w:hAnsi="Book Antiqua" w:cs="SimSun"/>
          <w:color w:val="000000"/>
          <w:sz w:val="24"/>
          <w:szCs w:val="24"/>
          <w:lang w:val="en-US" w:eastAsia="zh-CN"/>
        </w:rPr>
        <w:t>: 1258-1267 [PMID: 15887109</w:t>
      </w:r>
      <w:r w:rsidR="00425DB0">
        <w:rPr>
          <w:rFonts w:ascii="Book Antiqua" w:eastAsia="SimSun" w:hAnsi="Book Antiqua" w:cs="SimSun" w:hint="eastAsia"/>
          <w:color w:val="000000"/>
          <w:sz w:val="24"/>
          <w:szCs w:val="24"/>
          <w:lang w:val="en-US" w:eastAsia="zh-CN"/>
        </w:rPr>
        <w:t xml:space="preserve"> </w:t>
      </w:r>
      <w:r w:rsidR="00425DB0" w:rsidRPr="00425DB0">
        <w:rPr>
          <w:rFonts w:ascii="Book Antiqua" w:eastAsia="SimSun" w:hAnsi="Book Antiqua" w:cs="SimSun"/>
          <w:color w:val="000000"/>
          <w:sz w:val="24"/>
          <w:szCs w:val="24"/>
          <w:lang w:val="en-US" w:eastAsia="zh-CN"/>
        </w:rPr>
        <w:t>DOI: 10.1053/j.gastro.2005.01.046</w:t>
      </w:r>
      <w:r w:rsidRPr="005D75BA">
        <w:rPr>
          <w:rFonts w:ascii="Book Antiqua" w:eastAsia="SimSun" w:hAnsi="Book Antiqua" w:cs="SimSun"/>
          <w:color w:val="000000"/>
          <w:sz w:val="24"/>
          <w:szCs w:val="24"/>
          <w:lang w:val="en-US" w:eastAsia="zh-CN"/>
        </w:rPr>
        <w:t>]</w:t>
      </w:r>
    </w:p>
    <w:p w14:paraId="562FE35E"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18 </w:t>
      </w:r>
      <w:r w:rsidRPr="005D75BA">
        <w:rPr>
          <w:rFonts w:ascii="Book Antiqua" w:eastAsia="SimSun" w:hAnsi="Book Antiqua" w:cs="SimSun"/>
          <w:b/>
          <w:bCs/>
          <w:color w:val="000000"/>
          <w:sz w:val="24"/>
          <w:szCs w:val="24"/>
          <w:lang w:val="en-US" w:eastAsia="zh-CN"/>
        </w:rPr>
        <w:t>Macutkiewicz C</w:t>
      </w:r>
      <w:r w:rsidRPr="005D75BA">
        <w:rPr>
          <w:rFonts w:ascii="Book Antiqua" w:eastAsia="SimSun" w:hAnsi="Book Antiqua" w:cs="SimSun"/>
          <w:color w:val="000000"/>
          <w:sz w:val="24"/>
          <w:szCs w:val="24"/>
          <w:lang w:val="en-US" w:eastAsia="zh-CN"/>
        </w:rPr>
        <w:t>, Carlson G, Clark E, Dobrindt U, Roberts I, Warhurst G. Characterisation of Escherichia coli strains involved in transcytosis across gut epithelial cells exposed to metabolic and inflammatory stress. </w:t>
      </w:r>
      <w:r w:rsidRPr="005D75BA">
        <w:rPr>
          <w:rFonts w:ascii="Book Antiqua" w:eastAsia="SimSun" w:hAnsi="Book Antiqua" w:cs="SimSun"/>
          <w:i/>
          <w:iCs/>
          <w:color w:val="000000"/>
          <w:sz w:val="24"/>
          <w:szCs w:val="24"/>
          <w:lang w:val="en-US" w:eastAsia="zh-CN"/>
        </w:rPr>
        <w:t>Microbes Infect</w:t>
      </w:r>
      <w:r w:rsidRPr="005D75BA">
        <w:rPr>
          <w:rFonts w:ascii="Book Antiqua" w:eastAsia="SimSun" w:hAnsi="Book Antiqua" w:cs="SimSun"/>
          <w:color w:val="000000"/>
          <w:sz w:val="24"/>
          <w:szCs w:val="24"/>
          <w:lang w:val="en-US" w:eastAsia="zh-CN"/>
        </w:rPr>
        <w:t> 2008; </w:t>
      </w:r>
      <w:r w:rsidRPr="005D75BA">
        <w:rPr>
          <w:rFonts w:ascii="Book Antiqua" w:eastAsia="SimSun" w:hAnsi="Book Antiqua" w:cs="SimSun"/>
          <w:b/>
          <w:bCs/>
          <w:color w:val="000000"/>
          <w:sz w:val="24"/>
          <w:szCs w:val="24"/>
          <w:lang w:val="en-US" w:eastAsia="zh-CN"/>
        </w:rPr>
        <w:t>10</w:t>
      </w:r>
      <w:r w:rsidRPr="005D75BA">
        <w:rPr>
          <w:rFonts w:ascii="Book Antiqua" w:eastAsia="SimSun" w:hAnsi="Book Antiqua" w:cs="SimSun"/>
          <w:color w:val="000000"/>
          <w:sz w:val="24"/>
          <w:szCs w:val="24"/>
          <w:lang w:val="en-US" w:eastAsia="zh-CN"/>
        </w:rPr>
        <w:t>: 424-431 [PMID: 18403240 DOI: 10.1016/j.micinf.2008.01.001]</w:t>
      </w:r>
    </w:p>
    <w:p w14:paraId="063271C8" w14:textId="06FD2B6A"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19 </w:t>
      </w:r>
      <w:r w:rsidRPr="005D75BA">
        <w:rPr>
          <w:rFonts w:ascii="Book Antiqua" w:eastAsia="SimSun" w:hAnsi="Book Antiqua" w:cs="SimSun"/>
          <w:b/>
          <w:bCs/>
          <w:color w:val="000000"/>
          <w:sz w:val="24"/>
          <w:szCs w:val="24"/>
          <w:lang w:val="en-US" w:eastAsia="zh-CN"/>
        </w:rPr>
        <w:t>Bruewer M</w:t>
      </w:r>
      <w:r w:rsidRPr="005D75BA">
        <w:rPr>
          <w:rFonts w:ascii="Book Antiqua" w:eastAsia="SimSun" w:hAnsi="Book Antiqua" w:cs="SimSun"/>
          <w:color w:val="000000"/>
          <w:sz w:val="24"/>
          <w:szCs w:val="24"/>
          <w:lang w:val="en-US" w:eastAsia="zh-CN"/>
        </w:rPr>
        <w:t>, Luegering A, Kucharzik T, Parkos CA, Madara JL, Hopkins AM, Nusrat A. Proinflammatory cytokines disrupt epithelial barrier function by apoptosis-independent mechanisms. </w:t>
      </w:r>
      <w:r w:rsidRPr="005D75BA">
        <w:rPr>
          <w:rFonts w:ascii="Book Antiqua" w:eastAsia="SimSun" w:hAnsi="Book Antiqua" w:cs="SimSun"/>
          <w:i/>
          <w:iCs/>
          <w:color w:val="000000"/>
          <w:sz w:val="24"/>
          <w:szCs w:val="24"/>
          <w:lang w:val="en-US" w:eastAsia="zh-CN"/>
        </w:rPr>
        <w:t>J Immunol</w:t>
      </w:r>
      <w:r w:rsidRPr="005D75BA">
        <w:rPr>
          <w:rFonts w:ascii="Book Antiqua" w:eastAsia="SimSun" w:hAnsi="Book Antiqua" w:cs="SimSun"/>
          <w:color w:val="000000"/>
          <w:sz w:val="24"/>
          <w:szCs w:val="24"/>
          <w:lang w:val="en-US" w:eastAsia="zh-CN"/>
        </w:rPr>
        <w:t> 2003; </w:t>
      </w:r>
      <w:r w:rsidRPr="005D75BA">
        <w:rPr>
          <w:rFonts w:ascii="Book Antiqua" w:eastAsia="SimSun" w:hAnsi="Book Antiqua" w:cs="SimSun"/>
          <w:b/>
          <w:bCs/>
          <w:color w:val="000000"/>
          <w:sz w:val="24"/>
          <w:szCs w:val="24"/>
          <w:lang w:val="en-US" w:eastAsia="zh-CN"/>
        </w:rPr>
        <w:t>171</w:t>
      </w:r>
      <w:r w:rsidRPr="005D75BA">
        <w:rPr>
          <w:rFonts w:ascii="Book Antiqua" w:eastAsia="SimSun" w:hAnsi="Book Antiqua" w:cs="SimSun"/>
          <w:color w:val="000000"/>
          <w:sz w:val="24"/>
          <w:szCs w:val="24"/>
          <w:lang w:val="en-US" w:eastAsia="zh-CN"/>
        </w:rPr>
        <w:t>: 6164-6172 [PMID: 14634132</w:t>
      </w:r>
      <w:r w:rsidR="007766DD">
        <w:rPr>
          <w:rFonts w:ascii="Book Antiqua" w:eastAsia="SimSun" w:hAnsi="Book Antiqua" w:cs="SimSun" w:hint="eastAsia"/>
          <w:color w:val="000000"/>
          <w:sz w:val="24"/>
          <w:szCs w:val="24"/>
          <w:lang w:val="en-US" w:eastAsia="zh-CN"/>
        </w:rPr>
        <w:t xml:space="preserve"> </w:t>
      </w:r>
      <w:r w:rsidR="007766DD" w:rsidRPr="007766DD">
        <w:rPr>
          <w:rFonts w:ascii="Book Antiqua" w:eastAsia="SimSun" w:hAnsi="Book Antiqua" w:cs="SimSun"/>
          <w:color w:val="000000"/>
          <w:sz w:val="24"/>
          <w:szCs w:val="24"/>
          <w:lang w:val="en-US" w:eastAsia="zh-CN"/>
        </w:rPr>
        <w:t>DOI: 10.4049/jimmunol.171.11.6164</w:t>
      </w:r>
      <w:r w:rsidRPr="005D75BA">
        <w:rPr>
          <w:rFonts w:ascii="Book Antiqua" w:eastAsia="SimSun" w:hAnsi="Book Antiqua" w:cs="SimSun"/>
          <w:color w:val="000000"/>
          <w:sz w:val="24"/>
          <w:szCs w:val="24"/>
          <w:lang w:val="en-US" w:eastAsia="zh-CN"/>
        </w:rPr>
        <w:t>]</w:t>
      </w:r>
    </w:p>
    <w:p w14:paraId="5843B6F5" w14:textId="2D6988D5"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20 </w:t>
      </w:r>
      <w:r w:rsidRPr="005D75BA">
        <w:rPr>
          <w:rFonts w:ascii="Book Antiqua" w:eastAsia="SimSun" w:hAnsi="Book Antiqua" w:cs="SimSun"/>
          <w:b/>
          <w:bCs/>
          <w:color w:val="000000"/>
          <w:sz w:val="24"/>
          <w:szCs w:val="24"/>
          <w:lang w:val="en-US" w:eastAsia="zh-CN"/>
        </w:rPr>
        <w:t>Campillo B</w:t>
      </w:r>
      <w:r w:rsidRPr="005D75BA">
        <w:rPr>
          <w:rFonts w:ascii="Book Antiqua" w:eastAsia="SimSun" w:hAnsi="Book Antiqua" w:cs="SimSun"/>
          <w:color w:val="000000"/>
          <w:sz w:val="24"/>
          <w:szCs w:val="24"/>
          <w:lang w:val="en-US" w:eastAsia="zh-CN"/>
        </w:rPr>
        <w:t>, Pernet P, Bories PN, Richardet JP, Devanlay M, Aussel C. Intestinal permeability in liver cirrhosis: relationship with severe septic complications. </w:t>
      </w:r>
      <w:r w:rsidRPr="005D75BA">
        <w:rPr>
          <w:rFonts w:ascii="Book Antiqua" w:eastAsia="SimSun" w:hAnsi="Book Antiqua" w:cs="SimSun"/>
          <w:i/>
          <w:iCs/>
          <w:color w:val="000000"/>
          <w:sz w:val="24"/>
          <w:szCs w:val="24"/>
          <w:lang w:val="en-US" w:eastAsia="zh-CN"/>
        </w:rPr>
        <w:t>Eur J Gastroenterol Hepatol</w:t>
      </w:r>
      <w:r w:rsidRPr="005D75BA">
        <w:rPr>
          <w:rFonts w:ascii="Book Antiqua" w:eastAsia="SimSun" w:hAnsi="Book Antiqua" w:cs="SimSun"/>
          <w:color w:val="000000"/>
          <w:sz w:val="24"/>
          <w:szCs w:val="24"/>
          <w:lang w:val="en-US" w:eastAsia="zh-CN"/>
        </w:rPr>
        <w:t> 1999; </w:t>
      </w:r>
      <w:r w:rsidRPr="005D75BA">
        <w:rPr>
          <w:rFonts w:ascii="Book Antiqua" w:eastAsia="SimSun" w:hAnsi="Book Antiqua" w:cs="SimSun"/>
          <w:b/>
          <w:bCs/>
          <w:color w:val="000000"/>
          <w:sz w:val="24"/>
          <w:szCs w:val="24"/>
          <w:lang w:val="en-US" w:eastAsia="zh-CN"/>
        </w:rPr>
        <w:t>11</w:t>
      </w:r>
      <w:r w:rsidRPr="005D75BA">
        <w:rPr>
          <w:rFonts w:ascii="Book Antiqua" w:eastAsia="SimSun" w:hAnsi="Book Antiqua" w:cs="SimSun"/>
          <w:color w:val="000000"/>
          <w:sz w:val="24"/>
          <w:szCs w:val="24"/>
          <w:lang w:val="en-US" w:eastAsia="zh-CN"/>
        </w:rPr>
        <w:t>: 755-759 [PMID: 10445796</w:t>
      </w:r>
      <w:r w:rsidR="00425DB0">
        <w:rPr>
          <w:rFonts w:ascii="Book Antiqua" w:eastAsia="SimSun" w:hAnsi="Book Antiqua" w:cs="SimSun" w:hint="eastAsia"/>
          <w:color w:val="000000"/>
          <w:sz w:val="24"/>
          <w:szCs w:val="24"/>
          <w:lang w:val="en-US" w:eastAsia="zh-CN"/>
        </w:rPr>
        <w:t xml:space="preserve"> </w:t>
      </w:r>
      <w:r w:rsidR="007766DD" w:rsidRPr="007766DD">
        <w:rPr>
          <w:rFonts w:ascii="Book Antiqua" w:eastAsia="SimSun" w:hAnsi="Book Antiqua" w:cs="SimSun"/>
          <w:color w:val="000000"/>
          <w:sz w:val="24"/>
          <w:szCs w:val="24"/>
          <w:lang w:val="en-US" w:eastAsia="zh-CN"/>
        </w:rPr>
        <w:t>DOI: 10.1097/00042737-199907000-00013</w:t>
      </w:r>
      <w:r w:rsidRPr="005D75BA">
        <w:rPr>
          <w:rFonts w:ascii="Book Antiqua" w:eastAsia="SimSun" w:hAnsi="Book Antiqua" w:cs="SimSun"/>
          <w:color w:val="000000"/>
          <w:sz w:val="24"/>
          <w:szCs w:val="24"/>
          <w:lang w:val="en-US" w:eastAsia="zh-CN"/>
        </w:rPr>
        <w:t>]</w:t>
      </w:r>
    </w:p>
    <w:p w14:paraId="38CEC2C6"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21 </w:t>
      </w:r>
      <w:r w:rsidRPr="005D75BA">
        <w:rPr>
          <w:rFonts w:ascii="Book Antiqua" w:eastAsia="SimSun" w:hAnsi="Book Antiqua" w:cs="SimSun"/>
          <w:b/>
          <w:bCs/>
          <w:color w:val="000000"/>
          <w:sz w:val="24"/>
          <w:szCs w:val="24"/>
          <w:lang w:val="en-US" w:eastAsia="zh-CN"/>
        </w:rPr>
        <w:t>Benjamin J</w:t>
      </w:r>
      <w:r w:rsidRPr="005D75BA">
        <w:rPr>
          <w:rFonts w:ascii="Book Antiqua" w:eastAsia="SimSun" w:hAnsi="Book Antiqua" w:cs="SimSun"/>
          <w:color w:val="000000"/>
          <w:sz w:val="24"/>
          <w:szCs w:val="24"/>
          <w:lang w:val="en-US" w:eastAsia="zh-CN"/>
        </w:rPr>
        <w:t>, Singla V, Arora I, Sood S, Joshi YK. Intestinal permeability and complications in liver cirrhosis: A prospective cohort study. </w:t>
      </w:r>
      <w:r w:rsidRPr="005D75BA">
        <w:rPr>
          <w:rFonts w:ascii="Book Antiqua" w:eastAsia="SimSun" w:hAnsi="Book Antiqua" w:cs="SimSun"/>
          <w:i/>
          <w:iCs/>
          <w:color w:val="000000"/>
          <w:sz w:val="24"/>
          <w:szCs w:val="24"/>
          <w:lang w:val="en-US" w:eastAsia="zh-CN"/>
        </w:rPr>
        <w:t>Hepatol Res</w:t>
      </w:r>
      <w:r w:rsidRPr="005D75BA">
        <w:rPr>
          <w:rFonts w:ascii="Book Antiqua" w:eastAsia="SimSun" w:hAnsi="Book Antiqua" w:cs="SimSun"/>
          <w:color w:val="000000"/>
          <w:sz w:val="24"/>
          <w:szCs w:val="24"/>
          <w:lang w:val="en-US" w:eastAsia="zh-CN"/>
        </w:rPr>
        <w:t> 2013; </w:t>
      </w:r>
      <w:r w:rsidRPr="005D75BA">
        <w:rPr>
          <w:rFonts w:ascii="Book Antiqua" w:eastAsia="SimSun" w:hAnsi="Book Antiqua" w:cs="SimSun"/>
          <w:b/>
          <w:bCs/>
          <w:color w:val="000000"/>
          <w:sz w:val="24"/>
          <w:szCs w:val="24"/>
          <w:lang w:val="en-US" w:eastAsia="zh-CN"/>
        </w:rPr>
        <w:t>43</w:t>
      </w:r>
      <w:r w:rsidRPr="005D75BA">
        <w:rPr>
          <w:rFonts w:ascii="Book Antiqua" w:eastAsia="SimSun" w:hAnsi="Book Antiqua" w:cs="SimSun"/>
          <w:color w:val="000000"/>
          <w:sz w:val="24"/>
          <w:szCs w:val="24"/>
          <w:lang w:val="en-US" w:eastAsia="zh-CN"/>
        </w:rPr>
        <w:t>: 200-207 [PMID: 22726344 DOI: 10.1111/j.1872-034X.2012.01054.x]</w:t>
      </w:r>
    </w:p>
    <w:p w14:paraId="6F1303BD"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22 </w:t>
      </w:r>
      <w:r w:rsidRPr="005D75BA">
        <w:rPr>
          <w:rFonts w:ascii="Book Antiqua" w:eastAsia="SimSun" w:hAnsi="Book Antiqua" w:cs="SimSun"/>
          <w:b/>
          <w:bCs/>
          <w:color w:val="000000"/>
          <w:sz w:val="24"/>
          <w:szCs w:val="24"/>
          <w:lang w:val="en-US" w:eastAsia="zh-CN"/>
        </w:rPr>
        <w:t>Cariello R</w:t>
      </w:r>
      <w:r w:rsidRPr="005D75BA">
        <w:rPr>
          <w:rFonts w:ascii="Book Antiqua" w:eastAsia="SimSun" w:hAnsi="Book Antiqua" w:cs="SimSun"/>
          <w:color w:val="000000"/>
          <w:sz w:val="24"/>
          <w:szCs w:val="24"/>
          <w:lang w:val="en-US" w:eastAsia="zh-CN"/>
        </w:rPr>
        <w:t>, Federico A, Sapone A, Tuccillo C, Scialdone VR, Tiso A, Miranda A, Portincasa P, Carbonara V, Palasciano G, Martorelli L, Esposito P, Cartenì M, Del Vecchio Blanco C, Loguercio C. Intestinal permeability in patients with chronic liver diseases: Its relationship with the aetiology and the entity of liver damage. </w:t>
      </w:r>
      <w:r w:rsidRPr="005D75BA">
        <w:rPr>
          <w:rFonts w:ascii="Book Antiqua" w:eastAsia="SimSun" w:hAnsi="Book Antiqua" w:cs="SimSun"/>
          <w:i/>
          <w:iCs/>
          <w:color w:val="000000"/>
          <w:sz w:val="24"/>
          <w:szCs w:val="24"/>
          <w:lang w:val="en-US" w:eastAsia="zh-CN"/>
        </w:rPr>
        <w:t>Dig Liver Dis</w:t>
      </w:r>
      <w:r w:rsidRPr="005D75BA">
        <w:rPr>
          <w:rFonts w:ascii="Book Antiqua" w:eastAsia="SimSun" w:hAnsi="Book Antiqua" w:cs="SimSun"/>
          <w:color w:val="000000"/>
          <w:sz w:val="24"/>
          <w:szCs w:val="24"/>
          <w:lang w:val="en-US" w:eastAsia="zh-CN"/>
        </w:rPr>
        <w:t> 2010; </w:t>
      </w:r>
      <w:r w:rsidRPr="005D75BA">
        <w:rPr>
          <w:rFonts w:ascii="Book Antiqua" w:eastAsia="SimSun" w:hAnsi="Book Antiqua" w:cs="SimSun"/>
          <w:b/>
          <w:bCs/>
          <w:color w:val="000000"/>
          <w:sz w:val="24"/>
          <w:szCs w:val="24"/>
          <w:lang w:val="en-US" w:eastAsia="zh-CN"/>
        </w:rPr>
        <w:t>42</w:t>
      </w:r>
      <w:r w:rsidRPr="005D75BA">
        <w:rPr>
          <w:rFonts w:ascii="Book Antiqua" w:eastAsia="SimSun" w:hAnsi="Book Antiqua" w:cs="SimSun"/>
          <w:color w:val="000000"/>
          <w:sz w:val="24"/>
          <w:szCs w:val="24"/>
          <w:lang w:val="en-US" w:eastAsia="zh-CN"/>
        </w:rPr>
        <w:t>: 200-204 [PMID: 19502117 DOI: 10.1016/j.dld.2009.05.001]</w:t>
      </w:r>
    </w:p>
    <w:p w14:paraId="47835362"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23 </w:t>
      </w:r>
      <w:r w:rsidRPr="005D75BA">
        <w:rPr>
          <w:rFonts w:ascii="Book Antiqua" w:eastAsia="SimSun" w:hAnsi="Book Antiqua" w:cs="SimSun"/>
          <w:b/>
          <w:bCs/>
          <w:color w:val="000000"/>
          <w:sz w:val="24"/>
          <w:szCs w:val="24"/>
          <w:lang w:val="en-US" w:eastAsia="zh-CN"/>
        </w:rPr>
        <w:t>Goto K</w:t>
      </w:r>
      <w:r w:rsidRPr="005D75BA">
        <w:rPr>
          <w:rFonts w:ascii="Book Antiqua" w:eastAsia="SimSun" w:hAnsi="Book Antiqua" w:cs="SimSun"/>
          <w:color w:val="000000"/>
          <w:sz w:val="24"/>
          <w:szCs w:val="24"/>
          <w:lang w:val="en-US" w:eastAsia="zh-CN"/>
        </w:rPr>
        <w:t>, Chew F, Torún B, Peerson JM, Brown KH. Epidemiology of altered intestinal permeability to lactulose and mannitol in Guatemalan infants. </w:t>
      </w:r>
      <w:r w:rsidRPr="005D75BA">
        <w:rPr>
          <w:rFonts w:ascii="Book Antiqua" w:eastAsia="SimSun" w:hAnsi="Book Antiqua" w:cs="SimSun"/>
          <w:i/>
          <w:iCs/>
          <w:color w:val="000000"/>
          <w:sz w:val="24"/>
          <w:szCs w:val="24"/>
          <w:lang w:val="en-US" w:eastAsia="zh-CN"/>
        </w:rPr>
        <w:t>J Pediatr Gastroenterol Nutr</w:t>
      </w:r>
      <w:r w:rsidRPr="005D75BA">
        <w:rPr>
          <w:rFonts w:ascii="Book Antiqua" w:eastAsia="SimSun" w:hAnsi="Book Antiqua" w:cs="SimSun"/>
          <w:color w:val="000000"/>
          <w:sz w:val="24"/>
          <w:szCs w:val="24"/>
          <w:lang w:val="en-US" w:eastAsia="zh-CN"/>
        </w:rPr>
        <w:t> 1999; </w:t>
      </w:r>
      <w:r w:rsidRPr="005D75BA">
        <w:rPr>
          <w:rFonts w:ascii="Book Antiqua" w:eastAsia="SimSun" w:hAnsi="Book Antiqua" w:cs="SimSun"/>
          <w:b/>
          <w:bCs/>
          <w:color w:val="000000"/>
          <w:sz w:val="24"/>
          <w:szCs w:val="24"/>
          <w:lang w:val="en-US" w:eastAsia="zh-CN"/>
        </w:rPr>
        <w:t>28</w:t>
      </w:r>
      <w:r w:rsidRPr="005D75BA">
        <w:rPr>
          <w:rFonts w:ascii="Book Antiqua" w:eastAsia="SimSun" w:hAnsi="Book Antiqua" w:cs="SimSun"/>
          <w:color w:val="000000"/>
          <w:sz w:val="24"/>
          <w:szCs w:val="24"/>
          <w:lang w:val="en-US" w:eastAsia="zh-CN"/>
        </w:rPr>
        <w:t>: 282-290 [PMID: 10067729]</w:t>
      </w:r>
    </w:p>
    <w:p w14:paraId="1422BBD5"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24 </w:t>
      </w:r>
      <w:r w:rsidRPr="005D75BA">
        <w:rPr>
          <w:rFonts w:ascii="Book Antiqua" w:eastAsia="SimSun" w:hAnsi="Book Antiqua" w:cs="SimSun"/>
          <w:b/>
          <w:bCs/>
          <w:color w:val="000000"/>
          <w:sz w:val="24"/>
          <w:szCs w:val="24"/>
          <w:lang w:val="en-US" w:eastAsia="zh-CN"/>
        </w:rPr>
        <w:t>Bruns T</w:t>
      </w:r>
      <w:r w:rsidRPr="005D75BA">
        <w:rPr>
          <w:rFonts w:ascii="Book Antiqua" w:eastAsia="SimSun" w:hAnsi="Book Antiqua" w:cs="SimSun"/>
          <w:color w:val="000000"/>
          <w:sz w:val="24"/>
          <w:szCs w:val="24"/>
          <w:lang w:val="en-US" w:eastAsia="zh-CN"/>
        </w:rPr>
        <w:t>, Peter J, Hagel S, Herrmann A, Stallmach A. The augmented neutrophil respiratory burst in response to Escherichia coli is reduced in liver cirrhosis during infection. </w:t>
      </w:r>
      <w:r w:rsidRPr="005D75BA">
        <w:rPr>
          <w:rFonts w:ascii="Book Antiqua" w:eastAsia="SimSun" w:hAnsi="Book Antiqua" w:cs="SimSun"/>
          <w:i/>
          <w:iCs/>
          <w:color w:val="000000"/>
          <w:sz w:val="24"/>
          <w:szCs w:val="24"/>
          <w:lang w:val="en-US" w:eastAsia="zh-CN"/>
        </w:rPr>
        <w:t>Clin Exp Immunol</w:t>
      </w:r>
      <w:r w:rsidRPr="005D75BA">
        <w:rPr>
          <w:rFonts w:ascii="Book Antiqua" w:eastAsia="SimSun" w:hAnsi="Book Antiqua" w:cs="SimSun"/>
          <w:color w:val="000000"/>
          <w:sz w:val="24"/>
          <w:szCs w:val="24"/>
          <w:lang w:val="en-US" w:eastAsia="zh-CN"/>
        </w:rPr>
        <w:t> 2011; </w:t>
      </w:r>
      <w:r w:rsidRPr="005D75BA">
        <w:rPr>
          <w:rFonts w:ascii="Book Antiqua" w:eastAsia="SimSun" w:hAnsi="Book Antiqua" w:cs="SimSun"/>
          <w:b/>
          <w:bCs/>
          <w:color w:val="000000"/>
          <w:sz w:val="24"/>
          <w:szCs w:val="24"/>
          <w:lang w:val="en-US" w:eastAsia="zh-CN"/>
        </w:rPr>
        <w:t>164</w:t>
      </w:r>
      <w:r w:rsidRPr="005D75BA">
        <w:rPr>
          <w:rFonts w:ascii="Book Antiqua" w:eastAsia="SimSun" w:hAnsi="Book Antiqua" w:cs="SimSun"/>
          <w:color w:val="000000"/>
          <w:sz w:val="24"/>
          <w:szCs w:val="24"/>
          <w:lang w:val="en-US" w:eastAsia="zh-CN"/>
        </w:rPr>
        <w:t>: 346-356 [PMID: 21413941 DOI: 10.1111/j.1365-2249.2011.04373.x]</w:t>
      </w:r>
    </w:p>
    <w:p w14:paraId="138C9D11"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lastRenderedPageBreak/>
        <w:t>25 </w:t>
      </w:r>
      <w:r w:rsidRPr="005D75BA">
        <w:rPr>
          <w:rFonts w:ascii="Book Antiqua" w:eastAsia="SimSun" w:hAnsi="Book Antiqua" w:cs="SimSun"/>
          <w:b/>
          <w:bCs/>
          <w:color w:val="000000"/>
          <w:sz w:val="24"/>
          <w:szCs w:val="24"/>
          <w:lang w:val="en-US" w:eastAsia="zh-CN"/>
        </w:rPr>
        <w:t>Wang L</w:t>
      </w:r>
      <w:r w:rsidRPr="005D75BA">
        <w:rPr>
          <w:rFonts w:ascii="Book Antiqua" w:eastAsia="SimSun" w:hAnsi="Book Antiqua" w:cs="SimSun"/>
          <w:color w:val="000000"/>
          <w:sz w:val="24"/>
          <w:szCs w:val="24"/>
          <w:lang w:val="en-US" w:eastAsia="zh-CN"/>
        </w:rPr>
        <w:t>, Llorente C, Hartmann P, Yang AM, Chen P, Schnabl B. Methods to determine intestinal permeability and bacterial translocation during liver disease. </w:t>
      </w:r>
      <w:r w:rsidRPr="005D75BA">
        <w:rPr>
          <w:rFonts w:ascii="Book Antiqua" w:eastAsia="SimSun" w:hAnsi="Book Antiqua" w:cs="SimSun"/>
          <w:i/>
          <w:iCs/>
          <w:color w:val="000000"/>
          <w:sz w:val="24"/>
          <w:szCs w:val="24"/>
          <w:lang w:val="en-US" w:eastAsia="zh-CN"/>
        </w:rPr>
        <w:t>J Immunol Methods</w:t>
      </w:r>
      <w:r w:rsidRPr="005D75BA">
        <w:rPr>
          <w:rFonts w:ascii="Book Antiqua" w:eastAsia="SimSun" w:hAnsi="Book Antiqua" w:cs="SimSun"/>
          <w:color w:val="000000"/>
          <w:sz w:val="24"/>
          <w:szCs w:val="24"/>
          <w:lang w:val="en-US" w:eastAsia="zh-CN"/>
        </w:rPr>
        <w:t> 2015; </w:t>
      </w:r>
      <w:r w:rsidRPr="005D75BA">
        <w:rPr>
          <w:rFonts w:ascii="Book Antiqua" w:eastAsia="SimSun" w:hAnsi="Book Antiqua" w:cs="SimSun"/>
          <w:b/>
          <w:bCs/>
          <w:color w:val="000000"/>
          <w:sz w:val="24"/>
          <w:szCs w:val="24"/>
          <w:lang w:val="en-US" w:eastAsia="zh-CN"/>
        </w:rPr>
        <w:t>421</w:t>
      </w:r>
      <w:r w:rsidRPr="005D75BA">
        <w:rPr>
          <w:rFonts w:ascii="Book Antiqua" w:eastAsia="SimSun" w:hAnsi="Book Antiqua" w:cs="SimSun"/>
          <w:color w:val="000000"/>
          <w:sz w:val="24"/>
          <w:szCs w:val="24"/>
          <w:lang w:val="en-US" w:eastAsia="zh-CN"/>
        </w:rPr>
        <w:t>: 44-53 [PMID: 25595554 DOI: 10.1016/j.jim.2014.12.015]</w:t>
      </w:r>
    </w:p>
    <w:p w14:paraId="147261FB"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26 </w:t>
      </w:r>
      <w:r w:rsidRPr="005D75BA">
        <w:rPr>
          <w:rFonts w:ascii="Book Antiqua" w:eastAsia="SimSun" w:hAnsi="Book Antiqua" w:cs="SimSun"/>
          <w:b/>
          <w:bCs/>
          <w:color w:val="000000"/>
          <w:sz w:val="24"/>
          <w:szCs w:val="24"/>
          <w:lang w:val="en-US" w:eastAsia="zh-CN"/>
        </w:rPr>
        <w:t>Albillos A</w:t>
      </w:r>
      <w:r w:rsidRPr="005D75BA">
        <w:rPr>
          <w:rFonts w:ascii="Book Antiqua" w:eastAsia="SimSun" w:hAnsi="Book Antiqua" w:cs="SimSun"/>
          <w:color w:val="000000"/>
          <w:sz w:val="24"/>
          <w:szCs w:val="24"/>
          <w:lang w:val="en-US" w:eastAsia="zh-CN"/>
        </w:rPr>
        <w:t>, de la Hera A, González M, Moya JL, Calleja JL, Monserrat J, Ruiz-del-Arbol L, Alvarez-Mon M. Increased lipopolysaccharide binding protein in cirrhotic patients with marked immune and hemodynamic derangement. </w:t>
      </w:r>
      <w:r w:rsidRPr="005D75BA">
        <w:rPr>
          <w:rFonts w:ascii="Book Antiqua" w:eastAsia="SimSun" w:hAnsi="Book Antiqua" w:cs="SimSun"/>
          <w:i/>
          <w:iCs/>
          <w:color w:val="000000"/>
          <w:sz w:val="24"/>
          <w:szCs w:val="24"/>
          <w:lang w:val="en-US" w:eastAsia="zh-CN"/>
        </w:rPr>
        <w:t>Hepatology</w:t>
      </w:r>
      <w:r w:rsidRPr="005D75BA">
        <w:rPr>
          <w:rFonts w:ascii="Book Antiqua" w:eastAsia="SimSun" w:hAnsi="Book Antiqua" w:cs="SimSun"/>
          <w:color w:val="000000"/>
          <w:sz w:val="24"/>
          <w:szCs w:val="24"/>
          <w:lang w:val="en-US" w:eastAsia="zh-CN"/>
        </w:rPr>
        <w:t> 2003; </w:t>
      </w:r>
      <w:r w:rsidRPr="005D75BA">
        <w:rPr>
          <w:rFonts w:ascii="Book Antiqua" w:eastAsia="SimSun" w:hAnsi="Book Antiqua" w:cs="SimSun"/>
          <w:b/>
          <w:bCs/>
          <w:color w:val="000000"/>
          <w:sz w:val="24"/>
          <w:szCs w:val="24"/>
          <w:lang w:val="en-US" w:eastAsia="zh-CN"/>
        </w:rPr>
        <w:t>37</w:t>
      </w:r>
      <w:r w:rsidRPr="005D75BA">
        <w:rPr>
          <w:rFonts w:ascii="Book Antiqua" w:eastAsia="SimSun" w:hAnsi="Book Antiqua" w:cs="SimSun"/>
          <w:color w:val="000000"/>
          <w:sz w:val="24"/>
          <w:szCs w:val="24"/>
          <w:lang w:val="en-US" w:eastAsia="zh-CN"/>
        </w:rPr>
        <w:t>: 208-217 [PMID: 12500206 DOI: 10.1053/jhep.2003.50038]</w:t>
      </w:r>
    </w:p>
    <w:p w14:paraId="032594A2"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27 </w:t>
      </w:r>
      <w:r w:rsidRPr="005D75BA">
        <w:rPr>
          <w:rFonts w:ascii="Book Antiqua" w:eastAsia="SimSun" w:hAnsi="Book Antiqua" w:cs="SimSun"/>
          <w:b/>
          <w:bCs/>
          <w:color w:val="000000"/>
          <w:sz w:val="24"/>
          <w:szCs w:val="24"/>
          <w:lang w:val="en-US" w:eastAsia="zh-CN"/>
        </w:rPr>
        <w:t>Tang NY</w:t>
      </w:r>
      <w:r w:rsidRPr="005D75BA">
        <w:rPr>
          <w:rFonts w:ascii="Book Antiqua" w:eastAsia="SimSun" w:hAnsi="Book Antiqua" w:cs="SimSun"/>
          <w:color w:val="000000"/>
          <w:sz w:val="24"/>
          <w:szCs w:val="24"/>
          <w:lang w:val="en-US" w:eastAsia="zh-CN"/>
        </w:rPr>
        <w:t>, Chen WQ. [Significance of lipopolysaccharide binding protein in serum and ascites of patients with hepatic cirrhosis complicated with spontaneous bacterial peritonitis]. </w:t>
      </w:r>
      <w:r w:rsidRPr="005D75BA">
        <w:rPr>
          <w:rFonts w:ascii="Book Antiqua" w:eastAsia="SimSun" w:hAnsi="Book Antiqua" w:cs="SimSun"/>
          <w:i/>
          <w:iCs/>
          <w:color w:val="000000"/>
          <w:sz w:val="24"/>
          <w:szCs w:val="24"/>
          <w:lang w:val="en-US" w:eastAsia="zh-CN"/>
        </w:rPr>
        <w:t>Zhonghua Gan Zang Bing Za Zhi</w:t>
      </w:r>
      <w:r w:rsidRPr="005D75BA">
        <w:rPr>
          <w:rFonts w:ascii="Book Antiqua" w:eastAsia="SimSun" w:hAnsi="Book Antiqua" w:cs="SimSun"/>
          <w:color w:val="000000"/>
          <w:sz w:val="24"/>
          <w:szCs w:val="24"/>
          <w:lang w:val="en-US" w:eastAsia="zh-CN"/>
        </w:rPr>
        <w:t> 2012; </w:t>
      </w:r>
      <w:r w:rsidRPr="005D75BA">
        <w:rPr>
          <w:rFonts w:ascii="Book Antiqua" w:eastAsia="SimSun" w:hAnsi="Book Antiqua" w:cs="SimSun"/>
          <w:b/>
          <w:bCs/>
          <w:color w:val="000000"/>
          <w:sz w:val="24"/>
          <w:szCs w:val="24"/>
          <w:lang w:val="en-US" w:eastAsia="zh-CN"/>
        </w:rPr>
        <w:t>20</w:t>
      </w:r>
      <w:r w:rsidRPr="005D75BA">
        <w:rPr>
          <w:rFonts w:ascii="Book Antiqua" w:eastAsia="SimSun" w:hAnsi="Book Antiqua" w:cs="SimSun"/>
          <w:color w:val="000000"/>
          <w:sz w:val="24"/>
          <w:szCs w:val="24"/>
          <w:lang w:val="en-US" w:eastAsia="zh-CN"/>
        </w:rPr>
        <w:t>: 492-496 [PMID: 23044232]</w:t>
      </w:r>
    </w:p>
    <w:p w14:paraId="53C3B20A"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28</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color w:val="000000"/>
          <w:sz w:val="24"/>
          <w:szCs w:val="24"/>
          <w:lang w:val="en-US" w:eastAsia="zh-CN"/>
        </w:rPr>
        <w:t>Glatz JF</w:t>
      </w:r>
      <w:r w:rsidRPr="005D75BA">
        <w:rPr>
          <w:rFonts w:ascii="Book Antiqua" w:eastAsia="SimSun" w:hAnsi="Book Antiqua" w:cs="SimSun"/>
          <w:color w:val="000000"/>
          <w:sz w:val="24"/>
          <w:szCs w:val="24"/>
          <w:lang w:val="en-US" w:eastAsia="zh-CN"/>
        </w:rPr>
        <w:t>,</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 xml:space="preserve">van der Vusse GJ. Cellular fatty acid-binding proteins: Their function and physiological significance. </w:t>
      </w:r>
      <w:r w:rsidRPr="005D75BA">
        <w:rPr>
          <w:rFonts w:ascii="Book Antiqua" w:eastAsia="SimSun" w:hAnsi="Book Antiqua" w:cs="SimSun"/>
          <w:i/>
          <w:color w:val="000000"/>
          <w:sz w:val="24"/>
          <w:szCs w:val="24"/>
          <w:lang w:val="en-US" w:eastAsia="zh-CN"/>
        </w:rPr>
        <w:t>Prog</w:t>
      </w:r>
      <w:r w:rsidRPr="005D75BA">
        <w:rPr>
          <w:rFonts w:ascii="Book Antiqua" w:eastAsia="SimSun" w:hAnsi="Book Antiqua" w:cs="SimSun" w:hint="eastAsia"/>
          <w:i/>
          <w:color w:val="000000"/>
          <w:sz w:val="24"/>
          <w:szCs w:val="24"/>
          <w:lang w:val="en-US" w:eastAsia="zh-CN"/>
        </w:rPr>
        <w:t xml:space="preserve"> </w:t>
      </w:r>
      <w:r w:rsidRPr="005D75BA">
        <w:rPr>
          <w:rFonts w:ascii="Book Antiqua" w:eastAsia="SimSun" w:hAnsi="Book Antiqua" w:cs="SimSun"/>
          <w:i/>
          <w:color w:val="000000"/>
          <w:sz w:val="24"/>
          <w:szCs w:val="24"/>
          <w:lang w:val="en-US" w:eastAsia="zh-CN"/>
        </w:rPr>
        <w:t>Lipid Res</w:t>
      </w:r>
      <w:r w:rsidRPr="005D75BA">
        <w:rPr>
          <w:rFonts w:ascii="Book Antiqua" w:eastAsia="SimSun" w:hAnsi="Book Antiqua" w:cs="SimSun"/>
          <w:color w:val="000000"/>
          <w:sz w:val="24"/>
          <w:szCs w:val="24"/>
          <w:lang w:val="en-US" w:eastAsia="zh-CN"/>
        </w:rPr>
        <w:t xml:space="preserve"> 1996; </w:t>
      </w:r>
      <w:r w:rsidRPr="005D75BA">
        <w:rPr>
          <w:rFonts w:ascii="Book Antiqua" w:eastAsia="SimSun" w:hAnsi="Book Antiqua" w:cs="SimSun"/>
          <w:b/>
          <w:color w:val="000000"/>
          <w:sz w:val="24"/>
          <w:szCs w:val="24"/>
          <w:lang w:val="en-US" w:eastAsia="zh-CN"/>
        </w:rPr>
        <w:t>35</w:t>
      </w:r>
      <w:r w:rsidRPr="005D75BA">
        <w:rPr>
          <w:rFonts w:ascii="Book Antiqua" w:eastAsia="SimSun" w:hAnsi="Book Antiqua" w:cs="SimSun"/>
          <w:color w:val="000000"/>
          <w:sz w:val="24"/>
          <w:szCs w:val="24"/>
          <w:lang w:val="en-US" w:eastAsia="zh-CN"/>
        </w:rPr>
        <w:t>: 243–282</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w:t>
      </w:r>
      <w:r w:rsidRPr="005D75BA">
        <w:rPr>
          <w:rFonts w:ascii="Book Antiqua" w:eastAsia="SimSun" w:hAnsi="Book Antiqua" w:cs="SimSun" w:hint="eastAsia"/>
          <w:color w:val="000000"/>
          <w:sz w:val="24"/>
          <w:szCs w:val="24"/>
          <w:lang w:val="en-US" w:eastAsia="zh-CN"/>
        </w:rPr>
        <w:t xml:space="preserve">PMID: </w:t>
      </w:r>
      <w:r w:rsidRPr="005D75BA">
        <w:rPr>
          <w:rFonts w:ascii="Book Antiqua" w:eastAsia="SimSun" w:hAnsi="Book Antiqua" w:cs="SimSun"/>
          <w:color w:val="000000"/>
          <w:sz w:val="24"/>
          <w:szCs w:val="24"/>
          <w:lang w:val="en-US" w:eastAsia="zh-CN"/>
        </w:rPr>
        <w:t>9082452</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DOI: 10.1016/S0163-7827(96)00006-9]</w:t>
      </w:r>
    </w:p>
    <w:p w14:paraId="15920367" w14:textId="38CAE72A"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29 </w:t>
      </w:r>
      <w:r w:rsidRPr="005D75BA">
        <w:rPr>
          <w:rFonts w:ascii="Book Antiqua" w:eastAsia="SimSun" w:hAnsi="Book Antiqua" w:cs="SimSun"/>
          <w:b/>
          <w:bCs/>
          <w:color w:val="000000"/>
          <w:sz w:val="24"/>
          <w:szCs w:val="24"/>
          <w:lang w:val="en-US" w:eastAsia="zh-CN"/>
        </w:rPr>
        <w:t>Sandler NG</w:t>
      </w:r>
      <w:r w:rsidRPr="005D75BA">
        <w:rPr>
          <w:rFonts w:ascii="Book Antiqua" w:eastAsia="SimSun" w:hAnsi="Book Antiqua" w:cs="SimSun"/>
          <w:color w:val="000000"/>
          <w:sz w:val="24"/>
          <w:szCs w:val="24"/>
          <w:lang w:val="en-US" w:eastAsia="zh-CN"/>
        </w:rPr>
        <w:t>, Koh C, Roque A, Eccleston JL, Siegel RB, Demino M, Kleiner DE, Deeks SG, Liang TJ, Heller T, Douek DC. Host response to translocated microbial products predicts outcomes of patients with HBV or HCV infection.</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Gastroenterology</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2011;</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b/>
          <w:bCs/>
          <w:color w:val="000000"/>
          <w:sz w:val="24"/>
          <w:szCs w:val="24"/>
          <w:lang w:val="en-US" w:eastAsia="zh-CN"/>
        </w:rPr>
        <w:t>141</w:t>
      </w:r>
      <w:r w:rsidRPr="005D75BA">
        <w:rPr>
          <w:rFonts w:ascii="Book Antiqua" w:eastAsia="SimSun" w:hAnsi="Book Antiqua" w:cs="SimSun"/>
          <w:color w:val="000000"/>
          <w:sz w:val="24"/>
          <w:szCs w:val="24"/>
          <w:lang w:val="en-US" w:eastAsia="zh-CN"/>
        </w:rPr>
        <w:t>: 1220-1</w:t>
      </w:r>
      <w:r w:rsidRPr="005D75BA">
        <w:rPr>
          <w:rFonts w:ascii="Book Antiqua" w:eastAsia="SimSun" w:hAnsi="Book Antiqua" w:cs="SimSun" w:hint="eastAsia"/>
          <w:color w:val="000000"/>
          <w:sz w:val="24"/>
          <w:szCs w:val="24"/>
          <w:lang w:val="en-US" w:eastAsia="zh-CN"/>
        </w:rPr>
        <w:t>2</w:t>
      </w:r>
      <w:r w:rsidRPr="005D75BA">
        <w:rPr>
          <w:rFonts w:ascii="Book Antiqua" w:eastAsia="SimSun" w:hAnsi="Book Antiqua" w:cs="SimSun"/>
          <w:color w:val="000000"/>
          <w:sz w:val="24"/>
          <w:szCs w:val="24"/>
          <w:lang w:val="en-US" w:eastAsia="zh-CN"/>
        </w:rPr>
        <w:t>30, 1230.e1-3</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[PMID: 21726511 DOI: 10.1053/j.gastro.2011.06.063]</w:t>
      </w:r>
    </w:p>
    <w:p w14:paraId="1D9941C3"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 xml:space="preserve">30 </w:t>
      </w:r>
      <w:r w:rsidRPr="005D75BA">
        <w:rPr>
          <w:rFonts w:ascii="Book Antiqua" w:eastAsia="SimSun" w:hAnsi="Book Antiqua" w:cs="SimSun"/>
          <w:b/>
          <w:color w:val="000000"/>
          <w:sz w:val="24"/>
          <w:szCs w:val="24"/>
          <w:lang w:eastAsia="zh-CN"/>
        </w:rPr>
        <w:t>Villa E</w:t>
      </w:r>
      <w:r w:rsidRPr="005D75BA">
        <w:rPr>
          <w:rFonts w:ascii="Book Antiqua" w:eastAsia="SimSun" w:hAnsi="Book Antiqua" w:cs="SimSun"/>
          <w:color w:val="000000"/>
          <w:sz w:val="24"/>
          <w:szCs w:val="24"/>
          <w:lang w:eastAsia="zh-CN"/>
        </w:rPr>
        <w:t>,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w:t>
      </w:r>
      <w:r w:rsidRPr="005D75BA">
        <w:rPr>
          <w:rFonts w:ascii="Book Antiqua" w:eastAsia="SimSun" w:hAnsi="Book Antiqua" w:cs="SimSun" w:hint="eastAsia"/>
          <w:color w:val="000000"/>
          <w:sz w:val="24"/>
          <w:szCs w:val="24"/>
          <w:lang w:eastAsia="zh-CN"/>
        </w:rPr>
        <w:t xml:space="preserve"> </w:t>
      </w:r>
      <w:r w:rsidRPr="005D75BA">
        <w:rPr>
          <w:rFonts w:ascii="Book Antiqua" w:eastAsia="SimSun" w:hAnsi="Book Antiqua" w:cs="SimSun"/>
          <w:i/>
          <w:iCs/>
          <w:color w:val="000000"/>
          <w:sz w:val="24"/>
          <w:szCs w:val="24"/>
          <w:lang w:eastAsia="zh-CN"/>
        </w:rPr>
        <w:t>Gastroenterology</w:t>
      </w:r>
      <w:r w:rsidRPr="005D75BA">
        <w:rPr>
          <w:rFonts w:ascii="Book Antiqua" w:eastAsia="SimSun" w:hAnsi="Book Antiqua" w:cs="SimSun"/>
          <w:color w:val="000000"/>
          <w:sz w:val="24"/>
          <w:szCs w:val="24"/>
          <w:lang w:eastAsia="zh-CN"/>
        </w:rPr>
        <w:t xml:space="preserve"> 2012;</w:t>
      </w:r>
      <w:r w:rsidRPr="005D75BA">
        <w:rPr>
          <w:rFonts w:ascii="Book Antiqua" w:eastAsia="SimSun" w:hAnsi="Book Antiqua" w:cs="SimSun" w:hint="eastAsia"/>
          <w:color w:val="000000"/>
          <w:sz w:val="24"/>
          <w:szCs w:val="24"/>
          <w:lang w:eastAsia="zh-CN"/>
        </w:rPr>
        <w:t xml:space="preserve"> </w:t>
      </w:r>
      <w:r w:rsidRPr="005D75BA">
        <w:rPr>
          <w:rFonts w:ascii="Book Antiqua" w:eastAsia="SimSun" w:hAnsi="Book Antiqua" w:cs="SimSun"/>
          <w:b/>
          <w:bCs/>
          <w:color w:val="000000"/>
          <w:sz w:val="24"/>
          <w:szCs w:val="24"/>
          <w:lang w:eastAsia="zh-CN"/>
        </w:rPr>
        <w:t>143</w:t>
      </w:r>
      <w:r w:rsidRPr="005D75BA">
        <w:rPr>
          <w:rFonts w:ascii="Book Antiqua" w:eastAsia="SimSun" w:hAnsi="Book Antiqua" w:cs="SimSun"/>
          <w:color w:val="000000"/>
          <w:sz w:val="24"/>
          <w:szCs w:val="24"/>
          <w:lang w:eastAsia="zh-CN"/>
        </w:rPr>
        <w:t>: 1253–1260</w:t>
      </w:r>
      <w:r w:rsidRPr="005D75BA">
        <w:rPr>
          <w:rFonts w:ascii="Book Antiqua" w:eastAsia="SimSun" w:hAnsi="Book Antiqua" w:cs="SimSun"/>
          <w:color w:val="000000"/>
          <w:sz w:val="24"/>
          <w:szCs w:val="24"/>
          <w:lang w:val="en-US" w:eastAsia="zh-CN"/>
        </w:rPr>
        <w:t>.e1-4</w:t>
      </w:r>
      <w:r w:rsidRPr="005D75BA">
        <w:rPr>
          <w:rFonts w:ascii="Book Antiqua" w:eastAsia="SimSun" w:hAnsi="Book Antiqua" w:cs="SimSun"/>
          <w:color w:val="000000"/>
          <w:sz w:val="24"/>
          <w:szCs w:val="24"/>
          <w:lang w:eastAsia="zh-CN"/>
        </w:rPr>
        <w:t xml:space="preserve"> [</w:t>
      </w:r>
      <w:r w:rsidRPr="005D75BA">
        <w:rPr>
          <w:rFonts w:ascii="Book Antiqua" w:eastAsia="SimSun" w:hAnsi="Book Antiqua" w:cs="SimSun" w:hint="eastAsia"/>
          <w:color w:val="000000"/>
          <w:sz w:val="24"/>
          <w:szCs w:val="24"/>
          <w:lang w:eastAsia="zh-CN"/>
        </w:rPr>
        <w:t xml:space="preserve">PMID: </w:t>
      </w:r>
      <w:r w:rsidRPr="005D75BA">
        <w:rPr>
          <w:rFonts w:ascii="Book Antiqua" w:eastAsia="SimSun" w:hAnsi="Book Antiqua" w:cs="SimSun"/>
          <w:color w:val="000000"/>
          <w:sz w:val="24"/>
          <w:szCs w:val="24"/>
          <w:lang w:val="en-US" w:eastAsia="zh-CN"/>
        </w:rPr>
        <w:t>22819864</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eastAsia="zh-CN"/>
        </w:rPr>
        <w:t>DOI: 10.1053/j.gastro.2012.07.018]</w:t>
      </w:r>
    </w:p>
    <w:p w14:paraId="1B7CAA49" w14:textId="2B54B824"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31 </w:t>
      </w:r>
      <w:r w:rsidRPr="005D75BA">
        <w:rPr>
          <w:rFonts w:ascii="Book Antiqua" w:eastAsia="SimSun" w:hAnsi="Book Antiqua" w:cs="SimSun"/>
          <w:b/>
          <w:bCs/>
          <w:color w:val="000000"/>
          <w:sz w:val="24"/>
          <w:szCs w:val="24"/>
          <w:lang w:val="en-US" w:eastAsia="zh-CN"/>
        </w:rPr>
        <w:t>Güzel M</w:t>
      </w:r>
      <w:r w:rsidRPr="005D75BA">
        <w:rPr>
          <w:rFonts w:ascii="Book Antiqua" w:eastAsia="SimSun" w:hAnsi="Book Antiqua" w:cs="SimSun"/>
          <w:color w:val="000000"/>
          <w:sz w:val="24"/>
          <w:szCs w:val="24"/>
          <w:lang w:val="en-US" w:eastAsia="zh-CN"/>
        </w:rPr>
        <w:t xml:space="preserve">, Sözüer EM, Salt Ö, </w:t>
      </w:r>
      <w:r w:rsidR="004B1CD5" w:rsidRPr="004B1CD5">
        <w:rPr>
          <w:rFonts w:ascii="Times New Roman" w:eastAsia="SimSun" w:hAnsi="Times New Roman"/>
          <w:color w:val="000000"/>
          <w:sz w:val="24"/>
          <w:szCs w:val="24"/>
          <w:lang w:val="en-US" w:eastAsia="zh-CN"/>
        </w:rPr>
        <w:t>İ</w:t>
      </w:r>
      <w:r w:rsidRPr="005D75BA">
        <w:rPr>
          <w:rFonts w:ascii="Book Antiqua" w:eastAsia="SimSun" w:hAnsi="Book Antiqua" w:cs="SimSun"/>
          <w:color w:val="000000"/>
          <w:sz w:val="24"/>
          <w:szCs w:val="24"/>
          <w:lang w:val="en-US" w:eastAsia="zh-CN"/>
        </w:rPr>
        <w:t xml:space="preserve">kizceli </w:t>
      </w:r>
      <w:r w:rsidR="004B1CD5" w:rsidRPr="004B1CD5">
        <w:rPr>
          <w:rFonts w:ascii="Times New Roman" w:eastAsia="SimSun" w:hAnsi="Times New Roman"/>
          <w:color w:val="000000"/>
          <w:sz w:val="24"/>
          <w:szCs w:val="24"/>
          <w:lang w:val="en-US" w:eastAsia="zh-CN"/>
        </w:rPr>
        <w:t>İ</w:t>
      </w:r>
      <w:r w:rsidRPr="005D75BA">
        <w:rPr>
          <w:rFonts w:ascii="Book Antiqua" w:eastAsia="SimSun" w:hAnsi="Book Antiqua" w:cs="SimSun"/>
          <w:color w:val="000000"/>
          <w:sz w:val="24"/>
          <w:szCs w:val="24"/>
          <w:lang w:val="en-US" w:eastAsia="zh-CN"/>
        </w:rPr>
        <w:t>, Akdur O, Yazıcı C. Value of the serum I-FABP level for diagnosing acute mesenteric ischemia. </w:t>
      </w:r>
      <w:r w:rsidRPr="005D75BA">
        <w:rPr>
          <w:rFonts w:ascii="Book Antiqua" w:eastAsia="SimSun" w:hAnsi="Book Antiqua" w:cs="SimSun"/>
          <w:i/>
          <w:iCs/>
          <w:color w:val="000000"/>
          <w:sz w:val="24"/>
          <w:szCs w:val="24"/>
          <w:lang w:val="en-US" w:eastAsia="zh-CN"/>
        </w:rPr>
        <w:t>Surg Today</w:t>
      </w:r>
      <w:r w:rsidRPr="005D75BA">
        <w:rPr>
          <w:rFonts w:ascii="Book Antiqua" w:eastAsia="SimSun" w:hAnsi="Book Antiqua" w:cs="SimSun"/>
          <w:color w:val="000000"/>
          <w:sz w:val="24"/>
          <w:szCs w:val="24"/>
          <w:lang w:val="en-US" w:eastAsia="zh-CN"/>
        </w:rPr>
        <w:t> 2014; </w:t>
      </w:r>
      <w:r w:rsidRPr="005D75BA">
        <w:rPr>
          <w:rFonts w:ascii="Book Antiqua" w:eastAsia="SimSun" w:hAnsi="Book Antiqua" w:cs="SimSun"/>
          <w:b/>
          <w:bCs/>
          <w:color w:val="000000"/>
          <w:sz w:val="24"/>
          <w:szCs w:val="24"/>
          <w:lang w:val="en-US" w:eastAsia="zh-CN"/>
        </w:rPr>
        <w:t>44</w:t>
      </w:r>
      <w:r w:rsidRPr="005D75BA">
        <w:rPr>
          <w:rFonts w:ascii="Book Antiqua" w:eastAsia="SimSun" w:hAnsi="Book Antiqua" w:cs="SimSun"/>
          <w:color w:val="000000"/>
          <w:sz w:val="24"/>
          <w:szCs w:val="24"/>
          <w:lang w:val="en-US" w:eastAsia="zh-CN"/>
        </w:rPr>
        <w:t>: 2072-2076 [PMID: 24337529 DOI: 10.1007/s00595-013-0810-3]</w:t>
      </w:r>
    </w:p>
    <w:p w14:paraId="189D8132" w14:textId="3AB5AC95"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32 </w:t>
      </w:r>
      <w:r w:rsidRPr="005D75BA">
        <w:rPr>
          <w:rFonts w:ascii="Book Antiqua" w:eastAsia="SimSun" w:hAnsi="Book Antiqua" w:cs="SimSun"/>
          <w:b/>
          <w:bCs/>
          <w:color w:val="000000"/>
          <w:sz w:val="24"/>
          <w:szCs w:val="24"/>
          <w:lang w:val="en-US" w:eastAsia="zh-CN"/>
        </w:rPr>
        <w:t>Matsumoto S</w:t>
      </w:r>
      <w:r w:rsidRPr="005D75BA">
        <w:rPr>
          <w:rFonts w:ascii="Book Antiqua" w:eastAsia="SimSun" w:hAnsi="Book Antiqua" w:cs="SimSun"/>
          <w:color w:val="000000"/>
          <w:sz w:val="24"/>
          <w:szCs w:val="24"/>
          <w:lang w:val="en-US" w:eastAsia="zh-CN"/>
        </w:rPr>
        <w:t>, Sekine K, Funaoka H, Yamazaki M, Shimizu M, Hayashida K, Kitano M. Diagnostic performance of plasma biomarkers in patients with acute intestinal ischaemia.</w:t>
      </w:r>
      <w:r w:rsidR="00425DB0">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Br J Surg</w:t>
      </w:r>
      <w:r w:rsidRPr="005D75BA">
        <w:rPr>
          <w:rFonts w:ascii="Book Antiqua" w:eastAsia="SimSun" w:hAnsi="Book Antiqua" w:cs="SimSun"/>
          <w:color w:val="000000"/>
          <w:sz w:val="24"/>
          <w:szCs w:val="24"/>
          <w:lang w:val="en-US" w:eastAsia="zh-CN"/>
        </w:rPr>
        <w:t> 2014; </w:t>
      </w:r>
      <w:r w:rsidRPr="005D75BA">
        <w:rPr>
          <w:rFonts w:ascii="Book Antiqua" w:eastAsia="SimSun" w:hAnsi="Book Antiqua" w:cs="SimSun"/>
          <w:b/>
          <w:bCs/>
          <w:color w:val="000000"/>
          <w:sz w:val="24"/>
          <w:szCs w:val="24"/>
          <w:lang w:val="en-US" w:eastAsia="zh-CN"/>
        </w:rPr>
        <w:t>101</w:t>
      </w:r>
      <w:r w:rsidRPr="005D75BA">
        <w:rPr>
          <w:rFonts w:ascii="Book Antiqua" w:eastAsia="SimSun" w:hAnsi="Book Antiqua" w:cs="SimSun"/>
          <w:color w:val="000000"/>
          <w:sz w:val="24"/>
          <w:szCs w:val="24"/>
          <w:lang w:val="en-US" w:eastAsia="zh-CN"/>
        </w:rPr>
        <w:t>: 232-238 [PMID: 24402763 DOI: 10.1002/bjs.9331]</w:t>
      </w:r>
    </w:p>
    <w:p w14:paraId="6D722A5C" w14:textId="77777777" w:rsidR="005D75BA" w:rsidRPr="005D75BA" w:rsidRDefault="005D75BA" w:rsidP="005D75BA">
      <w:pPr>
        <w:spacing w:after="0" w:line="360" w:lineRule="auto"/>
        <w:jc w:val="both"/>
        <w:rPr>
          <w:rFonts w:ascii="Book Antiqua" w:eastAsia="SimSun" w:hAnsi="Book Antiqua" w:cs="SimSun"/>
          <w:color w:val="000000"/>
          <w:sz w:val="24"/>
          <w:szCs w:val="24"/>
          <w:lang w:val="en-US" w:eastAsia="zh-CN"/>
        </w:rPr>
      </w:pPr>
      <w:r w:rsidRPr="005D75BA">
        <w:rPr>
          <w:rFonts w:ascii="Book Antiqua" w:eastAsia="SimSun" w:hAnsi="Book Antiqua" w:cs="SimSun"/>
          <w:color w:val="000000"/>
          <w:sz w:val="24"/>
          <w:szCs w:val="24"/>
          <w:lang w:val="en-US" w:eastAsia="zh-CN"/>
        </w:rPr>
        <w:t>33 </w:t>
      </w:r>
      <w:r w:rsidRPr="005D75BA">
        <w:rPr>
          <w:rFonts w:ascii="Book Antiqua" w:eastAsia="SimSun" w:hAnsi="Book Antiqua" w:cs="SimSun"/>
          <w:b/>
          <w:bCs/>
          <w:color w:val="000000"/>
          <w:sz w:val="24"/>
          <w:szCs w:val="24"/>
          <w:lang w:val="en-US" w:eastAsia="zh-CN"/>
        </w:rPr>
        <w:t>Wiest R</w:t>
      </w:r>
      <w:r w:rsidRPr="005D75BA">
        <w:rPr>
          <w:rFonts w:ascii="Book Antiqua" w:eastAsia="SimSun" w:hAnsi="Book Antiqua" w:cs="SimSun"/>
          <w:color w:val="000000"/>
          <w:sz w:val="24"/>
          <w:szCs w:val="24"/>
          <w:lang w:val="en-US" w:eastAsia="zh-CN"/>
        </w:rPr>
        <w:t>, Lawson M, Geuking M. Pathological bacterial translocation in liver cirrhosis.</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i/>
          <w:iCs/>
          <w:color w:val="000000"/>
          <w:sz w:val="24"/>
          <w:szCs w:val="24"/>
          <w:lang w:val="en-US" w:eastAsia="zh-CN"/>
        </w:rPr>
        <w:t>J Hepatol</w:t>
      </w:r>
      <w:r w:rsidRPr="005D75BA">
        <w:rPr>
          <w:rFonts w:ascii="Book Antiqua" w:eastAsia="SimSun" w:hAnsi="Book Antiqua" w:cs="SimSun" w:hint="eastAsia"/>
          <w:color w:val="000000"/>
          <w:sz w:val="24"/>
          <w:szCs w:val="24"/>
          <w:lang w:val="en-US" w:eastAsia="zh-CN"/>
        </w:rPr>
        <w:t xml:space="preserve"> </w:t>
      </w:r>
      <w:r w:rsidRPr="005D75BA">
        <w:rPr>
          <w:rFonts w:ascii="Book Antiqua" w:eastAsia="SimSun" w:hAnsi="Book Antiqua" w:cs="SimSun"/>
          <w:color w:val="000000"/>
          <w:sz w:val="24"/>
          <w:szCs w:val="24"/>
          <w:lang w:val="en-US" w:eastAsia="zh-CN"/>
        </w:rPr>
        <w:t>2014; </w:t>
      </w:r>
      <w:r w:rsidRPr="005D75BA">
        <w:rPr>
          <w:rFonts w:ascii="Book Antiqua" w:eastAsia="SimSun" w:hAnsi="Book Antiqua" w:cs="SimSun"/>
          <w:b/>
          <w:bCs/>
          <w:color w:val="000000"/>
          <w:sz w:val="24"/>
          <w:szCs w:val="24"/>
          <w:lang w:val="en-US" w:eastAsia="zh-CN"/>
        </w:rPr>
        <w:t>60</w:t>
      </w:r>
      <w:r w:rsidRPr="005D75BA">
        <w:rPr>
          <w:rFonts w:ascii="Book Antiqua" w:eastAsia="SimSun" w:hAnsi="Book Antiqua" w:cs="SimSun"/>
          <w:color w:val="000000"/>
          <w:sz w:val="24"/>
          <w:szCs w:val="24"/>
          <w:lang w:val="en-US" w:eastAsia="zh-CN"/>
        </w:rPr>
        <w:t>: 197-209 [PMID: 23993913 DOI: 10.1016/j.jhep.2013.07.044]</w:t>
      </w:r>
    </w:p>
    <w:p w14:paraId="4FD00B66" w14:textId="409FAD42" w:rsidR="005D75BA" w:rsidRPr="005D75BA" w:rsidRDefault="005D75BA" w:rsidP="005D75BA">
      <w:pPr>
        <w:widowControl w:val="0"/>
        <w:wordWrap w:val="0"/>
        <w:spacing w:after="0" w:line="360" w:lineRule="auto"/>
        <w:jc w:val="right"/>
        <w:rPr>
          <w:rFonts w:ascii="Book Antiqua" w:eastAsia="SimSun" w:hAnsi="Book Antiqua"/>
          <w:kern w:val="2"/>
          <w:sz w:val="24"/>
          <w:szCs w:val="24"/>
          <w:lang w:val="en-US" w:eastAsia="zh-CN"/>
        </w:rPr>
      </w:pPr>
      <w:bookmarkStart w:id="53" w:name="OLE_LINK51"/>
      <w:bookmarkStart w:id="54" w:name="OLE_LINK52"/>
      <w:bookmarkStart w:id="55" w:name="OLE_LINK120"/>
      <w:bookmarkStart w:id="56" w:name="OLE_LINK148"/>
      <w:bookmarkStart w:id="57" w:name="OLE_LINK72"/>
      <w:bookmarkStart w:id="58" w:name="OLE_LINK112"/>
      <w:bookmarkStart w:id="59" w:name="OLE_LINK320"/>
      <w:bookmarkStart w:id="60" w:name="OLE_LINK387"/>
      <w:bookmarkStart w:id="61" w:name="OLE_LINK183"/>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r w:rsidRPr="005D75BA">
        <w:rPr>
          <w:rFonts w:ascii="Book Antiqua" w:eastAsia="SimSun" w:hAnsi="Book Antiqua"/>
          <w:b/>
          <w:bCs/>
          <w:kern w:val="2"/>
          <w:sz w:val="24"/>
          <w:szCs w:val="24"/>
          <w:lang w:val="en-US" w:eastAsia="zh-CN"/>
        </w:rPr>
        <w:lastRenderedPageBreak/>
        <w:t>P-Reviewer:</w:t>
      </w:r>
      <w:r w:rsidR="00425DB0">
        <w:rPr>
          <w:rFonts w:ascii="Tahoma" w:eastAsia="SimSun" w:hAnsi="Tahoma" w:cs="Tahoma" w:hint="eastAsia"/>
          <w:color w:val="000000"/>
          <w:kern w:val="2"/>
          <w:sz w:val="18"/>
          <w:szCs w:val="18"/>
          <w:shd w:val="clear" w:color="auto" w:fill="FFFFFF"/>
          <w:lang w:val="en-US" w:eastAsia="zh-CN"/>
        </w:rPr>
        <w:t xml:space="preserve"> </w:t>
      </w:r>
      <w:r w:rsidRPr="005D75BA">
        <w:rPr>
          <w:rFonts w:ascii="Book Antiqua" w:eastAsia="SimSun" w:hAnsi="Book Antiqua"/>
          <w:bCs/>
          <w:kern w:val="2"/>
          <w:sz w:val="24"/>
          <w:szCs w:val="24"/>
          <w:lang w:val="en-US" w:eastAsia="zh-CN"/>
        </w:rPr>
        <w:t>Vorobjova</w:t>
      </w:r>
      <w:r w:rsidRPr="005D75BA">
        <w:rPr>
          <w:rFonts w:ascii="Book Antiqua" w:eastAsia="SimSun" w:hAnsi="Book Antiqua" w:hint="eastAsia"/>
          <w:bCs/>
          <w:kern w:val="2"/>
          <w:sz w:val="24"/>
          <w:szCs w:val="24"/>
          <w:lang w:val="en-US" w:eastAsia="zh-CN"/>
        </w:rPr>
        <w:t xml:space="preserve"> </w:t>
      </w:r>
      <w:r w:rsidRPr="005D75BA">
        <w:rPr>
          <w:rFonts w:ascii="Book Antiqua" w:eastAsia="SimSun" w:hAnsi="Book Antiqua"/>
          <w:bCs/>
          <w:kern w:val="2"/>
          <w:sz w:val="24"/>
          <w:szCs w:val="24"/>
          <w:lang w:val="en-US" w:eastAsia="zh-CN"/>
        </w:rPr>
        <w:t>T</w:t>
      </w:r>
      <w:r w:rsidRPr="005D75BA">
        <w:rPr>
          <w:rFonts w:ascii="Book Antiqua" w:eastAsia="SimSun" w:hAnsi="Book Antiqua" w:hint="eastAsia"/>
          <w:bCs/>
          <w:kern w:val="2"/>
          <w:sz w:val="24"/>
          <w:szCs w:val="24"/>
          <w:lang w:val="en-US" w:eastAsia="zh-CN"/>
        </w:rPr>
        <w:t>,</w:t>
      </w:r>
      <w:r w:rsidR="00425DB0">
        <w:rPr>
          <w:rFonts w:ascii="Book Antiqua" w:eastAsia="SimSun" w:hAnsi="Book Antiqua" w:hint="eastAsia"/>
          <w:bCs/>
          <w:kern w:val="2"/>
          <w:sz w:val="24"/>
          <w:szCs w:val="24"/>
          <w:lang w:val="en-US" w:eastAsia="zh-CN"/>
        </w:rPr>
        <w:t xml:space="preserve"> </w:t>
      </w:r>
      <w:r w:rsidRPr="005D75BA">
        <w:rPr>
          <w:rFonts w:ascii="Book Antiqua" w:eastAsia="SimSun" w:hAnsi="Book Antiqua"/>
          <w:bCs/>
          <w:kern w:val="2"/>
          <w:sz w:val="24"/>
          <w:szCs w:val="24"/>
          <w:lang w:val="en-US" w:eastAsia="zh-CN"/>
        </w:rPr>
        <w:t>zur</w:t>
      </w:r>
      <w:r w:rsidRPr="005D75BA">
        <w:rPr>
          <w:rFonts w:ascii="Book Antiqua" w:eastAsia="SimSun" w:hAnsi="Book Antiqua" w:hint="eastAsia"/>
          <w:bCs/>
          <w:kern w:val="2"/>
          <w:sz w:val="24"/>
          <w:szCs w:val="24"/>
          <w:lang w:val="en-US" w:eastAsia="zh-CN"/>
        </w:rPr>
        <w:t xml:space="preserve"> </w:t>
      </w:r>
      <w:r w:rsidRPr="005D75BA">
        <w:rPr>
          <w:rFonts w:ascii="Book Antiqua" w:eastAsia="SimSun" w:hAnsi="Book Antiqua"/>
          <w:bCs/>
          <w:kern w:val="2"/>
          <w:sz w:val="24"/>
          <w:szCs w:val="24"/>
          <w:lang w:val="en-US" w:eastAsia="zh-CN"/>
        </w:rPr>
        <w:t>Wiesch</w:t>
      </w:r>
      <w:r w:rsidR="00366D30">
        <w:rPr>
          <w:rFonts w:ascii="Book Antiqua" w:eastAsia="SimSun" w:hAnsi="Book Antiqua" w:hint="eastAsia"/>
          <w:bCs/>
          <w:kern w:val="2"/>
          <w:sz w:val="24"/>
          <w:szCs w:val="24"/>
          <w:lang w:val="en-US" w:eastAsia="zh-CN"/>
        </w:rPr>
        <w:t xml:space="preserve"> </w:t>
      </w:r>
      <w:r w:rsidRPr="005D75BA">
        <w:rPr>
          <w:rFonts w:ascii="Book Antiqua" w:eastAsia="SimSun" w:hAnsi="Book Antiqua"/>
          <w:bCs/>
          <w:kern w:val="2"/>
          <w:sz w:val="24"/>
          <w:szCs w:val="24"/>
          <w:lang w:val="en-US" w:eastAsia="zh-CN"/>
        </w:rPr>
        <w:t>JS</w:t>
      </w:r>
      <w:r w:rsidRPr="005D75BA">
        <w:rPr>
          <w:rFonts w:ascii="Book Antiqua" w:eastAsia="SimSun" w:hAnsi="Book Antiqua" w:hint="eastAsia"/>
          <w:b/>
          <w:bCs/>
          <w:kern w:val="2"/>
          <w:sz w:val="24"/>
          <w:szCs w:val="24"/>
          <w:lang w:val="en-US" w:eastAsia="zh-CN"/>
        </w:rPr>
        <w:t xml:space="preserve"> </w:t>
      </w:r>
      <w:r w:rsidRPr="005D75BA">
        <w:rPr>
          <w:rFonts w:ascii="Book Antiqua" w:eastAsia="SimSun" w:hAnsi="Book Antiqua"/>
          <w:b/>
          <w:bCs/>
          <w:kern w:val="2"/>
          <w:sz w:val="24"/>
          <w:szCs w:val="24"/>
          <w:lang w:val="en-US" w:eastAsia="zh-CN"/>
        </w:rPr>
        <w:t>S-Editor:</w:t>
      </w:r>
      <w:r w:rsidRPr="005D75BA">
        <w:rPr>
          <w:rFonts w:ascii="Book Antiqua" w:eastAsia="SimSun" w:hAnsi="Book Antiqua" w:hint="eastAsia"/>
          <w:kern w:val="2"/>
          <w:sz w:val="24"/>
          <w:szCs w:val="24"/>
          <w:lang w:val="en-US" w:eastAsia="zh-CN"/>
        </w:rPr>
        <w:t xml:space="preserve"> Gong ZM</w:t>
      </w:r>
    </w:p>
    <w:p w14:paraId="7B522B2E" w14:textId="77777777" w:rsidR="005D75BA" w:rsidRPr="005D75BA" w:rsidRDefault="005D75BA" w:rsidP="005D75BA">
      <w:pPr>
        <w:widowControl w:val="0"/>
        <w:spacing w:after="0" w:line="360" w:lineRule="auto"/>
        <w:jc w:val="right"/>
        <w:rPr>
          <w:rFonts w:ascii="Book Antiqua" w:eastAsia="SimSun" w:hAnsi="Book Antiqua"/>
          <w:kern w:val="2"/>
          <w:sz w:val="24"/>
          <w:szCs w:val="24"/>
          <w:lang w:val="en-US" w:eastAsia="zh-CN"/>
        </w:rPr>
      </w:pPr>
      <w:r w:rsidRPr="005D75BA">
        <w:rPr>
          <w:rFonts w:ascii="Book Antiqua" w:eastAsia="SimSun" w:hAnsi="Book Antiqua"/>
          <w:b/>
          <w:bCs/>
          <w:kern w:val="2"/>
          <w:sz w:val="24"/>
          <w:szCs w:val="24"/>
          <w:lang w:val="en-US" w:eastAsia="zh-CN"/>
        </w:rPr>
        <w:t>L-Editor:</w:t>
      </w:r>
      <w:r w:rsidRPr="005D75BA">
        <w:rPr>
          <w:rFonts w:ascii="Book Antiqua" w:eastAsia="SimSun" w:hAnsi="Book Antiqua"/>
          <w:kern w:val="2"/>
          <w:sz w:val="24"/>
          <w:szCs w:val="24"/>
          <w:lang w:val="en-US" w:eastAsia="zh-CN"/>
        </w:rPr>
        <w:t xml:space="preserve"> </w:t>
      </w:r>
      <w:r w:rsidRPr="005D75BA">
        <w:rPr>
          <w:rFonts w:ascii="Book Antiqua" w:eastAsia="SimSun" w:hAnsi="Book Antiqua"/>
          <w:b/>
          <w:bCs/>
          <w:kern w:val="2"/>
          <w:sz w:val="24"/>
          <w:szCs w:val="24"/>
          <w:lang w:val="en-US" w:eastAsia="zh-CN"/>
        </w:rPr>
        <w:t>E-Editor:</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14:paraId="1A4F8FD4" w14:textId="77777777" w:rsidR="005D75BA" w:rsidRPr="005D75BA" w:rsidRDefault="005D75BA" w:rsidP="005D75BA">
      <w:pPr>
        <w:widowControl w:val="0"/>
        <w:spacing w:after="0" w:line="360" w:lineRule="auto"/>
        <w:jc w:val="both"/>
        <w:rPr>
          <w:rFonts w:ascii="Book Antiqua" w:eastAsia="SimSun" w:hAnsi="Book Antiqua"/>
          <w:kern w:val="2"/>
          <w:sz w:val="24"/>
          <w:szCs w:val="24"/>
          <w:lang w:val="en-US" w:eastAsia="zh-CN"/>
        </w:rPr>
      </w:pPr>
    </w:p>
    <w:p w14:paraId="0818F1D4" w14:textId="77777777" w:rsidR="000720FD" w:rsidRPr="007A548F" w:rsidRDefault="00810CAC" w:rsidP="007A548F">
      <w:pPr>
        <w:spacing w:after="0" w:line="360" w:lineRule="auto"/>
        <w:jc w:val="both"/>
        <w:rPr>
          <w:rFonts w:ascii="Book Antiqua" w:eastAsia="SimSun" w:hAnsi="Book Antiqua"/>
          <w:sz w:val="24"/>
          <w:szCs w:val="24"/>
          <w:lang w:val="en-US" w:eastAsia="zh-CN"/>
        </w:rPr>
      </w:pPr>
      <w:r w:rsidRPr="006479DA">
        <w:rPr>
          <w:rFonts w:ascii="Book Antiqua" w:hAnsi="Book Antiqua"/>
          <w:sz w:val="24"/>
          <w:szCs w:val="24"/>
          <w:lang w:val="en-US"/>
        </w:rPr>
        <w:fldChar w:fldCharType="end"/>
      </w:r>
    </w:p>
    <w:p w14:paraId="26D358E1" w14:textId="77777777" w:rsidR="000720FD" w:rsidRDefault="000720FD">
      <w:pPr>
        <w:spacing w:after="0" w:line="240" w:lineRule="auto"/>
        <w:rPr>
          <w:rFonts w:ascii="Book Antiqua" w:hAnsi="Book Antiqua"/>
          <w:sz w:val="24"/>
          <w:szCs w:val="24"/>
          <w:lang w:val="en-US"/>
        </w:rPr>
      </w:pPr>
      <w:r>
        <w:rPr>
          <w:rFonts w:ascii="Book Antiqua" w:hAnsi="Book Antiqua"/>
          <w:sz w:val="24"/>
          <w:szCs w:val="24"/>
          <w:lang w:val="en-US"/>
        </w:rPr>
        <w:br w:type="page"/>
      </w:r>
    </w:p>
    <w:p w14:paraId="680E5E3C" w14:textId="073F4740" w:rsidR="00AC6A08" w:rsidRPr="00E72393" w:rsidRDefault="00AC6A08" w:rsidP="005D75BA">
      <w:pPr>
        <w:spacing w:after="0" w:line="360" w:lineRule="auto"/>
        <w:ind w:left="426" w:hanging="426"/>
        <w:jc w:val="both"/>
        <w:rPr>
          <w:rFonts w:ascii="Book Antiqua" w:hAnsi="Book Antiqua"/>
          <w:b/>
          <w:sz w:val="24"/>
          <w:szCs w:val="24"/>
          <w:lang w:val="en-US"/>
        </w:rPr>
      </w:pPr>
      <w:r w:rsidRPr="000720FD">
        <w:rPr>
          <w:rFonts w:ascii="Book Antiqua" w:hAnsi="Book Antiqua"/>
          <w:b/>
          <w:sz w:val="24"/>
          <w:szCs w:val="24"/>
          <w:lang w:val="en-US"/>
        </w:rPr>
        <w:lastRenderedPageBreak/>
        <w:t xml:space="preserve">Table </w:t>
      </w:r>
      <w:r w:rsidRPr="000720FD">
        <w:rPr>
          <w:rFonts w:ascii="Book Antiqua" w:hAnsi="Book Antiqua"/>
          <w:b/>
          <w:sz w:val="24"/>
          <w:szCs w:val="24"/>
        </w:rPr>
        <w:fldChar w:fldCharType="begin"/>
      </w:r>
      <w:r w:rsidRPr="000720FD">
        <w:rPr>
          <w:rFonts w:ascii="Book Antiqua" w:hAnsi="Book Antiqua"/>
          <w:b/>
          <w:sz w:val="24"/>
          <w:szCs w:val="24"/>
          <w:lang w:val="en-US"/>
        </w:rPr>
        <w:instrText xml:space="preserve"> </w:instrText>
      </w:r>
      <w:r w:rsidR="00F22811" w:rsidRPr="000720FD">
        <w:rPr>
          <w:rFonts w:ascii="Book Antiqua" w:hAnsi="Book Antiqua"/>
          <w:b/>
          <w:sz w:val="24"/>
          <w:szCs w:val="24"/>
          <w:lang w:val="en-US"/>
        </w:rPr>
        <w:instrText>SEQ</w:instrText>
      </w:r>
      <w:r w:rsidRPr="000720FD">
        <w:rPr>
          <w:rFonts w:ascii="Book Antiqua" w:hAnsi="Book Antiqua"/>
          <w:b/>
          <w:sz w:val="24"/>
          <w:szCs w:val="24"/>
          <w:lang w:val="en-US"/>
        </w:rPr>
        <w:instrText xml:space="preserve"> Table \* ARABIC </w:instrText>
      </w:r>
      <w:r w:rsidRPr="000720FD">
        <w:rPr>
          <w:rFonts w:ascii="Book Antiqua" w:hAnsi="Book Antiqua"/>
          <w:b/>
          <w:sz w:val="24"/>
          <w:szCs w:val="24"/>
        </w:rPr>
        <w:fldChar w:fldCharType="separate"/>
      </w:r>
      <w:r w:rsidR="00926EFF" w:rsidRPr="000720FD">
        <w:rPr>
          <w:rFonts w:ascii="Book Antiqua" w:hAnsi="Book Antiqua"/>
          <w:b/>
          <w:noProof/>
          <w:sz w:val="24"/>
          <w:szCs w:val="24"/>
          <w:lang w:val="en-US"/>
        </w:rPr>
        <w:t>1</w:t>
      </w:r>
      <w:r w:rsidRPr="000720FD">
        <w:rPr>
          <w:rFonts w:ascii="Book Antiqua" w:hAnsi="Book Antiqua"/>
          <w:b/>
          <w:sz w:val="24"/>
          <w:szCs w:val="24"/>
        </w:rPr>
        <w:fldChar w:fldCharType="end"/>
      </w:r>
      <w:r w:rsidR="00425DB0" w:rsidRPr="000720FD">
        <w:rPr>
          <w:rFonts w:ascii="Book Antiqua" w:eastAsia="SimSun" w:hAnsi="Book Antiqua" w:hint="eastAsia"/>
          <w:b/>
          <w:sz w:val="24"/>
          <w:szCs w:val="24"/>
          <w:lang w:val="en-US" w:eastAsia="zh-CN"/>
        </w:rPr>
        <w:t xml:space="preserve"> </w:t>
      </w:r>
      <w:r w:rsidRPr="000720FD">
        <w:rPr>
          <w:rFonts w:ascii="Book Antiqua" w:hAnsi="Book Antiqua"/>
          <w:b/>
          <w:sz w:val="24"/>
          <w:szCs w:val="24"/>
          <w:lang w:val="en-US"/>
        </w:rPr>
        <w:t>Patients characteristics at baseline (</w:t>
      </w:r>
      <w:r w:rsidR="00C23B49" w:rsidRPr="000720FD">
        <w:rPr>
          <w:rFonts w:ascii="Book Antiqua" w:hAnsi="Book Antiqua"/>
          <w:b/>
          <w:i/>
          <w:sz w:val="24"/>
          <w:szCs w:val="24"/>
          <w:lang w:val="en-US"/>
        </w:rPr>
        <w:t>n</w:t>
      </w:r>
      <w:r w:rsidR="00C23B49" w:rsidRPr="000720FD">
        <w:rPr>
          <w:rFonts w:ascii="Book Antiqua" w:eastAsia="SimSun" w:hAnsi="Book Antiqua"/>
          <w:b/>
          <w:sz w:val="24"/>
          <w:szCs w:val="24"/>
          <w:lang w:val="en-US" w:eastAsia="zh-CN"/>
        </w:rPr>
        <w:t xml:space="preserve"> </w:t>
      </w:r>
      <w:r w:rsidRPr="000720FD">
        <w:rPr>
          <w:rFonts w:ascii="Book Antiqua" w:hAnsi="Book Antiqua"/>
          <w:b/>
          <w:sz w:val="24"/>
          <w:szCs w:val="24"/>
          <w:lang w:val="en-US"/>
        </w:rPr>
        <w:t>=</w:t>
      </w:r>
      <w:r w:rsidR="00C23B49" w:rsidRPr="000720FD">
        <w:rPr>
          <w:rFonts w:ascii="Book Antiqua" w:eastAsia="SimSun" w:hAnsi="Book Antiqua"/>
          <w:b/>
          <w:sz w:val="24"/>
          <w:szCs w:val="24"/>
          <w:lang w:val="en-US" w:eastAsia="zh-CN"/>
        </w:rPr>
        <w:t xml:space="preserve"> </w:t>
      </w:r>
      <w:r w:rsidRPr="000720FD">
        <w:rPr>
          <w:rFonts w:ascii="Book Antiqua" w:hAnsi="Book Antiqua"/>
          <w:b/>
          <w:sz w:val="24"/>
          <w:szCs w:val="24"/>
          <w:lang w:val="en-US"/>
        </w:rPr>
        <w:t>46)</w:t>
      </w:r>
      <w:r w:rsidR="00E72393">
        <w:rPr>
          <w:rFonts w:ascii="Book Antiqua" w:eastAsia="SimSun" w:hAnsi="Book Antiqua" w:hint="eastAsia"/>
          <w:sz w:val="24"/>
          <w:szCs w:val="24"/>
          <w:lang w:val="en-US" w:eastAsia="zh-CN"/>
        </w:rPr>
        <w:t xml:space="preserve"> </w:t>
      </w:r>
      <w:r w:rsidR="00E72393" w:rsidRPr="00E72393">
        <w:rPr>
          <w:rFonts w:ascii="Book Antiqua" w:eastAsia="SimSun" w:hAnsi="Book Antiqua" w:hint="eastAsia"/>
          <w:b/>
          <w:i/>
          <w:sz w:val="24"/>
          <w:szCs w:val="24"/>
          <w:lang w:val="en-US" w:eastAsia="zh-CN"/>
        </w:rPr>
        <w:t>n</w:t>
      </w:r>
      <w:r w:rsidR="00E72393" w:rsidRPr="00E72393">
        <w:rPr>
          <w:rFonts w:ascii="Book Antiqua" w:eastAsia="SimSun" w:hAnsi="Book Antiqua" w:hint="eastAsia"/>
          <w:b/>
          <w:sz w:val="24"/>
          <w:szCs w:val="24"/>
          <w:lang w:val="en-US" w:eastAsia="zh-CN"/>
        </w:rPr>
        <w:t xml:space="preserve"> (%)</w:t>
      </w:r>
    </w:p>
    <w:tbl>
      <w:tblPr>
        <w:tblStyle w:val="Tabellenraster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4287"/>
      </w:tblGrid>
      <w:tr w:rsidR="002D7B94" w:rsidRPr="006479DA" w14:paraId="0E644F2C" w14:textId="77777777" w:rsidTr="00425DB0">
        <w:tc>
          <w:tcPr>
            <w:tcW w:w="4012" w:type="dxa"/>
            <w:tcBorders>
              <w:top w:val="single" w:sz="4" w:space="0" w:color="auto"/>
              <w:bottom w:val="single" w:sz="4" w:space="0" w:color="auto"/>
            </w:tcBorders>
          </w:tcPr>
          <w:p w14:paraId="1C3BB41F" w14:textId="77777777" w:rsidR="002D7B94" w:rsidRPr="006479DA" w:rsidRDefault="002D7B94" w:rsidP="00265BAF">
            <w:pPr>
              <w:spacing w:after="0" w:line="360" w:lineRule="auto"/>
              <w:jc w:val="both"/>
              <w:rPr>
                <w:rFonts w:ascii="Book Antiqua" w:eastAsia="MS Mincho" w:hAnsi="Book Antiqua"/>
                <w:sz w:val="24"/>
                <w:szCs w:val="24"/>
                <w:lang w:val="en-US" w:eastAsia="de-DE"/>
              </w:rPr>
            </w:pPr>
          </w:p>
        </w:tc>
        <w:tc>
          <w:tcPr>
            <w:tcW w:w="4287" w:type="dxa"/>
            <w:tcBorders>
              <w:top w:val="single" w:sz="4" w:space="0" w:color="auto"/>
              <w:bottom w:val="single" w:sz="4" w:space="0" w:color="auto"/>
            </w:tcBorders>
          </w:tcPr>
          <w:p w14:paraId="3979BD6A" w14:textId="3BF8FDED" w:rsidR="002D7B94" w:rsidRPr="00E72393" w:rsidRDefault="002D7B94" w:rsidP="00425DB0">
            <w:pPr>
              <w:spacing w:after="0" w:line="360" w:lineRule="auto"/>
              <w:jc w:val="center"/>
              <w:rPr>
                <w:rFonts w:ascii="Book Antiqua" w:eastAsia="SimSun" w:hAnsi="Book Antiqua" w:cs="Arial"/>
                <w:b/>
                <w:sz w:val="24"/>
                <w:szCs w:val="24"/>
                <w:lang w:val="en-US" w:eastAsia="zh-CN"/>
              </w:rPr>
            </w:pPr>
            <w:r w:rsidRPr="006479DA">
              <w:rPr>
                <w:rFonts w:ascii="Book Antiqua" w:eastAsia="MS Mincho" w:hAnsi="Book Antiqua"/>
                <w:b/>
                <w:sz w:val="24"/>
                <w:szCs w:val="24"/>
                <w:lang w:val="en-US" w:eastAsia="de-DE"/>
              </w:rPr>
              <w:t>Median (</w:t>
            </w:r>
            <w:r w:rsidR="00601325" w:rsidRPr="006479DA">
              <w:rPr>
                <w:rFonts w:ascii="Book Antiqua" w:eastAsia="MS Mincho" w:hAnsi="Book Antiqua"/>
                <w:b/>
                <w:sz w:val="24"/>
                <w:szCs w:val="24"/>
                <w:lang w:val="en-US" w:eastAsia="de-DE"/>
              </w:rPr>
              <w:t>r</w:t>
            </w:r>
            <w:r w:rsidRPr="006479DA">
              <w:rPr>
                <w:rFonts w:ascii="Book Antiqua" w:eastAsia="MS Mincho" w:hAnsi="Book Antiqua"/>
                <w:b/>
                <w:sz w:val="24"/>
                <w:szCs w:val="24"/>
                <w:lang w:val="en-US" w:eastAsia="de-DE"/>
              </w:rPr>
              <w:t xml:space="preserve">ange) / </w:t>
            </w:r>
            <w:r w:rsidR="00601325" w:rsidRPr="006479DA">
              <w:rPr>
                <w:rFonts w:ascii="Book Antiqua" w:eastAsia="MS Mincho" w:hAnsi="Book Antiqua"/>
                <w:b/>
                <w:sz w:val="24"/>
                <w:szCs w:val="24"/>
                <w:lang w:val="en-US" w:eastAsia="de-DE"/>
              </w:rPr>
              <w:t>f</w:t>
            </w:r>
            <w:r w:rsidR="00E72393">
              <w:rPr>
                <w:rFonts w:ascii="Book Antiqua" w:eastAsia="MS Mincho" w:hAnsi="Book Antiqua"/>
                <w:b/>
                <w:sz w:val="24"/>
                <w:szCs w:val="24"/>
                <w:lang w:val="en-US" w:eastAsia="de-DE"/>
              </w:rPr>
              <w:t>requency</w:t>
            </w:r>
          </w:p>
        </w:tc>
      </w:tr>
      <w:tr w:rsidR="00596AA9" w:rsidRPr="006479DA" w14:paraId="1DF15B36" w14:textId="77777777" w:rsidTr="00425DB0">
        <w:tc>
          <w:tcPr>
            <w:tcW w:w="4012" w:type="dxa"/>
            <w:tcBorders>
              <w:top w:val="single" w:sz="4" w:space="0" w:color="auto"/>
            </w:tcBorders>
          </w:tcPr>
          <w:p w14:paraId="013CD40B" w14:textId="50969BF6" w:rsidR="00596AA9" w:rsidRPr="00425DB0" w:rsidRDefault="00991431" w:rsidP="00425DB0">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A</w:t>
            </w:r>
            <w:r w:rsidR="00B96065" w:rsidRPr="006479DA">
              <w:rPr>
                <w:rFonts w:ascii="Book Antiqua" w:eastAsia="MS Mincho" w:hAnsi="Book Antiqua"/>
                <w:sz w:val="24"/>
                <w:szCs w:val="24"/>
                <w:lang w:val="en-US" w:eastAsia="de-DE"/>
              </w:rPr>
              <w:t>ge</w:t>
            </w:r>
            <w:r w:rsidR="00D713F1"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w:t>
            </w:r>
            <w:r w:rsidR="00425DB0">
              <w:rPr>
                <w:rFonts w:ascii="Book Antiqua" w:eastAsia="MS Mincho" w:hAnsi="Book Antiqua"/>
                <w:sz w:val="24"/>
                <w:szCs w:val="24"/>
                <w:lang w:val="en-US" w:eastAsia="de-DE"/>
              </w:rPr>
              <w:t>yr</w:t>
            </w:r>
            <w:r w:rsidR="00425DB0">
              <w:rPr>
                <w:rFonts w:ascii="Book Antiqua" w:eastAsia="SimSun" w:hAnsi="Book Antiqua" w:hint="eastAsia"/>
                <w:sz w:val="24"/>
                <w:szCs w:val="24"/>
                <w:lang w:val="en-US" w:eastAsia="zh-CN"/>
              </w:rPr>
              <w:t>)</w:t>
            </w:r>
          </w:p>
        </w:tc>
        <w:tc>
          <w:tcPr>
            <w:tcW w:w="4287" w:type="dxa"/>
            <w:tcBorders>
              <w:top w:val="single" w:sz="4" w:space="0" w:color="auto"/>
            </w:tcBorders>
          </w:tcPr>
          <w:p w14:paraId="159F5E4D" w14:textId="77777777"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59 (42-81)</w:t>
            </w:r>
          </w:p>
        </w:tc>
      </w:tr>
      <w:tr w:rsidR="00596AA9" w:rsidRPr="006479DA" w14:paraId="11CD0CCD" w14:textId="77777777" w:rsidTr="00425DB0">
        <w:tc>
          <w:tcPr>
            <w:tcW w:w="4012" w:type="dxa"/>
          </w:tcPr>
          <w:p w14:paraId="4F44DE2D" w14:textId="14A7F43F" w:rsidR="00596AA9" w:rsidRPr="006479DA" w:rsidRDefault="00231023" w:rsidP="00425DB0">
            <w:pPr>
              <w:spacing w:after="0" w:line="360" w:lineRule="auto"/>
              <w:ind w:firstLineChars="100" w:firstLine="240"/>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M</w:t>
            </w:r>
            <w:r w:rsidR="00B96065" w:rsidRPr="006479DA">
              <w:rPr>
                <w:rFonts w:ascii="Book Antiqua" w:eastAsia="MS Mincho" w:hAnsi="Book Antiqua"/>
                <w:sz w:val="24"/>
                <w:szCs w:val="24"/>
                <w:lang w:val="en-US" w:eastAsia="de-DE"/>
              </w:rPr>
              <w:t xml:space="preserve">ale </w:t>
            </w:r>
            <w:r w:rsidR="00D713F1" w:rsidRPr="006479DA">
              <w:rPr>
                <w:rFonts w:ascii="Book Antiqua" w:eastAsia="MS Mincho" w:hAnsi="Book Antiqua"/>
                <w:sz w:val="24"/>
                <w:szCs w:val="24"/>
                <w:lang w:val="en-US" w:eastAsia="de-DE"/>
              </w:rPr>
              <w:t>sex</w:t>
            </w:r>
          </w:p>
        </w:tc>
        <w:tc>
          <w:tcPr>
            <w:tcW w:w="4287" w:type="dxa"/>
          </w:tcPr>
          <w:p w14:paraId="200C4558" w14:textId="2099C64A" w:rsidR="00596AA9" w:rsidRPr="006479DA" w:rsidRDefault="00D02C25"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28 (</w:t>
            </w:r>
            <w:r w:rsidR="00E72393">
              <w:rPr>
                <w:rFonts w:ascii="Book Antiqua" w:eastAsia="MS Mincho" w:hAnsi="Book Antiqua"/>
                <w:sz w:val="24"/>
                <w:szCs w:val="24"/>
                <w:lang w:val="en-US" w:eastAsia="de-DE"/>
              </w:rPr>
              <w:t>61</w:t>
            </w:r>
            <w:r w:rsidRPr="006479DA">
              <w:rPr>
                <w:rFonts w:ascii="Book Antiqua" w:eastAsia="MS Mincho" w:hAnsi="Book Antiqua"/>
                <w:sz w:val="24"/>
                <w:szCs w:val="24"/>
                <w:lang w:val="en-US" w:eastAsia="de-DE"/>
              </w:rPr>
              <w:t>)</w:t>
            </w:r>
          </w:p>
        </w:tc>
      </w:tr>
      <w:tr w:rsidR="00596AA9" w:rsidRPr="006479DA" w14:paraId="097D7C67" w14:textId="77777777" w:rsidTr="00425DB0">
        <w:tc>
          <w:tcPr>
            <w:tcW w:w="4012" w:type="dxa"/>
          </w:tcPr>
          <w:p w14:paraId="56887FFF" w14:textId="77777777" w:rsidR="00425DB0" w:rsidRDefault="00425DB0" w:rsidP="00425DB0">
            <w:pPr>
              <w:spacing w:after="0" w:line="360" w:lineRule="auto"/>
              <w:rPr>
                <w:rFonts w:ascii="Book Antiqua" w:eastAsia="SimSun" w:hAnsi="Book Antiqua"/>
                <w:sz w:val="24"/>
                <w:szCs w:val="24"/>
                <w:lang w:val="en-US" w:eastAsia="zh-CN"/>
              </w:rPr>
            </w:pPr>
            <w:r>
              <w:rPr>
                <w:rFonts w:ascii="Book Antiqua" w:eastAsia="MS Mincho" w:hAnsi="Book Antiqua"/>
                <w:sz w:val="24"/>
                <w:szCs w:val="24"/>
                <w:lang w:val="en-US" w:eastAsia="de-DE"/>
              </w:rPr>
              <w:t>Etiology</w:t>
            </w:r>
          </w:p>
          <w:p w14:paraId="758A80BD" w14:textId="4DA3490E" w:rsidR="00596AA9" w:rsidRPr="006479DA" w:rsidRDefault="003B0F3B" w:rsidP="00425DB0">
            <w:pPr>
              <w:spacing w:after="0" w:line="360" w:lineRule="auto"/>
              <w:ind w:firstLineChars="100" w:firstLine="240"/>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Alcoholic liver disease</w:t>
            </w:r>
          </w:p>
          <w:p w14:paraId="753EDB97" w14:textId="3041F25E" w:rsidR="003B0F3B" w:rsidRPr="006479DA" w:rsidRDefault="008658FC"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 xml:space="preserve"> </w:t>
            </w:r>
            <w:r w:rsidR="003B0F3B" w:rsidRPr="006479DA">
              <w:rPr>
                <w:rFonts w:ascii="Book Antiqua" w:eastAsia="MS Mincho" w:hAnsi="Book Antiqua"/>
                <w:sz w:val="24"/>
                <w:szCs w:val="24"/>
                <w:lang w:val="en-US" w:eastAsia="de-DE"/>
              </w:rPr>
              <w:t xml:space="preserve">Viral </w:t>
            </w:r>
            <w:r w:rsidR="00425DB0" w:rsidRPr="006479DA">
              <w:rPr>
                <w:rFonts w:ascii="Book Antiqua" w:eastAsia="MS Mincho" w:hAnsi="Book Antiqua"/>
                <w:sz w:val="24"/>
                <w:szCs w:val="24"/>
                <w:lang w:val="en-US" w:eastAsia="de-DE"/>
              </w:rPr>
              <w:t>h</w:t>
            </w:r>
            <w:r w:rsidR="003B0F3B" w:rsidRPr="006479DA">
              <w:rPr>
                <w:rFonts w:ascii="Book Antiqua" w:eastAsia="MS Mincho" w:hAnsi="Book Antiqua"/>
                <w:sz w:val="24"/>
                <w:szCs w:val="24"/>
                <w:lang w:val="en-US" w:eastAsia="de-DE"/>
              </w:rPr>
              <w:t>epatitis</w:t>
            </w:r>
          </w:p>
          <w:p w14:paraId="499A2A7B" w14:textId="21362A2D" w:rsidR="003B0F3B" w:rsidRPr="006479DA" w:rsidRDefault="008658FC" w:rsidP="00425DB0">
            <w:pPr>
              <w:spacing w:after="0" w:line="360" w:lineRule="auto"/>
              <w:rPr>
                <w:rFonts w:ascii="Book Antiqua" w:eastAsia="MS Mincho" w:hAnsi="Book Antiqua"/>
                <w:sz w:val="24"/>
                <w:szCs w:val="24"/>
                <w:lang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 xml:space="preserve"> </w:t>
            </w:r>
            <w:r w:rsidR="003B0F3B" w:rsidRPr="006479DA">
              <w:rPr>
                <w:rFonts w:ascii="Book Antiqua" w:eastAsia="MS Mincho" w:hAnsi="Book Antiqua"/>
                <w:sz w:val="24"/>
                <w:szCs w:val="24"/>
                <w:lang w:eastAsia="de-DE"/>
              </w:rPr>
              <w:t>Other</w:t>
            </w:r>
          </w:p>
        </w:tc>
        <w:tc>
          <w:tcPr>
            <w:tcW w:w="4287" w:type="dxa"/>
          </w:tcPr>
          <w:p w14:paraId="6849FE9D" w14:textId="77777777" w:rsidR="008658FC" w:rsidRPr="006479DA" w:rsidRDefault="008658FC" w:rsidP="00425DB0">
            <w:pPr>
              <w:spacing w:after="0" w:line="360" w:lineRule="auto"/>
              <w:jc w:val="center"/>
              <w:rPr>
                <w:rFonts w:ascii="Book Antiqua" w:eastAsia="MS Mincho" w:hAnsi="Book Antiqua"/>
                <w:sz w:val="24"/>
                <w:szCs w:val="24"/>
                <w:lang w:eastAsia="de-DE"/>
              </w:rPr>
            </w:pPr>
          </w:p>
          <w:p w14:paraId="21AA445B" w14:textId="4658D0DC" w:rsidR="00596AA9" w:rsidRPr="006479DA" w:rsidRDefault="008658FC"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33 (72)</w:t>
            </w:r>
          </w:p>
          <w:p w14:paraId="24F62039" w14:textId="462E7B5B" w:rsidR="003B0F3B"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6 (13</w:t>
            </w:r>
            <w:r w:rsidR="008658FC" w:rsidRPr="006479DA">
              <w:rPr>
                <w:rFonts w:ascii="Book Antiqua" w:eastAsia="MS Mincho" w:hAnsi="Book Antiqua"/>
                <w:sz w:val="24"/>
                <w:szCs w:val="24"/>
                <w:lang w:eastAsia="de-DE"/>
              </w:rPr>
              <w:t>)</w:t>
            </w:r>
          </w:p>
          <w:p w14:paraId="3A5C7EE9" w14:textId="11E2EF79" w:rsidR="003B0F3B"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7 (15</w:t>
            </w:r>
            <w:r w:rsidR="008658FC" w:rsidRPr="006479DA">
              <w:rPr>
                <w:rFonts w:ascii="Book Antiqua" w:eastAsia="MS Mincho" w:hAnsi="Book Antiqua"/>
                <w:sz w:val="24"/>
                <w:szCs w:val="24"/>
                <w:lang w:eastAsia="de-DE"/>
              </w:rPr>
              <w:t>)</w:t>
            </w:r>
          </w:p>
        </w:tc>
      </w:tr>
      <w:tr w:rsidR="00596AA9" w:rsidRPr="006479DA" w14:paraId="7F4A9F31" w14:textId="77777777" w:rsidTr="00425DB0">
        <w:tc>
          <w:tcPr>
            <w:tcW w:w="4012" w:type="dxa"/>
          </w:tcPr>
          <w:p w14:paraId="516847CE" w14:textId="200F5CE1" w:rsidR="00AD19A9" w:rsidRPr="00425DB0" w:rsidRDefault="00AE1FCF" w:rsidP="00425DB0">
            <w:pPr>
              <w:spacing w:after="0" w:line="360" w:lineRule="auto"/>
              <w:rPr>
                <w:rFonts w:ascii="Book Antiqua" w:eastAsia="MS Mincho" w:hAnsi="Book Antiqua"/>
                <w:sz w:val="24"/>
                <w:szCs w:val="24"/>
                <w:lang w:eastAsia="de-DE"/>
              </w:rPr>
            </w:pPr>
            <w:r w:rsidRPr="00425DB0">
              <w:rPr>
                <w:rFonts w:ascii="Book Antiqua" w:eastAsia="MS Mincho" w:hAnsi="Book Antiqua"/>
                <w:sz w:val="24"/>
                <w:szCs w:val="24"/>
                <w:lang w:eastAsia="de-DE"/>
              </w:rPr>
              <w:t>Comorbiditiy</w:t>
            </w:r>
          </w:p>
          <w:p w14:paraId="6F2136AC" w14:textId="7FE67DB1" w:rsidR="00596AA9" w:rsidRPr="006479DA" w:rsidRDefault="00AD19A9" w:rsidP="00425DB0">
            <w:pPr>
              <w:spacing w:after="0" w:line="360" w:lineRule="auto"/>
              <w:rPr>
                <w:rFonts w:ascii="Book Antiqua" w:eastAsia="MS Mincho" w:hAnsi="Book Antiqua"/>
                <w:sz w:val="24"/>
                <w:szCs w:val="24"/>
                <w:lang w:eastAsia="de-DE"/>
              </w:rPr>
            </w:pPr>
            <w:r w:rsidRPr="006479DA">
              <w:rPr>
                <w:rFonts w:ascii="Book Antiqua" w:eastAsia="MS Mincho" w:hAnsi="Book Antiqua"/>
                <w:sz w:val="24"/>
                <w:szCs w:val="24"/>
                <w:lang w:eastAsia="de-DE"/>
              </w:rPr>
              <w:t xml:space="preserve">  </w:t>
            </w:r>
            <w:r w:rsidR="00425DB0">
              <w:rPr>
                <w:rFonts w:ascii="Book Antiqua" w:eastAsia="SimSun" w:hAnsi="Book Antiqua" w:hint="eastAsia"/>
                <w:sz w:val="24"/>
                <w:szCs w:val="24"/>
                <w:lang w:eastAsia="zh-CN"/>
              </w:rPr>
              <w:t xml:space="preserve"> </w:t>
            </w:r>
            <w:r w:rsidR="008658FC" w:rsidRPr="006479DA">
              <w:rPr>
                <w:rFonts w:ascii="Book Antiqua" w:eastAsia="MS Mincho" w:hAnsi="Book Antiqua"/>
                <w:sz w:val="24"/>
                <w:szCs w:val="24"/>
                <w:lang w:eastAsia="de-DE"/>
              </w:rPr>
              <w:t xml:space="preserve">Hepatocellular </w:t>
            </w:r>
            <w:r w:rsidR="00425DB0" w:rsidRPr="006479DA">
              <w:rPr>
                <w:rFonts w:ascii="Book Antiqua" w:eastAsia="MS Mincho" w:hAnsi="Book Antiqua"/>
                <w:sz w:val="24"/>
                <w:szCs w:val="24"/>
                <w:lang w:eastAsia="de-DE"/>
              </w:rPr>
              <w:t>c</w:t>
            </w:r>
            <w:r w:rsidR="008658FC" w:rsidRPr="006479DA">
              <w:rPr>
                <w:rFonts w:ascii="Book Antiqua" w:eastAsia="MS Mincho" w:hAnsi="Book Antiqua"/>
                <w:sz w:val="24"/>
                <w:szCs w:val="24"/>
                <w:lang w:eastAsia="de-DE"/>
              </w:rPr>
              <w:t>arcinoma</w:t>
            </w:r>
            <w:r w:rsidR="00596AA9" w:rsidRPr="006479DA">
              <w:rPr>
                <w:rFonts w:ascii="Book Antiqua" w:eastAsia="MS Mincho" w:hAnsi="Book Antiqua"/>
                <w:sz w:val="24"/>
                <w:szCs w:val="24"/>
                <w:lang w:eastAsia="de-DE"/>
              </w:rPr>
              <w:t xml:space="preserve"> </w:t>
            </w:r>
          </w:p>
          <w:p w14:paraId="55861E8A" w14:textId="3D79B592" w:rsidR="00AD19A9" w:rsidRPr="006479DA" w:rsidRDefault="00AD19A9" w:rsidP="00425DB0">
            <w:pPr>
              <w:spacing w:after="0" w:line="360" w:lineRule="auto"/>
              <w:rPr>
                <w:rFonts w:ascii="Book Antiqua" w:eastAsia="MS Mincho" w:hAnsi="Book Antiqua"/>
                <w:sz w:val="24"/>
                <w:szCs w:val="24"/>
                <w:lang w:eastAsia="de-DE"/>
              </w:rPr>
            </w:pPr>
            <w:r w:rsidRPr="006479DA">
              <w:rPr>
                <w:rFonts w:ascii="Book Antiqua" w:eastAsia="MS Mincho" w:hAnsi="Book Antiqua"/>
                <w:sz w:val="24"/>
                <w:szCs w:val="24"/>
                <w:lang w:eastAsia="de-DE"/>
              </w:rPr>
              <w:t xml:space="preserve">  </w:t>
            </w:r>
            <w:r w:rsidR="00425DB0">
              <w:rPr>
                <w:rFonts w:ascii="Book Antiqua" w:eastAsia="SimSun" w:hAnsi="Book Antiqua" w:hint="eastAsia"/>
                <w:sz w:val="24"/>
                <w:szCs w:val="24"/>
                <w:lang w:eastAsia="zh-CN"/>
              </w:rPr>
              <w:t xml:space="preserve"> </w:t>
            </w:r>
            <w:r w:rsidRPr="006479DA">
              <w:rPr>
                <w:rFonts w:ascii="Book Antiqua" w:eastAsia="MS Mincho" w:hAnsi="Book Antiqua"/>
                <w:sz w:val="24"/>
                <w:szCs w:val="24"/>
                <w:lang w:eastAsia="de-DE"/>
              </w:rPr>
              <w:t>Diabetes</w:t>
            </w:r>
          </w:p>
        </w:tc>
        <w:tc>
          <w:tcPr>
            <w:tcW w:w="4287" w:type="dxa"/>
          </w:tcPr>
          <w:p w14:paraId="58B1CC16" w14:textId="77777777" w:rsidR="00AD19A9" w:rsidRPr="006479DA" w:rsidRDefault="00AD19A9" w:rsidP="00425DB0">
            <w:pPr>
              <w:spacing w:after="0" w:line="360" w:lineRule="auto"/>
              <w:jc w:val="center"/>
              <w:rPr>
                <w:rFonts w:ascii="Book Antiqua" w:eastAsia="MS Mincho" w:hAnsi="Book Antiqua"/>
                <w:sz w:val="24"/>
                <w:szCs w:val="24"/>
                <w:lang w:eastAsia="de-DE"/>
              </w:rPr>
            </w:pPr>
          </w:p>
          <w:p w14:paraId="37EF4AE6" w14:textId="4A09A895" w:rsidR="00596AA9" w:rsidRPr="006479DA" w:rsidRDefault="00AD19A9"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9</w:t>
            </w:r>
            <w:r w:rsidR="00596AA9" w:rsidRPr="006479DA">
              <w:rPr>
                <w:rFonts w:ascii="Book Antiqua" w:eastAsia="MS Mincho" w:hAnsi="Book Antiqua"/>
                <w:sz w:val="24"/>
                <w:szCs w:val="24"/>
                <w:lang w:eastAsia="de-DE"/>
              </w:rPr>
              <w:t xml:space="preserve"> (</w:t>
            </w:r>
            <w:r w:rsidR="00D02C25" w:rsidRPr="006479DA">
              <w:rPr>
                <w:rFonts w:ascii="Book Antiqua" w:eastAsia="MS Mincho" w:hAnsi="Book Antiqua"/>
                <w:sz w:val="24"/>
                <w:szCs w:val="24"/>
                <w:lang w:eastAsia="de-DE"/>
              </w:rPr>
              <w:t>20</w:t>
            </w:r>
            <w:r w:rsidRPr="006479DA">
              <w:rPr>
                <w:rFonts w:ascii="Book Antiqua" w:eastAsia="MS Mincho" w:hAnsi="Book Antiqua"/>
                <w:sz w:val="24"/>
                <w:szCs w:val="24"/>
                <w:lang w:eastAsia="de-DE"/>
              </w:rPr>
              <w:t>)</w:t>
            </w:r>
          </w:p>
          <w:p w14:paraId="154E7E29" w14:textId="4D48C207" w:rsidR="00AD19A9" w:rsidRPr="006479DA" w:rsidRDefault="00AD19A9"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 xml:space="preserve">10 </w:t>
            </w:r>
            <w:r w:rsidR="00E72393">
              <w:rPr>
                <w:rFonts w:ascii="Book Antiqua" w:eastAsia="MS Mincho" w:hAnsi="Book Antiqua"/>
                <w:sz w:val="24"/>
                <w:szCs w:val="24"/>
                <w:lang w:eastAsia="de-DE"/>
              </w:rPr>
              <w:t>(22</w:t>
            </w:r>
            <w:r w:rsidRPr="006479DA">
              <w:rPr>
                <w:rFonts w:ascii="Book Antiqua" w:eastAsia="MS Mincho" w:hAnsi="Book Antiqua"/>
                <w:sz w:val="24"/>
                <w:szCs w:val="24"/>
                <w:lang w:eastAsia="de-DE"/>
              </w:rPr>
              <w:t>)</w:t>
            </w:r>
          </w:p>
        </w:tc>
      </w:tr>
      <w:tr w:rsidR="00596AA9" w:rsidRPr="006479DA" w14:paraId="09F618CC" w14:textId="77777777" w:rsidTr="00425DB0">
        <w:tc>
          <w:tcPr>
            <w:tcW w:w="4012" w:type="dxa"/>
          </w:tcPr>
          <w:p w14:paraId="4A7C8AE2" w14:textId="49FF8BF1" w:rsidR="00AD19A9" w:rsidRPr="00425DB0" w:rsidRDefault="00B96065" w:rsidP="00425DB0">
            <w:pPr>
              <w:spacing w:after="0" w:line="360" w:lineRule="auto"/>
              <w:rPr>
                <w:rFonts w:ascii="Book Antiqua" w:eastAsia="MS Mincho" w:hAnsi="Book Antiqua"/>
                <w:sz w:val="24"/>
                <w:szCs w:val="24"/>
                <w:lang w:val="en-US" w:eastAsia="de-DE"/>
              </w:rPr>
            </w:pPr>
            <w:r w:rsidRPr="00425DB0">
              <w:rPr>
                <w:rFonts w:ascii="Book Antiqua" w:eastAsia="MS Mincho" w:hAnsi="Book Antiqua"/>
                <w:sz w:val="24"/>
                <w:szCs w:val="24"/>
                <w:lang w:val="en-US" w:eastAsia="de-DE"/>
              </w:rPr>
              <w:t>Child-Pugh s</w:t>
            </w:r>
            <w:r w:rsidR="00695701" w:rsidRPr="00425DB0">
              <w:rPr>
                <w:rFonts w:ascii="Book Antiqua" w:eastAsia="MS Mincho" w:hAnsi="Book Antiqua"/>
                <w:sz w:val="24"/>
                <w:szCs w:val="24"/>
                <w:lang w:val="en-US" w:eastAsia="de-DE"/>
              </w:rPr>
              <w:t>tage</w:t>
            </w:r>
            <w:r w:rsidR="00596AA9" w:rsidRPr="00425DB0">
              <w:rPr>
                <w:rFonts w:ascii="Book Antiqua" w:eastAsia="MS Mincho" w:hAnsi="Book Antiqua"/>
                <w:sz w:val="24"/>
                <w:szCs w:val="24"/>
                <w:lang w:val="en-US" w:eastAsia="de-DE"/>
              </w:rPr>
              <w:t xml:space="preserve"> </w:t>
            </w:r>
          </w:p>
          <w:p w14:paraId="47CA0A93" w14:textId="01377A02" w:rsidR="00AD19A9" w:rsidRPr="006479DA" w:rsidRDefault="00AD19A9"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00596AA9" w:rsidRPr="006479DA">
              <w:rPr>
                <w:rFonts w:ascii="Book Antiqua" w:eastAsia="MS Mincho" w:hAnsi="Book Antiqua"/>
                <w:sz w:val="24"/>
                <w:szCs w:val="24"/>
                <w:lang w:val="en-US" w:eastAsia="de-DE"/>
              </w:rPr>
              <w:t>A</w:t>
            </w:r>
            <w:r w:rsidRPr="006479DA">
              <w:rPr>
                <w:rFonts w:ascii="Book Antiqua" w:eastAsia="MS Mincho" w:hAnsi="Book Antiqua"/>
                <w:sz w:val="24"/>
                <w:szCs w:val="24"/>
                <w:lang w:val="en-US" w:eastAsia="de-DE"/>
              </w:rPr>
              <w:t xml:space="preserve">  </w:t>
            </w:r>
          </w:p>
          <w:p w14:paraId="20D29735" w14:textId="48505BA5" w:rsidR="00AD19A9" w:rsidRPr="006479DA" w:rsidRDefault="00AD19A9"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B</w:t>
            </w:r>
          </w:p>
          <w:p w14:paraId="2C8A5E14" w14:textId="4DD89645" w:rsidR="00AD19A9" w:rsidRPr="006479DA" w:rsidRDefault="00AD19A9"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C</w:t>
            </w:r>
          </w:p>
        </w:tc>
        <w:tc>
          <w:tcPr>
            <w:tcW w:w="4287" w:type="dxa"/>
          </w:tcPr>
          <w:p w14:paraId="0A51BF60" w14:textId="77777777" w:rsidR="00231023" w:rsidRPr="006479DA" w:rsidRDefault="00231023" w:rsidP="00425DB0">
            <w:pPr>
              <w:spacing w:after="0" w:line="360" w:lineRule="auto"/>
              <w:jc w:val="center"/>
              <w:rPr>
                <w:rFonts w:ascii="Book Antiqua" w:eastAsia="MS Mincho" w:hAnsi="Book Antiqua"/>
                <w:sz w:val="24"/>
                <w:szCs w:val="24"/>
                <w:lang w:val="en-US" w:eastAsia="de-DE"/>
              </w:rPr>
            </w:pPr>
          </w:p>
          <w:p w14:paraId="5FCE5715" w14:textId="2397D669" w:rsidR="00AD19A9"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6 (13</w:t>
            </w:r>
            <w:r w:rsidR="00AD19A9" w:rsidRPr="006479DA">
              <w:rPr>
                <w:rFonts w:ascii="Book Antiqua" w:eastAsia="MS Mincho" w:hAnsi="Book Antiqua"/>
                <w:sz w:val="24"/>
                <w:szCs w:val="24"/>
                <w:lang w:eastAsia="de-DE"/>
              </w:rPr>
              <w:t>)</w:t>
            </w:r>
          </w:p>
          <w:p w14:paraId="483F3CAE" w14:textId="67B3FE8B" w:rsidR="00AD19A9"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19 (41</w:t>
            </w:r>
            <w:r w:rsidR="00AD19A9" w:rsidRPr="006479DA">
              <w:rPr>
                <w:rFonts w:ascii="Book Antiqua" w:eastAsia="MS Mincho" w:hAnsi="Book Antiqua"/>
                <w:sz w:val="24"/>
                <w:szCs w:val="24"/>
                <w:lang w:eastAsia="de-DE"/>
              </w:rPr>
              <w:t>)</w:t>
            </w:r>
          </w:p>
          <w:p w14:paraId="5347F104" w14:textId="4C4F1BDF" w:rsidR="00AD19A9"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21 (46</w:t>
            </w:r>
            <w:r w:rsidR="00AD19A9" w:rsidRPr="006479DA">
              <w:rPr>
                <w:rFonts w:ascii="Book Antiqua" w:eastAsia="MS Mincho" w:hAnsi="Book Antiqua"/>
                <w:sz w:val="24"/>
                <w:szCs w:val="24"/>
                <w:lang w:eastAsia="de-DE"/>
              </w:rPr>
              <w:t>)</w:t>
            </w:r>
          </w:p>
        </w:tc>
      </w:tr>
      <w:tr w:rsidR="003C0274" w:rsidRPr="006479DA" w14:paraId="1227EA19" w14:textId="77777777" w:rsidTr="00425DB0">
        <w:tc>
          <w:tcPr>
            <w:tcW w:w="4012" w:type="dxa"/>
          </w:tcPr>
          <w:p w14:paraId="33F7DC3A" w14:textId="204C7828" w:rsidR="003C0274" w:rsidRPr="006479DA" w:rsidRDefault="003C0274" w:rsidP="00425DB0">
            <w:pPr>
              <w:spacing w:after="0" w:line="360" w:lineRule="auto"/>
              <w:rPr>
                <w:rFonts w:ascii="Book Antiqua" w:eastAsia="MS Mincho" w:hAnsi="Book Antiqua"/>
                <w:sz w:val="24"/>
                <w:szCs w:val="24"/>
                <w:lang w:eastAsia="de-DE"/>
              </w:rPr>
            </w:pPr>
            <w:r w:rsidRPr="006479DA">
              <w:rPr>
                <w:rFonts w:ascii="Book Antiqua" w:eastAsia="MS Mincho" w:hAnsi="Book Antiqua"/>
                <w:sz w:val="24"/>
                <w:szCs w:val="24"/>
                <w:lang w:eastAsia="de-DE"/>
              </w:rPr>
              <w:t>Ascites</w:t>
            </w:r>
          </w:p>
        </w:tc>
        <w:tc>
          <w:tcPr>
            <w:tcW w:w="4287" w:type="dxa"/>
          </w:tcPr>
          <w:p w14:paraId="46C86DC5" w14:textId="50C310FC" w:rsidR="003C0274"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31 (67</w:t>
            </w:r>
            <w:r w:rsidR="003C0274" w:rsidRPr="006479DA">
              <w:rPr>
                <w:rFonts w:ascii="Book Antiqua" w:eastAsia="MS Mincho" w:hAnsi="Book Antiqua"/>
                <w:sz w:val="24"/>
                <w:szCs w:val="24"/>
                <w:lang w:eastAsia="de-DE"/>
              </w:rPr>
              <w:t>)</w:t>
            </w:r>
          </w:p>
        </w:tc>
      </w:tr>
      <w:tr w:rsidR="00596AA9" w:rsidRPr="006479DA" w14:paraId="57A430C1" w14:textId="77777777" w:rsidTr="00425DB0">
        <w:tc>
          <w:tcPr>
            <w:tcW w:w="4012" w:type="dxa"/>
          </w:tcPr>
          <w:p w14:paraId="1EBB3A6A" w14:textId="4B187609" w:rsidR="00596AA9" w:rsidRPr="006479DA" w:rsidRDefault="006974F4" w:rsidP="00425DB0">
            <w:pPr>
              <w:spacing w:after="0" w:line="360" w:lineRule="auto"/>
              <w:rPr>
                <w:rFonts w:ascii="Book Antiqua" w:eastAsia="MS Mincho" w:hAnsi="Book Antiqua"/>
                <w:sz w:val="24"/>
                <w:szCs w:val="24"/>
                <w:lang w:eastAsia="de-DE"/>
              </w:rPr>
            </w:pPr>
            <w:r w:rsidRPr="006479DA">
              <w:rPr>
                <w:rFonts w:ascii="Book Antiqua" w:eastAsia="MS Mincho" w:hAnsi="Book Antiqua"/>
                <w:sz w:val="24"/>
                <w:szCs w:val="24"/>
                <w:lang w:eastAsia="de-DE"/>
              </w:rPr>
              <w:t>Child-Pugh score</w:t>
            </w:r>
          </w:p>
        </w:tc>
        <w:tc>
          <w:tcPr>
            <w:tcW w:w="4287" w:type="dxa"/>
          </w:tcPr>
          <w:p w14:paraId="0FBCC37C" w14:textId="77777777" w:rsidR="00596AA9" w:rsidRPr="006479DA" w:rsidRDefault="00596AA9"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9 (5-14)</w:t>
            </w:r>
          </w:p>
        </w:tc>
      </w:tr>
      <w:tr w:rsidR="00596AA9" w:rsidRPr="006479DA" w14:paraId="7F0497DA" w14:textId="77777777" w:rsidTr="00425DB0">
        <w:tc>
          <w:tcPr>
            <w:tcW w:w="4012" w:type="dxa"/>
          </w:tcPr>
          <w:p w14:paraId="50EF4B9B" w14:textId="6EDE199C" w:rsidR="00596AA9" w:rsidRPr="006479DA" w:rsidRDefault="00596AA9" w:rsidP="00425DB0">
            <w:pPr>
              <w:spacing w:after="0" w:line="360" w:lineRule="auto"/>
              <w:rPr>
                <w:rFonts w:ascii="Book Antiqua" w:eastAsia="MS Mincho" w:hAnsi="Book Antiqua"/>
                <w:sz w:val="24"/>
                <w:szCs w:val="24"/>
                <w:lang w:eastAsia="de-DE"/>
              </w:rPr>
            </w:pPr>
            <w:r w:rsidRPr="006479DA">
              <w:rPr>
                <w:rFonts w:ascii="Book Antiqua" w:eastAsia="MS Mincho" w:hAnsi="Book Antiqua"/>
                <w:sz w:val="24"/>
                <w:szCs w:val="24"/>
                <w:lang w:eastAsia="de-DE"/>
              </w:rPr>
              <w:t>MELD</w:t>
            </w:r>
            <w:r w:rsidR="007B586E" w:rsidRPr="006479DA">
              <w:rPr>
                <w:rFonts w:ascii="Book Antiqua" w:eastAsia="MS Mincho" w:hAnsi="Book Antiqua"/>
                <w:sz w:val="24"/>
                <w:szCs w:val="24"/>
                <w:lang w:eastAsia="de-DE"/>
              </w:rPr>
              <w:t xml:space="preserve"> score</w:t>
            </w:r>
          </w:p>
        </w:tc>
        <w:tc>
          <w:tcPr>
            <w:tcW w:w="4287" w:type="dxa"/>
          </w:tcPr>
          <w:p w14:paraId="07345DF1" w14:textId="5EC6E22F" w:rsidR="00596AA9" w:rsidRPr="006479DA" w:rsidRDefault="00596AA9"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15 (</w:t>
            </w:r>
            <w:r w:rsidR="0029077F" w:rsidRPr="006479DA">
              <w:rPr>
                <w:rFonts w:ascii="Book Antiqua" w:eastAsia="MS Mincho" w:hAnsi="Book Antiqua"/>
                <w:sz w:val="24"/>
                <w:szCs w:val="24"/>
                <w:lang w:eastAsia="de-DE"/>
              </w:rPr>
              <w:t>6</w:t>
            </w:r>
            <w:r w:rsidRPr="006479DA">
              <w:rPr>
                <w:rFonts w:ascii="Book Antiqua" w:eastAsia="MS Mincho" w:hAnsi="Book Antiqua"/>
                <w:sz w:val="24"/>
                <w:szCs w:val="24"/>
                <w:lang w:eastAsia="de-DE"/>
              </w:rPr>
              <w:t>-27)</w:t>
            </w:r>
          </w:p>
        </w:tc>
      </w:tr>
      <w:tr w:rsidR="00596AA9" w:rsidRPr="006479DA" w14:paraId="579D0C63" w14:textId="77777777" w:rsidTr="00425DB0">
        <w:tc>
          <w:tcPr>
            <w:tcW w:w="4012" w:type="dxa"/>
          </w:tcPr>
          <w:p w14:paraId="21997C7D" w14:textId="7A5F1C60" w:rsidR="00596AA9" w:rsidRPr="00425DB0" w:rsidRDefault="006178FD" w:rsidP="00425DB0">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B</w:t>
            </w:r>
            <w:r w:rsidR="00596AA9" w:rsidRPr="006479DA">
              <w:rPr>
                <w:rFonts w:ascii="Book Antiqua" w:eastAsia="MS Mincho" w:hAnsi="Book Antiqua"/>
                <w:sz w:val="24"/>
                <w:szCs w:val="24"/>
                <w:lang w:val="en-US" w:eastAsia="de-DE"/>
              </w:rPr>
              <w:t xml:space="preserve">ilirubin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µmol/</w:t>
            </w:r>
            <w:r w:rsidR="00596AA9"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184985C1" w14:textId="67F2FF4A"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61</w:t>
            </w:r>
            <w:r w:rsidR="007758C7" w:rsidRPr="006479DA">
              <w:rPr>
                <w:rFonts w:ascii="Book Antiqua" w:eastAsia="MS Mincho" w:hAnsi="Book Antiqua"/>
                <w:sz w:val="24"/>
                <w:szCs w:val="24"/>
                <w:lang w:val="en-US" w:eastAsia="de-DE"/>
              </w:rPr>
              <w:t>.</w:t>
            </w:r>
            <w:r w:rsidRPr="006479DA">
              <w:rPr>
                <w:rFonts w:ascii="Book Antiqua" w:eastAsia="MS Mincho" w:hAnsi="Book Antiqua"/>
                <w:sz w:val="24"/>
                <w:szCs w:val="24"/>
                <w:lang w:val="en-US" w:eastAsia="de-DE"/>
              </w:rPr>
              <w:t>4 (4-429)</w:t>
            </w:r>
          </w:p>
        </w:tc>
      </w:tr>
      <w:tr w:rsidR="00596AA9" w:rsidRPr="006479DA" w14:paraId="504121C6" w14:textId="77777777" w:rsidTr="00425DB0">
        <w:tc>
          <w:tcPr>
            <w:tcW w:w="4012" w:type="dxa"/>
          </w:tcPr>
          <w:p w14:paraId="3EF1128C" w14:textId="550F8FA1" w:rsidR="00596AA9" w:rsidRPr="006479DA" w:rsidRDefault="007B586E"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International normalized ratio</w:t>
            </w:r>
          </w:p>
        </w:tc>
        <w:tc>
          <w:tcPr>
            <w:tcW w:w="4287" w:type="dxa"/>
          </w:tcPr>
          <w:p w14:paraId="416163DE" w14:textId="7960B4A5"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1.4 (0.9-2.</w:t>
            </w:r>
            <w:r w:rsidR="00596AA9" w:rsidRPr="006479DA">
              <w:rPr>
                <w:rFonts w:ascii="Book Antiqua" w:eastAsia="MS Mincho" w:hAnsi="Book Antiqua"/>
                <w:sz w:val="24"/>
                <w:szCs w:val="24"/>
                <w:lang w:val="en-US" w:eastAsia="de-DE"/>
              </w:rPr>
              <w:t>6)</w:t>
            </w:r>
          </w:p>
        </w:tc>
      </w:tr>
      <w:tr w:rsidR="00596AA9" w:rsidRPr="006479DA" w14:paraId="6F26B05E" w14:textId="77777777" w:rsidTr="00425DB0">
        <w:tc>
          <w:tcPr>
            <w:tcW w:w="4012" w:type="dxa"/>
          </w:tcPr>
          <w:p w14:paraId="6DB998DF" w14:textId="73EE5533" w:rsidR="00596AA9" w:rsidRPr="00425DB0" w:rsidRDefault="00717C0E" w:rsidP="00425DB0">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C</w:t>
            </w:r>
            <w:r w:rsidR="00596AA9" w:rsidRPr="006479DA">
              <w:rPr>
                <w:rFonts w:ascii="Book Antiqua" w:eastAsia="MS Mincho" w:hAnsi="Book Antiqua"/>
                <w:sz w:val="24"/>
                <w:szCs w:val="24"/>
                <w:lang w:val="en-US" w:eastAsia="de-DE"/>
              </w:rPr>
              <w:t>reatinin</w:t>
            </w:r>
            <w:r w:rsidR="00B96065" w:rsidRPr="006479DA">
              <w:rPr>
                <w:rFonts w:ascii="Book Antiqua" w:eastAsia="MS Mincho" w:hAnsi="Book Antiqua"/>
                <w:sz w:val="24"/>
                <w:szCs w:val="24"/>
                <w:lang w:val="en-US" w:eastAsia="de-DE"/>
              </w:rPr>
              <w:t>e</w:t>
            </w:r>
            <w:r w:rsidR="00596AA9"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µmol/</w:t>
            </w:r>
            <w:r w:rsidR="00596AA9"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042A8B17" w14:textId="77777777"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114 (43-533)</w:t>
            </w:r>
          </w:p>
        </w:tc>
      </w:tr>
      <w:tr w:rsidR="00596AA9" w:rsidRPr="006479DA" w14:paraId="062C1AFD" w14:textId="77777777" w:rsidTr="00425DB0">
        <w:tc>
          <w:tcPr>
            <w:tcW w:w="4012" w:type="dxa"/>
          </w:tcPr>
          <w:p w14:paraId="3A48FD23" w14:textId="6652BB96" w:rsidR="00596AA9" w:rsidRPr="00425DB0" w:rsidRDefault="00596AA9" w:rsidP="00425DB0">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 xml:space="preserve">CrP </w:t>
            </w:r>
            <w:r w:rsidR="00425DB0">
              <w:rPr>
                <w:rFonts w:ascii="Book Antiqua" w:eastAsia="SimSun" w:hAnsi="Book Antiqua" w:hint="eastAsia"/>
                <w:sz w:val="24"/>
                <w:szCs w:val="24"/>
                <w:lang w:val="en-US" w:eastAsia="zh-CN"/>
              </w:rPr>
              <w:t>(</w:t>
            </w:r>
            <w:r w:rsidRPr="006479DA">
              <w:rPr>
                <w:rFonts w:ascii="Book Antiqua" w:eastAsia="MS Mincho" w:hAnsi="Book Antiqua"/>
                <w:sz w:val="24"/>
                <w:szCs w:val="24"/>
                <w:lang w:val="en-US" w:eastAsia="de-DE"/>
              </w:rPr>
              <w:t>mg/</w:t>
            </w:r>
            <w:r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1D23EC47" w14:textId="0A21602B"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23</w:t>
            </w:r>
            <w:r w:rsidR="007758C7" w:rsidRPr="006479DA">
              <w:rPr>
                <w:rFonts w:ascii="Book Antiqua" w:eastAsia="MS Mincho" w:hAnsi="Book Antiqua"/>
                <w:sz w:val="24"/>
                <w:szCs w:val="24"/>
                <w:lang w:val="en-US" w:eastAsia="de-DE"/>
              </w:rPr>
              <w:t>.1 (2-112.</w:t>
            </w:r>
            <w:r w:rsidRPr="006479DA">
              <w:rPr>
                <w:rFonts w:ascii="Book Antiqua" w:eastAsia="MS Mincho" w:hAnsi="Book Antiqua"/>
                <w:sz w:val="24"/>
                <w:szCs w:val="24"/>
                <w:lang w:val="en-US" w:eastAsia="de-DE"/>
              </w:rPr>
              <w:t>4)</w:t>
            </w:r>
          </w:p>
        </w:tc>
      </w:tr>
      <w:tr w:rsidR="00596AA9" w:rsidRPr="006479DA" w14:paraId="55AAC8D5" w14:textId="77777777" w:rsidTr="00425DB0">
        <w:tc>
          <w:tcPr>
            <w:tcW w:w="4012" w:type="dxa"/>
          </w:tcPr>
          <w:p w14:paraId="6514226A" w14:textId="4F9B4DF2" w:rsidR="00596AA9" w:rsidRPr="00425DB0" w:rsidRDefault="006178FD" w:rsidP="00425DB0">
            <w:pPr>
              <w:spacing w:after="0" w:line="360" w:lineRule="auto"/>
              <w:rPr>
                <w:rFonts w:ascii="Book Antiqua" w:eastAsia="SimSun" w:hAnsi="Book Antiqua" w:cs="Arial"/>
                <w:sz w:val="24"/>
                <w:szCs w:val="24"/>
                <w:lang w:val="en-US" w:eastAsia="zh-CN"/>
              </w:rPr>
            </w:pPr>
            <w:r w:rsidRPr="006479DA">
              <w:rPr>
                <w:rFonts w:ascii="Book Antiqua" w:eastAsia="MS Mincho" w:hAnsi="Book Antiqua"/>
                <w:sz w:val="24"/>
                <w:szCs w:val="24"/>
                <w:lang w:val="en-US" w:eastAsia="de-DE"/>
              </w:rPr>
              <w:t>A</w:t>
            </w:r>
            <w:r w:rsidR="00596AA9" w:rsidRPr="006479DA">
              <w:rPr>
                <w:rFonts w:ascii="Book Antiqua" w:eastAsia="MS Mincho" w:hAnsi="Book Antiqua"/>
                <w:sz w:val="24"/>
                <w:szCs w:val="24"/>
                <w:lang w:val="en-US" w:eastAsia="de-DE"/>
              </w:rPr>
              <w:t xml:space="preserve">lbumin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g/</w:t>
            </w:r>
            <w:r w:rsidR="00596AA9"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507939CA" w14:textId="77777777"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28 (17-51)</w:t>
            </w:r>
          </w:p>
        </w:tc>
      </w:tr>
      <w:tr w:rsidR="00596AA9" w:rsidRPr="006479DA" w14:paraId="19FB49E5" w14:textId="77777777" w:rsidTr="00425DB0">
        <w:tc>
          <w:tcPr>
            <w:tcW w:w="4012" w:type="dxa"/>
          </w:tcPr>
          <w:p w14:paraId="13E7740A" w14:textId="7DFF237B" w:rsidR="00596AA9" w:rsidRPr="00425DB0" w:rsidRDefault="00D51AA7" w:rsidP="00425DB0">
            <w:pPr>
              <w:spacing w:after="0" w:line="360" w:lineRule="auto"/>
              <w:rPr>
                <w:rFonts w:ascii="Book Antiqua" w:eastAsia="SimSun" w:hAnsi="Book Antiqua" w:cs="Arial"/>
                <w:sz w:val="24"/>
                <w:szCs w:val="24"/>
                <w:lang w:val="en-US" w:eastAsia="zh-CN"/>
              </w:rPr>
            </w:pPr>
            <w:r w:rsidRPr="006479DA">
              <w:rPr>
                <w:rFonts w:ascii="Book Antiqua" w:eastAsia="MS Mincho" w:hAnsi="Book Antiqua"/>
                <w:sz w:val="24"/>
                <w:szCs w:val="24"/>
                <w:lang w:val="en-US" w:eastAsia="de-DE"/>
              </w:rPr>
              <w:t>Sodium</w:t>
            </w:r>
            <w:r w:rsidR="00596AA9"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mmol/</w:t>
            </w:r>
            <w:r w:rsidR="00596AA9"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315B6340" w14:textId="77777777"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135 (125-144)</w:t>
            </w:r>
          </w:p>
        </w:tc>
      </w:tr>
      <w:tr w:rsidR="00596AA9" w:rsidRPr="006479DA" w14:paraId="6F3AFA55" w14:textId="77777777" w:rsidTr="00425DB0">
        <w:tc>
          <w:tcPr>
            <w:tcW w:w="4012" w:type="dxa"/>
          </w:tcPr>
          <w:p w14:paraId="584EA025" w14:textId="4AFEA129" w:rsidR="00596AA9" w:rsidRPr="00425DB0" w:rsidRDefault="0029077F" w:rsidP="00425DB0">
            <w:pPr>
              <w:spacing w:after="0" w:line="360" w:lineRule="auto"/>
              <w:rPr>
                <w:rFonts w:ascii="Book Antiqua" w:eastAsia="SimSun" w:hAnsi="Book Antiqua" w:cs="Arial"/>
                <w:sz w:val="24"/>
                <w:szCs w:val="24"/>
                <w:lang w:val="en-US" w:eastAsia="zh-CN"/>
              </w:rPr>
            </w:pPr>
            <w:r w:rsidRPr="006479DA">
              <w:rPr>
                <w:rFonts w:ascii="Book Antiqua" w:eastAsia="MS Mincho" w:hAnsi="Book Antiqua"/>
                <w:sz w:val="24"/>
                <w:szCs w:val="24"/>
                <w:lang w:val="en-US" w:eastAsia="de-DE"/>
              </w:rPr>
              <w:t>White blood cells</w:t>
            </w:r>
            <w:r w:rsidR="00596AA9"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Gpt/</w:t>
            </w:r>
            <w:r w:rsidR="00596AA9"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5B628FFE" w14:textId="2566F710"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6.3 (1.2-22.</w:t>
            </w:r>
            <w:r w:rsidR="00596AA9" w:rsidRPr="006479DA">
              <w:rPr>
                <w:rFonts w:ascii="Book Antiqua" w:eastAsia="MS Mincho" w:hAnsi="Book Antiqua"/>
                <w:sz w:val="24"/>
                <w:szCs w:val="24"/>
                <w:lang w:val="en-US" w:eastAsia="de-DE"/>
              </w:rPr>
              <w:t>2)</w:t>
            </w:r>
          </w:p>
        </w:tc>
      </w:tr>
      <w:tr w:rsidR="00596AA9" w:rsidRPr="006479DA" w14:paraId="203B643F" w14:textId="77777777" w:rsidTr="00425DB0">
        <w:tc>
          <w:tcPr>
            <w:tcW w:w="4012" w:type="dxa"/>
          </w:tcPr>
          <w:p w14:paraId="44A280C5" w14:textId="683BDF73" w:rsidR="00596AA9" w:rsidRPr="00425DB0" w:rsidRDefault="0029077F" w:rsidP="00425DB0">
            <w:pPr>
              <w:spacing w:after="0" w:line="360" w:lineRule="auto"/>
              <w:rPr>
                <w:rFonts w:ascii="Book Antiqua" w:eastAsia="SimSun" w:hAnsi="Book Antiqua" w:cs="Arial"/>
                <w:sz w:val="24"/>
                <w:szCs w:val="24"/>
                <w:lang w:val="en-US" w:eastAsia="zh-CN"/>
              </w:rPr>
            </w:pPr>
            <w:r w:rsidRPr="006479DA">
              <w:rPr>
                <w:rFonts w:ascii="Book Antiqua" w:eastAsia="MS Mincho" w:hAnsi="Book Antiqua"/>
                <w:sz w:val="24"/>
                <w:szCs w:val="24"/>
                <w:lang w:val="en-US" w:eastAsia="de-DE"/>
              </w:rPr>
              <w:t xml:space="preserve">Platelets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Gpt/</w:t>
            </w:r>
            <w:r w:rsidR="00596AA9" w:rsidRPr="00425DB0">
              <w:rPr>
                <w:rFonts w:ascii="Book Antiqua" w:eastAsia="MS Mincho" w:hAnsi="Book Antiqua"/>
                <w:caps/>
                <w:sz w:val="24"/>
                <w:szCs w:val="24"/>
                <w:lang w:val="en-US" w:eastAsia="de-DE"/>
              </w:rPr>
              <w:t>l</w:t>
            </w:r>
            <w:r w:rsidR="00425DB0">
              <w:rPr>
                <w:rFonts w:ascii="Book Antiqua" w:eastAsia="SimSun" w:hAnsi="Book Antiqua" w:hint="eastAsia"/>
                <w:sz w:val="24"/>
                <w:szCs w:val="24"/>
                <w:lang w:val="en-US" w:eastAsia="zh-CN"/>
              </w:rPr>
              <w:t>)</w:t>
            </w:r>
          </w:p>
        </w:tc>
        <w:tc>
          <w:tcPr>
            <w:tcW w:w="4287" w:type="dxa"/>
          </w:tcPr>
          <w:p w14:paraId="2932E301" w14:textId="77777777"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135 (29-442)</w:t>
            </w:r>
          </w:p>
        </w:tc>
      </w:tr>
      <w:tr w:rsidR="00596AA9" w:rsidRPr="006479DA" w14:paraId="59E7EC51" w14:textId="77777777" w:rsidTr="00425DB0">
        <w:tc>
          <w:tcPr>
            <w:tcW w:w="4012" w:type="dxa"/>
          </w:tcPr>
          <w:p w14:paraId="21819849" w14:textId="2B58C27B" w:rsidR="00596AA9" w:rsidRPr="00425DB0" w:rsidRDefault="006974F4" w:rsidP="00425DB0">
            <w:pPr>
              <w:spacing w:after="0" w:line="360" w:lineRule="auto"/>
              <w:rPr>
                <w:rFonts w:ascii="Book Antiqua" w:eastAsia="SimSun" w:hAnsi="Book Antiqua" w:cs="Arial"/>
                <w:sz w:val="24"/>
                <w:szCs w:val="24"/>
                <w:lang w:val="en-US" w:eastAsia="zh-CN"/>
              </w:rPr>
            </w:pPr>
            <w:r w:rsidRPr="006479DA">
              <w:rPr>
                <w:rFonts w:ascii="Book Antiqua" w:eastAsia="MS Mincho" w:hAnsi="Book Antiqua"/>
                <w:sz w:val="24"/>
                <w:szCs w:val="24"/>
                <w:lang w:val="en-US" w:eastAsia="de-DE"/>
              </w:rPr>
              <w:t>Alanine aminotransferase</w:t>
            </w:r>
            <w:r w:rsidR="00596AA9"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µmol/</w:t>
            </w:r>
            <w:r w:rsidR="00596AA9" w:rsidRPr="00425DB0">
              <w:rPr>
                <w:rFonts w:ascii="Book Antiqua" w:eastAsia="MS Mincho" w:hAnsi="Book Antiqua"/>
                <w:caps/>
                <w:sz w:val="24"/>
                <w:szCs w:val="24"/>
                <w:lang w:val="en-US" w:eastAsia="de-DE"/>
              </w:rPr>
              <w:t>l</w:t>
            </w:r>
            <w:r w:rsidR="00596AA9" w:rsidRPr="006479DA">
              <w:rPr>
                <w:rFonts w:ascii="Book Antiqua" w:eastAsia="MS Mincho" w:hAnsi="Book Antiqua"/>
                <w:sz w:val="24"/>
                <w:szCs w:val="24"/>
                <w:lang w:val="en-US" w:eastAsia="de-DE"/>
              </w:rPr>
              <w:t>*s</w:t>
            </w:r>
            <w:r w:rsidR="00425DB0">
              <w:rPr>
                <w:rFonts w:ascii="Book Antiqua" w:eastAsia="SimSun" w:hAnsi="Book Antiqua" w:hint="eastAsia"/>
                <w:sz w:val="24"/>
                <w:szCs w:val="24"/>
                <w:lang w:val="en-US" w:eastAsia="zh-CN"/>
              </w:rPr>
              <w:t>)</w:t>
            </w:r>
          </w:p>
        </w:tc>
        <w:tc>
          <w:tcPr>
            <w:tcW w:w="4287" w:type="dxa"/>
          </w:tcPr>
          <w:p w14:paraId="03BBE25E" w14:textId="0574A836"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1.41 (0.33-20.</w:t>
            </w:r>
            <w:r w:rsidR="00596AA9" w:rsidRPr="006479DA">
              <w:rPr>
                <w:rFonts w:ascii="Book Antiqua" w:eastAsia="MS Mincho" w:hAnsi="Book Antiqua"/>
                <w:sz w:val="24"/>
                <w:szCs w:val="24"/>
                <w:lang w:val="en-US" w:eastAsia="de-DE"/>
              </w:rPr>
              <w:t>86)</w:t>
            </w:r>
          </w:p>
        </w:tc>
      </w:tr>
      <w:tr w:rsidR="00596AA9" w:rsidRPr="006479DA" w14:paraId="5CFE053F" w14:textId="77777777" w:rsidTr="00425DB0">
        <w:tc>
          <w:tcPr>
            <w:tcW w:w="4012" w:type="dxa"/>
          </w:tcPr>
          <w:p w14:paraId="3161B3CC" w14:textId="52621AFB" w:rsidR="00596AA9" w:rsidRPr="00425DB0" w:rsidRDefault="006974F4" w:rsidP="00425DB0">
            <w:pPr>
              <w:spacing w:after="0" w:line="360" w:lineRule="auto"/>
              <w:rPr>
                <w:rFonts w:ascii="Book Antiqua" w:eastAsia="SimSun" w:hAnsi="Book Antiqua" w:cs="Arial"/>
                <w:sz w:val="24"/>
                <w:szCs w:val="24"/>
                <w:lang w:val="en-US" w:eastAsia="zh-CN"/>
              </w:rPr>
            </w:pPr>
            <w:r w:rsidRPr="006479DA">
              <w:rPr>
                <w:rFonts w:ascii="Book Antiqua" w:eastAsia="MS Mincho" w:hAnsi="Book Antiqua"/>
                <w:sz w:val="24"/>
                <w:szCs w:val="24"/>
                <w:lang w:val="en-US" w:eastAsia="de-DE"/>
              </w:rPr>
              <w:t>Aspartate aminotransferase</w:t>
            </w:r>
            <w:r w:rsidR="00596AA9"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w:t>
            </w:r>
            <w:r w:rsidR="00596AA9" w:rsidRPr="006479DA">
              <w:rPr>
                <w:rFonts w:ascii="Book Antiqua" w:eastAsia="MS Mincho" w:hAnsi="Book Antiqua"/>
                <w:sz w:val="24"/>
                <w:szCs w:val="24"/>
                <w:lang w:val="en-US" w:eastAsia="de-DE"/>
              </w:rPr>
              <w:t>µmol/</w:t>
            </w:r>
            <w:r w:rsidR="00596AA9" w:rsidRPr="00425DB0">
              <w:rPr>
                <w:rFonts w:ascii="Book Antiqua" w:eastAsia="MS Mincho" w:hAnsi="Book Antiqua"/>
                <w:caps/>
                <w:sz w:val="24"/>
                <w:szCs w:val="24"/>
                <w:lang w:val="en-US" w:eastAsia="de-DE"/>
              </w:rPr>
              <w:t>l</w:t>
            </w:r>
            <w:r w:rsidR="00596AA9" w:rsidRPr="006479DA">
              <w:rPr>
                <w:rFonts w:ascii="Book Antiqua" w:eastAsia="MS Mincho" w:hAnsi="Book Antiqua"/>
                <w:sz w:val="24"/>
                <w:szCs w:val="24"/>
                <w:lang w:val="en-US" w:eastAsia="de-DE"/>
              </w:rPr>
              <w:t>*s</w:t>
            </w:r>
            <w:r w:rsidR="00425DB0">
              <w:rPr>
                <w:rFonts w:ascii="Book Antiqua" w:eastAsia="SimSun" w:hAnsi="Book Antiqua" w:hint="eastAsia"/>
                <w:sz w:val="24"/>
                <w:szCs w:val="24"/>
                <w:lang w:val="en-US" w:eastAsia="zh-CN"/>
              </w:rPr>
              <w:t>)</w:t>
            </w:r>
          </w:p>
        </w:tc>
        <w:tc>
          <w:tcPr>
            <w:tcW w:w="4287" w:type="dxa"/>
          </w:tcPr>
          <w:p w14:paraId="0C3B60D2" w14:textId="247F42AA"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1.6 (0.4-8.</w:t>
            </w:r>
            <w:r w:rsidR="00596AA9" w:rsidRPr="006479DA">
              <w:rPr>
                <w:rFonts w:ascii="Book Antiqua" w:eastAsia="MS Mincho" w:hAnsi="Book Antiqua"/>
                <w:sz w:val="24"/>
                <w:szCs w:val="24"/>
                <w:lang w:val="en-US" w:eastAsia="de-DE"/>
              </w:rPr>
              <w:t>8)</w:t>
            </w:r>
          </w:p>
        </w:tc>
      </w:tr>
      <w:tr w:rsidR="00596AA9" w:rsidRPr="006479DA" w14:paraId="22F820F3" w14:textId="77777777" w:rsidTr="00425DB0">
        <w:tc>
          <w:tcPr>
            <w:tcW w:w="4012" w:type="dxa"/>
          </w:tcPr>
          <w:p w14:paraId="01FF095C" w14:textId="77777777" w:rsidR="00596AA9" w:rsidRPr="00425DB0" w:rsidRDefault="00991431" w:rsidP="00425DB0">
            <w:pPr>
              <w:spacing w:after="0" w:line="360" w:lineRule="auto"/>
              <w:rPr>
                <w:rFonts w:ascii="Book Antiqua" w:eastAsia="MS Mincho" w:hAnsi="Book Antiqua"/>
                <w:sz w:val="24"/>
                <w:szCs w:val="24"/>
                <w:lang w:val="en-US" w:eastAsia="de-DE"/>
              </w:rPr>
            </w:pPr>
            <w:r w:rsidRPr="00425DB0">
              <w:rPr>
                <w:rFonts w:ascii="Book Antiqua" w:eastAsia="MS Mincho" w:hAnsi="Book Antiqua"/>
                <w:sz w:val="24"/>
                <w:szCs w:val="24"/>
                <w:lang w:val="en-US" w:eastAsia="de-DE"/>
              </w:rPr>
              <w:t>M</w:t>
            </w:r>
            <w:r w:rsidR="006A2E04" w:rsidRPr="00425DB0">
              <w:rPr>
                <w:rFonts w:ascii="Book Antiqua" w:eastAsia="MS Mincho" w:hAnsi="Book Antiqua"/>
                <w:sz w:val="24"/>
                <w:szCs w:val="24"/>
                <w:lang w:val="en-US" w:eastAsia="de-DE"/>
              </w:rPr>
              <w:t>edication</w:t>
            </w:r>
          </w:p>
          <w:p w14:paraId="721C9D1E" w14:textId="5BF8353D" w:rsidR="006974F4" w:rsidRPr="006479DA" w:rsidRDefault="006974F4" w:rsidP="00425DB0">
            <w:pPr>
              <w:spacing w:after="0" w:line="360" w:lineRule="auto"/>
              <w:rPr>
                <w:rFonts w:ascii="Book Antiqua" w:eastAsia="MS Mincho" w:hAnsi="Book Antiqua"/>
                <w:b/>
                <w:sz w:val="24"/>
                <w:szCs w:val="24"/>
                <w:lang w:val="en-US" w:eastAsia="de-DE"/>
              </w:rPr>
            </w:pPr>
            <w:r w:rsidRPr="006479DA">
              <w:rPr>
                <w:rFonts w:ascii="Book Antiqua" w:eastAsia="MS Mincho" w:hAnsi="Book Antiqua"/>
                <w:b/>
                <w:sz w:val="24"/>
                <w:szCs w:val="24"/>
                <w:lang w:val="en-US" w:eastAsia="de-DE"/>
              </w:rPr>
              <w:lastRenderedPageBreak/>
              <w:t xml:space="preserve">  </w:t>
            </w:r>
            <w:r w:rsidR="00425DB0">
              <w:rPr>
                <w:rFonts w:ascii="Book Antiqua" w:eastAsia="SimSun" w:hAnsi="Book Antiqua" w:hint="eastAsia"/>
                <w:b/>
                <w:sz w:val="24"/>
                <w:szCs w:val="24"/>
                <w:lang w:val="en-US" w:eastAsia="zh-CN"/>
              </w:rPr>
              <w:t xml:space="preserve"> </w:t>
            </w:r>
            <w:r w:rsidRPr="006479DA">
              <w:rPr>
                <w:rFonts w:ascii="Book Antiqua" w:eastAsia="MS Mincho" w:hAnsi="Book Antiqua"/>
                <w:sz w:val="24"/>
                <w:szCs w:val="24"/>
                <w:lang w:val="en-US" w:eastAsia="de-DE"/>
              </w:rPr>
              <w:t>Non-selective beta blockers</w:t>
            </w:r>
          </w:p>
          <w:p w14:paraId="1D3CB4A3" w14:textId="5C1F45AB" w:rsidR="006974F4" w:rsidRPr="006479DA" w:rsidRDefault="006974F4" w:rsidP="00425DB0">
            <w:pPr>
              <w:spacing w:after="0" w:line="360" w:lineRule="auto"/>
              <w:rPr>
                <w:rFonts w:ascii="Book Antiqua" w:eastAsia="MS Mincho" w:hAnsi="Book Antiqua"/>
                <w:b/>
                <w:sz w:val="24"/>
                <w:szCs w:val="24"/>
                <w:lang w:val="en-US"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 xml:space="preserve"> Lactulose</w:t>
            </w:r>
          </w:p>
          <w:p w14:paraId="5AF2A195" w14:textId="36C0892A" w:rsidR="006974F4" w:rsidRPr="006479DA" w:rsidRDefault="006974F4" w:rsidP="00425DB0">
            <w:pPr>
              <w:spacing w:after="0" w:line="360" w:lineRule="auto"/>
              <w:rPr>
                <w:rFonts w:ascii="Book Antiqua" w:eastAsia="MS Mincho" w:hAnsi="Book Antiqua"/>
                <w:b/>
                <w:sz w:val="24"/>
                <w:szCs w:val="24"/>
                <w:lang w:val="en-US" w:eastAsia="de-DE"/>
              </w:rPr>
            </w:pPr>
            <w:r w:rsidRPr="006479DA">
              <w:rPr>
                <w:rFonts w:ascii="Book Antiqua" w:eastAsia="MS Mincho" w:hAnsi="Book Antiqua"/>
                <w:b/>
                <w:sz w:val="24"/>
                <w:szCs w:val="24"/>
                <w:lang w:val="en-US" w:eastAsia="de-DE"/>
              </w:rPr>
              <w:t xml:space="preserve"> </w:t>
            </w:r>
            <w:r w:rsidR="00425DB0">
              <w:rPr>
                <w:rFonts w:ascii="Book Antiqua" w:eastAsia="SimSun" w:hAnsi="Book Antiqua" w:hint="eastAsia"/>
                <w:b/>
                <w:sz w:val="24"/>
                <w:szCs w:val="24"/>
                <w:lang w:val="en-US" w:eastAsia="zh-CN"/>
              </w:rPr>
              <w:t xml:space="preserve"> </w:t>
            </w:r>
            <w:r w:rsidRPr="006479DA">
              <w:rPr>
                <w:rFonts w:ascii="Book Antiqua" w:eastAsia="MS Mincho" w:hAnsi="Book Antiqua"/>
                <w:b/>
                <w:sz w:val="24"/>
                <w:szCs w:val="24"/>
                <w:lang w:val="en-US" w:eastAsia="de-DE"/>
              </w:rPr>
              <w:t xml:space="preserve"> </w:t>
            </w:r>
            <w:r w:rsidRPr="006479DA">
              <w:rPr>
                <w:rFonts w:ascii="Book Antiqua" w:eastAsia="MS Mincho" w:hAnsi="Book Antiqua"/>
                <w:sz w:val="24"/>
                <w:szCs w:val="24"/>
                <w:lang w:val="en-US" w:eastAsia="de-DE"/>
              </w:rPr>
              <w:t>Proton pump inhibitors</w:t>
            </w:r>
          </w:p>
          <w:p w14:paraId="7984B9C8" w14:textId="135AD425" w:rsidR="006974F4" w:rsidRPr="006479DA" w:rsidRDefault="006974F4"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b/>
                <w:sz w:val="24"/>
                <w:szCs w:val="24"/>
                <w:lang w:val="en-US" w:eastAsia="de-DE"/>
              </w:rPr>
              <w:t xml:space="preserve">  </w:t>
            </w:r>
            <w:r w:rsidR="00425DB0">
              <w:rPr>
                <w:rFonts w:ascii="Book Antiqua" w:eastAsia="SimSun" w:hAnsi="Book Antiqua" w:hint="eastAsia"/>
                <w:b/>
                <w:sz w:val="24"/>
                <w:szCs w:val="24"/>
                <w:lang w:val="en-US" w:eastAsia="zh-CN"/>
              </w:rPr>
              <w:t xml:space="preserve"> </w:t>
            </w:r>
            <w:r w:rsidRPr="006479DA">
              <w:rPr>
                <w:rFonts w:ascii="Book Antiqua" w:eastAsia="MS Mincho" w:hAnsi="Book Antiqua"/>
                <w:sz w:val="24"/>
                <w:szCs w:val="24"/>
                <w:lang w:val="en-US" w:eastAsia="de-DE"/>
              </w:rPr>
              <w:t>Terlipressin</w:t>
            </w:r>
          </w:p>
          <w:p w14:paraId="3C4E949D" w14:textId="1E8958A6" w:rsidR="006974F4" w:rsidRPr="006479DA" w:rsidRDefault="006974F4" w:rsidP="00425DB0">
            <w:pPr>
              <w:spacing w:after="0" w:line="360" w:lineRule="auto"/>
              <w:rPr>
                <w:rFonts w:ascii="Book Antiqua" w:eastAsia="MS Mincho" w:hAnsi="Book Antiqua"/>
                <w:b/>
                <w:sz w:val="24"/>
                <w:szCs w:val="24"/>
                <w:lang w:val="en-US" w:eastAsia="de-DE"/>
              </w:rPr>
            </w:pPr>
            <w:r w:rsidRPr="006479DA">
              <w:rPr>
                <w:rFonts w:ascii="Book Antiqua" w:eastAsia="MS Mincho" w:hAnsi="Book Antiqua"/>
                <w:sz w:val="24"/>
                <w:szCs w:val="24"/>
                <w:lang w:val="en-US" w:eastAsia="de-DE"/>
              </w:rPr>
              <w:t xml:space="preserve">  </w:t>
            </w:r>
            <w:r w:rsidR="00425DB0">
              <w:rPr>
                <w:rFonts w:ascii="Book Antiqua" w:eastAsia="SimSun" w:hAnsi="Book Antiqua" w:hint="eastAsia"/>
                <w:sz w:val="24"/>
                <w:szCs w:val="24"/>
                <w:lang w:val="en-US" w:eastAsia="zh-CN"/>
              </w:rPr>
              <w:t xml:space="preserve"> </w:t>
            </w:r>
            <w:r w:rsidR="007B586E" w:rsidRPr="006479DA">
              <w:rPr>
                <w:rFonts w:ascii="Book Antiqua" w:eastAsia="MS Mincho" w:hAnsi="Book Antiqua"/>
                <w:sz w:val="24"/>
                <w:szCs w:val="24"/>
                <w:lang w:val="en-US" w:eastAsia="de-DE"/>
              </w:rPr>
              <w:t>Acetylsalicylic acid</w:t>
            </w:r>
          </w:p>
        </w:tc>
        <w:tc>
          <w:tcPr>
            <w:tcW w:w="4287" w:type="dxa"/>
          </w:tcPr>
          <w:p w14:paraId="6FEAA9D5" w14:textId="77777777" w:rsidR="00596AA9" w:rsidRPr="006479DA" w:rsidRDefault="00596AA9" w:rsidP="00425DB0">
            <w:pPr>
              <w:spacing w:after="0" w:line="360" w:lineRule="auto"/>
              <w:jc w:val="center"/>
              <w:rPr>
                <w:rFonts w:ascii="Book Antiqua" w:eastAsia="MS Mincho" w:hAnsi="Book Antiqua"/>
                <w:sz w:val="24"/>
                <w:szCs w:val="24"/>
                <w:lang w:val="en-US" w:eastAsia="de-DE"/>
              </w:rPr>
            </w:pPr>
          </w:p>
          <w:p w14:paraId="569ECF55" w14:textId="5303D773" w:rsidR="006974F4"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lastRenderedPageBreak/>
              <w:t>19 (41</w:t>
            </w:r>
            <w:r w:rsidR="006974F4" w:rsidRPr="006479DA">
              <w:rPr>
                <w:rFonts w:ascii="Book Antiqua" w:eastAsia="MS Mincho" w:hAnsi="Book Antiqua"/>
                <w:sz w:val="24"/>
                <w:szCs w:val="24"/>
                <w:lang w:eastAsia="de-DE"/>
              </w:rPr>
              <w:t>)</w:t>
            </w:r>
          </w:p>
          <w:p w14:paraId="66440E02" w14:textId="59452B30" w:rsidR="006974F4" w:rsidRPr="00E72393" w:rsidRDefault="00E72393" w:rsidP="00425DB0">
            <w:pPr>
              <w:spacing w:after="0" w:line="360" w:lineRule="auto"/>
              <w:jc w:val="center"/>
              <w:rPr>
                <w:rFonts w:ascii="Book Antiqua" w:eastAsia="SimSun" w:hAnsi="Book Antiqua"/>
                <w:sz w:val="24"/>
                <w:szCs w:val="24"/>
                <w:lang w:eastAsia="zh-CN"/>
              </w:rPr>
            </w:pPr>
            <w:r>
              <w:rPr>
                <w:rFonts w:ascii="Book Antiqua" w:eastAsia="MS Mincho" w:hAnsi="Book Antiqua"/>
                <w:sz w:val="24"/>
                <w:szCs w:val="24"/>
                <w:lang w:eastAsia="de-DE"/>
              </w:rPr>
              <w:t>21 (46%</w:t>
            </w:r>
          </w:p>
          <w:p w14:paraId="1F142672" w14:textId="2C7604C5" w:rsidR="006974F4"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36 (78</w:t>
            </w:r>
            <w:r w:rsidR="006974F4" w:rsidRPr="006479DA">
              <w:rPr>
                <w:rFonts w:ascii="Book Antiqua" w:eastAsia="MS Mincho" w:hAnsi="Book Antiqua"/>
                <w:sz w:val="24"/>
                <w:szCs w:val="24"/>
                <w:lang w:eastAsia="de-DE"/>
              </w:rPr>
              <w:t>)</w:t>
            </w:r>
          </w:p>
          <w:p w14:paraId="0328A824" w14:textId="4885D679" w:rsidR="006974F4" w:rsidRPr="006479DA" w:rsidRDefault="00E72393" w:rsidP="00425DB0">
            <w:pPr>
              <w:spacing w:after="0" w:line="360" w:lineRule="auto"/>
              <w:jc w:val="center"/>
              <w:rPr>
                <w:rFonts w:ascii="Book Antiqua" w:eastAsia="MS Mincho" w:hAnsi="Book Antiqua"/>
                <w:sz w:val="24"/>
                <w:szCs w:val="24"/>
                <w:lang w:eastAsia="de-DE"/>
              </w:rPr>
            </w:pPr>
            <w:r>
              <w:rPr>
                <w:rFonts w:ascii="Book Antiqua" w:eastAsia="MS Mincho" w:hAnsi="Book Antiqua"/>
                <w:sz w:val="24"/>
                <w:szCs w:val="24"/>
                <w:lang w:eastAsia="de-DE"/>
              </w:rPr>
              <w:t>1 (2</w:t>
            </w:r>
            <w:r w:rsidR="006974F4" w:rsidRPr="006479DA">
              <w:rPr>
                <w:rFonts w:ascii="Book Antiqua" w:eastAsia="MS Mincho" w:hAnsi="Book Antiqua"/>
                <w:sz w:val="24"/>
                <w:szCs w:val="24"/>
                <w:lang w:eastAsia="de-DE"/>
              </w:rPr>
              <w:t>)</w:t>
            </w:r>
          </w:p>
          <w:p w14:paraId="2DA80C99" w14:textId="76BC300F" w:rsidR="006974F4" w:rsidRPr="006479DA" w:rsidRDefault="00E72393" w:rsidP="00425DB0">
            <w:pPr>
              <w:spacing w:after="0" w:line="360" w:lineRule="auto"/>
              <w:jc w:val="center"/>
              <w:rPr>
                <w:rFonts w:ascii="Book Antiqua" w:eastAsia="MS Mincho" w:hAnsi="Book Antiqua"/>
                <w:sz w:val="24"/>
                <w:szCs w:val="24"/>
                <w:lang w:val="en-US" w:eastAsia="de-DE"/>
              </w:rPr>
            </w:pPr>
            <w:r>
              <w:rPr>
                <w:rFonts w:ascii="Book Antiqua" w:eastAsia="MS Mincho" w:hAnsi="Book Antiqua"/>
                <w:sz w:val="24"/>
                <w:szCs w:val="24"/>
                <w:lang w:eastAsia="de-DE"/>
              </w:rPr>
              <w:t>5 (11</w:t>
            </w:r>
            <w:r w:rsidR="006974F4" w:rsidRPr="006479DA">
              <w:rPr>
                <w:rFonts w:ascii="Book Antiqua" w:eastAsia="MS Mincho" w:hAnsi="Book Antiqua"/>
                <w:sz w:val="24"/>
                <w:szCs w:val="24"/>
                <w:lang w:eastAsia="de-DE"/>
              </w:rPr>
              <w:t>)</w:t>
            </w:r>
          </w:p>
        </w:tc>
      </w:tr>
    </w:tbl>
    <w:p w14:paraId="72B8EF6C" w14:textId="2C8C95BA" w:rsidR="006974F4" w:rsidRPr="00E72393" w:rsidRDefault="006974F4" w:rsidP="00265BAF">
      <w:pPr>
        <w:spacing w:after="0" w:line="360" w:lineRule="auto"/>
        <w:jc w:val="both"/>
        <w:rPr>
          <w:rFonts w:ascii="Book Antiqua" w:eastAsia="SimSun" w:hAnsi="Book Antiqua"/>
          <w:sz w:val="24"/>
          <w:szCs w:val="24"/>
          <w:lang w:val="en-US" w:eastAsia="zh-CN"/>
        </w:rPr>
      </w:pPr>
      <w:bookmarkStart w:id="158" w:name="_Ref411338082"/>
      <w:r w:rsidRPr="006479DA">
        <w:rPr>
          <w:rFonts w:ascii="Book Antiqua" w:hAnsi="Book Antiqua"/>
          <w:sz w:val="24"/>
          <w:szCs w:val="24"/>
          <w:lang w:val="en-US"/>
        </w:rPr>
        <w:lastRenderedPageBreak/>
        <w:t xml:space="preserve">Median and range or </w:t>
      </w:r>
      <w:r w:rsidR="00425DB0">
        <w:rPr>
          <w:rFonts w:ascii="Book Antiqua" w:hAnsi="Book Antiqua"/>
          <w:sz w:val="24"/>
          <w:szCs w:val="24"/>
          <w:lang w:val="en-US"/>
        </w:rPr>
        <w:t>frequency and percent are shown</w:t>
      </w:r>
      <w:r w:rsidR="00E72393">
        <w:rPr>
          <w:rFonts w:ascii="Book Antiqua" w:eastAsia="SimSun" w:hAnsi="Book Antiqua" w:hint="eastAsia"/>
          <w:sz w:val="24"/>
          <w:szCs w:val="24"/>
          <w:lang w:val="en-US" w:eastAsia="zh-CN"/>
        </w:rPr>
        <w:t>.</w:t>
      </w:r>
    </w:p>
    <w:p w14:paraId="155C30F3" w14:textId="77777777" w:rsidR="003E555D" w:rsidRPr="006479DA" w:rsidRDefault="003E555D" w:rsidP="00265BAF">
      <w:pPr>
        <w:spacing w:after="0" w:line="360" w:lineRule="auto"/>
        <w:jc w:val="both"/>
        <w:rPr>
          <w:rFonts w:ascii="Book Antiqua" w:hAnsi="Book Antiqua"/>
          <w:b/>
          <w:sz w:val="24"/>
          <w:szCs w:val="24"/>
          <w:lang w:val="en-US"/>
        </w:rPr>
      </w:pPr>
      <w:r w:rsidRPr="006479DA">
        <w:rPr>
          <w:rFonts w:ascii="Book Antiqua" w:hAnsi="Book Antiqua"/>
          <w:b/>
          <w:sz w:val="24"/>
          <w:szCs w:val="24"/>
          <w:lang w:val="en-US"/>
        </w:rPr>
        <w:br w:type="page"/>
      </w:r>
    </w:p>
    <w:bookmarkEnd w:id="158"/>
    <w:p w14:paraId="4296BD88" w14:textId="74002AF4" w:rsidR="007D755B" w:rsidRPr="00425DB0" w:rsidRDefault="007D755B" w:rsidP="00265BAF">
      <w:pPr>
        <w:spacing w:after="0" w:line="360" w:lineRule="auto"/>
        <w:jc w:val="both"/>
        <w:rPr>
          <w:rFonts w:ascii="Book Antiqua" w:eastAsia="SimSun" w:hAnsi="Book Antiqua"/>
          <w:b/>
          <w:sz w:val="24"/>
          <w:szCs w:val="24"/>
          <w:lang w:val="en-US" w:eastAsia="zh-CN"/>
        </w:rPr>
      </w:pPr>
      <w:r w:rsidRPr="006479DA">
        <w:rPr>
          <w:rFonts w:ascii="Book Antiqua" w:hAnsi="Book Antiqua"/>
          <w:b/>
          <w:sz w:val="24"/>
          <w:szCs w:val="24"/>
          <w:lang w:val="en-US"/>
        </w:rPr>
        <w:lastRenderedPageBreak/>
        <w:t xml:space="preserve">Table </w:t>
      </w:r>
      <w:r w:rsidRPr="006479DA">
        <w:rPr>
          <w:rFonts w:ascii="Book Antiqua" w:hAnsi="Book Antiqua"/>
          <w:b/>
          <w:sz w:val="24"/>
          <w:szCs w:val="24"/>
        </w:rPr>
        <w:fldChar w:fldCharType="begin"/>
      </w:r>
      <w:r w:rsidRPr="006479DA">
        <w:rPr>
          <w:rFonts w:ascii="Book Antiqua" w:hAnsi="Book Antiqua"/>
          <w:b/>
          <w:sz w:val="24"/>
          <w:szCs w:val="24"/>
          <w:lang w:val="en-US"/>
        </w:rPr>
        <w:instrText xml:space="preserve"> </w:instrText>
      </w:r>
      <w:r w:rsidR="00F22811" w:rsidRPr="006479DA">
        <w:rPr>
          <w:rFonts w:ascii="Book Antiqua" w:hAnsi="Book Antiqua"/>
          <w:b/>
          <w:sz w:val="24"/>
          <w:szCs w:val="24"/>
          <w:lang w:val="en-US"/>
        </w:rPr>
        <w:instrText>SEQ</w:instrText>
      </w:r>
      <w:r w:rsidRPr="006479DA">
        <w:rPr>
          <w:rFonts w:ascii="Book Antiqua" w:hAnsi="Book Antiqua"/>
          <w:b/>
          <w:sz w:val="24"/>
          <w:szCs w:val="24"/>
          <w:lang w:val="en-US"/>
        </w:rPr>
        <w:instrText xml:space="preserve"> Table \* ARABIC </w:instrText>
      </w:r>
      <w:r w:rsidRPr="006479DA">
        <w:rPr>
          <w:rFonts w:ascii="Book Antiqua" w:hAnsi="Book Antiqua"/>
          <w:b/>
          <w:sz w:val="24"/>
          <w:szCs w:val="24"/>
        </w:rPr>
        <w:fldChar w:fldCharType="separate"/>
      </w:r>
      <w:r w:rsidR="00926EFF" w:rsidRPr="006479DA">
        <w:rPr>
          <w:rFonts w:ascii="Book Antiqua" w:hAnsi="Book Antiqua"/>
          <w:b/>
          <w:noProof/>
          <w:sz w:val="24"/>
          <w:szCs w:val="24"/>
          <w:lang w:val="en-US"/>
        </w:rPr>
        <w:t>2</w:t>
      </w:r>
      <w:r w:rsidRPr="006479DA">
        <w:rPr>
          <w:rFonts w:ascii="Book Antiqua" w:hAnsi="Book Antiqua"/>
          <w:b/>
          <w:sz w:val="24"/>
          <w:szCs w:val="24"/>
        </w:rPr>
        <w:fldChar w:fldCharType="end"/>
      </w:r>
      <w:r w:rsidR="00425DB0">
        <w:rPr>
          <w:rFonts w:ascii="Book Antiqua" w:eastAsia="SimSun" w:hAnsi="Book Antiqua" w:hint="eastAsia"/>
          <w:b/>
          <w:sz w:val="24"/>
          <w:szCs w:val="24"/>
          <w:lang w:val="en-US" w:eastAsia="zh-CN"/>
        </w:rPr>
        <w:t xml:space="preserve"> </w:t>
      </w:r>
      <w:r w:rsidRPr="006479DA">
        <w:rPr>
          <w:rFonts w:ascii="Book Antiqua" w:hAnsi="Book Antiqua"/>
          <w:b/>
          <w:sz w:val="24"/>
          <w:szCs w:val="24"/>
          <w:lang w:val="en-US"/>
        </w:rPr>
        <w:t xml:space="preserve">Nonparametric correlation of </w:t>
      </w:r>
      <w:r w:rsidR="005C55FB" w:rsidRPr="006479DA">
        <w:rPr>
          <w:rFonts w:ascii="Book Antiqua" w:hAnsi="Book Antiqua"/>
          <w:b/>
          <w:sz w:val="24"/>
          <w:szCs w:val="24"/>
          <w:lang w:val="en-US"/>
        </w:rPr>
        <w:t>the intestinal permeability index with baseline laboratory data</w:t>
      </w:r>
    </w:p>
    <w:tbl>
      <w:tblPr>
        <w:tblStyle w:val="Tabellenraster3"/>
        <w:tblW w:w="793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2575"/>
        <w:gridCol w:w="1203"/>
      </w:tblGrid>
      <w:tr w:rsidR="00596AA9" w:rsidRPr="006479DA" w14:paraId="7668E7BC" w14:textId="77777777" w:rsidTr="000720FD">
        <w:trPr>
          <w:trHeight w:val="451"/>
        </w:trPr>
        <w:tc>
          <w:tcPr>
            <w:tcW w:w="4152" w:type="dxa"/>
            <w:tcBorders>
              <w:top w:val="single" w:sz="4" w:space="0" w:color="auto"/>
              <w:bottom w:val="single" w:sz="4" w:space="0" w:color="auto"/>
            </w:tcBorders>
          </w:tcPr>
          <w:p w14:paraId="3D34301F" w14:textId="77777777" w:rsidR="00596AA9" w:rsidRPr="00425DB0" w:rsidRDefault="00596AA9" w:rsidP="00265BAF">
            <w:pPr>
              <w:spacing w:after="0" w:line="360" w:lineRule="auto"/>
              <w:jc w:val="both"/>
              <w:rPr>
                <w:rFonts w:ascii="Book Antiqua" w:eastAsia="MS Mincho" w:hAnsi="Book Antiqua"/>
                <w:sz w:val="24"/>
                <w:szCs w:val="24"/>
                <w:lang w:val="en-US" w:eastAsia="de-DE"/>
              </w:rPr>
            </w:pPr>
          </w:p>
        </w:tc>
        <w:tc>
          <w:tcPr>
            <w:tcW w:w="2575" w:type="dxa"/>
            <w:tcBorders>
              <w:top w:val="single" w:sz="4" w:space="0" w:color="auto"/>
              <w:bottom w:val="single" w:sz="4" w:space="0" w:color="auto"/>
            </w:tcBorders>
          </w:tcPr>
          <w:p w14:paraId="6C0EE861" w14:textId="6714E7D3" w:rsidR="00596AA9" w:rsidRPr="006479DA" w:rsidRDefault="006974F4" w:rsidP="00425DB0">
            <w:pPr>
              <w:spacing w:after="0" w:line="360" w:lineRule="auto"/>
              <w:jc w:val="center"/>
              <w:rPr>
                <w:rFonts w:ascii="Book Antiqua" w:eastAsia="MS Mincho" w:hAnsi="Book Antiqua"/>
                <w:b/>
                <w:sz w:val="24"/>
                <w:szCs w:val="24"/>
                <w:lang w:val="en-US" w:eastAsia="de-DE"/>
              </w:rPr>
            </w:pPr>
            <w:r w:rsidRPr="006479DA">
              <w:rPr>
                <w:rFonts w:ascii="Book Antiqua" w:eastAsia="MS Mincho" w:hAnsi="Book Antiqua"/>
                <w:b/>
                <w:sz w:val="24"/>
                <w:szCs w:val="24"/>
                <w:lang w:val="en-US" w:eastAsia="de-DE"/>
              </w:rPr>
              <w:t>S</w:t>
            </w:r>
            <w:r w:rsidR="00596AA9" w:rsidRPr="006479DA">
              <w:rPr>
                <w:rFonts w:ascii="Book Antiqua" w:eastAsia="MS Mincho" w:hAnsi="Book Antiqua"/>
                <w:b/>
                <w:sz w:val="24"/>
                <w:szCs w:val="24"/>
                <w:lang w:val="en-US" w:eastAsia="de-DE"/>
              </w:rPr>
              <w:t>pearman’s rho</w:t>
            </w:r>
          </w:p>
        </w:tc>
        <w:tc>
          <w:tcPr>
            <w:tcW w:w="1203" w:type="dxa"/>
            <w:tcBorders>
              <w:top w:val="single" w:sz="4" w:space="0" w:color="auto"/>
              <w:bottom w:val="single" w:sz="4" w:space="0" w:color="auto"/>
            </w:tcBorders>
          </w:tcPr>
          <w:p w14:paraId="12F5AFE0" w14:textId="170AE385" w:rsidR="00596AA9" w:rsidRPr="006479DA" w:rsidRDefault="00596AA9" w:rsidP="00425DB0">
            <w:pPr>
              <w:spacing w:after="0" w:line="360" w:lineRule="auto"/>
              <w:jc w:val="center"/>
              <w:rPr>
                <w:rFonts w:ascii="Book Antiqua" w:eastAsia="MS Mincho" w:hAnsi="Book Antiqua"/>
                <w:b/>
                <w:i/>
                <w:sz w:val="24"/>
                <w:szCs w:val="24"/>
                <w:lang w:val="en-US" w:eastAsia="de-DE"/>
              </w:rPr>
            </w:pPr>
            <w:r w:rsidRPr="006479DA">
              <w:rPr>
                <w:rFonts w:ascii="Book Antiqua" w:eastAsia="MS Mincho" w:hAnsi="Book Antiqua"/>
                <w:b/>
                <w:i/>
                <w:sz w:val="24"/>
                <w:szCs w:val="24"/>
                <w:lang w:val="en-US" w:eastAsia="de-DE"/>
              </w:rPr>
              <w:t>P</w:t>
            </w:r>
            <w:r w:rsidR="00231023" w:rsidRPr="006479DA">
              <w:rPr>
                <w:rFonts w:ascii="Book Antiqua" w:eastAsia="MS Mincho" w:hAnsi="Book Antiqua"/>
                <w:b/>
                <w:i/>
                <w:sz w:val="24"/>
                <w:szCs w:val="24"/>
                <w:lang w:val="en-US" w:eastAsia="de-DE"/>
              </w:rPr>
              <w:t xml:space="preserve"> </w:t>
            </w:r>
            <w:r w:rsidR="00231023" w:rsidRPr="006479DA">
              <w:rPr>
                <w:rFonts w:ascii="Book Antiqua" w:eastAsia="MS Mincho" w:hAnsi="Book Antiqua"/>
                <w:b/>
                <w:sz w:val="24"/>
                <w:szCs w:val="24"/>
                <w:lang w:val="en-US" w:eastAsia="de-DE"/>
              </w:rPr>
              <w:t>value</w:t>
            </w:r>
          </w:p>
        </w:tc>
      </w:tr>
      <w:tr w:rsidR="00596AA9" w:rsidRPr="006479DA" w14:paraId="503797E7" w14:textId="77777777" w:rsidTr="000720FD">
        <w:trPr>
          <w:trHeight w:val="451"/>
        </w:trPr>
        <w:tc>
          <w:tcPr>
            <w:tcW w:w="4152" w:type="dxa"/>
            <w:tcBorders>
              <w:top w:val="single" w:sz="4" w:space="0" w:color="auto"/>
            </w:tcBorders>
          </w:tcPr>
          <w:p w14:paraId="318EFC74" w14:textId="72AB4149" w:rsidR="00596AA9" w:rsidRPr="006479DA" w:rsidRDefault="00991431"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A</w:t>
            </w:r>
            <w:r w:rsidR="00300DF9" w:rsidRPr="006479DA">
              <w:rPr>
                <w:rFonts w:ascii="Book Antiqua" w:eastAsia="MS Mincho" w:hAnsi="Book Antiqua"/>
                <w:sz w:val="24"/>
                <w:szCs w:val="24"/>
                <w:lang w:val="en-US" w:eastAsia="de-DE"/>
              </w:rPr>
              <w:t>ge</w:t>
            </w:r>
          </w:p>
        </w:tc>
        <w:tc>
          <w:tcPr>
            <w:tcW w:w="2575" w:type="dxa"/>
            <w:tcBorders>
              <w:top w:val="single" w:sz="4" w:space="0" w:color="auto"/>
            </w:tcBorders>
          </w:tcPr>
          <w:p w14:paraId="5577A9DC" w14:textId="465E8FC5" w:rsidR="00596AA9" w:rsidRPr="006479DA" w:rsidRDefault="00596AA9"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-0</w:t>
            </w:r>
            <w:r w:rsidR="007758C7" w:rsidRPr="006479DA">
              <w:rPr>
                <w:rFonts w:ascii="Book Antiqua" w:eastAsia="MS Mincho" w:hAnsi="Book Antiqua"/>
                <w:sz w:val="24"/>
                <w:szCs w:val="24"/>
                <w:lang w:val="en-US" w:eastAsia="de-DE"/>
              </w:rPr>
              <w:t>.</w:t>
            </w:r>
            <w:r w:rsidRPr="006479DA">
              <w:rPr>
                <w:rFonts w:ascii="Book Antiqua" w:eastAsia="MS Mincho" w:hAnsi="Book Antiqua"/>
                <w:sz w:val="24"/>
                <w:szCs w:val="24"/>
                <w:lang w:val="en-US" w:eastAsia="de-DE"/>
              </w:rPr>
              <w:t>166</w:t>
            </w:r>
          </w:p>
        </w:tc>
        <w:tc>
          <w:tcPr>
            <w:tcW w:w="1203" w:type="dxa"/>
            <w:tcBorders>
              <w:top w:val="single" w:sz="4" w:space="0" w:color="auto"/>
            </w:tcBorders>
          </w:tcPr>
          <w:p w14:paraId="6ABC2DD8" w14:textId="775B740C" w:rsidR="00596AA9" w:rsidRPr="000720FD" w:rsidRDefault="007758C7" w:rsidP="00425DB0">
            <w:pPr>
              <w:spacing w:after="0" w:line="360" w:lineRule="auto"/>
              <w:jc w:val="center"/>
              <w:rPr>
                <w:rFonts w:ascii="Book Antiqua" w:eastAsia="MS Mincho" w:hAnsi="Book Antiqua"/>
                <w:sz w:val="24"/>
                <w:szCs w:val="24"/>
                <w:lang w:val="en-US" w:eastAsia="de-DE"/>
              </w:rPr>
            </w:pPr>
            <w:r w:rsidRPr="000720FD">
              <w:rPr>
                <w:rFonts w:ascii="Book Antiqua" w:eastAsia="MS Mincho" w:hAnsi="Book Antiqua"/>
                <w:sz w:val="24"/>
                <w:szCs w:val="24"/>
                <w:lang w:val="en-US" w:eastAsia="de-DE"/>
              </w:rPr>
              <w:t>0.</w:t>
            </w:r>
            <w:r w:rsidR="00596AA9" w:rsidRPr="000720FD">
              <w:rPr>
                <w:rFonts w:ascii="Book Antiqua" w:eastAsia="MS Mincho" w:hAnsi="Book Antiqua"/>
                <w:sz w:val="24"/>
                <w:szCs w:val="24"/>
                <w:lang w:val="en-US" w:eastAsia="de-DE"/>
              </w:rPr>
              <w:t>270</w:t>
            </w:r>
          </w:p>
        </w:tc>
      </w:tr>
      <w:tr w:rsidR="00596AA9" w:rsidRPr="006479DA" w14:paraId="60249D1B" w14:textId="77777777" w:rsidTr="000720FD">
        <w:trPr>
          <w:trHeight w:val="438"/>
        </w:trPr>
        <w:tc>
          <w:tcPr>
            <w:tcW w:w="4152" w:type="dxa"/>
          </w:tcPr>
          <w:p w14:paraId="67D9CEA0" w14:textId="03B9EEA3" w:rsidR="00596AA9" w:rsidRPr="006479DA" w:rsidRDefault="008658FC"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Child-Pugh score</w:t>
            </w:r>
          </w:p>
        </w:tc>
        <w:tc>
          <w:tcPr>
            <w:tcW w:w="2575" w:type="dxa"/>
          </w:tcPr>
          <w:p w14:paraId="29D8B1FC" w14:textId="0864EA09"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0.</w:t>
            </w:r>
            <w:r w:rsidR="00596AA9" w:rsidRPr="006479DA">
              <w:rPr>
                <w:rFonts w:ascii="Book Antiqua" w:eastAsia="MS Mincho" w:hAnsi="Book Antiqua"/>
                <w:sz w:val="24"/>
                <w:szCs w:val="24"/>
                <w:lang w:val="en-US" w:eastAsia="de-DE"/>
              </w:rPr>
              <w:t>484</w:t>
            </w:r>
          </w:p>
        </w:tc>
        <w:tc>
          <w:tcPr>
            <w:tcW w:w="1203" w:type="dxa"/>
          </w:tcPr>
          <w:p w14:paraId="7930CC90" w14:textId="72C3CE5B" w:rsidR="00596AA9" w:rsidRPr="000720FD" w:rsidRDefault="007758C7" w:rsidP="00425DB0">
            <w:pPr>
              <w:spacing w:after="0" w:line="360" w:lineRule="auto"/>
              <w:jc w:val="center"/>
              <w:rPr>
                <w:rFonts w:ascii="Book Antiqua" w:eastAsia="MS Mincho" w:hAnsi="Book Antiqua"/>
                <w:sz w:val="24"/>
                <w:szCs w:val="24"/>
                <w:lang w:val="en-US" w:eastAsia="de-DE"/>
              </w:rPr>
            </w:pPr>
            <w:r w:rsidRPr="000720FD">
              <w:rPr>
                <w:rFonts w:ascii="Book Antiqua" w:eastAsia="MS Mincho" w:hAnsi="Book Antiqua"/>
                <w:sz w:val="24"/>
                <w:szCs w:val="24"/>
                <w:lang w:val="en-US" w:eastAsia="de-DE"/>
              </w:rPr>
              <w:t>0.</w:t>
            </w:r>
            <w:r w:rsidR="00596AA9" w:rsidRPr="000720FD">
              <w:rPr>
                <w:rFonts w:ascii="Book Antiqua" w:eastAsia="MS Mincho" w:hAnsi="Book Antiqua"/>
                <w:sz w:val="24"/>
                <w:szCs w:val="24"/>
                <w:lang w:val="en-US" w:eastAsia="de-DE"/>
              </w:rPr>
              <w:t>00</w:t>
            </w:r>
            <w:r w:rsidR="006974F4" w:rsidRPr="000720FD">
              <w:rPr>
                <w:rFonts w:ascii="Book Antiqua" w:eastAsia="MS Mincho" w:hAnsi="Book Antiqua"/>
                <w:sz w:val="24"/>
                <w:szCs w:val="24"/>
                <w:lang w:val="en-US" w:eastAsia="de-DE"/>
              </w:rPr>
              <w:t>07</w:t>
            </w:r>
          </w:p>
        </w:tc>
      </w:tr>
      <w:tr w:rsidR="00596AA9" w:rsidRPr="006479DA" w14:paraId="5F13A1E4" w14:textId="77777777" w:rsidTr="000720FD">
        <w:trPr>
          <w:trHeight w:val="451"/>
        </w:trPr>
        <w:tc>
          <w:tcPr>
            <w:tcW w:w="4152" w:type="dxa"/>
          </w:tcPr>
          <w:p w14:paraId="77AC0B1E" w14:textId="0F049066" w:rsidR="00596AA9" w:rsidRPr="006479DA" w:rsidRDefault="00596AA9"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MELD</w:t>
            </w:r>
            <w:r w:rsidR="008658FC" w:rsidRPr="006479DA">
              <w:rPr>
                <w:rFonts w:ascii="Book Antiqua" w:eastAsia="MS Mincho" w:hAnsi="Book Antiqua"/>
                <w:sz w:val="24"/>
                <w:szCs w:val="24"/>
                <w:lang w:val="en-US" w:eastAsia="de-DE"/>
              </w:rPr>
              <w:t xml:space="preserve"> score</w:t>
            </w:r>
          </w:p>
        </w:tc>
        <w:tc>
          <w:tcPr>
            <w:tcW w:w="2575" w:type="dxa"/>
          </w:tcPr>
          <w:p w14:paraId="1E3376D6" w14:textId="627A6631"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0.</w:t>
            </w:r>
            <w:r w:rsidR="00596AA9" w:rsidRPr="006479DA">
              <w:rPr>
                <w:rFonts w:ascii="Book Antiqua" w:eastAsia="MS Mincho" w:hAnsi="Book Antiqua"/>
                <w:sz w:val="24"/>
                <w:szCs w:val="24"/>
                <w:lang w:val="en-US" w:eastAsia="de-DE"/>
              </w:rPr>
              <w:t>282</w:t>
            </w:r>
          </w:p>
        </w:tc>
        <w:tc>
          <w:tcPr>
            <w:tcW w:w="1203" w:type="dxa"/>
          </w:tcPr>
          <w:p w14:paraId="3762A9AA" w14:textId="2B7349F2" w:rsidR="00596AA9" w:rsidRPr="000720FD" w:rsidRDefault="007758C7" w:rsidP="00425DB0">
            <w:pPr>
              <w:spacing w:after="0" w:line="360" w:lineRule="auto"/>
              <w:jc w:val="center"/>
              <w:rPr>
                <w:rFonts w:ascii="Book Antiqua" w:eastAsia="MS Mincho" w:hAnsi="Book Antiqua"/>
                <w:sz w:val="24"/>
                <w:szCs w:val="24"/>
                <w:lang w:val="en-US" w:eastAsia="de-DE"/>
              </w:rPr>
            </w:pPr>
            <w:r w:rsidRPr="000720FD">
              <w:rPr>
                <w:rFonts w:ascii="Book Antiqua" w:eastAsia="MS Mincho" w:hAnsi="Book Antiqua"/>
                <w:sz w:val="24"/>
                <w:szCs w:val="24"/>
                <w:lang w:val="en-US" w:eastAsia="de-DE"/>
              </w:rPr>
              <w:t>0.</w:t>
            </w:r>
            <w:r w:rsidR="00596AA9" w:rsidRPr="000720FD">
              <w:rPr>
                <w:rFonts w:ascii="Book Antiqua" w:eastAsia="MS Mincho" w:hAnsi="Book Antiqua"/>
                <w:sz w:val="24"/>
                <w:szCs w:val="24"/>
                <w:lang w:val="en-US" w:eastAsia="de-DE"/>
              </w:rPr>
              <w:t>0</w:t>
            </w:r>
            <w:r w:rsidR="006974F4" w:rsidRPr="000720FD">
              <w:rPr>
                <w:rFonts w:ascii="Book Antiqua" w:eastAsia="MS Mincho" w:hAnsi="Book Antiqua"/>
                <w:sz w:val="24"/>
                <w:szCs w:val="24"/>
                <w:lang w:val="en-US" w:eastAsia="de-DE"/>
              </w:rPr>
              <w:t>6</w:t>
            </w:r>
          </w:p>
        </w:tc>
      </w:tr>
      <w:tr w:rsidR="00596AA9" w:rsidRPr="006479DA" w14:paraId="6D208BE5" w14:textId="77777777" w:rsidTr="000720FD">
        <w:trPr>
          <w:trHeight w:val="451"/>
        </w:trPr>
        <w:tc>
          <w:tcPr>
            <w:tcW w:w="4152" w:type="dxa"/>
          </w:tcPr>
          <w:p w14:paraId="51864B55" w14:textId="29D98D38" w:rsidR="00596AA9" w:rsidRPr="006479DA" w:rsidRDefault="00991431"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B</w:t>
            </w:r>
            <w:r w:rsidR="00596AA9" w:rsidRPr="006479DA">
              <w:rPr>
                <w:rFonts w:ascii="Book Antiqua" w:eastAsia="MS Mincho" w:hAnsi="Book Antiqua"/>
                <w:sz w:val="24"/>
                <w:szCs w:val="24"/>
                <w:lang w:val="en-US" w:eastAsia="de-DE"/>
              </w:rPr>
              <w:t>ilirubin</w:t>
            </w:r>
          </w:p>
        </w:tc>
        <w:tc>
          <w:tcPr>
            <w:tcW w:w="2575" w:type="dxa"/>
          </w:tcPr>
          <w:p w14:paraId="2804E3BB" w14:textId="2D3DC364" w:rsidR="00596AA9" w:rsidRPr="006479DA" w:rsidRDefault="007758C7" w:rsidP="00425DB0">
            <w:pPr>
              <w:spacing w:after="0" w:line="360" w:lineRule="auto"/>
              <w:jc w:val="center"/>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0.</w:t>
            </w:r>
            <w:r w:rsidR="00596AA9" w:rsidRPr="006479DA">
              <w:rPr>
                <w:rFonts w:ascii="Book Antiqua" w:eastAsia="MS Mincho" w:hAnsi="Book Antiqua"/>
                <w:sz w:val="24"/>
                <w:szCs w:val="24"/>
                <w:lang w:val="en-US" w:eastAsia="de-DE"/>
              </w:rPr>
              <w:t>381</w:t>
            </w:r>
          </w:p>
        </w:tc>
        <w:tc>
          <w:tcPr>
            <w:tcW w:w="1203" w:type="dxa"/>
          </w:tcPr>
          <w:p w14:paraId="5EA14D55" w14:textId="7268E31E" w:rsidR="00596AA9" w:rsidRPr="000720FD" w:rsidRDefault="007758C7" w:rsidP="00425DB0">
            <w:pPr>
              <w:spacing w:after="0" w:line="360" w:lineRule="auto"/>
              <w:jc w:val="center"/>
              <w:rPr>
                <w:rFonts w:ascii="Book Antiqua" w:eastAsia="MS Mincho" w:hAnsi="Book Antiqua"/>
                <w:sz w:val="24"/>
                <w:szCs w:val="24"/>
                <w:lang w:val="en-US" w:eastAsia="de-DE"/>
              </w:rPr>
            </w:pPr>
            <w:r w:rsidRPr="000720FD">
              <w:rPr>
                <w:rFonts w:ascii="Book Antiqua" w:eastAsia="MS Mincho" w:hAnsi="Book Antiqua"/>
                <w:sz w:val="24"/>
                <w:szCs w:val="24"/>
                <w:lang w:val="en-US" w:eastAsia="de-DE"/>
              </w:rPr>
              <w:t>0.</w:t>
            </w:r>
            <w:r w:rsidR="00596AA9" w:rsidRPr="000720FD">
              <w:rPr>
                <w:rFonts w:ascii="Book Antiqua" w:eastAsia="MS Mincho" w:hAnsi="Book Antiqua"/>
                <w:sz w:val="24"/>
                <w:szCs w:val="24"/>
                <w:lang w:val="en-US" w:eastAsia="de-DE"/>
              </w:rPr>
              <w:t>009</w:t>
            </w:r>
          </w:p>
        </w:tc>
      </w:tr>
      <w:tr w:rsidR="00596AA9" w:rsidRPr="006479DA" w14:paraId="00F82DFE" w14:textId="77777777" w:rsidTr="000720FD">
        <w:trPr>
          <w:trHeight w:val="438"/>
        </w:trPr>
        <w:tc>
          <w:tcPr>
            <w:tcW w:w="4152" w:type="dxa"/>
          </w:tcPr>
          <w:p w14:paraId="14A3BE1D" w14:textId="27AAAAF6" w:rsidR="00596AA9" w:rsidRPr="006479DA" w:rsidRDefault="007B586E"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International normalized ratio</w:t>
            </w:r>
          </w:p>
        </w:tc>
        <w:tc>
          <w:tcPr>
            <w:tcW w:w="2575" w:type="dxa"/>
          </w:tcPr>
          <w:p w14:paraId="68C123FE" w14:textId="30490D1B" w:rsidR="00596AA9" w:rsidRPr="006479DA" w:rsidRDefault="007758C7"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w:t>
            </w:r>
            <w:r w:rsidR="00596AA9" w:rsidRPr="006479DA">
              <w:rPr>
                <w:rFonts w:ascii="Book Antiqua" w:eastAsia="MS Mincho" w:hAnsi="Book Antiqua"/>
                <w:sz w:val="24"/>
                <w:szCs w:val="24"/>
                <w:lang w:eastAsia="de-DE"/>
              </w:rPr>
              <w:t>445</w:t>
            </w:r>
          </w:p>
        </w:tc>
        <w:tc>
          <w:tcPr>
            <w:tcW w:w="1203" w:type="dxa"/>
          </w:tcPr>
          <w:p w14:paraId="548EAFB9" w14:textId="2197CA13" w:rsidR="00596AA9" w:rsidRPr="000720FD" w:rsidRDefault="007758C7"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w:t>
            </w:r>
            <w:r w:rsidR="00596AA9" w:rsidRPr="000720FD">
              <w:rPr>
                <w:rFonts w:ascii="Book Antiqua" w:eastAsia="MS Mincho" w:hAnsi="Book Antiqua"/>
                <w:sz w:val="24"/>
                <w:szCs w:val="24"/>
                <w:lang w:eastAsia="de-DE"/>
              </w:rPr>
              <w:t>002</w:t>
            </w:r>
          </w:p>
        </w:tc>
      </w:tr>
      <w:tr w:rsidR="00596AA9" w:rsidRPr="006479DA" w14:paraId="6A0B2BD2" w14:textId="77777777" w:rsidTr="000720FD">
        <w:trPr>
          <w:trHeight w:val="451"/>
        </w:trPr>
        <w:tc>
          <w:tcPr>
            <w:tcW w:w="4152" w:type="dxa"/>
          </w:tcPr>
          <w:p w14:paraId="4C091E52" w14:textId="423EE4E8" w:rsidR="00596AA9" w:rsidRPr="006479DA" w:rsidRDefault="00717C0E"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C</w:t>
            </w:r>
            <w:r w:rsidR="00596AA9" w:rsidRPr="006479DA">
              <w:rPr>
                <w:rFonts w:ascii="Book Antiqua" w:eastAsia="MS Mincho" w:hAnsi="Book Antiqua"/>
                <w:sz w:val="24"/>
                <w:szCs w:val="24"/>
                <w:lang w:val="en-US" w:eastAsia="de-DE"/>
              </w:rPr>
              <w:t>reatinin</w:t>
            </w:r>
            <w:r w:rsidRPr="006479DA">
              <w:rPr>
                <w:rFonts w:ascii="Book Antiqua" w:eastAsia="MS Mincho" w:hAnsi="Book Antiqua"/>
                <w:sz w:val="24"/>
                <w:szCs w:val="24"/>
                <w:lang w:val="en-US" w:eastAsia="de-DE"/>
              </w:rPr>
              <w:t>e</w:t>
            </w:r>
            <w:r w:rsidR="00596AA9" w:rsidRPr="006479DA">
              <w:rPr>
                <w:rFonts w:ascii="Book Antiqua" w:eastAsia="MS Mincho" w:hAnsi="Book Antiqua"/>
                <w:sz w:val="24"/>
                <w:szCs w:val="24"/>
                <w:lang w:val="en-US" w:eastAsia="de-DE"/>
              </w:rPr>
              <w:t xml:space="preserve"> </w:t>
            </w:r>
          </w:p>
        </w:tc>
        <w:tc>
          <w:tcPr>
            <w:tcW w:w="2575" w:type="dxa"/>
          </w:tcPr>
          <w:p w14:paraId="14DD20B6" w14:textId="41B28294" w:rsidR="00596AA9" w:rsidRPr="006479DA" w:rsidRDefault="007758C7"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w:t>
            </w:r>
            <w:r w:rsidR="00596AA9" w:rsidRPr="006479DA">
              <w:rPr>
                <w:rFonts w:ascii="Book Antiqua" w:eastAsia="MS Mincho" w:hAnsi="Book Antiqua"/>
                <w:sz w:val="24"/>
                <w:szCs w:val="24"/>
                <w:lang w:eastAsia="de-DE"/>
              </w:rPr>
              <w:t>214</w:t>
            </w:r>
          </w:p>
        </w:tc>
        <w:tc>
          <w:tcPr>
            <w:tcW w:w="1203" w:type="dxa"/>
          </w:tcPr>
          <w:p w14:paraId="023C9ACC" w14:textId="5AAC555A" w:rsidR="00596AA9" w:rsidRPr="000720FD" w:rsidRDefault="007758C7"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w:t>
            </w:r>
            <w:r w:rsidR="00596AA9" w:rsidRPr="000720FD">
              <w:rPr>
                <w:rFonts w:ascii="Book Antiqua" w:eastAsia="MS Mincho" w:hAnsi="Book Antiqua"/>
                <w:sz w:val="24"/>
                <w:szCs w:val="24"/>
                <w:lang w:eastAsia="de-DE"/>
              </w:rPr>
              <w:t>154</w:t>
            </w:r>
          </w:p>
        </w:tc>
      </w:tr>
      <w:tr w:rsidR="00596AA9" w:rsidRPr="006479DA" w14:paraId="7A7FC75A" w14:textId="77777777" w:rsidTr="000720FD">
        <w:trPr>
          <w:trHeight w:val="451"/>
        </w:trPr>
        <w:tc>
          <w:tcPr>
            <w:tcW w:w="4152" w:type="dxa"/>
          </w:tcPr>
          <w:p w14:paraId="3251B8D0" w14:textId="605657C3" w:rsidR="00596AA9" w:rsidRPr="006479DA" w:rsidRDefault="006974F4"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Serum a</w:t>
            </w:r>
            <w:r w:rsidR="00596AA9" w:rsidRPr="006479DA">
              <w:rPr>
                <w:rFonts w:ascii="Book Antiqua" w:eastAsia="MS Mincho" w:hAnsi="Book Antiqua"/>
                <w:sz w:val="24"/>
                <w:szCs w:val="24"/>
                <w:lang w:val="en-US" w:eastAsia="de-DE"/>
              </w:rPr>
              <w:t xml:space="preserve">lbumin </w:t>
            </w:r>
          </w:p>
        </w:tc>
        <w:tc>
          <w:tcPr>
            <w:tcW w:w="2575" w:type="dxa"/>
          </w:tcPr>
          <w:p w14:paraId="042BDAEF" w14:textId="152B5112" w:rsidR="00596AA9" w:rsidRPr="006479DA" w:rsidRDefault="007758C7"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w:t>
            </w:r>
            <w:r w:rsidR="00596AA9" w:rsidRPr="006479DA">
              <w:rPr>
                <w:rFonts w:ascii="Book Antiqua" w:eastAsia="MS Mincho" w:hAnsi="Book Antiqua"/>
                <w:sz w:val="24"/>
                <w:szCs w:val="24"/>
                <w:lang w:eastAsia="de-DE"/>
              </w:rPr>
              <w:t>339</w:t>
            </w:r>
          </w:p>
        </w:tc>
        <w:tc>
          <w:tcPr>
            <w:tcW w:w="1203" w:type="dxa"/>
          </w:tcPr>
          <w:p w14:paraId="217AAE5C" w14:textId="394B8CC0" w:rsidR="00596AA9" w:rsidRPr="000720FD" w:rsidRDefault="007758C7"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w:t>
            </w:r>
            <w:r w:rsidR="00596AA9" w:rsidRPr="000720FD">
              <w:rPr>
                <w:rFonts w:ascii="Book Antiqua" w:eastAsia="MS Mincho" w:hAnsi="Book Antiqua"/>
                <w:sz w:val="24"/>
                <w:szCs w:val="24"/>
                <w:lang w:eastAsia="de-DE"/>
              </w:rPr>
              <w:t>021</w:t>
            </w:r>
          </w:p>
        </w:tc>
      </w:tr>
      <w:tr w:rsidR="00596AA9" w:rsidRPr="006479DA" w14:paraId="631BFC19" w14:textId="77777777" w:rsidTr="000720FD">
        <w:trPr>
          <w:trHeight w:val="438"/>
        </w:trPr>
        <w:tc>
          <w:tcPr>
            <w:tcW w:w="4152" w:type="dxa"/>
          </w:tcPr>
          <w:p w14:paraId="130FAFEC" w14:textId="3F057EBA" w:rsidR="00596AA9" w:rsidRPr="006479DA" w:rsidRDefault="008658FC"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Sodium</w:t>
            </w:r>
            <w:r w:rsidR="00596AA9" w:rsidRPr="006479DA">
              <w:rPr>
                <w:rFonts w:ascii="Book Antiqua" w:eastAsia="MS Mincho" w:hAnsi="Book Antiqua"/>
                <w:sz w:val="24"/>
                <w:szCs w:val="24"/>
                <w:lang w:val="en-US" w:eastAsia="de-DE"/>
              </w:rPr>
              <w:t xml:space="preserve"> </w:t>
            </w:r>
          </w:p>
        </w:tc>
        <w:tc>
          <w:tcPr>
            <w:tcW w:w="2575" w:type="dxa"/>
          </w:tcPr>
          <w:p w14:paraId="5BDCBDAF" w14:textId="182925A7" w:rsidR="00596AA9" w:rsidRPr="006479DA" w:rsidRDefault="007758C7"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w:t>
            </w:r>
            <w:r w:rsidR="00596AA9" w:rsidRPr="006479DA">
              <w:rPr>
                <w:rFonts w:ascii="Book Antiqua" w:eastAsia="MS Mincho" w:hAnsi="Book Antiqua"/>
                <w:sz w:val="24"/>
                <w:szCs w:val="24"/>
                <w:lang w:eastAsia="de-DE"/>
              </w:rPr>
              <w:t>013</w:t>
            </w:r>
          </w:p>
        </w:tc>
        <w:tc>
          <w:tcPr>
            <w:tcW w:w="1203" w:type="dxa"/>
          </w:tcPr>
          <w:p w14:paraId="3E65D152" w14:textId="23A73734" w:rsidR="00596AA9" w:rsidRPr="000720FD" w:rsidRDefault="007758C7"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w:t>
            </w:r>
            <w:r w:rsidR="00596AA9" w:rsidRPr="000720FD">
              <w:rPr>
                <w:rFonts w:ascii="Book Antiqua" w:eastAsia="MS Mincho" w:hAnsi="Book Antiqua"/>
                <w:sz w:val="24"/>
                <w:szCs w:val="24"/>
                <w:lang w:eastAsia="de-DE"/>
              </w:rPr>
              <w:t>930</w:t>
            </w:r>
          </w:p>
        </w:tc>
      </w:tr>
      <w:tr w:rsidR="00596AA9" w:rsidRPr="006479DA" w14:paraId="39682609" w14:textId="77777777" w:rsidTr="000720FD">
        <w:trPr>
          <w:trHeight w:val="451"/>
        </w:trPr>
        <w:tc>
          <w:tcPr>
            <w:tcW w:w="4152" w:type="dxa"/>
          </w:tcPr>
          <w:p w14:paraId="43A32598" w14:textId="0967CF3A" w:rsidR="00596AA9" w:rsidRPr="006479DA" w:rsidRDefault="006974F4"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White blood cells</w:t>
            </w:r>
          </w:p>
        </w:tc>
        <w:tc>
          <w:tcPr>
            <w:tcW w:w="2575" w:type="dxa"/>
          </w:tcPr>
          <w:p w14:paraId="64E6223E" w14:textId="08F7E215" w:rsidR="00596AA9" w:rsidRPr="006479DA" w:rsidRDefault="007758C7"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w:t>
            </w:r>
            <w:r w:rsidR="00596AA9" w:rsidRPr="006479DA">
              <w:rPr>
                <w:rFonts w:ascii="Book Antiqua" w:eastAsia="MS Mincho" w:hAnsi="Book Antiqua"/>
                <w:sz w:val="24"/>
                <w:szCs w:val="24"/>
                <w:lang w:eastAsia="de-DE"/>
              </w:rPr>
              <w:t>174</w:t>
            </w:r>
          </w:p>
        </w:tc>
        <w:tc>
          <w:tcPr>
            <w:tcW w:w="1203" w:type="dxa"/>
          </w:tcPr>
          <w:p w14:paraId="6BBC7F2F" w14:textId="701E0D6B" w:rsidR="00596AA9" w:rsidRPr="000720FD" w:rsidRDefault="007758C7"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w:t>
            </w:r>
            <w:r w:rsidR="00596AA9" w:rsidRPr="000720FD">
              <w:rPr>
                <w:rFonts w:ascii="Book Antiqua" w:eastAsia="MS Mincho" w:hAnsi="Book Antiqua"/>
                <w:sz w:val="24"/>
                <w:szCs w:val="24"/>
                <w:lang w:eastAsia="de-DE"/>
              </w:rPr>
              <w:t>247</w:t>
            </w:r>
          </w:p>
        </w:tc>
      </w:tr>
      <w:tr w:rsidR="006974F4" w:rsidRPr="006479DA" w14:paraId="34947EAC" w14:textId="77777777" w:rsidTr="000720FD">
        <w:trPr>
          <w:trHeight w:val="451"/>
        </w:trPr>
        <w:tc>
          <w:tcPr>
            <w:tcW w:w="4152" w:type="dxa"/>
          </w:tcPr>
          <w:p w14:paraId="1823481A" w14:textId="1CB9A104" w:rsidR="006974F4" w:rsidRPr="006479DA" w:rsidRDefault="006974F4"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C-reactive protein</w:t>
            </w:r>
          </w:p>
        </w:tc>
        <w:tc>
          <w:tcPr>
            <w:tcW w:w="2575" w:type="dxa"/>
          </w:tcPr>
          <w:p w14:paraId="1C91C352" w14:textId="1862E009" w:rsidR="006974F4" w:rsidRPr="006479DA" w:rsidRDefault="006974F4"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0.102</w:t>
            </w:r>
          </w:p>
        </w:tc>
        <w:tc>
          <w:tcPr>
            <w:tcW w:w="1203" w:type="dxa"/>
          </w:tcPr>
          <w:p w14:paraId="1EFEEB45" w14:textId="24397AFC" w:rsidR="006974F4" w:rsidRPr="000720FD" w:rsidRDefault="006974F4"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0.499</w:t>
            </w:r>
          </w:p>
        </w:tc>
      </w:tr>
      <w:tr w:rsidR="006974F4" w:rsidRPr="006479DA" w14:paraId="27906D47" w14:textId="77777777" w:rsidTr="000720FD">
        <w:trPr>
          <w:trHeight w:val="438"/>
        </w:trPr>
        <w:tc>
          <w:tcPr>
            <w:tcW w:w="4152" w:type="dxa"/>
          </w:tcPr>
          <w:p w14:paraId="6B87F9C3" w14:textId="1B4A24D7" w:rsidR="006974F4" w:rsidRPr="006479DA" w:rsidRDefault="006974F4"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Platelets</w:t>
            </w:r>
          </w:p>
        </w:tc>
        <w:tc>
          <w:tcPr>
            <w:tcW w:w="2575" w:type="dxa"/>
          </w:tcPr>
          <w:p w14:paraId="5A85AD84" w14:textId="44EC6B3D" w:rsidR="006974F4" w:rsidRPr="006479DA" w:rsidRDefault="006974F4"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0.049</w:t>
            </w:r>
          </w:p>
        </w:tc>
        <w:tc>
          <w:tcPr>
            <w:tcW w:w="1203" w:type="dxa"/>
          </w:tcPr>
          <w:p w14:paraId="555E8E92" w14:textId="788A9F77" w:rsidR="006974F4" w:rsidRPr="000720FD" w:rsidRDefault="006974F4"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0.748</w:t>
            </w:r>
          </w:p>
        </w:tc>
      </w:tr>
      <w:tr w:rsidR="006974F4" w:rsidRPr="006479DA" w14:paraId="726FB650" w14:textId="77777777" w:rsidTr="000720FD">
        <w:trPr>
          <w:trHeight w:val="451"/>
        </w:trPr>
        <w:tc>
          <w:tcPr>
            <w:tcW w:w="4152" w:type="dxa"/>
          </w:tcPr>
          <w:p w14:paraId="6ABD0865" w14:textId="4F0AB2A5" w:rsidR="006974F4" w:rsidRPr="006479DA" w:rsidRDefault="007B586E"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Alanine aminotransferase</w:t>
            </w:r>
          </w:p>
        </w:tc>
        <w:tc>
          <w:tcPr>
            <w:tcW w:w="2575" w:type="dxa"/>
          </w:tcPr>
          <w:p w14:paraId="70F7EF18" w14:textId="344E8FCF" w:rsidR="006974F4" w:rsidRPr="006479DA" w:rsidRDefault="006974F4"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-0.063</w:t>
            </w:r>
          </w:p>
        </w:tc>
        <w:tc>
          <w:tcPr>
            <w:tcW w:w="1203" w:type="dxa"/>
          </w:tcPr>
          <w:p w14:paraId="729C54D7" w14:textId="3B91D1FC" w:rsidR="006974F4" w:rsidRPr="000720FD" w:rsidRDefault="006974F4"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0.686</w:t>
            </w:r>
          </w:p>
        </w:tc>
      </w:tr>
      <w:tr w:rsidR="006974F4" w:rsidRPr="006479DA" w14:paraId="7B0040C4" w14:textId="77777777" w:rsidTr="000720FD">
        <w:trPr>
          <w:trHeight w:val="451"/>
        </w:trPr>
        <w:tc>
          <w:tcPr>
            <w:tcW w:w="4152" w:type="dxa"/>
          </w:tcPr>
          <w:p w14:paraId="42B1FECB" w14:textId="29C8CD2C" w:rsidR="006974F4" w:rsidRPr="006479DA" w:rsidRDefault="007B586E" w:rsidP="00425DB0">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Aspartate aminotransferase</w:t>
            </w:r>
          </w:p>
        </w:tc>
        <w:tc>
          <w:tcPr>
            <w:tcW w:w="2575" w:type="dxa"/>
          </w:tcPr>
          <w:p w14:paraId="41888298" w14:textId="2AB466B2" w:rsidR="006974F4" w:rsidRPr="006479DA" w:rsidRDefault="006974F4" w:rsidP="00425DB0">
            <w:pPr>
              <w:spacing w:after="0" w:line="360" w:lineRule="auto"/>
              <w:jc w:val="center"/>
              <w:rPr>
                <w:rFonts w:ascii="Book Antiqua" w:eastAsia="MS Mincho" w:hAnsi="Book Antiqua"/>
                <w:sz w:val="24"/>
                <w:szCs w:val="24"/>
                <w:lang w:eastAsia="de-DE"/>
              </w:rPr>
            </w:pPr>
            <w:r w:rsidRPr="006479DA">
              <w:rPr>
                <w:rFonts w:ascii="Book Antiqua" w:eastAsia="MS Mincho" w:hAnsi="Book Antiqua"/>
                <w:sz w:val="24"/>
                <w:szCs w:val="24"/>
                <w:lang w:eastAsia="de-DE"/>
              </w:rPr>
              <w:t>0.347</w:t>
            </w:r>
          </w:p>
        </w:tc>
        <w:tc>
          <w:tcPr>
            <w:tcW w:w="1203" w:type="dxa"/>
          </w:tcPr>
          <w:p w14:paraId="2D06DAAF" w14:textId="3D5778AA" w:rsidR="006974F4" w:rsidRPr="000720FD" w:rsidRDefault="006974F4" w:rsidP="00425DB0">
            <w:pPr>
              <w:spacing w:after="0" w:line="360" w:lineRule="auto"/>
              <w:jc w:val="center"/>
              <w:rPr>
                <w:rFonts w:ascii="Book Antiqua" w:eastAsia="MS Mincho" w:hAnsi="Book Antiqua"/>
                <w:sz w:val="24"/>
                <w:szCs w:val="24"/>
                <w:lang w:eastAsia="de-DE"/>
              </w:rPr>
            </w:pPr>
            <w:r w:rsidRPr="000720FD">
              <w:rPr>
                <w:rFonts w:ascii="Book Antiqua" w:eastAsia="MS Mincho" w:hAnsi="Book Antiqua"/>
                <w:sz w:val="24"/>
                <w:szCs w:val="24"/>
                <w:lang w:eastAsia="de-DE"/>
              </w:rPr>
              <w:t>0.041</w:t>
            </w:r>
          </w:p>
        </w:tc>
      </w:tr>
    </w:tbl>
    <w:p w14:paraId="7583EEEC" w14:textId="0E23841B" w:rsidR="008474CC" w:rsidRPr="006479DA" w:rsidRDefault="008474CC" w:rsidP="00265BAF">
      <w:pPr>
        <w:pStyle w:val="Caption"/>
        <w:spacing w:after="0" w:line="360" w:lineRule="auto"/>
        <w:jc w:val="both"/>
        <w:rPr>
          <w:rFonts w:ascii="Book Antiqua" w:hAnsi="Book Antiqua"/>
          <w:b w:val="0"/>
          <w:color w:val="auto"/>
          <w:sz w:val="24"/>
          <w:szCs w:val="24"/>
          <w:lang w:val="en-US"/>
        </w:rPr>
      </w:pPr>
    </w:p>
    <w:p w14:paraId="77C6A295" w14:textId="77777777" w:rsidR="00231023" w:rsidRPr="006479DA" w:rsidRDefault="00231023" w:rsidP="00265BAF">
      <w:pPr>
        <w:spacing w:after="0" w:line="360" w:lineRule="auto"/>
        <w:jc w:val="both"/>
        <w:rPr>
          <w:rFonts w:ascii="Book Antiqua" w:hAnsi="Book Antiqua"/>
          <w:b/>
          <w:bCs/>
          <w:sz w:val="24"/>
          <w:szCs w:val="24"/>
          <w:highlight w:val="yellow"/>
          <w:lang w:val="en-US"/>
        </w:rPr>
      </w:pPr>
      <w:r w:rsidRPr="006479DA">
        <w:rPr>
          <w:rFonts w:ascii="Book Antiqua" w:hAnsi="Book Antiqua"/>
          <w:sz w:val="24"/>
          <w:szCs w:val="24"/>
          <w:highlight w:val="yellow"/>
          <w:lang w:val="en-US"/>
        </w:rPr>
        <w:br w:type="page"/>
      </w:r>
    </w:p>
    <w:p w14:paraId="1C488C8E" w14:textId="75CBA941" w:rsidR="007D755B" w:rsidRPr="00EA2906" w:rsidRDefault="007D755B" w:rsidP="00601325">
      <w:pPr>
        <w:pStyle w:val="Caption"/>
        <w:spacing w:after="0" w:line="360" w:lineRule="auto"/>
        <w:jc w:val="both"/>
        <w:rPr>
          <w:rFonts w:ascii="Book Antiqua" w:eastAsia="SimSun" w:hAnsi="Book Antiqua"/>
          <w:color w:val="auto"/>
          <w:sz w:val="24"/>
          <w:szCs w:val="24"/>
          <w:lang w:val="en-US" w:eastAsia="zh-CN"/>
        </w:rPr>
      </w:pPr>
      <w:r w:rsidRPr="006479DA">
        <w:rPr>
          <w:rFonts w:ascii="Book Antiqua" w:hAnsi="Book Antiqua"/>
          <w:color w:val="auto"/>
          <w:sz w:val="24"/>
          <w:szCs w:val="24"/>
          <w:lang w:val="en-US"/>
        </w:rPr>
        <w:lastRenderedPageBreak/>
        <w:t xml:space="preserve">Table </w:t>
      </w:r>
      <w:r w:rsidRPr="006479DA">
        <w:rPr>
          <w:rFonts w:ascii="Book Antiqua" w:hAnsi="Book Antiqua"/>
          <w:color w:val="auto"/>
          <w:sz w:val="24"/>
          <w:szCs w:val="24"/>
        </w:rPr>
        <w:fldChar w:fldCharType="begin"/>
      </w:r>
      <w:r w:rsidRPr="006479DA">
        <w:rPr>
          <w:rFonts w:ascii="Book Antiqua" w:hAnsi="Book Antiqua"/>
          <w:color w:val="auto"/>
          <w:sz w:val="24"/>
          <w:szCs w:val="24"/>
          <w:lang w:val="en-US"/>
        </w:rPr>
        <w:instrText xml:space="preserve"> </w:instrText>
      </w:r>
      <w:r w:rsidR="00F22811" w:rsidRPr="006479DA">
        <w:rPr>
          <w:rFonts w:ascii="Book Antiqua" w:hAnsi="Book Antiqua"/>
          <w:color w:val="auto"/>
          <w:sz w:val="24"/>
          <w:szCs w:val="24"/>
          <w:lang w:val="en-US"/>
        </w:rPr>
        <w:instrText>SEQ</w:instrText>
      </w:r>
      <w:r w:rsidRPr="006479DA">
        <w:rPr>
          <w:rFonts w:ascii="Book Antiqua" w:hAnsi="Book Antiqua"/>
          <w:color w:val="auto"/>
          <w:sz w:val="24"/>
          <w:szCs w:val="24"/>
          <w:lang w:val="en-US"/>
        </w:rPr>
        <w:instrText xml:space="preserve"> Table \* ARABIC </w:instrText>
      </w:r>
      <w:r w:rsidRPr="006479DA">
        <w:rPr>
          <w:rFonts w:ascii="Book Antiqua" w:hAnsi="Book Antiqua"/>
          <w:color w:val="auto"/>
          <w:sz w:val="24"/>
          <w:szCs w:val="24"/>
        </w:rPr>
        <w:fldChar w:fldCharType="separate"/>
      </w:r>
      <w:r w:rsidR="00926EFF" w:rsidRPr="006479DA">
        <w:rPr>
          <w:rFonts w:ascii="Book Antiqua" w:hAnsi="Book Antiqua"/>
          <w:noProof/>
          <w:color w:val="auto"/>
          <w:sz w:val="24"/>
          <w:szCs w:val="24"/>
          <w:lang w:val="en-US"/>
        </w:rPr>
        <w:t>3</w:t>
      </w:r>
      <w:r w:rsidRPr="006479DA">
        <w:rPr>
          <w:rFonts w:ascii="Book Antiqua" w:hAnsi="Book Antiqua"/>
          <w:color w:val="auto"/>
          <w:sz w:val="24"/>
          <w:szCs w:val="24"/>
        </w:rPr>
        <w:fldChar w:fldCharType="end"/>
      </w:r>
      <w:r w:rsidR="000720FD">
        <w:rPr>
          <w:rFonts w:ascii="Book Antiqua" w:eastAsia="SimSun" w:hAnsi="Book Antiqua" w:hint="eastAsia"/>
          <w:color w:val="auto"/>
          <w:sz w:val="24"/>
          <w:szCs w:val="24"/>
          <w:lang w:val="en-US" w:eastAsia="zh-CN"/>
        </w:rPr>
        <w:t xml:space="preserve"> </w:t>
      </w:r>
      <w:r w:rsidRPr="006479DA">
        <w:rPr>
          <w:rFonts w:ascii="Book Antiqua" w:hAnsi="Book Antiqua"/>
          <w:color w:val="auto"/>
          <w:sz w:val="24"/>
          <w:szCs w:val="24"/>
          <w:lang w:val="en-US"/>
        </w:rPr>
        <w:t xml:space="preserve">Parameters at baseline stratified for the </w:t>
      </w:r>
      <w:r w:rsidR="006A14DF" w:rsidRPr="006479DA">
        <w:rPr>
          <w:rFonts w:ascii="Book Antiqua" w:hAnsi="Book Antiqua"/>
          <w:color w:val="auto"/>
          <w:sz w:val="24"/>
          <w:szCs w:val="24"/>
          <w:lang w:val="en-US"/>
        </w:rPr>
        <w:t>development</w:t>
      </w:r>
      <w:r w:rsidRPr="006479DA">
        <w:rPr>
          <w:rFonts w:ascii="Book Antiqua" w:hAnsi="Book Antiqua"/>
          <w:color w:val="auto"/>
          <w:sz w:val="24"/>
          <w:szCs w:val="24"/>
          <w:lang w:val="en-US"/>
        </w:rPr>
        <w:t xml:space="preserve"> of </w:t>
      </w:r>
      <w:r w:rsidR="00947C64" w:rsidRPr="006479DA">
        <w:rPr>
          <w:rFonts w:ascii="Book Antiqua" w:hAnsi="Book Antiqua"/>
          <w:color w:val="auto"/>
          <w:sz w:val="24"/>
          <w:szCs w:val="24"/>
          <w:lang w:val="en-US"/>
        </w:rPr>
        <w:t xml:space="preserve">hospitalization with </w:t>
      </w:r>
      <w:r w:rsidRPr="006479DA">
        <w:rPr>
          <w:rFonts w:ascii="Book Antiqua" w:hAnsi="Book Antiqua"/>
          <w:color w:val="auto"/>
          <w:sz w:val="24"/>
          <w:szCs w:val="24"/>
          <w:lang w:val="en-US"/>
        </w:rPr>
        <w:t>infection within one year</w:t>
      </w:r>
      <w:r w:rsidR="00EA2906">
        <w:rPr>
          <w:rFonts w:ascii="Book Antiqua" w:eastAsia="SimSun" w:hAnsi="Book Antiqua" w:hint="eastAsia"/>
          <w:color w:val="auto"/>
          <w:sz w:val="24"/>
          <w:szCs w:val="24"/>
          <w:lang w:val="en-US" w:eastAsia="zh-CN"/>
        </w:rPr>
        <w:t xml:space="preserve"> </w:t>
      </w:r>
      <w:r w:rsidR="00EA2906" w:rsidRPr="00EA2906">
        <w:rPr>
          <w:rFonts w:ascii="Book Antiqua" w:eastAsia="SimSun" w:hAnsi="Book Antiqua" w:hint="eastAsia"/>
          <w:i/>
          <w:color w:val="auto"/>
          <w:sz w:val="24"/>
          <w:szCs w:val="24"/>
          <w:lang w:val="en-US" w:eastAsia="zh-CN"/>
        </w:rPr>
        <w:t>n</w:t>
      </w:r>
      <w:r w:rsidR="00EA2906">
        <w:rPr>
          <w:rFonts w:ascii="Book Antiqua" w:eastAsia="SimSun" w:hAnsi="Book Antiqua" w:hint="eastAsia"/>
          <w:color w:val="auto"/>
          <w:sz w:val="24"/>
          <w:szCs w:val="24"/>
          <w:lang w:val="en-US" w:eastAsia="zh-CN"/>
        </w:rPr>
        <w:t xml:space="preserve"> (%)</w:t>
      </w:r>
    </w:p>
    <w:tbl>
      <w:tblPr>
        <w:tblStyle w:val="TableGrid"/>
        <w:tblW w:w="97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2639"/>
        <w:gridCol w:w="1271"/>
      </w:tblGrid>
      <w:tr w:rsidR="00231023" w:rsidRPr="006479DA" w14:paraId="43CC24F6" w14:textId="77777777" w:rsidTr="000720FD">
        <w:trPr>
          <w:trHeight w:val="1312"/>
        </w:trPr>
        <w:tc>
          <w:tcPr>
            <w:tcW w:w="2909" w:type="dxa"/>
            <w:tcBorders>
              <w:top w:val="single" w:sz="4" w:space="0" w:color="auto"/>
              <w:bottom w:val="single" w:sz="4" w:space="0" w:color="auto"/>
            </w:tcBorders>
          </w:tcPr>
          <w:p w14:paraId="22AC5DEB" w14:textId="77777777" w:rsidR="00231023" w:rsidRPr="006479DA" w:rsidRDefault="00231023" w:rsidP="00265BAF">
            <w:pPr>
              <w:pStyle w:val="Caption"/>
              <w:keepNext/>
              <w:spacing w:after="0" w:line="360" w:lineRule="auto"/>
              <w:jc w:val="both"/>
              <w:rPr>
                <w:rFonts w:ascii="Book Antiqua" w:hAnsi="Book Antiqua"/>
                <w:b w:val="0"/>
                <w:color w:val="auto"/>
                <w:sz w:val="24"/>
                <w:szCs w:val="24"/>
                <w:lang w:val="en-US"/>
              </w:rPr>
            </w:pPr>
          </w:p>
        </w:tc>
        <w:tc>
          <w:tcPr>
            <w:tcW w:w="2909" w:type="dxa"/>
            <w:tcBorders>
              <w:top w:val="single" w:sz="4" w:space="0" w:color="auto"/>
              <w:bottom w:val="single" w:sz="4" w:space="0" w:color="auto"/>
            </w:tcBorders>
          </w:tcPr>
          <w:p w14:paraId="5274B77E" w14:textId="48C71A29" w:rsidR="00231023" w:rsidRPr="006479DA" w:rsidRDefault="00D02C25" w:rsidP="000720FD">
            <w:pPr>
              <w:pStyle w:val="Caption"/>
              <w:keepNext/>
              <w:spacing w:after="0" w:line="360" w:lineRule="auto"/>
              <w:jc w:val="center"/>
              <w:rPr>
                <w:rFonts w:ascii="Book Antiqua" w:hAnsi="Book Antiqua"/>
                <w:color w:val="auto"/>
                <w:sz w:val="24"/>
                <w:szCs w:val="24"/>
                <w:lang w:val="en-US"/>
              </w:rPr>
            </w:pPr>
            <w:r w:rsidRPr="006479DA">
              <w:rPr>
                <w:rFonts w:ascii="Book Antiqua" w:hAnsi="Book Antiqua"/>
                <w:color w:val="auto"/>
                <w:sz w:val="24"/>
                <w:szCs w:val="24"/>
                <w:lang w:val="en-US"/>
              </w:rPr>
              <w:t xml:space="preserve">Without </w:t>
            </w:r>
            <w:r w:rsidR="0016188E" w:rsidRPr="006479DA">
              <w:rPr>
                <w:rFonts w:ascii="Book Antiqua" w:hAnsi="Book Antiqua"/>
                <w:color w:val="auto"/>
                <w:sz w:val="24"/>
                <w:szCs w:val="24"/>
                <w:lang w:val="en-US"/>
              </w:rPr>
              <w:t xml:space="preserve">subsequent </w:t>
            </w:r>
            <w:r w:rsidRPr="006479DA">
              <w:rPr>
                <w:rFonts w:ascii="Book Antiqua" w:hAnsi="Book Antiqua"/>
                <w:color w:val="auto"/>
                <w:sz w:val="24"/>
                <w:szCs w:val="24"/>
                <w:lang w:val="en-US"/>
              </w:rPr>
              <w:t>infection</w:t>
            </w:r>
          </w:p>
          <w:p w14:paraId="499BCAC6" w14:textId="295D406B" w:rsidR="00D02C25" w:rsidRPr="006479DA" w:rsidRDefault="00D02C25"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w:t>
            </w:r>
            <w:r w:rsidRPr="000720FD">
              <w:rPr>
                <w:rFonts w:ascii="Book Antiqua" w:hAnsi="Book Antiqua"/>
                <w:b/>
                <w:i/>
                <w:sz w:val="24"/>
                <w:szCs w:val="24"/>
                <w:lang w:val="en-US"/>
              </w:rPr>
              <w:t>n</w:t>
            </w:r>
            <w:r w:rsidR="000720FD">
              <w:rPr>
                <w:rFonts w:ascii="Book Antiqua" w:eastAsia="SimSun" w:hAnsi="Book Antiqua" w:hint="eastAsia"/>
                <w:b/>
                <w:sz w:val="24"/>
                <w:szCs w:val="24"/>
                <w:lang w:val="en-US" w:eastAsia="zh-CN"/>
              </w:rPr>
              <w:t xml:space="preserve"> </w:t>
            </w:r>
            <w:r w:rsidRPr="006479DA">
              <w:rPr>
                <w:rFonts w:ascii="Book Antiqua" w:hAnsi="Book Antiqua"/>
                <w:b/>
                <w:sz w:val="24"/>
                <w:szCs w:val="24"/>
                <w:lang w:val="en-US"/>
              </w:rPr>
              <w:t>=</w:t>
            </w:r>
            <w:r w:rsidR="000720FD">
              <w:rPr>
                <w:rFonts w:ascii="Book Antiqua" w:eastAsia="SimSun" w:hAnsi="Book Antiqua" w:hint="eastAsia"/>
                <w:b/>
                <w:sz w:val="24"/>
                <w:szCs w:val="24"/>
                <w:lang w:val="en-US" w:eastAsia="zh-CN"/>
              </w:rPr>
              <w:t xml:space="preserve"> </w:t>
            </w:r>
            <w:r w:rsidRPr="006479DA">
              <w:rPr>
                <w:rFonts w:ascii="Book Antiqua" w:hAnsi="Book Antiqua"/>
                <w:b/>
                <w:sz w:val="24"/>
                <w:szCs w:val="24"/>
                <w:lang w:val="en-US"/>
              </w:rPr>
              <w:t>27)</w:t>
            </w:r>
          </w:p>
        </w:tc>
        <w:tc>
          <w:tcPr>
            <w:tcW w:w="2639" w:type="dxa"/>
            <w:tcBorders>
              <w:top w:val="single" w:sz="4" w:space="0" w:color="auto"/>
              <w:bottom w:val="single" w:sz="4" w:space="0" w:color="auto"/>
            </w:tcBorders>
          </w:tcPr>
          <w:p w14:paraId="59DA54E7" w14:textId="4E7B67CF" w:rsidR="00231023" w:rsidRPr="006479DA" w:rsidRDefault="00D02C25" w:rsidP="000720FD">
            <w:pPr>
              <w:pStyle w:val="Caption"/>
              <w:keepNext/>
              <w:spacing w:after="0" w:line="360" w:lineRule="auto"/>
              <w:jc w:val="center"/>
              <w:rPr>
                <w:rFonts w:ascii="Book Antiqua" w:hAnsi="Book Antiqua"/>
                <w:color w:val="auto"/>
                <w:sz w:val="24"/>
                <w:szCs w:val="24"/>
                <w:lang w:val="en-US"/>
              </w:rPr>
            </w:pPr>
            <w:r w:rsidRPr="006479DA">
              <w:rPr>
                <w:rFonts w:ascii="Book Antiqua" w:hAnsi="Book Antiqua"/>
                <w:color w:val="auto"/>
                <w:sz w:val="24"/>
                <w:szCs w:val="24"/>
                <w:lang w:val="en-US"/>
              </w:rPr>
              <w:t>With</w:t>
            </w:r>
            <w:r w:rsidR="0016188E" w:rsidRPr="006479DA">
              <w:rPr>
                <w:rFonts w:ascii="Book Antiqua" w:hAnsi="Book Antiqua"/>
                <w:color w:val="auto"/>
                <w:sz w:val="24"/>
                <w:szCs w:val="24"/>
                <w:lang w:val="en-US"/>
              </w:rPr>
              <w:t xml:space="preserve"> subsequent</w:t>
            </w:r>
            <w:r w:rsidRPr="006479DA">
              <w:rPr>
                <w:rFonts w:ascii="Book Antiqua" w:hAnsi="Book Antiqua"/>
                <w:color w:val="auto"/>
                <w:sz w:val="24"/>
                <w:szCs w:val="24"/>
                <w:lang w:val="en-US"/>
              </w:rPr>
              <w:t xml:space="preserve"> infection</w:t>
            </w:r>
          </w:p>
          <w:p w14:paraId="78BEF5ED" w14:textId="4EFA4530" w:rsidR="00D02C25" w:rsidRPr="006479DA" w:rsidRDefault="00D02C25"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w:t>
            </w:r>
            <w:r w:rsidRPr="000720FD">
              <w:rPr>
                <w:rFonts w:ascii="Book Antiqua" w:hAnsi="Book Antiqua"/>
                <w:b/>
                <w:i/>
                <w:sz w:val="24"/>
                <w:szCs w:val="24"/>
                <w:lang w:val="en-US"/>
              </w:rPr>
              <w:t>n</w:t>
            </w:r>
            <w:r w:rsidR="000720FD">
              <w:rPr>
                <w:rFonts w:ascii="Book Antiqua" w:eastAsia="SimSun" w:hAnsi="Book Antiqua" w:hint="eastAsia"/>
                <w:b/>
                <w:sz w:val="24"/>
                <w:szCs w:val="24"/>
                <w:lang w:val="en-US" w:eastAsia="zh-CN"/>
              </w:rPr>
              <w:t xml:space="preserve"> </w:t>
            </w:r>
            <w:r w:rsidRPr="006479DA">
              <w:rPr>
                <w:rFonts w:ascii="Book Antiqua" w:hAnsi="Book Antiqua"/>
                <w:b/>
                <w:sz w:val="24"/>
                <w:szCs w:val="24"/>
                <w:lang w:val="en-US"/>
              </w:rPr>
              <w:t>=</w:t>
            </w:r>
            <w:r w:rsidR="000720FD">
              <w:rPr>
                <w:rFonts w:ascii="Book Antiqua" w:eastAsia="SimSun" w:hAnsi="Book Antiqua" w:hint="eastAsia"/>
                <w:b/>
                <w:sz w:val="24"/>
                <w:szCs w:val="24"/>
                <w:lang w:val="en-US" w:eastAsia="zh-CN"/>
              </w:rPr>
              <w:t xml:space="preserve"> </w:t>
            </w:r>
            <w:r w:rsidRPr="006479DA">
              <w:rPr>
                <w:rFonts w:ascii="Book Antiqua" w:hAnsi="Book Antiqua"/>
                <w:b/>
                <w:sz w:val="24"/>
                <w:szCs w:val="24"/>
                <w:lang w:val="en-US"/>
              </w:rPr>
              <w:t>19)</w:t>
            </w:r>
          </w:p>
        </w:tc>
        <w:tc>
          <w:tcPr>
            <w:tcW w:w="1271" w:type="dxa"/>
            <w:tcBorders>
              <w:top w:val="single" w:sz="4" w:space="0" w:color="auto"/>
              <w:bottom w:val="single" w:sz="4" w:space="0" w:color="auto"/>
            </w:tcBorders>
          </w:tcPr>
          <w:p w14:paraId="50ED89CC" w14:textId="79A57D8A" w:rsidR="00231023" w:rsidRPr="006479DA" w:rsidRDefault="00D02C25" w:rsidP="000720FD">
            <w:pPr>
              <w:pStyle w:val="Caption"/>
              <w:keepNext/>
              <w:spacing w:after="0" w:line="360" w:lineRule="auto"/>
              <w:jc w:val="center"/>
              <w:rPr>
                <w:rFonts w:ascii="Book Antiqua" w:hAnsi="Book Antiqua"/>
                <w:i/>
                <w:color w:val="auto"/>
                <w:sz w:val="24"/>
                <w:szCs w:val="24"/>
                <w:lang w:val="en-US"/>
              </w:rPr>
            </w:pPr>
            <w:r w:rsidRPr="006479DA">
              <w:rPr>
                <w:rFonts w:ascii="Book Antiqua" w:hAnsi="Book Antiqua"/>
                <w:i/>
                <w:color w:val="auto"/>
                <w:sz w:val="24"/>
                <w:szCs w:val="24"/>
                <w:lang w:val="en-US"/>
              </w:rPr>
              <w:t xml:space="preserve">P </w:t>
            </w:r>
            <w:r w:rsidRPr="006479DA">
              <w:rPr>
                <w:rFonts w:ascii="Book Antiqua" w:hAnsi="Book Antiqua"/>
                <w:color w:val="auto"/>
                <w:sz w:val="24"/>
                <w:szCs w:val="24"/>
                <w:lang w:val="en-US"/>
              </w:rPr>
              <w:t>value</w:t>
            </w:r>
          </w:p>
        </w:tc>
      </w:tr>
      <w:tr w:rsidR="00231023" w:rsidRPr="000720FD" w14:paraId="4D97E8F0" w14:textId="77777777" w:rsidTr="000720FD">
        <w:trPr>
          <w:trHeight w:val="451"/>
        </w:trPr>
        <w:tc>
          <w:tcPr>
            <w:tcW w:w="2909" w:type="dxa"/>
            <w:tcBorders>
              <w:top w:val="single" w:sz="4" w:space="0" w:color="auto"/>
            </w:tcBorders>
          </w:tcPr>
          <w:p w14:paraId="09B2C0A5" w14:textId="30F83DF5" w:rsidR="00231023" w:rsidRPr="000720FD" w:rsidRDefault="000720FD" w:rsidP="000720FD">
            <w:pPr>
              <w:pStyle w:val="Caption"/>
              <w:keepNext/>
              <w:spacing w:after="0" w:line="360" w:lineRule="auto"/>
              <w:rPr>
                <w:rFonts w:ascii="Book Antiqua" w:eastAsia="SimSun" w:hAnsi="Book Antiqua"/>
                <w:b w:val="0"/>
                <w:color w:val="auto"/>
                <w:sz w:val="24"/>
                <w:szCs w:val="24"/>
                <w:lang w:val="en-US" w:eastAsia="zh-CN"/>
              </w:rPr>
            </w:pPr>
            <w:r>
              <w:rPr>
                <w:rFonts w:ascii="Book Antiqua" w:eastAsia="MS Mincho" w:hAnsi="Book Antiqua"/>
                <w:b w:val="0"/>
                <w:color w:val="auto"/>
                <w:sz w:val="24"/>
                <w:szCs w:val="24"/>
                <w:lang w:val="en-US" w:eastAsia="de-DE"/>
              </w:rPr>
              <w:t xml:space="preserve">Age </w:t>
            </w:r>
            <w:r>
              <w:rPr>
                <w:rFonts w:ascii="Book Antiqua" w:eastAsia="SimSun" w:hAnsi="Book Antiqua" w:hint="eastAsia"/>
                <w:b w:val="0"/>
                <w:color w:val="auto"/>
                <w:sz w:val="24"/>
                <w:szCs w:val="24"/>
                <w:lang w:val="en-US" w:eastAsia="zh-CN"/>
              </w:rPr>
              <w:t>(</w:t>
            </w:r>
            <w:r>
              <w:rPr>
                <w:rFonts w:ascii="Book Antiqua" w:eastAsia="MS Mincho" w:hAnsi="Book Antiqua"/>
                <w:b w:val="0"/>
                <w:color w:val="auto"/>
                <w:sz w:val="24"/>
                <w:szCs w:val="24"/>
                <w:lang w:val="en-US" w:eastAsia="de-DE"/>
              </w:rPr>
              <w:t>yr</w:t>
            </w:r>
            <w:r>
              <w:rPr>
                <w:rFonts w:ascii="Book Antiqua" w:eastAsia="SimSun" w:hAnsi="Book Antiqua" w:hint="eastAsia"/>
                <w:b w:val="0"/>
                <w:color w:val="auto"/>
                <w:sz w:val="24"/>
                <w:szCs w:val="24"/>
                <w:lang w:val="en-US" w:eastAsia="zh-CN"/>
              </w:rPr>
              <w:t>)</w:t>
            </w:r>
          </w:p>
        </w:tc>
        <w:tc>
          <w:tcPr>
            <w:tcW w:w="2909" w:type="dxa"/>
            <w:tcBorders>
              <w:top w:val="single" w:sz="4" w:space="0" w:color="auto"/>
            </w:tcBorders>
          </w:tcPr>
          <w:p w14:paraId="2995342A" w14:textId="59D411D4" w:rsidR="00231023" w:rsidRPr="006479DA" w:rsidRDefault="00931E15"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56 (42-78)</w:t>
            </w:r>
          </w:p>
        </w:tc>
        <w:tc>
          <w:tcPr>
            <w:tcW w:w="2639" w:type="dxa"/>
            <w:tcBorders>
              <w:top w:val="single" w:sz="4" w:space="0" w:color="auto"/>
            </w:tcBorders>
          </w:tcPr>
          <w:p w14:paraId="5BFEE7E7" w14:textId="59DEB907" w:rsidR="00231023" w:rsidRPr="006479DA" w:rsidRDefault="00931E15"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60 (44-81)</w:t>
            </w:r>
          </w:p>
        </w:tc>
        <w:tc>
          <w:tcPr>
            <w:tcW w:w="1271" w:type="dxa"/>
            <w:tcBorders>
              <w:top w:val="single" w:sz="4" w:space="0" w:color="auto"/>
            </w:tcBorders>
          </w:tcPr>
          <w:p w14:paraId="5D136F0B" w14:textId="5F5419F0" w:rsidR="00231023"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0.22</w:t>
            </w:r>
          </w:p>
        </w:tc>
      </w:tr>
      <w:tr w:rsidR="00231023" w:rsidRPr="000720FD" w14:paraId="430A6686" w14:textId="77777777" w:rsidTr="000720FD">
        <w:trPr>
          <w:trHeight w:val="438"/>
        </w:trPr>
        <w:tc>
          <w:tcPr>
            <w:tcW w:w="2909" w:type="dxa"/>
          </w:tcPr>
          <w:p w14:paraId="57D02743" w14:textId="0D1B6EA1" w:rsidR="00231023" w:rsidRPr="006479DA" w:rsidRDefault="00231023" w:rsidP="000720FD">
            <w:pPr>
              <w:pStyle w:val="Caption"/>
              <w:keepNext/>
              <w:spacing w:after="0" w:line="360" w:lineRule="auto"/>
              <w:ind w:firstLineChars="100" w:firstLine="240"/>
              <w:rPr>
                <w:rFonts w:ascii="Book Antiqua" w:hAnsi="Book Antiqua"/>
                <w:b w:val="0"/>
                <w:color w:val="auto"/>
                <w:sz w:val="24"/>
                <w:szCs w:val="24"/>
                <w:lang w:val="en-US"/>
              </w:rPr>
            </w:pPr>
            <w:r w:rsidRPr="006479DA">
              <w:rPr>
                <w:rFonts w:ascii="Book Antiqua" w:eastAsia="MS Mincho" w:hAnsi="Book Antiqua"/>
                <w:b w:val="0"/>
                <w:color w:val="auto"/>
                <w:sz w:val="24"/>
                <w:szCs w:val="24"/>
                <w:lang w:val="en-US" w:eastAsia="de-DE"/>
              </w:rPr>
              <w:t>Male se</w:t>
            </w:r>
            <w:r w:rsidRPr="006479DA">
              <w:rPr>
                <w:rFonts w:ascii="Book Antiqua" w:eastAsia="MS Mincho" w:hAnsi="Book Antiqua"/>
                <w:b w:val="0"/>
                <w:color w:val="auto"/>
                <w:sz w:val="24"/>
                <w:szCs w:val="24"/>
                <w:lang w:eastAsia="de-DE"/>
              </w:rPr>
              <w:t>x</w:t>
            </w:r>
          </w:p>
        </w:tc>
        <w:tc>
          <w:tcPr>
            <w:tcW w:w="2909" w:type="dxa"/>
          </w:tcPr>
          <w:p w14:paraId="677F1AA4" w14:textId="41072AA9" w:rsidR="00231023"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17 (63</w:t>
            </w:r>
            <w:r w:rsidR="00D02C25" w:rsidRPr="006479DA">
              <w:rPr>
                <w:rFonts w:ascii="Book Antiqua" w:hAnsi="Book Antiqua"/>
                <w:b w:val="0"/>
                <w:color w:val="auto"/>
                <w:sz w:val="24"/>
                <w:szCs w:val="24"/>
                <w:lang w:val="en-US"/>
              </w:rPr>
              <w:t>)</w:t>
            </w:r>
          </w:p>
        </w:tc>
        <w:tc>
          <w:tcPr>
            <w:tcW w:w="2639" w:type="dxa"/>
          </w:tcPr>
          <w:p w14:paraId="122DF599" w14:textId="70B846F1" w:rsidR="00231023"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11 (58</w:t>
            </w:r>
            <w:r w:rsidR="00D02C25" w:rsidRPr="006479DA">
              <w:rPr>
                <w:rFonts w:ascii="Book Antiqua" w:hAnsi="Book Antiqua"/>
                <w:b w:val="0"/>
                <w:color w:val="auto"/>
                <w:sz w:val="24"/>
                <w:szCs w:val="24"/>
                <w:lang w:val="en-US"/>
              </w:rPr>
              <w:t>)</w:t>
            </w:r>
          </w:p>
        </w:tc>
        <w:tc>
          <w:tcPr>
            <w:tcW w:w="1271" w:type="dxa"/>
          </w:tcPr>
          <w:p w14:paraId="0833B744" w14:textId="492EB778" w:rsidR="00231023" w:rsidRPr="000720FD" w:rsidRDefault="00D02C2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0.77</w:t>
            </w:r>
          </w:p>
        </w:tc>
      </w:tr>
      <w:tr w:rsidR="00931E15" w:rsidRPr="000720FD" w14:paraId="6432D206" w14:textId="77777777" w:rsidTr="000720FD">
        <w:trPr>
          <w:trHeight w:val="902"/>
        </w:trPr>
        <w:tc>
          <w:tcPr>
            <w:tcW w:w="2909" w:type="dxa"/>
          </w:tcPr>
          <w:p w14:paraId="2D4E28BB" w14:textId="7B48F1DD" w:rsidR="00931E15" w:rsidRPr="006479DA" w:rsidRDefault="00931E15" w:rsidP="000720FD">
            <w:pPr>
              <w:pStyle w:val="Caption"/>
              <w:keepNext/>
              <w:spacing w:after="0" w:line="360" w:lineRule="auto"/>
              <w:rPr>
                <w:rFonts w:ascii="Book Antiqua" w:eastAsia="MS Mincho" w:hAnsi="Book Antiqua"/>
                <w:b w:val="0"/>
                <w:color w:val="auto"/>
                <w:sz w:val="24"/>
                <w:szCs w:val="24"/>
                <w:lang w:eastAsia="de-DE"/>
              </w:rPr>
            </w:pPr>
            <w:r w:rsidRPr="006479DA">
              <w:rPr>
                <w:rFonts w:ascii="Book Antiqua" w:eastAsia="MS Mincho" w:hAnsi="Book Antiqua"/>
                <w:b w:val="0"/>
                <w:color w:val="auto"/>
                <w:sz w:val="24"/>
                <w:szCs w:val="24"/>
                <w:lang w:eastAsia="de-DE"/>
              </w:rPr>
              <w:t>Alcoholic liver disease</w:t>
            </w:r>
          </w:p>
        </w:tc>
        <w:tc>
          <w:tcPr>
            <w:tcW w:w="2909" w:type="dxa"/>
          </w:tcPr>
          <w:p w14:paraId="2A7D5BC9" w14:textId="50558D34" w:rsidR="00931E15"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22 (81</w:t>
            </w:r>
            <w:r w:rsidR="00931E15" w:rsidRPr="006479DA">
              <w:rPr>
                <w:rFonts w:ascii="Book Antiqua" w:hAnsi="Book Antiqua"/>
                <w:b w:val="0"/>
                <w:color w:val="auto"/>
                <w:sz w:val="24"/>
                <w:szCs w:val="24"/>
                <w:lang w:val="en-US"/>
              </w:rPr>
              <w:t>)</w:t>
            </w:r>
          </w:p>
        </w:tc>
        <w:tc>
          <w:tcPr>
            <w:tcW w:w="2639" w:type="dxa"/>
          </w:tcPr>
          <w:p w14:paraId="2636FD4C" w14:textId="08622E44" w:rsidR="00931E15"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11 (58</w:t>
            </w:r>
            <w:r w:rsidR="00931E15" w:rsidRPr="006479DA">
              <w:rPr>
                <w:rFonts w:ascii="Book Antiqua" w:hAnsi="Book Antiqua"/>
                <w:b w:val="0"/>
                <w:color w:val="auto"/>
                <w:sz w:val="24"/>
                <w:szCs w:val="24"/>
                <w:lang w:val="en-US"/>
              </w:rPr>
              <w:t>)</w:t>
            </w:r>
          </w:p>
        </w:tc>
        <w:tc>
          <w:tcPr>
            <w:tcW w:w="1271" w:type="dxa"/>
          </w:tcPr>
          <w:p w14:paraId="26A006D5" w14:textId="58756D2E" w:rsidR="00931E15"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0.10</w:t>
            </w:r>
          </w:p>
        </w:tc>
      </w:tr>
      <w:tr w:rsidR="00931E15" w:rsidRPr="000720FD" w14:paraId="6205D024" w14:textId="77777777" w:rsidTr="000720FD">
        <w:trPr>
          <w:trHeight w:val="451"/>
        </w:trPr>
        <w:tc>
          <w:tcPr>
            <w:tcW w:w="2909" w:type="dxa"/>
          </w:tcPr>
          <w:p w14:paraId="3A56F0E9" w14:textId="0E71AABE" w:rsidR="00931E15" w:rsidRPr="006479DA" w:rsidRDefault="00931E15" w:rsidP="000720FD">
            <w:pPr>
              <w:pStyle w:val="Caption"/>
              <w:keepNext/>
              <w:spacing w:after="0" w:line="360" w:lineRule="auto"/>
              <w:rPr>
                <w:rFonts w:ascii="Book Antiqua" w:eastAsia="MS Mincho" w:hAnsi="Book Antiqua"/>
                <w:b w:val="0"/>
                <w:color w:val="auto"/>
                <w:sz w:val="24"/>
                <w:szCs w:val="24"/>
                <w:lang w:eastAsia="de-DE"/>
              </w:rPr>
            </w:pPr>
            <w:r w:rsidRPr="006479DA">
              <w:rPr>
                <w:rFonts w:ascii="Book Antiqua" w:eastAsia="MS Mincho" w:hAnsi="Book Antiqua"/>
                <w:b w:val="0"/>
                <w:color w:val="auto"/>
                <w:sz w:val="24"/>
                <w:szCs w:val="24"/>
                <w:lang w:eastAsia="de-DE"/>
              </w:rPr>
              <w:t xml:space="preserve">Diabetes </w:t>
            </w:r>
          </w:p>
        </w:tc>
        <w:tc>
          <w:tcPr>
            <w:tcW w:w="2909" w:type="dxa"/>
          </w:tcPr>
          <w:p w14:paraId="3464E20D" w14:textId="6CC413C9" w:rsidR="00931E15"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7 (26</w:t>
            </w:r>
            <w:r w:rsidR="00931E15" w:rsidRPr="006479DA">
              <w:rPr>
                <w:rFonts w:ascii="Book Antiqua" w:hAnsi="Book Antiqua"/>
                <w:b w:val="0"/>
                <w:color w:val="auto"/>
                <w:sz w:val="24"/>
                <w:szCs w:val="24"/>
                <w:lang w:val="en-US"/>
              </w:rPr>
              <w:t>)</w:t>
            </w:r>
          </w:p>
        </w:tc>
        <w:tc>
          <w:tcPr>
            <w:tcW w:w="2639" w:type="dxa"/>
          </w:tcPr>
          <w:p w14:paraId="1D40EA89" w14:textId="3C767ACE" w:rsidR="00931E15"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3 (16</w:t>
            </w:r>
            <w:r w:rsidR="00931E15" w:rsidRPr="006479DA">
              <w:rPr>
                <w:rFonts w:ascii="Book Antiqua" w:hAnsi="Book Antiqua"/>
                <w:b w:val="0"/>
                <w:color w:val="auto"/>
                <w:sz w:val="24"/>
                <w:szCs w:val="24"/>
                <w:lang w:val="en-US"/>
              </w:rPr>
              <w:t>)</w:t>
            </w:r>
          </w:p>
        </w:tc>
        <w:tc>
          <w:tcPr>
            <w:tcW w:w="1271" w:type="dxa"/>
          </w:tcPr>
          <w:p w14:paraId="5E724D21" w14:textId="38E3BEE7" w:rsidR="00931E15"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0.49</w:t>
            </w:r>
          </w:p>
        </w:tc>
      </w:tr>
      <w:tr w:rsidR="00231023" w:rsidRPr="000720FD" w14:paraId="7EE1EBE3" w14:textId="77777777" w:rsidTr="000720FD">
        <w:trPr>
          <w:trHeight w:val="1791"/>
        </w:trPr>
        <w:tc>
          <w:tcPr>
            <w:tcW w:w="2909" w:type="dxa"/>
          </w:tcPr>
          <w:p w14:paraId="3FE4A163" w14:textId="77777777" w:rsidR="00231023" w:rsidRPr="006479DA" w:rsidRDefault="00231023" w:rsidP="000720FD">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Child-Pugh stage </w:t>
            </w:r>
          </w:p>
          <w:p w14:paraId="411022B0" w14:textId="3E6DAD7B" w:rsidR="00231023" w:rsidRPr="006479DA" w:rsidRDefault="00231023" w:rsidP="000720FD">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 </w:t>
            </w:r>
            <w:r w:rsidR="000720FD">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 xml:space="preserve"> A  </w:t>
            </w:r>
          </w:p>
          <w:p w14:paraId="230F9DF8" w14:textId="10A51A7C" w:rsidR="00231023" w:rsidRPr="006479DA" w:rsidRDefault="00231023" w:rsidP="000720FD">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 xml:space="preserve">  </w:t>
            </w:r>
            <w:r w:rsidR="000720FD">
              <w:rPr>
                <w:rFonts w:ascii="Book Antiqua" w:eastAsia="SimSun" w:hAnsi="Book Antiqua" w:hint="eastAsia"/>
                <w:sz w:val="24"/>
                <w:szCs w:val="24"/>
                <w:lang w:val="en-US" w:eastAsia="zh-CN"/>
              </w:rPr>
              <w:t xml:space="preserve"> </w:t>
            </w:r>
            <w:r w:rsidRPr="006479DA">
              <w:rPr>
                <w:rFonts w:ascii="Book Antiqua" w:eastAsia="MS Mincho" w:hAnsi="Book Antiqua"/>
                <w:sz w:val="24"/>
                <w:szCs w:val="24"/>
                <w:lang w:val="en-US" w:eastAsia="de-DE"/>
              </w:rPr>
              <w:t>B</w:t>
            </w:r>
          </w:p>
          <w:p w14:paraId="3A441954" w14:textId="28F5AF83" w:rsidR="00231023" w:rsidRPr="006479DA" w:rsidRDefault="00231023" w:rsidP="000720FD">
            <w:pPr>
              <w:pStyle w:val="Caption"/>
              <w:keepNext/>
              <w:spacing w:after="0" w:line="360" w:lineRule="auto"/>
              <w:rPr>
                <w:rFonts w:ascii="Book Antiqua" w:hAnsi="Book Antiqua"/>
                <w:b w:val="0"/>
                <w:color w:val="auto"/>
                <w:sz w:val="24"/>
                <w:szCs w:val="24"/>
                <w:lang w:val="en-US"/>
              </w:rPr>
            </w:pPr>
            <w:r w:rsidRPr="006479DA">
              <w:rPr>
                <w:rFonts w:ascii="Book Antiqua" w:eastAsia="MS Mincho" w:hAnsi="Book Antiqua"/>
                <w:b w:val="0"/>
                <w:color w:val="auto"/>
                <w:sz w:val="24"/>
                <w:szCs w:val="24"/>
                <w:lang w:val="en-US" w:eastAsia="de-DE"/>
              </w:rPr>
              <w:t xml:space="preserve"> </w:t>
            </w:r>
            <w:r w:rsidR="000720FD">
              <w:rPr>
                <w:rFonts w:ascii="Book Antiqua" w:eastAsia="SimSun" w:hAnsi="Book Antiqua" w:hint="eastAsia"/>
                <w:b w:val="0"/>
                <w:color w:val="auto"/>
                <w:sz w:val="24"/>
                <w:szCs w:val="24"/>
                <w:lang w:val="en-US" w:eastAsia="zh-CN"/>
              </w:rPr>
              <w:t xml:space="preserve"> </w:t>
            </w:r>
            <w:r w:rsidRPr="006479DA">
              <w:rPr>
                <w:rFonts w:ascii="Book Antiqua" w:eastAsia="MS Mincho" w:hAnsi="Book Antiqua"/>
                <w:b w:val="0"/>
                <w:color w:val="auto"/>
                <w:sz w:val="24"/>
                <w:szCs w:val="24"/>
                <w:lang w:val="en-US" w:eastAsia="de-DE"/>
              </w:rPr>
              <w:t xml:space="preserve"> C</w:t>
            </w:r>
          </w:p>
        </w:tc>
        <w:tc>
          <w:tcPr>
            <w:tcW w:w="2909" w:type="dxa"/>
          </w:tcPr>
          <w:p w14:paraId="618C72B2" w14:textId="5556CB0E" w:rsidR="00231023"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br/>
              <w:t>6 (22)</w:t>
            </w:r>
            <w:r>
              <w:rPr>
                <w:rFonts w:ascii="Book Antiqua" w:hAnsi="Book Antiqua"/>
                <w:b w:val="0"/>
                <w:color w:val="auto"/>
                <w:sz w:val="24"/>
                <w:szCs w:val="24"/>
                <w:lang w:val="en-US"/>
              </w:rPr>
              <w:br/>
              <w:t>11 (41)</w:t>
            </w:r>
            <w:r>
              <w:rPr>
                <w:rFonts w:ascii="Book Antiqua" w:hAnsi="Book Antiqua"/>
                <w:b w:val="0"/>
                <w:color w:val="auto"/>
                <w:sz w:val="24"/>
                <w:szCs w:val="24"/>
                <w:lang w:val="en-US"/>
              </w:rPr>
              <w:br/>
              <w:t>10 (37</w:t>
            </w:r>
            <w:r w:rsidR="00D02C25" w:rsidRPr="006479DA">
              <w:rPr>
                <w:rFonts w:ascii="Book Antiqua" w:hAnsi="Book Antiqua"/>
                <w:b w:val="0"/>
                <w:color w:val="auto"/>
                <w:sz w:val="24"/>
                <w:szCs w:val="24"/>
                <w:lang w:val="en-US"/>
              </w:rPr>
              <w:t>)</w:t>
            </w:r>
          </w:p>
        </w:tc>
        <w:tc>
          <w:tcPr>
            <w:tcW w:w="2639" w:type="dxa"/>
          </w:tcPr>
          <w:p w14:paraId="641905EE" w14:textId="62FC00D7" w:rsidR="00D02C25"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br/>
              <w:t>0</w:t>
            </w:r>
            <w:r>
              <w:rPr>
                <w:rFonts w:ascii="Book Antiqua" w:hAnsi="Book Antiqua"/>
                <w:sz w:val="24"/>
                <w:szCs w:val="24"/>
                <w:lang w:val="en-US"/>
              </w:rPr>
              <w:br/>
              <w:t>8 (42)</w:t>
            </w:r>
            <w:r>
              <w:rPr>
                <w:rFonts w:ascii="Book Antiqua" w:hAnsi="Book Antiqua"/>
                <w:sz w:val="24"/>
                <w:szCs w:val="24"/>
                <w:lang w:val="en-US"/>
              </w:rPr>
              <w:br/>
              <w:t>11 (58</w:t>
            </w:r>
            <w:r w:rsidR="00D02C25" w:rsidRPr="006479DA">
              <w:rPr>
                <w:rFonts w:ascii="Book Antiqua" w:hAnsi="Book Antiqua"/>
                <w:sz w:val="24"/>
                <w:szCs w:val="24"/>
                <w:lang w:val="en-US"/>
              </w:rPr>
              <w:t>)</w:t>
            </w:r>
          </w:p>
        </w:tc>
        <w:tc>
          <w:tcPr>
            <w:tcW w:w="1271" w:type="dxa"/>
          </w:tcPr>
          <w:p w14:paraId="2F05718D" w14:textId="06CC37CB" w:rsidR="00231023" w:rsidRPr="000720FD" w:rsidRDefault="00D02C2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br/>
              <w:t>0.07</w:t>
            </w:r>
          </w:p>
        </w:tc>
      </w:tr>
      <w:tr w:rsidR="003C0274" w:rsidRPr="000720FD" w14:paraId="31F23F47" w14:textId="77777777" w:rsidTr="000720FD">
        <w:trPr>
          <w:trHeight w:val="451"/>
        </w:trPr>
        <w:tc>
          <w:tcPr>
            <w:tcW w:w="2909" w:type="dxa"/>
          </w:tcPr>
          <w:p w14:paraId="0706AE93" w14:textId="3556532C" w:rsidR="003C0274" w:rsidRPr="006479DA" w:rsidRDefault="003C0274" w:rsidP="000720FD">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Ascites</w:t>
            </w:r>
          </w:p>
        </w:tc>
        <w:tc>
          <w:tcPr>
            <w:tcW w:w="2909" w:type="dxa"/>
          </w:tcPr>
          <w:p w14:paraId="2663EDA8" w14:textId="31C54050" w:rsidR="003C0274"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14 (52</w:t>
            </w:r>
            <w:r w:rsidR="003C0274" w:rsidRPr="006479DA">
              <w:rPr>
                <w:rFonts w:ascii="Book Antiqua" w:hAnsi="Book Antiqua"/>
                <w:b w:val="0"/>
                <w:color w:val="auto"/>
                <w:sz w:val="24"/>
                <w:szCs w:val="24"/>
                <w:lang w:val="en-US"/>
              </w:rPr>
              <w:t>)</w:t>
            </w:r>
          </w:p>
        </w:tc>
        <w:tc>
          <w:tcPr>
            <w:tcW w:w="2639" w:type="dxa"/>
          </w:tcPr>
          <w:p w14:paraId="62A11EF8" w14:textId="6F0F014A" w:rsidR="003C0274" w:rsidRPr="006479DA" w:rsidRDefault="003C0274"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 xml:space="preserve">17 </w:t>
            </w:r>
            <w:r w:rsidR="00EA2906">
              <w:rPr>
                <w:rFonts w:ascii="Book Antiqua" w:hAnsi="Book Antiqua"/>
                <w:sz w:val="24"/>
                <w:szCs w:val="24"/>
                <w:lang w:val="en-US"/>
              </w:rPr>
              <w:t>(89</w:t>
            </w:r>
            <w:r w:rsidRPr="006479DA">
              <w:rPr>
                <w:rFonts w:ascii="Book Antiqua" w:hAnsi="Book Antiqua"/>
                <w:sz w:val="24"/>
                <w:szCs w:val="24"/>
                <w:lang w:val="en-US"/>
              </w:rPr>
              <w:t>)</w:t>
            </w:r>
          </w:p>
        </w:tc>
        <w:tc>
          <w:tcPr>
            <w:tcW w:w="1271" w:type="dxa"/>
          </w:tcPr>
          <w:p w14:paraId="5A2E013C" w14:textId="05133458" w:rsidR="003C0274" w:rsidRPr="000720FD" w:rsidRDefault="003C0274"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0.01</w:t>
            </w:r>
          </w:p>
        </w:tc>
      </w:tr>
      <w:tr w:rsidR="00D02C25" w:rsidRPr="000720FD" w14:paraId="1CE8C6AB" w14:textId="77777777" w:rsidTr="000720FD">
        <w:trPr>
          <w:trHeight w:val="438"/>
        </w:trPr>
        <w:tc>
          <w:tcPr>
            <w:tcW w:w="2909" w:type="dxa"/>
          </w:tcPr>
          <w:p w14:paraId="425CB882" w14:textId="242EEAEE" w:rsidR="00D02C25" w:rsidRPr="006479DA" w:rsidRDefault="00931E15" w:rsidP="000720FD">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Child-Pugh score</w:t>
            </w:r>
          </w:p>
        </w:tc>
        <w:tc>
          <w:tcPr>
            <w:tcW w:w="2909" w:type="dxa"/>
          </w:tcPr>
          <w:p w14:paraId="7A1F21F9" w14:textId="23DC122F" w:rsidR="00D02C25" w:rsidRPr="006479DA" w:rsidRDefault="00D02C25"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9 (5-13)</w:t>
            </w:r>
          </w:p>
        </w:tc>
        <w:tc>
          <w:tcPr>
            <w:tcW w:w="2639" w:type="dxa"/>
          </w:tcPr>
          <w:p w14:paraId="176749FE" w14:textId="589D4139" w:rsidR="00D02C25" w:rsidRPr="006479DA" w:rsidRDefault="00D02C25"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 (7-14)</w:t>
            </w:r>
          </w:p>
        </w:tc>
        <w:tc>
          <w:tcPr>
            <w:tcW w:w="1271" w:type="dxa"/>
          </w:tcPr>
          <w:p w14:paraId="708E448D" w14:textId="4CB24CD2" w:rsidR="00D02C25" w:rsidRPr="000720FD" w:rsidRDefault="00D02C2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0.046</w:t>
            </w:r>
          </w:p>
        </w:tc>
      </w:tr>
      <w:tr w:rsidR="00D02C25" w:rsidRPr="000720FD" w14:paraId="6DF1F7D1" w14:textId="77777777" w:rsidTr="000720FD">
        <w:trPr>
          <w:trHeight w:val="451"/>
        </w:trPr>
        <w:tc>
          <w:tcPr>
            <w:tcW w:w="2909" w:type="dxa"/>
          </w:tcPr>
          <w:p w14:paraId="314EA8F5" w14:textId="676504B6" w:rsidR="00D02C25" w:rsidRPr="006479DA" w:rsidRDefault="00D02C25" w:rsidP="000720FD">
            <w:pPr>
              <w:spacing w:after="0" w:line="360" w:lineRule="auto"/>
              <w:rPr>
                <w:rFonts w:ascii="Book Antiqua" w:eastAsia="MS Mincho" w:hAnsi="Book Antiqua"/>
                <w:sz w:val="24"/>
                <w:szCs w:val="24"/>
                <w:lang w:val="en-US" w:eastAsia="de-DE"/>
              </w:rPr>
            </w:pPr>
            <w:r w:rsidRPr="006479DA">
              <w:rPr>
                <w:rFonts w:ascii="Book Antiqua" w:eastAsia="MS Mincho" w:hAnsi="Book Antiqua"/>
                <w:sz w:val="24"/>
                <w:szCs w:val="24"/>
                <w:lang w:val="en-US" w:eastAsia="de-DE"/>
              </w:rPr>
              <w:t>MELD</w:t>
            </w:r>
          </w:p>
        </w:tc>
        <w:tc>
          <w:tcPr>
            <w:tcW w:w="2909" w:type="dxa"/>
          </w:tcPr>
          <w:p w14:paraId="31B4812B" w14:textId="23AD0419" w:rsidR="00D02C25" w:rsidRPr="006479DA" w:rsidRDefault="00D02C25"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12 (6-27)</w:t>
            </w:r>
          </w:p>
        </w:tc>
        <w:tc>
          <w:tcPr>
            <w:tcW w:w="2639" w:type="dxa"/>
          </w:tcPr>
          <w:p w14:paraId="74CC1101" w14:textId="428BAA10" w:rsidR="00D02C25" w:rsidRPr="006479DA" w:rsidRDefault="00D02C25"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17 (9-25)</w:t>
            </w:r>
          </w:p>
        </w:tc>
        <w:tc>
          <w:tcPr>
            <w:tcW w:w="1271" w:type="dxa"/>
          </w:tcPr>
          <w:p w14:paraId="53B55104" w14:textId="203A9AED" w:rsidR="00D02C25" w:rsidRPr="000720FD" w:rsidRDefault="00D02C2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0.0008</w:t>
            </w:r>
          </w:p>
        </w:tc>
      </w:tr>
      <w:tr w:rsidR="00D02C25" w:rsidRPr="000720FD" w14:paraId="6C4E7461" w14:textId="77777777" w:rsidTr="000720FD">
        <w:trPr>
          <w:trHeight w:val="451"/>
        </w:trPr>
        <w:tc>
          <w:tcPr>
            <w:tcW w:w="2909" w:type="dxa"/>
          </w:tcPr>
          <w:p w14:paraId="65C47023" w14:textId="6927F618" w:rsidR="00D02C25" w:rsidRPr="000720FD" w:rsidRDefault="00D02C25" w:rsidP="000720FD">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 xml:space="preserve">CrP </w:t>
            </w:r>
            <w:r w:rsidR="000720FD">
              <w:rPr>
                <w:rFonts w:ascii="Book Antiqua" w:eastAsia="SimSun" w:hAnsi="Book Antiqua" w:hint="eastAsia"/>
                <w:sz w:val="24"/>
                <w:szCs w:val="24"/>
                <w:lang w:val="en-US" w:eastAsia="zh-CN"/>
              </w:rPr>
              <w:t>(</w:t>
            </w:r>
            <w:r w:rsidR="000720FD">
              <w:rPr>
                <w:rFonts w:ascii="Book Antiqua" w:eastAsia="MS Mincho" w:hAnsi="Book Antiqua"/>
                <w:sz w:val="24"/>
                <w:szCs w:val="24"/>
                <w:lang w:val="en-US" w:eastAsia="de-DE"/>
              </w:rPr>
              <w:t>mg/</w:t>
            </w:r>
            <w:r w:rsidR="000720FD" w:rsidRPr="000720FD">
              <w:rPr>
                <w:rFonts w:ascii="Book Antiqua" w:eastAsia="MS Mincho" w:hAnsi="Book Antiqua"/>
                <w:caps/>
                <w:sz w:val="24"/>
                <w:szCs w:val="24"/>
                <w:lang w:val="en-US" w:eastAsia="de-DE"/>
              </w:rPr>
              <w:t>l</w:t>
            </w:r>
            <w:r w:rsidR="000720FD">
              <w:rPr>
                <w:rFonts w:ascii="Book Antiqua" w:eastAsia="SimSun" w:hAnsi="Book Antiqua" w:hint="eastAsia"/>
                <w:sz w:val="24"/>
                <w:szCs w:val="24"/>
                <w:lang w:val="en-US" w:eastAsia="zh-CN"/>
              </w:rPr>
              <w:t>)</w:t>
            </w:r>
          </w:p>
        </w:tc>
        <w:tc>
          <w:tcPr>
            <w:tcW w:w="2909" w:type="dxa"/>
          </w:tcPr>
          <w:p w14:paraId="3C0ED3A5" w14:textId="4AABF470" w:rsidR="00D02C25"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16 (2-91)</w:t>
            </w:r>
          </w:p>
        </w:tc>
        <w:tc>
          <w:tcPr>
            <w:tcW w:w="2639" w:type="dxa"/>
          </w:tcPr>
          <w:p w14:paraId="1FDA2E1F" w14:textId="5183DD1F" w:rsidR="00D02C25" w:rsidRPr="006479DA" w:rsidRDefault="0029077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17 (2-112)</w:t>
            </w:r>
          </w:p>
        </w:tc>
        <w:tc>
          <w:tcPr>
            <w:tcW w:w="1271" w:type="dxa"/>
          </w:tcPr>
          <w:p w14:paraId="10281230" w14:textId="41CD5B35" w:rsidR="00D02C25" w:rsidRPr="000720FD" w:rsidRDefault="0029077F"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0.72</w:t>
            </w:r>
          </w:p>
        </w:tc>
      </w:tr>
      <w:tr w:rsidR="00D02C25" w:rsidRPr="000720FD" w14:paraId="115ED1CD" w14:textId="77777777" w:rsidTr="000720FD">
        <w:trPr>
          <w:trHeight w:val="438"/>
        </w:trPr>
        <w:tc>
          <w:tcPr>
            <w:tcW w:w="2909" w:type="dxa"/>
          </w:tcPr>
          <w:p w14:paraId="3C5759B0" w14:textId="48074814" w:rsidR="00D02C25" w:rsidRPr="000720FD" w:rsidRDefault="000720FD" w:rsidP="000720FD">
            <w:pPr>
              <w:spacing w:after="0" w:line="360" w:lineRule="auto"/>
              <w:rPr>
                <w:rFonts w:ascii="Book Antiqua" w:eastAsia="SimSun" w:hAnsi="Book Antiqua"/>
                <w:sz w:val="24"/>
                <w:szCs w:val="24"/>
                <w:lang w:val="en-US" w:eastAsia="zh-CN"/>
              </w:rPr>
            </w:pPr>
            <w:r>
              <w:rPr>
                <w:rFonts w:ascii="Book Antiqua" w:eastAsia="MS Mincho" w:hAnsi="Book Antiqua"/>
                <w:sz w:val="24"/>
                <w:szCs w:val="24"/>
                <w:lang w:val="en-US" w:eastAsia="de-DE"/>
              </w:rPr>
              <w:t xml:space="preserve">Sodium </w:t>
            </w:r>
            <w:r>
              <w:rPr>
                <w:rFonts w:ascii="Book Antiqua" w:eastAsia="SimSun" w:hAnsi="Book Antiqua" w:hint="eastAsia"/>
                <w:sz w:val="24"/>
                <w:szCs w:val="24"/>
                <w:lang w:val="en-US" w:eastAsia="zh-CN"/>
              </w:rPr>
              <w:t>(</w:t>
            </w:r>
            <w:r>
              <w:rPr>
                <w:rFonts w:ascii="Book Antiqua" w:eastAsia="MS Mincho" w:hAnsi="Book Antiqua"/>
                <w:sz w:val="24"/>
                <w:szCs w:val="24"/>
                <w:lang w:val="en-US" w:eastAsia="de-DE"/>
              </w:rPr>
              <w:t>mmol/</w:t>
            </w:r>
            <w:r w:rsidRPr="000720FD">
              <w:rPr>
                <w:rFonts w:ascii="Book Antiqua" w:eastAsia="MS Mincho" w:hAnsi="Book Antiqua"/>
                <w:caps/>
                <w:sz w:val="24"/>
                <w:szCs w:val="24"/>
                <w:lang w:val="en-US" w:eastAsia="de-DE"/>
              </w:rPr>
              <w:t>l</w:t>
            </w:r>
            <w:r>
              <w:rPr>
                <w:rFonts w:ascii="Book Antiqua" w:eastAsia="SimSun" w:hAnsi="Book Antiqua" w:hint="eastAsia"/>
                <w:sz w:val="24"/>
                <w:szCs w:val="24"/>
                <w:lang w:val="en-US" w:eastAsia="zh-CN"/>
              </w:rPr>
              <w:t>)</w:t>
            </w:r>
          </w:p>
        </w:tc>
        <w:tc>
          <w:tcPr>
            <w:tcW w:w="2909" w:type="dxa"/>
          </w:tcPr>
          <w:p w14:paraId="7E188136" w14:textId="5C407989" w:rsidR="00D02C25"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136 (125-142)</w:t>
            </w:r>
          </w:p>
        </w:tc>
        <w:tc>
          <w:tcPr>
            <w:tcW w:w="2639" w:type="dxa"/>
          </w:tcPr>
          <w:p w14:paraId="0D21FCD7" w14:textId="32B5C1B2" w:rsidR="00D02C25" w:rsidRPr="006479DA" w:rsidRDefault="0029077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136 (131-144)</w:t>
            </w:r>
          </w:p>
        </w:tc>
        <w:tc>
          <w:tcPr>
            <w:tcW w:w="1271" w:type="dxa"/>
          </w:tcPr>
          <w:p w14:paraId="6BED8045" w14:textId="0AC7F854" w:rsidR="00D02C25" w:rsidRPr="000720FD" w:rsidRDefault="0029077F"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0.97</w:t>
            </w:r>
          </w:p>
        </w:tc>
      </w:tr>
      <w:tr w:rsidR="00D02C25" w:rsidRPr="000720FD" w14:paraId="6D4C1E05" w14:textId="77777777" w:rsidTr="000720FD">
        <w:trPr>
          <w:trHeight w:val="902"/>
        </w:trPr>
        <w:tc>
          <w:tcPr>
            <w:tcW w:w="2909" w:type="dxa"/>
          </w:tcPr>
          <w:p w14:paraId="32CB65B3" w14:textId="2AF5315F" w:rsidR="00D02C25" w:rsidRPr="000720FD" w:rsidRDefault="0029077F" w:rsidP="000720FD">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White blood cells</w:t>
            </w:r>
            <w:r w:rsidR="000720FD">
              <w:rPr>
                <w:rFonts w:ascii="Book Antiqua" w:eastAsia="MS Mincho" w:hAnsi="Book Antiqua"/>
                <w:sz w:val="24"/>
                <w:szCs w:val="24"/>
                <w:lang w:val="en-US" w:eastAsia="de-DE"/>
              </w:rPr>
              <w:t xml:space="preserve"> </w:t>
            </w:r>
            <w:r w:rsidR="000720FD">
              <w:rPr>
                <w:rFonts w:ascii="Book Antiqua" w:eastAsia="SimSun" w:hAnsi="Book Antiqua" w:hint="eastAsia"/>
                <w:sz w:val="24"/>
                <w:szCs w:val="24"/>
                <w:lang w:val="en-US" w:eastAsia="zh-CN"/>
              </w:rPr>
              <w:t>(</w:t>
            </w:r>
            <w:r w:rsidR="000720FD">
              <w:rPr>
                <w:rFonts w:ascii="Book Antiqua" w:eastAsia="MS Mincho" w:hAnsi="Book Antiqua"/>
                <w:sz w:val="24"/>
                <w:szCs w:val="24"/>
                <w:lang w:val="en-US" w:eastAsia="de-DE"/>
              </w:rPr>
              <w:t>Gpt/</w:t>
            </w:r>
            <w:r w:rsidR="000720FD" w:rsidRPr="000720FD">
              <w:rPr>
                <w:rFonts w:ascii="Book Antiqua" w:eastAsia="MS Mincho" w:hAnsi="Book Antiqua"/>
                <w:caps/>
                <w:sz w:val="24"/>
                <w:szCs w:val="24"/>
                <w:lang w:val="en-US" w:eastAsia="de-DE"/>
              </w:rPr>
              <w:t>l</w:t>
            </w:r>
            <w:r w:rsidR="000720FD">
              <w:rPr>
                <w:rFonts w:ascii="Book Antiqua" w:eastAsia="SimSun" w:hAnsi="Book Antiqua" w:hint="eastAsia"/>
                <w:sz w:val="24"/>
                <w:szCs w:val="24"/>
                <w:lang w:val="en-US" w:eastAsia="zh-CN"/>
              </w:rPr>
              <w:t>)</w:t>
            </w:r>
          </w:p>
        </w:tc>
        <w:tc>
          <w:tcPr>
            <w:tcW w:w="2909" w:type="dxa"/>
          </w:tcPr>
          <w:p w14:paraId="40094524" w14:textId="1E0D29B1" w:rsidR="00D02C25"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6.1 (2.8-22.2)</w:t>
            </w:r>
          </w:p>
        </w:tc>
        <w:tc>
          <w:tcPr>
            <w:tcW w:w="2639" w:type="dxa"/>
          </w:tcPr>
          <w:p w14:paraId="3EAE4A00" w14:textId="13A0D4C6" w:rsidR="00D02C25" w:rsidRPr="006479DA" w:rsidRDefault="0029077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6.5 (1.2-9.0)</w:t>
            </w:r>
          </w:p>
        </w:tc>
        <w:tc>
          <w:tcPr>
            <w:tcW w:w="1271" w:type="dxa"/>
          </w:tcPr>
          <w:p w14:paraId="3F59A643" w14:textId="33EAD713" w:rsidR="00D02C25" w:rsidRPr="000720FD" w:rsidRDefault="0029077F"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0.86</w:t>
            </w:r>
          </w:p>
        </w:tc>
      </w:tr>
      <w:tr w:rsidR="00D02C25" w:rsidRPr="000720FD" w14:paraId="6FB1F62C" w14:textId="77777777" w:rsidTr="000720FD">
        <w:trPr>
          <w:trHeight w:val="451"/>
        </w:trPr>
        <w:tc>
          <w:tcPr>
            <w:tcW w:w="2909" w:type="dxa"/>
          </w:tcPr>
          <w:p w14:paraId="3ADC33F6" w14:textId="7C510404" w:rsidR="00D02C25" w:rsidRPr="000720FD" w:rsidRDefault="0029077F" w:rsidP="000720FD">
            <w:pPr>
              <w:spacing w:after="0" w:line="360" w:lineRule="auto"/>
              <w:rPr>
                <w:rFonts w:ascii="Book Antiqua" w:eastAsia="SimSun" w:hAnsi="Book Antiqua"/>
                <w:sz w:val="24"/>
                <w:szCs w:val="24"/>
                <w:lang w:val="en-US" w:eastAsia="zh-CN"/>
              </w:rPr>
            </w:pPr>
            <w:r w:rsidRPr="006479DA">
              <w:rPr>
                <w:rFonts w:ascii="Book Antiqua" w:eastAsia="MS Mincho" w:hAnsi="Book Antiqua"/>
                <w:sz w:val="24"/>
                <w:szCs w:val="24"/>
                <w:lang w:val="en-US" w:eastAsia="de-DE"/>
              </w:rPr>
              <w:t>Platelets</w:t>
            </w:r>
            <w:r w:rsidR="000720FD">
              <w:rPr>
                <w:rFonts w:ascii="Book Antiqua" w:eastAsia="MS Mincho" w:hAnsi="Book Antiqua"/>
                <w:sz w:val="24"/>
                <w:szCs w:val="24"/>
                <w:lang w:val="en-US" w:eastAsia="de-DE"/>
              </w:rPr>
              <w:t xml:space="preserve"> </w:t>
            </w:r>
            <w:r w:rsidR="000720FD">
              <w:rPr>
                <w:rFonts w:ascii="Book Antiqua" w:eastAsia="SimSun" w:hAnsi="Book Antiqua" w:hint="eastAsia"/>
                <w:sz w:val="24"/>
                <w:szCs w:val="24"/>
                <w:lang w:val="en-US" w:eastAsia="zh-CN"/>
              </w:rPr>
              <w:t>(</w:t>
            </w:r>
            <w:r w:rsidR="00D02C25" w:rsidRPr="006479DA">
              <w:rPr>
                <w:rFonts w:ascii="Book Antiqua" w:eastAsia="MS Mincho" w:hAnsi="Book Antiqua"/>
                <w:sz w:val="24"/>
                <w:szCs w:val="24"/>
                <w:lang w:val="en-US" w:eastAsia="de-DE"/>
              </w:rPr>
              <w:t>Gpt/</w:t>
            </w:r>
            <w:r w:rsidR="00D02C25" w:rsidRPr="000720FD">
              <w:rPr>
                <w:rFonts w:ascii="Book Antiqua" w:eastAsia="MS Mincho" w:hAnsi="Book Antiqua"/>
                <w:caps/>
                <w:sz w:val="24"/>
                <w:szCs w:val="24"/>
                <w:lang w:val="en-US" w:eastAsia="de-DE"/>
              </w:rPr>
              <w:t>l</w:t>
            </w:r>
            <w:r w:rsidR="000720FD">
              <w:rPr>
                <w:rFonts w:ascii="Book Antiqua" w:eastAsia="SimSun" w:hAnsi="Book Antiqua" w:hint="eastAsia"/>
                <w:sz w:val="24"/>
                <w:szCs w:val="24"/>
                <w:lang w:val="en-US" w:eastAsia="zh-CN"/>
              </w:rPr>
              <w:t>)</w:t>
            </w:r>
          </w:p>
        </w:tc>
        <w:tc>
          <w:tcPr>
            <w:tcW w:w="2909" w:type="dxa"/>
          </w:tcPr>
          <w:p w14:paraId="2CC23C8F" w14:textId="1D5194E3" w:rsidR="00D02C25"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159 (42-442)</w:t>
            </w:r>
          </w:p>
        </w:tc>
        <w:tc>
          <w:tcPr>
            <w:tcW w:w="2639" w:type="dxa"/>
          </w:tcPr>
          <w:p w14:paraId="329A0BC6" w14:textId="4D483027" w:rsidR="00D02C25" w:rsidRPr="006479DA" w:rsidRDefault="0029077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99 (29-163)</w:t>
            </w:r>
          </w:p>
        </w:tc>
        <w:tc>
          <w:tcPr>
            <w:tcW w:w="1271" w:type="dxa"/>
          </w:tcPr>
          <w:p w14:paraId="5AC26BE4" w14:textId="19BB53BE" w:rsidR="00D02C25" w:rsidRPr="000720FD" w:rsidRDefault="0029077F"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0.02</w:t>
            </w:r>
          </w:p>
        </w:tc>
      </w:tr>
      <w:tr w:rsidR="00D02C25" w:rsidRPr="000720FD" w14:paraId="0DCF877B" w14:textId="77777777" w:rsidTr="000720FD">
        <w:trPr>
          <w:trHeight w:val="438"/>
        </w:trPr>
        <w:tc>
          <w:tcPr>
            <w:tcW w:w="2909" w:type="dxa"/>
          </w:tcPr>
          <w:p w14:paraId="3C23501D" w14:textId="14883EDA" w:rsidR="00D02C25" w:rsidRPr="006479DA" w:rsidRDefault="0029077F" w:rsidP="000720FD">
            <w:pPr>
              <w:pStyle w:val="Caption"/>
              <w:keepNext/>
              <w:spacing w:after="0" w:line="360" w:lineRule="auto"/>
              <w:rPr>
                <w:rFonts w:ascii="Book Antiqua" w:hAnsi="Book Antiqua"/>
                <w:b w:val="0"/>
                <w:color w:val="auto"/>
                <w:sz w:val="24"/>
                <w:szCs w:val="24"/>
                <w:lang w:val="en-US"/>
              </w:rPr>
            </w:pPr>
            <w:r w:rsidRPr="006479DA">
              <w:rPr>
                <w:rFonts w:ascii="Book Antiqua" w:hAnsi="Book Antiqua"/>
                <w:b w:val="0"/>
                <w:color w:val="auto"/>
                <w:sz w:val="24"/>
                <w:szCs w:val="24"/>
                <w:lang w:val="en-US"/>
              </w:rPr>
              <w:t>IP index</w:t>
            </w:r>
          </w:p>
        </w:tc>
        <w:tc>
          <w:tcPr>
            <w:tcW w:w="2909" w:type="dxa"/>
          </w:tcPr>
          <w:p w14:paraId="31C52AB3" w14:textId="4E0BF22F" w:rsidR="00D02C25"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0.14 (0.03-0.52)</w:t>
            </w:r>
          </w:p>
        </w:tc>
        <w:tc>
          <w:tcPr>
            <w:tcW w:w="2639" w:type="dxa"/>
          </w:tcPr>
          <w:p w14:paraId="7403D769" w14:textId="69AED704" w:rsidR="00D02C25"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0.22 (0.02-0.045)</w:t>
            </w:r>
          </w:p>
        </w:tc>
        <w:tc>
          <w:tcPr>
            <w:tcW w:w="1271" w:type="dxa"/>
          </w:tcPr>
          <w:p w14:paraId="526BD4CC" w14:textId="76BCE121" w:rsidR="00D02C25"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0.25</w:t>
            </w:r>
          </w:p>
        </w:tc>
      </w:tr>
      <w:tr w:rsidR="008C6AE6" w:rsidRPr="000720FD" w14:paraId="0686C986" w14:textId="77777777" w:rsidTr="000720FD">
        <w:trPr>
          <w:trHeight w:val="451"/>
        </w:trPr>
        <w:tc>
          <w:tcPr>
            <w:tcW w:w="2909" w:type="dxa"/>
          </w:tcPr>
          <w:p w14:paraId="30101773" w14:textId="1FFF0896" w:rsidR="008C6AE6" w:rsidRPr="006479DA" w:rsidRDefault="008C6AE6" w:rsidP="000720FD">
            <w:pPr>
              <w:pStyle w:val="Caption"/>
              <w:keepNext/>
              <w:spacing w:after="0" w:line="360" w:lineRule="auto"/>
              <w:rPr>
                <w:rFonts w:ascii="Book Antiqua" w:hAnsi="Book Antiqua"/>
                <w:b w:val="0"/>
                <w:color w:val="auto"/>
                <w:sz w:val="24"/>
                <w:szCs w:val="24"/>
                <w:lang w:val="en-US"/>
              </w:rPr>
            </w:pPr>
            <w:r w:rsidRPr="006479DA">
              <w:rPr>
                <w:rFonts w:ascii="Book Antiqua" w:hAnsi="Book Antiqua"/>
                <w:b w:val="0"/>
                <w:color w:val="auto"/>
                <w:sz w:val="24"/>
                <w:szCs w:val="24"/>
                <w:lang w:val="en-US"/>
              </w:rPr>
              <w:t>Pathological IP index</w:t>
            </w:r>
          </w:p>
        </w:tc>
        <w:tc>
          <w:tcPr>
            <w:tcW w:w="2909" w:type="dxa"/>
          </w:tcPr>
          <w:p w14:paraId="746057BD" w14:textId="0B40C76F" w:rsidR="008C6AE6"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23 (85</w:t>
            </w:r>
            <w:r w:rsidR="008C6AE6" w:rsidRPr="006479DA">
              <w:rPr>
                <w:rFonts w:ascii="Book Antiqua" w:hAnsi="Book Antiqua"/>
                <w:b w:val="0"/>
                <w:color w:val="auto"/>
                <w:sz w:val="24"/>
                <w:szCs w:val="24"/>
                <w:lang w:val="en-US"/>
              </w:rPr>
              <w:t>)</w:t>
            </w:r>
          </w:p>
        </w:tc>
        <w:tc>
          <w:tcPr>
            <w:tcW w:w="2639" w:type="dxa"/>
          </w:tcPr>
          <w:p w14:paraId="2F12E582" w14:textId="70A050FF" w:rsidR="008C6AE6" w:rsidRPr="006479DA" w:rsidRDefault="00EA2906" w:rsidP="000720FD">
            <w:pPr>
              <w:pStyle w:val="Caption"/>
              <w:keepNext/>
              <w:spacing w:after="0" w:line="360" w:lineRule="auto"/>
              <w:jc w:val="center"/>
              <w:rPr>
                <w:rFonts w:ascii="Book Antiqua" w:hAnsi="Book Antiqua"/>
                <w:b w:val="0"/>
                <w:color w:val="auto"/>
                <w:sz w:val="24"/>
                <w:szCs w:val="24"/>
                <w:lang w:val="en-US"/>
              </w:rPr>
            </w:pPr>
            <w:r>
              <w:rPr>
                <w:rFonts w:ascii="Book Antiqua" w:hAnsi="Book Antiqua"/>
                <w:b w:val="0"/>
                <w:color w:val="auto"/>
                <w:sz w:val="24"/>
                <w:szCs w:val="24"/>
                <w:lang w:val="en-US"/>
              </w:rPr>
              <w:t>16 (84</w:t>
            </w:r>
            <w:r w:rsidR="008C6AE6" w:rsidRPr="006479DA">
              <w:rPr>
                <w:rFonts w:ascii="Book Antiqua" w:hAnsi="Book Antiqua"/>
                <w:b w:val="0"/>
                <w:color w:val="auto"/>
                <w:sz w:val="24"/>
                <w:szCs w:val="24"/>
                <w:lang w:val="en-US"/>
              </w:rPr>
              <w:t>)</w:t>
            </w:r>
          </w:p>
        </w:tc>
        <w:tc>
          <w:tcPr>
            <w:tcW w:w="1271" w:type="dxa"/>
          </w:tcPr>
          <w:p w14:paraId="02FB876B" w14:textId="392051F8" w:rsidR="008C6AE6" w:rsidRPr="000720FD" w:rsidRDefault="008C6AE6"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1.00</w:t>
            </w:r>
          </w:p>
        </w:tc>
      </w:tr>
      <w:tr w:rsidR="0029077F" w:rsidRPr="000720FD" w14:paraId="5587C7FD" w14:textId="77777777" w:rsidTr="000720FD">
        <w:trPr>
          <w:trHeight w:val="451"/>
        </w:trPr>
        <w:tc>
          <w:tcPr>
            <w:tcW w:w="2909" w:type="dxa"/>
          </w:tcPr>
          <w:p w14:paraId="4101A3CE" w14:textId="0F98CE61" w:rsidR="0029077F" w:rsidRPr="000720FD" w:rsidRDefault="000720FD" w:rsidP="000720FD">
            <w:pPr>
              <w:pStyle w:val="Caption"/>
              <w:keepNext/>
              <w:spacing w:after="0" w:line="360" w:lineRule="auto"/>
              <w:rPr>
                <w:rFonts w:ascii="Book Antiqua" w:eastAsia="SimSun" w:hAnsi="Book Antiqua"/>
                <w:b w:val="0"/>
                <w:color w:val="auto"/>
                <w:sz w:val="24"/>
                <w:szCs w:val="24"/>
                <w:lang w:val="en-US" w:eastAsia="zh-CN"/>
              </w:rPr>
            </w:pPr>
            <w:r>
              <w:rPr>
                <w:rFonts w:ascii="Book Antiqua" w:hAnsi="Book Antiqua"/>
                <w:b w:val="0"/>
                <w:color w:val="auto"/>
                <w:sz w:val="24"/>
                <w:szCs w:val="24"/>
                <w:lang w:val="en-US"/>
              </w:rPr>
              <w:t xml:space="preserve">LBP </w:t>
            </w:r>
            <w:r>
              <w:rPr>
                <w:rFonts w:ascii="Book Antiqua" w:eastAsia="SimSun" w:hAnsi="Book Antiqua" w:hint="eastAsia"/>
                <w:b w:val="0"/>
                <w:color w:val="auto"/>
                <w:sz w:val="24"/>
                <w:szCs w:val="24"/>
                <w:lang w:val="en-US" w:eastAsia="zh-CN"/>
              </w:rPr>
              <w:t>(</w:t>
            </w:r>
            <w:r w:rsidR="0029077F" w:rsidRPr="006479DA">
              <w:rPr>
                <w:rFonts w:ascii="Book Antiqua" w:hAnsi="Book Antiqua"/>
                <w:b w:val="0"/>
                <w:color w:val="auto"/>
                <w:sz w:val="24"/>
                <w:szCs w:val="24"/>
                <w:lang w:val="en-US"/>
              </w:rPr>
              <w:t>µg/</w:t>
            </w:r>
            <w:r w:rsidR="0029077F" w:rsidRPr="000720FD">
              <w:rPr>
                <w:rFonts w:ascii="Book Antiqua" w:hAnsi="Book Antiqua"/>
                <w:b w:val="0"/>
                <w:caps/>
                <w:color w:val="auto"/>
                <w:sz w:val="24"/>
                <w:szCs w:val="24"/>
                <w:lang w:val="en-US"/>
              </w:rPr>
              <w:t>l</w:t>
            </w:r>
            <w:r>
              <w:rPr>
                <w:rFonts w:ascii="Book Antiqua" w:eastAsia="SimSun" w:hAnsi="Book Antiqua" w:hint="eastAsia"/>
                <w:b w:val="0"/>
                <w:caps/>
                <w:color w:val="auto"/>
                <w:sz w:val="24"/>
                <w:szCs w:val="24"/>
                <w:lang w:val="en-US" w:eastAsia="zh-CN"/>
              </w:rPr>
              <w:t>)</w:t>
            </w:r>
          </w:p>
        </w:tc>
        <w:tc>
          <w:tcPr>
            <w:tcW w:w="2909" w:type="dxa"/>
          </w:tcPr>
          <w:p w14:paraId="76F5EC13" w14:textId="434F4376" w:rsidR="0029077F"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18 (7-75)</w:t>
            </w:r>
          </w:p>
        </w:tc>
        <w:tc>
          <w:tcPr>
            <w:tcW w:w="2639" w:type="dxa"/>
          </w:tcPr>
          <w:p w14:paraId="536E97BA" w14:textId="17684945" w:rsidR="0029077F" w:rsidRPr="006479DA" w:rsidRDefault="002907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24 (7-75)</w:t>
            </w:r>
          </w:p>
        </w:tc>
        <w:tc>
          <w:tcPr>
            <w:tcW w:w="1271" w:type="dxa"/>
          </w:tcPr>
          <w:p w14:paraId="54BF9A1A" w14:textId="7CE2284E" w:rsidR="0029077F"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0.72</w:t>
            </w:r>
          </w:p>
        </w:tc>
      </w:tr>
      <w:tr w:rsidR="0029077F" w:rsidRPr="000720FD" w14:paraId="3B977C15" w14:textId="77777777" w:rsidTr="000720FD">
        <w:trPr>
          <w:trHeight w:val="438"/>
        </w:trPr>
        <w:tc>
          <w:tcPr>
            <w:tcW w:w="2909" w:type="dxa"/>
          </w:tcPr>
          <w:p w14:paraId="4761BF07" w14:textId="465A8914" w:rsidR="0029077F" w:rsidRPr="000720FD" w:rsidRDefault="000720FD" w:rsidP="000720FD">
            <w:pPr>
              <w:pStyle w:val="Caption"/>
              <w:keepNext/>
              <w:spacing w:after="0" w:line="360" w:lineRule="auto"/>
              <w:rPr>
                <w:rFonts w:ascii="Book Antiqua" w:eastAsia="SimSun" w:hAnsi="Book Antiqua"/>
                <w:b w:val="0"/>
                <w:color w:val="auto"/>
                <w:sz w:val="24"/>
                <w:szCs w:val="24"/>
                <w:lang w:val="en-US" w:eastAsia="zh-CN"/>
              </w:rPr>
            </w:pPr>
            <w:r>
              <w:rPr>
                <w:rFonts w:ascii="Book Antiqua" w:hAnsi="Book Antiqua"/>
                <w:b w:val="0"/>
                <w:color w:val="auto"/>
                <w:sz w:val="24"/>
                <w:szCs w:val="24"/>
                <w:lang w:val="en-US"/>
              </w:rPr>
              <w:t xml:space="preserve">IL-6 </w:t>
            </w:r>
            <w:r>
              <w:rPr>
                <w:rFonts w:ascii="Book Antiqua" w:eastAsia="SimSun" w:hAnsi="Book Antiqua" w:hint="eastAsia"/>
                <w:b w:val="0"/>
                <w:color w:val="auto"/>
                <w:sz w:val="24"/>
                <w:szCs w:val="24"/>
                <w:lang w:val="en-US" w:eastAsia="zh-CN"/>
              </w:rPr>
              <w:t>(</w:t>
            </w:r>
            <w:r>
              <w:rPr>
                <w:rFonts w:ascii="Book Antiqua" w:hAnsi="Book Antiqua"/>
                <w:b w:val="0"/>
                <w:color w:val="auto"/>
                <w:sz w:val="24"/>
                <w:szCs w:val="24"/>
                <w:lang w:val="en-US"/>
              </w:rPr>
              <w:t>pg/m</w:t>
            </w:r>
            <w:r w:rsidRPr="000720FD">
              <w:rPr>
                <w:rFonts w:ascii="Book Antiqua" w:hAnsi="Book Antiqua"/>
                <w:b w:val="0"/>
                <w:caps/>
                <w:color w:val="auto"/>
                <w:sz w:val="24"/>
                <w:szCs w:val="24"/>
                <w:lang w:val="en-US"/>
              </w:rPr>
              <w:t>l</w:t>
            </w:r>
            <w:r>
              <w:rPr>
                <w:rFonts w:ascii="Book Antiqua" w:eastAsia="SimSun" w:hAnsi="Book Antiqua" w:hint="eastAsia"/>
                <w:b w:val="0"/>
                <w:color w:val="auto"/>
                <w:sz w:val="24"/>
                <w:szCs w:val="24"/>
                <w:lang w:val="en-US" w:eastAsia="zh-CN"/>
              </w:rPr>
              <w:t>)</w:t>
            </w:r>
          </w:p>
        </w:tc>
        <w:tc>
          <w:tcPr>
            <w:tcW w:w="2909" w:type="dxa"/>
          </w:tcPr>
          <w:p w14:paraId="0BEA383A" w14:textId="201C6EE2" w:rsidR="0029077F" w:rsidRPr="006479DA" w:rsidRDefault="005C2F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37 (9-1791)</w:t>
            </w:r>
          </w:p>
        </w:tc>
        <w:tc>
          <w:tcPr>
            <w:tcW w:w="2639" w:type="dxa"/>
          </w:tcPr>
          <w:p w14:paraId="337BC3E4" w14:textId="588D952B" w:rsidR="0029077F" w:rsidRPr="006479DA" w:rsidRDefault="005C2F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64 (5-1191)</w:t>
            </w:r>
          </w:p>
        </w:tc>
        <w:tc>
          <w:tcPr>
            <w:tcW w:w="1271" w:type="dxa"/>
          </w:tcPr>
          <w:p w14:paraId="2E16CBDC" w14:textId="4DEC78FD" w:rsidR="0029077F"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0.36</w:t>
            </w:r>
          </w:p>
        </w:tc>
      </w:tr>
      <w:tr w:rsidR="0029077F" w:rsidRPr="000720FD" w14:paraId="41A2CE46" w14:textId="77777777" w:rsidTr="000720FD">
        <w:trPr>
          <w:trHeight w:val="465"/>
        </w:trPr>
        <w:tc>
          <w:tcPr>
            <w:tcW w:w="2909" w:type="dxa"/>
          </w:tcPr>
          <w:p w14:paraId="0A2E70A9" w14:textId="5644AD15" w:rsidR="0029077F" w:rsidRPr="000720FD" w:rsidRDefault="005C2F7F" w:rsidP="000720FD">
            <w:pPr>
              <w:pStyle w:val="Caption"/>
              <w:keepNext/>
              <w:spacing w:after="0" w:line="360" w:lineRule="auto"/>
              <w:rPr>
                <w:rFonts w:ascii="Book Antiqua" w:eastAsia="SimSun" w:hAnsi="Book Antiqua"/>
                <w:b w:val="0"/>
                <w:color w:val="auto"/>
                <w:sz w:val="24"/>
                <w:szCs w:val="24"/>
                <w:lang w:val="en-US" w:eastAsia="zh-CN"/>
              </w:rPr>
            </w:pPr>
            <w:r w:rsidRPr="006479DA">
              <w:rPr>
                <w:rFonts w:ascii="Book Antiqua" w:hAnsi="Book Antiqua"/>
                <w:b w:val="0"/>
                <w:color w:val="auto"/>
                <w:sz w:val="24"/>
                <w:szCs w:val="24"/>
                <w:lang w:val="en-US"/>
              </w:rPr>
              <w:t>I-FABP</w:t>
            </w:r>
            <w:r w:rsidR="000720FD" w:rsidRPr="000720FD">
              <w:rPr>
                <w:rFonts w:ascii="Book Antiqua" w:eastAsia="SimSun" w:hAnsi="Book Antiqua" w:hint="eastAsia"/>
                <w:b w:val="0"/>
                <w:color w:val="auto"/>
                <w:sz w:val="24"/>
                <w:szCs w:val="24"/>
                <w:vertAlign w:val="superscript"/>
                <w:lang w:val="en-US" w:eastAsia="zh-CN"/>
              </w:rPr>
              <w:t>1</w:t>
            </w:r>
            <w:r w:rsidR="000720FD">
              <w:rPr>
                <w:rFonts w:ascii="Book Antiqua" w:hAnsi="Book Antiqua"/>
                <w:b w:val="0"/>
                <w:color w:val="auto"/>
                <w:sz w:val="24"/>
                <w:szCs w:val="24"/>
                <w:lang w:val="en-US"/>
              </w:rPr>
              <w:t xml:space="preserve"> </w:t>
            </w:r>
            <w:r w:rsidR="000720FD">
              <w:rPr>
                <w:rFonts w:ascii="Book Antiqua" w:eastAsia="SimSun" w:hAnsi="Book Antiqua" w:hint="eastAsia"/>
                <w:b w:val="0"/>
                <w:color w:val="auto"/>
                <w:sz w:val="24"/>
                <w:szCs w:val="24"/>
                <w:lang w:val="en-US" w:eastAsia="zh-CN"/>
              </w:rPr>
              <w:t>(</w:t>
            </w:r>
            <w:r w:rsidR="000720FD">
              <w:rPr>
                <w:rFonts w:ascii="Book Antiqua" w:hAnsi="Book Antiqua"/>
                <w:b w:val="0"/>
                <w:color w:val="auto"/>
                <w:sz w:val="24"/>
                <w:szCs w:val="24"/>
                <w:lang w:val="en-US"/>
              </w:rPr>
              <w:t>pg/m</w:t>
            </w:r>
            <w:r w:rsidR="000720FD" w:rsidRPr="000720FD">
              <w:rPr>
                <w:rFonts w:ascii="Book Antiqua" w:hAnsi="Book Antiqua"/>
                <w:b w:val="0"/>
                <w:caps/>
                <w:color w:val="auto"/>
                <w:sz w:val="24"/>
                <w:szCs w:val="24"/>
                <w:lang w:val="en-US"/>
              </w:rPr>
              <w:t>l</w:t>
            </w:r>
            <w:r w:rsidR="000720FD">
              <w:rPr>
                <w:rFonts w:ascii="Book Antiqua" w:eastAsia="SimSun" w:hAnsi="Book Antiqua" w:hint="eastAsia"/>
                <w:b w:val="0"/>
                <w:color w:val="auto"/>
                <w:sz w:val="24"/>
                <w:szCs w:val="24"/>
                <w:lang w:val="en-US" w:eastAsia="zh-CN"/>
              </w:rPr>
              <w:t>)</w:t>
            </w:r>
          </w:p>
        </w:tc>
        <w:tc>
          <w:tcPr>
            <w:tcW w:w="2909" w:type="dxa"/>
          </w:tcPr>
          <w:p w14:paraId="32A4CBA0" w14:textId="11BB752B" w:rsidR="0029077F" w:rsidRPr="006479DA" w:rsidRDefault="005C2F7F"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11</w:t>
            </w:r>
            <w:r w:rsidR="000720FD">
              <w:rPr>
                <w:rFonts w:ascii="Book Antiqua" w:hAnsi="Book Antiqua"/>
                <w:b w:val="0"/>
                <w:color w:val="auto"/>
                <w:sz w:val="24"/>
                <w:szCs w:val="24"/>
                <w:lang w:val="en-US"/>
              </w:rPr>
              <w:t>61 (</w:t>
            </w:r>
            <w:bookmarkStart w:id="159" w:name="OLE_LINK560"/>
            <w:bookmarkStart w:id="160" w:name="OLE_LINK561"/>
            <w:r w:rsidR="000720FD" w:rsidRPr="000720FD">
              <w:rPr>
                <w:rFonts w:ascii="Book Antiqua" w:hAnsi="Book Antiqua"/>
                <w:b w:val="0"/>
                <w:caps/>
                <w:color w:val="auto"/>
                <w:sz w:val="24"/>
                <w:szCs w:val="24"/>
                <w:lang w:val="en-US"/>
              </w:rPr>
              <w:t>nd</w:t>
            </w:r>
            <w:bookmarkEnd w:id="159"/>
            <w:bookmarkEnd w:id="160"/>
            <w:r w:rsidR="00931E15" w:rsidRPr="006479DA">
              <w:rPr>
                <w:rFonts w:ascii="Book Antiqua" w:hAnsi="Book Antiqua"/>
                <w:b w:val="0"/>
                <w:color w:val="auto"/>
                <w:sz w:val="24"/>
                <w:szCs w:val="24"/>
                <w:lang w:val="en-US"/>
              </w:rPr>
              <w:t>-8683)</w:t>
            </w:r>
          </w:p>
        </w:tc>
        <w:tc>
          <w:tcPr>
            <w:tcW w:w="2639" w:type="dxa"/>
          </w:tcPr>
          <w:p w14:paraId="772496DB" w14:textId="64AC9BC0" w:rsidR="0029077F" w:rsidRPr="006479DA" w:rsidRDefault="00931E15" w:rsidP="000720FD">
            <w:pPr>
              <w:pStyle w:val="Caption"/>
              <w:keepNext/>
              <w:spacing w:after="0" w:line="360" w:lineRule="auto"/>
              <w:jc w:val="center"/>
              <w:rPr>
                <w:rFonts w:ascii="Book Antiqua" w:hAnsi="Book Antiqua"/>
                <w:b w:val="0"/>
                <w:color w:val="auto"/>
                <w:sz w:val="24"/>
                <w:szCs w:val="24"/>
                <w:lang w:val="en-US"/>
              </w:rPr>
            </w:pPr>
            <w:r w:rsidRPr="006479DA">
              <w:rPr>
                <w:rFonts w:ascii="Book Antiqua" w:hAnsi="Book Antiqua"/>
                <w:b w:val="0"/>
                <w:color w:val="auto"/>
                <w:sz w:val="24"/>
                <w:szCs w:val="24"/>
                <w:lang w:val="en-US"/>
              </w:rPr>
              <w:t>4036 (1520-8061)</w:t>
            </w:r>
          </w:p>
        </w:tc>
        <w:tc>
          <w:tcPr>
            <w:tcW w:w="1271" w:type="dxa"/>
          </w:tcPr>
          <w:p w14:paraId="51BC58AD" w14:textId="320A7723" w:rsidR="0029077F" w:rsidRPr="000720FD" w:rsidRDefault="00931E15" w:rsidP="000720FD">
            <w:pPr>
              <w:pStyle w:val="Caption"/>
              <w:keepNext/>
              <w:spacing w:after="0" w:line="360" w:lineRule="auto"/>
              <w:jc w:val="center"/>
              <w:rPr>
                <w:rFonts w:ascii="Book Antiqua" w:hAnsi="Book Antiqua"/>
                <w:b w:val="0"/>
                <w:color w:val="auto"/>
                <w:sz w:val="24"/>
                <w:szCs w:val="24"/>
                <w:lang w:val="en-US"/>
              </w:rPr>
            </w:pPr>
            <w:r w:rsidRPr="000720FD">
              <w:rPr>
                <w:rFonts w:ascii="Book Antiqua" w:hAnsi="Book Antiqua"/>
                <w:b w:val="0"/>
                <w:color w:val="auto"/>
                <w:sz w:val="24"/>
                <w:szCs w:val="24"/>
                <w:lang w:val="en-US"/>
              </w:rPr>
              <w:t>0.005</w:t>
            </w:r>
          </w:p>
        </w:tc>
      </w:tr>
    </w:tbl>
    <w:p w14:paraId="79A963E0" w14:textId="165D2365" w:rsidR="000720FD" w:rsidRPr="000720FD" w:rsidRDefault="000720FD" w:rsidP="000720FD">
      <w:pPr>
        <w:spacing w:after="0" w:line="360" w:lineRule="auto"/>
        <w:jc w:val="both"/>
        <w:rPr>
          <w:rFonts w:ascii="Book Antiqua" w:eastAsia="SimSun" w:hAnsi="Book Antiqua"/>
          <w:sz w:val="24"/>
          <w:szCs w:val="24"/>
          <w:lang w:val="en-US" w:eastAsia="zh-CN"/>
        </w:rPr>
      </w:pPr>
      <w:r w:rsidRPr="000720FD">
        <w:rPr>
          <w:rFonts w:ascii="Book Antiqua" w:eastAsia="SimSun" w:hAnsi="Book Antiqua" w:hint="eastAsia"/>
          <w:sz w:val="24"/>
          <w:szCs w:val="24"/>
          <w:vertAlign w:val="superscript"/>
          <w:lang w:val="en-US" w:eastAsia="zh-CN"/>
        </w:rPr>
        <w:t>1</w:t>
      </w:r>
      <w:r w:rsidR="00BE1EBD" w:rsidRPr="006479DA">
        <w:rPr>
          <w:rFonts w:ascii="Book Antiqua" w:hAnsi="Book Antiqua"/>
          <w:sz w:val="24"/>
          <w:szCs w:val="24"/>
          <w:lang w:val="en-US"/>
        </w:rPr>
        <w:t xml:space="preserve">Serum IFABP levels </w:t>
      </w:r>
      <w:r w:rsidR="00F62957" w:rsidRPr="006479DA">
        <w:rPr>
          <w:rFonts w:ascii="Book Antiqua" w:hAnsi="Book Antiqua"/>
          <w:sz w:val="24"/>
          <w:szCs w:val="24"/>
          <w:lang w:val="en-US"/>
        </w:rPr>
        <w:t>were available from 36 patients</w:t>
      </w:r>
      <w:r w:rsidR="00BE1EBD" w:rsidRPr="006479DA">
        <w:rPr>
          <w:rFonts w:ascii="Book Antiqua" w:hAnsi="Book Antiqua"/>
          <w:sz w:val="24"/>
          <w:szCs w:val="24"/>
          <w:lang w:val="en-US"/>
        </w:rPr>
        <w: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 xml:space="preserve">Median and range or frequency and percent are shown. </w:t>
      </w:r>
      <w:r w:rsidRPr="000720FD">
        <w:rPr>
          <w:rFonts w:ascii="Book Antiqua" w:hAnsi="Book Antiqua"/>
          <w:caps/>
          <w:sz w:val="24"/>
          <w:szCs w:val="24"/>
          <w:lang w:val="en-US"/>
        </w:rPr>
        <w:t>nd</w:t>
      </w:r>
      <w:r w:rsidRPr="000720FD">
        <w:rPr>
          <w:rFonts w:ascii="Book Antiqua" w:eastAsia="SimSun" w:hAnsi="Book Antiqua" w:hint="eastAsia"/>
          <w:sz w:val="24"/>
          <w:szCs w:val="24"/>
          <w:lang w:val="en-US" w:eastAsia="zh-CN"/>
        </w:rPr>
        <w:t>:</w:t>
      </w:r>
      <w:r w:rsidR="00601325">
        <w:rPr>
          <w:rFonts w:ascii="Book Antiqua" w:eastAsia="SimSun" w:hAnsi="Book Antiqua" w:hint="eastAsia"/>
          <w:sz w:val="24"/>
          <w:szCs w:val="24"/>
          <w:lang w:val="en-US" w:eastAsia="zh-CN"/>
        </w:rPr>
        <w:t xml:space="preserve"> </w:t>
      </w:r>
      <w:r w:rsidRPr="000720FD">
        <w:rPr>
          <w:rFonts w:ascii="Book Antiqua" w:hAnsi="Book Antiqua"/>
          <w:caps/>
          <w:sz w:val="24"/>
          <w:szCs w:val="24"/>
          <w:lang w:val="en-US"/>
        </w:rPr>
        <w:t>n</w:t>
      </w:r>
      <w:r w:rsidRPr="006479DA">
        <w:rPr>
          <w:rFonts w:ascii="Book Antiqua" w:hAnsi="Book Antiqua"/>
          <w:sz w:val="24"/>
          <w:szCs w:val="24"/>
          <w:lang w:val="en-US"/>
        </w:rPr>
        <w:t>ot detected</w:t>
      </w:r>
      <w:r>
        <w:rPr>
          <w:rFonts w:ascii="Book Antiqua" w:eastAsia="SimSun" w:hAnsi="Book Antiqua" w:hint="eastAsia"/>
          <w:sz w:val="24"/>
          <w:szCs w:val="24"/>
          <w:lang w:val="en-US" w:eastAsia="zh-CN"/>
        </w:rPr>
        <w:t>.</w:t>
      </w:r>
    </w:p>
    <w:p w14:paraId="4877352F" w14:textId="4137183B" w:rsidR="00BE1EBD" w:rsidRPr="006479DA" w:rsidRDefault="00BE1EBD" w:rsidP="00265BAF">
      <w:pPr>
        <w:spacing w:after="0" w:line="360" w:lineRule="auto"/>
        <w:jc w:val="both"/>
        <w:rPr>
          <w:rFonts w:ascii="Book Antiqua" w:eastAsiaTheme="majorEastAsia" w:hAnsi="Book Antiqua"/>
          <w:b/>
          <w:bCs/>
          <w:sz w:val="24"/>
          <w:szCs w:val="24"/>
          <w:lang w:val="en-US"/>
        </w:rPr>
      </w:pPr>
      <w:r w:rsidRPr="006479DA">
        <w:rPr>
          <w:rFonts w:ascii="Book Antiqua" w:eastAsiaTheme="majorEastAsia" w:hAnsi="Book Antiqua"/>
          <w:b/>
          <w:bCs/>
          <w:sz w:val="24"/>
          <w:szCs w:val="24"/>
          <w:lang w:val="en-US"/>
        </w:rPr>
        <w:br w:type="page"/>
      </w:r>
    </w:p>
    <w:p w14:paraId="7B859F40" w14:textId="48BC7A81" w:rsidR="000156B5" w:rsidRPr="006479DA" w:rsidRDefault="007D755B" w:rsidP="00601325">
      <w:pPr>
        <w:pStyle w:val="Caption"/>
        <w:spacing w:after="0" w:line="360" w:lineRule="auto"/>
        <w:jc w:val="both"/>
        <w:rPr>
          <w:rFonts w:ascii="Book Antiqua" w:hAnsi="Book Antiqua"/>
          <w:color w:val="auto"/>
          <w:sz w:val="24"/>
          <w:szCs w:val="24"/>
          <w:lang w:val="en-US"/>
        </w:rPr>
      </w:pPr>
      <w:r w:rsidRPr="006479DA">
        <w:rPr>
          <w:rFonts w:ascii="Book Antiqua" w:hAnsi="Book Antiqua"/>
          <w:color w:val="auto"/>
          <w:sz w:val="24"/>
          <w:szCs w:val="24"/>
          <w:lang w:val="en-US"/>
        </w:rPr>
        <w:lastRenderedPageBreak/>
        <w:t xml:space="preserve">Table </w:t>
      </w:r>
      <w:r w:rsidRPr="006479DA">
        <w:rPr>
          <w:rFonts w:ascii="Book Antiqua" w:hAnsi="Book Antiqua"/>
          <w:color w:val="auto"/>
          <w:sz w:val="24"/>
          <w:szCs w:val="24"/>
        </w:rPr>
        <w:fldChar w:fldCharType="begin"/>
      </w:r>
      <w:r w:rsidRPr="006479DA">
        <w:rPr>
          <w:rFonts w:ascii="Book Antiqua" w:hAnsi="Book Antiqua"/>
          <w:color w:val="auto"/>
          <w:sz w:val="24"/>
          <w:szCs w:val="24"/>
          <w:lang w:val="en-US"/>
        </w:rPr>
        <w:instrText xml:space="preserve"> </w:instrText>
      </w:r>
      <w:r w:rsidR="00F22811" w:rsidRPr="006479DA">
        <w:rPr>
          <w:rFonts w:ascii="Book Antiqua" w:hAnsi="Book Antiqua"/>
          <w:color w:val="auto"/>
          <w:sz w:val="24"/>
          <w:szCs w:val="24"/>
          <w:lang w:val="en-US"/>
        </w:rPr>
        <w:instrText>SEQ</w:instrText>
      </w:r>
      <w:r w:rsidRPr="006479DA">
        <w:rPr>
          <w:rFonts w:ascii="Book Antiqua" w:hAnsi="Book Antiqua"/>
          <w:color w:val="auto"/>
          <w:sz w:val="24"/>
          <w:szCs w:val="24"/>
          <w:lang w:val="en-US"/>
        </w:rPr>
        <w:instrText xml:space="preserve"> Table \* ARABIC </w:instrText>
      </w:r>
      <w:r w:rsidRPr="006479DA">
        <w:rPr>
          <w:rFonts w:ascii="Book Antiqua" w:hAnsi="Book Antiqua"/>
          <w:color w:val="auto"/>
          <w:sz w:val="24"/>
          <w:szCs w:val="24"/>
        </w:rPr>
        <w:fldChar w:fldCharType="separate"/>
      </w:r>
      <w:r w:rsidR="00926EFF" w:rsidRPr="006479DA">
        <w:rPr>
          <w:rFonts w:ascii="Book Antiqua" w:hAnsi="Book Antiqua"/>
          <w:noProof/>
          <w:color w:val="auto"/>
          <w:sz w:val="24"/>
          <w:szCs w:val="24"/>
          <w:lang w:val="en-US"/>
        </w:rPr>
        <w:t>4</w:t>
      </w:r>
      <w:r w:rsidRPr="006479DA">
        <w:rPr>
          <w:rFonts w:ascii="Book Antiqua" w:hAnsi="Book Antiqua"/>
          <w:color w:val="auto"/>
          <w:sz w:val="24"/>
          <w:szCs w:val="24"/>
        </w:rPr>
        <w:fldChar w:fldCharType="end"/>
      </w:r>
      <w:r w:rsidR="000720FD">
        <w:rPr>
          <w:rFonts w:ascii="Book Antiqua" w:eastAsia="SimSun" w:hAnsi="Book Antiqua" w:hint="eastAsia"/>
          <w:color w:val="auto"/>
          <w:sz w:val="24"/>
          <w:szCs w:val="24"/>
          <w:lang w:val="en-US" w:eastAsia="zh-CN"/>
        </w:rPr>
        <w:t xml:space="preserve"> </w:t>
      </w:r>
      <w:r w:rsidR="000B1033" w:rsidRPr="006479DA">
        <w:rPr>
          <w:rFonts w:ascii="Book Antiqua" w:hAnsi="Book Antiqua"/>
          <w:color w:val="auto"/>
          <w:sz w:val="24"/>
          <w:szCs w:val="24"/>
          <w:lang w:val="en-US"/>
        </w:rPr>
        <w:t>Predictors of the time to bacterial infection or death</w:t>
      </w:r>
      <w:r w:rsidRPr="006479DA">
        <w:rPr>
          <w:rFonts w:ascii="Book Antiqua" w:hAnsi="Book Antiqua"/>
          <w:color w:val="auto"/>
          <w:sz w:val="24"/>
          <w:szCs w:val="24"/>
          <w:lang w:val="en-US"/>
        </w:rPr>
        <w:t xml:space="preserve"> </w:t>
      </w:r>
      <w:r w:rsidR="00EA2906" w:rsidRPr="00EA2906">
        <w:rPr>
          <w:rFonts w:ascii="Book Antiqua" w:eastAsia="SimSun" w:hAnsi="Book Antiqua" w:hint="eastAsia"/>
          <w:i/>
          <w:color w:val="auto"/>
          <w:sz w:val="24"/>
          <w:szCs w:val="24"/>
          <w:lang w:val="en-US" w:eastAsia="zh-CN"/>
        </w:rPr>
        <w:t>n</w:t>
      </w:r>
      <w:r w:rsidR="00EA2906">
        <w:rPr>
          <w:rFonts w:ascii="Book Antiqua" w:eastAsia="SimSun" w:hAnsi="Book Antiqua" w:hint="eastAsia"/>
          <w:color w:val="auto"/>
          <w:sz w:val="24"/>
          <w:szCs w:val="24"/>
          <w:lang w:val="en-US" w:eastAsia="zh-CN"/>
        </w:rPr>
        <w:t xml:space="preserve"> (%)</w:t>
      </w:r>
    </w:p>
    <w:tbl>
      <w:tblPr>
        <w:tblStyle w:val="TableGrid"/>
        <w:tblW w:w="1030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701"/>
        <w:gridCol w:w="2145"/>
        <w:gridCol w:w="1154"/>
        <w:gridCol w:w="2109"/>
        <w:gridCol w:w="1068"/>
      </w:tblGrid>
      <w:tr w:rsidR="000B1033" w:rsidRPr="006479DA" w14:paraId="154804C5" w14:textId="5006C704" w:rsidTr="00F14562">
        <w:trPr>
          <w:trHeight w:val="1834"/>
        </w:trPr>
        <w:tc>
          <w:tcPr>
            <w:tcW w:w="2127" w:type="dxa"/>
            <w:tcBorders>
              <w:top w:val="single" w:sz="4" w:space="0" w:color="auto"/>
              <w:bottom w:val="single" w:sz="4" w:space="0" w:color="auto"/>
            </w:tcBorders>
          </w:tcPr>
          <w:p w14:paraId="43A23CEF" w14:textId="77777777" w:rsidR="000B1033" w:rsidRPr="006479DA" w:rsidRDefault="000B1033" w:rsidP="00265BAF">
            <w:pPr>
              <w:spacing w:after="0" w:line="360" w:lineRule="auto"/>
              <w:jc w:val="both"/>
              <w:rPr>
                <w:rFonts w:ascii="Book Antiqua" w:hAnsi="Book Antiqua"/>
                <w:sz w:val="24"/>
                <w:szCs w:val="24"/>
                <w:highlight w:val="yellow"/>
                <w:lang w:val="en-US"/>
              </w:rPr>
            </w:pPr>
          </w:p>
        </w:tc>
        <w:tc>
          <w:tcPr>
            <w:tcW w:w="1701" w:type="dxa"/>
            <w:tcBorders>
              <w:top w:val="single" w:sz="4" w:space="0" w:color="auto"/>
              <w:bottom w:val="single" w:sz="4" w:space="0" w:color="auto"/>
            </w:tcBorders>
          </w:tcPr>
          <w:p w14:paraId="05DF1605" w14:textId="1F26C42C" w:rsidR="000B1033" w:rsidRPr="006479DA" w:rsidRDefault="000B1033"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Bacterial infection or death</w:t>
            </w:r>
          </w:p>
          <w:p w14:paraId="7CCE43C1" w14:textId="2D40889A" w:rsidR="000B1033" w:rsidRPr="006479DA" w:rsidRDefault="000B1033"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within 1 year</w:t>
            </w:r>
          </w:p>
        </w:tc>
        <w:tc>
          <w:tcPr>
            <w:tcW w:w="2145" w:type="dxa"/>
            <w:tcBorders>
              <w:top w:val="single" w:sz="4" w:space="0" w:color="auto"/>
              <w:bottom w:val="single" w:sz="4" w:space="0" w:color="auto"/>
            </w:tcBorders>
          </w:tcPr>
          <w:p w14:paraId="3AE3F2C1" w14:textId="1FC553C3" w:rsidR="000B1033" w:rsidRPr="006479DA" w:rsidRDefault="000B1033"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Univariate</w:t>
            </w:r>
          </w:p>
          <w:p w14:paraId="07B7CF20" w14:textId="702B352E" w:rsidR="000B1033" w:rsidRPr="006479DA" w:rsidRDefault="000B1033"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hazard ratio</w:t>
            </w:r>
          </w:p>
          <w:p w14:paraId="42088832" w14:textId="30EEE21D" w:rsidR="000B1033" w:rsidRPr="006479DA" w:rsidRDefault="000720FD" w:rsidP="000720FD">
            <w:pPr>
              <w:spacing w:after="0" w:line="360" w:lineRule="auto"/>
              <w:jc w:val="center"/>
              <w:rPr>
                <w:rFonts w:ascii="Book Antiqua" w:hAnsi="Book Antiqua"/>
                <w:b/>
                <w:sz w:val="24"/>
                <w:szCs w:val="24"/>
                <w:lang w:val="en-US"/>
              </w:rPr>
            </w:pPr>
            <w:r>
              <w:rPr>
                <w:rFonts w:ascii="Book Antiqua" w:hAnsi="Book Antiqua"/>
                <w:b/>
                <w:sz w:val="24"/>
                <w:szCs w:val="24"/>
                <w:lang w:val="en-US"/>
              </w:rPr>
              <w:t>(95%</w:t>
            </w:r>
            <w:r w:rsidR="000B1033" w:rsidRPr="006479DA">
              <w:rPr>
                <w:rFonts w:ascii="Book Antiqua" w:hAnsi="Book Antiqua"/>
                <w:b/>
                <w:sz w:val="24"/>
                <w:szCs w:val="24"/>
                <w:lang w:val="en-US"/>
              </w:rPr>
              <w:t>CI)</w:t>
            </w:r>
          </w:p>
        </w:tc>
        <w:tc>
          <w:tcPr>
            <w:tcW w:w="1154" w:type="dxa"/>
            <w:tcBorders>
              <w:top w:val="single" w:sz="4" w:space="0" w:color="auto"/>
              <w:bottom w:val="single" w:sz="4" w:space="0" w:color="auto"/>
            </w:tcBorders>
          </w:tcPr>
          <w:p w14:paraId="2F677BCE" w14:textId="05BE9111" w:rsidR="000B1033" w:rsidRPr="006479DA" w:rsidRDefault="000B1033" w:rsidP="000720FD">
            <w:pPr>
              <w:spacing w:after="0" w:line="360" w:lineRule="auto"/>
              <w:jc w:val="center"/>
              <w:rPr>
                <w:rFonts w:ascii="Book Antiqua" w:hAnsi="Book Antiqua"/>
                <w:b/>
                <w:i/>
                <w:sz w:val="24"/>
                <w:szCs w:val="24"/>
                <w:lang w:val="en-US"/>
              </w:rPr>
            </w:pPr>
            <w:r w:rsidRPr="006479DA">
              <w:rPr>
                <w:rFonts w:ascii="Book Antiqua" w:hAnsi="Book Antiqua"/>
                <w:b/>
                <w:i/>
                <w:sz w:val="24"/>
                <w:szCs w:val="24"/>
                <w:lang w:val="en-US"/>
              </w:rPr>
              <w:t xml:space="preserve">P </w:t>
            </w:r>
            <w:r w:rsidRPr="006479DA">
              <w:rPr>
                <w:rFonts w:ascii="Book Antiqua" w:hAnsi="Book Antiqua"/>
                <w:b/>
                <w:sz w:val="24"/>
                <w:szCs w:val="24"/>
                <w:lang w:val="en-US"/>
              </w:rPr>
              <w:t>value</w:t>
            </w:r>
          </w:p>
        </w:tc>
        <w:tc>
          <w:tcPr>
            <w:tcW w:w="2109" w:type="dxa"/>
            <w:tcBorders>
              <w:top w:val="single" w:sz="4" w:space="0" w:color="auto"/>
              <w:bottom w:val="single" w:sz="4" w:space="0" w:color="auto"/>
            </w:tcBorders>
          </w:tcPr>
          <w:p w14:paraId="05AA7232" w14:textId="44A421A4" w:rsidR="000B1033" w:rsidRPr="006479DA" w:rsidRDefault="000B1033"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Adjusted</w:t>
            </w:r>
          </w:p>
          <w:p w14:paraId="5E5A4DCB" w14:textId="1D5CB182" w:rsidR="000B1033" w:rsidRPr="006479DA" w:rsidRDefault="000B1033" w:rsidP="000720FD">
            <w:pPr>
              <w:spacing w:after="0" w:line="360" w:lineRule="auto"/>
              <w:jc w:val="center"/>
              <w:rPr>
                <w:rFonts w:ascii="Book Antiqua" w:hAnsi="Book Antiqua"/>
                <w:b/>
                <w:sz w:val="24"/>
                <w:szCs w:val="24"/>
                <w:lang w:val="en-US"/>
              </w:rPr>
            </w:pPr>
            <w:r w:rsidRPr="006479DA">
              <w:rPr>
                <w:rFonts w:ascii="Book Antiqua" w:hAnsi="Book Antiqua"/>
                <w:b/>
                <w:sz w:val="24"/>
                <w:szCs w:val="24"/>
                <w:lang w:val="en-US"/>
              </w:rPr>
              <w:t>hazard ratio</w:t>
            </w:r>
            <w:r w:rsidR="004B1CD5" w:rsidRPr="004B1CD5">
              <w:rPr>
                <w:rFonts w:ascii="Book Antiqua" w:hAnsi="Book Antiqua"/>
                <w:b/>
                <w:sz w:val="24"/>
                <w:szCs w:val="24"/>
                <w:vertAlign w:val="superscript"/>
                <w:lang w:val="en-US"/>
              </w:rPr>
              <w:t>3</w:t>
            </w:r>
          </w:p>
          <w:p w14:paraId="09521016" w14:textId="642CF0AD" w:rsidR="000B1033" w:rsidRPr="006479DA" w:rsidRDefault="000720FD" w:rsidP="000720FD">
            <w:pPr>
              <w:spacing w:after="0" w:line="360" w:lineRule="auto"/>
              <w:jc w:val="center"/>
              <w:rPr>
                <w:rFonts w:ascii="Book Antiqua" w:hAnsi="Book Antiqua"/>
                <w:b/>
                <w:i/>
                <w:sz w:val="24"/>
                <w:szCs w:val="24"/>
                <w:lang w:val="en-US"/>
              </w:rPr>
            </w:pPr>
            <w:r>
              <w:rPr>
                <w:rFonts w:ascii="Book Antiqua" w:hAnsi="Book Antiqua"/>
                <w:b/>
                <w:sz w:val="24"/>
                <w:szCs w:val="24"/>
                <w:lang w:val="en-US"/>
              </w:rPr>
              <w:t>(95%</w:t>
            </w:r>
            <w:r w:rsidR="000B1033" w:rsidRPr="006479DA">
              <w:rPr>
                <w:rFonts w:ascii="Book Antiqua" w:hAnsi="Book Antiqua"/>
                <w:b/>
                <w:sz w:val="24"/>
                <w:szCs w:val="24"/>
                <w:lang w:val="en-US"/>
              </w:rPr>
              <w:t>CI)</w:t>
            </w:r>
          </w:p>
        </w:tc>
        <w:tc>
          <w:tcPr>
            <w:tcW w:w="1068" w:type="dxa"/>
            <w:tcBorders>
              <w:top w:val="single" w:sz="4" w:space="0" w:color="auto"/>
              <w:bottom w:val="single" w:sz="4" w:space="0" w:color="auto"/>
            </w:tcBorders>
          </w:tcPr>
          <w:p w14:paraId="2F0DB54D" w14:textId="184918A2" w:rsidR="000B1033" w:rsidRPr="006479DA" w:rsidRDefault="000B1033" w:rsidP="000720FD">
            <w:pPr>
              <w:spacing w:after="0" w:line="360" w:lineRule="auto"/>
              <w:jc w:val="center"/>
              <w:rPr>
                <w:rFonts w:ascii="Book Antiqua" w:hAnsi="Book Antiqua"/>
                <w:b/>
                <w:i/>
                <w:sz w:val="24"/>
                <w:szCs w:val="24"/>
                <w:lang w:val="en-US"/>
              </w:rPr>
            </w:pPr>
            <w:r w:rsidRPr="006479DA">
              <w:rPr>
                <w:rFonts w:ascii="Book Antiqua" w:hAnsi="Book Antiqua"/>
                <w:b/>
                <w:i/>
                <w:sz w:val="24"/>
                <w:szCs w:val="24"/>
                <w:lang w:val="en-US"/>
              </w:rPr>
              <w:t xml:space="preserve">P </w:t>
            </w:r>
            <w:r w:rsidRPr="006479DA">
              <w:rPr>
                <w:rFonts w:ascii="Book Antiqua" w:hAnsi="Book Antiqua"/>
                <w:b/>
                <w:sz w:val="24"/>
                <w:szCs w:val="24"/>
                <w:lang w:val="en-US"/>
              </w:rPr>
              <w:t>value</w:t>
            </w:r>
          </w:p>
        </w:tc>
      </w:tr>
      <w:tr w:rsidR="003C0274" w:rsidRPr="006479DA" w14:paraId="1E5A62FE" w14:textId="3BF12470" w:rsidTr="00F14562">
        <w:trPr>
          <w:trHeight w:val="394"/>
        </w:trPr>
        <w:tc>
          <w:tcPr>
            <w:tcW w:w="2127" w:type="dxa"/>
            <w:tcBorders>
              <w:top w:val="single" w:sz="4" w:space="0" w:color="auto"/>
            </w:tcBorders>
          </w:tcPr>
          <w:p w14:paraId="06EBAC5F" w14:textId="7FCC3CAF" w:rsidR="003C0274" w:rsidRPr="006479DA" w:rsidRDefault="003C0274" w:rsidP="0037625F">
            <w:pPr>
              <w:spacing w:after="0" w:line="360" w:lineRule="auto"/>
              <w:jc w:val="both"/>
              <w:rPr>
                <w:rFonts w:ascii="Book Antiqua" w:hAnsi="Book Antiqua"/>
                <w:sz w:val="24"/>
                <w:szCs w:val="24"/>
                <w:lang w:val="en-US"/>
              </w:rPr>
            </w:pPr>
            <w:r w:rsidRPr="006479DA">
              <w:rPr>
                <w:rFonts w:ascii="Book Antiqua" w:hAnsi="Book Antiqua"/>
                <w:sz w:val="24"/>
                <w:szCs w:val="24"/>
                <w:lang w:val="en-US"/>
              </w:rPr>
              <w:t>MELD score</w:t>
            </w:r>
            <w:r w:rsidR="0037625F">
              <w:rPr>
                <w:rFonts w:ascii="Book Antiqua" w:eastAsia="SimSun" w:hAnsi="Book Antiqua" w:hint="eastAsia"/>
                <w:sz w:val="24"/>
                <w:szCs w:val="24"/>
                <w:vertAlign w:val="superscript"/>
                <w:lang w:val="en-US" w:eastAsia="zh-CN"/>
              </w:rPr>
              <w:t>1</w:t>
            </w:r>
            <w:r w:rsidRPr="006479DA">
              <w:rPr>
                <w:rFonts w:ascii="Book Antiqua" w:hAnsi="Book Antiqua"/>
                <w:sz w:val="24"/>
                <w:szCs w:val="24"/>
                <w:lang w:val="en-US"/>
              </w:rPr>
              <w:t xml:space="preserve"> </w:t>
            </w:r>
          </w:p>
        </w:tc>
        <w:tc>
          <w:tcPr>
            <w:tcW w:w="1701" w:type="dxa"/>
            <w:tcBorders>
              <w:top w:val="single" w:sz="4" w:space="0" w:color="auto"/>
            </w:tcBorders>
          </w:tcPr>
          <w:p w14:paraId="7543C67B" w14:textId="5F62C5A9" w:rsidR="003C0274" w:rsidRPr="006479DA" w:rsidRDefault="003C0274" w:rsidP="000720FD">
            <w:pPr>
              <w:spacing w:after="0" w:line="360" w:lineRule="auto"/>
              <w:jc w:val="center"/>
              <w:rPr>
                <w:rFonts w:ascii="Book Antiqua" w:hAnsi="Book Antiqua"/>
                <w:sz w:val="24"/>
                <w:szCs w:val="24"/>
                <w:lang w:val="en-US"/>
              </w:rPr>
            </w:pPr>
          </w:p>
        </w:tc>
        <w:tc>
          <w:tcPr>
            <w:tcW w:w="2145" w:type="dxa"/>
            <w:tcBorders>
              <w:top w:val="single" w:sz="4" w:space="0" w:color="auto"/>
            </w:tcBorders>
          </w:tcPr>
          <w:p w14:paraId="1A4071D6" w14:textId="3A6194EE" w:rsidR="003C0274" w:rsidRPr="006479DA" w:rsidRDefault="003C0274" w:rsidP="000720FD">
            <w:pPr>
              <w:spacing w:after="0" w:line="360" w:lineRule="auto"/>
              <w:jc w:val="center"/>
              <w:rPr>
                <w:rFonts w:ascii="Book Antiqua" w:hAnsi="Book Antiqua"/>
                <w:sz w:val="24"/>
                <w:szCs w:val="24"/>
                <w:lang w:val="en-US"/>
              </w:rPr>
            </w:pPr>
          </w:p>
        </w:tc>
        <w:tc>
          <w:tcPr>
            <w:tcW w:w="1154" w:type="dxa"/>
            <w:tcBorders>
              <w:top w:val="single" w:sz="4" w:space="0" w:color="auto"/>
            </w:tcBorders>
          </w:tcPr>
          <w:p w14:paraId="5608FBD4" w14:textId="7DA46B50" w:rsidR="003C0274" w:rsidRPr="006479DA" w:rsidRDefault="003C0274" w:rsidP="000720FD">
            <w:pPr>
              <w:spacing w:after="0" w:line="360" w:lineRule="auto"/>
              <w:jc w:val="center"/>
              <w:rPr>
                <w:rFonts w:ascii="Book Antiqua" w:hAnsi="Book Antiqua"/>
                <w:sz w:val="24"/>
                <w:szCs w:val="24"/>
                <w:lang w:val="en-US"/>
              </w:rPr>
            </w:pPr>
          </w:p>
        </w:tc>
        <w:tc>
          <w:tcPr>
            <w:tcW w:w="2109" w:type="dxa"/>
            <w:tcBorders>
              <w:top w:val="single" w:sz="4" w:space="0" w:color="auto"/>
            </w:tcBorders>
          </w:tcPr>
          <w:p w14:paraId="272F3E75" w14:textId="11DBDECF" w:rsidR="000B1033" w:rsidRPr="006479DA" w:rsidRDefault="000B1033" w:rsidP="000720FD">
            <w:pPr>
              <w:spacing w:after="0" w:line="360" w:lineRule="auto"/>
              <w:jc w:val="center"/>
              <w:rPr>
                <w:rFonts w:ascii="Book Antiqua" w:hAnsi="Book Antiqua"/>
                <w:sz w:val="24"/>
                <w:szCs w:val="24"/>
                <w:lang w:val="en-US"/>
              </w:rPr>
            </w:pPr>
          </w:p>
        </w:tc>
        <w:tc>
          <w:tcPr>
            <w:tcW w:w="1068" w:type="dxa"/>
            <w:tcBorders>
              <w:top w:val="single" w:sz="4" w:space="0" w:color="auto"/>
            </w:tcBorders>
          </w:tcPr>
          <w:p w14:paraId="2D0FB1E2" w14:textId="7ACFC4AB" w:rsidR="000B1033" w:rsidRPr="006479DA" w:rsidRDefault="000B1033" w:rsidP="000720FD">
            <w:pPr>
              <w:spacing w:after="0" w:line="360" w:lineRule="auto"/>
              <w:jc w:val="center"/>
              <w:rPr>
                <w:rFonts w:ascii="Book Antiqua" w:hAnsi="Book Antiqua"/>
                <w:sz w:val="24"/>
                <w:szCs w:val="24"/>
                <w:lang w:val="en-US"/>
              </w:rPr>
            </w:pPr>
          </w:p>
        </w:tc>
      </w:tr>
      <w:tr w:rsidR="000720FD" w:rsidRPr="006479DA" w14:paraId="22BD0B77" w14:textId="77777777" w:rsidTr="00F14562">
        <w:trPr>
          <w:trHeight w:val="394"/>
        </w:trPr>
        <w:tc>
          <w:tcPr>
            <w:tcW w:w="2127" w:type="dxa"/>
          </w:tcPr>
          <w:p w14:paraId="349D81EF" w14:textId="6996CD43" w:rsidR="000720FD" w:rsidRPr="006479DA" w:rsidRDefault="000720FD"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13</w:t>
            </w:r>
          </w:p>
        </w:tc>
        <w:tc>
          <w:tcPr>
            <w:tcW w:w="1701" w:type="dxa"/>
          </w:tcPr>
          <w:p w14:paraId="198E8066" w14:textId="05558415" w:rsidR="000720FD"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5/20 (25</w:t>
            </w:r>
            <w:r w:rsidR="000720FD" w:rsidRPr="006479DA">
              <w:rPr>
                <w:rFonts w:ascii="Book Antiqua" w:hAnsi="Book Antiqua"/>
                <w:sz w:val="24"/>
                <w:szCs w:val="24"/>
                <w:lang w:val="en-US"/>
              </w:rPr>
              <w:t>)</w:t>
            </w:r>
          </w:p>
        </w:tc>
        <w:tc>
          <w:tcPr>
            <w:tcW w:w="2145" w:type="dxa"/>
          </w:tcPr>
          <w:p w14:paraId="0AE082FA" w14:textId="0CE566EE"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154" w:type="dxa"/>
          </w:tcPr>
          <w:p w14:paraId="620D73F4" w14:textId="380CCBF8"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0.003</w:t>
            </w:r>
          </w:p>
        </w:tc>
        <w:tc>
          <w:tcPr>
            <w:tcW w:w="2109" w:type="dxa"/>
          </w:tcPr>
          <w:p w14:paraId="39264E41" w14:textId="26BEB5BE"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068" w:type="dxa"/>
          </w:tcPr>
          <w:p w14:paraId="0D94DBB3" w14:textId="3B3852DD"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0.02</w:t>
            </w:r>
          </w:p>
        </w:tc>
      </w:tr>
      <w:tr w:rsidR="000720FD" w:rsidRPr="006479DA" w14:paraId="779FFC70" w14:textId="77777777" w:rsidTr="00F14562">
        <w:trPr>
          <w:trHeight w:val="530"/>
        </w:trPr>
        <w:tc>
          <w:tcPr>
            <w:tcW w:w="2127" w:type="dxa"/>
          </w:tcPr>
          <w:p w14:paraId="1341AFE2" w14:textId="78B5980B" w:rsidR="000720FD" w:rsidRPr="006479DA" w:rsidRDefault="000720FD"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&gt;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13</w:t>
            </w:r>
          </w:p>
        </w:tc>
        <w:tc>
          <w:tcPr>
            <w:tcW w:w="1701" w:type="dxa"/>
          </w:tcPr>
          <w:p w14:paraId="5A051DD5" w14:textId="19B56111" w:rsidR="000720FD"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18/26 (69</w:t>
            </w:r>
            <w:r w:rsidR="000720FD" w:rsidRPr="006479DA">
              <w:rPr>
                <w:rFonts w:ascii="Book Antiqua" w:hAnsi="Book Antiqua"/>
                <w:sz w:val="24"/>
                <w:szCs w:val="24"/>
                <w:lang w:val="en-US"/>
              </w:rPr>
              <w:t>)</w:t>
            </w:r>
          </w:p>
        </w:tc>
        <w:tc>
          <w:tcPr>
            <w:tcW w:w="2145" w:type="dxa"/>
          </w:tcPr>
          <w:p w14:paraId="11565F14" w14:textId="5F525B66" w:rsidR="000720FD" w:rsidRPr="006479DA" w:rsidRDefault="000720FD" w:rsidP="00F6717D">
            <w:pPr>
              <w:spacing w:after="0" w:line="360" w:lineRule="auto"/>
              <w:jc w:val="center"/>
              <w:rPr>
                <w:rFonts w:ascii="Book Antiqua" w:hAnsi="Book Antiqua"/>
                <w:sz w:val="24"/>
                <w:szCs w:val="24"/>
                <w:lang w:val="en-US"/>
              </w:rPr>
            </w:pPr>
            <w:r w:rsidRPr="006479DA">
              <w:rPr>
                <w:rFonts w:ascii="Book Antiqua" w:hAnsi="Book Antiqua"/>
                <w:sz w:val="24"/>
                <w:szCs w:val="24"/>
                <w:lang w:val="en-US"/>
              </w:rPr>
              <w:t>4.45</w:t>
            </w:r>
            <w:r w:rsidR="00F6717D">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(1.64-12.07)</w:t>
            </w:r>
          </w:p>
        </w:tc>
        <w:tc>
          <w:tcPr>
            <w:tcW w:w="1154" w:type="dxa"/>
          </w:tcPr>
          <w:p w14:paraId="398A4EEB" w14:textId="77777777" w:rsidR="000720FD" w:rsidRPr="006479DA" w:rsidRDefault="000720FD" w:rsidP="000720FD">
            <w:pPr>
              <w:spacing w:after="0" w:line="360" w:lineRule="auto"/>
              <w:jc w:val="center"/>
              <w:rPr>
                <w:rFonts w:ascii="Book Antiqua" w:hAnsi="Book Antiqua"/>
                <w:sz w:val="24"/>
                <w:szCs w:val="24"/>
                <w:lang w:val="en-US"/>
              </w:rPr>
            </w:pPr>
          </w:p>
        </w:tc>
        <w:tc>
          <w:tcPr>
            <w:tcW w:w="2109" w:type="dxa"/>
          </w:tcPr>
          <w:p w14:paraId="0A02603F" w14:textId="7278FE3F"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3.23 (1.18-8.83)</w:t>
            </w:r>
          </w:p>
        </w:tc>
        <w:tc>
          <w:tcPr>
            <w:tcW w:w="1068" w:type="dxa"/>
          </w:tcPr>
          <w:p w14:paraId="18330052" w14:textId="77777777" w:rsidR="000720FD" w:rsidRPr="006479DA" w:rsidRDefault="000720FD" w:rsidP="000720FD">
            <w:pPr>
              <w:spacing w:after="0" w:line="360" w:lineRule="auto"/>
              <w:jc w:val="center"/>
              <w:rPr>
                <w:rFonts w:ascii="Book Antiqua" w:hAnsi="Book Antiqua"/>
                <w:sz w:val="24"/>
                <w:szCs w:val="24"/>
                <w:lang w:val="en-US"/>
              </w:rPr>
            </w:pPr>
          </w:p>
        </w:tc>
      </w:tr>
      <w:tr w:rsidR="0037625F" w:rsidRPr="006479DA" w14:paraId="4A9EB000" w14:textId="10A484ED" w:rsidTr="00F14562">
        <w:trPr>
          <w:trHeight w:val="371"/>
        </w:trPr>
        <w:tc>
          <w:tcPr>
            <w:tcW w:w="2127" w:type="dxa"/>
          </w:tcPr>
          <w:p w14:paraId="0C946F5C" w14:textId="7520EE4A"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Child-Pugh </w:t>
            </w:r>
          </w:p>
        </w:tc>
        <w:tc>
          <w:tcPr>
            <w:tcW w:w="1701" w:type="dxa"/>
          </w:tcPr>
          <w:p w14:paraId="721F06FE" w14:textId="1F5A25F2" w:rsidR="0037625F" w:rsidRPr="006479DA" w:rsidRDefault="0037625F" w:rsidP="000720FD">
            <w:pPr>
              <w:spacing w:after="0" w:line="360" w:lineRule="auto"/>
              <w:jc w:val="center"/>
              <w:rPr>
                <w:rFonts w:ascii="Book Antiqua" w:hAnsi="Book Antiqua"/>
                <w:sz w:val="24"/>
                <w:szCs w:val="24"/>
                <w:lang w:val="en-US"/>
              </w:rPr>
            </w:pPr>
          </w:p>
        </w:tc>
        <w:tc>
          <w:tcPr>
            <w:tcW w:w="2145" w:type="dxa"/>
          </w:tcPr>
          <w:p w14:paraId="3580E208" w14:textId="17E9EBFB" w:rsidR="0037625F" w:rsidRPr="006479DA" w:rsidRDefault="0037625F" w:rsidP="000720FD">
            <w:pPr>
              <w:spacing w:after="0" w:line="360" w:lineRule="auto"/>
              <w:jc w:val="center"/>
              <w:rPr>
                <w:rFonts w:ascii="Book Antiqua" w:hAnsi="Book Antiqua"/>
                <w:sz w:val="24"/>
                <w:szCs w:val="24"/>
                <w:lang w:val="en-US"/>
              </w:rPr>
            </w:pPr>
          </w:p>
        </w:tc>
        <w:tc>
          <w:tcPr>
            <w:tcW w:w="1154" w:type="dxa"/>
          </w:tcPr>
          <w:p w14:paraId="0BE88B1B" w14:textId="7AB0B195"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6D97E2A5" w14:textId="4E85763A" w:rsidR="0037625F" w:rsidRPr="006479DA" w:rsidRDefault="0037625F" w:rsidP="000720FD">
            <w:pPr>
              <w:spacing w:after="0" w:line="360" w:lineRule="auto"/>
              <w:jc w:val="center"/>
              <w:rPr>
                <w:rFonts w:ascii="Book Antiqua" w:hAnsi="Book Antiqua" w:cs="Arial"/>
                <w:sz w:val="24"/>
                <w:szCs w:val="24"/>
                <w:lang w:val="en-US"/>
              </w:rPr>
            </w:pPr>
          </w:p>
        </w:tc>
        <w:tc>
          <w:tcPr>
            <w:tcW w:w="1068" w:type="dxa"/>
          </w:tcPr>
          <w:p w14:paraId="128C4534" w14:textId="77777777" w:rsidR="0037625F" w:rsidRPr="006479DA" w:rsidRDefault="0037625F" w:rsidP="000720FD">
            <w:pPr>
              <w:spacing w:after="0" w:line="360" w:lineRule="auto"/>
              <w:jc w:val="center"/>
              <w:rPr>
                <w:rFonts w:ascii="Book Antiqua" w:hAnsi="Book Antiqua" w:cs="Arial"/>
                <w:sz w:val="24"/>
                <w:szCs w:val="24"/>
                <w:lang w:val="en-US"/>
              </w:rPr>
            </w:pPr>
          </w:p>
        </w:tc>
      </w:tr>
      <w:tr w:rsidR="0037625F" w:rsidRPr="006479DA" w14:paraId="1CC6EB87" w14:textId="22A7A22D" w:rsidTr="00F14562">
        <w:trPr>
          <w:trHeight w:val="421"/>
        </w:trPr>
        <w:tc>
          <w:tcPr>
            <w:tcW w:w="2127" w:type="dxa"/>
          </w:tcPr>
          <w:p w14:paraId="508FE2D5" w14:textId="73727B30" w:rsidR="0037625F" w:rsidRPr="006479DA" w:rsidRDefault="0037625F" w:rsidP="0037625F">
            <w:pPr>
              <w:spacing w:after="0" w:line="360" w:lineRule="auto"/>
              <w:jc w:val="both"/>
              <w:rPr>
                <w:rFonts w:ascii="Book Antiqua" w:hAnsi="Book Antiqua"/>
                <w:sz w:val="24"/>
                <w:szCs w:val="24"/>
                <w:lang w:val="en-US"/>
              </w:rPr>
            </w:pPr>
            <w:r w:rsidRPr="006479DA">
              <w:rPr>
                <w:rFonts w:ascii="Book Antiqua" w:hAnsi="Book Antiqua"/>
                <w:sz w:val="24"/>
                <w:szCs w:val="24"/>
                <w:lang w:val="en-US"/>
              </w:rPr>
              <w:t>Score</w:t>
            </w:r>
            <w:r>
              <w:rPr>
                <w:rFonts w:ascii="Book Antiqua" w:eastAsia="SimSun" w:hAnsi="Book Antiqua" w:hint="eastAsia"/>
                <w:sz w:val="24"/>
                <w:szCs w:val="24"/>
                <w:vertAlign w:val="superscript"/>
                <w:lang w:val="en-US" w:eastAsia="zh-CN"/>
              </w:rPr>
              <w:t>1</w:t>
            </w:r>
            <w:r w:rsidRPr="006479DA">
              <w:rPr>
                <w:rFonts w:ascii="Book Antiqua" w:hAnsi="Book Antiqua"/>
                <w:sz w:val="24"/>
                <w:szCs w:val="24"/>
                <w:lang w:val="en-US"/>
              </w:rPr>
              <w:t xml:space="preserve"> </w:t>
            </w:r>
          </w:p>
        </w:tc>
        <w:tc>
          <w:tcPr>
            <w:tcW w:w="1701" w:type="dxa"/>
          </w:tcPr>
          <w:p w14:paraId="3AFDED74" w14:textId="7BE08E3A" w:rsidR="0037625F" w:rsidRPr="006479DA" w:rsidRDefault="0037625F" w:rsidP="000720FD">
            <w:pPr>
              <w:spacing w:after="0" w:line="360" w:lineRule="auto"/>
              <w:jc w:val="center"/>
              <w:rPr>
                <w:rFonts w:ascii="Book Antiqua" w:hAnsi="Book Antiqua"/>
                <w:sz w:val="24"/>
                <w:szCs w:val="24"/>
                <w:lang w:val="en-US"/>
              </w:rPr>
            </w:pPr>
          </w:p>
        </w:tc>
        <w:tc>
          <w:tcPr>
            <w:tcW w:w="2145" w:type="dxa"/>
          </w:tcPr>
          <w:p w14:paraId="3A8B6072" w14:textId="10BC51FB" w:rsidR="0037625F" w:rsidRPr="006479DA" w:rsidRDefault="0037625F" w:rsidP="000720FD">
            <w:pPr>
              <w:spacing w:after="0" w:line="360" w:lineRule="auto"/>
              <w:jc w:val="center"/>
              <w:rPr>
                <w:rFonts w:ascii="Book Antiqua" w:hAnsi="Book Antiqua"/>
                <w:sz w:val="24"/>
                <w:szCs w:val="24"/>
                <w:lang w:val="en-US"/>
              </w:rPr>
            </w:pPr>
          </w:p>
        </w:tc>
        <w:tc>
          <w:tcPr>
            <w:tcW w:w="1154" w:type="dxa"/>
          </w:tcPr>
          <w:p w14:paraId="0FFFBF12" w14:textId="240014CB"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6151DE38" w14:textId="7F8EDACB" w:rsidR="0037625F" w:rsidRPr="006479DA" w:rsidRDefault="0037625F" w:rsidP="000720FD">
            <w:pPr>
              <w:spacing w:after="0" w:line="360" w:lineRule="auto"/>
              <w:jc w:val="center"/>
              <w:rPr>
                <w:rFonts w:ascii="Book Antiqua" w:hAnsi="Book Antiqua"/>
                <w:i/>
                <w:sz w:val="24"/>
                <w:szCs w:val="24"/>
                <w:lang w:val="en-US"/>
              </w:rPr>
            </w:pPr>
          </w:p>
        </w:tc>
        <w:tc>
          <w:tcPr>
            <w:tcW w:w="1068" w:type="dxa"/>
          </w:tcPr>
          <w:p w14:paraId="14054E4D" w14:textId="77777777" w:rsidR="0037625F" w:rsidRPr="006479DA" w:rsidRDefault="0037625F" w:rsidP="000720FD">
            <w:pPr>
              <w:spacing w:after="0" w:line="360" w:lineRule="auto"/>
              <w:jc w:val="center"/>
              <w:rPr>
                <w:rFonts w:ascii="Book Antiqua" w:hAnsi="Book Antiqua"/>
                <w:i/>
                <w:sz w:val="24"/>
                <w:szCs w:val="24"/>
                <w:lang w:val="en-US"/>
              </w:rPr>
            </w:pPr>
          </w:p>
        </w:tc>
      </w:tr>
      <w:tr w:rsidR="0037625F" w:rsidRPr="006479DA" w14:paraId="0B63AF66" w14:textId="3B8ABB42" w:rsidTr="00F14562">
        <w:trPr>
          <w:trHeight w:val="380"/>
        </w:trPr>
        <w:tc>
          <w:tcPr>
            <w:tcW w:w="2127" w:type="dxa"/>
          </w:tcPr>
          <w:p w14:paraId="7C6D3906" w14:textId="3257606B"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7</w:t>
            </w:r>
          </w:p>
        </w:tc>
        <w:tc>
          <w:tcPr>
            <w:tcW w:w="1701" w:type="dxa"/>
          </w:tcPr>
          <w:p w14:paraId="05318E20" w14:textId="2B71746F" w:rsidR="0037625F"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1/13 (8</w:t>
            </w:r>
            <w:r w:rsidR="0037625F" w:rsidRPr="006479DA">
              <w:rPr>
                <w:rFonts w:ascii="Book Antiqua" w:hAnsi="Book Antiqua"/>
                <w:sz w:val="24"/>
                <w:szCs w:val="24"/>
                <w:lang w:val="en-US"/>
              </w:rPr>
              <w:t>)</w:t>
            </w:r>
          </w:p>
        </w:tc>
        <w:tc>
          <w:tcPr>
            <w:tcW w:w="2145" w:type="dxa"/>
          </w:tcPr>
          <w:p w14:paraId="5926072A" w14:textId="0D1868E0"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154" w:type="dxa"/>
          </w:tcPr>
          <w:p w14:paraId="22EDB02D" w14:textId="4BD420ED"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0.01</w:t>
            </w:r>
          </w:p>
        </w:tc>
        <w:tc>
          <w:tcPr>
            <w:tcW w:w="2109" w:type="dxa"/>
          </w:tcPr>
          <w:p w14:paraId="138C60A1" w14:textId="1A1FF5F6" w:rsidR="0037625F" w:rsidRPr="0037625F" w:rsidRDefault="0037625F" w:rsidP="000720FD">
            <w:pPr>
              <w:spacing w:after="0" w:line="360" w:lineRule="auto"/>
              <w:jc w:val="center"/>
              <w:rPr>
                <w:rFonts w:ascii="Book Antiqua" w:hAnsi="Book Antiqua"/>
                <w:sz w:val="24"/>
                <w:szCs w:val="24"/>
                <w:lang w:val="en-US"/>
              </w:rPr>
            </w:pPr>
            <w:r w:rsidRPr="0037625F">
              <w:rPr>
                <w:rFonts w:ascii="Book Antiqua" w:hAnsi="Book Antiqua"/>
                <w:sz w:val="24"/>
                <w:szCs w:val="24"/>
                <w:lang w:val="en-US"/>
              </w:rPr>
              <w:t xml:space="preserve">Not included </w:t>
            </w:r>
          </w:p>
        </w:tc>
        <w:tc>
          <w:tcPr>
            <w:tcW w:w="1068" w:type="dxa"/>
          </w:tcPr>
          <w:p w14:paraId="543EA4F2" w14:textId="77777777" w:rsidR="0037625F" w:rsidRPr="006479DA" w:rsidRDefault="0037625F" w:rsidP="000720FD">
            <w:pPr>
              <w:spacing w:after="0" w:line="360" w:lineRule="auto"/>
              <w:jc w:val="center"/>
              <w:rPr>
                <w:rFonts w:ascii="Book Antiqua" w:hAnsi="Book Antiqua"/>
                <w:i/>
                <w:sz w:val="24"/>
                <w:szCs w:val="24"/>
                <w:lang w:val="en-US"/>
              </w:rPr>
            </w:pPr>
          </w:p>
        </w:tc>
      </w:tr>
      <w:tr w:rsidR="0037625F" w:rsidRPr="006479DA" w14:paraId="26354478" w14:textId="3ADA199A" w:rsidTr="00F14562">
        <w:trPr>
          <w:trHeight w:val="584"/>
        </w:trPr>
        <w:tc>
          <w:tcPr>
            <w:tcW w:w="2127" w:type="dxa"/>
          </w:tcPr>
          <w:p w14:paraId="3B558B27" w14:textId="5D1AB5BF"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&gt;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7</w:t>
            </w:r>
          </w:p>
        </w:tc>
        <w:tc>
          <w:tcPr>
            <w:tcW w:w="1701" w:type="dxa"/>
          </w:tcPr>
          <w:p w14:paraId="5BC83BCC" w14:textId="3E9EABCD" w:rsidR="0037625F"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22/33 (67</w:t>
            </w:r>
            <w:r w:rsidR="0037625F" w:rsidRPr="006479DA">
              <w:rPr>
                <w:rFonts w:ascii="Book Antiqua" w:hAnsi="Book Antiqua"/>
                <w:sz w:val="24"/>
                <w:szCs w:val="24"/>
                <w:lang w:val="en-US"/>
              </w:rPr>
              <w:t>)</w:t>
            </w:r>
          </w:p>
        </w:tc>
        <w:tc>
          <w:tcPr>
            <w:tcW w:w="2145" w:type="dxa"/>
          </w:tcPr>
          <w:p w14:paraId="2BAAD8C7" w14:textId="6D91CAA7"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13.63 (1.83-101.73)</w:t>
            </w:r>
          </w:p>
        </w:tc>
        <w:tc>
          <w:tcPr>
            <w:tcW w:w="1154" w:type="dxa"/>
          </w:tcPr>
          <w:p w14:paraId="544B11B3" w14:textId="77777777"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5EF2DDD6" w14:textId="40ABB8EE" w:rsidR="0037625F" w:rsidRPr="0037625F" w:rsidRDefault="0037625F" w:rsidP="000720FD">
            <w:pPr>
              <w:spacing w:after="0" w:line="360" w:lineRule="auto"/>
              <w:jc w:val="center"/>
              <w:rPr>
                <w:rFonts w:ascii="Book Antiqua" w:hAnsi="Book Antiqua"/>
                <w:sz w:val="24"/>
                <w:szCs w:val="24"/>
                <w:lang w:val="en-US"/>
              </w:rPr>
            </w:pPr>
            <w:r w:rsidRPr="0037625F">
              <w:rPr>
                <w:rFonts w:ascii="Book Antiqua" w:hAnsi="Book Antiqua"/>
                <w:sz w:val="24"/>
                <w:szCs w:val="24"/>
                <w:lang w:val="en-US"/>
              </w:rPr>
              <w:t>(not significant)</w:t>
            </w:r>
          </w:p>
        </w:tc>
        <w:tc>
          <w:tcPr>
            <w:tcW w:w="1068" w:type="dxa"/>
          </w:tcPr>
          <w:p w14:paraId="5C1503AF" w14:textId="77777777" w:rsidR="0037625F" w:rsidRPr="006479DA" w:rsidRDefault="0037625F" w:rsidP="000720FD">
            <w:pPr>
              <w:spacing w:after="0" w:line="360" w:lineRule="auto"/>
              <w:jc w:val="center"/>
              <w:rPr>
                <w:rFonts w:ascii="Book Antiqua" w:hAnsi="Book Antiqua"/>
                <w:i/>
                <w:sz w:val="24"/>
                <w:szCs w:val="24"/>
                <w:lang w:val="en-US"/>
              </w:rPr>
            </w:pPr>
          </w:p>
        </w:tc>
      </w:tr>
      <w:tr w:rsidR="003C0274" w:rsidRPr="006479DA" w14:paraId="126B7F68" w14:textId="76DED7AA" w:rsidTr="00F14562">
        <w:trPr>
          <w:trHeight w:val="366"/>
        </w:trPr>
        <w:tc>
          <w:tcPr>
            <w:tcW w:w="2127" w:type="dxa"/>
          </w:tcPr>
          <w:p w14:paraId="34D3FC9B" w14:textId="5B48553B" w:rsidR="003C0274" w:rsidRPr="006479DA" w:rsidRDefault="003C0274" w:rsidP="0037625F">
            <w:pPr>
              <w:spacing w:after="0" w:line="360" w:lineRule="auto"/>
              <w:jc w:val="both"/>
              <w:rPr>
                <w:rFonts w:ascii="Book Antiqua" w:hAnsi="Book Antiqua"/>
                <w:sz w:val="24"/>
                <w:szCs w:val="24"/>
                <w:lang w:val="en-US"/>
              </w:rPr>
            </w:pPr>
            <w:r w:rsidRPr="006479DA">
              <w:rPr>
                <w:rFonts w:ascii="Book Antiqua" w:hAnsi="Book Antiqua"/>
                <w:sz w:val="24"/>
                <w:szCs w:val="24"/>
                <w:lang w:val="en-US"/>
              </w:rPr>
              <w:t>Ascites</w:t>
            </w:r>
            <w:r w:rsidR="0037625F">
              <w:rPr>
                <w:rFonts w:ascii="Book Antiqua" w:eastAsia="SimSun" w:hAnsi="Book Antiqua" w:hint="eastAsia"/>
                <w:sz w:val="24"/>
                <w:szCs w:val="24"/>
                <w:vertAlign w:val="superscript"/>
                <w:lang w:val="en-US" w:eastAsia="zh-CN"/>
              </w:rPr>
              <w:t>1</w:t>
            </w:r>
            <w:r w:rsidRPr="006479DA">
              <w:rPr>
                <w:rFonts w:ascii="Book Antiqua" w:hAnsi="Book Antiqua"/>
                <w:sz w:val="24"/>
                <w:szCs w:val="24"/>
                <w:lang w:val="en-US"/>
              </w:rPr>
              <w:t xml:space="preserve"> </w:t>
            </w:r>
          </w:p>
        </w:tc>
        <w:tc>
          <w:tcPr>
            <w:tcW w:w="1701" w:type="dxa"/>
          </w:tcPr>
          <w:p w14:paraId="438EA731" w14:textId="6C543E1B" w:rsidR="003C0274" w:rsidRPr="006479DA" w:rsidRDefault="003C0274" w:rsidP="000720FD">
            <w:pPr>
              <w:spacing w:after="0" w:line="360" w:lineRule="auto"/>
              <w:jc w:val="center"/>
              <w:rPr>
                <w:rFonts w:ascii="Book Antiqua" w:hAnsi="Book Antiqua"/>
                <w:sz w:val="24"/>
                <w:szCs w:val="24"/>
                <w:lang w:val="en-US"/>
              </w:rPr>
            </w:pPr>
          </w:p>
        </w:tc>
        <w:tc>
          <w:tcPr>
            <w:tcW w:w="2145" w:type="dxa"/>
          </w:tcPr>
          <w:p w14:paraId="52B0D752" w14:textId="6804A86E" w:rsidR="003C0274" w:rsidRPr="006479DA" w:rsidRDefault="003C0274" w:rsidP="000720FD">
            <w:pPr>
              <w:spacing w:after="0" w:line="360" w:lineRule="auto"/>
              <w:jc w:val="center"/>
              <w:rPr>
                <w:rFonts w:ascii="Book Antiqua" w:hAnsi="Book Antiqua"/>
                <w:sz w:val="24"/>
                <w:szCs w:val="24"/>
                <w:lang w:val="en-US"/>
              </w:rPr>
            </w:pPr>
          </w:p>
        </w:tc>
        <w:tc>
          <w:tcPr>
            <w:tcW w:w="1154" w:type="dxa"/>
          </w:tcPr>
          <w:p w14:paraId="65413A6E" w14:textId="1AD4FCB4" w:rsidR="003C0274" w:rsidRPr="006479DA" w:rsidRDefault="003C0274" w:rsidP="000720FD">
            <w:pPr>
              <w:spacing w:after="0" w:line="360" w:lineRule="auto"/>
              <w:jc w:val="center"/>
              <w:rPr>
                <w:rFonts w:ascii="Book Antiqua" w:hAnsi="Book Antiqua"/>
                <w:sz w:val="24"/>
                <w:szCs w:val="24"/>
                <w:lang w:val="en-US"/>
              </w:rPr>
            </w:pPr>
          </w:p>
        </w:tc>
        <w:tc>
          <w:tcPr>
            <w:tcW w:w="2109" w:type="dxa"/>
          </w:tcPr>
          <w:p w14:paraId="21F2CFCA" w14:textId="055DF838" w:rsidR="000B1033" w:rsidRPr="006479DA" w:rsidRDefault="000B1033" w:rsidP="000720FD">
            <w:pPr>
              <w:spacing w:after="0" w:line="360" w:lineRule="auto"/>
              <w:jc w:val="center"/>
              <w:rPr>
                <w:rFonts w:ascii="Book Antiqua" w:hAnsi="Book Antiqua"/>
                <w:sz w:val="24"/>
                <w:szCs w:val="24"/>
                <w:lang w:val="en-US"/>
              </w:rPr>
            </w:pPr>
          </w:p>
        </w:tc>
        <w:tc>
          <w:tcPr>
            <w:tcW w:w="1068" w:type="dxa"/>
          </w:tcPr>
          <w:p w14:paraId="5E047B09" w14:textId="296F7DC1" w:rsidR="000B1033" w:rsidRPr="006479DA" w:rsidRDefault="000B1033" w:rsidP="000720FD">
            <w:pPr>
              <w:spacing w:after="0" w:line="360" w:lineRule="auto"/>
              <w:jc w:val="center"/>
              <w:rPr>
                <w:rFonts w:ascii="Book Antiqua" w:hAnsi="Book Antiqua"/>
                <w:sz w:val="24"/>
                <w:szCs w:val="24"/>
                <w:lang w:val="en-US"/>
              </w:rPr>
            </w:pPr>
          </w:p>
        </w:tc>
      </w:tr>
      <w:tr w:rsidR="000720FD" w:rsidRPr="006479DA" w14:paraId="3CBF73C5" w14:textId="77777777" w:rsidTr="00F14562">
        <w:trPr>
          <w:trHeight w:val="421"/>
        </w:trPr>
        <w:tc>
          <w:tcPr>
            <w:tcW w:w="2127" w:type="dxa"/>
          </w:tcPr>
          <w:p w14:paraId="053314AA" w14:textId="1C22B0DC" w:rsidR="000720FD" w:rsidRPr="006479DA" w:rsidRDefault="000720FD"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sidR="0037625F">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No</w:t>
            </w:r>
          </w:p>
        </w:tc>
        <w:tc>
          <w:tcPr>
            <w:tcW w:w="1701" w:type="dxa"/>
          </w:tcPr>
          <w:p w14:paraId="13AC7043" w14:textId="5763251A" w:rsidR="000720FD"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2/15 (13</w:t>
            </w:r>
            <w:r w:rsidR="000720FD" w:rsidRPr="006479DA">
              <w:rPr>
                <w:rFonts w:ascii="Book Antiqua" w:hAnsi="Book Antiqua"/>
                <w:sz w:val="24"/>
                <w:szCs w:val="24"/>
                <w:lang w:val="en-US"/>
              </w:rPr>
              <w:t>)</w:t>
            </w:r>
          </w:p>
        </w:tc>
        <w:tc>
          <w:tcPr>
            <w:tcW w:w="2145" w:type="dxa"/>
          </w:tcPr>
          <w:p w14:paraId="595B7E26" w14:textId="4D17951F"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154" w:type="dxa"/>
          </w:tcPr>
          <w:p w14:paraId="26036068" w14:textId="321CEDA1"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0.003</w:t>
            </w:r>
          </w:p>
        </w:tc>
        <w:tc>
          <w:tcPr>
            <w:tcW w:w="2109" w:type="dxa"/>
          </w:tcPr>
          <w:p w14:paraId="6A963F22" w14:textId="73AEB8FF"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068" w:type="dxa"/>
          </w:tcPr>
          <w:p w14:paraId="2100F4E3" w14:textId="76DD78C8"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0.01</w:t>
            </w:r>
          </w:p>
        </w:tc>
      </w:tr>
      <w:tr w:rsidR="000720FD" w:rsidRPr="006479DA" w14:paraId="5C1FC61F" w14:textId="77777777" w:rsidTr="00F14562">
        <w:trPr>
          <w:trHeight w:val="530"/>
        </w:trPr>
        <w:tc>
          <w:tcPr>
            <w:tcW w:w="2127" w:type="dxa"/>
          </w:tcPr>
          <w:p w14:paraId="5B619856" w14:textId="79E7A416" w:rsidR="000720FD" w:rsidRPr="006479DA" w:rsidRDefault="000720FD"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sidR="0037625F">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 xml:space="preserve">Yes </w:t>
            </w:r>
          </w:p>
        </w:tc>
        <w:tc>
          <w:tcPr>
            <w:tcW w:w="1701" w:type="dxa"/>
          </w:tcPr>
          <w:p w14:paraId="4A1E02DE" w14:textId="57C705A5" w:rsidR="000720FD"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21/31 (68</w:t>
            </w:r>
            <w:r w:rsidR="000720FD" w:rsidRPr="006479DA">
              <w:rPr>
                <w:rFonts w:ascii="Book Antiqua" w:hAnsi="Book Antiqua"/>
                <w:sz w:val="24"/>
                <w:szCs w:val="24"/>
                <w:lang w:val="en-US"/>
              </w:rPr>
              <w:t>)</w:t>
            </w:r>
          </w:p>
        </w:tc>
        <w:tc>
          <w:tcPr>
            <w:tcW w:w="2145" w:type="dxa"/>
          </w:tcPr>
          <w:p w14:paraId="7C60E080" w14:textId="254116E2"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9.01 (2.10-38.70)</w:t>
            </w:r>
          </w:p>
        </w:tc>
        <w:tc>
          <w:tcPr>
            <w:tcW w:w="1154" w:type="dxa"/>
          </w:tcPr>
          <w:p w14:paraId="2B91973F" w14:textId="77777777" w:rsidR="000720FD" w:rsidRPr="006479DA" w:rsidRDefault="000720FD" w:rsidP="000720FD">
            <w:pPr>
              <w:spacing w:after="0" w:line="360" w:lineRule="auto"/>
              <w:jc w:val="center"/>
              <w:rPr>
                <w:rFonts w:ascii="Book Antiqua" w:hAnsi="Book Antiqua"/>
                <w:sz w:val="24"/>
                <w:szCs w:val="24"/>
                <w:lang w:val="en-US"/>
              </w:rPr>
            </w:pPr>
          </w:p>
        </w:tc>
        <w:tc>
          <w:tcPr>
            <w:tcW w:w="2109" w:type="dxa"/>
          </w:tcPr>
          <w:p w14:paraId="0B641266" w14:textId="21C3E82D" w:rsidR="000720FD" w:rsidRPr="006479DA" w:rsidRDefault="000720FD"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6.95 (1.59-30.28)</w:t>
            </w:r>
          </w:p>
        </w:tc>
        <w:tc>
          <w:tcPr>
            <w:tcW w:w="1068" w:type="dxa"/>
          </w:tcPr>
          <w:p w14:paraId="1922839C" w14:textId="77777777" w:rsidR="000720FD" w:rsidRPr="006479DA" w:rsidRDefault="000720FD" w:rsidP="000720FD">
            <w:pPr>
              <w:spacing w:after="0" w:line="360" w:lineRule="auto"/>
              <w:jc w:val="center"/>
              <w:rPr>
                <w:rFonts w:ascii="Book Antiqua" w:hAnsi="Book Antiqua"/>
                <w:sz w:val="24"/>
                <w:szCs w:val="24"/>
                <w:lang w:val="en-US"/>
              </w:rPr>
            </w:pPr>
          </w:p>
        </w:tc>
      </w:tr>
      <w:tr w:rsidR="0037625F" w:rsidRPr="006479DA" w14:paraId="7082FB55" w14:textId="50268E3F" w:rsidTr="00F14562">
        <w:trPr>
          <w:trHeight w:val="398"/>
        </w:trPr>
        <w:tc>
          <w:tcPr>
            <w:tcW w:w="2127" w:type="dxa"/>
          </w:tcPr>
          <w:p w14:paraId="39CC48D7" w14:textId="26E18394" w:rsidR="0037625F" w:rsidRPr="0037625F" w:rsidRDefault="0037625F" w:rsidP="0037625F">
            <w:pPr>
              <w:spacing w:after="0" w:line="360" w:lineRule="auto"/>
              <w:jc w:val="both"/>
              <w:rPr>
                <w:rFonts w:ascii="Book Antiqua" w:eastAsia="SimSun" w:hAnsi="Book Antiqua"/>
                <w:sz w:val="24"/>
                <w:szCs w:val="24"/>
                <w:lang w:val="en-US" w:eastAsia="zh-CN"/>
              </w:rPr>
            </w:pPr>
            <w:r w:rsidRPr="006479DA">
              <w:rPr>
                <w:rFonts w:ascii="Book Antiqua" w:hAnsi="Book Antiqua"/>
                <w:sz w:val="24"/>
                <w:szCs w:val="24"/>
                <w:lang w:val="en-US"/>
              </w:rPr>
              <w:t>IL-6</w:t>
            </w:r>
            <w:r>
              <w:rPr>
                <w:rFonts w:ascii="Book Antiqua" w:eastAsia="SimSun" w:hAnsi="Book Antiqua" w:hint="eastAsia"/>
                <w:sz w:val="24"/>
                <w:szCs w:val="24"/>
                <w:vertAlign w:val="superscript"/>
                <w:lang w:val="en-US" w:eastAsia="zh-CN"/>
              </w:rPr>
              <w:t>1</w:t>
            </w:r>
          </w:p>
        </w:tc>
        <w:tc>
          <w:tcPr>
            <w:tcW w:w="1701" w:type="dxa"/>
          </w:tcPr>
          <w:p w14:paraId="6D132D6E" w14:textId="6E1B5892" w:rsidR="0037625F" w:rsidRPr="006479DA" w:rsidRDefault="0037625F" w:rsidP="000720FD">
            <w:pPr>
              <w:spacing w:after="0" w:line="360" w:lineRule="auto"/>
              <w:jc w:val="center"/>
              <w:rPr>
                <w:rFonts w:ascii="Book Antiqua" w:hAnsi="Book Antiqua"/>
                <w:sz w:val="24"/>
                <w:szCs w:val="24"/>
                <w:lang w:val="en-US"/>
              </w:rPr>
            </w:pPr>
          </w:p>
        </w:tc>
        <w:tc>
          <w:tcPr>
            <w:tcW w:w="2145" w:type="dxa"/>
          </w:tcPr>
          <w:p w14:paraId="13C2C030" w14:textId="28A9BF84" w:rsidR="0037625F" w:rsidRPr="006479DA" w:rsidRDefault="0037625F" w:rsidP="000720FD">
            <w:pPr>
              <w:spacing w:after="0" w:line="360" w:lineRule="auto"/>
              <w:jc w:val="center"/>
              <w:rPr>
                <w:rFonts w:ascii="Book Antiqua" w:hAnsi="Book Antiqua"/>
                <w:sz w:val="24"/>
                <w:szCs w:val="24"/>
                <w:lang w:val="en-US"/>
              </w:rPr>
            </w:pPr>
          </w:p>
        </w:tc>
        <w:tc>
          <w:tcPr>
            <w:tcW w:w="1154" w:type="dxa"/>
          </w:tcPr>
          <w:p w14:paraId="3153A238" w14:textId="48CE5099"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6FC8E1B9" w14:textId="61F26F42" w:rsidR="0037625F" w:rsidRPr="006479DA" w:rsidRDefault="0037625F" w:rsidP="000720FD">
            <w:pPr>
              <w:spacing w:after="0" w:line="360" w:lineRule="auto"/>
              <w:jc w:val="center"/>
              <w:rPr>
                <w:rFonts w:ascii="Book Antiqua" w:hAnsi="Book Antiqua" w:cs="Arial"/>
                <w:sz w:val="24"/>
                <w:szCs w:val="24"/>
                <w:lang w:val="en-US"/>
              </w:rPr>
            </w:pPr>
          </w:p>
        </w:tc>
        <w:tc>
          <w:tcPr>
            <w:tcW w:w="1068" w:type="dxa"/>
          </w:tcPr>
          <w:p w14:paraId="722BDC01" w14:textId="77777777" w:rsidR="0037625F" w:rsidRPr="006479DA" w:rsidRDefault="0037625F" w:rsidP="000720FD">
            <w:pPr>
              <w:spacing w:after="0" w:line="360" w:lineRule="auto"/>
              <w:jc w:val="center"/>
              <w:rPr>
                <w:rFonts w:ascii="Book Antiqua" w:hAnsi="Book Antiqua" w:cs="Arial"/>
                <w:sz w:val="24"/>
                <w:szCs w:val="24"/>
                <w:lang w:val="en-US"/>
              </w:rPr>
            </w:pPr>
          </w:p>
        </w:tc>
      </w:tr>
      <w:tr w:rsidR="0037625F" w:rsidRPr="006479DA" w14:paraId="7F8DAFB9" w14:textId="7391725E" w:rsidTr="00F14562">
        <w:trPr>
          <w:trHeight w:val="407"/>
        </w:trPr>
        <w:tc>
          <w:tcPr>
            <w:tcW w:w="2127" w:type="dxa"/>
          </w:tcPr>
          <w:p w14:paraId="0946F5E6" w14:textId="468EDABA"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35 pg/m</w:t>
            </w:r>
            <w:r w:rsidRPr="0037625F">
              <w:rPr>
                <w:rFonts w:ascii="Book Antiqua" w:hAnsi="Book Antiqua"/>
                <w:caps/>
                <w:sz w:val="24"/>
                <w:szCs w:val="24"/>
                <w:lang w:val="en-US"/>
              </w:rPr>
              <w:t>l</w:t>
            </w:r>
          </w:p>
        </w:tc>
        <w:tc>
          <w:tcPr>
            <w:tcW w:w="1701" w:type="dxa"/>
          </w:tcPr>
          <w:p w14:paraId="02541D0D" w14:textId="23DB98B2" w:rsidR="0037625F"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4/17 (24</w:t>
            </w:r>
            <w:r w:rsidR="0037625F" w:rsidRPr="006479DA">
              <w:rPr>
                <w:rFonts w:ascii="Book Antiqua" w:hAnsi="Book Antiqua"/>
                <w:sz w:val="24"/>
                <w:szCs w:val="24"/>
                <w:lang w:val="en-US"/>
              </w:rPr>
              <w:t>)</w:t>
            </w:r>
          </w:p>
        </w:tc>
        <w:tc>
          <w:tcPr>
            <w:tcW w:w="2145" w:type="dxa"/>
          </w:tcPr>
          <w:p w14:paraId="6FEB1A71" w14:textId="487C1C7B"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154" w:type="dxa"/>
          </w:tcPr>
          <w:p w14:paraId="29624D07" w14:textId="65A0118E"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0.01</w:t>
            </w:r>
          </w:p>
        </w:tc>
        <w:tc>
          <w:tcPr>
            <w:tcW w:w="2109" w:type="dxa"/>
          </w:tcPr>
          <w:p w14:paraId="3B31C635" w14:textId="49E326E6" w:rsidR="0037625F" w:rsidRPr="0037625F" w:rsidRDefault="0037625F" w:rsidP="000720FD">
            <w:pPr>
              <w:spacing w:after="0" w:line="360" w:lineRule="auto"/>
              <w:jc w:val="center"/>
              <w:rPr>
                <w:rFonts w:ascii="Book Antiqua" w:hAnsi="Book Antiqua"/>
                <w:sz w:val="24"/>
                <w:szCs w:val="24"/>
                <w:lang w:val="en-US"/>
              </w:rPr>
            </w:pPr>
            <w:r w:rsidRPr="0037625F">
              <w:rPr>
                <w:rFonts w:ascii="Book Antiqua" w:hAnsi="Book Antiqua"/>
                <w:sz w:val="24"/>
                <w:szCs w:val="24"/>
                <w:lang w:val="en-US"/>
              </w:rPr>
              <w:t xml:space="preserve">Not included </w:t>
            </w:r>
          </w:p>
        </w:tc>
        <w:tc>
          <w:tcPr>
            <w:tcW w:w="1068" w:type="dxa"/>
          </w:tcPr>
          <w:p w14:paraId="2DDD87EC" w14:textId="77777777" w:rsidR="0037625F" w:rsidRPr="006479DA" w:rsidRDefault="0037625F" w:rsidP="000720FD">
            <w:pPr>
              <w:spacing w:after="0" w:line="360" w:lineRule="auto"/>
              <w:jc w:val="center"/>
              <w:rPr>
                <w:rFonts w:ascii="Book Antiqua" w:hAnsi="Book Antiqua"/>
                <w:sz w:val="24"/>
                <w:szCs w:val="24"/>
                <w:lang w:val="en-US"/>
              </w:rPr>
            </w:pPr>
          </w:p>
        </w:tc>
      </w:tr>
      <w:tr w:rsidR="0037625F" w:rsidRPr="006479DA" w14:paraId="47E8F016" w14:textId="253245E1" w:rsidTr="00F14562">
        <w:trPr>
          <w:trHeight w:val="516"/>
        </w:trPr>
        <w:tc>
          <w:tcPr>
            <w:tcW w:w="2127" w:type="dxa"/>
          </w:tcPr>
          <w:p w14:paraId="45598903" w14:textId="7169D946"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&gt;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35 pg/m</w:t>
            </w:r>
            <w:r w:rsidRPr="0037625F">
              <w:rPr>
                <w:rFonts w:ascii="Book Antiqua" w:hAnsi="Book Antiqua"/>
                <w:caps/>
                <w:sz w:val="24"/>
                <w:szCs w:val="24"/>
                <w:lang w:val="en-US"/>
              </w:rPr>
              <w:t>l</w:t>
            </w:r>
          </w:p>
        </w:tc>
        <w:tc>
          <w:tcPr>
            <w:tcW w:w="1701" w:type="dxa"/>
          </w:tcPr>
          <w:p w14:paraId="16EA014C" w14:textId="03729E84" w:rsidR="0037625F"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19/29 (66</w:t>
            </w:r>
            <w:r w:rsidR="0037625F" w:rsidRPr="006479DA">
              <w:rPr>
                <w:rFonts w:ascii="Book Antiqua" w:hAnsi="Book Antiqua"/>
                <w:sz w:val="24"/>
                <w:szCs w:val="24"/>
                <w:lang w:val="en-US"/>
              </w:rPr>
              <w:t>)</w:t>
            </w:r>
          </w:p>
        </w:tc>
        <w:tc>
          <w:tcPr>
            <w:tcW w:w="2145" w:type="dxa"/>
          </w:tcPr>
          <w:p w14:paraId="2A4085D8" w14:textId="41B7EFED"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3.87 (1.31-11.47)</w:t>
            </w:r>
          </w:p>
        </w:tc>
        <w:tc>
          <w:tcPr>
            <w:tcW w:w="1154" w:type="dxa"/>
          </w:tcPr>
          <w:p w14:paraId="085B8304" w14:textId="77777777"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39BDF83C" w14:textId="1345E585" w:rsidR="0037625F" w:rsidRPr="0037625F" w:rsidRDefault="0037625F" w:rsidP="000720FD">
            <w:pPr>
              <w:spacing w:after="0" w:line="360" w:lineRule="auto"/>
              <w:jc w:val="center"/>
              <w:rPr>
                <w:rFonts w:ascii="Book Antiqua" w:hAnsi="Book Antiqua"/>
                <w:sz w:val="24"/>
                <w:szCs w:val="24"/>
                <w:lang w:val="en-US"/>
              </w:rPr>
            </w:pPr>
            <w:r w:rsidRPr="0037625F">
              <w:rPr>
                <w:rFonts w:ascii="Book Antiqua" w:hAnsi="Book Antiqua"/>
                <w:sz w:val="24"/>
                <w:szCs w:val="24"/>
                <w:lang w:val="en-US"/>
              </w:rPr>
              <w:t>(not significant)</w:t>
            </w:r>
          </w:p>
        </w:tc>
        <w:tc>
          <w:tcPr>
            <w:tcW w:w="1068" w:type="dxa"/>
          </w:tcPr>
          <w:p w14:paraId="14AF80B6" w14:textId="77777777" w:rsidR="0037625F" w:rsidRPr="006479DA" w:rsidRDefault="0037625F" w:rsidP="000720FD">
            <w:pPr>
              <w:spacing w:after="0" w:line="360" w:lineRule="auto"/>
              <w:jc w:val="center"/>
              <w:rPr>
                <w:rFonts w:ascii="Book Antiqua" w:hAnsi="Book Antiqua"/>
                <w:i/>
                <w:sz w:val="24"/>
                <w:szCs w:val="24"/>
                <w:lang w:val="en-US"/>
              </w:rPr>
            </w:pPr>
          </w:p>
        </w:tc>
      </w:tr>
      <w:tr w:rsidR="0037625F" w:rsidRPr="006479DA" w14:paraId="326DDB16" w14:textId="3F64064F" w:rsidTr="00F14562">
        <w:trPr>
          <w:trHeight w:val="357"/>
        </w:trPr>
        <w:tc>
          <w:tcPr>
            <w:tcW w:w="2127" w:type="dxa"/>
            <w:shd w:val="clear" w:color="auto" w:fill="auto"/>
          </w:tcPr>
          <w:p w14:paraId="44D2CC29" w14:textId="40F46310" w:rsidR="0037625F" w:rsidRPr="006479DA" w:rsidRDefault="0037625F" w:rsidP="0037625F">
            <w:pPr>
              <w:spacing w:after="0" w:line="360" w:lineRule="auto"/>
              <w:jc w:val="both"/>
              <w:rPr>
                <w:rFonts w:ascii="Book Antiqua" w:hAnsi="Book Antiqua"/>
                <w:sz w:val="24"/>
                <w:szCs w:val="24"/>
                <w:lang w:val="en-US"/>
              </w:rPr>
            </w:pPr>
            <w:r w:rsidRPr="006479DA">
              <w:rPr>
                <w:rFonts w:ascii="Book Antiqua" w:hAnsi="Book Antiqua"/>
                <w:sz w:val="24"/>
                <w:szCs w:val="24"/>
                <w:lang w:val="en-US"/>
              </w:rPr>
              <w:t>I-FABP</w:t>
            </w:r>
            <w:r>
              <w:rPr>
                <w:rFonts w:ascii="Book Antiqua" w:eastAsia="SimSun" w:hAnsi="Book Antiqua" w:hint="eastAsia"/>
                <w:sz w:val="24"/>
                <w:szCs w:val="24"/>
                <w:vertAlign w:val="superscript"/>
                <w:lang w:val="en-US" w:eastAsia="zh-CN"/>
              </w:rPr>
              <w:t>1,</w:t>
            </w:r>
            <w:r w:rsidRPr="0037625F">
              <w:rPr>
                <w:rFonts w:ascii="Book Antiqua" w:eastAsia="SimSun" w:hAnsi="Book Antiqua" w:hint="eastAsia"/>
                <w:sz w:val="24"/>
                <w:szCs w:val="24"/>
                <w:vertAlign w:val="superscript"/>
                <w:lang w:val="en-US" w:eastAsia="zh-CN"/>
              </w:rPr>
              <w:t>2</w:t>
            </w:r>
            <w:r w:rsidRPr="006479DA">
              <w:rPr>
                <w:rFonts w:ascii="Book Antiqua" w:hAnsi="Book Antiqua"/>
                <w:sz w:val="24"/>
                <w:szCs w:val="24"/>
                <w:lang w:val="en-US"/>
              </w:rPr>
              <w:t xml:space="preserve"> </w:t>
            </w:r>
          </w:p>
        </w:tc>
        <w:tc>
          <w:tcPr>
            <w:tcW w:w="1701" w:type="dxa"/>
          </w:tcPr>
          <w:p w14:paraId="0A8E1A40" w14:textId="386207CD" w:rsidR="0037625F" w:rsidRPr="006479DA" w:rsidRDefault="0037625F" w:rsidP="000720FD">
            <w:pPr>
              <w:spacing w:after="0" w:line="360" w:lineRule="auto"/>
              <w:jc w:val="center"/>
              <w:rPr>
                <w:rFonts w:ascii="Book Antiqua" w:hAnsi="Book Antiqua"/>
                <w:sz w:val="24"/>
                <w:szCs w:val="24"/>
                <w:lang w:val="en-US"/>
              </w:rPr>
            </w:pPr>
          </w:p>
        </w:tc>
        <w:tc>
          <w:tcPr>
            <w:tcW w:w="2145" w:type="dxa"/>
          </w:tcPr>
          <w:p w14:paraId="65EF2AC4" w14:textId="3A7A082C" w:rsidR="0037625F" w:rsidRPr="006479DA" w:rsidRDefault="0037625F" w:rsidP="000720FD">
            <w:pPr>
              <w:spacing w:after="0" w:line="360" w:lineRule="auto"/>
              <w:jc w:val="center"/>
              <w:rPr>
                <w:rFonts w:ascii="Book Antiqua" w:hAnsi="Book Antiqua"/>
                <w:sz w:val="24"/>
                <w:szCs w:val="24"/>
                <w:lang w:val="en-US"/>
              </w:rPr>
            </w:pPr>
          </w:p>
        </w:tc>
        <w:tc>
          <w:tcPr>
            <w:tcW w:w="1154" w:type="dxa"/>
          </w:tcPr>
          <w:p w14:paraId="2BB25190" w14:textId="5109CDF6"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71AA2023" w14:textId="5A4375C1" w:rsidR="0037625F" w:rsidRPr="0037625F" w:rsidRDefault="0037625F" w:rsidP="000720FD">
            <w:pPr>
              <w:spacing w:after="0" w:line="360" w:lineRule="auto"/>
              <w:jc w:val="center"/>
              <w:rPr>
                <w:rFonts w:ascii="Book Antiqua" w:hAnsi="Book Antiqua" w:cs="Arial"/>
                <w:sz w:val="24"/>
                <w:szCs w:val="24"/>
                <w:lang w:val="en-US"/>
              </w:rPr>
            </w:pPr>
          </w:p>
        </w:tc>
        <w:tc>
          <w:tcPr>
            <w:tcW w:w="1068" w:type="dxa"/>
          </w:tcPr>
          <w:p w14:paraId="7B52E2E1" w14:textId="77777777" w:rsidR="0037625F" w:rsidRPr="006479DA" w:rsidRDefault="0037625F" w:rsidP="000720FD">
            <w:pPr>
              <w:spacing w:after="0" w:line="360" w:lineRule="auto"/>
              <w:jc w:val="center"/>
              <w:rPr>
                <w:rFonts w:ascii="Book Antiqua" w:hAnsi="Book Antiqua" w:cs="Arial"/>
                <w:sz w:val="24"/>
                <w:szCs w:val="24"/>
                <w:lang w:val="en-US"/>
              </w:rPr>
            </w:pPr>
          </w:p>
        </w:tc>
      </w:tr>
      <w:tr w:rsidR="0037625F" w:rsidRPr="006479DA" w14:paraId="55C3A59D" w14:textId="17787B57" w:rsidTr="00F14562">
        <w:trPr>
          <w:trHeight w:val="421"/>
        </w:trPr>
        <w:tc>
          <w:tcPr>
            <w:tcW w:w="2127" w:type="dxa"/>
            <w:shd w:val="clear" w:color="auto" w:fill="auto"/>
          </w:tcPr>
          <w:p w14:paraId="5ACE2314" w14:textId="6E5FB01E"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1300 pg/m</w:t>
            </w:r>
            <w:r w:rsidRPr="0037625F">
              <w:rPr>
                <w:rFonts w:ascii="Book Antiqua" w:hAnsi="Book Antiqua"/>
                <w:caps/>
                <w:sz w:val="24"/>
                <w:szCs w:val="24"/>
                <w:lang w:val="en-US"/>
              </w:rPr>
              <w:t>l</w:t>
            </w:r>
          </w:p>
        </w:tc>
        <w:tc>
          <w:tcPr>
            <w:tcW w:w="1701" w:type="dxa"/>
          </w:tcPr>
          <w:p w14:paraId="31249B0C" w14:textId="7D5A2FEF" w:rsidR="0037625F" w:rsidRPr="006479DA" w:rsidRDefault="00EA2906" w:rsidP="000720FD">
            <w:pPr>
              <w:spacing w:after="0" w:line="360" w:lineRule="auto"/>
              <w:jc w:val="center"/>
              <w:rPr>
                <w:rFonts w:ascii="Book Antiqua" w:hAnsi="Book Antiqua"/>
                <w:sz w:val="24"/>
                <w:szCs w:val="24"/>
                <w:lang w:val="en-US"/>
              </w:rPr>
            </w:pPr>
            <w:r>
              <w:rPr>
                <w:rFonts w:ascii="Book Antiqua" w:hAnsi="Book Antiqua"/>
                <w:sz w:val="24"/>
                <w:szCs w:val="24"/>
                <w:lang w:val="en-US"/>
              </w:rPr>
              <w:t>1/13 (8</w:t>
            </w:r>
            <w:r w:rsidR="0037625F" w:rsidRPr="006479DA">
              <w:rPr>
                <w:rFonts w:ascii="Book Antiqua" w:hAnsi="Book Antiqua"/>
                <w:sz w:val="24"/>
                <w:szCs w:val="24"/>
                <w:lang w:val="en-US"/>
              </w:rPr>
              <w:t>)</w:t>
            </w:r>
          </w:p>
        </w:tc>
        <w:tc>
          <w:tcPr>
            <w:tcW w:w="2145" w:type="dxa"/>
          </w:tcPr>
          <w:p w14:paraId="645CDA99" w14:textId="3C6F50CD"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1.00 (reference)</w:t>
            </w:r>
          </w:p>
        </w:tc>
        <w:tc>
          <w:tcPr>
            <w:tcW w:w="1154" w:type="dxa"/>
          </w:tcPr>
          <w:p w14:paraId="593B051C" w14:textId="02E973BD"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0.01</w:t>
            </w:r>
          </w:p>
        </w:tc>
        <w:tc>
          <w:tcPr>
            <w:tcW w:w="2109" w:type="dxa"/>
          </w:tcPr>
          <w:p w14:paraId="483FE1BB" w14:textId="47F4B314" w:rsidR="0037625F" w:rsidRPr="0037625F" w:rsidRDefault="0037625F" w:rsidP="000720FD">
            <w:pPr>
              <w:spacing w:after="0" w:line="360" w:lineRule="auto"/>
              <w:jc w:val="center"/>
              <w:rPr>
                <w:rFonts w:ascii="Book Antiqua" w:hAnsi="Book Antiqua"/>
                <w:sz w:val="24"/>
                <w:szCs w:val="24"/>
                <w:lang w:val="en-US"/>
              </w:rPr>
            </w:pPr>
            <w:r w:rsidRPr="0037625F">
              <w:rPr>
                <w:rFonts w:ascii="Book Antiqua" w:hAnsi="Book Antiqua"/>
                <w:sz w:val="24"/>
                <w:szCs w:val="24"/>
                <w:lang w:val="en-US"/>
              </w:rPr>
              <w:t>Not included</w:t>
            </w:r>
          </w:p>
        </w:tc>
        <w:tc>
          <w:tcPr>
            <w:tcW w:w="1068" w:type="dxa"/>
          </w:tcPr>
          <w:p w14:paraId="04206CAF" w14:textId="77777777" w:rsidR="0037625F" w:rsidRPr="006479DA" w:rsidRDefault="0037625F" w:rsidP="000720FD">
            <w:pPr>
              <w:spacing w:after="0" w:line="360" w:lineRule="auto"/>
              <w:jc w:val="center"/>
              <w:rPr>
                <w:rFonts w:ascii="Book Antiqua" w:hAnsi="Book Antiqua"/>
                <w:sz w:val="24"/>
                <w:szCs w:val="24"/>
                <w:lang w:val="en-US"/>
              </w:rPr>
            </w:pPr>
          </w:p>
        </w:tc>
      </w:tr>
      <w:tr w:rsidR="0037625F" w:rsidRPr="006479DA" w14:paraId="39B4B18C" w14:textId="7B7E0883" w:rsidTr="00F14562">
        <w:trPr>
          <w:trHeight w:val="543"/>
        </w:trPr>
        <w:tc>
          <w:tcPr>
            <w:tcW w:w="2127" w:type="dxa"/>
            <w:shd w:val="clear" w:color="auto" w:fill="auto"/>
          </w:tcPr>
          <w:p w14:paraId="3FFA9257" w14:textId="67F46CA0" w:rsidR="0037625F" w:rsidRPr="006479DA" w:rsidRDefault="0037625F" w:rsidP="00265BAF">
            <w:pPr>
              <w:spacing w:after="0" w:line="360" w:lineRule="auto"/>
              <w:jc w:val="both"/>
              <w:rPr>
                <w:rFonts w:ascii="Book Antiqua" w:hAnsi="Book Antiqua"/>
                <w:sz w:val="24"/>
                <w:szCs w:val="24"/>
                <w:lang w:val="en-US"/>
              </w:rPr>
            </w:pPr>
            <w:r w:rsidRPr="006479DA">
              <w:rPr>
                <w:rFonts w:ascii="Book Antiqua" w:hAnsi="Book Antiqua"/>
                <w:sz w:val="24"/>
                <w:szCs w:val="24"/>
                <w:lang w:val="en-US"/>
              </w:rPr>
              <w:t xml:space="preserve">  </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&gt;</w:t>
            </w:r>
            <w:r>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1300 pg/m</w:t>
            </w:r>
            <w:r w:rsidRPr="0037625F">
              <w:rPr>
                <w:rFonts w:ascii="Book Antiqua" w:hAnsi="Book Antiqua"/>
                <w:caps/>
                <w:sz w:val="24"/>
                <w:szCs w:val="24"/>
                <w:lang w:val="en-US"/>
              </w:rPr>
              <w:t>l</w:t>
            </w:r>
          </w:p>
        </w:tc>
        <w:tc>
          <w:tcPr>
            <w:tcW w:w="1701" w:type="dxa"/>
          </w:tcPr>
          <w:p w14:paraId="0ACCE85A" w14:textId="48D3BA6F" w:rsidR="0037625F" w:rsidRPr="006479DA" w:rsidRDefault="0037625F" w:rsidP="000720FD">
            <w:pPr>
              <w:spacing w:after="0" w:line="360" w:lineRule="auto"/>
              <w:jc w:val="center"/>
              <w:rPr>
                <w:rFonts w:ascii="Book Antiqua" w:hAnsi="Book Antiqua"/>
                <w:sz w:val="24"/>
                <w:szCs w:val="24"/>
                <w:lang w:val="en-US"/>
              </w:rPr>
            </w:pPr>
            <w:r w:rsidRPr="006479DA">
              <w:rPr>
                <w:rFonts w:ascii="Book Antiqua" w:hAnsi="Book Antiqua"/>
                <w:sz w:val="24"/>
                <w:szCs w:val="24"/>
                <w:lang w:val="en-US"/>
              </w:rPr>
              <w:t>16/23</w:t>
            </w:r>
            <w:r w:rsidR="00EA2906">
              <w:rPr>
                <w:rFonts w:ascii="Book Antiqua" w:hAnsi="Book Antiqua"/>
                <w:sz w:val="24"/>
                <w:szCs w:val="24"/>
                <w:lang w:val="en-US"/>
              </w:rPr>
              <w:t xml:space="preserve"> (70</w:t>
            </w:r>
            <w:r w:rsidRPr="006479DA">
              <w:rPr>
                <w:rFonts w:ascii="Book Antiqua" w:hAnsi="Book Antiqua"/>
                <w:sz w:val="24"/>
                <w:szCs w:val="24"/>
                <w:lang w:val="en-US"/>
              </w:rPr>
              <w:t>)</w:t>
            </w:r>
          </w:p>
        </w:tc>
        <w:tc>
          <w:tcPr>
            <w:tcW w:w="2145" w:type="dxa"/>
          </w:tcPr>
          <w:p w14:paraId="71FA88E1" w14:textId="5D58D57E" w:rsidR="0037625F" w:rsidRPr="006479DA" w:rsidRDefault="0037625F" w:rsidP="00122E74">
            <w:pPr>
              <w:spacing w:after="0" w:line="360" w:lineRule="auto"/>
              <w:jc w:val="center"/>
              <w:rPr>
                <w:rFonts w:ascii="Book Antiqua" w:hAnsi="Book Antiqua"/>
                <w:sz w:val="24"/>
                <w:szCs w:val="24"/>
                <w:lang w:val="en-US"/>
              </w:rPr>
            </w:pPr>
            <w:r w:rsidRPr="006479DA">
              <w:rPr>
                <w:rFonts w:ascii="Book Antiqua" w:hAnsi="Book Antiqua"/>
                <w:sz w:val="24"/>
                <w:szCs w:val="24"/>
                <w:lang w:val="en-US"/>
              </w:rPr>
              <w:t>13.85</w:t>
            </w:r>
            <w:r w:rsidR="00122E74">
              <w:rPr>
                <w:rFonts w:ascii="Book Antiqua" w:eastAsia="SimSun" w:hAnsi="Book Antiqua" w:hint="eastAsia"/>
                <w:sz w:val="24"/>
                <w:szCs w:val="24"/>
                <w:lang w:val="en-US" w:eastAsia="zh-CN"/>
              </w:rPr>
              <w:t xml:space="preserve"> </w:t>
            </w:r>
            <w:r w:rsidRPr="006479DA">
              <w:rPr>
                <w:rFonts w:ascii="Book Antiqua" w:hAnsi="Book Antiqua"/>
                <w:sz w:val="24"/>
                <w:szCs w:val="24"/>
                <w:lang w:val="en-US"/>
              </w:rPr>
              <w:t>(1.83-105.04)</w:t>
            </w:r>
          </w:p>
        </w:tc>
        <w:tc>
          <w:tcPr>
            <w:tcW w:w="1154" w:type="dxa"/>
          </w:tcPr>
          <w:p w14:paraId="336204D1" w14:textId="77777777" w:rsidR="0037625F" w:rsidRPr="006479DA" w:rsidRDefault="0037625F" w:rsidP="000720FD">
            <w:pPr>
              <w:spacing w:after="0" w:line="360" w:lineRule="auto"/>
              <w:jc w:val="center"/>
              <w:rPr>
                <w:rFonts w:ascii="Book Antiqua" w:hAnsi="Book Antiqua"/>
                <w:sz w:val="24"/>
                <w:szCs w:val="24"/>
                <w:lang w:val="en-US"/>
              </w:rPr>
            </w:pPr>
          </w:p>
        </w:tc>
        <w:tc>
          <w:tcPr>
            <w:tcW w:w="2109" w:type="dxa"/>
          </w:tcPr>
          <w:p w14:paraId="525FA11D" w14:textId="355122F2" w:rsidR="0037625F" w:rsidRPr="0037625F" w:rsidRDefault="0037625F" w:rsidP="0037625F">
            <w:pPr>
              <w:spacing w:after="0" w:line="360" w:lineRule="auto"/>
              <w:jc w:val="center"/>
              <w:rPr>
                <w:rFonts w:ascii="Book Antiqua" w:hAnsi="Book Antiqua"/>
                <w:sz w:val="24"/>
                <w:szCs w:val="24"/>
                <w:lang w:val="en-US"/>
              </w:rPr>
            </w:pPr>
            <w:r w:rsidRPr="0037625F">
              <w:rPr>
                <w:rFonts w:ascii="Book Antiqua" w:hAnsi="Book Antiqua"/>
                <w:sz w:val="24"/>
                <w:szCs w:val="24"/>
                <w:lang w:val="en-US"/>
              </w:rPr>
              <w:t>(missing data</w:t>
            </w:r>
            <w:r w:rsidRPr="0037625F">
              <w:rPr>
                <w:rFonts w:ascii="Book Antiqua" w:eastAsia="SimSun" w:hAnsi="Book Antiqua" w:hint="eastAsia"/>
                <w:sz w:val="24"/>
                <w:szCs w:val="24"/>
                <w:vertAlign w:val="superscript"/>
                <w:lang w:val="en-US" w:eastAsia="zh-CN"/>
              </w:rPr>
              <w:t>2</w:t>
            </w:r>
            <w:r w:rsidRPr="0037625F">
              <w:rPr>
                <w:rFonts w:ascii="Book Antiqua" w:hAnsi="Book Antiqua"/>
                <w:sz w:val="24"/>
                <w:szCs w:val="24"/>
                <w:lang w:val="en-US"/>
              </w:rPr>
              <w:t>)</w:t>
            </w:r>
          </w:p>
        </w:tc>
        <w:tc>
          <w:tcPr>
            <w:tcW w:w="1068" w:type="dxa"/>
          </w:tcPr>
          <w:p w14:paraId="2D19902A" w14:textId="77777777" w:rsidR="0037625F" w:rsidRPr="006479DA" w:rsidRDefault="0037625F" w:rsidP="000720FD">
            <w:pPr>
              <w:spacing w:after="0" w:line="360" w:lineRule="auto"/>
              <w:jc w:val="center"/>
              <w:rPr>
                <w:rFonts w:ascii="Book Antiqua" w:hAnsi="Book Antiqua"/>
                <w:i/>
                <w:sz w:val="24"/>
                <w:szCs w:val="24"/>
                <w:lang w:val="en-US"/>
              </w:rPr>
            </w:pPr>
          </w:p>
        </w:tc>
      </w:tr>
    </w:tbl>
    <w:p w14:paraId="0FEFB8E3" w14:textId="372522BC" w:rsidR="00346844" w:rsidRPr="004B1CD5" w:rsidRDefault="0037625F" w:rsidP="00265BAF">
      <w:pPr>
        <w:spacing w:after="0" w:line="360" w:lineRule="auto"/>
        <w:jc w:val="both"/>
        <w:rPr>
          <w:rFonts w:ascii="Book Antiqua" w:hAnsi="Book Antiqua"/>
          <w:sz w:val="24"/>
          <w:szCs w:val="24"/>
          <w:lang w:val="en-US"/>
        </w:rPr>
      </w:pPr>
      <w:r>
        <w:rPr>
          <w:rFonts w:ascii="Book Antiqua" w:eastAsia="SimSun" w:hAnsi="Book Antiqua" w:hint="eastAsia"/>
          <w:sz w:val="24"/>
          <w:szCs w:val="24"/>
          <w:vertAlign w:val="superscript"/>
          <w:lang w:val="en-US" w:eastAsia="zh-CN"/>
        </w:rPr>
        <w:t>1</w:t>
      </w:r>
      <w:r w:rsidR="00BE1EBD" w:rsidRPr="006479DA">
        <w:rPr>
          <w:rFonts w:ascii="Book Antiqua" w:hAnsi="Book Antiqua"/>
          <w:sz w:val="24"/>
          <w:szCs w:val="24"/>
          <w:lang w:val="en-US"/>
        </w:rPr>
        <w:t>Parameters were dichotomized according to the optimum cut-off from ROC analysis usi</w:t>
      </w:r>
      <w:r w:rsidR="00BE1EBD" w:rsidRPr="004B1CD5">
        <w:rPr>
          <w:rFonts w:ascii="Book Antiqua" w:hAnsi="Book Antiqua"/>
          <w:sz w:val="24"/>
          <w:szCs w:val="24"/>
          <w:lang w:val="en-US"/>
        </w:rPr>
        <w:t>ng maximum Youden index</w:t>
      </w:r>
      <w:r w:rsidRPr="004B1CD5">
        <w:rPr>
          <w:rFonts w:ascii="Book Antiqua" w:eastAsia="SimSun" w:hAnsi="Book Antiqua" w:hint="eastAsia"/>
          <w:sz w:val="24"/>
          <w:szCs w:val="24"/>
          <w:lang w:val="en-US" w:eastAsia="zh-CN"/>
        </w:rPr>
        <w:t xml:space="preserve">; </w:t>
      </w:r>
      <w:r w:rsidRPr="004B1CD5">
        <w:rPr>
          <w:rFonts w:ascii="Book Antiqua" w:eastAsia="SimSun" w:hAnsi="Book Antiqua" w:hint="eastAsia"/>
          <w:sz w:val="24"/>
          <w:szCs w:val="24"/>
          <w:vertAlign w:val="superscript"/>
          <w:lang w:val="en-US" w:eastAsia="zh-CN"/>
        </w:rPr>
        <w:t>2</w:t>
      </w:r>
      <w:r w:rsidR="00BE1EBD" w:rsidRPr="004B1CD5">
        <w:rPr>
          <w:rFonts w:ascii="Book Antiqua" w:hAnsi="Book Antiqua"/>
          <w:sz w:val="24"/>
          <w:szCs w:val="24"/>
          <w:lang w:val="en-US"/>
        </w:rPr>
        <w:t>Serum IFABP levels were available from 36 patients</w:t>
      </w:r>
      <w:r w:rsidR="000B1033" w:rsidRPr="004B1CD5">
        <w:rPr>
          <w:rFonts w:ascii="Book Antiqua" w:hAnsi="Book Antiqua"/>
          <w:sz w:val="24"/>
          <w:szCs w:val="24"/>
          <w:lang w:val="en-US"/>
        </w:rPr>
        <w:t>.</w:t>
      </w:r>
    </w:p>
    <w:p w14:paraId="5BE199EA" w14:textId="58D121EF" w:rsidR="00995544" w:rsidRPr="006479DA" w:rsidRDefault="00F14562" w:rsidP="00265BAF">
      <w:pPr>
        <w:spacing w:after="0" w:line="360" w:lineRule="auto"/>
        <w:jc w:val="both"/>
        <w:rPr>
          <w:rFonts w:ascii="Book Antiqua" w:eastAsiaTheme="majorEastAsia" w:hAnsi="Book Antiqua"/>
          <w:b/>
          <w:bCs/>
          <w:sz w:val="24"/>
          <w:szCs w:val="24"/>
          <w:lang w:val="en-US"/>
        </w:rPr>
      </w:pPr>
      <w:r w:rsidRPr="004B1CD5">
        <w:rPr>
          <w:rFonts w:ascii="Book Antiqua" w:eastAsia="SimSun" w:hAnsi="Book Antiqua" w:hint="eastAsia"/>
          <w:bCs/>
          <w:sz w:val="24"/>
          <w:szCs w:val="24"/>
          <w:vertAlign w:val="superscript"/>
          <w:lang w:val="en-US" w:eastAsia="zh-CN"/>
        </w:rPr>
        <w:t>3</w:t>
      </w:r>
      <w:r w:rsidR="00346844" w:rsidRPr="004B1CD5">
        <w:rPr>
          <w:rFonts w:ascii="Book Antiqua" w:eastAsiaTheme="majorEastAsia" w:hAnsi="Book Antiqua"/>
          <w:bCs/>
          <w:sz w:val="24"/>
          <w:szCs w:val="24"/>
          <w:lang w:val="en-US"/>
        </w:rPr>
        <w:t>Dichotomized</w:t>
      </w:r>
      <w:r w:rsidR="00346844" w:rsidRPr="006479DA">
        <w:rPr>
          <w:rFonts w:ascii="Book Antiqua" w:eastAsiaTheme="majorEastAsia" w:hAnsi="Book Antiqua"/>
          <w:bCs/>
          <w:sz w:val="24"/>
          <w:szCs w:val="24"/>
          <w:vertAlign w:val="superscript"/>
          <w:lang w:val="en-US"/>
        </w:rPr>
        <w:t xml:space="preserve"> </w:t>
      </w:r>
      <w:r w:rsidR="00346844" w:rsidRPr="006479DA">
        <w:rPr>
          <w:rFonts w:ascii="Book Antiqua" w:eastAsiaTheme="majorEastAsia" w:hAnsi="Book Antiqua"/>
          <w:bCs/>
          <w:sz w:val="24"/>
          <w:szCs w:val="24"/>
          <w:lang w:val="en-US"/>
        </w:rPr>
        <w:t>parameters from univariate analysis were included in a forward-stepwise Cox regression model (</w:t>
      </w:r>
      <w:r w:rsidR="00346844" w:rsidRPr="0037625F">
        <w:rPr>
          <w:rFonts w:ascii="Book Antiqua" w:eastAsiaTheme="majorEastAsia" w:hAnsi="Book Antiqua"/>
          <w:bCs/>
          <w:i/>
          <w:caps/>
          <w:sz w:val="24"/>
          <w:szCs w:val="24"/>
          <w:lang w:val="en-US"/>
        </w:rPr>
        <w:t>p</w:t>
      </w:r>
      <w:r w:rsidR="00346844" w:rsidRPr="006479DA">
        <w:rPr>
          <w:rFonts w:ascii="Book Antiqua" w:eastAsiaTheme="majorEastAsia" w:hAnsi="Book Antiqua"/>
          <w:bCs/>
          <w:sz w:val="24"/>
          <w:szCs w:val="24"/>
          <w:lang w:val="en-US"/>
        </w:rPr>
        <w:t xml:space="preserve"> for inclusion &lt; 0.05).</w:t>
      </w:r>
      <w:r w:rsidR="008474CC" w:rsidRPr="006479DA">
        <w:rPr>
          <w:rFonts w:ascii="Book Antiqua" w:eastAsiaTheme="majorEastAsia" w:hAnsi="Book Antiqua"/>
          <w:b/>
          <w:bCs/>
          <w:sz w:val="24"/>
          <w:szCs w:val="24"/>
          <w:lang w:val="en-US"/>
        </w:rPr>
        <w:br w:type="page"/>
      </w:r>
    </w:p>
    <w:p w14:paraId="11FAF586" w14:textId="4E2BF494" w:rsidR="00740926" w:rsidRPr="006479DA" w:rsidRDefault="00740926" w:rsidP="00265BAF">
      <w:pPr>
        <w:pStyle w:val="Caption"/>
        <w:spacing w:after="0" w:line="360" w:lineRule="auto"/>
        <w:jc w:val="both"/>
        <w:rPr>
          <w:rFonts w:ascii="Book Antiqua" w:hAnsi="Book Antiqua"/>
          <w:sz w:val="24"/>
          <w:szCs w:val="24"/>
          <w:lang w:val="en-US"/>
        </w:rPr>
      </w:pPr>
      <w:r w:rsidRPr="006479DA">
        <w:rPr>
          <w:rFonts w:ascii="Book Antiqua" w:hAnsi="Book Antiqua"/>
          <w:noProof/>
          <w:color w:val="auto"/>
          <w:sz w:val="24"/>
          <w:szCs w:val="24"/>
          <w:lang w:val="en-US" w:eastAsia="zh-CN"/>
        </w:rPr>
        <w:lastRenderedPageBreak/>
        <w:drawing>
          <wp:inline distT="0" distB="0" distL="0" distR="0" wp14:anchorId="0752BC64" wp14:editId="32BF328B">
            <wp:extent cx="5760720" cy="3127178"/>
            <wp:effectExtent l="0" t="0" r="5080" b="0"/>
            <wp:docPr id="5" name="Bild 4" descr="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Figure 1.pdf"/>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3127178"/>
                    </a:xfrm>
                    <a:prstGeom prst="rect">
                      <a:avLst/>
                    </a:prstGeom>
                  </pic:spPr>
                </pic:pic>
              </a:graphicData>
            </a:graphic>
          </wp:inline>
        </w:drawing>
      </w:r>
    </w:p>
    <w:p w14:paraId="1FE64DF7" w14:textId="40699D83" w:rsidR="008D1F0F" w:rsidRPr="00122E74" w:rsidRDefault="00122E74" w:rsidP="00601325">
      <w:pPr>
        <w:pStyle w:val="Caption"/>
        <w:spacing w:after="0" w:line="360" w:lineRule="auto"/>
        <w:jc w:val="both"/>
        <w:rPr>
          <w:rFonts w:ascii="Book Antiqua" w:eastAsia="SimSun" w:hAnsi="Book Antiqua"/>
          <w:sz w:val="24"/>
          <w:szCs w:val="24"/>
          <w:lang w:val="en-US" w:eastAsia="zh-CN"/>
        </w:rPr>
      </w:pPr>
      <w:r w:rsidRPr="006479DA">
        <w:rPr>
          <w:rFonts w:ascii="Book Antiqua" w:hAnsi="Book Antiqua"/>
          <w:color w:val="auto"/>
          <w:sz w:val="24"/>
          <w:szCs w:val="24"/>
          <w:lang w:val="en-US"/>
        </w:rPr>
        <w:t xml:space="preserve">Figure </w:t>
      </w:r>
      <w:r w:rsidRPr="006479DA">
        <w:rPr>
          <w:rFonts w:ascii="Book Antiqua" w:hAnsi="Book Antiqua"/>
          <w:color w:val="auto"/>
          <w:sz w:val="24"/>
          <w:szCs w:val="24"/>
        </w:rPr>
        <w:fldChar w:fldCharType="begin"/>
      </w:r>
      <w:r w:rsidRPr="006479DA">
        <w:rPr>
          <w:rFonts w:ascii="Book Antiqua" w:hAnsi="Book Antiqua"/>
          <w:color w:val="auto"/>
          <w:sz w:val="24"/>
          <w:szCs w:val="24"/>
          <w:lang w:val="en-US"/>
        </w:rPr>
        <w:instrText xml:space="preserve"> SEQ Figure \* ARABIC </w:instrText>
      </w:r>
      <w:r w:rsidRPr="006479DA">
        <w:rPr>
          <w:rFonts w:ascii="Book Antiqua" w:hAnsi="Book Antiqua"/>
          <w:color w:val="auto"/>
          <w:sz w:val="24"/>
          <w:szCs w:val="24"/>
        </w:rPr>
        <w:fldChar w:fldCharType="separate"/>
      </w:r>
      <w:r w:rsidRPr="006479DA">
        <w:rPr>
          <w:rFonts w:ascii="Book Antiqua" w:hAnsi="Book Antiqua"/>
          <w:noProof/>
          <w:color w:val="auto"/>
          <w:sz w:val="24"/>
          <w:szCs w:val="24"/>
          <w:lang w:val="en-US"/>
        </w:rPr>
        <w:t>1</w:t>
      </w:r>
      <w:r w:rsidRPr="006479DA">
        <w:rPr>
          <w:rFonts w:ascii="Book Antiqua" w:hAnsi="Book Antiqua"/>
          <w:color w:val="auto"/>
          <w:sz w:val="24"/>
          <w:szCs w:val="24"/>
        </w:rPr>
        <w:fldChar w:fldCharType="end"/>
      </w:r>
      <w:r>
        <w:rPr>
          <w:rFonts w:ascii="Book Antiqua" w:eastAsia="SimSun" w:hAnsi="Book Antiqua" w:hint="eastAsia"/>
          <w:color w:val="auto"/>
          <w:sz w:val="24"/>
          <w:szCs w:val="24"/>
          <w:lang w:val="en-US" w:eastAsia="zh-CN"/>
        </w:rPr>
        <w:t xml:space="preserve"> </w:t>
      </w:r>
      <w:r w:rsidRPr="006479DA">
        <w:rPr>
          <w:rFonts w:ascii="Book Antiqua" w:hAnsi="Book Antiqua"/>
          <w:color w:val="auto"/>
          <w:sz w:val="24"/>
          <w:szCs w:val="24"/>
          <w:lang w:val="en-US"/>
        </w:rPr>
        <w:t>Intestinal permeability is impaired in cirrhosis and correlates with severity</w:t>
      </w:r>
      <w:r>
        <w:rPr>
          <w:rFonts w:ascii="Book Antiqua" w:eastAsia="SimSun" w:hAnsi="Book Antiqua" w:hint="eastAsia"/>
          <w:color w:val="auto"/>
          <w:sz w:val="24"/>
          <w:szCs w:val="24"/>
          <w:lang w:val="en-US" w:eastAsia="zh-CN"/>
        </w:rPr>
        <w:t>.</w:t>
      </w:r>
      <w:r w:rsidR="008D1F0F" w:rsidRPr="006479DA">
        <w:rPr>
          <w:rFonts w:ascii="Book Antiqua" w:hAnsi="Book Antiqua"/>
          <w:color w:val="auto"/>
          <w:sz w:val="24"/>
          <w:szCs w:val="24"/>
          <w:lang w:val="en-US"/>
        </w:rPr>
        <w:t xml:space="preserve"> </w:t>
      </w:r>
      <w:r w:rsidR="00987F5A" w:rsidRPr="00122E74">
        <w:rPr>
          <w:rFonts w:ascii="Book Antiqua" w:hAnsi="Book Antiqua"/>
          <w:b w:val="0"/>
          <w:color w:val="auto"/>
          <w:sz w:val="24"/>
          <w:szCs w:val="24"/>
          <w:lang w:val="en-US"/>
        </w:rPr>
        <w:t>A</w:t>
      </w:r>
      <w:r w:rsidRPr="00122E74">
        <w:rPr>
          <w:rFonts w:ascii="Book Antiqua" w:eastAsia="SimSun" w:hAnsi="Book Antiqua" w:hint="eastAsia"/>
          <w:b w:val="0"/>
          <w:color w:val="auto"/>
          <w:sz w:val="24"/>
          <w:szCs w:val="24"/>
          <w:lang w:val="en-US" w:eastAsia="zh-CN"/>
        </w:rPr>
        <w:t>:</w:t>
      </w:r>
      <w:r>
        <w:rPr>
          <w:rFonts w:ascii="Book Antiqua" w:eastAsia="SimSun" w:hAnsi="Book Antiqua" w:hint="eastAsia"/>
          <w:color w:val="auto"/>
          <w:sz w:val="24"/>
          <w:szCs w:val="24"/>
          <w:lang w:val="en-US" w:eastAsia="zh-CN"/>
        </w:rPr>
        <w:t xml:space="preserve"> </w:t>
      </w:r>
      <w:r w:rsidR="00C350A6" w:rsidRPr="006479DA">
        <w:rPr>
          <w:rFonts w:ascii="Book Antiqua" w:hAnsi="Book Antiqua"/>
          <w:b w:val="0"/>
          <w:color w:val="auto"/>
          <w:sz w:val="24"/>
          <w:szCs w:val="24"/>
          <w:lang w:val="en-US"/>
        </w:rPr>
        <w:t>Boxplots (</w:t>
      </w:r>
      <w:r w:rsidR="005A0E74" w:rsidRPr="006479DA">
        <w:rPr>
          <w:rFonts w:ascii="Book Antiqua" w:hAnsi="Book Antiqua"/>
          <w:b w:val="0"/>
          <w:color w:val="auto"/>
          <w:sz w:val="24"/>
          <w:szCs w:val="24"/>
          <w:lang w:val="en-US"/>
        </w:rPr>
        <w:t xml:space="preserve">according to </w:t>
      </w:r>
      <w:r w:rsidR="00C350A6" w:rsidRPr="006479DA">
        <w:rPr>
          <w:rFonts w:ascii="Book Antiqua" w:hAnsi="Book Antiqua"/>
          <w:b w:val="0"/>
          <w:color w:val="auto"/>
          <w:sz w:val="24"/>
          <w:szCs w:val="24"/>
          <w:lang w:val="en-US"/>
        </w:rPr>
        <w:t>Tukey</w:t>
      </w:r>
      <w:r w:rsidR="005A0E74" w:rsidRPr="006479DA">
        <w:rPr>
          <w:rFonts w:ascii="Book Antiqua" w:hAnsi="Book Antiqua"/>
          <w:b w:val="0"/>
          <w:color w:val="auto"/>
          <w:sz w:val="24"/>
          <w:szCs w:val="24"/>
          <w:lang w:val="en-US"/>
        </w:rPr>
        <w:t>’s definition</w:t>
      </w:r>
      <w:r w:rsidR="00C350A6" w:rsidRPr="006479DA">
        <w:rPr>
          <w:rFonts w:ascii="Book Antiqua" w:hAnsi="Book Antiqua"/>
          <w:b w:val="0"/>
          <w:color w:val="auto"/>
          <w:sz w:val="24"/>
          <w:szCs w:val="24"/>
          <w:lang w:val="en-US"/>
        </w:rPr>
        <w:t xml:space="preserve"> with outliers) </w:t>
      </w:r>
      <w:r w:rsidR="00987F5A" w:rsidRPr="006479DA">
        <w:rPr>
          <w:rFonts w:ascii="Book Antiqua" w:hAnsi="Book Antiqua"/>
          <w:b w:val="0"/>
          <w:color w:val="auto"/>
          <w:sz w:val="24"/>
          <w:szCs w:val="24"/>
          <w:lang w:val="en-US"/>
        </w:rPr>
        <w:t>of</w:t>
      </w:r>
      <w:r w:rsidR="00464C0D" w:rsidRPr="006479DA">
        <w:rPr>
          <w:rFonts w:ascii="Book Antiqua" w:hAnsi="Book Antiqua"/>
          <w:b w:val="0"/>
          <w:color w:val="auto"/>
          <w:sz w:val="24"/>
          <w:szCs w:val="24"/>
          <w:lang w:val="en-US"/>
        </w:rPr>
        <w:t xml:space="preserve"> the intestinal permeability (</w:t>
      </w:r>
      <w:r w:rsidR="00987F5A" w:rsidRPr="006479DA">
        <w:rPr>
          <w:rFonts w:ascii="Book Antiqua" w:hAnsi="Book Antiqua"/>
          <w:b w:val="0"/>
          <w:color w:val="auto"/>
          <w:sz w:val="24"/>
          <w:szCs w:val="24"/>
          <w:lang w:val="en-US"/>
        </w:rPr>
        <w:t>IP</w:t>
      </w:r>
      <w:r w:rsidR="00464C0D" w:rsidRPr="006479DA">
        <w:rPr>
          <w:rFonts w:ascii="Book Antiqua" w:hAnsi="Book Antiqua"/>
          <w:b w:val="0"/>
          <w:color w:val="auto"/>
          <w:sz w:val="24"/>
          <w:szCs w:val="24"/>
          <w:lang w:val="en-US"/>
        </w:rPr>
        <w:t>)</w:t>
      </w:r>
      <w:r w:rsidR="00987F5A" w:rsidRPr="006479DA">
        <w:rPr>
          <w:rFonts w:ascii="Book Antiqua" w:hAnsi="Book Antiqua"/>
          <w:b w:val="0"/>
          <w:color w:val="auto"/>
          <w:sz w:val="24"/>
          <w:szCs w:val="24"/>
          <w:lang w:val="en-US"/>
        </w:rPr>
        <w:t xml:space="preserve"> index </w:t>
      </w:r>
      <w:r w:rsidR="00C350A6" w:rsidRPr="006479DA">
        <w:rPr>
          <w:rFonts w:ascii="Book Antiqua" w:hAnsi="Book Antiqua"/>
          <w:b w:val="0"/>
          <w:color w:val="auto"/>
          <w:sz w:val="24"/>
          <w:szCs w:val="24"/>
          <w:lang w:val="en-US"/>
        </w:rPr>
        <w:t xml:space="preserve">as determined by </w:t>
      </w:r>
      <w:r w:rsidR="00464C0D" w:rsidRPr="006479DA">
        <w:rPr>
          <w:rFonts w:ascii="Book Antiqua" w:hAnsi="Book Antiqua"/>
          <w:b w:val="0"/>
          <w:color w:val="auto"/>
          <w:sz w:val="24"/>
          <w:szCs w:val="24"/>
          <w:lang w:val="en-US"/>
        </w:rPr>
        <w:t>the</w:t>
      </w:r>
      <w:r w:rsidR="00F5592E" w:rsidRPr="006479DA">
        <w:rPr>
          <w:rFonts w:ascii="Book Antiqua" w:hAnsi="Book Antiqua"/>
          <w:b w:val="0"/>
          <w:color w:val="auto"/>
          <w:sz w:val="24"/>
          <w:szCs w:val="24"/>
          <w:lang w:val="en-US"/>
        </w:rPr>
        <w:t xml:space="preserve"> </w:t>
      </w:r>
      <w:r w:rsidR="00C350A6" w:rsidRPr="006479DA">
        <w:rPr>
          <w:rFonts w:ascii="Book Antiqua" w:hAnsi="Book Antiqua"/>
          <w:b w:val="0"/>
          <w:color w:val="auto"/>
          <w:sz w:val="24"/>
          <w:szCs w:val="24"/>
          <w:lang w:val="en-US"/>
        </w:rPr>
        <w:t xml:space="preserve">lactulose/mannitol ratio </w:t>
      </w:r>
      <w:r w:rsidR="00987F5A" w:rsidRPr="006479DA">
        <w:rPr>
          <w:rFonts w:ascii="Book Antiqua" w:hAnsi="Book Antiqua"/>
          <w:b w:val="0"/>
          <w:color w:val="auto"/>
          <w:sz w:val="24"/>
          <w:szCs w:val="24"/>
          <w:lang w:val="en-US"/>
        </w:rPr>
        <w:t>in healthy controls and</w:t>
      </w:r>
      <w:r w:rsidR="00C350A6" w:rsidRPr="006479DA">
        <w:rPr>
          <w:rFonts w:ascii="Book Antiqua" w:hAnsi="Book Antiqua"/>
          <w:b w:val="0"/>
          <w:color w:val="auto"/>
          <w:sz w:val="24"/>
          <w:szCs w:val="24"/>
          <w:lang w:val="en-US"/>
        </w:rPr>
        <w:t xml:space="preserve"> in</w:t>
      </w:r>
      <w:r w:rsidR="00987F5A" w:rsidRPr="006479DA">
        <w:rPr>
          <w:rFonts w:ascii="Book Antiqua" w:hAnsi="Book Antiqua"/>
          <w:b w:val="0"/>
          <w:color w:val="auto"/>
          <w:sz w:val="24"/>
          <w:szCs w:val="24"/>
          <w:lang w:val="en-US"/>
        </w:rPr>
        <w:t xml:space="preserve"> patients with </w:t>
      </w:r>
      <w:r w:rsidR="00C350A6" w:rsidRPr="006479DA">
        <w:rPr>
          <w:rFonts w:ascii="Book Antiqua" w:hAnsi="Book Antiqua"/>
          <w:b w:val="0"/>
          <w:color w:val="auto"/>
          <w:sz w:val="24"/>
          <w:szCs w:val="24"/>
          <w:lang w:val="en-US"/>
        </w:rPr>
        <w:t xml:space="preserve">cirrhosis stratified for </w:t>
      </w:r>
      <w:r w:rsidR="00987F5A" w:rsidRPr="006479DA">
        <w:rPr>
          <w:rFonts w:ascii="Book Antiqua" w:hAnsi="Book Antiqua"/>
          <w:b w:val="0"/>
          <w:color w:val="auto"/>
          <w:sz w:val="24"/>
          <w:szCs w:val="24"/>
          <w:lang w:val="en-US"/>
        </w:rPr>
        <w:t xml:space="preserve">Child-Pugh stage. </w:t>
      </w:r>
      <w:r w:rsidR="00987F5A" w:rsidRPr="00122E74">
        <w:rPr>
          <w:rFonts w:ascii="Book Antiqua" w:hAnsi="Book Antiqua"/>
          <w:b w:val="0"/>
          <w:color w:val="auto"/>
          <w:sz w:val="24"/>
          <w:szCs w:val="24"/>
          <w:lang w:val="en-US"/>
        </w:rPr>
        <w:t>B</w:t>
      </w:r>
      <w:r w:rsidRPr="00122E74">
        <w:rPr>
          <w:rFonts w:ascii="Book Antiqua" w:eastAsia="SimSun" w:hAnsi="Book Antiqua" w:hint="eastAsia"/>
          <w:b w:val="0"/>
          <w:color w:val="auto"/>
          <w:sz w:val="24"/>
          <w:szCs w:val="24"/>
          <w:lang w:val="en-US" w:eastAsia="zh-CN"/>
        </w:rPr>
        <w:t>:</w:t>
      </w:r>
      <w:r>
        <w:rPr>
          <w:rFonts w:ascii="Book Antiqua" w:eastAsia="SimSun" w:hAnsi="Book Antiqua" w:hint="eastAsia"/>
          <w:b w:val="0"/>
          <w:color w:val="auto"/>
          <w:sz w:val="24"/>
          <w:szCs w:val="24"/>
          <w:lang w:val="en-US" w:eastAsia="zh-CN"/>
        </w:rPr>
        <w:t xml:space="preserve"> </w:t>
      </w:r>
      <w:r w:rsidR="00C350A6" w:rsidRPr="006479DA">
        <w:rPr>
          <w:rFonts w:ascii="Book Antiqua" w:hAnsi="Book Antiqua"/>
          <w:b w:val="0"/>
          <w:color w:val="auto"/>
          <w:sz w:val="24"/>
          <w:szCs w:val="24"/>
          <w:lang w:val="en-US"/>
        </w:rPr>
        <w:t>Scatter dot and non-parametric correlation (Spearman’s rho and</w:t>
      </w:r>
      <w:r w:rsidR="005A0E74" w:rsidRPr="006479DA">
        <w:rPr>
          <w:rFonts w:ascii="Book Antiqua" w:hAnsi="Book Antiqua"/>
          <w:b w:val="0"/>
          <w:color w:val="auto"/>
          <w:sz w:val="24"/>
          <w:szCs w:val="24"/>
          <w:lang w:val="en-US"/>
        </w:rPr>
        <w:t xml:space="preserve"> </w:t>
      </w:r>
      <w:r w:rsidR="005A0E74" w:rsidRPr="00122E74">
        <w:rPr>
          <w:rFonts w:ascii="Book Antiqua" w:hAnsi="Book Antiqua"/>
          <w:b w:val="0"/>
          <w:i/>
          <w:caps/>
          <w:color w:val="auto"/>
          <w:sz w:val="24"/>
          <w:szCs w:val="24"/>
          <w:lang w:val="en-US"/>
        </w:rPr>
        <w:t>p</w:t>
      </w:r>
      <w:r>
        <w:rPr>
          <w:rFonts w:ascii="Book Antiqua" w:eastAsia="SimSun" w:hAnsi="Book Antiqua" w:hint="eastAsia"/>
          <w:b w:val="0"/>
          <w:color w:val="auto"/>
          <w:sz w:val="24"/>
          <w:szCs w:val="24"/>
          <w:lang w:val="en-US" w:eastAsia="zh-CN"/>
        </w:rPr>
        <w:t xml:space="preserve"> </w:t>
      </w:r>
      <w:r w:rsidR="005A0E74" w:rsidRPr="006479DA">
        <w:rPr>
          <w:rFonts w:ascii="Book Antiqua" w:hAnsi="Book Antiqua"/>
          <w:b w:val="0"/>
          <w:color w:val="auto"/>
          <w:sz w:val="24"/>
          <w:szCs w:val="24"/>
          <w:lang w:val="en-US"/>
        </w:rPr>
        <w:t>value</w:t>
      </w:r>
      <w:r w:rsidR="00C350A6" w:rsidRPr="006479DA">
        <w:rPr>
          <w:rFonts w:ascii="Book Antiqua" w:hAnsi="Book Antiqua"/>
          <w:b w:val="0"/>
          <w:color w:val="auto"/>
          <w:sz w:val="24"/>
          <w:szCs w:val="24"/>
          <w:lang w:val="en-US"/>
        </w:rPr>
        <w:t xml:space="preserve">) </w:t>
      </w:r>
      <w:r w:rsidR="00987F5A" w:rsidRPr="006479DA">
        <w:rPr>
          <w:rFonts w:ascii="Book Antiqua" w:hAnsi="Book Antiqua"/>
          <w:b w:val="0"/>
          <w:color w:val="auto"/>
          <w:sz w:val="24"/>
          <w:szCs w:val="24"/>
          <w:lang w:val="en-US"/>
        </w:rPr>
        <w:t xml:space="preserve">of IP index and MELD-Score. </w:t>
      </w:r>
    </w:p>
    <w:p w14:paraId="78B90DD8" w14:textId="77777777" w:rsidR="00122E74" w:rsidRDefault="00122E74">
      <w:pPr>
        <w:spacing w:after="0" w:line="240" w:lineRule="auto"/>
        <w:rPr>
          <w:rFonts w:ascii="Book Antiqua" w:hAnsi="Book Antiqua"/>
          <w:b/>
          <w:bCs/>
          <w:sz w:val="24"/>
          <w:szCs w:val="24"/>
          <w:lang w:val="en-US"/>
        </w:rPr>
      </w:pPr>
      <w:r>
        <w:rPr>
          <w:rFonts w:ascii="Book Antiqua" w:hAnsi="Book Antiqua"/>
          <w:sz w:val="24"/>
          <w:szCs w:val="24"/>
          <w:lang w:val="en-US"/>
        </w:rPr>
        <w:br w:type="page"/>
      </w:r>
    </w:p>
    <w:p w14:paraId="74AB0A3F" w14:textId="77E045C4" w:rsidR="008D1F0F" w:rsidRPr="006479DA" w:rsidRDefault="00740926" w:rsidP="00265BAF">
      <w:pPr>
        <w:spacing w:after="0" w:line="360" w:lineRule="auto"/>
        <w:jc w:val="both"/>
        <w:rPr>
          <w:rFonts w:ascii="Book Antiqua" w:hAnsi="Book Antiqua"/>
          <w:sz w:val="24"/>
          <w:szCs w:val="24"/>
        </w:rPr>
      </w:pPr>
      <w:r w:rsidRPr="006479DA">
        <w:rPr>
          <w:rFonts w:ascii="Book Antiqua" w:hAnsi="Book Antiqua"/>
          <w:noProof/>
          <w:sz w:val="24"/>
          <w:szCs w:val="24"/>
          <w:lang w:val="en-US" w:eastAsia="zh-CN"/>
        </w:rPr>
        <w:lastRenderedPageBreak/>
        <w:drawing>
          <wp:inline distT="0" distB="0" distL="0" distR="0" wp14:anchorId="71E15BDF" wp14:editId="230D5A63">
            <wp:extent cx="5760720" cy="1973932"/>
            <wp:effectExtent l="0" t="0" r="5080" b="7620"/>
            <wp:docPr id="2" name="Bild 1" descr="Figur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Figure 2.pd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60720" cy="1973932"/>
                    </a:xfrm>
                    <a:prstGeom prst="rect">
                      <a:avLst/>
                    </a:prstGeom>
                  </pic:spPr>
                </pic:pic>
              </a:graphicData>
            </a:graphic>
          </wp:inline>
        </w:drawing>
      </w:r>
    </w:p>
    <w:p w14:paraId="3D27B40C" w14:textId="1F771EC2" w:rsidR="00C350A6" w:rsidRPr="00122E74" w:rsidRDefault="00122E74" w:rsidP="00601325">
      <w:pPr>
        <w:pStyle w:val="Caption"/>
        <w:spacing w:after="0" w:line="360" w:lineRule="auto"/>
        <w:jc w:val="both"/>
        <w:rPr>
          <w:rFonts w:ascii="Book Antiqua" w:eastAsia="SimSun" w:hAnsi="Book Antiqua"/>
          <w:color w:val="auto"/>
          <w:sz w:val="24"/>
          <w:szCs w:val="24"/>
          <w:lang w:val="en-US" w:eastAsia="zh-CN"/>
        </w:rPr>
      </w:pPr>
      <w:r w:rsidRPr="006479DA">
        <w:rPr>
          <w:rFonts w:ascii="Book Antiqua" w:hAnsi="Book Antiqua"/>
          <w:color w:val="auto"/>
          <w:sz w:val="24"/>
          <w:szCs w:val="24"/>
          <w:lang w:val="en-US"/>
        </w:rPr>
        <w:t xml:space="preserve">Figure </w:t>
      </w:r>
      <w:r w:rsidRPr="006479DA">
        <w:rPr>
          <w:rFonts w:ascii="Book Antiqua" w:hAnsi="Book Antiqua"/>
          <w:color w:val="auto"/>
          <w:sz w:val="24"/>
          <w:szCs w:val="24"/>
        </w:rPr>
        <w:fldChar w:fldCharType="begin"/>
      </w:r>
      <w:r w:rsidRPr="006479DA">
        <w:rPr>
          <w:rFonts w:ascii="Book Antiqua" w:hAnsi="Book Antiqua"/>
          <w:color w:val="auto"/>
          <w:sz w:val="24"/>
          <w:szCs w:val="24"/>
          <w:lang w:val="en-US"/>
        </w:rPr>
        <w:instrText xml:space="preserve"> SEQ Figure \* ARABIC </w:instrText>
      </w:r>
      <w:r w:rsidRPr="006479DA">
        <w:rPr>
          <w:rFonts w:ascii="Book Antiqua" w:hAnsi="Book Antiqua"/>
          <w:color w:val="auto"/>
          <w:sz w:val="24"/>
          <w:szCs w:val="24"/>
        </w:rPr>
        <w:fldChar w:fldCharType="separate"/>
      </w:r>
      <w:r w:rsidRPr="006479DA">
        <w:rPr>
          <w:rFonts w:ascii="Book Antiqua" w:hAnsi="Book Antiqua"/>
          <w:noProof/>
          <w:color w:val="auto"/>
          <w:sz w:val="24"/>
          <w:szCs w:val="24"/>
          <w:lang w:val="en-US"/>
        </w:rPr>
        <w:t>2</w:t>
      </w:r>
      <w:r w:rsidRPr="006479DA">
        <w:rPr>
          <w:rFonts w:ascii="Book Antiqua" w:hAnsi="Book Antiqua"/>
          <w:color w:val="auto"/>
          <w:sz w:val="24"/>
          <w:szCs w:val="24"/>
        </w:rPr>
        <w:fldChar w:fldCharType="end"/>
      </w:r>
      <w:r>
        <w:rPr>
          <w:rFonts w:ascii="Book Antiqua" w:eastAsia="SimSun" w:hAnsi="Book Antiqua" w:hint="eastAsia"/>
          <w:color w:val="auto"/>
          <w:sz w:val="24"/>
          <w:szCs w:val="24"/>
          <w:lang w:val="en-US" w:eastAsia="zh-CN"/>
        </w:rPr>
        <w:t xml:space="preserve"> </w:t>
      </w:r>
      <w:r w:rsidRPr="006479DA">
        <w:rPr>
          <w:rFonts w:ascii="Book Antiqua" w:hAnsi="Book Antiqua"/>
          <w:color w:val="auto"/>
          <w:sz w:val="24"/>
          <w:szCs w:val="24"/>
          <w:lang w:val="en-US"/>
        </w:rPr>
        <w:t>Correlation of intestinal permeability index with surrogates of inflammation and enterocyte mass</w:t>
      </w:r>
      <w:r>
        <w:rPr>
          <w:rFonts w:ascii="Book Antiqua" w:eastAsia="SimSun" w:hAnsi="Book Antiqua" w:hint="eastAsia"/>
          <w:color w:val="auto"/>
          <w:sz w:val="24"/>
          <w:szCs w:val="24"/>
          <w:lang w:val="en-US" w:eastAsia="zh-CN"/>
        </w:rPr>
        <w:t xml:space="preserve">. </w:t>
      </w:r>
      <w:r w:rsidR="00C350A6" w:rsidRPr="006479DA">
        <w:rPr>
          <w:rFonts w:ascii="Book Antiqua" w:hAnsi="Book Antiqua"/>
          <w:b w:val="0"/>
          <w:color w:val="auto"/>
          <w:sz w:val="24"/>
          <w:szCs w:val="24"/>
          <w:lang w:val="en-US"/>
        </w:rPr>
        <w:t xml:space="preserve">Scatter dot </w:t>
      </w:r>
      <w:r w:rsidR="00464C0D" w:rsidRPr="006479DA">
        <w:rPr>
          <w:rFonts w:ascii="Book Antiqua" w:hAnsi="Book Antiqua"/>
          <w:b w:val="0"/>
          <w:color w:val="auto"/>
          <w:sz w:val="24"/>
          <w:szCs w:val="24"/>
          <w:lang w:val="en-US"/>
        </w:rPr>
        <w:t xml:space="preserve">plots </w:t>
      </w:r>
      <w:r w:rsidR="00C350A6" w:rsidRPr="006479DA">
        <w:rPr>
          <w:rFonts w:ascii="Book Antiqua" w:hAnsi="Book Antiqua"/>
          <w:b w:val="0"/>
          <w:color w:val="auto"/>
          <w:sz w:val="24"/>
          <w:szCs w:val="24"/>
          <w:lang w:val="en-US"/>
        </w:rPr>
        <w:t xml:space="preserve">of </w:t>
      </w:r>
      <w:r w:rsidR="00464C0D" w:rsidRPr="006479DA">
        <w:rPr>
          <w:rFonts w:ascii="Book Antiqua" w:hAnsi="Book Antiqua"/>
          <w:b w:val="0"/>
          <w:color w:val="auto"/>
          <w:sz w:val="24"/>
          <w:szCs w:val="24"/>
          <w:lang w:val="en-US"/>
        </w:rPr>
        <w:t>the intestinal permeability (</w:t>
      </w:r>
      <w:r w:rsidR="00C350A6" w:rsidRPr="006479DA">
        <w:rPr>
          <w:rFonts w:ascii="Book Antiqua" w:hAnsi="Book Antiqua"/>
          <w:b w:val="0"/>
          <w:color w:val="auto"/>
          <w:sz w:val="24"/>
          <w:szCs w:val="24"/>
          <w:lang w:val="en-US"/>
        </w:rPr>
        <w:t>IP</w:t>
      </w:r>
      <w:r w:rsidR="00464C0D" w:rsidRPr="006479DA">
        <w:rPr>
          <w:rFonts w:ascii="Book Antiqua" w:hAnsi="Book Antiqua"/>
          <w:b w:val="0"/>
          <w:color w:val="auto"/>
          <w:sz w:val="24"/>
          <w:szCs w:val="24"/>
          <w:lang w:val="en-US"/>
        </w:rPr>
        <w:t>)</w:t>
      </w:r>
      <w:r w:rsidR="00C350A6" w:rsidRPr="006479DA">
        <w:rPr>
          <w:rFonts w:ascii="Book Antiqua" w:hAnsi="Book Antiqua"/>
          <w:b w:val="0"/>
          <w:color w:val="auto"/>
          <w:sz w:val="24"/>
          <w:szCs w:val="24"/>
          <w:lang w:val="en-US"/>
        </w:rPr>
        <w:t xml:space="preserve"> index in cirrhotic patients with serum concentrations </w:t>
      </w:r>
      <w:r w:rsidR="00C350A6" w:rsidRPr="00122E74">
        <w:rPr>
          <w:rFonts w:ascii="Book Antiqua" w:hAnsi="Book Antiqua"/>
          <w:b w:val="0"/>
          <w:color w:val="auto"/>
          <w:sz w:val="24"/>
          <w:szCs w:val="24"/>
          <w:lang w:val="en-US"/>
        </w:rPr>
        <w:t>of (A) lipopolysaccharide-binding protein (LBP), (B) Interleukin-6 (IL-6)</w:t>
      </w:r>
      <w:r w:rsidRPr="00122E74">
        <w:rPr>
          <w:rFonts w:ascii="Book Antiqua" w:eastAsia="SimSun" w:hAnsi="Book Antiqua" w:hint="eastAsia"/>
          <w:b w:val="0"/>
          <w:color w:val="auto"/>
          <w:sz w:val="24"/>
          <w:szCs w:val="24"/>
          <w:lang w:val="en-US" w:eastAsia="zh-CN"/>
        </w:rPr>
        <w:t xml:space="preserve"> and </w:t>
      </w:r>
      <w:r w:rsidR="00C350A6" w:rsidRPr="00122E74">
        <w:rPr>
          <w:rFonts w:ascii="Book Antiqua" w:hAnsi="Book Antiqua"/>
          <w:b w:val="0"/>
          <w:color w:val="auto"/>
          <w:sz w:val="24"/>
          <w:szCs w:val="24"/>
          <w:lang w:val="en-US"/>
        </w:rPr>
        <w:t>(C) intestin</w:t>
      </w:r>
      <w:r w:rsidR="00C350A6" w:rsidRPr="006479DA">
        <w:rPr>
          <w:rFonts w:ascii="Book Antiqua" w:hAnsi="Book Antiqua"/>
          <w:b w:val="0"/>
          <w:color w:val="auto"/>
          <w:sz w:val="24"/>
          <w:szCs w:val="24"/>
          <w:lang w:val="en-US"/>
        </w:rPr>
        <w:t>al fatty acid binding protein (I-FABP)</w:t>
      </w:r>
      <w:r w:rsidR="00F62957" w:rsidRPr="006479DA">
        <w:rPr>
          <w:rFonts w:ascii="Book Antiqua" w:hAnsi="Book Antiqua"/>
          <w:b w:val="0"/>
          <w:color w:val="auto"/>
          <w:sz w:val="24"/>
          <w:szCs w:val="24"/>
          <w:lang w:val="en-US"/>
        </w:rPr>
        <w:t xml:space="preserve">. </w:t>
      </w:r>
      <w:r w:rsidR="00464C0D" w:rsidRPr="006479DA">
        <w:rPr>
          <w:rFonts w:ascii="Book Antiqua" w:hAnsi="Book Antiqua"/>
          <w:b w:val="0"/>
          <w:color w:val="auto"/>
          <w:sz w:val="24"/>
          <w:szCs w:val="24"/>
          <w:lang w:val="en-US"/>
        </w:rPr>
        <w:t xml:space="preserve">Spearman’s rho and </w:t>
      </w:r>
      <w:r w:rsidR="005A0E74" w:rsidRPr="00122E74">
        <w:rPr>
          <w:rFonts w:ascii="Book Antiqua" w:hAnsi="Book Antiqua"/>
          <w:b w:val="0"/>
          <w:i/>
          <w:caps/>
          <w:color w:val="auto"/>
          <w:sz w:val="24"/>
          <w:szCs w:val="24"/>
          <w:lang w:val="en-US"/>
        </w:rPr>
        <w:t>p</w:t>
      </w:r>
      <w:r w:rsidR="005A0E74" w:rsidRPr="00122E74">
        <w:rPr>
          <w:rFonts w:ascii="Book Antiqua" w:hAnsi="Book Antiqua"/>
          <w:b w:val="0"/>
          <w:caps/>
          <w:color w:val="auto"/>
          <w:sz w:val="24"/>
          <w:szCs w:val="24"/>
          <w:lang w:val="en-US"/>
        </w:rPr>
        <w:t xml:space="preserve"> </w:t>
      </w:r>
      <w:r w:rsidR="005A0E74" w:rsidRPr="006479DA">
        <w:rPr>
          <w:rFonts w:ascii="Book Antiqua" w:hAnsi="Book Antiqua"/>
          <w:b w:val="0"/>
          <w:color w:val="auto"/>
          <w:sz w:val="24"/>
          <w:szCs w:val="24"/>
          <w:lang w:val="en-US"/>
        </w:rPr>
        <w:t>value for the</w:t>
      </w:r>
      <w:r w:rsidR="00464C0D" w:rsidRPr="006479DA">
        <w:rPr>
          <w:rFonts w:ascii="Book Antiqua" w:hAnsi="Book Antiqua"/>
          <w:b w:val="0"/>
          <w:color w:val="auto"/>
          <w:sz w:val="24"/>
          <w:szCs w:val="24"/>
          <w:lang w:val="en-US"/>
        </w:rPr>
        <w:t xml:space="preserve"> non-parametric correlation are indicated.</w:t>
      </w:r>
    </w:p>
    <w:p w14:paraId="354284A2" w14:textId="77777777" w:rsidR="00995544" w:rsidRPr="006479DA" w:rsidRDefault="00995544" w:rsidP="00265BAF">
      <w:pPr>
        <w:spacing w:after="0" w:line="360" w:lineRule="auto"/>
        <w:jc w:val="both"/>
        <w:rPr>
          <w:rFonts w:ascii="Book Antiqua" w:hAnsi="Book Antiqua"/>
          <w:sz w:val="24"/>
          <w:szCs w:val="24"/>
        </w:rPr>
      </w:pPr>
    </w:p>
    <w:p w14:paraId="3CC53760" w14:textId="0752813C" w:rsidR="008D1F0F" w:rsidRPr="006479DA" w:rsidRDefault="008D1F0F" w:rsidP="00265BAF">
      <w:pPr>
        <w:spacing w:after="0" w:line="360" w:lineRule="auto"/>
        <w:jc w:val="both"/>
        <w:rPr>
          <w:rFonts w:ascii="Book Antiqua" w:hAnsi="Book Antiqua"/>
          <w:b/>
          <w:bCs/>
          <w:sz w:val="24"/>
          <w:szCs w:val="24"/>
          <w:lang w:val="en-US"/>
        </w:rPr>
      </w:pPr>
      <w:r w:rsidRPr="006479DA">
        <w:rPr>
          <w:rFonts w:ascii="Book Antiqua" w:hAnsi="Book Antiqua"/>
          <w:sz w:val="24"/>
          <w:szCs w:val="24"/>
          <w:lang w:val="en-US"/>
        </w:rPr>
        <w:br w:type="page"/>
      </w:r>
    </w:p>
    <w:p w14:paraId="481A8A5F" w14:textId="77777777" w:rsidR="00601325" w:rsidRDefault="00601325" w:rsidP="00265BAF">
      <w:pPr>
        <w:autoSpaceDE w:val="0"/>
        <w:autoSpaceDN w:val="0"/>
        <w:adjustRightInd w:val="0"/>
        <w:spacing w:after="0" w:line="360" w:lineRule="auto"/>
        <w:jc w:val="both"/>
        <w:rPr>
          <w:rFonts w:ascii="Book Antiqua" w:eastAsia="SimSun" w:hAnsi="Book Antiqua"/>
          <w:sz w:val="24"/>
          <w:szCs w:val="24"/>
          <w:lang w:val="en-US" w:eastAsia="zh-CN"/>
        </w:rPr>
      </w:pPr>
    </w:p>
    <w:p w14:paraId="6BA87011" w14:textId="4FB9D703" w:rsidR="00740926" w:rsidRDefault="00740926" w:rsidP="00265BAF">
      <w:pPr>
        <w:autoSpaceDE w:val="0"/>
        <w:autoSpaceDN w:val="0"/>
        <w:adjustRightInd w:val="0"/>
        <w:spacing w:after="0" w:line="360" w:lineRule="auto"/>
        <w:jc w:val="both"/>
        <w:rPr>
          <w:rFonts w:ascii="Book Antiqua" w:eastAsia="SimSun" w:hAnsi="Book Antiqua"/>
          <w:sz w:val="24"/>
          <w:szCs w:val="24"/>
          <w:lang w:val="en-US" w:eastAsia="zh-CN"/>
        </w:rPr>
      </w:pPr>
      <w:r w:rsidRPr="006479DA">
        <w:rPr>
          <w:rFonts w:ascii="Book Antiqua" w:eastAsia="Calibri" w:hAnsi="Book Antiqua"/>
          <w:noProof/>
          <w:sz w:val="24"/>
          <w:szCs w:val="24"/>
          <w:lang w:val="en-US" w:eastAsia="zh-CN"/>
        </w:rPr>
        <w:drawing>
          <wp:inline distT="0" distB="0" distL="0" distR="0" wp14:anchorId="277A5F17" wp14:editId="00A21D62">
            <wp:extent cx="5760720" cy="2723572"/>
            <wp:effectExtent l="0" t="0" r="5080" b="0"/>
            <wp:docPr id="3" name="Bild 1" descr="Figur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Figure 3.pdf"/>
                    <pic:cNvPicPr>
                      <a:picLocks noChangeAspect="1"/>
                    </pic:cNvPicPr>
                  </pic:nvPicPr>
                  <pic:blipFill rotWithShape="1">
                    <a:blip r:embed="rId14">
                      <a:extLst>
                        <a:ext uri="{28A0092B-C50C-407E-A947-70E740481C1C}">
                          <a14:useLocalDpi xmlns:a14="http://schemas.microsoft.com/office/drawing/2010/main" val="0"/>
                        </a:ext>
                      </a:extLst>
                    </a:blip>
                    <a:srcRect l="1451" r="22031" b="48805"/>
                    <a:stretch/>
                  </pic:blipFill>
                  <pic:spPr>
                    <a:xfrm>
                      <a:off x="0" y="0"/>
                      <a:ext cx="5760720" cy="2723572"/>
                    </a:xfrm>
                    <a:prstGeom prst="rect">
                      <a:avLst/>
                    </a:prstGeom>
                  </pic:spPr>
                </pic:pic>
              </a:graphicData>
            </a:graphic>
          </wp:inline>
        </w:drawing>
      </w:r>
    </w:p>
    <w:p w14:paraId="221372D5" w14:textId="58268C35" w:rsidR="00464C0D" w:rsidRPr="00601325" w:rsidRDefault="00601325" w:rsidP="00601325">
      <w:pPr>
        <w:pStyle w:val="Caption"/>
        <w:spacing w:after="0" w:line="360" w:lineRule="auto"/>
        <w:jc w:val="both"/>
        <w:rPr>
          <w:rFonts w:ascii="Book Antiqua" w:eastAsia="SimSun" w:hAnsi="Book Antiqua"/>
          <w:b w:val="0"/>
          <w:color w:val="auto"/>
          <w:sz w:val="24"/>
          <w:szCs w:val="24"/>
          <w:lang w:val="en-US" w:eastAsia="zh-CN"/>
        </w:rPr>
      </w:pPr>
      <w:r w:rsidRPr="006479DA">
        <w:rPr>
          <w:rFonts w:ascii="Book Antiqua" w:hAnsi="Book Antiqua"/>
          <w:color w:val="auto"/>
          <w:sz w:val="24"/>
          <w:szCs w:val="24"/>
          <w:lang w:val="en-US"/>
        </w:rPr>
        <w:t>Figure 3</w:t>
      </w:r>
      <w:r>
        <w:rPr>
          <w:rFonts w:ascii="Book Antiqua" w:eastAsia="SimSun" w:hAnsi="Book Antiqua" w:hint="eastAsia"/>
          <w:color w:val="auto"/>
          <w:sz w:val="24"/>
          <w:szCs w:val="24"/>
          <w:lang w:val="en-US" w:eastAsia="zh-CN"/>
        </w:rPr>
        <w:t xml:space="preserve"> </w:t>
      </w:r>
      <w:r w:rsidRPr="006479DA">
        <w:rPr>
          <w:rFonts w:ascii="Book Antiqua" w:hAnsi="Book Antiqua"/>
          <w:color w:val="auto"/>
          <w:sz w:val="24"/>
          <w:szCs w:val="24"/>
          <w:lang w:val="en-US"/>
        </w:rPr>
        <w:t>Cumulative incidence of bacterial infections</w:t>
      </w:r>
      <w:r>
        <w:rPr>
          <w:rFonts w:ascii="Book Antiqua" w:eastAsia="SimSun" w:hAnsi="Book Antiqua" w:hint="eastAsia"/>
          <w:color w:val="auto"/>
          <w:sz w:val="24"/>
          <w:szCs w:val="24"/>
          <w:lang w:val="en-US" w:eastAsia="zh-CN"/>
        </w:rPr>
        <w:t xml:space="preserve">. </w:t>
      </w:r>
      <w:r w:rsidR="00464C0D" w:rsidRPr="00601325">
        <w:rPr>
          <w:rFonts w:ascii="Book Antiqua" w:eastAsia="Calibri" w:hAnsi="Book Antiqua"/>
          <w:b w:val="0"/>
          <w:color w:val="auto"/>
          <w:sz w:val="24"/>
          <w:szCs w:val="24"/>
          <w:lang w:val="en-US" w:eastAsia="de-DE"/>
        </w:rPr>
        <w:t>Kaplan-Meier curves displaying (A) the cumulative incidence of spontaneous bacterial peritonitis (SBP) (censored at transplant or death; event at date of SBP) and (B) the cumulative incidence of bacterial or fungal infections (censored at transplant or death; event at hospitalization with infection)</w:t>
      </w:r>
      <w:r w:rsidR="00B92695" w:rsidRPr="00601325">
        <w:rPr>
          <w:rFonts w:ascii="Book Antiqua" w:eastAsia="Calibri" w:hAnsi="Book Antiqua"/>
          <w:b w:val="0"/>
          <w:color w:val="auto"/>
          <w:sz w:val="24"/>
          <w:szCs w:val="24"/>
          <w:lang w:val="en-US" w:eastAsia="de-DE"/>
        </w:rPr>
        <w:t xml:space="preserve"> </w:t>
      </w:r>
      <w:r w:rsidR="00464C0D" w:rsidRPr="00601325">
        <w:rPr>
          <w:rFonts w:ascii="Book Antiqua" w:eastAsia="Calibri" w:hAnsi="Book Antiqua"/>
          <w:b w:val="0"/>
          <w:color w:val="auto"/>
          <w:sz w:val="24"/>
          <w:szCs w:val="24"/>
          <w:lang w:val="en-US" w:eastAsia="de-DE"/>
        </w:rPr>
        <w:t xml:space="preserve">according to </w:t>
      </w:r>
      <w:r w:rsidR="00B92695" w:rsidRPr="00601325">
        <w:rPr>
          <w:rFonts w:ascii="Book Antiqua" w:eastAsia="Calibri" w:hAnsi="Book Antiqua"/>
          <w:b w:val="0"/>
          <w:color w:val="auto"/>
          <w:sz w:val="24"/>
          <w:szCs w:val="24"/>
          <w:lang w:val="en-US" w:eastAsia="de-DE"/>
        </w:rPr>
        <w:t xml:space="preserve">the </w:t>
      </w:r>
      <w:r w:rsidR="00464C0D" w:rsidRPr="00601325">
        <w:rPr>
          <w:rFonts w:ascii="Book Antiqua" w:eastAsia="Calibri" w:hAnsi="Book Antiqua"/>
          <w:b w:val="0"/>
          <w:color w:val="auto"/>
          <w:sz w:val="24"/>
          <w:szCs w:val="24"/>
          <w:lang w:val="en-US" w:eastAsia="de-DE"/>
        </w:rPr>
        <w:t xml:space="preserve">intestinal permeability (IP) index at </w:t>
      </w:r>
      <w:r w:rsidR="00B92695" w:rsidRPr="00601325">
        <w:rPr>
          <w:rFonts w:ascii="Book Antiqua" w:eastAsia="Calibri" w:hAnsi="Book Antiqua"/>
          <w:b w:val="0"/>
          <w:color w:val="auto"/>
          <w:sz w:val="24"/>
          <w:szCs w:val="24"/>
          <w:lang w:val="en-US" w:eastAsia="de-DE"/>
        </w:rPr>
        <w:t xml:space="preserve">baseline </w:t>
      </w:r>
      <w:r w:rsidR="00464C0D" w:rsidRPr="00601325">
        <w:rPr>
          <w:rFonts w:ascii="Book Antiqua" w:eastAsia="Calibri" w:hAnsi="Book Antiqua"/>
          <w:b w:val="0"/>
          <w:color w:val="auto"/>
          <w:sz w:val="24"/>
          <w:szCs w:val="24"/>
          <w:lang w:val="en-US" w:eastAsia="de-DE"/>
        </w:rPr>
        <w:t>stratifie</w:t>
      </w:r>
      <w:r>
        <w:rPr>
          <w:rFonts w:ascii="Book Antiqua" w:eastAsia="Calibri" w:hAnsi="Book Antiqua"/>
          <w:b w:val="0"/>
          <w:color w:val="auto"/>
          <w:sz w:val="24"/>
          <w:szCs w:val="24"/>
          <w:lang w:val="en-US" w:eastAsia="de-DE"/>
        </w:rPr>
        <w:t xml:space="preserve">d by tertiles </w:t>
      </w:r>
      <w:r>
        <w:rPr>
          <w:rFonts w:ascii="Book Antiqua" w:eastAsia="SimSun" w:hAnsi="Book Antiqua" w:hint="eastAsia"/>
          <w:b w:val="0"/>
          <w:color w:val="auto"/>
          <w:sz w:val="24"/>
          <w:szCs w:val="24"/>
          <w:lang w:val="en-US" w:eastAsia="zh-CN"/>
        </w:rPr>
        <w:t>[</w:t>
      </w:r>
      <w:r w:rsidR="00464C0D" w:rsidRPr="00601325">
        <w:rPr>
          <w:rFonts w:ascii="Book Antiqua" w:eastAsia="Calibri" w:hAnsi="Book Antiqua"/>
          <w:b w:val="0"/>
          <w:color w:val="auto"/>
          <w:sz w:val="24"/>
          <w:szCs w:val="24"/>
          <w:lang w:val="en-US" w:eastAsia="de-DE"/>
        </w:rPr>
        <w:t xml:space="preserve">lowest tertile: T1 </w:t>
      </w:r>
      <w:r>
        <w:rPr>
          <w:rFonts w:ascii="Book Antiqua" w:eastAsia="SimSun" w:hAnsi="Book Antiqua" w:hint="eastAsia"/>
          <w:b w:val="0"/>
          <w:color w:val="auto"/>
          <w:sz w:val="24"/>
          <w:szCs w:val="24"/>
          <w:lang w:val="en-US" w:eastAsia="zh-CN"/>
        </w:rPr>
        <w:t>(</w:t>
      </w:r>
      <w:r w:rsidR="00464C0D" w:rsidRPr="00601325">
        <w:rPr>
          <w:rFonts w:ascii="Book Antiqua" w:eastAsia="Calibri" w:hAnsi="Book Antiqua"/>
          <w:b w:val="0"/>
          <w:color w:val="auto"/>
          <w:sz w:val="24"/>
          <w:szCs w:val="24"/>
          <w:lang w:val="en-US" w:eastAsia="de-DE"/>
        </w:rPr>
        <w:t>&lt;</w:t>
      </w:r>
      <w:r>
        <w:rPr>
          <w:rFonts w:ascii="Book Antiqua" w:eastAsia="SimSun" w:hAnsi="Book Antiqua" w:hint="eastAsia"/>
          <w:b w:val="0"/>
          <w:color w:val="auto"/>
          <w:sz w:val="24"/>
          <w:szCs w:val="24"/>
          <w:lang w:val="en-US" w:eastAsia="zh-CN"/>
        </w:rPr>
        <w:t xml:space="preserve"> </w:t>
      </w:r>
      <w:r w:rsidR="00464C0D" w:rsidRPr="00601325">
        <w:rPr>
          <w:rFonts w:ascii="Book Antiqua" w:eastAsia="Calibri" w:hAnsi="Book Antiqua"/>
          <w:b w:val="0"/>
          <w:color w:val="auto"/>
          <w:sz w:val="24"/>
          <w:szCs w:val="24"/>
          <w:lang w:val="en-US" w:eastAsia="de-DE"/>
        </w:rPr>
        <w:t>0.111</w:t>
      </w:r>
      <w:r>
        <w:rPr>
          <w:rFonts w:ascii="Book Antiqua" w:eastAsia="SimSun" w:hAnsi="Book Antiqua" w:hint="eastAsia"/>
          <w:b w:val="0"/>
          <w:color w:val="auto"/>
          <w:sz w:val="24"/>
          <w:szCs w:val="24"/>
          <w:lang w:val="en-US" w:eastAsia="zh-CN"/>
        </w:rPr>
        <w:t>)</w:t>
      </w:r>
      <w:r w:rsidR="00464C0D" w:rsidRPr="00601325">
        <w:rPr>
          <w:rFonts w:ascii="Book Antiqua" w:eastAsia="Calibri" w:hAnsi="Book Antiqua"/>
          <w:b w:val="0"/>
          <w:color w:val="auto"/>
          <w:sz w:val="24"/>
          <w:szCs w:val="24"/>
          <w:lang w:val="en-US" w:eastAsia="de-DE"/>
        </w:rPr>
        <w:t>, median tertile:</w:t>
      </w:r>
      <w:r>
        <w:rPr>
          <w:rFonts w:ascii="Book Antiqua" w:eastAsia="SimSun" w:hAnsi="Book Antiqua" w:hint="eastAsia"/>
          <w:b w:val="0"/>
          <w:color w:val="auto"/>
          <w:sz w:val="24"/>
          <w:szCs w:val="24"/>
          <w:lang w:val="en-US" w:eastAsia="zh-CN"/>
        </w:rPr>
        <w:t xml:space="preserve"> </w:t>
      </w:r>
      <w:r w:rsidR="00464C0D" w:rsidRPr="00601325">
        <w:rPr>
          <w:rFonts w:ascii="Book Antiqua" w:eastAsia="Calibri" w:hAnsi="Book Antiqua"/>
          <w:b w:val="0"/>
          <w:color w:val="auto"/>
          <w:sz w:val="24"/>
          <w:szCs w:val="24"/>
          <w:lang w:val="en-US" w:eastAsia="de-DE"/>
        </w:rPr>
        <w:t xml:space="preserve">T2 </w:t>
      </w:r>
      <w:r>
        <w:rPr>
          <w:rFonts w:ascii="Book Antiqua" w:eastAsia="SimSun" w:hAnsi="Book Antiqua" w:hint="eastAsia"/>
          <w:b w:val="0"/>
          <w:color w:val="auto"/>
          <w:sz w:val="24"/>
          <w:szCs w:val="24"/>
          <w:lang w:val="en-US" w:eastAsia="zh-CN"/>
        </w:rPr>
        <w:t>(</w:t>
      </w:r>
      <w:r w:rsidR="00464C0D" w:rsidRPr="00601325">
        <w:rPr>
          <w:rFonts w:ascii="Book Antiqua" w:eastAsia="Calibri" w:hAnsi="Book Antiqua"/>
          <w:b w:val="0"/>
          <w:color w:val="auto"/>
          <w:sz w:val="24"/>
          <w:szCs w:val="24"/>
          <w:lang w:val="en-US" w:eastAsia="de-DE"/>
        </w:rPr>
        <w:t>0.111-0.226</w:t>
      </w:r>
      <w:r>
        <w:rPr>
          <w:rFonts w:ascii="Book Antiqua" w:eastAsia="SimSun" w:hAnsi="Book Antiqua" w:hint="eastAsia"/>
          <w:b w:val="0"/>
          <w:color w:val="auto"/>
          <w:sz w:val="24"/>
          <w:szCs w:val="24"/>
          <w:lang w:val="en-US" w:eastAsia="zh-CN"/>
        </w:rPr>
        <w:t>)</w:t>
      </w:r>
      <w:r w:rsidR="00464C0D" w:rsidRPr="00601325">
        <w:rPr>
          <w:rFonts w:ascii="Book Antiqua" w:eastAsia="Calibri" w:hAnsi="Book Antiqua"/>
          <w:b w:val="0"/>
          <w:color w:val="auto"/>
          <w:sz w:val="24"/>
          <w:szCs w:val="24"/>
          <w:lang w:val="en-US" w:eastAsia="de-DE"/>
        </w:rPr>
        <w:t xml:space="preserve">, highest tertile: T3 </w:t>
      </w:r>
      <w:r>
        <w:rPr>
          <w:rFonts w:ascii="Book Antiqua" w:eastAsia="SimSun" w:hAnsi="Book Antiqua" w:hint="eastAsia"/>
          <w:b w:val="0"/>
          <w:color w:val="auto"/>
          <w:sz w:val="24"/>
          <w:szCs w:val="24"/>
          <w:lang w:val="en-US" w:eastAsia="zh-CN"/>
        </w:rPr>
        <w:t>(</w:t>
      </w:r>
      <w:r>
        <w:rPr>
          <w:rFonts w:ascii="Book Antiqua" w:eastAsia="Calibri" w:hAnsi="Book Antiqua"/>
          <w:b w:val="0"/>
          <w:color w:val="auto"/>
          <w:sz w:val="24"/>
          <w:szCs w:val="24"/>
          <w:lang w:val="en-US" w:eastAsia="de-DE"/>
        </w:rPr>
        <w:t>&gt;</w:t>
      </w:r>
      <w:r>
        <w:rPr>
          <w:rFonts w:ascii="Book Antiqua" w:eastAsia="SimSun" w:hAnsi="Book Antiqua" w:hint="eastAsia"/>
          <w:b w:val="0"/>
          <w:color w:val="auto"/>
          <w:sz w:val="24"/>
          <w:szCs w:val="24"/>
          <w:lang w:val="en-US" w:eastAsia="zh-CN"/>
        </w:rPr>
        <w:t xml:space="preserve"> </w:t>
      </w:r>
      <w:r>
        <w:rPr>
          <w:rFonts w:ascii="Book Antiqua" w:eastAsia="Calibri" w:hAnsi="Book Antiqua"/>
          <w:b w:val="0"/>
          <w:color w:val="auto"/>
          <w:sz w:val="24"/>
          <w:szCs w:val="24"/>
          <w:lang w:val="en-US" w:eastAsia="de-DE"/>
        </w:rPr>
        <w:t>0.226</w:t>
      </w:r>
      <w:r>
        <w:rPr>
          <w:rFonts w:ascii="Book Antiqua" w:eastAsia="SimSun" w:hAnsi="Book Antiqua" w:hint="eastAsia"/>
          <w:b w:val="0"/>
          <w:color w:val="auto"/>
          <w:sz w:val="24"/>
          <w:szCs w:val="24"/>
          <w:lang w:val="en-US" w:eastAsia="zh-CN"/>
        </w:rPr>
        <w:t>)]</w:t>
      </w:r>
      <w:r w:rsidR="00464C0D" w:rsidRPr="00601325">
        <w:rPr>
          <w:rFonts w:ascii="Book Antiqua" w:eastAsia="Calibri" w:hAnsi="Book Antiqua"/>
          <w:b w:val="0"/>
          <w:color w:val="auto"/>
          <w:sz w:val="24"/>
          <w:szCs w:val="24"/>
          <w:lang w:val="en-US" w:eastAsia="de-DE"/>
        </w:rPr>
        <w:t>. Log-rank test for linear trends (T1 to T3) over strata is indicated.</w:t>
      </w:r>
    </w:p>
    <w:p w14:paraId="7E99BC6A" w14:textId="3391BCD9" w:rsidR="00464C0D" w:rsidRPr="00601325" w:rsidRDefault="00464C0D" w:rsidP="00265BAF">
      <w:pPr>
        <w:spacing w:after="0" w:line="360" w:lineRule="auto"/>
        <w:jc w:val="both"/>
        <w:rPr>
          <w:rFonts w:ascii="Book Antiqua" w:eastAsia="SimSun" w:hAnsi="Book Antiqua"/>
          <w:b/>
          <w:bCs/>
          <w:sz w:val="24"/>
          <w:szCs w:val="24"/>
          <w:lang w:val="en-US" w:eastAsia="zh-CN"/>
        </w:rPr>
      </w:pPr>
    </w:p>
    <w:p w14:paraId="0EF3E3FD" w14:textId="77777777" w:rsidR="00601325" w:rsidRDefault="00601325">
      <w:pPr>
        <w:spacing w:after="0" w:line="240" w:lineRule="auto"/>
        <w:rPr>
          <w:rFonts w:ascii="Book Antiqua" w:hAnsi="Book Antiqua"/>
          <w:b/>
          <w:bCs/>
          <w:sz w:val="24"/>
          <w:szCs w:val="24"/>
          <w:lang w:val="en-US"/>
        </w:rPr>
      </w:pPr>
      <w:r>
        <w:rPr>
          <w:rFonts w:ascii="Book Antiqua" w:hAnsi="Book Antiqua"/>
          <w:sz w:val="24"/>
          <w:szCs w:val="24"/>
          <w:lang w:val="en-US"/>
        </w:rPr>
        <w:br w:type="page"/>
      </w:r>
    </w:p>
    <w:p w14:paraId="655A9655" w14:textId="6220426A" w:rsidR="00740926" w:rsidRDefault="00740926" w:rsidP="00265BAF">
      <w:pPr>
        <w:autoSpaceDE w:val="0"/>
        <w:autoSpaceDN w:val="0"/>
        <w:adjustRightInd w:val="0"/>
        <w:spacing w:after="0" w:line="360" w:lineRule="auto"/>
        <w:jc w:val="both"/>
        <w:rPr>
          <w:rFonts w:ascii="Book Antiqua" w:eastAsia="SimSun" w:hAnsi="Book Antiqua"/>
          <w:sz w:val="24"/>
          <w:szCs w:val="24"/>
          <w:lang w:val="en-US" w:eastAsia="zh-CN"/>
        </w:rPr>
      </w:pPr>
      <w:r w:rsidRPr="006479DA">
        <w:rPr>
          <w:rFonts w:ascii="Book Antiqua" w:eastAsia="Calibri" w:hAnsi="Book Antiqua"/>
          <w:noProof/>
          <w:sz w:val="24"/>
          <w:szCs w:val="24"/>
          <w:lang w:val="en-US" w:eastAsia="zh-CN"/>
        </w:rPr>
        <w:lastRenderedPageBreak/>
        <w:drawing>
          <wp:inline distT="0" distB="0" distL="0" distR="0" wp14:anchorId="0AA0C4BD" wp14:editId="2BE3A167">
            <wp:extent cx="6042077" cy="2070340"/>
            <wp:effectExtent l="0" t="0" r="0" b="0"/>
            <wp:docPr id="4" name="Bild 1" descr="Figur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Figure 4.pdf"/>
                    <pic:cNvPicPr>
                      <a:picLocks noChangeAspect="1"/>
                    </pic:cNvPicPr>
                  </pic:nvPicPr>
                  <pic:blipFill rotWithShape="1">
                    <a:blip r:embed="rId15">
                      <a:extLst>
                        <a:ext uri="{28A0092B-C50C-407E-A947-70E740481C1C}">
                          <a14:useLocalDpi xmlns:a14="http://schemas.microsoft.com/office/drawing/2010/main" val="0"/>
                        </a:ext>
                      </a:extLst>
                    </a:blip>
                    <a:srcRect l="1451" b="52200"/>
                    <a:stretch/>
                  </pic:blipFill>
                  <pic:spPr>
                    <a:xfrm>
                      <a:off x="0" y="0"/>
                      <a:ext cx="6040268" cy="2069720"/>
                    </a:xfrm>
                    <a:prstGeom prst="rect">
                      <a:avLst/>
                    </a:prstGeom>
                  </pic:spPr>
                </pic:pic>
              </a:graphicData>
            </a:graphic>
          </wp:inline>
        </w:drawing>
      </w:r>
    </w:p>
    <w:p w14:paraId="06D7B54B" w14:textId="5A8995B0" w:rsidR="00387E49" w:rsidRPr="00601325" w:rsidRDefault="00601325" w:rsidP="00601325">
      <w:pPr>
        <w:pStyle w:val="Caption"/>
        <w:spacing w:after="0" w:line="360" w:lineRule="auto"/>
        <w:jc w:val="both"/>
        <w:rPr>
          <w:rFonts w:ascii="Book Antiqua" w:hAnsi="Book Antiqua"/>
          <w:b w:val="0"/>
          <w:color w:val="auto"/>
          <w:sz w:val="24"/>
          <w:szCs w:val="24"/>
          <w:lang w:val="en-US"/>
        </w:rPr>
      </w:pPr>
      <w:r w:rsidRPr="006479DA">
        <w:rPr>
          <w:rFonts w:ascii="Book Antiqua" w:hAnsi="Book Antiqua"/>
          <w:color w:val="auto"/>
          <w:sz w:val="24"/>
          <w:szCs w:val="24"/>
          <w:lang w:val="en-US"/>
        </w:rPr>
        <w:t>Figure 4</w:t>
      </w:r>
      <w:r>
        <w:rPr>
          <w:rFonts w:ascii="Book Antiqua" w:eastAsia="SimSun" w:hAnsi="Book Antiqua" w:hint="eastAsia"/>
          <w:color w:val="auto"/>
          <w:sz w:val="24"/>
          <w:szCs w:val="24"/>
          <w:lang w:val="en-US" w:eastAsia="zh-CN"/>
        </w:rPr>
        <w:t xml:space="preserve"> </w:t>
      </w:r>
      <w:r w:rsidRPr="006479DA">
        <w:rPr>
          <w:rFonts w:ascii="Book Antiqua" w:hAnsi="Book Antiqua"/>
          <w:color w:val="auto"/>
          <w:sz w:val="24"/>
          <w:szCs w:val="24"/>
          <w:lang w:val="en-US"/>
        </w:rPr>
        <w:t>Survival and event-free survival</w:t>
      </w:r>
      <w:r>
        <w:rPr>
          <w:rFonts w:ascii="Book Antiqua" w:eastAsia="SimSun" w:hAnsi="Book Antiqua" w:hint="eastAsia"/>
          <w:color w:val="auto"/>
          <w:sz w:val="24"/>
          <w:szCs w:val="24"/>
          <w:lang w:val="en-US" w:eastAsia="zh-CN"/>
        </w:rPr>
        <w:t xml:space="preserve">. </w:t>
      </w:r>
      <w:r w:rsidR="00A8265D" w:rsidRPr="00601325">
        <w:rPr>
          <w:rFonts w:ascii="Book Antiqua" w:eastAsia="Calibri" w:hAnsi="Book Antiqua"/>
          <w:b w:val="0"/>
          <w:color w:val="auto"/>
          <w:sz w:val="24"/>
          <w:szCs w:val="24"/>
          <w:lang w:val="en-US" w:eastAsia="de-DE"/>
        </w:rPr>
        <w:t>Kaplan-Meier curves of (A) cumulative survival</w:t>
      </w:r>
      <w:r w:rsidR="00850451" w:rsidRPr="00601325">
        <w:rPr>
          <w:rFonts w:ascii="Book Antiqua" w:eastAsia="Calibri" w:hAnsi="Book Antiqua"/>
          <w:b w:val="0"/>
          <w:color w:val="auto"/>
          <w:sz w:val="24"/>
          <w:szCs w:val="24"/>
          <w:lang w:val="en-US" w:eastAsia="de-DE"/>
        </w:rPr>
        <w:t xml:space="preserve"> (censored at transplant</w:t>
      </w:r>
      <w:r w:rsidR="00464C0D" w:rsidRPr="00601325">
        <w:rPr>
          <w:rFonts w:ascii="Book Antiqua" w:eastAsia="Calibri" w:hAnsi="Book Antiqua"/>
          <w:b w:val="0"/>
          <w:color w:val="auto"/>
          <w:sz w:val="24"/>
          <w:szCs w:val="24"/>
          <w:lang w:val="en-US" w:eastAsia="de-DE"/>
        </w:rPr>
        <w:t>; event at death</w:t>
      </w:r>
      <w:r w:rsidR="00850451" w:rsidRPr="00601325">
        <w:rPr>
          <w:rFonts w:ascii="Book Antiqua" w:eastAsia="Calibri" w:hAnsi="Book Antiqua"/>
          <w:b w:val="0"/>
          <w:color w:val="auto"/>
          <w:sz w:val="24"/>
          <w:szCs w:val="24"/>
          <w:lang w:val="en-US" w:eastAsia="de-DE"/>
        </w:rPr>
        <w:t>)</w:t>
      </w:r>
      <w:r w:rsidR="00A8265D" w:rsidRPr="00601325">
        <w:rPr>
          <w:rFonts w:ascii="Book Antiqua" w:eastAsia="Calibri" w:hAnsi="Book Antiqua"/>
          <w:b w:val="0"/>
          <w:color w:val="auto"/>
          <w:sz w:val="24"/>
          <w:szCs w:val="24"/>
          <w:lang w:val="en-US" w:eastAsia="de-DE"/>
        </w:rPr>
        <w:t>, (B) transplant-free survival</w:t>
      </w:r>
      <w:r w:rsidR="00464C0D" w:rsidRPr="00601325">
        <w:rPr>
          <w:rFonts w:ascii="Book Antiqua" w:eastAsia="Calibri" w:hAnsi="Book Antiqua"/>
          <w:b w:val="0"/>
          <w:color w:val="auto"/>
          <w:sz w:val="24"/>
          <w:szCs w:val="24"/>
          <w:lang w:val="en-US" w:eastAsia="de-DE"/>
        </w:rPr>
        <w:t xml:space="preserve"> (events at death or transplants) and</w:t>
      </w:r>
      <w:r w:rsidR="00A8265D" w:rsidRPr="00601325">
        <w:rPr>
          <w:rFonts w:ascii="Book Antiqua" w:eastAsia="Calibri" w:hAnsi="Book Antiqua"/>
          <w:b w:val="0"/>
          <w:color w:val="auto"/>
          <w:sz w:val="24"/>
          <w:szCs w:val="24"/>
          <w:lang w:val="en-US" w:eastAsia="de-DE"/>
        </w:rPr>
        <w:t xml:space="preserve"> (C) infection-free survival </w:t>
      </w:r>
      <w:r w:rsidR="00850451" w:rsidRPr="00601325">
        <w:rPr>
          <w:rFonts w:ascii="Book Antiqua" w:eastAsia="Calibri" w:hAnsi="Book Antiqua"/>
          <w:b w:val="0"/>
          <w:color w:val="auto"/>
          <w:sz w:val="24"/>
          <w:szCs w:val="24"/>
          <w:lang w:val="en-US" w:eastAsia="de-DE"/>
        </w:rPr>
        <w:t>(censored at transplant</w:t>
      </w:r>
      <w:r w:rsidR="00464C0D" w:rsidRPr="00601325">
        <w:rPr>
          <w:rFonts w:ascii="Book Antiqua" w:eastAsia="Calibri" w:hAnsi="Book Antiqua"/>
          <w:b w:val="0"/>
          <w:color w:val="auto"/>
          <w:sz w:val="24"/>
          <w:szCs w:val="24"/>
          <w:lang w:val="en-US" w:eastAsia="de-DE"/>
        </w:rPr>
        <w:t xml:space="preserve">; events at hospitalization </w:t>
      </w:r>
      <w:r w:rsidR="00B92695" w:rsidRPr="00601325">
        <w:rPr>
          <w:rFonts w:ascii="Book Antiqua" w:eastAsia="Calibri" w:hAnsi="Book Antiqua"/>
          <w:b w:val="0"/>
          <w:color w:val="auto"/>
          <w:sz w:val="24"/>
          <w:szCs w:val="24"/>
          <w:lang w:val="en-US" w:eastAsia="de-DE"/>
        </w:rPr>
        <w:t>with</w:t>
      </w:r>
      <w:r w:rsidR="00464C0D" w:rsidRPr="00601325">
        <w:rPr>
          <w:rFonts w:ascii="Book Antiqua" w:eastAsia="Calibri" w:hAnsi="Book Antiqua"/>
          <w:b w:val="0"/>
          <w:color w:val="auto"/>
          <w:sz w:val="24"/>
          <w:szCs w:val="24"/>
          <w:lang w:val="en-US" w:eastAsia="de-DE"/>
        </w:rPr>
        <w:t xml:space="preserve"> infection or death) </w:t>
      </w:r>
      <w:r w:rsidR="00A8265D" w:rsidRPr="00601325">
        <w:rPr>
          <w:rFonts w:ascii="Book Antiqua" w:eastAsia="Calibri" w:hAnsi="Book Antiqua"/>
          <w:b w:val="0"/>
          <w:color w:val="auto"/>
          <w:sz w:val="24"/>
          <w:szCs w:val="24"/>
          <w:lang w:val="en-US" w:eastAsia="de-DE"/>
        </w:rPr>
        <w:t xml:space="preserve">according to </w:t>
      </w:r>
      <w:r w:rsidR="00464C0D" w:rsidRPr="00601325">
        <w:rPr>
          <w:rFonts w:ascii="Book Antiqua" w:eastAsia="Calibri" w:hAnsi="Book Antiqua"/>
          <w:b w:val="0"/>
          <w:color w:val="auto"/>
          <w:sz w:val="24"/>
          <w:szCs w:val="24"/>
          <w:lang w:val="en-US" w:eastAsia="de-DE"/>
        </w:rPr>
        <w:t xml:space="preserve">intestinal permeability (IP) index at </w:t>
      </w:r>
      <w:r w:rsidR="00B92695" w:rsidRPr="00601325">
        <w:rPr>
          <w:rFonts w:ascii="Book Antiqua" w:eastAsia="Calibri" w:hAnsi="Book Antiqua"/>
          <w:b w:val="0"/>
          <w:color w:val="auto"/>
          <w:sz w:val="24"/>
          <w:szCs w:val="24"/>
          <w:lang w:val="en-US" w:eastAsia="de-DE"/>
        </w:rPr>
        <w:t xml:space="preserve">baseline </w:t>
      </w:r>
      <w:r w:rsidR="00A8265D" w:rsidRPr="00601325">
        <w:rPr>
          <w:rFonts w:ascii="Book Antiqua" w:eastAsia="Calibri" w:hAnsi="Book Antiqua"/>
          <w:b w:val="0"/>
          <w:color w:val="auto"/>
          <w:sz w:val="24"/>
          <w:szCs w:val="24"/>
          <w:lang w:val="en-US" w:eastAsia="de-DE"/>
        </w:rPr>
        <w:t xml:space="preserve">stratified by tertiles </w:t>
      </w:r>
      <w:r>
        <w:rPr>
          <w:rFonts w:ascii="Book Antiqua" w:eastAsia="SimSun" w:hAnsi="Book Antiqua" w:hint="eastAsia"/>
          <w:b w:val="0"/>
          <w:color w:val="auto"/>
          <w:sz w:val="24"/>
          <w:szCs w:val="24"/>
          <w:lang w:val="en-US" w:eastAsia="zh-CN"/>
        </w:rPr>
        <w:t>[</w:t>
      </w:r>
      <w:r w:rsidR="00A8265D" w:rsidRPr="00601325">
        <w:rPr>
          <w:rFonts w:ascii="Book Antiqua" w:eastAsia="Calibri" w:hAnsi="Book Antiqua"/>
          <w:b w:val="0"/>
          <w:color w:val="auto"/>
          <w:sz w:val="24"/>
          <w:szCs w:val="24"/>
          <w:lang w:val="en-US" w:eastAsia="de-DE"/>
        </w:rPr>
        <w:t xml:space="preserve">lowest tertile: T1 </w:t>
      </w:r>
      <w:r>
        <w:rPr>
          <w:rFonts w:ascii="Book Antiqua" w:eastAsia="SimSun" w:hAnsi="Book Antiqua" w:hint="eastAsia"/>
          <w:b w:val="0"/>
          <w:color w:val="auto"/>
          <w:sz w:val="24"/>
          <w:szCs w:val="24"/>
          <w:lang w:val="en-US" w:eastAsia="zh-CN"/>
        </w:rPr>
        <w:t>(</w:t>
      </w:r>
      <w:r>
        <w:rPr>
          <w:rFonts w:ascii="Book Antiqua" w:eastAsia="Calibri" w:hAnsi="Book Antiqua"/>
          <w:b w:val="0"/>
          <w:color w:val="auto"/>
          <w:sz w:val="24"/>
          <w:szCs w:val="24"/>
          <w:lang w:val="en-US" w:eastAsia="de-DE"/>
        </w:rPr>
        <w:t>&lt;</w:t>
      </w:r>
      <w:r>
        <w:rPr>
          <w:rFonts w:ascii="Book Antiqua" w:eastAsia="SimSun" w:hAnsi="Book Antiqua" w:hint="eastAsia"/>
          <w:b w:val="0"/>
          <w:color w:val="auto"/>
          <w:sz w:val="24"/>
          <w:szCs w:val="24"/>
          <w:lang w:val="en-US" w:eastAsia="zh-CN"/>
        </w:rPr>
        <w:t xml:space="preserve"> </w:t>
      </w:r>
      <w:r>
        <w:rPr>
          <w:rFonts w:ascii="Book Antiqua" w:eastAsia="Calibri" w:hAnsi="Book Antiqua"/>
          <w:b w:val="0"/>
          <w:color w:val="auto"/>
          <w:sz w:val="24"/>
          <w:szCs w:val="24"/>
          <w:lang w:val="en-US" w:eastAsia="de-DE"/>
        </w:rPr>
        <w:t>0.111</w:t>
      </w:r>
      <w:r>
        <w:rPr>
          <w:rFonts w:ascii="Book Antiqua" w:eastAsia="SimSun" w:hAnsi="Book Antiqua" w:hint="eastAsia"/>
          <w:b w:val="0"/>
          <w:color w:val="auto"/>
          <w:sz w:val="24"/>
          <w:szCs w:val="24"/>
          <w:lang w:val="en-US" w:eastAsia="zh-CN"/>
        </w:rPr>
        <w:t>)</w:t>
      </w:r>
      <w:r>
        <w:rPr>
          <w:rFonts w:ascii="Book Antiqua" w:eastAsia="Calibri" w:hAnsi="Book Antiqua"/>
          <w:b w:val="0"/>
          <w:color w:val="auto"/>
          <w:sz w:val="24"/>
          <w:szCs w:val="24"/>
          <w:lang w:val="en-US" w:eastAsia="de-DE"/>
        </w:rPr>
        <w:t xml:space="preserve">, median tertile: T2 </w:t>
      </w:r>
      <w:r>
        <w:rPr>
          <w:rFonts w:ascii="Book Antiqua" w:eastAsia="SimSun" w:hAnsi="Book Antiqua" w:hint="eastAsia"/>
          <w:b w:val="0"/>
          <w:color w:val="auto"/>
          <w:sz w:val="24"/>
          <w:szCs w:val="24"/>
          <w:lang w:val="en-US" w:eastAsia="zh-CN"/>
        </w:rPr>
        <w:t>(</w:t>
      </w:r>
      <w:r>
        <w:rPr>
          <w:rFonts w:ascii="Book Antiqua" w:eastAsia="Calibri" w:hAnsi="Book Antiqua"/>
          <w:b w:val="0"/>
          <w:color w:val="auto"/>
          <w:sz w:val="24"/>
          <w:szCs w:val="24"/>
          <w:lang w:val="en-US" w:eastAsia="de-DE"/>
        </w:rPr>
        <w:t>0.111-0.226</w:t>
      </w:r>
      <w:r>
        <w:rPr>
          <w:rFonts w:ascii="Book Antiqua" w:eastAsia="SimSun" w:hAnsi="Book Antiqua" w:hint="eastAsia"/>
          <w:b w:val="0"/>
          <w:color w:val="auto"/>
          <w:sz w:val="24"/>
          <w:szCs w:val="24"/>
          <w:lang w:val="en-US" w:eastAsia="zh-CN"/>
        </w:rPr>
        <w:t>)</w:t>
      </w:r>
      <w:r>
        <w:rPr>
          <w:rFonts w:ascii="Book Antiqua" w:eastAsia="Calibri" w:hAnsi="Book Antiqua"/>
          <w:b w:val="0"/>
          <w:color w:val="auto"/>
          <w:sz w:val="24"/>
          <w:szCs w:val="24"/>
          <w:lang w:val="en-US" w:eastAsia="de-DE"/>
        </w:rPr>
        <w:t xml:space="preserve">, highest tertile: T3 </w:t>
      </w:r>
      <w:r>
        <w:rPr>
          <w:rFonts w:ascii="Book Antiqua" w:eastAsia="SimSun" w:hAnsi="Book Antiqua" w:hint="eastAsia"/>
          <w:b w:val="0"/>
          <w:color w:val="auto"/>
          <w:sz w:val="24"/>
          <w:szCs w:val="24"/>
          <w:lang w:val="en-US" w:eastAsia="zh-CN"/>
        </w:rPr>
        <w:t>(</w:t>
      </w:r>
      <w:r w:rsidR="00A8265D" w:rsidRPr="00601325">
        <w:rPr>
          <w:rFonts w:ascii="Book Antiqua" w:eastAsia="Calibri" w:hAnsi="Book Antiqua"/>
          <w:b w:val="0"/>
          <w:color w:val="auto"/>
          <w:sz w:val="24"/>
          <w:szCs w:val="24"/>
          <w:lang w:val="en-US" w:eastAsia="de-DE"/>
        </w:rPr>
        <w:t>&gt;</w:t>
      </w:r>
      <w:r>
        <w:rPr>
          <w:rFonts w:ascii="Book Antiqua" w:eastAsia="SimSun" w:hAnsi="Book Antiqua" w:hint="eastAsia"/>
          <w:b w:val="0"/>
          <w:color w:val="auto"/>
          <w:sz w:val="24"/>
          <w:szCs w:val="24"/>
          <w:lang w:val="en-US" w:eastAsia="zh-CN"/>
        </w:rPr>
        <w:t xml:space="preserve"> </w:t>
      </w:r>
      <w:r w:rsidR="00A8265D" w:rsidRPr="00601325">
        <w:rPr>
          <w:rFonts w:ascii="Book Antiqua" w:eastAsia="Calibri" w:hAnsi="Book Antiqua"/>
          <w:b w:val="0"/>
          <w:color w:val="auto"/>
          <w:sz w:val="24"/>
          <w:szCs w:val="24"/>
          <w:lang w:val="en-US" w:eastAsia="de-DE"/>
        </w:rPr>
        <w:t>0.226</w:t>
      </w:r>
      <w:r>
        <w:rPr>
          <w:rFonts w:ascii="Book Antiqua" w:eastAsia="SimSun" w:hAnsi="Book Antiqua" w:hint="eastAsia"/>
          <w:b w:val="0"/>
          <w:color w:val="auto"/>
          <w:sz w:val="24"/>
          <w:szCs w:val="24"/>
          <w:lang w:val="en-US" w:eastAsia="zh-CN"/>
        </w:rPr>
        <w:t>)</w:t>
      </w:r>
      <w:r>
        <w:rPr>
          <w:rFonts w:ascii="Book Antiqua" w:eastAsia="Calibri" w:hAnsi="Book Antiqua"/>
          <w:b w:val="0"/>
          <w:color w:val="auto"/>
          <w:sz w:val="24"/>
          <w:szCs w:val="24"/>
          <w:lang w:val="en-US" w:eastAsia="de-DE"/>
        </w:rPr>
        <w:t>]</w:t>
      </w:r>
      <w:r w:rsidR="00A8265D" w:rsidRPr="00601325">
        <w:rPr>
          <w:rFonts w:ascii="Book Antiqua" w:eastAsia="Calibri" w:hAnsi="Book Antiqua"/>
          <w:b w:val="0"/>
          <w:color w:val="auto"/>
          <w:sz w:val="24"/>
          <w:szCs w:val="24"/>
          <w:lang w:val="en-US" w:eastAsia="de-DE"/>
        </w:rPr>
        <w:t>. Log-rank test for linear trend</w:t>
      </w:r>
      <w:r w:rsidR="00464C0D" w:rsidRPr="00601325">
        <w:rPr>
          <w:rFonts w:ascii="Book Antiqua" w:eastAsia="Calibri" w:hAnsi="Book Antiqua"/>
          <w:b w:val="0"/>
          <w:color w:val="auto"/>
          <w:sz w:val="24"/>
          <w:szCs w:val="24"/>
          <w:lang w:val="en-US" w:eastAsia="de-DE"/>
        </w:rPr>
        <w:t>s (T1 to T3)</w:t>
      </w:r>
      <w:r w:rsidR="00A8265D" w:rsidRPr="00601325">
        <w:rPr>
          <w:rFonts w:ascii="Book Antiqua" w:eastAsia="Calibri" w:hAnsi="Book Antiqua"/>
          <w:b w:val="0"/>
          <w:color w:val="auto"/>
          <w:sz w:val="24"/>
          <w:szCs w:val="24"/>
          <w:lang w:val="en-US" w:eastAsia="de-DE"/>
        </w:rPr>
        <w:t xml:space="preserve"> over strata is indicated.</w:t>
      </w:r>
    </w:p>
    <w:p w14:paraId="223D1F34" w14:textId="301EBD53" w:rsidR="008D1F0F" w:rsidRPr="00601325" w:rsidRDefault="008D1F0F" w:rsidP="00265BAF">
      <w:pPr>
        <w:spacing w:after="0" w:line="360" w:lineRule="auto"/>
        <w:jc w:val="both"/>
        <w:rPr>
          <w:rFonts w:ascii="Book Antiqua" w:eastAsia="Calibri" w:hAnsi="Book Antiqua"/>
          <w:sz w:val="24"/>
          <w:szCs w:val="24"/>
          <w:lang w:val="en-US" w:eastAsia="de-DE"/>
        </w:rPr>
      </w:pPr>
    </w:p>
    <w:sectPr w:rsidR="008D1F0F" w:rsidRPr="00601325" w:rsidSect="002630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A4C46" w14:textId="77777777" w:rsidR="000F34F7" w:rsidRDefault="000F34F7" w:rsidP="00B97AF5">
      <w:pPr>
        <w:spacing w:after="0" w:line="240" w:lineRule="auto"/>
      </w:pPr>
      <w:r>
        <w:separator/>
      </w:r>
    </w:p>
  </w:endnote>
  <w:endnote w:type="continuationSeparator" w:id="0">
    <w:p w14:paraId="48D7F050" w14:textId="77777777" w:rsidR="000F34F7" w:rsidRDefault="000F34F7" w:rsidP="00B9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D202" w14:textId="77777777" w:rsidR="000F34F7" w:rsidRDefault="000F34F7" w:rsidP="00B97AF5">
      <w:pPr>
        <w:spacing w:after="0" w:line="240" w:lineRule="auto"/>
      </w:pPr>
      <w:r>
        <w:separator/>
      </w:r>
    </w:p>
  </w:footnote>
  <w:footnote w:type="continuationSeparator" w:id="0">
    <w:p w14:paraId="506B6D08" w14:textId="77777777" w:rsidR="000F34F7" w:rsidRDefault="000F34F7" w:rsidP="00B97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15612"/>
    <w:multiLevelType w:val="hybridMultilevel"/>
    <w:tmpl w:val="15C44936"/>
    <w:lvl w:ilvl="0" w:tplc="2DAC8F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0397A"/>
    <w:multiLevelType w:val="hybridMultilevel"/>
    <w:tmpl w:val="0C2C400E"/>
    <w:lvl w:ilvl="0" w:tplc="CFF8113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D63C04"/>
    <w:multiLevelType w:val="hybridMultilevel"/>
    <w:tmpl w:val="049C0DEA"/>
    <w:lvl w:ilvl="0" w:tplc="1E1C82DE">
      <w:start w:val="1"/>
      <w:numFmt w:val="bullet"/>
      <w:lvlText w:val="-"/>
      <w:lvlJc w:val="left"/>
      <w:pPr>
        <w:ind w:left="720" w:hanging="360"/>
      </w:pPr>
      <w:rPr>
        <w:rFonts w:ascii="Arial" w:eastAsia="Arial Unicode MS"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19"/>
    <w:rsid w:val="00001477"/>
    <w:rsid w:val="00002328"/>
    <w:rsid w:val="00002840"/>
    <w:rsid w:val="0000399D"/>
    <w:rsid w:val="00006A55"/>
    <w:rsid w:val="000104F3"/>
    <w:rsid w:val="00013891"/>
    <w:rsid w:val="000156B5"/>
    <w:rsid w:val="000208E3"/>
    <w:rsid w:val="00025D5C"/>
    <w:rsid w:val="00026947"/>
    <w:rsid w:val="00027773"/>
    <w:rsid w:val="0003100D"/>
    <w:rsid w:val="00033853"/>
    <w:rsid w:val="000349D6"/>
    <w:rsid w:val="0003725A"/>
    <w:rsid w:val="0004102C"/>
    <w:rsid w:val="0004107B"/>
    <w:rsid w:val="00041247"/>
    <w:rsid w:val="000426A7"/>
    <w:rsid w:val="00042990"/>
    <w:rsid w:val="00045194"/>
    <w:rsid w:val="0004592C"/>
    <w:rsid w:val="00045EC2"/>
    <w:rsid w:val="00046892"/>
    <w:rsid w:val="00046A69"/>
    <w:rsid w:val="00050107"/>
    <w:rsid w:val="00050146"/>
    <w:rsid w:val="0005060F"/>
    <w:rsid w:val="000521BB"/>
    <w:rsid w:val="000526BB"/>
    <w:rsid w:val="0005298B"/>
    <w:rsid w:val="00052B92"/>
    <w:rsid w:val="00054B63"/>
    <w:rsid w:val="00054F7A"/>
    <w:rsid w:val="000560DE"/>
    <w:rsid w:val="00056ACD"/>
    <w:rsid w:val="000621E4"/>
    <w:rsid w:val="000633F8"/>
    <w:rsid w:val="0006628F"/>
    <w:rsid w:val="00071707"/>
    <w:rsid w:val="000720FD"/>
    <w:rsid w:val="0007279D"/>
    <w:rsid w:val="00072F0F"/>
    <w:rsid w:val="000735E6"/>
    <w:rsid w:val="00074430"/>
    <w:rsid w:val="000746A2"/>
    <w:rsid w:val="00076558"/>
    <w:rsid w:val="000770BB"/>
    <w:rsid w:val="000802E0"/>
    <w:rsid w:val="00080C47"/>
    <w:rsid w:val="00083437"/>
    <w:rsid w:val="00084C29"/>
    <w:rsid w:val="0008532C"/>
    <w:rsid w:val="000862BB"/>
    <w:rsid w:val="00086BD4"/>
    <w:rsid w:val="00091116"/>
    <w:rsid w:val="0009113B"/>
    <w:rsid w:val="000961EC"/>
    <w:rsid w:val="000978F1"/>
    <w:rsid w:val="000A0888"/>
    <w:rsid w:val="000A1D36"/>
    <w:rsid w:val="000A24F7"/>
    <w:rsid w:val="000A2A13"/>
    <w:rsid w:val="000A551D"/>
    <w:rsid w:val="000A5A4E"/>
    <w:rsid w:val="000B0B9D"/>
    <w:rsid w:val="000B1033"/>
    <w:rsid w:val="000B33E5"/>
    <w:rsid w:val="000B6DA4"/>
    <w:rsid w:val="000B79DF"/>
    <w:rsid w:val="000C04C0"/>
    <w:rsid w:val="000C1EA6"/>
    <w:rsid w:val="000C3F37"/>
    <w:rsid w:val="000C4303"/>
    <w:rsid w:val="000C4A14"/>
    <w:rsid w:val="000C4E21"/>
    <w:rsid w:val="000C5C0C"/>
    <w:rsid w:val="000C619B"/>
    <w:rsid w:val="000C7713"/>
    <w:rsid w:val="000C78BB"/>
    <w:rsid w:val="000D179A"/>
    <w:rsid w:val="000D40D7"/>
    <w:rsid w:val="000D6C40"/>
    <w:rsid w:val="000D6C70"/>
    <w:rsid w:val="000E0EEE"/>
    <w:rsid w:val="000E1488"/>
    <w:rsid w:val="000E26E1"/>
    <w:rsid w:val="000E2C7C"/>
    <w:rsid w:val="000E3773"/>
    <w:rsid w:val="000E5FB7"/>
    <w:rsid w:val="000E693F"/>
    <w:rsid w:val="000F0D08"/>
    <w:rsid w:val="000F12A7"/>
    <w:rsid w:val="000F25CE"/>
    <w:rsid w:val="000F34F7"/>
    <w:rsid w:val="000F3626"/>
    <w:rsid w:val="000F443D"/>
    <w:rsid w:val="000F5000"/>
    <w:rsid w:val="000F6C78"/>
    <w:rsid w:val="0010070D"/>
    <w:rsid w:val="00103B6A"/>
    <w:rsid w:val="00103E45"/>
    <w:rsid w:val="001044A9"/>
    <w:rsid w:val="0010705A"/>
    <w:rsid w:val="00110C7D"/>
    <w:rsid w:val="001113F5"/>
    <w:rsid w:val="00111BA2"/>
    <w:rsid w:val="00112C27"/>
    <w:rsid w:val="00114226"/>
    <w:rsid w:val="00115D21"/>
    <w:rsid w:val="00116737"/>
    <w:rsid w:val="001174F9"/>
    <w:rsid w:val="00122E74"/>
    <w:rsid w:val="0012385A"/>
    <w:rsid w:val="00123D3E"/>
    <w:rsid w:val="00130AC1"/>
    <w:rsid w:val="00134EE9"/>
    <w:rsid w:val="001362BD"/>
    <w:rsid w:val="00136A50"/>
    <w:rsid w:val="00136E99"/>
    <w:rsid w:val="0014050C"/>
    <w:rsid w:val="00140ABC"/>
    <w:rsid w:val="00142D9F"/>
    <w:rsid w:val="001473DB"/>
    <w:rsid w:val="001519B0"/>
    <w:rsid w:val="0015369D"/>
    <w:rsid w:val="0016188E"/>
    <w:rsid w:val="001618C8"/>
    <w:rsid w:val="001628EB"/>
    <w:rsid w:val="00164430"/>
    <w:rsid w:val="00164B69"/>
    <w:rsid w:val="0017037D"/>
    <w:rsid w:val="0017068C"/>
    <w:rsid w:val="00170EAD"/>
    <w:rsid w:val="00171A51"/>
    <w:rsid w:val="00171ECA"/>
    <w:rsid w:val="001724C4"/>
    <w:rsid w:val="00172BE9"/>
    <w:rsid w:val="001739FB"/>
    <w:rsid w:val="00173F68"/>
    <w:rsid w:val="00175929"/>
    <w:rsid w:val="001826D7"/>
    <w:rsid w:val="00185F97"/>
    <w:rsid w:val="0018702C"/>
    <w:rsid w:val="00187903"/>
    <w:rsid w:val="001908E4"/>
    <w:rsid w:val="001923C7"/>
    <w:rsid w:val="0019330F"/>
    <w:rsid w:val="001A1F37"/>
    <w:rsid w:val="001A2817"/>
    <w:rsid w:val="001B1120"/>
    <w:rsid w:val="001B225E"/>
    <w:rsid w:val="001B42AF"/>
    <w:rsid w:val="001B575B"/>
    <w:rsid w:val="001C0397"/>
    <w:rsid w:val="001C32CB"/>
    <w:rsid w:val="001C3C01"/>
    <w:rsid w:val="001C5163"/>
    <w:rsid w:val="001C533E"/>
    <w:rsid w:val="001C5B4C"/>
    <w:rsid w:val="001C7CAE"/>
    <w:rsid w:val="001D054F"/>
    <w:rsid w:val="001D14D5"/>
    <w:rsid w:val="001D2B02"/>
    <w:rsid w:val="001D7838"/>
    <w:rsid w:val="001E038F"/>
    <w:rsid w:val="001E2DA8"/>
    <w:rsid w:val="001E58CE"/>
    <w:rsid w:val="001F33CF"/>
    <w:rsid w:val="001F4389"/>
    <w:rsid w:val="00202D3C"/>
    <w:rsid w:val="0020399B"/>
    <w:rsid w:val="00203B39"/>
    <w:rsid w:val="002045C1"/>
    <w:rsid w:val="00206583"/>
    <w:rsid w:val="002067F9"/>
    <w:rsid w:val="00212710"/>
    <w:rsid w:val="00216615"/>
    <w:rsid w:val="00216F97"/>
    <w:rsid w:val="002206BB"/>
    <w:rsid w:val="00221643"/>
    <w:rsid w:val="00226482"/>
    <w:rsid w:val="002265E1"/>
    <w:rsid w:val="00230EDE"/>
    <w:rsid w:val="00230EEB"/>
    <w:rsid w:val="00230F80"/>
    <w:rsid w:val="00231023"/>
    <w:rsid w:val="0023327D"/>
    <w:rsid w:val="002339F5"/>
    <w:rsid w:val="00233BB9"/>
    <w:rsid w:val="00235E52"/>
    <w:rsid w:val="00236196"/>
    <w:rsid w:val="002431DA"/>
    <w:rsid w:val="0024620B"/>
    <w:rsid w:val="00246A73"/>
    <w:rsid w:val="0024788B"/>
    <w:rsid w:val="00250020"/>
    <w:rsid w:val="00250289"/>
    <w:rsid w:val="00251112"/>
    <w:rsid w:val="00251796"/>
    <w:rsid w:val="00254447"/>
    <w:rsid w:val="00256013"/>
    <w:rsid w:val="002620C1"/>
    <w:rsid w:val="00263017"/>
    <w:rsid w:val="00265BAF"/>
    <w:rsid w:val="00265DDA"/>
    <w:rsid w:val="00273743"/>
    <w:rsid w:val="00274511"/>
    <w:rsid w:val="00277CE9"/>
    <w:rsid w:val="0028462A"/>
    <w:rsid w:val="00287ED5"/>
    <w:rsid w:val="0029077F"/>
    <w:rsid w:val="0029092A"/>
    <w:rsid w:val="00294A74"/>
    <w:rsid w:val="00295B8F"/>
    <w:rsid w:val="002A0A78"/>
    <w:rsid w:val="002A2ECD"/>
    <w:rsid w:val="002A3FB1"/>
    <w:rsid w:val="002A4B64"/>
    <w:rsid w:val="002A4E34"/>
    <w:rsid w:val="002A58D6"/>
    <w:rsid w:val="002A5FA3"/>
    <w:rsid w:val="002B2CA8"/>
    <w:rsid w:val="002B2E7E"/>
    <w:rsid w:val="002B54AD"/>
    <w:rsid w:val="002C443B"/>
    <w:rsid w:val="002C4519"/>
    <w:rsid w:val="002C55D4"/>
    <w:rsid w:val="002D4C9A"/>
    <w:rsid w:val="002D61F2"/>
    <w:rsid w:val="002D6425"/>
    <w:rsid w:val="002D6BB4"/>
    <w:rsid w:val="002D6C07"/>
    <w:rsid w:val="002D7B94"/>
    <w:rsid w:val="002E0430"/>
    <w:rsid w:val="002E0CFD"/>
    <w:rsid w:val="002E16B1"/>
    <w:rsid w:val="002E28ED"/>
    <w:rsid w:val="002E4EC2"/>
    <w:rsid w:val="002F18D9"/>
    <w:rsid w:val="002F3B0A"/>
    <w:rsid w:val="002F742C"/>
    <w:rsid w:val="00300DF9"/>
    <w:rsid w:val="00301CCC"/>
    <w:rsid w:val="00306F78"/>
    <w:rsid w:val="00306FD8"/>
    <w:rsid w:val="00312570"/>
    <w:rsid w:val="00314EAE"/>
    <w:rsid w:val="0031540F"/>
    <w:rsid w:val="003170BB"/>
    <w:rsid w:val="00320AC5"/>
    <w:rsid w:val="003235EE"/>
    <w:rsid w:val="003331A5"/>
    <w:rsid w:val="003348CE"/>
    <w:rsid w:val="003356F5"/>
    <w:rsid w:val="003359A9"/>
    <w:rsid w:val="00337276"/>
    <w:rsid w:val="00342459"/>
    <w:rsid w:val="00345FA4"/>
    <w:rsid w:val="00346844"/>
    <w:rsid w:val="003475ED"/>
    <w:rsid w:val="00352D9F"/>
    <w:rsid w:val="00354227"/>
    <w:rsid w:val="0035558D"/>
    <w:rsid w:val="00356E62"/>
    <w:rsid w:val="00360C30"/>
    <w:rsid w:val="00363FCF"/>
    <w:rsid w:val="003644F6"/>
    <w:rsid w:val="003645AB"/>
    <w:rsid w:val="00366D30"/>
    <w:rsid w:val="003672A3"/>
    <w:rsid w:val="00370D5A"/>
    <w:rsid w:val="00371FC6"/>
    <w:rsid w:val="0037208B"/>
    <w:rsid w:val="00372E7D"/>
    <w:rsid w:val="0037625F"/>
    <w:rsid w:val="00381D0A"/>
    <w:rsid w:val="00382CED"/>
    <w:rsid w:val="0038528C"/>
    <w:rsid w:val="00387E49"/>
    <w:rsid w:val="00390E14"/>
    <w:rsid w:val="00391046"/>
    <w:rsid w:val="003924D5"/>
    <w:rsid w:val="00396DCC"/>
    <w:rsid w:val="00397F9A"/>
    <w:rsid w:val="003A02FB"/>
    <w:rsid w:val="003A38FB"/>
    <w:rsid w:val="003A4310"/>
    <w:rsid w:val="003A721F"/>
    <w:rsid w:val="003A794A"/>
    <w:rsid w:val="003B04BB"/>
    <w:rsid w:val="003B0F3B"/>
    <w:rsid w:val="003B176C"/>
    <w:rsid w:val="003B5873"/>
    <w:rsid w:val="003B6591"/>
    <w:rsid w:val="003B665D"/>
    <w:rsid w:val="003B777E"/>
    <w:rsid w:val="003B7E76"/>
    <w:rsid w:val="003C0274"/>
    <w:rsid w:val="003C337B"/>
    <w:rsid w:val="003C4ACC"/>
    <w:rsid w:val="003C4F09"/>
    <w:rsid w:val="003C671A"/>
    <w:rsid w:val="003D1901"/>
    <w:rsid w:val="003D320F"/>
    <w:rsid w:val="003D44FC"/>
    <w:rsid w:val="003D6A46"/>
    <w:rsid w:val="003E10BA"/>
    <w:rsid w:val="003E2180"/>
    <w:rsid w:val="003E555D"/>
    <w:rsid w:val="003E6C98"/>
    <w:rsid w:val="003E73A9"/>
    <w:rsid w:val="003F299D"/>
    <w:rsid w:val="003F553F"/>
    <w:rsid w:val="003F5953"/>
    <w:rsid w:val="003F5C9A"/>
    <w:rsid w:val="003F7977"/>
    <w:rsid w:val="004006A8"/>
    <w:rsid w:val="004006CA"/>
    <w:rsid w:val="00403DDC"/>
    <w:rsid w:val="00404DAE"/>
    <w:rsid w:val="0040667B"/>
    <w:rsid w:val="00407527"/>
    <w:rsid w:val="00412232"/>
    <w:rsid w:val="0041429D"/>
    <w:rsid w:val="00422117"/>
    <w:rsid w:val="00425CC2"/>
    <w:rsid w:val="00425DB0"/>
    <w:rsid w:val="00430621"/>
    <w:rsid w:val="004325D7"/>
    <w:rsid w:val="004339B5"/>
    <w:rsid w:val="0043772F"/>
    <w:rsid w:val="0044016E"/>
    <w:rsid w:val="0044162D"/>
    <w:rsid w:val="004421CD"/>
    <w:rsid w:val="00442EE6"/>
    <w:rsid w:val="0044464D"/>
    <w:rsid w:val="0044472A"/>
    <w:rsid w:val="00445F00"/>
    <w:rsid w:val="004460A2"/>
    <w:rsid w:val="00446609"/>
    <w:rsid w:val="00450098"/>
    <w:rsid w:val="00450FC3"/>
    <w:rsid w:val="00451F35"/>
    <w:rsid w:val="00454A8A"/>
    <w:rsid w:val="004604FD"/>
    <w:rsid w:val="00464C0D"/>
    <w:rsid w:val="00464FF9"/>
    <w:rsid w:val="00465108"/>
    <w:rsid w:val="00465B03"/>
    <w:rsid w:val="00467147"/>
    <w:rsid w:val="0047034C"/>
    <w:rsid w:val="00470FF3"/>
    <w:rsid w:val="0047217C"/>
    <w:rsid w:val="004721D2"/>
    <w:rsid w:val="004721D6"/>
    <w:rsid w:val="00472357"/>
    <w:rsid w:val="0047244E"/>
    <w:rsid w:val="004744B8"/>
    <w:rsid w:val="004744E9"/>
    <w:rsid w:val="00474E50"/>
    <w:rsid w:val="0048075A"/>
    <w:rsid w:val="0048521F"/>
    <w:rsid w:val="00486134"/>
    <w:rsid w:val="004905BC"/>
    <w:rsid w:val="00491601"/>
    <w:rsid w:val="00495FBA"/>
    <w:rsid w:val="004A39F2"/>
    <w:rsid w:val="004A4427"/>
    <w:rsid w:val="004B1CD5"/>
    <w:rsid w:val="004B2497"/>
    <w:rsid w:val="004B2FBA"/>
    <w:rsid w:val="004B2FE4"/>
    <w:rsid w:val="004B357C"/>
    <w:rsid w:val="004B47F8"/>
    <w:rsid w:val="004B6C71"/>
    <w:rsid w:val="004B6CEF"/>
    <w:rsid w:val="004B710F"/>
    <w:rsid w:val="004B79BD"/>
    <w:rsid w:val="004C493A"/>
    <w:rsid w:val="004C5910"/>
    <w:rsid w:val="004C5A9F"/>
    <w:rsid w:val="004D0261"/>
    <w:rsid w:val="004D3219"/>
    <w:rsid w:val="004D68B2"/>
    <w:rsid w:val="004E1F00"/>
    <w:rsid w:val="004E2DF8"/>
    <w:rsid w:val="004E3B96"/>
    <w:rsid w:val="004F0C00"/>
    <w:rsid w:val="004F3411"/>
    <w:rsid w:val="004F4966"/>
    <w:rsid w:val="004F5420"/>
    <w:rsid w:val="004F7046"/>
    <w:rsid w:val="0050232D"/>
    <w:rsid w:val="00502FA0"/>
    <w:rsid w:val="0050334E"/>
    <w:rsid w:val="00503D51"/>
    <w:rsid w:val="00506D3E"/>
    <w:rsid w:val="005076A3"/>
    <w:rsid w:val="00510230"/>
    <w:rsid w:val="00521ED5"/>
    <w:rsid w:val="0052542A"/>
    <w:rsid w:val="00525549"/>
    <w:rsid w:val="005257ED"/>
    <w:rsid w:val="005318FA"/>
    <w:rsid w:val="00532260"/>
    <w:rsid w:val="0053479A"/>
    <w:rsid w:val="00536D44"/>
    <w:rsid w:val="00537AFC"/>
    <w:rsid w:val="0054204A"/>
    <w:rsid w:val="00542D13"/>
    <w:rsid w:val="005479E0"/>
    <w:rsid w:val="00551759"/>
    <w:rsid w:val="00552C0E"/>
    <w:rsid w:val="005534CC"/>
    <w:rsid w:val="00554649"/>
    <w:rsid w:val="00554C56"/>
    <w:rsid w:val="00557EE7"/>
    <w:rsid w:val="00560FEF"/>
    <w:rsid w:val="00561AE7"/>
    <w:rsid w:val="00563524"/>
    <w:rsid w:val="0057068B"/>
    <w:rsid w:val="00571A6C"/>
    <w:rsid w:val="00576A86"/>
    <w:rsid w:val="0058195B"/>
    <w:rsid w:val="005844C8"/>
    <w:rsid w:val="00586CEA"/>
    <w:rsid w:val="0059057A"/>
    <w:rsid w:val="00590D8E"/>
    <w:rsid w:val="005934F5"/>
    <w:rsid w:val="00594B2E"/>
    <w:rsid w:val="00595843"/>
    <w:rsid w:val="00595EB8"/>
    <w:rsid w:val="00596AA9"/>
    <w:rsid w:val="00596F84"/>
    <w:rsid w:val="005A0D49"/>
    <w:rsid w:val="005A0E74"/>
    <w:rsid w:val="005A16F4"/>
    <w:rsid w:val="005A3936"/>
    <w:rsid w:val="005B0D0E"/>
    <w:rsid w:val="005B5165"/>
    <w:rsid w:val="005B5ADB"/>
    <w:rsid w:val="005B65A5"/>
    <w:rsid w:val="005B72C2"/>
    <w:rsid w:val="005B7827"/>
    <w:rsid w:val="005B7D6D"/>
    <w:rsid w:val="005C0618"/>
    <w:rsid w:val="005C08D0"/>
    <w:rsid w:val="005C16C9"/>
    <w:rsid w:val="005C21B0"/>
    <w:rsid w:val="005C2F7F"/>
    <w:rsid w:val="005C309C"/>
    <w:rsid w:val="005C318F"/>
    <w:rsid w:val="005C36D1"/>
    <w:rsid w:val="005C55FB"/>
    <w:rsid w:val="005D11E4"/>
    <w:rsid w:val="005D3509"/>
    <w:rsid w:val="005D3527"/>
    <w:rsid w:val="005D6CE9"/>
    <w:rsid w:val="005D75BA"/>
    <w:rsid w:val="005E0933"/>
    <w:rsid w:val="005E168B"/>
    <w:rsid w:val="005E30D6"/>
    <w:rsid w:val="005E3579"/>
    <w:rsid w:val="005F0659"/>
    <w:rsid w:val="005F0907"/>
    <w:rsid w:val="005F09D4"/>
    <w:rsid w:val="005F2312"/>
    <w:rsid w:val="005F3239"/>
    <w:rsid w:val="005F4F4C"/>
    <w:rsid w:val="005F5ABD"/>
    <w:rsid w:val="005F7864"/>
    <w:rsid w:val="005F7FE5"/>
    <w:rsid w:val="006003FA"/>
    <w:rsid w:val="00601325"/>
    <w:rsid w:val="00602FC1"/>
    <w:rsid w:val="00605034"/>
    <w:rsid w:val="0060764E"/>
    <w:rsid w:val="006126AE"/>
    <w:rsid w:val="006178FD"/>
    <w:rsid w:val="00617B8C"/>
    <w:rsid w:val="0062047C"/>
    <w:rsid w:val="0062374E"/>
    <w:rsid w:val="00625C6F"/>
    <w:rsid w:val="00626EFB"/>
    <w:rsid w:val="00627F24"/>
    <w:rsid w:val="00636216"/>
    <w:rsid w:val="00642745"/>
    <w:rsid w:val="00642DA0"/>
    <w:rsid w:val="00642EB2"/>
    <w:rsid w:val="00645A67"/>
    <w:rsid w:val="006479DA"/>
    <w:rsid w:val="00647BF0"/>
    <w:rsid w:val="00654CCC"/>
    <w:rsid w:val="006615F2"/>
    <w:rsid w:val="00661B5D"/>
    <w:rsid w:val="006620EC"/>
    <w:rsid w:val="006634A0"/>
    <w:rsid w:val="00666CA1"/>
    <w:rsid w:val="0067059B"/>
    <w:rsid w:val="00671275"/>
    <w:rsid w:val="0067179D"/>
    <w:rsid w:val="0067272A"/>
    <w:rsid w:val="00674B8C"/>
    <w:rsid w:val="0068105F"/>
    <w:rsid w:val="006837FA"/>
    <w:rsid w:val="00690967"/>
    <w:rsid w:val="00691C3C"/>
    <w:rsid w:val="006922E5"/>
    <w:rsid w:val="00694433"/>
    <w:rsid w:val="00695701"/>
    <w:rsid w:val="0069571E"/>
    <w:rsid w:val="0069601F"/>
    <w:rsid w:val="00696628"/>
    <w:rsid w:val="006974F4"/>
    <w:rsid w:val="006A14DF"/>
    <w:rsid w:val="006A1BAF"/>
    <w:rsid w:val="006A2D38"/>
    <w:rsid w:val="006A2E04"/>
    <w:rsid w:val="006A4B4E"/>
    <w:rsid w:val="006A526B"/>
    <w:rsid w:val="006A5EE4"/>
    <w:rsid w:val="006A6B95"/>
    <w:rsid w:val="006A6D55"/>
    <w:rsid w:val="006A6DFA"/>
    <w:rsid w:val="006B250A"/>
    <w:rsid w:val="006B574B"/>
    <w:rsid w:val="006B599D"/>
    <w:rsid w:val="006B5C84"/>
    <w:rsid w:val="006B6FA8"/>
    <w:rsid w:val="006C1D65"/>
    <w:rsid w:val="006C22DB"/>
    <w:rsid w:val="006C6FD7"/>
    <w:rsid w:val="006D3EF4"/>
    <w:rsid w:val="006D580B"/>
    <w:rsid w:val="006D636C"/>
    <w:rsid w:val="006D6859"/>
    <w:rsid w:val="006E1DC8"/>
    <w:rsid w:val="006E328F"/>
    <w:rsid w:val="006E69F3"/>
    <w:rsid w:val="006F22A5"/>
    <w:rsid w:val="00702EEA"/>
    <w:rsid w:val="00710635"/>
    <w:rsid w:val="00715787"/>
    <w:rsid w:val="00716F57"/>
    <w:rsid w:val="00717C0E"/>
    <w:rsid w:val="007210AB"/>
    <w:rsid w:val="00721AEF"/>
    <w:rsid w:val="007262A7"/>
    <w:rsid w:val="00732B37"/>
    <w:rsid w:val="00735584"/>
    <w:rsid w:val="00735587"/>
    <w:rsid w:val="00735E52"/>
    <w:rsid w:val="00736EB1"/>
    <w:rsid w:val="00740926"/>
    <w:rsid w:val="007415DE"/>
    <w:rsid w:val="00741D1D"/>
    <w:rsid w:val="00745BAF"/>
    <w:rsid w:val="00746DD7"/>
    <w:rsid w:val="007476F3"/>
    <w:rsid w:val="00751032"/>
    <w:rsid w:val="007536F7"/>
    <w:rsid w:val="00760A7B"/>
    <w:rsid w:val="00766283"/>
    <w:rsid w:val="0076726F"/>
    <w:rsid w:val="00767EDE"/>
    <w:rsid w:val="007717CB"/>
    <w:rsid w:val="00771846"/>
    <w:rsid w:val="00774855"/>
    <w:rsid w:val="007758C7"/>
    <w:rsid w:val="007766DD"/>
    <w:rsid w:val="00780186"/>
    <w:rsid w:val="00780C9B"/>
    <w:rsid w:val="00780F6E"/>
    <w:rsid w:val="00781EB0"/>
    <w:rsid w:val="00783C2B"/>
    <w:rsid w:val="0078496F"/>
    <w:rsid w:val="00785038"/>
    <w:rsid w:val="007858C2"/>
    <w:rsid w:val="0078798A"/>
    <w:rsid w:val="007921DB"/>
    <w:rsid w:val="00797B56"/>
    <w:rsid w:val="007A11AC"/>
    <w:rsid w:val="007A548F"/>
    <w:rsid w:val="007B06A7"/>
    <w:rsid w:val="007B0C9F"/>
    <w:rsid w:val="007B586E"/>
    <w:rsid w:val="007C04D6"/>
    <w:rsid w:val="007C0CEC"/>
    <w:rsid w:val="007C166C"/>
    <w:rsid w:val="007C1970"/>
    <w:rsid w:val="007C2461"/>
    <w:rsid w:val="007C4A29"/>
    <w:rsid w:val="007C6432"/>
    <w:rsid w:val="007D1976"/>
    <w:rsid w:val="007D22FB"/>
    <w:rsid w:val="007D2A8D"/>
    <w:rsid w:val="007D313C"/>
    <w:rsid w:val="007D3C4D"/>
    <w:rsid w:val="007D4535"/>
    <w:rsid w:val="007D4F91"/>
    <w:rsid w:val="007D5B25"/>
    <w:rsid w:val="007D755B"/>
    <w:rsid w:val="007D7D41"/>
    <w:rsid w:val="007E0131"/>
    <w:rsid w:val="007E2139"/>
    <w:rsid w:val="007E24D3"/>
    <w:rsid w:val="007E2927"/>
    <w:rsid w:val="007E48E7"/>
    <w:rsid w:val="007E5798"/>
    <w:rsid w:val="007E71D5"/>
    <w:rsid w:val="007F19B0"/>
    <w:rsid w:val="007F6804"/>
    <w:rsid w:val="007F7407"/>
    <w:rsid w:val="007F7677"/>
    <w:rsid w:val="0080017E"/>
    <w:rsid w:val="00803102"/>
    <w:rsid w:val="0080427F"/>
    <w:rsid w:val="00806516"/>
    <w:rsid w:val="00807FCE"/>
    <w:rsid w:val="00810CAC"/>
    <w:rsid w:val="00811CAB"/>
    <w:rsid w:val="00812F78"/>
    <w:rsid w:val="00817A4F"/>
    <w:rsid w:val="00821DC9"/>
    <w:rsid w:val="00822BA1"/>
    <w:rsid w:val="00822C67"/>
    <w:rsid w:val="00824E7E"/>
    <w:rsid w:val="00831AEA"/>
    <w:rsid w:val="00831B88"/>
    <w:rsid w:val="00834A46"/>
    <w:rsid w:val="00835063"/>
    <w:rsid w:val="008377DC"/>
    <w:rsid w:val="0084356A"/>
    <w:rsid w:val="00843AD4"/>
    <w:rsid w:val="00844F16"/>
    <w:rsid w:val="008474CC"/>
    <w:rsid w:val="00847606"/>
    <w:rsid w:val="0084776C"/>
    <w:rsid w:val="00850451"/>
    <w:rsid w:val="008509D1"/>
    <w:rsid w:val="00854057"/>
    <w:rsid w:val="008607AD"/>
    <w:rsid w:val="008617D8"/>
    <w:rsid w:val="008630C6"/>
    <w:rsid w:val="008648B6"/>
    <w:rsid w:val="00865659"/>
    <w:rsid w:val="008658FC"/>
    <w:rsid w:val="008664DD"/>
    <w:rsid w:val="008667E5"/>
    <w:rsid w:val="00866DD7"/>
    <w:rsid w:val="00867527"/>
    <w:rsid w:val="008706AB"/>
    <w:rsid w:val="0088274C"/>
    <w:rsid w:val="00884616"/>
    <w:rsid w:val="008846F4"/>
    <w:rsid w:val="00887F00"/>
    <w:rsid w:val="00890430"/>
    <w:rsid w:val="00891583"/>
    <w:rsid w:val="00891C3A"/>
    <w:rsid w:val="00891D96"/>
    <w:rsid w:val="00891E63"/>
    <w:rsid w:val="0089460E"/>
    <w:rsid w:val="008953D6"/>
    <w:rsid w:val="00895793"/>
    <w:rsid w:val="00896C13"/>
    <w:rsid w:val="0089784E"/>
    <w:rsid w:val="008A0C78"/>
    <w:rsid w:val="008A5227"/>
    <w:rsid w:val="008A5A3F"/>
    <w:rsid w:val="008A6BF7"/>
    <w:rsid w:val="008A7C6C"/>
    <w:rsid w:val="008A7E65"/>
    <w:rsid w:val="008A7FD9"/>
    <w:rsid w:val="008B04FE"/>
    <w:rsid w:val="008B2943"/>
    <w:rsid w:val="008B5536"/>
    <w:rsid w:val="008C228F"/>
    <w:rsid w:val="008C33FB"/>
    <w:rsid w:val="008C40A5"/>
    <w:rsid w:val="008C484B"/>
    <w:rsid w:val="008C4BAD"/>
    <w:rsid w:val="008C5FB9"/>
    <w:rsid w:val="008C6AE6"/>
    <w:rsid w:val="008C6BCC"/>
    <w:rsid w:val="008D1E98"/>
    <w:rsid w:val="008D1F0F"/>
    <w:rsid w:val="008D5A63"/>
    <w:rsid w:val="008D624C"/>
    <w:rsid w:val="008D7526"/>
    <w:rsid w:val="008E108F"/>
    <w:rsid w:val="008E26EE"/>
    <w:rsid w:val="008E2B2C"/>
    <w:rsid w:val="008E326A"/>
    <w:rsid w:val="008E3FE8"/>
    <w:rsid w:val="008F3878"/>
    <w:rsid w:val="008F53CF"/>
    <w:rsid w:val="008F5A21"/>
    <w:rsid w:val="008F5AA2"/>
    <w:rsid w:val="008F6204"/>
    <w:rsid w:val="008F66A9"/>
    <w:rsid w:val="00901E72"/>
    <w:rsid w:val="00902626"/>
    <w:rsid w:val="00906B4A"/>
    <w:rsid w:val="00906C40"/>
    <w:rsid w:val="00910271"/>
    <w:rsid w:val="00915FDC"/>
    <w:rsid w:val="009231E0"/>
    <w:rsid w:val="00926EFF"/>
    <w:rsid w:val="00926FB3"/>
    <w:rsid w:val="00927647"/>
    <w:rsid w:val="0093093A"/>
    <w:rsid w:val="00931E15"/>
    <w:rsid w:val="00933084"/>
    <w:rsid w:val="00933F6B"/>
    <w:rsid w:val="009415E4"/>
    <w:rsid w:val="00944B77"/>
    <w:rsid w:val="00944CEB"/>
    <w:rsid w:val="00947C64"/>
    <w:rsid w:val="00950B1F"/>
    <w:rsid w:val="009526A0"/>
    <w:rsid w:val="009530C9"/>
    <w:rsid w:val="0095457F"/>
    <w:rsid w:val="00963283"/>
    <w:rsid w:val="00964112"/>
    <w:rsid w:val="0096465D"/>
    <w:rsid w:val="009651F0"/>
    <w:rsid w:val="00966908"/>
    <w:rsid w:val="00967227"/>
    <w:rsid w:val="00971816"/>
    <w:rsid w:val="0097346B"/>
    <w:rsid w:val="009740B6"/>
    <w:rsid w:val="009741B8"/>
    <w:rsid w:val="0097438C"/>
    <w:rsid w:val="009751D5"/>
    <w:rsid w:val="00977D7E"/>
    <w:rsid w:val="009807D1"/>
    <w:rsid w:val="009810E2"/>
    <w:rsid w:val="00983A95"/>
    <w:rsid w:val="00984538"/>
    <w:rsid w:val="00987763"/>
    <w:rsid w:val="00987F5A"/>
    <w:rsid w:val="00991431"/>
    <w:rsid w:val="00991A58"/>
    <w:rsid w:val="00993518"/>
    <w:rsid w:val="00995544"/>
    <w:rsid w:val="00995B66"/>
    <w:rsid w:val="00995DC7"/>
    <w:rsid w:val="009A0777"/>
    <w:rsid w:val="009A15C7"/>
    <w:rsid w:val="009A406A"/>
    <w:rsid w:val="009A4EE8"/>
    <w:rsid w:val="009A6983"/>
    <w:rsid w:val="009A72E8"/>
    <w:rsid w:val="009A74A8"/>
    <w:rsid w:val="009A79DA"/>
    <w:rsid w:val="009A7F1F"/>
    <w:rsid w:val="009B285C"/>
    <w:rsid w:val="009B7EA5"/>
    <w:rsid w:val="009C0F80"/>
    <w:rsid w:val="009C1027"/>
    <w:rsid w:val="009C1877"/>
    <w:rsid w:val="009C1B6B"/>
    <w:rsid w:val="009C6D01"/>
    <w:rsid w:val="009E039C"/>
    <w:rsid w:val="009E0558"/>
    <w:rsid w:val="009E0FE6"/>
    <w:rsid w:val="009E678E"/>
    <w:rsid w:val="009E7A8F"/>
    <w:rsid w:val="009F28BB"/>
    <w:rsid w:val="009F61CD"/>
    <w:rsid w:val="00A0005A"/>
    <w:rsid w:val="00A039D0"/>
    <w:rsid w:val="00A10DD5"/>
    <w:rsid w:val="00A112BD"/>
    <w:rsid w:val="00A121C2"/>
    <w:rsid w:val="00A12949"/>
    <w:rsid w:val="00A14551"/>
    <w:rsid w:val="00A14F14"/>
    <w:rsid w:val="00A15374"/>
    <w:rsid w:val="00A23DF4"/>
    <w:rsid w:val="00A24CAE"/>
    <w:rsid w:val="00A301BC"/>
    <w:rsid w:val="00A304EE"/>
    <w:rsid w:val="00A33B77"/>
    <w:rsid w:val="00A34616"/>
    <w:rsid w:val="00A35025"/>
    <w:rsid w:val="00A355B8"/>
    <w:rsid w:val="00A35727"/>
    <w:rsid w:val="00A41936"/>
    <w:rsid w:val="00A45AD3"/>
    <w:rsid w:val="00A4693F"/>
    <w:rsid w:val="00A524A5"/>
    <w:rsid w:val="00A526EB"/>
    <w:rsid w:val="00A52D1D"/>
    <w:rsid w:val="00A553C7"/>
    <w:rsid w:val="00A5778F"/>
    <w:rsid w:val="00A621F8"/>
    <w:rsid w:val="00A62ADC"/>
    <w:rsid w:val="00A67199"/>
    <w:rsid w:val="00A73538"/>
    <w:rsid w:val="00A7365F"/>
    <w:rsid w:val="00A749F2"/>
    <w:rsid w:val="00A769DB"/>
    <w:rsid w:val="00A811D0"/>
    <w:rsid w:val="00A8265D"/>
    <w:rsid w:val="00A85006"/>
    <w:rsid w:val="00A85C8D"/>
    <w:rsid w:val="00A86249"/>
    <w:rsid w:val="00A87285"/>
    <w:rsid w:val="00A873DD"/>
    <w:rsid w:val="00A87E25"/>
    <w:rsid w:val="00A948EC"/>
    <w:rsid w:val="00A967AE"/>
    <w:rsid w:val="00A968DE"/>
    <w:rsid w:val="00A96AC3"/>
    <w:rsid w:val="00AA3EFF"/>
    <w:rsid w:val="00AA4BA3"/>
    <w:rsid w:val="00AA66EB"/>
    <w:rsid w:val="00AB0AEB"/>
    <w:rsid w:val="00AB66D6"/>
    <w:rsid w:val="00AC0AAE"/>
    <w:rsid w:val="00AC19FB"/>
    <w:rsid w:val="00AC1BCD"/>
    <w:rsid w:val="00AC1D0E"/>
    <w:rsid w:val="00AC2C46"/>
    <w:rsid w:val="00AC3909"/>
    <w:rsid w:val="00AC3B43"/>
    <w:rsid w:val="00AC45AC"/>
    <w:rsid w:val="00AC4A3A"/>
    <w:rsid w:val="00AC6A08"/>
    <w:rsid w:val="00AC6B6F"/>
    <w:rsid w:val="00AC74B0"/>
    <w:rsid w:val="00AC7C40"/>
    <w:rsid w:val="00AD19A9"/>
    <w:rsid w:val="00AD2508"/>
    <w:rsid w:val="00AD3169"/>
    <w:rsid w:val="00AD4B10"/>
    <w:rsid w:val="00AD5AF8"/>
    <w:rsid w:val="00AE14A6"/>
    <w:rsid w:val="00AE1FCF"/>
    <w:rsid w:val="00AE3398"/>
    <w:rsid w:val="00AE4B6C"/>
    <w:rsid w:val="00AE5F4D"/>
    <w:rsid w:val="00AE74E5"/>
    <w:rsid w:val="00AE7806"/>
    <w:rsid w:val="00AE7962"/>
    <w:rsid w:val="00AF089C"/>
    <w:rsid w:val="00AF0A8C"/>
    <w:rsid w:val="00AF0B29"/>
    <w:rsid w:val="00AF2C14"/>
    <w:rsid w:val="00AF2F60"/>
    <w:rsid w:val="00AF5424"/>
    <w:rsid w:val="00AF6A17"/>
    <w:rsid w:val="00B01F8F"/>
    <w:rsid w:val="00B02720"/>
    <w:rsid w:val="00B0676A"/>
    <w:rsid w:val="00B073E0"/>
    <w:rsid w:val="00B10C29"/>
    <w:rsid w:val="00B171A1"/>
    <w:rsid w:val="00B246CC"/>
    <w:rsid w:val="00B264A9"/>
    <w:rsid w:val="00B2794D"/>
    <w:rsid w:val="00B27F69"/>
    <w:rsid w:val="00B3197E"/>
    <w:rsid w:val="00B33DA5"/>
    <w:rsid w:val="00B368BF"/>
    <w:rsid w:val="00B40A23"/>
    <w:rsid w:val="00B40F49"/>
    <w:rsid w:val="00B412EF"/>
    <w:rsid w:val="00B5127A"/>
    <w:rsid w:val="00B53434"/>
    <w:rsid w:val="00B55740"/>
    <w:rsid w:val="00B711FC"/>
    <w:rsid w:val="00B71CE1"/>
    <w:rsid w:val="00B73075"/>
    <w:rsid w:val="00B734B5"/>
    <w:rsid w:val="00B73514"/>
    <w:rsid w:val="00B758AD"/>
    <w:rsid w:val="00B761CD"/>
    <w:rsid w:val="00B81E80"/>
    <w:rsid w:val="00B84090"/>
    <w:rsid w:val="00B85881"/>
    <w:rsid w:val="00B85ADC"/>
    <w:rsid w:val="00B85D8D"/>
    <w:rsid w:val="00B8609D"/>
    <w:rsid w:val="00B867B8"/>
    <w:rsid w:val="00B879FB"/>
    <w:rsid w:val="00B92695"/>
    <w:rsid w:val="00B95D49"/>
    <w:rsid w:val="00B96065"/>
    <w:rsid w:val="00B96AD4"/>
    <w:rsid w:val="00B97AF5"/>
    <w:rsid w:val="00BA2451"/>
    <w:rsid w:val="00BB2AC6"/>
    <w:rsid w:val="00BB389E"/>
    <w:rsid w:val="00BB4994"/>
    <w:rsid w:val="00BB7502"/>
    <w:rsid w:val="00BC28FD"/>
    <w:rsid w:val="00BC68CA"/>
    <w:rsid w:val="00BC79D4"/>
    <w:rsid w:val="00BD1B72"/>
    <w:rsid w:val="00BD3819"/>
    <w:rsid w:val="00BD42EA"/>
    <w:rsid w:val="00BD49BA"/>
    <w:rsid w:val="00BD709A"/>
    <w:rsid w:val="00BD7C21"/>
    <w:rsid w:val="00BE0B10"/>
    <w:rsid w:val="00BE1AA3"/>
    <w:rsid w:val="00BE1AA4"/>
    <w:rsid w:val="00BE1EBD"/>
    <w:rsid w:val="00BE392F"/>
    <w:rsid w:val="00BE60EA"/>
    <w:rsid w:val="00BF0241"/>
    <w:rsid w:val="00BF2699"/>
    <w:rsid w:val="00BF2B5B"/>
    <w:rsid w:val="00BF33F3"/>
    <w:rsid w:val="00BF701A"/>
    <w:rsid w:val="00C00BE4"/>
    <w:rsid w:val="00C031CA"/>
    <w:rsid w:val="00C03CCC"/>
    <w:rsid w:val="00C03E7C"/>
    <w:rsid w:val="00C0725B"/>
    <w:rsid w:val="00C07C00"/>
    <w:rsid w:val="00C11EA9"/>
    <w:rsid w:val="00C12C19"/>
    <w:rsid w:val="00C12DEC"/>
    <w:rsid w:val="00C150A5"/>
    <w:rsid w:val="00C21D5B"/>
    <w:rsid w:val="00C2304D"/>
    <w:rsid w:val="00C23B49"/>
    <w:rsid w:val="00C248C7"/>
    <w:rsid w:val="00C27203"/>
    <w:rsid w:val="00C27D7A"/>
    <w:rsid w:val="00C31D63"/>
    <w:rsid w:val="00C350A6"/>
    <w:rsid w:val="00C36230"/>
    <w:rsid w:val="00C42E6A"/>
    <w:rsid w:val="00C42FFA"/>
    <w:rsid w:val="00C43C01"/>
    <w:rsid w:val="00C47842"/>
    <w:rsid w:val="00C509DD"/>
    <w:rsid w:val="00C539D3"/>
    <w:rsid w:val="00C539E2"/>
    <w:rsid w:val="00C562B8"/>
    <w:rsid w:val="00C570DE"/>
    <w:rsid w:val="00C63923"/>
    <w:rsid w:val="00C677E4"/>
    <w:rsid w:val="00C71F70"/>
    <w:rsid w:val="00C743C4"/>
    <w:rsid w:val="00C75F64"/>
    <w:rsid w:val="00C76C9F"/>
    <w:rsid w:val="00C777AE"/>
    <w:rsid w:val="00C77934"/>
    <w:rsid w:val="00C81EBF"/>
    <w:rsid w:val="00C85523"/>
    <w:rsid w:val="00C862F4"/>
    <w:rsid w:val="00C91FAE"/>
    <w:rsid w:val="00C926D2"/>
    <w:rsid w:val="00C93B4A"/>
    <w:rsid w:val="00CA0B77"/>
    <w:rsid w:val="00CA474A"/>
    <w:rsid w:val="00CB15A1"/>
    <w:rsid w:val="00CB5F55"/>
    <w:rsid w:val="00CB6F3B"/>
    <w:rsid w:val="00CC0443"/>
    <w:rsid w:val="00CC097A"/>
    <w:rsid w:val="00CC1662"/>
    <w:rsid w:val="00CC75AF"/>
    <w:rsid w:val="00CD067D"/>
    <w:rsid w:val="00CD1519"/>
    <w:rsid w:val="00CD4FE7"/>
    <w:rsid w:val="00CD5C1B"/>
    <w:rsid w:val="00CD5F98"/>
    <w:rsid w:val="00CD71DB"/>
    <w:rsid w:val="00CD7262"/>
    <w:rsid w:val="00CE0CDC"/>
    <w:rsid w:val="00CE3F71"/>
    <w:rsid w:val="00CE4D19"/>
    <w:rsid w:val="00CF3198"/>
    <w:rsid w:val="00CF3FD2"/>
    <w:rsid w:val="00CF727F"/>
    <w:rsid w:val="00D02C25"/>
    <w:rsid w:val="00D06B87"/>
    <w:rsid w:val="00D12464"/>
    <w:rsid w:val="00D129EF"/>
    <w:rsid w:val="00D1351F"/>
    <w:rsid w:val="00D13540"/>
    <w:rsid w:val="00D16928"/>
    <w:rsid w:val="00D16D63"/>
    <w:rsid w:val="00D20EFF"/>
    <w:rsid w:val="00D30287"/>
    <w:rsid w:val="00D3082F"/>
    <w:rsid w:val="00D36A21"/>
    <w:rsid w:val="00D419AA"/>
    <w:rsid w:val="00D47B0A"/>
    <w:rsid w:val="00D5120A"/>
    <w:rsid w:val="00D5127E"/>
    <w:rsid w:val="00D51AA7"/>
    <w:rsid w:val="00D540E1"/>
    <w:rsid w:val="00D56C48"/>
    <w:rsid w:val="00D60067"/>
    <w:rsid w:val="00D63446"/>
    <w:rsid w:val="00D66E90"/>
    <w:rsid w:val="00D710D8"/>
    <w:rsid w:val="00D713F1"/>
    <w:rsid w:val="00D7142A"/>
    <w:rsid w:val="00D73679"/>
    <w:rsid w:val="00D73E5D"/>
    <w:rsid w:val="00D7545F"/>
    <w:rsid w:val="00D7730F"/>
    <w:rsid w:val="00D81CE9"/>
    <w:rsid w:val="00D8281C"/>
    <w:rsid w:val="00D83526"/>
    <w:rsid w:val="00D868A2"/>
    <w:rsid w:val="00D87AC0"/>
    <w:rsid w:val="00D87FAD"/>
    <w:rsid w:val="00D91342"/>
    <w:rsid w:val="00D91B8D"/>
    <w:rsid w:val="00D924AF"/>
    <w:rsid w:val="00D95590"/>
    <w:rsid w:val="00D97DB7"/>
    <w:rsid w:val="00DA184E"/>
    <w:rsid w:val="00DA4B2A"/>
    <w:rsid w:val="00DA5D94"/>
    <w:rsid w:val="00DA6E1C"/>
    <w:rsid w:val="00DB081D"/>
    <w:rsid w:val="00DB116D"/>
    <w:rsid w:val="00DC1381"/>
    <w:rsid w:val="00DC282A"/>
    <w:rsid w:val="00DC33F4"/>
    <w:rsid w:val="00DC3B9B"/>
    <w:rsid w:val="00DC7B79"/>
    <w:rsid w:val="00DD2F24"/>
    <w:rsid w:val="00DD4877"/>
    <w:rsid w:val="00DD5EB7"/>
    <w:rsid w:val="00DD6319"/>
    <w:rsid w:val="00DE1C27"/>
    <w:rsid w:val="00DE3F13"/>
    <w:rsid w:val="00DE4AA1"/>
    <w:rsid w:val="00DE5449"/>
    <w:rsid w:val="00DE58F1"/>
    <w:rsid w:val="00DF09CE"/>
    <w:rsid w:val="00DF0E77"/>
    <w:rsid w:val="00DF337E"/>
    <w:rsid w:val="00DF6897"/>
    <w:rsid w:val="00DF6DEE"/>
    <w:rsid w:val="00DF77FD"/>
    <w:rsid w:val="00E00265"/>
    <w:rsid w:val="00E03E14"/>
    <w:rsid w:val="00E062C8"/>
    <w:rsid w:val="00E11774"/>
    <w:rsid w:val="00E126C9"/>
    <w:rsid w:val="00E13BEE"/>
    <w:rsid w:val="00E1557D"/>
    <w:rsid w:val="00E1692A"/>
    <w:rsid w:val="00E16DB7"/>
    <w:rsid w:val="00E171A0"/>
    <w:rsid w:val="00E21234"/>
    <w:rsid w:val="00E22AC5"/>
    <w:rsid w:val="00E317E2"/>
    <w:rsid w:val="00E31EBC"/>
    <w:rsid w:val="00E32D12"/>
    <w:rsid w:val="00E3317C"/>
    <w:rsid w:val="00E34D0B"/>
    <w:rsid w:val="00E36214"/>
    <w:rsid w:val="00E428A0"/>
    <w:rsid w:val="00E51DFF"/>
    <w:rsid w:val="00E5248C"/>
    <w:rsid w:val="00E5363C"/>
    <w:rsid w:val="00E57478"/>
    <w:rsid w:val="00E60C30"/>
    <w:rsid w:val="00E613E2"/>
    <w:rsid w:val="00E61D0A"/>
    <w:rsid w:val="00E66472"/>
    <w:rsid w:val="00E702EE"/>
    <w:rsid w:val="00E7062D"/>
    <w:rsid w:val="00E72393"/>
    <w:rsid w:val="00E76C2F"/>
    <w:rsid w:val="00E76D39"/>
    <w:rsid w:val="00E90AE8"/>
    <w:rsid w:val="00E91A75"/>
    <w:rsid w:val="00E9699B"/>
    <w:rsid w:val="00E96FF1"/>
    <w:rsid w:val="00EA0D79"/>
    <w:rsid w:val="00EA0F7F"/>
    <w:rsid w:val="00EA2906"/>
    <w:rsid w:val="00EA2BE6"/>
    <w:rsid w:val="00EA3BB0"/>
    <w:rsid w:val="00EA495C"/>
    <w:rsid w:val="00EA4980"/>
    <w:rsid w:val="00EA5AA5"/>
    <w:rsid w:val="00EA66AA"/>
    <w:rsid w:val="00EB12DC"/>
    <w:rsid w:val="00EB6FAE"/>
    <w:rsid w:val="00EB7DF2"/>
    <w:rsid w:val="00EC0A46"/>
    <w:rsid w:val="00EC21D5"/>
    <w:rsid w:val="00EC24B7"/>
    <w:rsid w:val="00EC283F"/>
    <w:rsid w:val="00EC5BA2"/>
    <w:rsid w:val="00EC7122"/>
    <w:rsid w:val="00ED07E6"/>
    <w:rsid w:val="00ED1E08"/>
    <w:rsid w:val="00ED3502"/>
    <w:rsid w:val="00ED35C2"/>
    <w:rsid w:val="00ED3E4C"/>
    <w:rsid w:val="00EE1737"/>
    <w:rsid w:val="00EE7372"/>
    <w:rsid w:val="00EF3CCB"/>
    <w:rsid w:val="00EF423F"/>
    <w:rsid w:val="00EF5008"/>
    <w:rsid w:val="00F009A3"/>
    <w:rsid w:val="00F03996"/>
    <w:rsid w:val="00F049E8"/>
    <w:rsid w:val="00F06DF5"/>
    <w:rsid w:val="00F075C7"/>
    <w:rsid w:val="00F11A98"/>
    <w:rsid w:val="00F14562"/>
    <w:rsid w:val="00F15C30"/>
    <w:rsid w:val="00F22811"/>
    <w:rsid w:val="00F22A58"/>
    <w:rsid w:val="00F22EE1"/>
    <w:rsid w:val="00F231B2"/>
    <w:rsid w:val="00F25136"/>
    <w:rsid w:val="00F25E2A"/>
    <w:rsid w:val="00F266EC"/>
    <w:rsid w:val="00F30027"/>
    <w:rsid w:val="00F329AD"/>
    <w:rsid w:val="00F3315C"/>
    <w:rsid w:val="00F332C2"/>
    <w:rsid w:val="00F33E8F"/>
    <w:rsid w:val="00F34C4E"/>
    <w:rsid w:val="00F37F52"/>
    <w:rsid w:val="00F41B2E"/>
    <w:rsid w:val="00F4569E"/>
    <w:rsid w:val="00F50F5E"/>
    <w:rsid w:val="00F51517"/>
    <w:rsid w:val="00F51EEC"/>
    <w:rsid w:val="00F53373"/>
    <w:rsid w:val="00F55204"/>
    <w:rsid w:val="00F5592E"/>
    <w:rsid w:val="00F55D85"/>
    <w:rsid w:val="00F5697C"/>
    <w:rsid w:val="00F57023"/>
    <w:rsid w:val="00F57C37"/>
    <w:rsid w:val="00F62957"/>
    <w:rsid w:val="00F62D82"/>
    <w:rsid w:val="00F63323"/>
    <w:rsid w:val="00F65DC8"/>
    <w:rsid w:val="00F6717D"/>
    <w:rsid w:val="00F70185"/>
    <w:rsid w:val="00F706CA"/>
    <w:rsid w:val="00F73980"/>
    <w:rsid w:val="00F762F7"/>
    <w:rsid w:val="00F80377"/>
    <w:rsid w:val="00F82552"/>
    <w:rsid w:val="00F866F1"/>
    <w:rsid w:val="00F869ED"/>
    <w:rsid w:val="00F91C29"/>
    <w:rsid w:val="00F920B4"/>
    <w:rsid w:val="00F94516"/>
    <w:rsid w:val="00F94706"/>
    <w:rsid w:val="00FA2ECB"/>
    <w:rsid w:val="00FA402A"/>
    <w:rsid w:val="00FA55E6"/>
    <w:rsid w:val="00FB0AFE"/>
    <w:rsid w:val="00FB2C31"/>
    <w:rsid w:val="00FB4F04"/>
    <w:rsid w:val="00FB5DD2"/>
    <w:rsid w:val="00FB5FA1"/>
    <w:rsid w:val="00FB602F"/>
    <w:rsid w:val="00FB7B65"/>
    <w:rsid w:val="00FC00BA"/>
    <w:rsid w:val="00FC022C"/>
    <w:rsid w:val="00FC0E0E"/>
    <w:rsid w:val="00FC4993"/>
    <w:rsid w:val="00FC59DA"/>
    <w:rsid w:val="00FD035D"/>
    <w:rsid w:val="00FD0694"/>
    <w:rsid w:val="00FD1BCF"/>
    <w:rsid w:val="00FD2CE0"/>
    <w:rsid w:val="00FD4BB0"/>
    <w:rsid w:val="00FD5C37"/>
    <w:rsid w:val="00FD649A"/>
    <w:rsid w:val="00FE0EBC"/>
    <w:rsid w:val="00FE6E97"/>
    <w:rsid w:val="00FE7211"/>
    <w:rsid w:val="00FF0797"/>
    <w:rsid w:val="00FF1A61"/>
    <w:rsid w:val="00FF33B4"/>
    <w:rsid w:val="00FF4B6F"/>
    <w:rsid w:val="00FF5542"/>
    <w:rsid w:val="00FF7F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25CEF"/>
  <w15:docId w15:val="{DC764EEC-E914-4D0F-ADC4-98B7F43C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76"/>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locked/>
    <w:rsid w:val="00345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87F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raturverzeichnis1">
    <w:name w:val="Literaturverzeichnis1"/>
    <w:basedOn w:val="Normal"/>
    <w:link w:val="BibliographyZchn"/>
    <w:rsid w:val="007C4A29"/>
    <w:pPr>
      <w:tabs>
        <w:tab w:val="left" w:pos="384"/>
      </w:tabs>
      <w:spacing w:after="240" w:line="240" w:lineRule="auto"/>
      <w:ind w:left="384" w:hanging="384"/>
      <w:jc w:val="both"/>
    </w:pPr>
    <w:rPr>
      <w:rFonts w:ascii="Arial" w:hAnsi="Arial" w:cs="Arial"/>
      <w:sz w:val="24"/>
      <w:szCs w:val="24"/>
      <w:lang w:val="en-US"/>
    </w:rPr>
  </w:style>
  <w:style w:type="character" w:customStyle="1" w:styleId="BibliographyZchn">
    <w:name w:val="Bibliography Zchn"/>
    <w:link w:val="Literaturverzeichnis1"/>
    <w:locked/>
    <w:rsid w:val="007C4A29"/>
    <w:rPr>
      <w:rFonts w:ascii="Arial" w:hAnsi="Arial" w:cs="Arial"/>
      <w:sz w:val="24"/>
      <w:szCs w:val="24"/>
      <w:lang w:val="en-US" w:eastAsia="x-none"/>
    </w:rPr>
  </w:style>
  <w:style w:type="table" w:styleId="TableGrid">
    <w:name w:val="Table Grid"/>
    <w:basedOn w:val="TableNormal"/>
    <w:uiPriority w:val="59"/>
    <w:rsid w:val="00A129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BF2699"/>
    <w:rPr>
      <w:rFonts w:cs="Times New Roman"/>
      <w:color w:val="0000FF"/>
      <w:u w:val="single"/>
    </w:rPr>
  </w:style>
  <w:style w:type="paragraph" w:styleId="BalloonText">
    <w:name w:val="Balloon Text"/>
    <w:basedOn w:val="Normal"/>
    <w:link w:val="BalloonTextChar"/>
    <w:semiHidden/>
    <w:rsid w:val="000E1488"/>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1488"/>
    <w:rPr>
      <w:rFonts w:ascii="Tahoma" w:hAnsi="Tahoma" w:cs="Tahoma"/>
      <w:sz w:val="16"/>
      <w:szCs w:val="16"/>
    </w:rPr>
  </w:style>
  <w:style w:type="paragraph" w:customStyle="1" w:styleId="Literaturverzeichnis2">
    <w:name w:val="Literaturverzeichnis2"/>
    <w:basedOn w:val="Normal"/>
    <w:next w:val="Normal"/>
    <w:rsid w:val="00674B8C"/>
  </w:style>
  <w:style w:type="character" w:styleId="CommentReference">
    <w:name w:val="annotation reference"/>
    <w:semiHidden/>
    <w:rsid w:val="002A4E34"/>
    <w:rPr>
      <w:rFonts w:cs="Times New Roman"/>
      <w:sz w:val="18"/>
      <w:szCs w:val="18"/>
    </w:rPr>
  </w:style>
  <w:style w:type="paragraph" w:styleId="CommentText">
    <w:name w:val="annotation text"/>
    <w:basedOn w:val="Normal"/>
    <w:link w:val="CommentTextChar"/>
    <w:semiHidden/>
    <w:rsid w:val="002A4E34"/>
    <w:pPr>
      <w:spacing w:line="240" w:lineRule="auto"/>
    </w:pPr>
    <w:rPr>
      <w:sz w:val="24"/>
      <w:szCs w:val="24"/>
    </w:rPr>
  </w:style>
  <w:style w:type="character" w:customStyle="1" w:styleId="CommentTextChar">
    <w:name w:val="Comment Text Char"/>
    <w:link w:val="CommentText"/>
    <w:semiHidden/>
    <w:locked/>
    <w:rsid w:val="002A4E34"/>
    <w:rPr>
      <w:rFonts w:cs="Times New Roman"/>
      <w:sz w:val="24"/>
      <w:szCs w:val="24"/>
    </w:rPr>
  </w:style>
  <w:style w:type="paragraph" w:styleId="CommentSubject">
    <w:name w:val="annotation subject"/>
    <w:basedOn w:val="CommentText"/>
    <w:next w:val="CommentText"/>
    <w:link w:val="CommentSubjectChar"/>
    <w:semiHidden/>
    <w:rsid w:val="002A4E34"/>
    <w:rPr>
      <w:b/>
      <w:bCs/>
      <w:sz w:val="20"/>
      <w:szCs w:val="20"/>
    </w:rPr>
  </w:style>
  <w:style w:type="character" w:customStyle="1" w:styleId="CommentSubjectChar">
    <w:name w:val="Comment Subject Char"/>
    <w:link w:val="CommentSubject"/>
    <w:semiHidden/>
    <w:locked/>
    <w:rsid w:val="002A4E34"/>
    <w:rPr>
      <w:rFonts w:cs="Times New Roman"/>
      <w:b/>
      <w:bCs/>
      <w:sz w:val="20"/>
      <w:szCs w:val="20"/>
    </w:rPr>
  </w:style>
  <w:style w:type="paragraph" w:customStyle="1" w:styleId="Listenabsatz1">
    <w:name w:val="Listenabsatz1"/>
    <w:basedOn w:val="Normal"/>
    <w:rsid w:val="004B6CEF"/>
    <w:pPr>
      <w:ind w:left="720"/>
      <w:contextualSpacing/>
    </w:pPr>
  </w:style>
  <w:style w:type="paragraph" w:styleId="Revision">
    <w:name w:val="Revision"/>
    <w:hidden/>
    <w:uiPriority w:val="99"/>
    <w:semiHidden/>
    <w:rsid w:val="000802E0"/>
    <w:rPr>
      <w:rFonts w:eastAsia="Times New Roman"/>
      <w:sz w:val="22"/>
      <w:szCs w:val="22"/>
      <w:lang w:eastAsia="en-US"/>
    </w:rPr>
  </w:style>
  <w:style w:type="paragraph" w:styleId="Header">
    <w:name w:val="header"/>
    <w:basedOn w:val="Normal"/>
    <w:link w:val="HeaderChar"/>
    <w:rsid w:val="00B97AF5"/>
    <w:pPr>
      <w:tabs>
        <w:tab w:val="center" w:pos="4536"/>
        <w:tab w:val="right" w:pos="9072"/>
      </w:tabs>
    </w:pPr>
  </w:style>
  <w:style w:type="character" w:customStyle="1" w:styleId="HeaderChar">
    <w:name w:val="Header Char"/>
    <w:link w:val="Header"/>
    <w:rsid w:val="00B97AF5"/>
    <w:rPr>
      <w:rFonts w:eastAsia="Times New Roman"/>
      <w:sz w:val="22"/>
      <w:szCs w:val="22"/>
      <w:lang w:eastAsia="en-US"/>
    </w:rPr>
  </w:style>
  <w:style w:type="paragraph" w:styleId="Footer">
    <w:name w:val="footer"/>
    <w:basedOn w:val="Normal"/>
    <w:link w:val="FooterChar"/>
    <w:uiPriority w:val="99"/>
    <w:rsid w:val="00B97AF5"/>
    <w:pPr>
      <w:tabs>
        <w:tab w:val="center" w:pos="4536"/>
        <w:tab w:val="right" w:pos="9072"/>
      </w:tabs>
    </w:pPr>
  </w:style>
  <w:style w:type="character" w:customStyle="1" w:styleId="FooterChar">
    <w:name w:val="Footer Char"/>
    <w:link w:val="Footer"/>
    <w:uiPriority w:val="99"/>
    <w:rsid w:val="00B97AF5"/>
    <w:rPr>
      <w:rFonts w:eastAsia="Times New Roman"/>
      <w:sz w:val="22"/>
      <w:szCs w:val="22"/>
      <w:lang w:eastAsia="en-US"/>
    </w:rPr>
  </w:style>
  <w:style w:type="paragraph" w:customStyle="1" w:styleId="FooterEven">
    <w:name w:val="Footer Even"/>
    <w:basedOn w:val="Normal"/>
    <w:qFormat/>
    <w:rsid w:val="00B97AF5"/>
    <w:pPr>
      <w:pBdr>
        <w:top w:val="single" w:sz="4" w:space="1" w:color="4F81BD"/>
      </w:pBdr>
      <w:spacing w:after="180" w:line="264" w:lineRule="auto"/>
    </w:pPr>
    <w:rPr>
      <w:color w:val="1F497D"/>
      <w:sz w:val="20"/>
      <w:szCs w:val="23"/>
      <w:lang w:eastAsia="ja-JP"/>
    </w:rPr>
  </w:style>
  <w:style w:type="character" w:customStyle="1" w:styleId="st">
    <w:name w:val="st"/>
    <w:basedOn w:val="DefaultParagraphFont"/>
    <w:rsid w:val="000C4303"/>
  </w:style>
  <w:style w:type="paragraph" w:styleId="ListParagraph">
    <w:name w:val="List Paragraph"/>
    <w:basedOn w:val="Normal"/>
    <w:uiPriority w:val="34"/>
    <w:qFormat/>
    <w:rsid w:val="00B8609D"/>
    <w:pPr>
      <w:ind w:left="720"/>
      <w:contextualSpacing/>
    </w:pPr>
  </w:style>
  <w:style w:type="paragraph" w:styleId="Bibliography">
    <w:name w:val="Bibliography"/>
    <w:basedOn w:val="Normal"/>
    <w:next w:val="Normal"/>
    <w:uiPriority w:val="37"/>
    <w:unhideWhenUsed/>
    <w:rsid w:val="00891C3A"/>
    <w:pPr>
      <w:tabs>
        <w:tab w:val="left" w:pos="504"/>
      </w:tabs>
      <w:spacing w:after="240" w:line="240" w:lineRule="auto"/>
      <w:ind w:left="504" w:hanging="504"/>
    </w:pPr>
  </w:style>
  <w:style w:type="paragraph" w:customStyle="1" w:styleId="Literaturverzeichnis3">
    <w:name w:val="Literaturverzeichnis3"/>
    <w:basedOn w:val="Normal"/>
    <w:rsid w:val="00DF6DEE"/>
    <w:pPr>
      <w:tabs>
        <w:tab w:val="left" w:pos="500"/>
      </w:tabs>
      <w:spacing w:after="240" w:line="240" w:lineRule="auto"/>
      <w:ind w:left="504" w:hanging="504"/>
      <w:jc w:val="both"/>
    </w:pPr>
    <w:rPr>
      <w:rFonts w:ascii="Arial" w:eastAsia="Arial Unicode MS" w:hAnsi="Arial" w:cs="Arial"/>
      <w:b/>
      <w:sz w:val="20"/>
      <w:szCs w:val="20"/>
      <w:lang w:val="en-US" w:eastAsia="de-DE"/>
    </w:rPr>
  </w:style>
  <w:style w:type="table" w:customStyle="1" w:styleId="Tabellenraster1">
    <w:name w:val="Tabellenraster1"/>
    <w:basedOn w:val="TableNormal"/>
    <w:next w:val="TableGrid"/>
    <w:uiPriority w:val="59"/>
    <w:rsid w:val="005E09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596AA9"/>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596AA9"/>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FA4"/>
    <w:rPr>
      <w:rFonts w:asciiTheme="majorHAnsi" w:eastAsiaTheme="majorEastAsia" w:hAnsiTheme="majorHAnsi" w:cstheme="majorBidi"/>
      <w:b/>
      <w:bCs/>
      <w:color w:val="365F91" w:themeColor="accent1" w:themeShade="BF"/>
      <w:sz w:val="28"/>
      <w:szCs w:val="28"/>
      <w:lang w:eastAsia="en-US"/>
    </w:rPr>
  </w:style>
  <w:style w:type="character" w:customStyle="1" w:styleId="highlight">
    <w:name w:val="highlight"/>
    <w:basedOn w:val="DefaultParagraphFont"/>
    <w:rsid w:val="00EC283F"/>
  </w:style>
  <w:style w:type="paragraph" w:styleId="FootnoteText">
    <w:name w:val="footnote text"/>
    <w:basedOn w:val="Normal"/>
    <w:link w:val="FootnoteTextChar"/>
    <w:rsid w:val="00F63323"/>
    <w:pPr>
      <w:spacing w:after="0" w:line="240" w:lineRule="auto"/>
    </w:pPr>
    <w:rPr>
      <w:sz w:val="20"/>
      <w:szCs w:val="20"/>
    </w:rPr>
  </w:style>
  <w:style w:type="character" w:customStyle="1" w:styleId="FootnoteTextChar">
    <w:name w:val="Footnote Text Char"/>
    <w:basedOn w:val="DefaultParagraphFont"/>
    <w:link w:val="FootnoteText"/>
    <w:rsid w:val="00F63323"/>
    <w:rPr>
      <w:rFonts w:eastAsia="Times New Roman"/>
      <w:sz w:val="20"/>
      <w:szCs w:val="20"/>
      <w:lang w:eastAsia="en-US"/>
    </w:rPr>
  </w:style>
  <w:style w:type="character" w:styleId="FootnoteReference">
    <w:name w:val="footnote reference"/>
    <w:basedOn w:val="DefaultParagraphFont"/>
    <w:rsid w:val="00F63323"/>
    <w:rPr>
      <w:vertAlign w:val="superscript"/>
    </w:rPr>
  </w:style>
  <w:style w:type="paragraph" w:styleId="Caption">
    <w:name w:val="caption"/>
    <w:basedOn w:val="Normal"/>
    <w:next w:val="Normal"/>
    <w:unhideWhenUsed/>
    <w:qFormat/>
    <w:locked/>
    <w:rsid w:val="00F82552"/>
    <w:pPr>
      <w:spacing w:line="240" w:lineRule="auto"/>
    </w:pPr>
    <w:rPr>
      <w:b/>
      <w:bCs/>
      <w:color w:val="4F81BD" w:themeColor="accent1"/>
      <w:sz w:val="18"/>
      <w:szCs w:val="18"/>
    </w:rPr>
  </w:style>
  <w:style w:type="character" w:customStyle="1" w:styleId="Heading2Char">
    <w:name w:val="Heading 2 Char"/>
    <w:basedOn w:val="DefaultParagraphFont"/>
    <w:link w:val="Heading2"/>
    <w:rsid w:val="00987F5A"/>
    <w:rPr>
      <w:rFonts w:asciiTheme="majorHAnsi" w:eastAsiaTheme="majorEastAsia" w:hAnsiTheme="majorHAnsi" w:cstheme="majorBidi"/>
      <w:b/>
      <w:bCs/>
      <w:color w:val="4F81BD" w:themeColor="accent1"/>
      <w:sz w:val="26"/>
      <w:szCs w:val="26"/>
      <w:lang w:eastAsia="en-US"/>
    </w:rPr>
  </w:style>
  <w:style w:type="paragraph" w:customStyle="1" w:styleId="Literaturverzeichnis4">
    <w:name w:val="Literaturverzeichnis4"/>
    <w:basedOn w:val="Normal"/>
    <w:rsid w:val="00506D3E"/>
    <w:pPr>
      <w:tabs>
        <w:tab w:val="left" w:pos="500"/>
      </w:tabs>
      <w:spacing w:after="240" w:line="240" w:lineRule="auto"/>
      <w:ind w:left="504" w:hanging="504"/>
      <w:jc w:val="both"/>
    </w:pPr>
    <w:rPr>
      <w:rFonts w:ascii="Arial" w:hAnsi="Arial"/>
      <w:b/>
      <w:lang w:val="en-US"/>
    </w:rPr>
  </w:style>
  <w:style w:type="character" w:styleId="PlaceholderText">
    <w:name w:val="Placeholder Text"/>
    <w:basedOn w:val="DefaultParagraphFont"/>
    <w:uiPriority w:val="99"/>
    <w:semiHidden/>
    <w:rsid w:val="00E60C30"/>
    <w:rPr>
      <w:color w:val="808080"/>
    </w:rPr>
  </w:style>
  <w:style w:type="character" w:styleId="LineNumber">
    <w:name w:val="line number"/>
    <w:basedOn w:val="DefaultParagraphFont"/>
    <w:rsid w:val="00231023"/>
  </w:style>
  <w:style w:type="character" w:styleId="FollowedHyperlink">
    <w:name w:val="FollowedHyperlink"/>
    <w:basedOn w:val="DefaultParagraphFont"/>
    <w:rsid w:val="00A769DB"/>
    <w:rPr>
      <w:color w:val="800080" w:themeColor="followedHyperlink"/>
      <w:u w:val="single"/>
    </w:rPr>
  </w:style>
  <w:style w:type="paragraph" w:customStyle="1" w:styleId="Literaturverzeichnis5">
    <w:name w:val="Literaturverzeichnis5"/>
    <w:basedOn w:val="Normal"/>
    <w:rsid w:val="008D5A63"/>
    <w:pPr>
      <w:widowControl w:val="0"/>
      <w:tabs>
        <w:tab w:val="left" w:pos="500"/>
      </w:tabs>
      <w:autoSpaceDE w:val="0"/>
      <w:autoSpaceDN w:val="0"/>
      <w:adjustRightInd w:val="0"/>
      <w:spacing w:after="240" w:line="240" w:lineRule="auto"/>
      <w:ind w:left="504" w:hanging="504"/>
    </w:pPr>
    <w:rPr>
      <w:rFonts w:ascii="Arial" w:hAnsi="Arial"/>
    </w:rPr>
  </w:style>
  <w:style w:type="paragraph" w:customStyle="1" w:styleId="TableNote">
    <w:name w:val="TableNote"/>
    <w:basedOn w:val="Normal"/>
    <w:rsid w:val="00387E49"/>
    <w:pPr>
      <w:spacing w:after="0" w:line="300" w:lineRule="exact"/>
    </w:pPr>
    <w:rPr>
      <w:rFonts w:ascii="Times New Roman" w:hAnsi="Times New Roman"/>
      <w:sz w:val="24"/>
      <w:szCs w:val="20"/>
      <w:lang w:val="en-GB"/>
    </w:rPr>
  </w:style>
  <w:style w:type="paragraph" w:customStyle="1" w:styleId="TableTitle">
    <w:name w:val="TableTitle"/>
    <w:basedOn w:val="Normal"/>
    <w:rsid w:val="00387E49"/>
    <w:pPr>
      <w:spacing w:after="0" w:line="300" w:lineRule="exact"/>
    </w:pPr>
    <w:rPr>
      <w:rFonts w:ascii="Times New Roman" w:hAnsi="Times New Roman"/>
      <w:sz w:val="24"/>
      <w:szCs w:val="20"/>
      <w:lang w:val="en-GB"/>
    </w:rPr>
  </w:style>
  <w:style w:type="character" w:customStyle="1" w:styleId="URL">
    <w:name w:val="URL"/>
    <w:basedOn w:val="DefaultParagraphFont"/>
    <w:rsid w:val="00387E49"/>
    <w:rPr>
      <w:color w:val="666699"/>
    </w:rPr>
  </w:style>
  <w:style w:type="paragraph" w:customStyle="1" w:styleId="TableHeader">
    <w:name w:val="TableHeader"/>
    <w:basedOn w:val="Normal"/>
    <w:rsid w:val="00387E49"/>
    <w:pPr>
      <w:spacing w:before="120" w:after="0" w:line="240" w:lineRule="auto"/>
    </w:pPr>
    <w:rPr>
      <w:rFonts w:ascii="Times New Roman" w:hAnsi="Times New Roman"/>
      <w:b/>
      <w:sz w:val="24"/>
      <w:szCs w:val="20"/>
      <w:lang w:val="en-GB"/>
    </w:rPr>
  </w:style>
  <w:style w:type="paragraph" w:customStyle="1" w:styleId="TableSubHead">
    <w:name w:val="TableSubHead"/>
    <w:basedOn w:val="TableHeader"/>
    <w:rsid w:val="00387E49"/>
  </w:style>
  <w:style w:type="paragraph" w:customStyle="1" w:styleId="Literaturverzeichnis6">
    <w:name w:val="Literaturverzeichnis6"/>
    <w:basedOn w:val="Normal"/>
    <w:rsid w:val="00EB6FAE"/>
    <w:pPr>
      <w:tabs>
        <w:tab w:val="left" w:pos="500"/>
      </w:tabs>
      <w:spacing w:after="240" w:line="240" w:lineRule="auto"/>
      <w:ind w:left="504" w:hanging="504"/>
    </w:pPr>
    <w:rPr>
      <w:rFonts w:ascii="Arial" w:hAnsi="Arial" w:cs="Arial"/>
      <w:lang w:val="en-US"/>
    </w:rPr>
  </w:style>
  <w:style w:type="paragraph" w:customStyle="1" w:styleId="Literaturverzeichnis7">
    <w:name w:val="Literaturverzeichnis7"/>
    <w:basedOn w:val="Normal"/>
    <w:rsid w:val="009807D1"/>
    <w:pPr>
      <w:tabs>
        <w:tab w:val="left" w:pos="500"/>
      </w:tabs>
      <w:spacing w:after="240" w:line="240" w:lineRule="auto"/>
      <w:ind w:left="504" w:hanging="504"/>
      <w:jc w:val="both"/>
    </w:pPr>
    <w:rPr>
      <w:rFonts w:ascii="Times New Roman" w:hAnsi="Times New Roman"/>
      <w:sz w:val="24"/>
      <w:szCs w:val="24"/>
      <w:lang w:val="en-US" w:eastAsia="de-DE"/>
    </w:rPr>
  </w:style>
  <w:style w:type="paragraph" w:customStyle="1" w:styleId="1">
    <w:name w:val="正文1"/>
    <w:uiPriority w:val="99"/>
    <w:rsid w:val="003645AB"/>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1606">
      <w:bodyDiv w:val="1"/>
      <w:marLeft w:val="0"/>
      <w:marRight w:val="0"/>
      <w:marTop w:val="0"/>
      <w:marBottom w:val="0"/>
      <w:divBdr>
        <w:top w:val="none" w:sz="0" w:space="0" w:color="auto"/>
        <w:left w:val="none" w:sz="0" w:space="0" w:color="auto"/>
        <w:bottom w:val="none" w:sz="0" w:space="0" w:color="auto"/>
        <w:right w:val="none" w:sz="0" w:space="0" w:color="auto"/>
      </w:divBdr>
    </w:div>
    <w:div w:id="1167746980">
      <w:bodyDiv w:val="1"/>
      <w:marLeft w:val="0"/>
      <w:marRight w:val="0"/>
      <w:marTop w:val="0"/>
      <w:marBottom w:val="0"/>
      <w:divBdr>
        <w:top w:val="none" w:sz="0" w:space="0" w:color="auto"/>
        <w:left w:val="none" w:sz="0" w:space="0" w:color="auto"/>
        <w:bottom w:val="none" w:sz="0" w:space="0" w:color="auto"/>
        <w:right w:val="none" w:sz="0" w:space="0" w:color="auto"/>
      </w:divBdr>
      <w:divsChild>
        <w:div w:id="944927000">
          <w:marLeft w:val="0"/>
          <w:marRight w:val="0"/>
          <w:marTop w:val="0"/>
          <w:marBottom w:val="0"/>
          <w:divBdr>
            <w:top w:val="none" w:sz="0" w:space="0" w:color="auto"/>
            <w:left w:val="none" w:sz="0" w:space="0" w:color="auto"/>
            <w:bottom w:val="none" w:sz="0" w:space="0" w:color="auto"/>
            <w:right w:val="none" w:sz="0" w:space="0" w:color="auto"/>
          </w:divBdr>
        </w:div>
        <w:div w:id="1105228199">
          <w:marLeft w:val="0"/>
          <w:marRight w:val="0"/>
          <w:marTop w:val="0"/>
          <w:marBottom w:val="0"/>
          <w:divBdr>
            <w:top w:val="none" w:sz="0" w:space="0" w:color="auto"/>
            <w:left w:val="none" w:sz="0" w:space="0" w:color="auto"/>
            <w:bottom w:val="none" w:sz="0" w:space="0" w:color="auto"/>
            <w:right w:val="none" w:sz="0" w:space="0" w:color="auto"/>
          </w:divBdr>
        </w:div>
      </w:divsChild>
    </w:div>
    <w:div w:id="1371803318">
      <w:bodyDiv w:val="1"/>
      <w:marLeft w:val="0"/>
      <w:marRight w:val="0"/>
      <w:marTop w:val="0"/>
      <w:marBottom w:val="0"/>
      <w:divBdr>
        <w:top w:val="none" w:sz="0" w:space="0" w:color="auto"/>
        <w:left w:val="none" w:sz="0" w:space="0" w:color="auto"/>
        <w:bottom w:val="none" w:sz="0" w:space="0" w:color="auto"/>
        <w:right w:val="none" w:sz="0" w:space="0" w:color="auto"/>
      </w:divBdr>
      <w:divsChild>
        <w:div w:id="368186398">
          <w:marLeft w:val="0"/>
          <w:marRight w:val="0"/>
          <w:marTop w:val="0"/>
          <w:marBottom w:val="0"/>
          <w:divBdr>
            <w:top w:val="none" w:sz="0" w:space="0" w:color="auto"/>
            <w:left w:val="none" w:sz="0" w:space="0" w:color="auto"/>
            <w:bottom w:val="none" w:sz="0" w:space="0" w:color="auto"/>
            <w:right w:val="none" w:sz="0" w:space="0" w:color="auto"/>
          </w:divBdr>
        </w:div>
        <w:div w:id="1638410249">
          <w:marLeft w:val="0"/>
          <w:marRight w:val="0"/>
          <w:marTop w:val="0"/>
          <w:marBottom w:val="0"/>
          <w:divBdr>
            <w:top w:val="none" w:sz="0" w:space="0" w:color="auto"/>
            <w:left w:val="none" w:sz="0" w:space="0" w:color="auto"/>
            <w:bottom w:val="none" w:sz="0" w:space="0" w:color="auto"/>
            <w:right w:val="none" w:sz="0" w:space="0" w:color="auto"/>
          </w:divBdr>
        </w:div>
        <w:div w:id="2131170267">
          <w:marLeft w:val="0"/>
          <w:marRight w:val="0"/>
          <w:marTop w:val="0"/>
          <w:marBottom w:val="0"/>
          <w:divBdr>
            <w:top w:val="none" w:sz="0" w:space="0" w:color="auto"/>
            <w:left w:val="none" w:sz="0" w:space="0" w:color="auto"/>
            <w:bottom w:val="none" w:sz="0" w:space="0" w:color="auto"/>
            <w:right w:val="none" w:sz="0" w:space="0" w:color="auto"/>
          </w:divBdr>
        </w:div>
      </w:divsChild>
    </w:div>
    <w:div w:id="1833913569">
      <w:bodyDiv w:val="1"/>
      <w:marLeft w:val="0"/>
      <w:marRight w:val="0"/>
      <w:marTop w:val="0"/>
      <w:marBottom w:val="0"/>
      <w:divBdr>
        <w:top w:val="none" w:sz="0" w:space="0" w:color="auto"/>
        <w:left w:val="none" w:sz="0" w:space="0" w:color="auto"/>
        <w:bottom w:val="none" w:sz="0" w:space="0" w:color="auto"/>
        <w:right w:val="none" w:sz="0" w:space="0" w:color="auto"/>
      </w:divBdr>
    </w:div>
    <w:div w:id="1898474147">
      <w:bodyDiv w:val="1"/>
      <w:marLeft w:val="0"/>
      <w:marRight w:val="0"/>
      <w:marTop w:val="0"/>
      <w:marBottom w:val="0"/>
      <w:divBdr>
        <w:top w:val="none" w:sz="0" w:space="0" w:color="auto"/>
        <w:left w:val="none" w:sz="0" w:space="0" w:color="auto"/>
        <w:bottom w:val="none" w:sz="0" w:space="0" w:color="auto"/>
        <w:right w:val="none" w:sz="0" w:space="0" w:color="auto"/>
      </w:divBdr>
    </w:div>
    <w:div w:id="1921788192">
      <w:bodyDiv w:val="1"/>
      <w:marLeft w:val="0"/>
      <w:marRight w:val="0"/>
      <w:marTop w:val="0"/>
      <w:marBottom w:val="0"/>
      <w:divBdr>
        <w:top w:val="none" w:sz="0" w:space="0" w:color="auto"/>
        <w:left w:val="none" w:sz="0" w:space="0" w:color="auto"/>
        <w:bottom w:val="none" w:sz="0" w:space="0" w:color="auto"/>
        <w:right w:val="none" w:sz="0" w:space="0" w:color="auto"/>
      </w:divBdr>
      <w:divsChild>
        <w:div w:id="294220013">
          <w:marLeft w:val="0"/>
          <w:marRight w:val="0"/>
          <w:marTop w:val="0"/>
          <w:marBottom w:val="0"/>
          <w:divBdr>
            <w:top w:val="none" w:sz="0" w:space="0" w:color="auto"/>
            <w:left w:val="none" w:sz="0" w:space="0" w:color="auto"/>
            <w:bottom w:val="none" w:sz="0" w:space="0" w:color="auto"/>
            <w:right w:val="none" w:sz="0" w:space="0" w:color="auto"/>
          </w:divBdr>
        </w:div>
        <w:div w:id="1350598551">
          <w:marLeft w:val="0"/>
          <w:marRight w:val="0"/>
          <w:marTop w:val="0"/>
          <w:marBottom w:val="0"/>
          <w:divBdr>
            <w:top w:val="none" w:sz="0" w:space="0" w:color="auto"/>
            <w:left w:val="none" w:sz="0" w:space="0" w:color="auto"/>
            <w:bottom w:val="none" w:sz="0" w:space="0" w:color="auto"/>
            <w:right w:val="none" w:sz="0" w:space="0" w:color="auto"/>
          </w:divBdr>
        </w:div>
        <w:div w:id="196674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Vienna%20Hepatic%20Hemodynamic%20Lab%5BCorporate%20Author%5D"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ncbi.nlm.nih.gov/pubmed/?term=CANONIC%20Study%20Investigators%20of%20the%20EASL%E2%80%93CLIF%20Consortium%5BCorporate%20Author%5D" TargetMode="External"/><Relationship Id="rId4" Type="http://schemas.openxmlformats.org/officeDocument/2006/relationships/settings" Target="settings.xml"/><Relationship Id="rId9" Type="http://schemas.openxmlformats.org/officeDocument/2006/relationships/hyperlink" Target="mailto:tony.bruns@med.uni-jena.de" TargetMode="External"/><Relationship Id="rId14"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2299-877F-4930-89F4-B0BBE46D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32111</Words>
  <Characters>183037</Characters>
  <Application>Microsoft Office Word</Application>
  <DocSecurity>0</DocSecurity>
  <Lines>1525</Lines>
  <Paragraphs>429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vt:lpstr>
      <vt:lpstr>Abstract</vt:lpstr>
    </vt:vector>
  </TitlesOfParts>
  <Company>Microsoft</Company>
  <LinksUpToDate>false</LinksUpToDate>
  <CharactersWithSpaces>214719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Philipp Reuken</dc:creator>
  <cp:keywords/>
  <dc:description/>
  <cp:lastModifiedBy>LS Ma</cp:lastModifiedBy>
  <cp:revision>2</cp:revision>
  <cp:lastPrinted>2015-06-30T15:22:00Z</cp:lastPrinted>
  <dcterms:created xsi:type="dcterms:W3CDTF">2015-12-29T20:28:00Z</dcterms:created>
  <dcterms:modified xsi:type="dcterms:W3CDTF">2015-12-29T20:28:00Z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id="2Ofdff5c"/&gt;&lt;style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value="false"/&gt;&lt;pref name="noteType" value="0"/&gt;&lt;/prefs&gt;&lt;/data&gt;</vt:lpwstr>
  </property>
</Properties>
</file>