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FDCABA" w14:textId="77777777" w:rsidR="00AF41BC" w:rsidRPr="00853B95" w:rsidRDefault="00AF41BC" w:rsidP="00AF41BC">
      <w:pPr>
        <w:adjustRightInd w:val="0"/>
        <w:snapToGrid w:val="0"/>
        <w:spacing w:line="360" w:lineRule="auto"/>
        <w:rPr>
          <w:rFonts w:ascii="Book Antiqua" w:eastAsia="Times New Roman" w:hAnsi="Book Antiqua" w:cs="SimSun"/>
          <w:b/>
          <w:szCs w:val="24"/>
        </w:rPr>
      </w:pPr>
      <w:bookmarkStart w:id="0" w:name="OLE_LINK545"/>
      <w:bookmarkStart w:id="1" w:name="OLE_LINK546"/>
      <w:r w:rsidRPr="00853B95">
        <w:rPr>
          <w:rFonts w:ascii="Book Antiqua" w:eastAsia="Times New Roman" w:hAnsi="Book Antiqua" w:cs="SimSun"/>
          <w:b/>
          <w:szCs w:val="24"/>
        </w:rPr>
        <w:t xml:space="preserve">Name of journal: </w:t>
      </w:r>
      <w:bookmarkStart w:id="2" w:name="OLE_LINK718"/>
      <w:bookmarkStart w:id="3" w:name="OLE_LINK719"/>
      <w:bookmarkStart w:id="4" w:name="OLE_LINK645"/>
      <w:bookmarkStart w:id="5" w:name="OLE_LINK661"/>
      <w:bookmarkStart w:id="6" w:name="OLE_LINK1068"/>
      <w:r w:rsidRPr="00853B95">
        <w:rPr>
          <w:rFonts w:ascii="Book Antiqua" w:eastAsia="Times New Roman" w:hAnsi="Book Antiqua" w:cs="SimSun"/>
          <w:b/>
          <w:szCs w:val="24"/>
        </w:rPr>
        <w:t xml:space="preserve">World Journal of </w:t>
      </w:r>
      <w:bookmarkStart w:id="7" w:name="OLE_LINK1222"/>
      <w:bookmarkStart w:id="8" w:name="OLE_LINK1223"/>
      <w:r w:rsidRPr="00853B95">
        <w:rPr>
          <w:rFonts w:ascii="Book Antiqua" w:eastAsia="Times New Roman" w:hAnsi="Book Antiqua" w:cs="SimSun"/>
          <w:b/>
          <w:szCs w:val="24"/>
        </w:rPr>
        <w:t>Gastroenterology</w:t>
      </w:r>
      <w:bookmarkEnd w:id="2"/>
      <w:bookmarkEnd w:id="3"/>
      <w:bookmarkEnd w:id="4"/>
      <w:bookmarkEnd w:id="5"/>
      <w:bookmarkEnd w:id="6"/>
      <w:bookmarkEnd w:id="7"/>
      <w:bookmarkEnd w:id="8"/>
    </w:p>
    <w:p w14:paraId="0B56EAB6" w14:textId="13B61894" w:rsidR="00AF41BC" w:rsidRPr="00853B95" w:rsidRDefault="00AF41BC" w:rsidP="00AF41BC">
      <w:pPr>
        <w:adjustRightInd w:val="0"/>
        <w:snapToGrid w:val="0"/>
        <w:spacing w:line="360" w:lineRule="auto"/>
        <w:rPr>
          <w:rFonts w:ascii="Book Antiqua" w:eastAsia="SimSun" w:hAnsi="Book Antiqua" w:cs="Arial"/>
          <w:szCs w:val="24"/>
          <w:lang w:val="en" w:eastAsia="zh-CN"/>
        </w:rPr>
      </w:pPr>
      <w:r w:rsidRPr="00853B95">
        <w:rPr>
          <w:rFonts w:ascii="Book Antiqua" w:hAnsi="Book Antiqua" w:cs="Arial"/>
          <w:b/>
          <w:szCs w:val="24"/>
          <w:lang w:val="en"/>
        </w:rPr>
        <w:t xml:space="preserve">ESPS Manuscript NO: </w:t>
      </w:r>
      <w:r w:rsidRPr="00853B95">
        <w:rPr>
          <w:rFonts w:ascii="Book Antiqua" w:eastAsia="SimSun" w:hAnsi="Book Antiqua" w:cs="Arial"/>
          <w:b/>
          <w:szCs w:val="24"/>
          <w:lang w:val="en" w:eastAsia="zh-CN"/>
        </w:rPr>
        <w:t>21635</w:t>
      </w:r>
    </w:p>
    <w:p w14:paraId="4C1D9707" w14:textId="70C23F91" w:rsidR="00C20C73" w:rsidRPr="00853B95" w:rsidRDefault="00AF41BC" w:rsidP="00AF41BC">
      <w:pPr>
        <w:spacing w:line="360" w:lineRule="auto"/>
        <w:rPr>
          <w:rFonts w:ascii="Book Antiqua" w:eastAsia="SimSun" w:hAnsi="Book Antiqua"/>
          <w:szCs w:val="24"/>
          <w:lang w:eastAsia="zh-CN"/>
        </w:rPr>
      </w:pPr>
      <w:r w:rsidRPr="00853B95">
        <w:rPr>
          <w:rFonts w:ascii="Book Antiqua" w:hAnsi="Book Antiqua"/>
          <w:b/>
          <w:szCs w:val="24"/>
        </w:rPr>
        <w:t xml:space="preserve">Manuscript Type: </w:t>
      </w:r>
      <w:bookmarkEnd w:id="0"/>
      <w:bookmarkEnd w:id="1"/>
      <w:r w:rsidR="00BD3C53" w:rsidRPr="00853B95">
        <w:rPr>
          <w:rFonts w:ascii="Book Antiqua" w:eastAsia="SimSun" w:hAnsi="Book Antiqua"/>
          <w:b/>
          <w:szCs w:val="24"/>
          <w:lang w:eastAsia="zh-CN"/>
        </w:rPr>
        <w:t>REVIEW</w:t>
      </w:r>
    </w:p>
    <w:p w14:paraId="7F5A35E8" w14:textId="77777777" w:rsidR="00AF41BC" w:rsidRPr="00853B95" w:rsidRDefault="00AF41BC" w:rsidP="00AF41BC">
      <w:pPr>
        <w:spacing w:line="360" w:lineRule="auto"/>
        <w:rPr>
          <w:rFonts w:ascii="Book Antiqua" w:eastAsia="SimSun" w:hAnsi="Book Antiqua"/>
          <w:b/>
          <w:szCs w:val="24"/>
          <w:lang w:eastAsia="zh-CN"/>
        </w:rPr>
      </w:pPr>
    </w:p>
    <w:p w14:paraId="2637B4A5" w14:textId="394F8812" w:rsidR="005D70D2" w:rsidRPr="00853B95" w:rsidRDefault="00AF41BC" w:rsidP="00AF41BC">
      <w:pPr>
        <w:spacing w:line="360" w:lineRule="auto"/>
        <w:rPr>
          <w:rFonts w:ascii="Book Antiqua" w:eastAsia="SimSun" w:hAnsi="Book Antiqua"/>
          <w:b/>
          <w:szCs w:val="24"/>
          <w:lang w:eastAsia="zh-CN"/>
        </w:rPr>
      </w:pPr>
      <w:r w:rsidRPr="00853B95">
        <w:rPr>
          <w:rFonts w:ascii="Book Antiqua" w:hAnsi="Book Antiqua"/>
          <w:b/>
          <w:szCs w:val="24"/>
        </w:rPr>
        <w:t xml:space="preserve">Diagnosis </w:t>
      </w:r>
      <w:r w:rsidR="00C20C73" w:rsidRPr="00853B95">
        <w:rPr>
          <w:rFonts w:ascii="Book Antiqua" w:hAnsi="Book Antiqua"/>
          <w:b/>
          <w:szCs w:val="24"/>
        </w:rPr>
        <w:t>of follicular lymphoma of the gastrointestinal tract</w:t>
      </w:r>
      <w:r w:rsidR="00B97084" w:rsidRPr="00853B95">
        <w:rPr>
          <w:rFonts w:ascii="Book Antiqua" w:hAnsi="Book Antiqua"/>
          <w:b/>
          <w:szCs w:val="24"/>
        </w:rPr>
        <w:t xml:space="preserve">: </w:t>
      </w:r>
      <w:r w:rsidR="00E82E70" w:rsidRPr="00853B95">
        <w:rPr>
          <w:rFonts w:ascii="Book Antiqua" w:hAnsi="Book Antiqua"/>
          <w:b/>
          <w:szCs w:val="24"/>
        </w:rPr>
        <w:t xml:space="preserve">A </w:t>
      </w:r>
      <w:r w:rsidR="00B97084" w:rsidRPr="00853B95">
        <w:rPr>
          <w:rFonts w:ascii="Book Antiqua" w:hAnsi="Book Antiqua"/>
          <w:b/>
          <w:szCs w:val="24"/>
        </w:rPr>
        <w:t>better initial diagnostic workup</w:t>
      </w:r>
    </w:p>
    <w:p w14:paraId="4C8ED3FA" w14:textId="77777777" w:rsidR="004F2F68" w:rsidRPr="00853B95" w:rsidRDefault="004F2F68" w:rsidP="00AF41BC">
      <w:pPr>
        <w:spacing w:line="360" w:lineRule="auto"/>
        <w:rPr>
          <w:rFonts w:ascii="Book Antiqua" w:eastAsia="SimSun" w:hAnsi="Book Antiqua"/>
          <w:b/>
          <w:szCs w:val="24"/>
          <w:lang w:eastAsia="zh-CN"/>
        </w:rPr>
      </w:pPr>
    </w:p>
    <w:p w14:paraId="4943E401" w14:textId="77777777" w:rsidR="004F2F68" w:rsidRPr="00853B95" w:rsidRDefault="004F2F68" w:rsidP="004F2F68">
      <w:pPr>
        <w:spacing w:line="360" w:lineRule="auto"/>
        <w:rPr>
          <w:rFonts w:ascii="Book Antiqua" w:hAnsi="Book Antiqua"/>
          <w:szCs w:val="24"/>
        </w:rPr>
      </w:pPr>
      <w:r w:rsidRPr="00853B95">
        <w:rPr>
          <w:rFonts w:ascii="Book Antiqua" w:hAnsi="Book Antiqua"/>
          <w:szCs w:val="24"/>
        </w:rPr>
        <w:t>Iwamuro</w:t>
      </w:r>
      <w:r w:rsidRPr="00853B95">
        <w:rPr>
          <w:rFonts w:ascii="Book Antiqua" w:eastAsia="SimSun" w:hAnsi="Book Antiqua" w:hint="eastAsia"/>
          <w:szCs w:val="24"/>
          <w:lang w:eastAsia="zh-CN"/>
        </w:rPr>
        <w:t xml:space="preserve"> M </w:t>
      </w:r>
      <w:r w:rsidRPr="00853B95">
        <w:rPr>
          <w:rFonts w:ascii="Book Antiqua" w:eastAsia="SimSun" w:hAnsi="Book Antiqua" w:hint="eastAsia"/>
          <w:i/>
          <w:szCs w:val="24"/>
          <w:lang w:eastAsia="zh-CN"/>
        </w:rPr>
        <w:t>et al.</w:t>
      </w:r>
      <w:r w:rsidRPr="00853B95">
        <w:rPr>
          <w:rFonts w:ascii="Book Antiqua" w:eastAsia="SimSun" w:hAnsi="Book Antiqua" w:hint="eastAsia"/>
          <w:szCs w:val="24"/>
          <w:lang w:eastAsia="zh-CN"/>
        </w:rPr>
        <w:t xml:space="preserve"> </w:t>
      </w:r>
      <w:r w:rsidRPr="00853B95">
        <w:rPr>
          <w:rFonts w:ascii="Book Antiqua" w:hAnsi="Book Antiqua"/>
          <w:szCs w:val="24"/>
        </w:rPr>
        <w:t>Diagnosis of GI follicular lymphoma</w:t>
      </w:r>
    </w:p>
    <w:p w14:paraId="4219F442" w14:textId="77777777" w:rsidR="00C20C73" w:rsidRPr="00853B95" w:rsidRDefault="00C20C73" w:rsidP="00AF41BC">
      <w:pPr>
        <w:spacing w:line="360" w:lineRule="auto"/>
        <w:rPr>
          <w:rFonts w:ascii="Book Antiqua" w:hAnsi="Book Antiqua"/>
          <w:szCs w:val="24"/>
        </w:rPr>
      </w:pPr>
    </w:p>
    <w:p w14:paraId="78BC6B67" w14:textId="03B17970" w:rsidR="00E053CE" w:rsidRPr="00853B95" w:rsidRDefault="00E053CE" w:rsidP="00AF41BC">
      <w:pPr>
        <w:spacing w:line="360" w:lineRule="auto"/>
        <w:rPr>
          <w:rFonts w:ascii="Book Antiqua" w:eastAsia="SimSun" w:hAnsi="Book Antiqua"/>
          <w:szCs w:val="24"/>
          <w:lang w:eastAsia="zh-CN"/>
        </w:rPr>
      </w:pPr>
      <w:r w:rsidRPr="00853B95">
        <w:rPr>
          <w:rFonts w:ascii="Book Antiqua" w:hAnsi="Book Antiqua"/>
          <w:szCs w:val="24"/>
        </w:rPr>
        <w:t>Masaya Iwamuro, Eisei Kondo, Katsuyoshi Takata, Tadashi Yoshino, Hiroyuki Okada</w:t>
      </w:r>
    </w:p>
    <w:p w14:paraId="6F71500B" w14:textId="32E926F7" w:rsidR="00E053CE" w:rsidRPr="00853B95" w:rsidRDefault="00E053CE" w:rsidP="00AF41BC">
      <w:pPr>
        <w:spacing w:line="360" w:lineRule="auto"/>
        <w:rPr>
          <w:rFonts w:ascii="Book Antiqua" w:eastAsia="SimSun" w:hAnsi="Book Antiqua"/>
          <w:szCs w:val="24"/>
          <w:lang w:eastAsia="zh-CN"/>
        </w:rPr>
      </w:pPr>
    </w:p>
    <w:p w14:paraId="69189920" w14:textId="27A0D1D4" w:rsidR="00E053CE" w:rsidRPr="00853B95" w:rsidRDefault="00AF41BC" w:rsidP="00AF41BC">
      <w:pPr>
        <w:spacing w:line="360" w:lineRule="auto"/>
        <w:rPr>
          <w:rFonts w:ascii="Book Antiqua" w:eastAsia="SimSun" w:hAnsi="Book Antiqua"/>
          <w:szCs w:val="24"/>
          <w:lang w:eastAsia="zh-CN"/>
        </w:rPr>
      </w:pPr>
      <w:r w:rsidRPr="00853B95">
        <w:rPr>
          <w:rFonts w:ascii="Book Antiqua" w:hAnsi="Book Antiqua"/>
          <w:b/>
          <w:szCs w:val="24"/>
        </w:rPr>
        <w:t>Masaya Iwamuro, Eisei Kondo,</w:t>
      </w:r>
      <w:r w:rsidRPr="00853B95">
        <w:rPr>
          <w:rFonts w:ascii="Book Antiqua" w:eastAsia="SimSun" w:hAnsi="Book Antiqua" w:hint="eastAsia"/>
          <w:szCs w:val="24"/>
          <w:lang w:eastAsia="zh-CN"/>
        </w:rPr>
        <w:t xml:space="preserve"> </w:t>
      </w:r>
      <w:r w:rsidR="00E053CE" w:rsidRPr="00853B95">
        <w:rPr>
          <w:rFonts w:ascii="Book Antiqua" w:hAnsi="Book Antiqua"/>
          <w:szCs w:val="24"/>
        </w:rPr>
        <w:t>Department of General Medicine, Okayama University Graduate School of Medicine, Dentistry and Pharmaceutical Sciences, Okayama 700-8558, Japan</w:t>
      </w:r>
    </w:p>
    <w:p w14:paraId="08C892C5" w14:textId="77777777" w:rsidR="00AF41BC" w:rsidRPr="00853B95" w:rsidRDefault="00AF41BC" w:rsidP="00AF41BC">
      <w:pPr>
        <w:spacing w:line="360" w:lineRule="auto"/>
        <w:rPr>
          <w:rFonts w:ascii="Book Antiqua" w:eastAsia="SimSun" w:hAnsi="Book Antiqua"/>
          <w:szCs w:val="24"/>
          <w:lang w:eastAsia="zh-CN"/>
        </w:rPr>
      </w:pPr>
    </w:p>
    <w:p w14:paraId="6FB74673" w14:textId="190FC3B8" w:rsidR="00E053CE" w:rsidRPr="00853B95" w:rsidRDefault="00AF41BC" w:rsidP="00AF41BC">
      <w:pPr>
        <w:spacing w:line="360" w:lineRule="auto"/>
        <w:rPr>
          <w:rFonts w:ascii="Book Antiqua" w:eastAsia="SimSun" w:hAnsi="Book Antiqua"/>
          <w:szCs w:val="24"/>
          <w:lang w:eastAsia="zh-CN"/>
        </w:rPr>
      </w:pPr>
      <w:r w:rsidRPr="00853B95">
        <w:rPr>
          <w:rFonts w:ascii="Book Antiqua" w:hAnsi="Book Antiqua"/>
          <w:b/>
          <w:szCs w:val="24"/>
        </w:rPr>
        <w:t>Masaya Iwamuro,</w:t>
      </w:r>
      <w:r w:rsidRPr="00853B95">
        <w:rPr>
          <w:rFonts w:ascii="Book Antiqua" w:hAnsi="Book Antiqua"/>
          <w:szCs w:val="24"/>
        </w:rPr>
        <w:t xml:space="preserve"> </w:t>
      </w:r>
      <w:r w:rsidR="00E053CE" w:rsidRPr="00853B95">
        <w:rPr>
          <w:rFonts w:ascii="Book Antiqua" w:hAnsi="Book Antiqua"/>
          <w:szCs w:val="24"/>
        </w:rPr>
        <w:t>Department of Gastroenterology and Hepatology, Okayama University Graduate School of Medicine, Dentistry and Pharmaceutical Sciences, Okayama 700-8558, Japan</w:t>
      </w:r>
    </w:p>
    <w:p w14:paraId="0CD43AB2" w14:textId="77777777" w:rsidR="00AF41BC" w:rsidRPr="00853B95" w:rsidRDefault="00AF41BC" w:rsidP="00AF41BC">
      <w:pPr>
        <w:spacing w:line="360" w:lineRule="auto"/>
        <w:rPr>
          <w:rFonts w:ascii="Book Antiqua" w:eastAsia="SimSun" w:hAnsi="Book Antiqua"/>
          <w:szCs w:val="24"/>
          <w:lang w:eastAsia="zh-CN"/>
        </w:rPr>
      </w:pPr>
    </w:p>
    <w:p w14:paraId="6516A435" w14:textId="600CE245" w:rsidR="00E053CE" w:rsidRPr="00853B95" w:rsidRDefault="00AF41BC" w:rsidP="00AF41BC">
      <w:pPr>
        <w:spacing w:line="360" w:lineRule="auto"/>
        <w:rPr>
          <w:rFonts w:ascii="Book Antiqua" w:eastAsia="SimSun" w:hAnsi="Book Antiqua"/>
          <w:szCs w:val="24"/>
          <w:lang w:eastAsia="zh-CN"/>
        </w:rPr>
      </w:pPr>
      <w:r w:rsidRPr="00853B95">
        <w:rPr>
          <w:rFonts w:ascii="Book Antiqua" w:hAnsi="Book Antiqua"/>
          <w:b/>
          <w:szCs w:val="24"/>
        </w:rPr>
        <w:t xml:space="preserve">Katsuyoshi Takata, Tadashi Yoshino, </w:t>
      </w:r>
      <w:r w:rsidR="00E053CE" w:rsidRPr="00853B95">
        <w:rPr>
          <w:rFonts w:ascii="Book Antiqua" w:hAnsi="Book Antiqua"/>
          <w:szCs w:val="24"/>
        </w:rPr>
        <w:t>Department of Pathology, Okayama University Hospital, Okayama 700-8558, Japan</w:t>
      </w:r>
    </w:p>
    <w:p w14:paraId="4DB07013" w14:textId="77777777" w:rsidR="00AF41BC" w:rsidRPr="00853B95" w:rsidRDefault="00AF41BC" w:rsidP="00AF41BC">
      <w:pPr>
        <w:spacing w:line="360" w:lineRule="auto"/>
        <w:rPr>
          <w:rFonts w:ascii="Book Antiqua" w:eastAsia="SimSun" w:hAnsi="Book Antiqua"/>
          <w:szCs w:val="24"/>
          <w:lang w:eastAsia="zh-CN"/>
        </w:rPr>
      </w:pPr>
    </w:p>
    <w:p w14:paraId="30A67DF7" w14:textId="18C58A93" w:rsidR="00E053CE" w:rsidRPr="00853B95" w:rsidRDefault="00AF41BC" w:rsidP="00AF41BC">
      <w:pPr>
        <w:spacing w:line="360" w:lineRule="auto"/>
        <w:rPr>
          <w:rFonts w:ascii="Book Antiqua" w:hAnsi="Book Antiqua"/>
          <w:szCs w:val="24"/>
        </w:rPr>
      </w:pPr>
      <w:r w:rsidRPr="00853B95">
        <w:rPr>
          <w:rFonts w:ascii="Book Antiqua" w:hAnsi="Book Antiqua"/>
          <w:b/>
          <w:szCs w:val="24"/>
        </w:rPr>
        <w:t>Hiroyuki Okada</w:t>
      </w:r>
      <w:r w:rsidRPr="00853B95">
        <w:rPr>
          <w:rFonts w:ascii="Book Antiqua" w:eastAsia="SimSun" w:hAnsi="Book Antiqua" w:hint="eastAsia"/>
          <w:b/>
          <w:szCs w:val="24"/>
          <w:lang w:eastAsia="zh-CN"/>
        </w:rPr>
        <w:t>,</w:t>
      </w:r>
      <w:r w:rsidRPr="00853B95">
        <w:rPr>
          <w:rFonts w:ascii="Book Antiqua" w:eastAsia="SimSun" w:hAnsi="Book Antiqua" w:hint="eastAsia"/>
          <w:szCs w:val="24"/>
          <w:lang w:eastAsia="zh-CN"/>
        </w:rPr>
        <w:t xml:space="preserve"> </w:t>
      </w:r>
      <w:r w:rsidR="00E053CE" w:rsidRPr="00853B95">
        <w:rPr>
          <w:rFonts w:ascii="Book Antiqua" w:hAnsi="Book Antiqua"/>
          <w:szCs w:val="24"/>
        </w:rPr>
        <w:t xml:space="preserve">Department of Endoscopy, Okayama University Hospital, </w:t>
      </w:r>
      <w:r w:rsidR="00E053CE" w:rsidRPr="00853B95">
        <w:rPr>
          <w:rFonts w:ascii="Book Antiqua" w:hAnsi="Book Antiqua"/>
          <w:szCs w:val="24"/>
        </w:rPr>
        <w:lastRenderedPageBreak/>
        <w:t>Okayama 700-8558, Japan</w:t>
      </w:r>
    </w:p>
    <w:p w14:paraId="0F9DBF75" w14:textId="77777777" w:rsidR="00B97084" w:rsidRPr="00853B95" w:rsidRDefault="00B97084" w:rsidP="00AF41BC">
      <w:pPr>
        <w:spacing w:line="360" w:lineRule="auto"/>
        <w:rPr>
          <w:rFonts w:ascii="Book Antiqua" w:eastAsia="SimSun" w:hAnsi="Book Antiqua"/>
          <w:szCs w:val="24"/>
          <w:lang w:eastAsia="zh-CN"/>
        </w:rPr>
      </w:pPr>
    </w:p>
    <w:p w14:paraId="234D89E0" w14:textId="1689BA33" w:rsidR="005D32FB" w:rsidRPr="00853B95" w:rsidRDefault="005D32FB" w:rsidP="00AF41BC">
      <w:pPr>
        <w:spacing w:line="360" w:lineRule="auto"/>
        <w:rPr>
          <w:rFonts w:ascii="Book Antiqua" w:hAnsi="Book Antiqua"/>
          <w:szCs w:val="24"/>
        </w:rPr>
      </w:pPr>
      <w:r w:rsidRPr="00853B95">
        <w:rPr>
          <w:rFonts w:ascii="Book Antiqua" w:hAnsi="Book Antiqua"/>
          <w:b/>
          <w:szCs w:val="24"/>
        </w:rPr>
        <w:t>Author contributions:</w:t>
      </w:r>
      <w:r w:rsidRPr="00853B95">
        <w:rPr>
          <w:rFonts w:ascii="Book Antiqua" w:hAnsi="Book Antiqua"/>
          <w:szCs w:val="24"/>
        </w:rPr>
        <w:t xml:space="preserve"> Iwamuro</w:t>
      </w:r>
      <w:r w:rsidR="00AF41BC" w:rsidRPr="00853B95">
        <w:rPr>
          <w:rFonts w:ascii="Book Antiqua" w:eastAsia="SimSun" w:hAnsi="Book Antiqua" w:hint="eastAsia"/>
          <w:szCs w:val="24"/>
          <w:lang w:eastAsia="zh-CN"/>
        </w:rPr>
        <w:t xml:space="preserve"> M</w:t>
      </w:r>
      <w:r w:rsidRPr="00853B95">
        <w:rPr>
          <w:rFonts w:ascii="Book Antiqua" w:hAnsi="Book Antiqua"/>
          <w:szCs w:val="24"/>
        </w:rPr>
        <w:t xml:space="preserve"> </w:t>
      </w:r>
      <w:r w:rsidR="00BF7766" w:rsidRPr="00853B95">
        <w:rPr>
          <w:rFonts w:ascii="Book Antiqua" w:hAnsi="Book Antiqua"/>
          <w:szCs w:val="24"/>
        </w:rPr>
        <w:t xml:space="preserve">organized the report and </w:t>
      </w:r>
      <w:r w:rsidRPr="00853B95">
        <w:rPr>
          <w:rFonts w:ascii="Book Antiqua" w:hAnsi="Book Antiqua"/>
          <w:szCs w:val="24"/>
        </w:rPr>
        <w:t>drafted the article; Kondo</w:t>
      </w:r>
      <w:r w:rsidR="00AF41BC" w:rsidRPr="00853B95">
        <w:rPr>
          <w:rFonts w:ascii="Book Antiqua" w:eastAsia="SimSun" w:hAnsi="Book Antiqua" w:hint="eastAsia"/>
          <w:szCs w:val="24"/>
          <w:lang w:eastAsia="zh-CN"/>
        </w:rPr>
        <w:t xml:space="preserve"> E</w:t>
      </w:r>
      <w:r w:rsidRPr="00853B95">
        <w:rPr>
          <w:rFonts w:ascii="Book Antiqua" w:hAnsi="Book Antiqua"/>
          <w:szCs w:val="24"/>
        </w:rPr>
        <w:t>, Takata</w:t>
      </w:r>
      <w:r w:rsidR="00AF41BC" w:rsidRPr="00853B95">
        <w:rPr>
          <w:rFonts w:ascii="Book Antiqua" w:eastAsia="SimSun" w:hAnsi="Book Antiqua" w:hint="eastAsia"/>
          <w:szCs w:val="24"/>
          <w:lang w:eastAsia="zh-CN"/>
        </w:rPr>
        <w:t xml:space="preserve"> K</w:t>
      </w:r>
      <w:r w:rsidR="002313C4" w:rsidRPr="00853B95">
        <w:rPr>
          <w:rFonts w:ascii="Book Antiqua" w:hAnsi="Book Antiqua"/>
          <w:szCs w:val="24"/>
        </w:rPr>
        <w:t xml:space="preserve"> and</w:t>
      </w:r>
      <w:r w:rsidRPr="00853B95">
        <w:rPr>
          <w:rFonts w:ascii="Book Antiqua" w:hAnsi="Book Antiqua"/>
          <w:szCs w:val="24"/>
        </w:rPr>
        <w:t xml:space="preserve"> Yoshino </w:t>
      </w:r>
      <w:r w:rsidR="00AF41BC" w:rsidRPr="00853B95">
        <w:rPr>
          <w:rFonts w:ascii="Book Antiqua" w:eastAsia="SimSun" w:hAnsi="Book Antiqua" w:hint="eastAsia"/>
          <w:szCs w:val="24"/>
          <w:lang w:eastAsia="zh-CN"/>
        </w:rPr>
        <w:t xml:space="preserve">T </w:t>
      </w:r>
      <w:r w:rsidRPr="00853B95">
        <w:rPr>
          <w:rFonts w:ascii="Book Antiqua" w:hAnsi="Book Antiqua"/>
          <w:szCs w:val="24"/>
        </w:rPr>
        <w:t xml:space="preserve">critically revised the article for important intellectual content; Okada </w:t>
      </w:r>
      <w:r w:rsidR="00AF41BC" w:rsidRPr="00853B95">
        <w:rPr>
          <w:rFonts w:ascii="Book Antiqua" w:eastAsia="SimSun" w:hAnsi="Book Antiqua" w:hint="eastAsia"/>
          <w:szCs w:val="24"/>
          <w:lang w:eastAsia="zh-CN"/>
        </w:rPr>
        <w:t xml:space="preserve">H </w:t>
      </w:r>
      <w:r w:rsidRPr="00853B95">
        <w:rPr>
          <w:rFonts w:ascii="Book Antiqua" w:hAnsi="Book Antiqua"/>
          <w:szCs w:val="24"/>
        </w:rPr>
        <w:t xml:space="preserve">approved the </w:t>
      </w:r>
      <w:r w:rsidR="002313C4" w:rsidRPr="00853B95">
        <w:rPr>
          <w:rFonts w:ascii="Book Antiqua" w:hAnsi="Book Antiqua"/>
          <w:szCs w:val="24"/>
        </w:rPr>
        <w:t xml:space="preserve">final </w:t>
      </w:r>
      <w:r w:rsidRPr="00853B95">
        <w:rPr>
          <w:rFonts w:ascii="Book Antiqua" w:hAnsi="Book Antiqua"/>
          <w:szCs w:val="24"/>
        </w:rPr>
        <w:t>article.</w:t>
      </w:r>
    </w:p>
    <w:p w14:paraId="0EE57703" w14:textId="77777777" w:rsidR="00AB3EEE" w:rsidRPr="00853B95" w:rsidRDefault="00AB3EEE" w:rsidP="00AF41BC">
      <w:pPr>
        <w:spacing w:line="360" w:lineRule="auto"/>
        <w:rPr>
          <w:rFonts w:ascii="Book Antiqua" w:eastAsia="SimSun" w:hAnsi="Book Antiqua"/>
          <w:szCs w:val="24"/>
          <w:lang w:eastAsia="zh-CN"/>
        </w:rPr>
      </w:pPr>
    </w:p>
    <w:p w14:paraId="0158BBC2" w14:textId="5CB9112C" w:rsidR="00BF7766" w:rsidRPr="00853B95" w:rsidRDefault="00ED1AF2" w:rsidP="00AF41BC">
      <w:pPr>
        <w:spacing w:line="360" w:lineRule="auto"/>
        <w:rPr>
          <w:rFonts w:ascii="Book Antiqua" w:eastAsia="SimSun" w:hAnsi="Book Antiqua"/>
          <w:szCs w:val="24"/>
          <w:lang w:eastAsia="zh-CN"/>
        </w:rPr>
      </w:pPr>
      <w:r w:rsidRPr="00620464">
        <w:rPr>
          <w:rFonts w:ascii="Book Antiqua" w:hAnsi="Book Antiqua" w:cs="TimesNewRomanPS-BoldItalicMT"/>
          <w:b/>
          <w:bCs/>
          <w:iCs/>
          <w:kern w:val="0"/>
        </w:rPr>
        <w:t>Conflict-of-interest</w:t>
      </w:r>
      <w:r w:rsidRPr="00E16264">
        <w:t xml:space="preserve"> </w:t>
      </w:r>
      <w:r w:rsidRPr="00E16264">
        <w:rPr>
          <w:rFonts w:ascii="Book Antiqua" w:hAnsi="Book Antiqua" w:cs="TimesNewRomanPS-BoldItalicMT"/>
          <w:b/>
          <w:bCs/>
          <w:iCs/>
          <w:kern w:val="0"/>
        </w:rPr>
        <w:t>statement</w:t>
      </w:r>
      <w:r w:rsidRPr="00620464">
        <w:rPr>
          <w:rFonts w:ascii="Book Antiqua" w:hAnsi="Book Antiqua" w:cs="TimesNewRomanPS-BoldItalicMT"/>
          <w:b/>
          <w:bCs/>
          <w:iCs/>
        </w:rPr>
        <w:t>:</w:t>
      </w:r>
      <w:r w:rsidRPr="00620464">
        <w:rPr>
          <w:rFonts w:ascii="Book Antiqua" w:hAnsi="Book Antiqua" w:cs="TimesNewRomanPS-BoldItalicMT"/>
          <w:b/>
          <w:bCs/>
          <w:iCs/>
          <w:kern w:val="0"/>
        </w:rPr>
        <w:t xml:space="preserve"> </w:t>
      </w:r>
      <w:r w:rsidR="00BF7766" w:rsidRPr="00853B95">
        <w:rPr>
          <w:rFonts w:ascii="Book Antiqua" w:hAnsi="Book Antiqua"/>
          <w:szCs w:val="24"/>
        </w:rPr>
        <w:t xml:space="preserve">All </w:t>
      </w:r>
      <w:r w:rsidR="002313C4" w:rsidRPr="00853B95">
        <w:rPr>
          <w:rFonts w:ascii="Book Antiqua" w:hAnsi="Book Antiqua"/>
          <w:szCs w:val="24"/>
        </w:rPr>
        <w:t xml:space="preserve">of </w:t>
      </w:r>
      <w:r w:rsidR="00BF7766" w:rsidRPr="00853B95">
        <w:rPr>
          <w:rFonts w:ascii="Book Antiqua" w:hAnsi="Book Antiqua"/>
          <w:szCs w:val="24"/>
        </w:rPr>
        <w:t>the authors declare that they have no conflicts of interest associated with this article.</w:t>
      </w:r>
    </w:p>
    <w:p w14:paraId="5A111C25" w14:textId="77777777" w:rsidR="00AF41BC" w:rsidRPr="00853B95" w:rsidRDefault="00AF41BC" w:rsidP="00AF41BC">
      <w:pPr>
        <w:spacing w:line="360" w:lineRule="auto"/>
        <w:rPr>
          <w:rFonts w:ascii="Book Antiqua" w:eastAsia="SimSun" w:hAnsi="Book Antiqua"/>
          <w:szCs w:val="24"/>
          <w:lang w:eastAsia="zh-CN"/>
        </w:rPr>
      </w:pPr>
    </w:p>
    <w:p w14:paraId="7BC89BE2" w14:textId="77777777" w:rsidR="00AF41BC" w:rsidRPr="00853B95" w:rsidRDefault="00AF41BC" w:rsidP="00AF41BC">
      <w:pPr>
        <w:spacing w:line="360" w:lineRule="auto"/>
        <w:rPr>
          <w:rFonts w:ascii="Book Antiqua" w:hAnsi="Book Antiqua"/>
          <w:b/>
          <w:kern w:val="0"/>
        </w:rPr>
      </w:pPr>
      <w:bookmarkStart w:id="9" w:name="OLE_LINK155"/>
      <w:bookmarkStart w:id="10" w:name="OLE_LINK183"/>
      <w:r w:rsidRPr="00853B95">
        <w:rPr>
          <w:rFonts w:ascii="Book Antiqua" w:hAnsi="Book Antiqua"/>
          <w:b/>
          <w:kern w:val="0"/>
        </w:rPr>
        <w:t xml:space="preserve">Open-Access: </w:t>
      </w:r>
      <w:r w:rsidRPr="00853B95">
        <w:rPr>
          <w:rFonts w:ascii="Book Antiqua" w:hAnsi="Book Antiqua"/>
          <w:kern w:val="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9"/>
    <w:bookmarkEnd w:id="10"/>
    <w:p w14:paraId="4427BE3E" w14:textId="77777777" w:rsidR="00BF7766" w:rsidRPr="00853B95" w:rsidRDefault="00BF7766" w:rsidP="00AF41BC">
      <w:pPr>
        <w:spacing w:line="360" w:lineRule="auto"/>
        <w:rPr>
          <w:rFonts w:ascii="Book Antiqua" w:hAnsi="Book Antiqua"/>
          <w:szCs w:val="24"/>
        </w:rPr>
      </w:pPr>
    </w:p>
    <w:p w14:paraId="1350EAB0" w14:textId="4986E93B" w:rsidR="00E053CE" w:rsidRPr="00853B95" w:rsidRDefault="00AF41BC" w:rsidP="00AF41BC">
      <w:pPr>
        <w:spacing w:line="360" w:lineRule="auto"/>
        <w:rPr>
          <w:rFonts w:ascii="Book Antiqua" w:eastAsia="SimSun" w:hAnsi="Book Antiqua"/>
          <w:b/>
          <w:lang w:eastAsia="zh-CN"/>
        </w:rPr>
      </w:pPr>
      <w:bookmarkStart w:id="11" w:name="OLE_LINK535"/>
      <w:bookmarkStart w:id="12" w:name="OLE_LINK536"/>
      <w:r w:rsidRPr="00853B95">
        <w:rPr>
          <w:rFonts w:ascii="Book Antiqua" w:hAnsi="Book Antiqua"/>
          <w:b/>
        </w:rPr>
        <w:t>Correspondence to:</w:t>
      </w:r>
      <w:bookmarkEnd w:id="11"/>
      <w:bookmarkEnd w:id="12"/>
      <w:r w:rsidR="00E053CE" w:rsidRPr="00853B95">
        <w:rPr>
          <w:rFonts w:ascii="Book Antiqua" w:hAnsi="Book Antiqua"/>
          <w:b/>
          <w:szCs w:val="24"/>
        </w:rPr>
        <w:t xml:space="preserve"> Masaya Iwamuro, </w:t>
      </w:r>
      <w:r w:rsidR="00726B59">
        <w:rPr>
          <w:rFonts w:ascii="Book Antiqua" w:eastAsia="SimSun" w:hAnsi="Book Antiqua" w:hint="eastAsia"/>
          <w:b/>
          <w:szCs w:val="24"/>
          <w:lang w:eastAsia="zh-CN"/>
        </w:rPr>
        <w:t xml:space="preserve">MD, </w:t>
      </w:r>
      <w:r w:rsidR="00E053CE" w:rsidRPr="00853B95">
        <w:rPr>
          <w:rFonts w:ascii="Book Antiqua" w:hAnsi="Book Antiqua"/>
          <w:szCs w:val="24"/>
        </w:rPr>
        <w:t>Department of General Medicine, Okayama University Graduate School of Medicine, Dentistry, and Pharmaceutical Sciences, 2-5-1 Shikata-cho, Kita-Ku, Okayama 700-8558, Japan</w:t>
      </w:r>
      <w:r w:rsidRPr="00853B95">
        <w:rPr>
          <w:rFonts w:ascii="Book Antiqua" w:eastAsia="SimSun" w:hAnsi="Book Antiqua" w:hint="eastAsia"/>
          <w:szCs w:val="24"/>
          <w:lang w:eastAsia="zh-CN"/>
        </w:rPr>
        <w:t xml:space="preserve">. </w:t>
      </w:r>
      <w:r w:rsidRPr="00853B95">
        <w:rPr>
          <w:rFonts w:ascii="Book Antiqua" w:hAnsi="Book Antiqua"/>
          <w:szCs w:val="24"/>
        </w:rPr>
        <w:t>iwamuromasaya@yahoo.co.jp</w:t>
      </w:r>
    </w:p>
    <w:p w14:paraId="321254A4" w14:textId="107E99A0" w:rsidR="00AF41BC" w:rsidRPr="00853B95" w:rsidRDefault="00AF41BC" w:rsidP="00AF41BC">
      <w:pPr>
        <w:spacing w:line="360" w:lineRule="auto"/>
        <w:rPr>
          <w:rFonts w:ascii="Book Antiqua" w:eastAsia="SimSun" w:hAnsi="Book Antiqua"/>
          <w:szCs w:val="24"/>
          <w:lang w:eastAsia="zh-CN"/>
        </w:rPr>
      </w:pPr>
      <w:r w:rsidRPr="00853B95">
        <w:rPr>
          <w:rFonts w:ascii="Book Antiqua" w:eastAsia="SimSun" w:hAnsi="Book Antiqua" w:hint="eastAsia"/>
          <w:b/>
          <w:szCs w:val="24"/>
          <w:lang w:eastAsia="zh-CN"/>
        </w:rPr>
        <w:t>Tele</w:t>
      </w:r>
      <w:r w:rsidRPr="00853B95">
        <w:rPr>
          <w:rFonts w:ascii="Book Antiqua" w:hAnsi="Book Antiqua"/>
          <w:b/>
          <w:szCs w:val="24"/>
        </w:rPr>
        <w:t>p</w:t>
      </w:r>
      <w:r w:rsidR="004008EB" w:rsidRPr="00853B95">
        <w:rPr>
          <w:rFonts w:ascii="Book Antiqua" w:hAnsi="Book Antiqua"/>
          <w:b/>
          <w:szCs w:val="24"/>
        </w:rPr>
        <w:t>hone</w:t>
      </w:r>
      <w:r w:rsidRPr="00853B95">
        <w:rPr>
          <w:rFonts w:ascii="Book Antiqua" w:hAnsi="Book Antiqua"/>
          <w:szCs w:val="24"/>
        </w:rPr>
        <w:t>: +81-86-2357219</w:t>
      </w:r>
    </w:p>
    <w:p w14:paraId="22481531" w14:textId="0404A0F3" w:rsidR="00E053CE" w:rsidRPr="00853B95" w:rsidRDefault="004008EB" w:rsidP="00AF41BC">
      <w:pPr>
        <w:spacing w:line="360" w:lineRule="auto"/>
        <w:rPr>
          <w:rFonts w:ascii="Book Antiqua" w:hAnsi="Book Antiqua"/>
          <w:szCs w:val="24"/>
        </w:rPr>
      </w:pPr>
      <w:r w:rsidRPr="00853B95">
        <w:rPr>
          <w:rFonts w:ascii="Book Antiqua" w:hAnsi="Book Antiqua"/>
          <w:b/>
          <w:szCs w:val="24"/>
        </w:rPr>
        <w:t>Fax</w:t>
      </w:r>
      <w:r w:rsidR="00AF41BC" w:rsidRPr="00853B95">
        <w:rPr>
          <w:rFonts w:ascii="Book Antiqua" w:hAnsi="Book Antiqua"/>
          <w:szCs w:val="24"/>
        </w:rPr>
        <w:t>: +81-86-225</w:t>
      </w:r>
      <w:r w:rsidRPr="00853B95">
        <w:rPr>
          <w:rFonts w:ascii="Book Antiqua" w:hAnsi="Book Antiqua"/>
          <w:szCs w:val="24"/>
        </w:rPr>
        <w:t>5991</w:t>
      </w:r>
    </w:p>
    <w:p w14:paraId="397F616E" w14:textId="77777777" w:rsidR="00E053CE" w:rsidRPr="00853B95" w:rsidRDefault="00E053CE" w:rsidP="00AF41BC">
      <w:pPr>
        <w:spacing w:line="360" w:lineRule="auto"/>
        <w:rPr>
          <w:rFonts w:ascii="Book Antiqua" w:hAnsi="Book Antiqua"/>
          <w:szCs w:val="24"/>
        </w:rPr>
      </w:pPr>
    </w:p>
    <w:p w14:paraId="72988E56" w14:textId="5031C1B9" w:rsidR="00AF41BC" w:rsidRPr="00853B95" w:rsidRDefault="00AF41BC" w:rsidP="00AF41BC">
      <w:pPr>
        <w:spacing w:line="360" w:lineRule="auto"/>
        <w:rPr>
          <w:rFonts w:ascii="Book Antiqua" w:eastAsia="SimSun" w:hAnsi="Book Antiqua"/>
          <w:lang w:eastAsia="zh-CN"/>
        </w:rPr>
      </w:pPr>
      <w:bookmarkStart w:id="13" w:name="OLE_LINK476"/>
      <w:bookmarkStart w:id="14" w:name="OLE_LINK477"/>
      <w:bookmarkStart w:id="15" w:name="OLE_LINK117"/>
      <w:bookmarkStart w:id="16" w:name="OLE_LINK528"/>
      <w:bookmarkStart w:id="17" w:name="OLE_LINK557"/>
      <w:r w:rsidRPr="00853B95">
        <w:rPr>
          <w:rFonts w:ascii="Book Antiqua" w:hAnsi="Book Antiqua"/>
          <w:b/>
        </w:rPr>
        <w:lastRenderedPageBreak/>
        <w:t>Received:</w:t>
      </w:r>
      <w:r w:rsidRPr="00853B95">
        <w:rPr>
          <w:rFonts w:ascii="Book Antiqua" w:eastAsia="SimSun" w:hAnsi="Book Antiqua" w:hint="eastAsia"/>
          <w:lang w:eastAsia="zh-CN"/>
        </w:rPr>
        <w:t xml:space="preserve"> July 22, 2015</w:t>
      </w:r>
    </w:p>
    <w:p w14:paraId="619976BF" w14:textId="1B6AC559" w:rsidR="00AF41BC" w:rsidRPr="00853B95" w:rsidRDefault="00AF41BC" w:rsidP="00AF41BC">
      <w:pPr>
        <w:spacing w:line="360" w:lineRule="auto"/>
        <w:rPr>
          <w:rFonts w:ascii="Book Antiqua" w:eastAsia="SimSun" w:hAnsi="Book Antiqua"/>
          <w:lang w:eastAsia="zh-CN"/>
        </w:rPr>
      </w:pPr>
      <w:r w:rsidRPr="00853B95">
        <w:rPr>
          <w:rFonts w:ascii="Book Antiqua" w:hAnsi="Book Antiqua" w:hint="eastAsia"/>
          <w:b/>
        </w:rPr>
        <w:t>Peer-review started</w:t>
      </w:r>
      <w:r w:rsidRPr="00853B95">
        <w:rPr>
          <w:rFonts w:ascii="Book Antiqua" w:hAnsi="Book Antiqua"/>
          <w:b/>
        </w:rPr>
        <w:t>:</w:t>
      </w:r>
      <w:r w:rsidRPr="00853B95">
        <w:rPr>
          <w:rFonts w:ascii="Book Antiqua" w:eastAsia="SimSun" w:hAnsi="Book Antiqua" w:hint="eastAsia"/>
          <w:lang w:eastAsia="zh-CN"/>
        </w:rPr>
        <w:t xml:space="preserve"> July 30, 2015</w:t>
      </w:r>
    </w:p>
    <w:p w14:paraId="576D60D1" w14:textId="0F206E21" w:rsidR="00AF41BC" w:rsidRPr="00853B95" w:rsidRDefault="00AF41BC" w:rsidP="00AF41BC">
      <w:pPr>
        <w:spacing w:line="360" w:lineRule="auto"/>
        <w:rPr>
          <w:rFonts w:ascii="Book Antiqua" w:eastAsia="SimSun" w:hAnsi="Book Antiqua"/>
          <w:lang w:eastAsia="zh-CN"/>
        </w:rPr>
      </w:pPr>
      <w:r w:rsidRPr="00853B95">
        <w:rPr>
          <w:rFonts w:ascii="Book Antiqua" w:hAnsi="Book Antiqua"/>
          <w:b/>
        </w:rPr>
        <w:t>First decision:</w:t>
      </w:r>
      <w:r w:rsidRPr="00853B95">
        <w:rPr>
          <w:rFonts w:ascii="Book Antiqua" w:eastAsia="SimSun" w:hAnsi="Book Antiqua" w:hint="eastAsia"/>
          <w:b/>
          <w:lang w:eastAsia="zh-CN"/>
        </w:rPr>
        <w:t xml:space="preserve"> </w:t>
      </w:r>
      <w:r w:rsidRPr="00853B95">
        <w:rPr>
          <w:rFonts w:ascii="Book Antiqua" w:eastAsia="SimSun" w:hAnsi="Book Antiqua"/>
          <w:lang w:eastAsia="zh-CN"/>
        </w:rPr>
        <w:t xml:space="preserve">September </w:t>
      </w:r>
      <w:r w:rsidRPr="00853B95">
        <w:rPr>
          <w:rFonts w:ascii="Book Antiqua" w:eastAsia="SimSun" w:hAnsi="Book Antiqua" w:hint="eastAsia"/>
          <w:lang w:eastAsia="zh-CN"/>
        </w:rPr>
        <w:t>11</w:t>
      </w:r>
      <w:r w:rsidRPr="00853B95">
        <w:rPr>
          <w:rFonts w:ascii="Book Antiqua" w:eastAsia="SimSun" w:hAnsi="Book Antiqua"/>
          <w:lang w:eastAsia="zh-CN"/>
        </w:rPr>
        <w:t>, 2015</w:t>
      </w:r>
    </w:p>
    <w:p w14:paraId="1A280D31" w14:textId="3F1DD3D5" w:rsidR="00AF41BC" w:rsidRPr="00853B95" w:rsidRDefault="00AF41BC" w:rsidP="00AF41BC">
      <w:pPr>
        <w:spacing w:line="360" w:lineRule="auto"/>
        <w:rPr>
          <w:rFonts w:ascii="Book Antiqua" w:hAnsi="Book Antiqua"/>
        </w:rPr>
      </w:pPr>
      <w:r w:rsidRPr="00853B95">
        <w:rPr>
          <w:rFonts w:ascii="Book Antiqua" w:hAnsi="Book Antiqua"/>
          <w:b/>
        </w:rPr>
        <w:t>Revised:</w:t>
      </w:r>
      <w:r w:rsidRPr="00853B95">
        <w:rPr>
          <w:rFonts w:ascii="Book Antiqua" w:eastAsia="SimSun" w:hAnsi="Book Antiqua"/>
          <w:b/>
          <w:lang w:eastAsia="zh-CN"/>
        </w:rPr>
        <w:t xml:space="preserve"> </w:t>
      </w:r>
      <w:r w:rsidRPr="00853B95">
        <w:rPr>
          <w:rFonts w:ascii="Book Antiqua" w:eastAsia="SimSun" w:hAnsi="Book Antiqua"/>
          <w:lang w:eastAsia="zh-CN"/>
        </w:rPr>
        <w:t xml:space="preserve">September </w:t>
      </w:r>
      <w:r w:rsidRPr="00853B95">
        <w:rPr>
          <w:rFonts w:ascii="Book Antiqua" w:eastAsia="SimSun" w:hAnsi="Book Antiqua" w:hint="eastAsia"/>
          <w:lang w:eastAsia="zh-CN"/>
        </w:rPr>
        <w:t>28</w:t>
      </w:r>
      <w:r w:rsidRPr="00853B95">
        <w:rPr>
          <w:rFonts w:ascii="Book Antiqua" w:eastAsia="SimSun" w:hAnsi="Book Antiqua"/>
          <w:lang w:eastAsia="zh-CN"/>
        </w:rPr>
        <w:t>, 2015</w:t>
      </w:r>
    </w:p>
    <w:p w14:paraId="0D8ECD6C" w14:textId="145011F2" w:rsidR="00AF41BC" w:rsidRPr="00A91C99" w:rsidRDefault="00AF41BC" w:rsidP="00AF41BC">
      <w:pPr>
        <w:spacing w:line="360" w:lineRule="auto"/>
        <w:rPr>
          <w:rFonts w:ascii="Book Antiqua" w:hAnsi="Book Antiqua"/>
          <w:color w:val="000000"/>
        </w:rPr>
      </w:pPr>
      <w:r w:rsidRPr="00853B95">
        <w:rPr>
          <w:rFonts w:ascii="Book Antiqua" w:hAnsi="Book Antiqua"/>
          <w:b/>
        </w:rPr>
        <w:t>Accepted:</w:t>
      </w:r>
      <w:bookmarkStart w:id="18" w:name="OLE_LINK98"/>
      <w:bookmarkStart w:id="19" w:name="OLE_LINK99"/>
      <w:bookmarkStart w:id="20" w:name="OLE_LINK104"/>
      <w:bookmarkStart w:id="21" w:name="OLE_LINK110"/>
      <w:bookmarkStart w:id="22" w:name="OLE_LINK111"/>
      <w:bookmarkStart w:id="23" w:name="OLE_LINK115"/>
      <w:bookmarkStart w:id="24" w:name="OLE_LINK118"/>
      <w:bookmarkStart w:id="25" w:name="OLE_LINK119"/>
      <w:bookmarkStart w:id="26" w:name="OLE_LINK120"/>
      <w:bookmarkStart w:id="27" w:name="OLE_LINK121"/>
      <w:bookmarkStart w:id="28" w:name="OLE_LINK122"/>
      <w:bookmarkStart w:id="29" w:name="OLE_LINK125"/>
      <w:bookmarkStart w:id="30" w:name="OLE_LINK126"/>
      <w:bookmarkStart w:id="31" w:name="OLE_LINK127"/>
      <w:bookmarkStart w:id="32" w:name="OLE_LINK129"/>
      <w:bookmarkStart w:id="33" w:name="OLE_LINK135"/>
      <w:bookmarkStart w:id="34" w:name="OLE_LINK136"/>
      <w:bookmarkStart w:id="35" w:name="OLE_LINK137"/>
      <w:bookmarkStart w:id="36" w:name="OLE_LINK138"/>
      <w:bookmarkStart w:id="37" w:name="OLE_LINK139"/>
      <w:bookmarkStart w:id="38" w:name="OLE_LINK141"/>
      <w:r w:rsidR="00A91C99" w:rsidRPr="00A91C99">
        <w:rPr>
          <w:rFonts w:ascii="Book Antiqua" w:hAnsi="Book Antiqua"/>
          <w:color w:val="000000"/>
        </w:rPr>
        <w:t xml:space="preserve"> </w:t>
      </w:r>
      <w:r w:rsidR="00A91C99">
        <w:rPr>
          <w:rFonts w:ascii="Book Antiqua" w:hAnsi="Book Antiqua"/>
          <w:color w:val="000000"/>
        </w:rPr>
        <w:t>October 12, 2015</w:t>
      </w:r>
      <w:bookmarkStart w:id="39" w:name="_GoBack"/>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853B95">
        <w:rPr>
          <w:rFonts w:ascii="Book Antiqua" w:hAnsi="Book Antiqua" w:hint="eastAsia"/>
          <w:b/>
        </w:rPr>
        <w:t xml:space="preserve">  </w:t>
      </w:r>
    </w:p>
    <w:p w14:paraId="3A6B59B0" w14:textId="77777777" w:rsidR="00AF41BC" w:rsidRPr="00853B95" w:rsidRDefault="00AF41BC" w:rsidP="00AF41BC">
      <w:pPr>
        <w:spacing w:line="360" w:lineRule="auto"/>
        <w:rPr>
          <w:rFonts w:ascii="Book Antiqua" w:hAnsi="Book Antiqua"/>
          <w:b/>
        </w:rPr>
      </w:pPr>
      <w:r w:rsidRPr="00853B95">
        <w:rPr>
          <w:rFonts w:ascii="Book Antiqua" w:hAnsi="Book Antiqua"/>
          <w:b/>
        </w:rPr>
        <w:t>Article in press:</w:t>
      </w:r>
    </w:p>
    <w:p w14:paraId="435C8A48" w14:textId="77777777" w:rsidR="00AF41BC" w:rsidRPr="00853B95" w:rsidRDefault="00AF41BC" w:rsidP="00AF41BC">
      <w:pPr>
        <w:spacing w:line="360" w:lineRule="auto"/>
        <w:rPr>
          <w:rFonts w:ascii="Book Antiqua" w:hAnsi="Book Antiqua"/>
          <w:b/>
        </w:rPr>
      </w:pPr>
      <w:r w:rsidRPr="00853B95">
        <w:rPr>
          <w:rFonts w:ascii="Book Antiqua" w:hAnsi="Book Antiqua"/>
          <w:b/>
        </w:rPr>
        <w:t>Published online:</w:t>
      </w:r>
    </w:p>
    <w:bookmarkEnd w:id="13"/>
    <w:bookmarkEnd w:id="14"/>
    <w:bookmarkEnd w:id="15"/>
    <w:bookmarkEnd w:id="16"/>
    <w:bookmarkEnd w:id="17"/>
    <w:p w14:paraId="66C9860F" w14:textId="77777777" w:rsidR="00E053CE" w:rsidRPr="00853B95" w:rsidRDefault="004008EB" w:rsidP="00AF41BC">
      <w:pPr>
        <w:widowControl/>
        <w:spacing w:line="360" w:lineRule="auto"/>
        <w:rPr>
          <w:rFonts w:ascii="Book Antiqua" w:hAnsi="Book Antiqua"/>
          <w:szCs w:val="24"/>
        </w:rPr>
      </w:pPr>
      <w:r w:rsidRPr="00853B95">
        <w:rPr>
          <w:rFonts w:ascii="Book Antiqua" w:hAnsi="Book Antiqua"/>
          <w:szCs w:val="24"/>
        </w:rPr>
        <w:br w:type="page"/>
      </w:r>
    </w:p>
    <w:p w14:paraId="5C28EA21" w14:textId="77777777" w:rsidR="00E053CE" w:rsidRPr="00853B95" w:rsidRDefault="004008EB" w:rsidP="00AF41BC">
      <w:pPr>
        <w:spacing w:line="360" w:lineRule="auto"/>
        <w:rPr>
          <w:rFonts w:ascii="Book Antiqua" w:hAnsi="Book Antiqua"/>
          <w:b/>
          <w:szCs w:val="24"/>
        </w:rPr>
      </w:pPr>
      <w:r w:rsidRPr="00853B95">
        <w:rPr>
          <w:rFonts w:ascii="Book Antiqua" w:hAnsi="Book Antiqua"/>
          <w:b/>
          <w:szCs w:val="24"/>
        </w:rPr>
        <w:lastRenderedPageBreak/>
        <w:t>Abstract</w:t>
      </w:r>
    </w:p>
    <w:p w14:paraId="28AAD76B" w14:textId="214C571E" w:rsidR="004008EB" w:rsidRPr="00853B95" w:rsidRDefault="004008EB" w:rsidP="00AF41BC">
      <w:pPr>
        <w:spacing w:line="360" w:lineRule="auto"/>
        <w:rPr>
          <w:rFonts w:ascii="Book Antiqua" w:hAnsi="Book Antiqua"/>
          <w:szCs w:val="24"/>
        </w:rPr>
      </w:pPr>
      <w:r w:rsidRPr="00853B95">
        <w:rPr>
          <w:rFonts w:ascii="Book Antiqua" w:hAnsi="Book Antiqua"/>
          <w:szCs w:val="24"/>
        </w:rPr>
        <w:t>Due to an increasing incidence and more frequent recognition by endoscopists, gastrointestinal follicular lymphoma has been established as a variant of follicular lymphoma. However, due to its rarity, there are no established guidelines on the optimal diagnostic strategy for patients with primary gastrointestinal follicular lymphoma or secondary gastrointestinal involvement of systemic follicular lymphoma. This review offers an overview and pitfalls to avoid during the initial diagnostic workup of this disease entity. Previously reported case reports, case series, and retrospective studies are reviewed</w:t>
      </w:r>
      <w:r w:rsidR="00A11BFD" w:rsidRPr="00853B95">
        <w:rPr>
          <w:rFonts w:ascii="Book Antiqua" w:hAnsi="Book Antiqua"/>
          <w:szCs w:val="24"/>
        </w:rPr>
        <w:t xml:space="preserve"> and </w:t>
      </w:r>
      <w:r w:rsidRPr="00853B95">
        <w:rPr>
          <w:rFonts w:ascii="Book Antiqua" w:hAnsi="Book Antiqua"/>
          <w:szCs w:val="24"/>
        </w:rPr>
        <w:t xml:space="preserve">focus on the disease’s endoscopic and histological features, the roles of </w:t>
      </w:r>
      <w:r w:rsidR="00AF41BC" w:rsidRPr="00853B95">
        <w:rPr>
          <w:rFonts w:ascii="Book Antiqua" w:hAnsi="Book Antiqua"/>
          <w:szCs w:val="24"/>
        </w:rPr>
        <w:t xml:space="preserve">computed tomography </w:t>
      </w:r>
      <w:r w:rsidRPr="00853B95">
        <w:rPr>
          <w:rFonts w:ascii="Book Antiqua" w:hAnsi="Book Antiqua"/>
          <w:szCs w:val="24"/>
        </w:rPr>
        <w:t xml:space="preserve">and </w:t>
      </w:r>
      <w:r w:rsidR="00AF41BC" w:rsidRPr="00853B95">
        <w:rPr>
          <w:rFonts w:ascii="Book Antiqua" w:hAnsi="Book Antiqua"/>
          <w:szCs w:val="24"/>
        </w:rPr>
        <w:t xml:space="preserve">positron emission tomography </w:t>
      </w:r>
      <w:r w:rsidRPr="00853B95">
        <w:rPr>
          <w:rFonts w:ascii="Book Antiqua" w:hAnsi="Book Antiqua"/>
          <w:szCs w:val="24"/>
        </w:rPr>
        <w:t xml:space="preserve">scanning, the clinical utility of the soluble interleukin-2 receptor, and the possible </w:t>
      </w:r>
      <w:r w:rsidR="00472629" w:rsidRPr="00853B95">
        <w:rPr>
          <w:rFonts w:ascii="Book Antiqua" w:hAnsi="Book Antiqua"/>
          <w:szCs w:val="24"/>
        </w:rPr>
        <w:t>pathogenesis</w:t>
      </w:r>
      <w:r w:rsidRPr="00853B95">
        <w:rPr>
          <w:rFonts w:ascii="Book Antiqua" w:hAnsi="Book Antiqua"/>
          <w:szCs w:val="24"/>
        </w:rPr>
        <w:t>.</w:t>
      </w:r>
    </w:p>
    <w:p w14:paraId="3D16FF22" w14:textId="77777777" w:rsidR="00EB16DC" w:rsidRPr="00853B95" w:rsidRDefault="00EB16DC" w:rsidP="00AF41BC">
      <w:pPr>
        <w:spacing w:line="360" w:lineRule="auto"/>
        <w:rPr>
          <w:rFonts w:ascii="Book Antiqua" w:hAnsi="Book Antiqua"/>
          <w:szCs w:val="24"/>
        </w:rPr>
      </w:pPr>
    </w:p>
    <w:p w14:paraId="36469E55" w14:textId="76547B5A" w:rsidR="00EB16DC" w:rsidRPr="00853B95" w:rsidRDefault="004008EB" w:rsidP="00AF41BC">
      <w:pPr>
        <w:spacing w:line="360" w:lineRule="auto"/>
        <w:rPr>
          <w:rFonts w:ascii="Book Antiqua" w:eastAsia="SimSun" w:hAnsi="Book Antiqua"/>
          <w:szCs w:val="24"/>
          <w:lang w:eastAsia="zh-CN"/>
        </w:rPr>
      </w:pPr>
      <w:r w:rsidRPr="00853B95">
        <w:rPr>
          <w:rFonts w:ascii="Book Antiqua" w:hAnsi="Book Antiqua"/>
          <w:b/>
          <w:szCs w:val="24"/>
        </w:rPr>
        <w:t>Key</w:t>
      </w:r>
      <w:r w:rsidR="00AF41BC" w:rsidRPr="00853B95">
        <w:rPr>
          <w:rFonts w:ascii="Book Antiqua" w:eastAsia="SimSun" w:hAnsi="Book Antiqua" w:hint="eastAsia"/>
          <w:b/>
          <w:szCs w:val="24"/>
          <w:lang w:eastAsia="zh-CN"/>
        </w:rPr>
        <w:t xml:space="preserve"> </w:t>
      </w:r>
      <w:r w:rsidRPr="00853B95">
        <w:rPr>
          <w:rFonts w:ascii="Book Antiqua" w:hAnsi="Book Antiqua"/>
          <w:b/>
          <w:szCs w:val="24"/>
        </w:rPr>
        <w:t>words</w:t>
      </w:r>
      <w:r w:rsidRPr="00853B95">
        <w:rPr>
          <w:rFonts w:ascii="Book Antiqua" w:hAnsi="Book Antiqua"/>
          <w:szCs w:val="24"/>
        </w:rPr>
        <w:t>: Follicular lymphoma; Gastrointestinal lymphoma; Duodenal neoplasms; Intestinal neoplasms; Gastrointestinal endoscopy</w:t>
      </w:r>
    </w:p>
    <w:p w14:paraId="055E557E" w14:textId="77777777" w:rsidR="00AF41BC" w:rsidRPr="00853B95" w:rsidRDefault="00AF41BC" w:rsidP="00AF41BC">
      <w:pPr>
        <w:spacing w:line="360" w:lineRule="auto"/>
        <w:rPr>
          <w:rFonts w:ascii="Book Antiqua" w:eastAsia="SimSun" w:hAnsi="Book Antiqua"/>
          <w:szCs w:val="24"/>
          <w:lang w:eastAsia="zh-CN"/>
        </w:rPr>
      </w:pPr>
    </w:p>
    <w:p w14:paraId="24D11D50" w14:textId="77777777" w:rsidR="00AF41BC" w:rsidRPr="00853B95" w:rsidRDefault="00AF41BC" w:rsidP="00AF41BC">
      <w:pPr>
        <w:spacing w:line="360" w:lineRule="auto"/>
        <w:rPr>
          <w:rFonts w:ascii="Book Antiqua" w:hAnsi="Book Antiqua" w:cs="Arial"/>
        </w:rPr>
      </w:pPr>
      <w:bookmarkStart w:id="40" w:name="OLE_LINK55"/>
      <w:bookmarkStart w:id="41" w:name="OLE_LINK56"/>
      <w:bookmarkStart w:id="42" w:name="OLE_LINK105"/>
      <w:bookmarkStart w:id="43" w:name="OLE_LINK116"/>
      <w:bookmarkStart w:id="44" w:name="OLE_LINK89"/>
      <w:r w:rsidRPr="00853B95">
        <w:rPr>
          <w:rFonts w:ascii="Book Antiqua" w:hAnsi="Book Antiqua"/>
          <w:b/>
        </w:rPr>
        <w:t>©</w:t>
      </w:r>
      <w:bookmarkEnd w:id="40"/>
      <w:bookmarkEnd w:id="41"/>
      <w:r w:rsidRPr="00853B95">
        <w:rPr>
          <w:rFonts w:ascii="Book Antiqua" w:hAnsi="Book Antiqua" w:hint="eastAsia"/>
          <w:b/>
        </w:rPr>
        <w:t xml:space="preserve"> </w:t>
      </w:r>
      <w:r w:rsidRPr="00853B95">
        <w:rPr>
          <w:rFonts w:ascii="Book Antiqua" w:hAnsi="Book Antiqua" w:cs="Arial"/>
          <w:b/>
        </w:rPr>
        <w:t xml:space="preserve">The Author(s) 2015. </w:t>
      </w:r>
      <w:r w:rsidRPr="00853B95">
        <w:rPr>
          <w:rFonts w:ascii="Book Antiqua" w:hAnsi="Book Antiqua" w:cs="Arial"/>
        </w:rPr>
        <w:t>Published by Baishideng Publishing Group Inc. All rights reserved.</w:t>
      </w:r>
    </w:p>
    <w:bookmarkEnd w:id="42"/>
    <w:bookmarkEnd w:id="43"/>
    <w:bookmarkEnd w:id="44"/>
    <w:p w14:paraId="478C7AE2" w14:textId="77777777" w:rsidR="00D41385" w:rsidRPr="00853B95" w:rsidRDefault="00D41385" w:rsidP="00AF41BC">
      <w:pPr>
        <w:spacing w:line="360" w:lineRule="auto"/>
        <w:rPr>
          <w:rFonts w:ascii="Book Antiqua" w:eastAsia="SimSun" w:hAnsi="Book Antiqua"/>
          <w:szCs w:val="24"/>
          <w:lang w:eastAsia="zh-CN"/>
        </w:rPr>
      </w:pPr>
    </w:p>
    <w:p w14:paraId="73530AFD" w14:textId="712027F8" w:rsidR="00D41385" w:rsidRPr="00853B95" w:rsidRDefault="00D41385" w:rsidP="00AF41BC">
      <w:pPr>
        <w:spacing w:line="360" w:lineRule="auto"/>
        <w:rPr>
          <w:rFonts w:ascii="Book Antiqua" w:hAnsi="Book Antiqua"/>
          <w:b/>
          <w:szCs w:val="24"/>
        </w:rPr>
      </w:pPr>
      <w:r w:rsidRPr="00853B95">
        <w:rPr>
          <w:rFonts w:ascii="Book Antiqua" w:hAnsi="Book Antiqua"/>
          <w:b/>
          <w:szCs w:val="24"/>
        </w:rPr>
        <w:t xml:space="preserve">Core </w:t>
      </w:r>
      <w:r w:rsidR="00AF41BC" w:rsidRPr="00853B95">
        <w:rPr>
          <w:rFonts w:ascii="Book Antiqua" w:hAnsi="Book Antiqua"/>
          <w:b/>
          <w:szCs w:val="24"/>
        </w:rPr>
        <w:t>tip</w:t>
      </w:r>
      <w:r w:rsidR="00AF41BC" w:rsidRPr="00853B95">
        <w:rPr>
          <w:rFonts w:ascii="Book Antiqua" w:eastAsia="SimSun" w:hAnsi="Book Antiqua" w:hint="eastAsia"/>
          <w:b/>
          <w:szCs w:val="24"/>
          <w:lang w:eastAsia="zh-CN"/>
        </w:rPr>
        <w:t xml:space="preserve">: </w:t>
      </w:r>
      <w:r w:rsidRPr="00853B95">
        <w:rPr>
          <w:rFonts w:ascii="Book Antiqua" w:hAnsi="Book Antiqua"/>
          <w:szCs w:val="24"/>
        </w:rPr>
        <w:t xml:space="preserve">This review provides an overview regarding the initial diagnostic workup of gastrointestinal follicular lymphoma. Previously reported case reports, case series, and retrospective studies are reviewed, </w:t>
      </w:r>
      <w:r w:rsidR="004116BE" w:rsidRPr="00853B95">
        <w:rPr>
          <w:rFonts w:ascii="Book Antiqua" w:hAnsi="Book Antiqua"/>
          <w:szCs w:val="24"/>
        </w:rPr>
        <w:t xml:space="preserve">and </w:t>
      </w:r>
      <w:r w:rsidRPr="00853B95">
        <w:rPr>
          <w:rFonts w:ascii="Book Antiqua" w:hAnsi="Book Antiqua"/>
          <w:szCs w:val="24"/>
        </w:rPr>
        <w:t xml:space="preserve">focus on the disease’s endoscopic and histological features, the roles of </w:t>
      </w:r>
      <w:r w:rsidR="00AF41BC" w:rsidRPr="00853B95">
        <w:rPr>
          <w:rFonts w:ascii="Book Antiqua" w:hAnsi="Book Antiqua"/>
          <w:szCs w:val="24"/>
        </w:rPr>
        <w:t xml:space="preserve">computed </w:t>
      </w:r>
      <w:r w:rsidR="00AF41BC" w:rsidRPr="00853B95">
        <w:rPr>
          <w:rFonts w:ascii="Book Antiqua" w:hAnsi="Book Antiqua"/>
          <w:szCs w:val="24"/>
        </w:rPr>
        <w:lastRenderedPageBreak/>
        <w:t xml:space="preserve">tomography </w:t>
      </w:r>
      <w:r w:rsidRPr="00853B95">
        <w:rPr>
          <w:rFonts w:ascii="Book Antiqua" w:hAnsi="Book Antiqua"/>
          <w:szCs w:val="24"/>
        </w:rPr>
        <w:t xml:space="preserve">and </w:t>
      </w:r>
      <w:r w:rsidR="00AF41BC" w:rsidRPr="00853B95">
        <w:rPr>
          <w:rFonts w:ascii="Book Antiqua" w:hAnsi="Book Antiqua"/>
          <w:szCs w:val="24"/>
        </w:rPr>
        <w:t xml:space="preserve">positron emission tomography </w:t>
      </w:r>
      <w:r w:rsidRPr="00853B95">
        <w:rPr>
          <w:rFonts w:ascii="Book Antiqua" w:hAnsi="Book Antiqua"/>
          <w:szCs w:val="24"/>
        </w:rPr>
        <w:t xml:space="preserve">scanning, the clinical utility of the soluble interleukin-2 receptor, and the possible pathogenesis. </w:t>
      </w:r>
      <w:r w:rsidR="002313C4" w:rsidRPr="00853B95">
        <w:rPr>
          <w:rFonts w:ascii="Book Antiqua" w:hAnsi="Book Antiqua"/>
          <w:szCs w:val="24"/>
        </w:rPr>
        <w:t>Alt</w:t>
      </w:r>
      <w:r w:rsidRPr="00853B95">
        <w:rPr>
          <w:rFonts w:ascii="Book Antiqua" w:hAnsi="Book Antiqua"/>
          <w:szCs w:val="24"/>
        </w:rPr>
        <w:t>hough there is no doubt that endoscopic examinations play a major role in the diagnosis of this disease, gastroenterologists should also keep in mind that follicular lymphoma patients with gastrointestinal involvement must be investigated according to the general guidelines for systemic follicular lymphoma.</w:t>
      </w:r>
    </w:p>
    <w:p w14:paraId="7A0CF13A" w14:textId="77777777" w:rsidR="00D41385" w:rsidRPr="00853B95" w:rsidRDefault="00D41385" w:rsidP="00AF41BC">
      <w:pPr>
        <w:spacing w:line="360" w:lineRule="auto"/>
        <w:rPr>
          <w:rFonts w:ascii="Book Antiqua" w:hAnsi="Book Antiqua"/>
          <w:szCs w:val="24"/>
        </w:rPr>
      </w:pPr>
    </w:p>
    <w:p w14:paraId="52C46DA3" w14:textId="0537C927" w:rsidR="00AF41BC" w:rsidRPr="00853B95" w:rsidRDefault="00842F82" w:rsidP="00842F82">
      <w:pPr>
        <w:spacing w:line="360" w:lineRule="auto"/>
        <w:rPr>
          <w:rFonts w:ascii="Book Antiqua" w:eastAsia="SimSun" w:hAnsi="Book Antiqua"/>
          <w:szCs w:val="24"/>
          <w:vertAlign w:val="superscript"/>
          <w:lang w:eastAsia="zh-CN"/>
        </w:rPr>
      </w:pPr>
      <w:bookmarkStart w:id="45" w:name="OLE_LINK130"/>
      <w:bookmarkStart w:id="46" w:name="OLE_LINK134"/>
      <w:bookmarkStart w:id="47" w:name="OLE_LINK455"/>
      <w:bookmarkStart w:id="48" w:name="OLE_LINK464"/>
      <w:bookmarkStart w:id="49" w:name="OLE_LINK73"/>
      <w:bookmarkStart w:id="50" w:name="OLE_LINK74"/>
      <w:bookmarkStart w:id="51" w:name="OLE_LINK424"/>
      <w:bookmarkStart w:id="52" w:name="OLE_LINK425"/>
      <w:r w:rsidRPr="00853B95">
        <w:rPr>
          <w:rFonts w:ascii="Book Antiqua" w:hAnsi="Book Antiqua"/>
          <w:szCs w:val="24"/>
        </w:rPr>
        <w:t>Iwamuro</w:t>
      </w:r>
      <w:r w:rsidRPr="00853B95">
        <w:rPr>
          <w:rFonts w:ascii="Book Antiqua" w:eastAsia="SimSun" w:hAnsi="Book Antiqua" w:hint="eastAsia"/>
          <w:szCs w:val="24"/>
          <w:lang w:eastAsia="zh-CN"/>
        </w:rPr>
        <w:t xml:space="preserve"> M, </w:t>
      </w:r>
      <w:r w:rsidRPr="00853B95">
        <w:rPr>
          <w:rFonts w:ascii="Book Antiqua" w:hAnsi="Book Antiqua"/>
          <w:szCs w:val="24"/>
        </w:rPr>
        <w:t>Kondo</w:t>
      </w:r>
      <w:r w:rsidRPr="00853B95">
        <w:rPr>
          <w:rFonts w:ascii="Book Antiqua" w:eastAsia="SimSun" w:hAnsi="Book Antiqua" w:hint="eastAsia"/>
          <w:szCs w:val="24"/>
          <w:lang w:eastAsia="zh-CN"/>
        </w:rPr>
        <w:t xml:space="preserve"> E,</w:t>
      </w:r>
      <w:r w:rsidRPr="00853B95">
        <w:rPr>
          <w:rFonts w:ascii="Book Antiqua" w:hAnsi="Book Antiqua"/>
          <w:szCs w:val="24"/>
        </w:rPr>
        <w:t xml:space="preserve"> Takata</w:t>
      </w:r>
      <w:r w:rsidRPr="00853B95">
        <w:rPr>
          <w:rFonts w:ascii="Book Antiqua" w:eastAsia="SimSun" w:hAnsi="Book Antiqua" w:hint="eastAsia"/>
          <w:szCs w:val="24"/>
          <w:lang w:eastAsia="zh-CN"/>
        </w:rPr>
        <w:t xml:space="preserve"> K, </w:t>
      </w:r>
      <w:r w:rsidRPr="00853B95">
        <w:rPr>
          <w:rFonts w:ascii="Book Antiqua" w:hAnsi="Book Antiqua"/>
          <w:szCs w:val="24"/>
        </w:rPr>
        <w:t>Yoshino</w:t>
      </w:r>
      <w:r w:rsidRPr="00853B95">
        <w:rPr>
          <w:rFonts w:ascii="Book Antiqua" w:eastAsia="SimSun" w:hAnsi="Book Antiqua" w:hint="eastAsia"/>
          <w:szCs w:val="24"/>
          <w:lang w:eastAsia="zh-CN"/>
        </w:rPr>
        <w:t xml:space="preserve"> T, </w:t>
      </w:r>
      <w:r w:rsidRPr="00853B95">
        <w:rPr>
          <w:rFonts w:ascii="Book Antiqua" w:hAnsi="Book Antiqua"/>
          <w:szCs w:val="24"/>
        </w:rPr>
        <w:t>Okada</w:t>
      </w:r>
      <w:r w:rsidRPr="00853B95">
        <w:rPr>
          <w:rFonts w:ascii="Book Antiqua" w:eastAsia="SimSun" w:hAnsi="Book Antiqua" w:hint="eastAsia"/>
          <w:szCs w:val="24"/>
          <w:lang w:eastAsia="zh-CN"/>
        </w:rPr>
        <w:t xml:space="preserve"> H. </w:t>
      </w:r>
      <w:r w:rsidRPr="00853B95">
        <w:rPr>
          <w:rFonts w:ascii="Book Antiqua" w:eastAsia="SimSun" w:hAnsi="Book Antiqua"/>
          <w:szCs w:val="24"/>
          <w:lang w:eastAsia="zh-CN"/>
        </w:rPr>
        <w:t>Diagnosis of follicular lymphoma of the gastrointestinal tract: A better initial diagnostic workup</w:t>
      </w:r>
      <w:r w:rsidRPr="00853B95">
        <w:rPr>
          <w:rFonts w:ascii="Book Antiqua" w:eastAsia="SimSun" w:hAnsi="Book Antiqua" w:hint="eastAsia"/>
          <w:szCs w:val="24"/>
          <w:lang w:eastAsia="zh-CN"/>
        </w:rPr>
        <w:t>.</w:t>
      </w:r>
      <w:r w:rsidRPr="00853B95">
        <w:rPr>
          <w:rFonts w:ascii="Book Antiqua" w:eastAsia="SimSun" w:hAnsi="Book Antiqua" w:hint="eastAsia"/>
          <w:szCs w:val="24"/>
          <w:vertAlign w:val="superscript"/>
          <w:lang w:eastAsia="zh-CN"/>
        </w:rPr>
        <w:t xml:space="preserve"> </w:t>
      </w:r>
      <w:r w:rsidR="00AF41BC" w:rsidRPr="00853B95">
        <w:rPr>
          <w:rFonts w:ascii="Book Antiqua" w:hAnsi="Book Antiqua"/>
          <w:i/>
        </w:rPr>
        <w:t>World J Gastroenterol</w:t>
      </w:r>
      <w:r w:rsidR="00AF41BC" w:rsidRPr="00853B95">
        <w:rPr>
          <w:rFonts w:ascii="Book Antiqua" w:hAnsi="Book Antiqua"/>
        </w:rPr>
        <w:t xml:space="preserve"> 201</w:t>
      </w:r>
      <w:r w:rsidR="00AF41BC" w:rsidRPr="00853B95">
        <w:rPr>
          <w:rFonts w:ascii="Book Antiqua" w:hAnsi="Book Antiqua" w:hint="eastAsia"/>
        </w:rPr>
        <w:t>5</w:t>
      </w:r>
      <w:r w:rsidR="00AF41BC" w:rsidRPr="00853B95">
        <w:rPr>
          <w:rFonts w:ascii="Book Antiqua" w:hAnsi="Book Antiqua"/>
        </w:rPr>
        <w:t xml:space="preserve">; </w:t>
      </w:r>
      <w:bookmarkStart w:id="53" w:name="OLE_LINK1689"/>
      <w:bookmarkStart w:id="54" w:name="OLE_LINK1298"/>
      <w:bookmarkStart w:id="55" w:name="OLE_LINK1297"/>
      <w:r w:rsidR="00AF41BC" w:rsidRPr="00853B95">
        <w:rPr>
          <w:rFonts w:ascii="Book Antiqua" w:hAnsi="Book Antiqua"/>
        </w:rPr>
        <w:t>In press</w:t>
      </w:r>
      <w:bookmarkEnd w:id="53"/>
      <w:bookmarkEnd w:id="54"/>
      <w:bookmarkEnd w:id="55"/>
    </w:p>
    <w:bookmarkEnd w:id="45"/>
    <w:bookmarkEnd w:id="46"/>
    <w:bookmarkEnd w:id="47"/>
    <w:bookmarkEnd w:id="48"/>
    <w:bookmarkEnd w:id="49"/>
    <w:bookmarkEnd w:id="50"/>
    <w:bookmarkEnd w:id="51"/>
    <w:bookmarkEnd w:id="52"/>
    <w:p w14:paraId="53D97269" w14:textId="77777777" w:rsidR="00D41385" w:rsidRPr="00853B95" w:rsidRDefault="00D41385" w:rsidP="00AF41BC">
      <w:pPr>
        <w:spacing w:line="360" w:lineRule="auto"/>
        <w:rPr>
          <w:rFonts w:ascii="Book Antiqua" w:hAnsi="Book Antiqua"/>
          <w:szCs w:val="24"/>
        </w:rPr>
      </w:pPr>
    </w:p>
    <w:p w14:paraId="5690CB55" w14:textId="77777777" w:rsidR="00AF41BC" w:rsidRPr="00853B95" w:rsidRDefault="00AF41BC">
      <w:pPr>
        <w:widowControl/>
        <w:jc w:val="left"/>
        <w:rPr>
          <w:rFonts w:ascii="Book Antiqua" w:hAnsi="Book Antiqua"/>
          <w:b/>
          <w:szCs w:val="24"/>
        </w:rPr>
      </w:pPr>
      <w:r w:rsidRPr="00853B95">
        <w:rPr>
          <w:rFonts w:ascii="Book Antiqua" w:hAnsi="Book Antiqua"/>
          <w:b/>
          <w:szCs w:val="24"/>
        </w:rPr>
        <w:br w:type="page"/>
      </w:r>
    </w:p>
    <w:p w14:paraId="5FDDA64B" w14:textId="70E99948" w:rsidR="00011CD8" w:rsidRPr="00853B95" w:rsidRDefault="00842F82" w:rsidP="00AF41BC">
      <w:pPr>
        <w:spacing w:line="360" w:lineRule="auto"/>
        <w:rPr>
          <w:rFonts w:ascii="Book Antiqua" w:hAnsi="Book Antiqua"/>
          <w:b/>
          <w:szCs w:val="24"/>
        </w:rPr>
      </w:pPr>
      <w:r w:rsidRPr="00853B95">
        <w:rPr>
          <w:rFonts w:ascii="Book Antiqua" w:hAnsi="Book Antiqua"/>
          <w:b/>
          <w:szCs w:val="24"/>
        </w:rPr>
        <w:lastRenderedPageBreak/>
        <w:t>INTRODUCTION</w:t>
      </w:r>
    </w:p>
    <w:p w14:paraId="554175B8" w14:textId="2A746430" w:rsidR="0005581B" w:rsidRPr="00853B95" w:rsidRDefault="004008EB" w:rsidP="00842F82">
      <w:pPr>
        <w:spacing w:line="360" w:lineRule="auto"/>
        <w:rPr>
          <w:rFonts w:ascii="Book Antiqua" w:hAnsi="Book Antiqua"/>
          <w:szCs w:val="24"/>
        </w:rPr>
      </w:pPr>
      <w:r w:rsidRPr="00853B95">
        <w:rPr>
          <w:rFonts w:ascii="Book Antiqua" w:hAnsi="Book Antiqua"/>
          <w:szCs w:val="24"/>
        </w:rPr>
        <w:t>Follicular lymphoma is the most common subtype of indolent non</w:t>
      </w:r>
      <w:r w:rsidRPr="00853B95">
        <w:rPr>
          <w:rFonts w:ascii="MS Mincho" w:eastAsia="MS Mincho" w:hAnsi="MS Mincho" w:cs="MS Mincho" w:hint="eastAsia"/>
          <w:szCs w:val="24"/>
        </w:rPr>
        <w:t>‑</w:t>
      </w:r>
      <w:r w:rsidRPr="00853B95">
        <w:rPr>
          <w:rFonts w:ascii="Book Antiqua" w:hAnsi="Book Antiqua"/>
          <w:szCs w:val="24"/>
        </w:rPr>
        <w:t>Hodgkin's lymphoma. This neoplasm originates in germinal center B cells and is pathologically characterized by centrocytes and centroblasts, typically forming follicular patterns of various sizes</w:t>
      </w:r>
      <w:r w:rsidR="00842F82" w:rsidRPr="00853B95">
        <w:rPr>
          <w:rFonts w:ascii="Book Antiqua" w:hAnsi="Book Antiqua"/>
          <w:szCs w:val="24"/>
          <w:vertAlign w:val="superscript"/>
        </w:rPr>
        <w:t>[</w:t>
      </w:r>
      <w:r w:rsidRPr="00853B95">
        <w:rPr>
          <w:rFonts w:ascii="Book Antiqua" w:hAnsi="Book Antiqua"/>
          <w:szCs w:val="24"/>
          <w:vertAlign w:val="superscript"/>
        </w:rPr>
        <w:t>1,2]</w:t>
      </w:r>
      <w:r w:rsidRPr="00853B95">
        <w:rPr>
          <w:rFonts w:ascii="Book Antiqua" w:hAnsi="Book Antiqua"/>
          <w:szCs w:val="24"/>
        </w:rPr>
        <w:t>. At the time of diagnosis, most patients with follicular lymphoma are in advanced stage III or IV of the Ann Arbor staging system. Only 5</w:t>
      </w:r>
      <w:r w:rsidR="00842F82" w:rsidRPr="00853B95">
        <w:rPr>
          <w:rFonts w:ascii="Book Antiqua" w:eastAsia="SimSun" w:hAnsi="Book Antiqua" w:hint="eastAsia"/>
          <w:szCs w:val="24"/>
          <w:lang w:eastAsia="zh-CN"/>
        </w:rPr>
        <w:t>%</w:t>
      </w:r>
      <w:r w:rsidR="00842F82" w:rsidRPr="00853B95">
        <w:rPr>
          <w:rFonts w:ascii="MS Mincho" w:eastAsia="SimSun" w:hAnsi="MS Mincho" w:cs="MS Mincho" w:hint="eastAsia"/>
          <w:szCs w:val="24"/>
          <w:lang w:eastAsia="zh-CN"/>
        </w:rPr>
        <w:t>-</w:t>
      </w:r>
      <w:r w:rsidRPr="00853B95">
        <w:rPr>
          <w:rFonts w:ascii="Book Antiqua" w:hAnsi="Book Antiqua"/>
          <w:szCs w:val="24"/>
        </w:rPr>
        <w:t>10% of patients present with early stage I or II disease</w:t>
      </w:r>
      <w:r w:rsidR="00842F82" w:rsidRPr="00853B95">
        <w:rPr>
          <w:rFonts w:ascii="Book Antiqua" w:hAnsi="Book Antiqua"/>
          <w:szCs w:val="24"/>
          <w:vertAlign w:val="superscript"/>
        </w:rPr>
        <w:t>[</w:t>
      </w:r>
      <w:r w:rsidRPr="00853B95">
        <w:rPr>
          <w:rFonts w:ascii="Book Antiqua" w:hAnsi="Book Antiqua"/>
          <w:szCs w:val="24"/>
          <w:vertAlign w:val="superscript"/>
        </w:rPr>
        <w:t>3,4]</w:t>
      </w:r>
      <w:r w:rsidRPr="00853B95">
        <w:rPr>
          <w:rFonts w:ascii="Book Antiqua" w:hAnsi="Book Antiqua"/>
          <w:szCs w:val="24"/>
        </w:rPr>
        <w:t>. Meanwhile, this disease primarily or secondarily involves non-hematopoietic extra-nodal sites, such as the gastrointestinal tract, skin, ocular adnexa, breast, and testis</w:t>
      </w:r>
      <w:r w:rsidR="00842F82" w:rsidRPr="00853B95">
        <w:rPr>
          <w:rFonts w:ascii="Book Antiqua" w:hAnsi="Book Antiqua"/>
          <w:szCs w:val="24"/>
          <w:vertAlign w:val="superscript"/>
        </w:rPr>
        <w:t>[</w:t>
      </w:r>
      <w:r w:rsidRPr="00853B95">
        <w:rPr>
          <w:rFonts w:ascii="Book Antiqua" w:hAnsi="Book Antiqua"/>
          <w:szCs w:val="24"/>
          <w:vertAlign w:val="superscript"/>
        </w:rPr>
        <w:t>1]</w:t>
      </w:r>
      <w:r w:rsidRPr="00853B95">
        <w:rPr>
          <w:rFonts w:ascii="Book Antiqua" w:hAnsi="Book Antiqua"/>
          <w:szCs w:val="24"/>
        </w:rPr>
        <w:t>. The gastrointestinal tract is the most common site of involvement.</w:t>
      </w:r>
    </w:p>
    <w:p w14:paraId="4B4DF1F4" w14:textId="7BE7FBC2" w:rsidR="007D4EAF" w:rsidRPr="00853B95" w:rsidRDefault="004008EB" w:rsidP="00AF41BC">
      <w:pPr>
        <w:spacing w:line="360" w:lineRule="auto"/>
        <w:ind w:firstLine="840"/>
        <w:rPr>
          <w:rFonts w:ascii="Book Antiqua" w:hAnsi="Book Antiqua"/>
          <w:szCs w:val="24"/>
        </w:rPr>
      </w:pPr>
      <w:r w:rsidRPr="00853B95">
        <w:rPr>
          <w:rFonts w:ascii="Book Antiqua" w:hAnsi="Book Antiqua"/>
          <w:szCs w:val="24"/>
        </w:rPr>
        <w:t xml:space="preserve">Historically, the disease entity of gastrointestinal follicular lymphoma was established within the 2000’s. Misdraji </w:t>
      </w:r>
      <w:r w:rsidRPr="00853B95">
        <w:rPr>
          <w:rFonts w:ascii="Book Antiqua" w:hAnsi="Book Antiqua"/>
          <w:i/>
          <w:szCs w:val="24"/>
        </w:rPr>
        <w:t>et al</w:t>
      </w:r>
      <w:r w:rsidR="00842F82" w:rsidRPr="00853B95">
        <w:rPr>
          <w:rFonts w:ascii="Book Antiqua" w:hAnsi="Book Antiqua"/>
          <w:szCs w:val="24"/>
          <w:vertAlign w:val="superscript"/>
        </w:rPr>
        <w:t>[5]</w:t>
      </w:r>
      <w:r w:rsidR="00842F82" w:rsidRPr="00853B95">
        <w:rPr>
          <w:rFonts w:ascii="Book Antiqua" w:eastAsia="SimSun" w:hAnsi="Book Antiqua" w:hint="eastAsia"/>
          <w:szCs w:val="24"/>
          <w:vertAlign w:val="superscript"/>
          <w:lang w:eastAsia="zh-CN"/>
        </w:rPr>
        <w:t xml:space="preserve"> </w:t>
      </w:r>
      <w:r w:rsidRPr="00853B95">
        <w:rPr>
          <w:rFonts w:ascii="Book Antiqua" w:hAnsi="Book Antiqua"/>
          <w:szCs w:val="24"/>
        </w:rPr>
        <w:t xml:space="preserve">reported the first case of primary follicular lymphoma of the duodenum in 1997. Yoshino </w:t>
      </w:r>
      <w:r w:rsidRPr="00853B95">
        <w:rPr>
          <w:rFonts w:ascii="Book Antiqua" w:hAnsi="Book Antiqua"/>
          <w:i/>
          <w:szCs w:val="24"/>
        </w:rPr>
        <w:t>et al</w:t>
      </w:r>
      <w:r w:rsidR="00842F82" w:rsidRPr="00853B95">
        <w:rPr>
          <w:rFonts w:ascii="Book Antiqua" w:hAnsi="Book Antiqua"/>
          <w:szCs w:val="24"/>
          <w:vertAlign w:val="superscript"/>
        </w:rPr>
        <w:t>[6]</w:t>
      </w:r>
      <w:r w:rsidR="00842F82" w:rsidRPr="00853B95">
        <w:rPr>
          <w:rFonts w:ascii="Book Antiqua" w:eastAsia="SimSun" w:hAnsi="Book Antiqua" w:hint="eastAsia"/>
          <w:szCs w:val="24"/>
          <w:vertAlign w:val="superscript"/>
          <w:lang w:eastAsia="zh-CN"/>
        </w:rPr>
        <w:t xml:space="preserve"> </w:t>
      </w:r>
      <w:r w:rsidRPr="00853B95">
        <w:rPr>
          <w:rFonts w:ascii="Book Antiqua" w:hAnsi="Book Antiqua"/>
          <w:szCs w:val="24"/>
        </w:rPr>
        <w:t>subsequently summarized their cases and reported in 2000 that duodenal follicular lymphoma is frequently found in the second part of the duodenum. As the concept of this disease has gained in popularity, multiple case reports and case series have been reported. As a result, primary intestinal follicular lymphoma was formally cited as a variant of follicular lymphoma in the latest version of the classification of lymphoid tissues issued by the World Health Organization</w:t>
      </w:r>
      <w:r w:rsidR="00842F82" w:rsidRPr="00853B95">
        <w:rPr>
          <w:rFonts w:ascii="Book Antiqua" w:hAnsi="Book Antiqua"/>
          <w:szCs w:val="24"/>
          <w:vertAlign w:val="superscript"/>
        </w:rPr>
        <w:t>[</w:t>
      </w:r>
      <w:r w:rsidRPr="00853B95">
        <w:rPr>
          <w:rFonts w:ascii="Book Antiqua" w:hAnsi="Book Antiqua"/>
          <w:szCs w:val="24"/>
          <w:vertAlign w:val="superscript"/>
        </w:rPr>
        <w:t>1]</w:t>
      </w:r>
      <w:r w:rsidRPr="00853B95">
        <w:rPr>
          <w:rFonts w:ascii="Book Antiqua" w:hAnsi="Book Antiqua"/>
          <w:szCs w:val="24"/>
        </w:rPr>
        <w:t xml:space="preserve">. </w:t>
      </w:r>
    </w:p>
    <w:p w14:paraId="0847FCE1" w14:textId="34712996" w:rsidR="00EB16DC" w:rsidRPr="00853B95" w:rsidRDefault="004008EB" w:rsidP="00AF41BC">
      <w:pPr>
        <w:spacing w:line="360" w:lineRule="auto"/>
        <w:ind w:firstLine="840"/>
        <w:rPr>
          <w:rFonts w:ascii="Book Antiqua" w:hAnsi="Book Antiqua"/>
          <w:szCs w:val="24"/>
        </w:rPr>
      </w:pPr>
      <w:r w:rsidRPr="00853B95">
        <w:rPr>
          <w:rFonts w:ascii="Book Antiqua" w:hAnsi="Book Antiqua"/>
          <w:szCs w:val="24"/>
        </w:rPr>
        <w:t xml:space="preserve">Gastroenterologists are now playing an important role in the detection, diagnosis, and initial management of this disease. However, because of its rarity, there have been no guidelines published regarding the diagnosis and </w:t>
      </w:r>
      <w:r w:rsidRPr="00853B95">
        <w:rPr>
          <w:rFonts w:ascii="Book Antiqua" w:hAnsi="Book Antiqua"/>
          <w:szCs w:val="24"/>
        </w:rPr>
        <w:lastRenderedPageBreak/>
        <w:t>initial management of patients with primary intestinal follicular lymphoma or those with secondary gastrointestinal involvement of systemic follicular lymphoma. Here we review relevant clinical studies and case reports for a better understanding of the pearls and pitfalls</w:t>
      </w:r>
      <w:r w:rsidR="00011CD8" w:rsidRPr="00853B95">
        <w:rPr>
          <w:rFonts w:ascii="Book Antiqua" w:hAnsi="Book Antiqua"/>
          <w:szCs w:val="24"/>
        </w:rPr>
        <w:t xml:space="preserve"> of </w:t>
      </w:r>
      <w:r w:rsidR="0005581B" w:rsidRPr="00853B95">
        <w:rPr>
          <w:rFonts w:ascii="Book Antiqua" w:hAnsi="Book Antiqua"/>
          <w:szCs w:val="24"/>
        </w:rPr>
        <w:t xml:space="preserve">the diagnosis </w:t>
      </w:r>
      <w:r w:rsidR="00C54204" w:rsidRPr="00853B95">
        <w:rPr>
          <w:rFonts w:ascii="Book Antiqua" w:hAnsi="Book Antiqua"/>
          <w:szCs w:val="24"/>
        </w:rPr>
        <w:t xml:space="preserve">and initial workup </w:t>
      </w:r>
      <w:r w:rsidR="0005581B" w:rsidRPr="00853B95">
        <w:rPr>
          <w:rFonts w:ascii="Book Antiqua" w:hAnsi="Book Antiqua"/>
          <w:szCs w:val="24"/>
        </w:rPr>
        <w:t xml:space="preserve">of </w:t>
      </w:r>
      <w:r w:rsidR="00011CD8" w:rsidRPr="00853B95">
        <w:rPr>
          <w:rFonts w:ascii="Book Antiqua" w:hAnsi="Book Antiqua"/>
          <w:szCs w:val="24"/>
        </w:rPr>
        <w:t>this disease entity.</w:t>
      </w:r>
    </w:p>
    <w:p w14:paraId="4CBCF20B" w14:textId="77777777" w:rsidR="00EB16DC" w:rsidRPr="00853B95" w:rsidRDefault="00EB16DC" w:rsidP="00AF41BC">
      <w:pPr>
        <w:spacing w:line="360" w:lineRule="auto"/>
        <w:rPr>
          <w:rFonts w:ascii="Book Antiqua" w:hAnsi="Book Antiqua"/>
          <w:szCs w:val="24"/>
        </w:rPr>
      </w:pPr>
    </w:p>
    <w:p w14:paraId="079E7394" w14:textId="0C3DAE90" w:rsidR="00EB16DC" w:rsidRPr="00853B95" w:rsidRDefault="00842F82" w:rsidP="00AF41BC">
      <w:pPr>
        <w:spacing w:line="360" w:lineRule="auto"/>
        <w:rPr>
          <w:rFonts w:ascii="Book Antiqua" w:hAnsi="Book Antiqua"/>
          <w:b/>
          <w:szCs w:val="24"/>
        </w:rPr>
      </w:pPr>
      <w:r w:rsidRPr="00853B95">
        <w:rPr>
          <w:rFonts w:ascii="Book Antiqua" w:hAnsi="Book Antiqua"/>
          <w:b/>
          <w:szCs w:val="24"/>
        </w:rPr>
        <w:t>OVERVIEW</w:t>
      </w:r>
    </w:p>
    <w:p w14:paraId="64C4B79A" w14:textId="2148A644" w:rsidR="004008EB" w:rsidRPr="00853B95" w:rsidRDefault="004008EB" w:rsidP="00842F82">
      <w:pPr>
        <w:spacing w:line="360" w:lineRule="auto"/>
        <w:rPr>
          <w:rFonts w:ascii="Book Antiqua" w:hAnsi="Book Antiqua"/>
          <w:szCs w:val="24"/>
        </w:rPr>
      </w:pPr>
      <w:r w:rsidRPr="00853B95">
        <w:rPr>
          <w:rFonts w:ascii="Book Antiqua" w:hAnsi="Book Antiqua"/>
          <w:szCs w:val="24"/>
        </w:rPr>
        <w:t>Initial diagnostic workup for patients with primary or secondary gastrointestinal involvement of follicular lymphoma should be performed according to the guidelines for follicular lymphoma of nodal origin. For example, guidelines for follicular lymphoma have been issued by the National Comprehensive Cancer Network (NCCN)</w:t>
      </w:r>
      <w:r w:rsidR="00842F82" w:rsidRPr="00853B95">
        <w:rPr>
          <w:rFonts w:ascii="Book Antiqua" w:hAnsi="Book Antiqua"/>
          <w:szCs w:val="24"/>
          <w:vertAlign w:val="superscript"/>
        </w:rPr>
        <w:t>[</w:t>
      </w:r>
      <w:r w:rsidRPr="00853B95">
        <w:rPr>
          <w:rFonts w:ascii="Book Antiqua" w:hAnsi="Book Antiqua"/>
          <w:szCs w:val="24"/>
          <w:vertAlign w:val="superscript"/>
        </w:rPr>
        <w:t>7]</w:t>
      </w:r>
      <w:r w:rsidRPr="00853B95">
        <w:rPr>
          <w:rFonts w:ascii="Book Antiqua" w:hAnsi="Book Antiqua"/>
          <w:szCs w:val="24"/>
        </w:rPr>
        <w:t>, the European Society for Medical Oncology (ESMO)</w:t>
      </w:r>
      <w:r w:rsidR="00842F82" w:rsidRPr="00853B95">
        <w:rPr>
          <w:rFonts w:ascii="Book Antiqua" w:hAnsi="Book Antiqua"/>
          <w:szCs w:val="24"/>
          <w:vertAlign w:val="superscript"/>
        </w:rPr>
        <w:t>[</w:t>
      </w:r>
      <w:r w:rsidRPr="00853B95">
        <w:rPr>
          <w:rFonts w:ascii="Book Antiqua" w:hAnsi="Book Antiqua"/>
          <w:szCs w:val="24"/>
          <w:vertAlign w:val="superscript"/>
        </w:rPr>
        <w:t>8]</w:t>
      </w:r>
      <w:r w:rsidRPr="00853B95">
        <w:rPr>
          <w:rFonts w:ascii="Book Antiqua" w:hAnsi="Book Antiqua"/>
          <w:szCs w:val="24"/>
        </w:rPr>
        <w:t>, the East Midlands Cancer Network (EMCN)</w:t>
      </w:r>
      <w:r w:rsidR="00842F82" w:rsidRPr="00853B95">
        <w:rPr>
          <w:rFonts w:ascii="Book Antiqua" w:hAnsi="Book Antiqua"/>
          <w:szCs w:val="24"/>
          <w:vertAlign w:val="superscript"/>
        </w:rPr>
        <w:t>[</w:t>
      </w:r>
      <w:r w:rsidRPr="00853B95">
        <w:rPr>
          <w:rFonts w:ascii="Book Antiqua" w:hAnsi="Book Antiqua"/>
          <w:szCs w:val="24"/>
          <w:vertAlign w:val="superscript"/>
        </w:rPr>
        <w:t>9]</w:t>
      </w:r>
      <w:r w:rsidRPr="00853B95">
        <w:rPr>
          <w:rFonts w:ascii="Book Antiqua" w:hAnsi="Book Antiqua"/>
          <w:szCs w:val="24"/>
        </w:rPr>
        <w:t>, and British</w:t>
      </w:r>
      <w:r w:rsidR="00842F82" w:rsidRPr="00853B95">
        <w:rPr>
          <w:rFonts w:ascii="Book Antiqua" w:hAnsi="Book Antiqua"/>
          <w:szCs w:val="24"/>
          <w:vertAlign w:val="superscript"/>
        </w:rPr>
        <w:t>[</w:t>
      </w:r>
      <w:r w:rsidRPr="00853B95">
        <w:rPr>
          <w:rFonts w:ascii="Book Antiqua" w:hAnsi="Book Antiqua"/>
          <w:szCs w:val="24"/>
          <w:vertAlign w:val="superscript"/>
        </w:rPr>
        <w:t>10]</w:t>
      </w:r>
      <w:r w:rsidRPr="00853B95">
        <w:rPr>
          <w:rFonts w:ascii="Book Antiqua" w:hAnsi="Book Antiqua"/>
          <w:szCs w:val="24"/>
        </w:rPr>
        <w:t>, Italian</w:t>
      </w:r>
      <w:r w:rsidR="00842F82" w:rsidRPr="00853B95">
        <w:rPr>
          <w:rFonts w:ascii="Book Antiqua" w:hAnsi="Book Antiqua"/>
          <w:szCs w:val="24"/>
          <w:vertAlign w:val="superscript"/>
        </w:rPr>
        <w:t>[</w:t>
      </w:r>
      <w:r w:rsidRPr="00853B95">
        <w:rPr>
          <w:rFonts w:ascii="Book Antiqua" w:hAnsi="Book Antiqua"/>
          <w:szCs w:val="24"/>
          <w:vertAlign w:val="superscript"/>
        </w:rPr>
        <w:t>11]</w:t>
      </w:r>
      <w:r w:rsidRPr="00853B95">
        <w:rPr>
          <w:rFonts w:ascii="Book Antiqua" w:hAnsi="Book Antiqua"/>
          <w:szCs w:val="24"/>
        </w:rPr>
        <w:t>, and Chinese working groups</w:t>
      </w:r>
      <w:r w:rsidR="00842F82" w:rsidRPr="00853B95">
        <w:rPr>
          <w:rFonts w:ascii="Book Antiqua" w:hAnsi="Book Antiqua"/>
          <w:szCs w:val="24"/>
          <w:vertAlign w:val="superscript"/>
        </w:rPr>
        <w:t>[</w:t>
      </w:r>
      <w:r w:rsidRPr="00853B95">
        <w:rPr>
          <w:rFonts w:ascii="Book Antiqua" w:hAnsi="Book Antiqua"/>
          <w:szCs w:val="24"/>
          <w:vertAlign w:val="superscript"/>
        </w:rPr>
        <w:t>12]</w:t>
      </w:r>
      <w:r w:rsidRPr="00853B95">
        <w:rPr>
          <w:rFonts w:ascii="Book Antiqua" w:hAnsi="Book Antiqua"/>
          <w:szCs w:val="24"/>
        </w:rPr>
        <w:t>. In addition, recommendations for initial evaluation, staging, and response assessment of Hodgkin’s and non-Hodgkin’s lymphoma were published in 2014, which were discussed and agreed upon in workshops held at the International Conference on Malignant Lymphoma in Lugano, Switzerland</w:t>
      </w:r>
      <w:r w:rsidR="00842F82" w:rsidRPr="00853B95">
        <w:rPr>
          <w:rFonts w:ascii="Book Antiqua" w:hAnsi="Book Antiqua"/>
          <w:szCs w:val="24"/>
          <w:vertAlign w:val="superscript"/>
        </w:rPr>
        <w:t>[</w:t>
      </w:r>
      <w:r w:rsidRPr="00853B95">
        <w:rPr>
          <w:rFonts w:ascii="Book Antiqua" w:hAnsi="Book Antiqua"/>
          <w:szCs w:val="24"/>
          <w:vertAlign w:val="superscript"/>
        </w:rPr>
        <w:t>13]</w:t>
      </w:r>
      <w:r w:rsidRPr="00853B95">
        <w:rPr>
          <w:rFonts w:ascii="Book Antiqua" w:hAnsi="Book Antiqua"/>
          <w:szCs w:val="24"/>
        </w:rPr>
        <w:t>.</w:t>
      </w:r>
    </w:p>
    <w:p w14:paraId="69C469AE" w14:textId="5629975D" w:rsidR="004008EB" w:rsidRPr="00853B95" w:rsidRDefault="004008EB" w:rsidP="00AF41BC">
      <w:pPr>
        <w:spacing w:line="360" w:lineRule="auto"/>
        <w:ind w:firstLine="835"/>
        <w:rPr>
          <w:rFonts w:ascii="Book Antiqua" w:hAnsi="Book Antiqua"/>
          <w:szCs w:val="24"/>
        </w:rPr>
      </w:pPr>
      <w:r w:rsidRPr="00853B95">
        <w:rPr>
          <w:rFonts w:ascii="Book Antiqua" w:hAnsi="Book Antiqua"/>
          <w:szCs w:val="24"/>
        </w:rPr>
        <w:t xml:space="preserve">In these guidelines, the initial diagnostic workup is composed of the following principles: </w:t>
      </w:r>
      <w:r w:rsidR="00842F82" w:rsidRPr="00853B95">
        <w:rPr>
          <w:rFonts w:ascii="Book Antiqua" w:eastAsia="SimSun" w:hAnsi="Book Antiqua" w:hint="eastAsia"/>
          <w:szCs w:val="24"/>
          <w:lang w:eastAsia="zh-CN"/>
        </w:rPr>
        <w:t>(1</w:t>
      </w:r>
      <w:r w:rsidRPr="00853B95">
        <w:rPr>
          <w:rFonts w:ascii="Book Antiqua" w:hAnsi="Book Antiqua"/>
          <w:szCs w:val="24"/>
        </w:rPr>
        <w:t xml:space="preserve">) </w:t>
      </w:r>
      <w:r w:rsidR="00842F82" w:rsidRPr="00853B95">
        <w:rPr>
          <w:rFonts w:ascii="Book Antiqua" w:hAnsi="Book Antiqua"/>
          <w:szCs w:val="24"/>
        </w:rPr>
        <w:t xml:space="preserve">diagnosis </w:t>
      </w:r>
      <w:r w:rsidRPr="00853B95">
        <w:rPr>
          <w:rFonts w:ascii="Book Antiqua" w:hAnsi="Book Antiqua"/>
          <w:szCs w:val="24"/>
        </w:rPr>
        <w:t>should start with tissue sampling (</w:t>
      </w:r>
      <w:r w:rsidRPr="00853B95">
        <w:rPr>
          <w:rFonts w:ascii="Book Antiqua" w:hAnsi="Book Antiqua"/>
          <w:i/>
          <w:szCs w:val="24"/>
        </w:rPr>
        <w:t>e.g.</w:t>
      </w:r>
      <w:r w:rsidRPr="00853B95">
        <w:rPr>
          <w:rFonts w:ascii="Book Antiqua" w:hAnsi="Book Antiqua"/>
          <w:szCs w:val="24"/>
        </w:rPr>
        <w:t>, lymph node biopsy) followed by adequate histological assessment</w:t>
      </w:r>
      <w:r w:rsidR="00842F82" w:rsidRPr="00853B95">
        <w:rPr>
          <w:rFonts w:ascii="Book Antiqua" w:eastAsia="SimSun" w:hAnsi="Book Antiqua" w:hint="eastAsia"/>
          <w:szCs w:val="24"/>
          <w:lang w:eastAsia="zh-CN"/>
        </w:rPr>
        <w:t>;</w:t>
      </w:r>
      <w:r w:rsidRPr="00853B95">
        <w:rPr>
          <w:rFonts w:ascii="Book Antiqua" w:hAnsi="Book Antiqua"/>
          <w:szCs w:val="24"/>
        </w:rPr>
        <w:t xml:space="preserve"> </w:t>
      </w:r>
      <w:r w:rsidR="00842F82" w:rsidRPr="00853B95">
        <w:rPr>
          <w:rFonts w:ascii="Book Antiqua" w:eastAsia="SimSun" w:hAnsi="Book Antiqua" w:hint="eastAsia"/>
          <w:szCs w:val="24"/>
          <w:lang w:eastAsia="zh-CN"/>
        </w:rPr>
        <w:t>(2</w:t>
      </w:r>
      <w:r w:rsidRPr="00853B95">
        <w:rPr>
          <w:rFonts w:ascii="Book Antiqua" w:hAnsi="Book Antiqua"/>
          <w:szCs w:val="24"/>
        </w:rPr>
        <w:t xml:space="preserve">) </w:t>
      </w:r>
      <w:r w:rsidR="00842F82" w:rsidRPr="00853B95">
        <w:rPr>
          <w:rFonts w:ascii="Book Antiqua" w:hAnsi="Book Antiqua"/>
          <w:szCs w:val="24"/>
        </w:rPr>
        <w:t xml:space="preserve">the </w:t>
      </w:r>
      <w:r w:rsidRPr="00853B95">
        <w:rPr>
          <w:rFonts w:ascii="Book Antiqua" w:hAnsi="Book Antiqua"/>
          <w:szCs w:val="24"/>
        </w:rPr>
        <w:t>stage of the disease should be assessed by computed tomography (CT) scanning of the whole body and a bone marrow examination</w:t>
      </w:r>
      <w:r w:rsidR="00842F82" w:rsidRPr="00853B95">
        <w:rPr>
          <w:rFonts w:ascii="Book Antiqua" w:eastAsia="SimSun" w:hAnsi="Book Antiqua" w:hint="eastAsia"/>
          <w:szCs w:val="24"/>
          <w:lang w:eastAsia="zh-CN"/>
        </w:rPr>
        <w:t>;</w:t>
      </w:r>
      <w:r w:rsidRPr="00853B95">
        <w:rPr>
          <w:rFonts w:ascii="Book Antiqua" w:hAnsi="Book Antiqua"/>
          <w:szCs w:val="24"/>
        </w:rPr>
        <w:t xml:space="preserve"> </w:t>
      </w:r>
      <w:r w:rsidR="00842F82" w:rsidRPr="00853B95">
        <w:rPr>
          <w:rFonts w:ascii="Book Antiqua" w:eastAsia="SimSun" w:hAnsi="Book Antiqua" w:hint="eastAsia"/>
          <w:szCs w:val="24"/>
          <w:lang w:eastAsia="zh-CN"/>
        </w:rPr>
        <w:t>and (3</w:t>
      </w:r>
      <w:r w:rsidRPr="00853B95">
        <w:rPr>
          <w:rFonts w:ascii="Book Antiqua" w:hAnsi="Book Antiqua"/>
          <w:szCs w:val="24"/>
        </w:rPr>
        <w:t xml:space="preserve">) </w:t>
      </w:r>
      <w:r w:rsidR="00842F82" w:rsidRPr="00853B95">
        <w:rPr>
          <w:rFonts w:ascii="Book Antiqua" w:hAnsi="Book Antiqua"/>
          <w:szCs w:val="24"/>
        </w:rPr>
        <w:t xml:space="preserve">risk </w:t>
      </w:r>
      <w:r w:rsidRPr="00853B95">
        <w:rPr>
          <w:rFonts w:ascii="Book Antiqua" w:hAnsi="Book Antiqua"/>
          <w:szCs w:val="24"/>
        </w:rPr>
        <w:t>assessment using the Follicular Lymphoma-specific International Prognostic Index (FLIPI)</w:t>
      </w:r>
      <w:r w:rsidR="00842F82" w:rsidRPr="00853B95">
        <w:rPr>
          <w:rFonts w:ascii="Book Antiqua" w:hAnsi="Book Antiqua"/>
          <w:szCs w:val="24"/>
          <w:vertAlign w:val="superscript"/>
        </w:rPr>
        <w:t>[</w:t>
      </w:r>
      <w:r w:rsidRPr="00853B95">
        <w:rPr>
          <w:rFonts w:ascii="Book Antiqua" w:hAnsi="Book Antiqua"/>
          <w:szCs w:val="24"/>
          <w:vertAlign w:val="superscript"/>
        </w:rPr>
        <w:t>14]</w:t>
      </w:r>
      <w:r w:rsidRPr="00853B95">
        <w:rPr>
          <w:rFonts w:ascii="Book Antiqua" w:hAnsi="Book Antiqua"/>
          <w:szCs w:val="24"/>
        </w:rPr>
        <w:t xml:space="preserve"> and/or </w:t>
      </w:r>
      <w:r w:rsidRPr="00853B95">
        <w:rPr>
          <w:rFonts w:ascii="Book Antiqua" w:hAnsi="Book Antiqua"/>
          <w:szCs w:val="24"/>
        </w:rPr>
        <w:lastRenderedPageBreak/>
        <w:t>FLIPI2 should be performed</w:t>
      </w:r>
      <w:r w:rsidR="00842F82" w:rsidRPr="00853B95">
        <w:rPr>
          <w:rFonts w:ascii="Book Antiqua" w:hAnsi="Book Antiqua"/>
          <w:szCs w:val="24"/>
          <w:vertAlign w:val="superscript"/>
        </w:rPr>
        <w:t>[</w:t>
      </w:r>
      <w:r w:rsidRPr="00853B95">
        <w:rPr>
          <w:rFonts w:ascii="Book Antiqua" w:hAnsi="Book Antiqua"/>
          <w:szCs w:val="24"/>
          <w:vertAlign w:val="superscript"/>
        </w:rPr>
        <w:t>15]</w:t>
      </w:r>
      <w:r w:rsidRPr="00853B95">
        <w:rPr>
          <w:rFonts w:ascii="Book Antiqua" w:hAnsi="Book Antiqua"/>
          <w:szCs w:val="24"/>
        </w:rPr>
        <w:t>. Taking these principles into account along with the previously reported peculiar features of intestinal follicular lymphoma, we herein propose initial diagnostic workup strategies for patients with primary or secondary gastrointestinal involvement of follicular lymphoma (Table 1). Commentaries on each of the items listed are described below.</w:t>
      </w:r>
    </w:p>
    <w:p w14:paraId="2F173724" w14:textId="77777777" w:rsidR="004008EB" w:rsidRPr="00853B95" w:rsidRDefault="004008EB" w:rsidP="00AF41BC">
      <w:pPr>
        <w:spacing w:line="360" w:lineRule="auto"/>
        <w:ind w:firstLine="835"/>
        <w:rPr>
          <w:rFonts w:ascii="Book Antiqua" w:hAnsi="Book Antiqua"/>
          <w:szCs w:val="24"/>
        </w:rPr>
      </w:pPr>
    </w:p>
    <w:p w14:paraId="28AB2E61" w14:textId="70BBCC99" w:rsidR="00E73056" w:rsidRPr="00853B95" w:rsidRDefault="00842F82" w:rsidP="00AF41BC">
      <w:pPr>
        <w:spacing w:line="360" w:lineRule="auto"/>
        <w:rPr>
          <w:rFonts w:ascii="Book Antiqua" w:hAnsi="Book Antiqua"/>
          <w:b/>
          <w:szCs w:val="24"/>
        </w:rPr>
      </w:pPr>
      <w:r w:rsidRPr="00853B95">
        <w:rPr>
          <w:rFonts w:ascii="Book Antiqua" w:hAnsi="Book Antiqua"/>
          <w:b/>
          <w:szCs w:val="24"/>
        </w:rPr>
        <w:t>CLINICAL AND LABORATORY ASSESSMENT</w:t>
      </w:r>
    </w:p>
    <w:p w14:paraId="4A1F11F5" w14:textId="1D6E4EDE" w:rsidR="00B129A9" w:rsidRPr="00853B95" w:rsidRDefault="004008EB" w:rsidP="00842F82">
      <w:pPr>
        <w:spacing w:line="360" w:lineRule="auto"/>
        <w:rPr>
          <w:rFonts w:ascii="Book Antiqua" w:eastAsia="MS Mincho" w:hAnsi="Book Antiqua" w:cs="Times New Roman"/>
          <w:szCs w:val="24"/>
        </w:rPr>
      </w:pPr>
      <w:r w:rsidRPr="00853B95">
        <w:rPr>
          <w:rFonts w:ascii="Book Antiqua" w:hAnsi="Book Antiqua"/>
          <w:szCs w:val="24"/>
        </w:rPr>
        <w:t>As a general rule, comprehensive assessment of clinical features and laboratory test results are important for all patients with newly diagnosed follicular lymphoma</w:t>
      </w:r>
      <w:r w:rsidR="00842F82" w:rsidRPr="00853B95">
        <w:rPr>
          <w:rFonts w:ascii="Book Antiqua" w:hAnsi="Book Antiqua"/>
          <w:szCs w:val="24"/>
          <w:vertAlign w:val="superscript"/>
        </w:rPr>
        <w:t>[</w:t>
      </w:r>
      <w:r w:rsidRPr="00853B95">
        <w:rPr>
          <w:rFonts w:ascii="Book Antiqua" w:eastAsia="MS Mincho" w:hAnsi="Book Antiqua" w:cs="Times New Roman"/>
          <w:szCs w:val="24"/>
          <w:vertAlign w:val="superscript"/>
        </w:rPr>
        <w:t>8]</w:t>
      </w:r>
      <w:r w:rsidRPr="00853B95">
        <w:rPr>
          <w:rFonts w:ascii="Book Antiqua" w:eastAsia="MS Mincho" w:hAnsi="Book Antiqua" w:cs="Times New Roman"/>
          <w:szCs w:val="24"/>
        </w:rPr>
        <w:t xml:space="preserve">. Patients with primary intestinal follicular lymphoma generally lack systemic symptoms, whereas systemic follicular lymphoma patients with secondary gastrointestinal involvement may exhibit symptoms. Since most gastrointestinal lesions are neither mass-forming nor ulcerative, more than half of patients present without gastrointestinal follicular lymphoma-related manifestations. </w:t>
      </w:r>
    </w:p>
    <w:p w14:paraId="2500D23A" w14:textId="4A61AFE5" w:rsidR="00055862" w:rsidRPr="00853B95" w:rsidRDefault="004008EB" w:rsidP="00AF41BC">
      <w:pPr>
        <w:spacing w:line="360" w:lineRule="auto"/>
        <w:ind w:firstLine="840"/>
        <w:rPr>
          <w:rFonts w:ascii="Book Antiqua" w:eastAsia="MS Mincho" w:hAnsi="Book Antiqua" w:cs="Times New Roman"/>
          <w:szCs w:val="24"/>
        </w:rPr>
      </w:pPr>
      <w:r w:rsidRPr="00853B95">
        <w:rPr>
          <w:rFonts w:ascii="Book Antiqua" w:eastAsia="MS Mincho" w:hAnsi="Book Antiqua" w:cs="Times New Roman"/>
          <w:szCs w:val="24"/>
        </w:rPr>
        <w:t xml:space="preserve">Yamamoto </w:t>
      </w:r>
      <w:r w:rsidRPr="004144AC">
        <w:rPr>
          <w:rFonts w:ascii="Book Antiqua" w:eastAsia="MS Mincho" w:hAnsi="Book Antiqua" w:cs="Times New Roman"/>
          <w:i/>
          <w:szCs w:val="24"/>
        </w:rPr>
        <w:t>et al</w:t>
      </w:r>
      <w:r w:rsidR="004144AC" w:rsidRPr="00853B95">
        <w:rPr>
          <w:rFonts w:ascii="Book Antiqua" w:hAnsi="Book Antiqua"/>
          <w:szCs w:val="24"/>
          <w:vertAlign w:val="superscript"/>
        </w:rPr>
        <w:t>[16]</w:t>
      </w:r>
      <w:r w:rsidR="004144AC">
        <w:rPr>
          <w:rFonts w:ascii="Book Antiqua" w:eastAsia="SimSun" w:hAnsi="Book Antiqua" w:hint="eastAsia"/>
          <w:szCs w:val="24"/>
          <w:vertAlign w:val="superscript"/>
          <w:lang w:eastAsia="zh-CN"/>
        </w:rPr>
        <w:t xml:space="preserve"> </w:t>
      </w:r>
      <w:r w:rsidRPr="00853B95">
        <w:rPr>
          <w:rFonts w:ascii="Book Antiqua" w:eastAsia="MS Mincho" w:hAnsi="Book Antiqua" w:cs="Times New Roman"/>
          <w:szCs w:val="24"/>
        </w:rPr>
        <w:t xml:space="preserve">reviewed 150 previously reported cases and noted that </w:t>
      </w:r>
      <w:r w:rsidRPr="00853B95">
        <w:rPr>
          <w:rFonts w:ascii="Book Antiqua" w:hAnsi="Book Antiqua"/>
          <w:szCs w:val="24"/>
        </w:rPr>
        <w:t>65 patients (43.3%) were asymptomatic while 14 (9.3%) presented with ambiguous gastrointestinal symptoms including abdominal discomfort and heartburn. Other symptoms include a</w:t>
      </w:r>
      <w:r w:rsidRPr="00853B95">
        <w:rPr>
          <w:rFonts w:ascii="Book Antiqua" w:eastAsia="MS Mincho" w:hAnsi="Book Antiqua" w:cs="Times New Roman"/>
          <w:szCs w:val="24"/>
        </w:rPr>
        <w:t>bdominal pain (</w:t>
      </w:r>
      <w:r w:rsidRPr="00853B95">
        <w:rPr>
          <w:rFonts w:ascii="Book Antiqua" w:eastAsia="MS Mincho" w:hAnsi="Book Antiqua" w:cs="Times New Roman"/>
          <w:i/>
          <w:szCs w:val="24"/>
        </w:rPr>
        <w:t>n</w:t>
      </w:r>
      <w:r w:rsidRPr="00853B95">
        <w:rPr>
          <w:rFonts w:ascii="Book Antiqua" w:eastAsia="MS Mincho" w:hAnsi="Book Antiqua" w:cs="Times New Roman"/>
          <w:szCs w:val="24"/>
        </w:rPr>
        <w:t xml:space="preserve"> = 43, 28.7%), intestinal obstruction-related symptoms such as nausea and vomiting (n = 12, 8.0%), and intestinal bleeding such as tarry and bloody stool (</w:t>
      </w:r>
      <w:r w:rsidR="00842F82" w:rsidRPr="00853B95">
        <w:rPr>
          <w:rFonts w:ascii="Book Antiqua" w:eastAsia="MS Mincho" w:hAnsi="Book Antiqua" w:cs="Times New Roman"/>
          <w:i/>
          <w:szCs w:val="24"/>
        </w:rPr>
        <w:t>n</w:t>
      </w:r>
      <w:r w:rsidRPr="00853B95">
        <w:rPr>
          <w:rFonts w:ascii="Book Antiqua" w:eastAsia="MS Mincho" w:hAnsi="Book Antiqua" w:cs="Times New Roman"/>
          <w:szCs w:val="24"/>
        </w:rPr>
        <w:t xml:space="preserve"> = 9, 6.0%). A multi-institutional survey in Japan summarizing 125 patients with primary gastrointestinal follicular lymphoma reported that 96 patients (76.8%) were asymptomatic. The remaining patients presented with abdominal pain (</w:t>
      </w:r>
      <w:r w:rsidR="00842F82" w:rsidRPr="00853B95">
        <w:rPr>
          <w:rFonts w:ascii="Book Antiqua" w:eastAsia="MS Mincho" w:hAnsi="Book Antiqua" w:cs="Times New Roman"/>
          <w:i/>
          <w:szCs w:val="24"/>
        </w:rPr>
        <w:t>n</w:t>
      </w:r>
      <w:r w:rsidRPr="00853B95">
        <w:rPr>
          <w:rFonts w:ascii="Book Antiqua" w:eastAsia="MS Mincho" w:hAnsi="Book Antiqua" w:cs="Times New Roman"/>
          <w:szCs w:val="24"/>
        </w:rPr>
        <w:t xml:space="preserve"> = 10, </w:t>
      </w:r>
      <w:r w:rsidRPr="00853B95">
        <w:rPr>
          <w:rFonts w:ascii="Book Antiqua" w:eastAsia="MS Mincho" w:hAnsi="Book Antiqua" w:cs="Times New Roman"/>
          <w:szCs w:val="24"/>
        </w:rPr>
        <w:lastRenderedPageBreak/>
        <w:t>8.0%), abdominal discomfort (</w:t>
      </w:r>
      <w:r w:rsidR="00842F82" w:rsidRPr="00853B95">
        <w:rPr>
          <w:rFonts w:ascii="Book Antiqua" w:eastAsia="MS Mincho" w:hAnsi="Book Antiqua" w:cs="Times New Roman"/>
          <w:i/>
          <w:szCs w:val="24"/>
        </w:rPr>
        <w:t>n</w:t>
      </w:r>
      <w:r w:rsidRPr="00853B95">
        <w:rPr>
          <w:rFonts w:ascii="Book Antiqua" w:eastAsia="MS Mincho" w:hAnsi="Book Antiqua" w:cs="Times New Roman"/>
          <w:szCs w:val="24"/>
        </w:rPr>
        <w:t xml:space="preserve"> = 13, 10.4%), intestinal obstruction (</w:t>
      </w:r>
      <w:r w:rsidR="00842F82" w:rsidRPr="00853B95">
        <w:rPr>
          <w:rFonts w:ascii="Book Antiqua" w:eastAsia="MS Mincho" w:hAnsi="Book Antiqua" w:cs="Times New Roman"/>
          <w:i/>
          <w:szCs w:val="24"/>
        </w:rPr>
        <w:t>n</w:t>
      </w:r>
      <w:r w:rsidRPr="00853B95">
        <w:rPr>
          <w:rFonts w:ascii="Book Antiqua" w:eastAsia="MS Mincho" w:hAnsi="Book Antiqua" w:cs="Times New Roman"/>
          <w:szCs w:val="24"/>
        </w:rPr>
        <w:t xml:space="preserve"> = 5, 4.0%), or diarrhea (</w:t>
      </w:r>
      <w:r w:rsidR="00842F82" w:rsidRPr="00853B95">
        <w:rPr>
          <w:rFonts w:ascii="Book Antiqua" w:eastAsia="MS Mincho" w:hAnsi="Book Antiqua" w:cs="Times New Roman"/>
          <w:i/>
          <w:szCs w:val="24"/>
        </w:rPr>
        <w:t>n</w:t>
      </w:r>
      <w:r w:rsidRPr="00853B95">
        <w:rPr>
          <w:rFonts w:ascii="Book Antiqua" w:eastAsia="MS Mincho" w:hAnsi="Book Antiqua" w:cs="Times New Roman"/>
          <w:szCs w:val="24"/>
        </w:rPr>
        <w:t xml:space="preserve"> = 1, 0.8%)</w:t>
      </w:r>
      <w:r w:rsidR="00842F82" w:rsidRPr="00853B95">
        <w:rPr>
          <w:rFonts w:ascii="Book Antiqua" w:eastAsia="MS Mincho" w:hAnsi="Book Antiqua" w:cs="Times New Roman"/>
          <w:szCs w:val="24"/>
          <w:vertAlign w:val="superscript"/>
        </w:rPr>
        <w:t>[</w:t>
      </w:r>
      <w:r w:rsidRPr="00853B95">
        <w:rPr>
          <w:rFonts w:ascii="Book Antiqua" w:eastAsia="MS Mincho" w:hAnsi="Book Antiqua" w:cs="Times New Roman"/>
          <w:szCs w:val="24"/>
          <w:vertAlign w:val="superscript"/>
        </w:rPr>
        <w:t>17]</w:t>
      </w:r>
      <w:r w:rsidRPr="00853B95">
        <w:rPr>
          <w:rFonts w:ascii="Book Antiqua" w:eastAsia="MS Mincho" w:hAnsi="Book Antiqua" w:cs="Times New Roman"/>
          <w:szCs w:val="24"/>
        </w:rPr>
        <w:t>.</w:t>
      </w:r>
    </w:p>
    <w:p w14:paraId="768A95BA" w14:textId="70AAF9CD" w:rsidR="00274D1B" w:rsidRPr="00853B95" w:rsidRDefault="004008EB" w:rsidP="00AF41BC">
      <w:pPr>
        <w:spacing w:line="360" w:lineRule="auto"/>
        <w:ind w:firstLine="840"/>
        <w:rPr>
          <w:rFonts w:ascii="Book Antiqua" w:hAnsi="Book Antiqua"/>
          <w:szCs w:val="24"/>
        </w:rPr>
      </w:pPr>
      <w:r w:rsidRPr="00853B95">
        <w:rPr>
          <w:rFonts w:ascii="Book Antiqua" w:eastAsia="MS Mincho" w:hAnsi="Book Antiqua" w:cs="Times New Roman"/>
          <w:szCs w:val="24"/>
        </w:rPr>
        <w:t>Information about allergies, previous illnesses and surgeries, performance status, and results of physical exams of the peripheral lymph nodes, liver, spleen, and Waldeyer’s ring should also be recorded at the initial presentation</w:t>
      </w:r>
      <w:r w:rsidR="00842F82" w:rsidRPr="00853B95">
        <w:rPr>
          <w:rFonts w:ascii="Book Antiqua" w:eastAsia="MS Mincho" w:hAnsi="Book Antiqua" w:cs="Times New Roman"/>
          <w:szCs w:val="24"/>
          <w:vertAlign w:val="superscript"/>
        </w:rPr>
        <w:t>[</w:t>
      </w:r>
      <w:r w:rsidRPr="00853B95">
        <w:rPr>
          <w:rFonts w:ascii="Book Antiqua" w:eastAsia="MS Mincho" w:hAnsi="Book Antiqua" w:cs="Times New Roman"/>
          <w:szCs w:val="24"/>
          <w:vertAlign w:val="superscript"/>
        </w:rPr>
        <w:t>8]</w:t>
      </w:r>
      <w:r w:rsidRPr="00853B95">
        <w:rPr>
          <w:rFonts w:ascii="Book Antiqua" w:eastAsia="MS Mincho" w:hAnsi="Book Antiqua" w:cs="Times New Roman"/>
          <w:szCs w:val="24"/>
        </w:rPr>
        <w:t>.</w:t>
      </w:r>
      <w:r w:rsidR="00E72074" w:rsidRPr="00853B95">
        <w:rPr>
          <w:rFonts w:ascii="Book Antiqua" w:eastAsia="MS Mincho" w:hAnsi="Book Antiqua" w:cs="Times New Roman"/>
          <w:szCs w:val="24"/>
        </w:rPr>
        <w:t xml:space="preserve"> </w:t>
      </w:r>
      <w:r w:rsidRPr="00853B95">
        <w:rPr>
          <w:rFonts w:ascii="Book Antiqua" w:hAnsi="Book Antiqua"/>
          <w:szCs w:val="24"/>
        </w:rPr>
        <w:t xml:space="preserve">Blood tests should include </w:t>
      </w:r>
      <w:r w:rsidR="00E72074" w:rsidRPr="00853B95">
        <w:rPr>
          <w:rFonts w:ascii="Book Antiqua" w:hAnsi="Book Antiqua"/>
          <w:szCs w:val="24"/>
        </w:rPr>
        <w:t>h</w:t>
      </w:r>
      <w:r w:rsidRPr="00853B95">
        <w:rPr>
          <w:rFonts w:ascii="Book Antiqua" w:hAnsi="Book Antiqua"/>
          <w:szCs w:val="24"/>
        </w:rPr>
        <w:t>emoglobin, β2-microglobulin, and lactate dehydrogenase (LDH) levels</w:t>
      </w:r>
      <w:r w:rsidR="00E72074" w:rsidRPr="00853B95">
        <w:rPr>
          <w:rFonts w:ascii="Book Antiqua" w:hAnsi="Book Antiqua"/>
          <w:szCs w:val="24"/>
        </w:rPr>
        <w:t xml:space="preserve">, since </w:t>
      </w:r>
      <w:r w:rsidR="002313C4" w:rsidRPr="00853B95">
        <w:rPr>
          <w:rFonts w:ascii="Book Antiqua" w:hAnsi="Book Antiqua"/>
          <w:szCs w:val="24"/>
        </w:rPr>
        <w:t>this information is</w:t>
      </w:r>
      <w:r w:rsidRPr="00853B95">
        <w:rPr>
          <w:rFonts w:ascii="Book Antiqua" w:hAnsi="Book Antiqua"/>
          <w:szCs w:val="24"/>
        </w:rPr>
        <w:t xml:space="preserve"> indispensable for risk stratification according to FILIPI and FLIPI2, as described below</w:t>
      </w:r>
      <w:r w:rsidR="00842F82" w:rsidRPr="00853B95">
        <w:rPr>
          <w:rFonts w:ascii="Book Antiqua" w:hAnsi="Book Antiqua"/>
          <w:szCs w:val="24"/>
          <w:vertAlign w:val="superscript"/>
        </w:rPr>
        <w:t>[</w:t>
      </w:r>
      <w:r w:rsidRPr="00853B95">
        <w:rPr>
          <w:rFonts w:ascii="Book Antiqua" w:hAnsi="Book Antiqua"/>
          <w:szCs w:val="24"/>
          <w:vertAlign w:val="superscript"/>
        </w:rPr>
        <w:t>14,15]</w:t>
      </w:r>
      <w:r w:rsidR="00E72074" w:rsidRPr="00853B95">
        <w:rPr>
          <w:rFonts w:ascii="Book Antiqua" w:hAnsi="Book Antiqua"/>
          <w:szCs w:val="24"/>
        </w:rPr>
        <w:t>.</w:t>
      </w:r>
    </w:p>
    <w:p w14:paraId="3D9EE7F9" w14:textId="77777777" w:rsidR="004818E1" w:rsidRPr="00853B95" w:rsidRDefault="004818E1" w:rsidP="00AF41BC">
      <w:pPr>
        <w:spacing w:line="360" w:lineRule="auto"/>
        <w:rPr>
          <w:rFonts w:ascii="Book Antiqua" w:hAnsi="Book Antiqua"/>
          <w:szCs w:val="24"/>
        </w:rPr>
      </w:pPr>
    </w:p>
    <w:p w14:paraId="14360869" w14:textId="66E6A4E2" w:rsidR="00207E18" w:rsidRPr="00853B95" w:rsidRDefault="00842F82" w:rsidP="00AF41BC">
      <w:pPr>
        <w:spacing w:line="360" w:lineRule="auto"/>
        <w:rPr>
          <w:rFonts w:ascii="Book Antiqua" w:hAnsi="Book Antiqua"/>
          <w:b/>
          <w:szCs w:val="24"/>
        </w:rPr>
      </w:pPr>
      <w:r w:rsidRPr="00853B95">
        <w:rPr>
          <w:rFonts w:ascii="Book Antiqua" w:hAnsi="Book Antiqua"/>
          <w:b/>
          <w:szCs w:val="24"/>
        </w:rPr>
        <w:t>ENDOSCOPIC FEATURES</w:t>
      </w:r>
    </w:p>
    <w:p w14:paraId="77ED6C86" w14:textId="7531A227" w:rsidR="004008EB" w:rsidRPr="00853B95" w:rsidRDefault="004008EB" w:rsidP="00842F82">
      <w:pPr>
        <w:spacing w:line="360" w:lineRule="auto"/>
        <w:rPr>
          <w:rFonts w:ascii="Book Antiqua" w:hAnsi="Book Antiqua"/>
          <w:szCs w:val="24"/>
        </w:rPr>
      </w:pPr>
      <w:r w:rsidRPr="00853B95">
        <w:rPr>
          <w:rFonts w:ascii="Book Antiqua" w:hAnsi="Book Antiqua"/>
          <w:szCs w:val="24"/>
        </w:rPr>
        <w:t>When it involves the gastrointestinal tract, primary gastrointestinal follicular lymphoma most frequently affects the small intestine</w:t>
      </w:r>
      <w:r w:rsidR="00842F82" w:rsidRPr="00853B95">
        <w:rPr>
          <w:rFonts w:ascii="Book Antiqua" w:hAnsi="Book Antiqua"/>
          <w:szCs w:val="24"/>
          <w:vertAlign w:val="superscript"/>
        </w:rPr>
        <w:t>[</w:t>
      </w:r>
      <w:r w:rsidRPr="00853B95">
        <w:rPr>
          <w:rFonts w:ascii="Book Antiqua" w:hAnsi="Book Antiqua"/>
          <w:szCs w:val="24"/>
          <w:vertAlign w:val="superscript"/>
        </w:rPr>
        <w:t>1,17]</w:t>
      </w:r>
      <w:r w:rsidRPr="00853B95">
        <w:rPr>
          <w:rFonts w:ascii="Book Antiqua" w:hAnsi="Book Antiqua"/>
          <w:szCs w:val="24"/>
        </w:rPr>
        <w:t>. In most patients, this disease is diagnosed by esophagogastroduodenoscopy as whitish lesions in the duodenum (Fig</w:t>
      </w:r>
      <w:r w:rsidR="00842F82" w:rsidRPr="00853B95">
        <w:rPr>
          <w:rFonts w:ascii="Book Antiqua" w:eastAsia="SimSun" w:hAnsi="Book Antiqua" w:hint="eastAsia"/>
          <w:szCs w:val="24"/>
          <w:lang w:eastAsia="zh-CN"/>
        </w:rPr>
        <w:t>ure</w:t>
      </w:r>
      <w:r w:rsidRPr="00853B95">
        <w:rPr>
          <w:rFonts w:ascii="Book Antiqua" w:hAnsi="Book Antiqua"/>
          <w:szCs w:val="24"/>
        </w:rPr>
        <w:t xml:space="preserve"> 1)</w:t>
      </w:r>
      <w:r w:rsidR="00842F82" w:rsidRPr="00853B95">
        <w:rPr>
          <w:rFonts w:ascii="Book Antiqua" w:hAnsi="Book Antiqua"/>
          <w:szCs w:val="24"/>
          <w:vertAlign w:val="superscript"/>
        </w:rPr>
        <w:t>[</w:t>
      </w:r>
      <w:r w:rsidRPr="00853B95">
        <w:rPr>
          <w:rFonts w:ascii="Book Antiqua" w:hAnsi="Book Antiqua"/>
          <w:szCs w:val="24"/>
          <w:vertAlign w:val="superscript"/>
        </w:rPr>
        <w:t>16-18]</w:t>
      </w:r>
      <w:r w:rsidRPr="00853B95">
        <w:rPr>
          <w:rFonts w:ascii="Book Antiqua" w:hAnsi="Book Antiqua"/>
          <w:szCs w:val="24"/>
        </w:rPr>
        <w:t>. The typical endoscopic image has been described in various terms such as small polypoid nodules, multiple polypoid lesions, multiple small polyps, multiple nodules, or multiple granules</w:t>
      </w:r>
      <w:r w:rsidR="00842F82" w:rsidRPr="00853B95">
        <w:rPr>
          <w:rFonts w:ascii="Book Antiqua" w:hAnsi="Book Antiqua"/>
          <w:szCs w:val="24"/>
          <w:vertAlign w:val="superscript"/>
        </w:rPr>
        <w:t>[</w:t>
      </w:r>
      <w:r w:rsidRPr="00853B95">
        <w:rPr>
          <w:rFonts w:ascii="Book Antiqua" w:hAnsi="Book Antiqua"/>
          <w:szCs w:val="24"/>
          <w:vertAlign w:val="superscript"/>
        </w:rPr>
        <w:t>16]</w:t>
      </w:r>
      <w:r w:rsidRPr="00853B95">
        <w:rPr>
          <w:rFonts w:ascii="Book Antiqua" w:hAnsi="Book Antiqua"/>
          <w:szCs w:val="24"/>
        </w:rPr>
        <w:t>. Other macroscopic features are infrequent, but it can present as erosions or ulcers</w:t>
      </w:r>
      <w:r w:rsidR="00842F82" w:rsidRPr="00853B95">
        <w:rPr>
          <w:rFonts w:ascii="Book Antiqua" w:hAnsi="Book Antiqua"/>
          <w:szCs w:val="24"/>
          <w:vertAlign w:val="superscript"/>
        </w:rPr>
        <w:t>[</w:t>
      </w:r>
      <w:r w:rsidRPr="00853B95">
        <w:rPr>
          <w:rFonts w:ascii="Book Antiqua" w:hAnsi="Book Antiqua"/>
          <w:szCs w:val="24"/>
          <w:vertAlign w:val="superscript"/>
        </w:rPr>
        <w:t>19]</w:t>
      </w:r>
      <w:r w:rsidRPr="00853B95">
        <w:rPr>
          <w:rFonts w:ascii="Book Antiqua" w:hAnsi="Book Antiqua"/>
          <w:szCs w:val="24"/>
        </w:rPr>
        <w:t>.</w:t>
      </w:r>
    </w:p>
    <w:p w14:paraId="6A693C59" w14:textId="1BD9ED3A" w:rsidR="004008EB" w:rsidRPr="00853B95" w:rsidRDefault="004008EB" w:rsidP="00AF41BC">
      <w:pPr>
        <w:spacing w:line="360" w:lineRule="auto"/>
        <w:ind w:firstLine="835"/>
        <w:rPr>
          <w:rFonts w:ascii="Book Antiqua" w:hAnsi="Book Antiqua"/>
          <w:szCs w:val="24"/>
        </w:rPr>
      </w:pPr>
      <w:r w:rsidRPr="00853B95">
        <w:rPr>
          <w:rFonts w:ascii="Book Antiqua" w:hAnsi="Book Antiqua"/>
          <w:szCs w:val="24"/>
        </w:rPr>
        <w:t>Any jejunal and ileal involvement shows a morphology similar to the duodenal lesions (Fig</w:t>
      </w:r>
      <w:r w:rsidR="00842F82" w:rsidRPr="00853B95">
        <w:rPr>
          <w:rFonts w:ascii="Book Antiqua" w:eastAsia="SimSun" w:hAnsi="Book Antiqua" w:hint="eastAsia"/>
          <w:szCs w:val="24"/>
          <w:lang w:eastAsia="zh-CN"/>
        </w:rPr>
        <w:t>ure</w:t>
      </w:r>
      <w:r w:rsidRPr="00853B95">
        <w:rPr>
          <w:rFonts w:ascii="Book Antiqua" w:hAnsi="Book Antiqua"/>
          <w:szCs w:val="24"/>
        </w:rPr>
        <w:t xml:space="preserve"> 1D</w:t>
      </w:r>
      <w:r w:rsidR="00842F82" w:rsidRPr="00853B95">
        <w:rPr>
          <w:rFonts w:ascii="Book Antiqua" w:eastAsia="SimSun" w:hAnsi="Book Antiqua" w:hint="eastAsia"/>
          <w:szCs w:val="24"/>
          <w:lang w:eastAsia="zh-CN"/>
        </w:rPr>
        <w:t xml:space="preserve"> and </w:t>
      </w:r>
      <w:r w:rsidRPr="00853B95">
        <w:rPr>
          <w:rFonts w:ascii="Book Antiqua" w:hAnsi="Book Antiqua"/>
          <w:szCs w:val="24"/>
        </w:rPr>
        <w:t>E)</w:t>
      </w:r>
      <w:r w:rsidR="00842F82" w:rsidRPr="00853B95">
        <w:rPr>
          <w:rFonts w:ascii="Book Antiqua" w:hAnsi="Book Antiqua"/>
          <w:szCs w:val="24"/>
          <w:vertAlign w:val="superscript"/>
        </w:rPr>
        <w:t>[</w:t>
      </w:r>
      <w:r w:rsidRPr="00853B95">
        <w:rPr>
          <w:rFonts w:ascii="Book Antiqua" w:hAnsi="Book Antiqua"/>
          <w:szCs w:val="24"/>
          <w:vertAlign w:val="superscript"/>
        </w:rPr>
        <w:t>16,20-22]</w:t>
      </w:r>
      <w:r w:rsidRPr="00853B95">
        <w:rPr>
          <w:rFonts w:ascii="Book Antiqua" w:hAnsi="Book Antiqua"/>
          <w:szCs w:val="24"/>
        </w:rPr>
        <w:t>. Since these lesions generally remain small, most of these cases are asymptomatic or only exhibit symptoms not related to the lymphoma lesions. In rare instances, small intestinal lesions form ulcers, luminal stenosis, and bulky tumors accompanied by ulcers and/or wall thickening, probably resulting from an increased number of infiltrated lymphoma cells within the small intestinal wall</w:t>
      </w:r>
      <w:r w:rsidR="00842F82" w:rsidRPr="00853B95">
        <w:rPr>
          <w:rFonts w:ascii="Book Antiqua" w:hAnsi="Book Antiqua"/>
          <w:szCs w:val="24"/>
          <w:vertAlign w:val="superscript"/>
        </w:rPr>
        <w:t>[</w:t>
      </w:r>
      <w:r w:rsidRPr="00853B95">
        <w:rPr>
          <w:rFonts w:ascii="Book Antiqua" w:hAnsi="Book Antiqua"/>
          <w:szCs w:val="24"/>
          <w:vertAlign w:val="superscript"/>
        </w:rPr>
        <w:t>23,24]</w:t>
      </w:r>
      <w:r w:rsidRPr="00853B95">
        <w:rPr>
          <w:rFonts w:ascii="Book Antiqua" w:hAnsi="Book Antiqua"/>
          <w:szCs w:val="24"/>
        </w:rPr>
        <w:t xml:space="preserve">. Among follicular </w:t>
      </w:r>
      <w:r w:rsidRPr="00853B95">
        <w:rPr>
          <w:rFonts w:ascii="Book Antiqua" w:hAnsi="Book Antiqua"/>
          <w:szCs w:val="24"/>
        </w:rPr>
        <w:lastRenderedPageBreak/>
        <w:t>lymphoma cases presenting with intestinal involvement, 66.7</w:t>
      </w:r>
      <w:r w:rsidR="00842F82" w:rsidRPr="00853B95">
        <w:rPr>
          <w:rFonts w:ascii="Book Antiqua" w:eastAsia="SimSun" w:hAnsi="Book Antiqua" w:hint="eastAsia"/>
          <w:szCs w:val="24"/>
          <w:lang w:eastAsia="zh-CN"/>
        </w:rPr>
        <w:t>%</w:t>
      </w:r>
      <w:r w:rsidRPr="00853B95">
        <w:rPr>
          <w:rFonts w:ascii="Book Antiqua" w:hAnsi="Book Antiqua"/>
          <w:szCs w:val="24"/>
        </w:rPr>
        <w:t xml:space="preserve"> to 100% of the patients presented with multiple follicular lymphoma lesions in the jejunum and/or ileum</w:t>
      </w:r>
      <w:r w:rsidR="00842F82" w:rsidRPr="00853B95">
        <w:rPr>
          <w:rFonts w:ascii="Book Antiqua" w:hAnsi="Book Antiqua"/>
          <w:szCs w:val="24"/>
          <w:vertAlign w:val="superscript"/>
        </w:rPr>
        <w:t>[</w:t>
      </w:r>
      <w:r w:rsidRPr="00853B95">
        <w:rPr>
          <w:rFonts w:ascii="Book Antiqua" w:hAnsi="Book Antiqua"/>
          <w:szCs w:val="24"/>
          <w:vertAlign w:val="superscript"/>
        </w:rPr>
        <w:t>4,20-22,24-26]</w:t>
      </w:r>
      <w:r w:rsidRPr="00853B95">
        <w:rPr>
          <w:rFonts w:ascii="Book Antiqua" w:hAnsi="Book Antiqua"/>
          <w:szCs w:val="24"/>
        </w:rPr>
        <w:t>. As described below, the sensitivity of CT and positron emission tomography (PET) scanning is not sufficient to diagnose the intestinal lesions of follicular lymphoma. Therefore, primary intestinal follicular lymphoma patients under consideration for radiotherapy should be investigated by CT or PET scanning and also by enteroscopy examinations such as video capsule enteroscopy or balloon-assisted enteroscopy.</w:t>
      </w:r>
    </w:p>
    <w:p w14:paraId="623D2348" w14:textId="2DE32AE2" w:rsidR="004008EB" w:rsidRPr="00853B95" w:rsidRDefault="004008EB" w:rsidP="00AF41BC">
      <w:pPr>
        <w:spacing w:line="360" w:lineRule="auto"/>
        <w:ind w:firstLine="835"/>
        <w:rPr>
          <w:rFonts w:ascii="Book Antiqua" w:hAnsi="Book Antiqua"/>
          <w:szCs w:val="24"/>
        </w:rPr>
      </w:pPr>
      <w:r w:rsidRPr="00853B95">
        <w:rPr>
          <w:rFonts w:ascii="Book Antiqua" w:hAnsi="Book Antiqua"/>
          <w:szCs w:val="24"/>
        </w:rPr>
        <w:t>Gastric involvement of follicular lymphoma has been occasionally reported. It can vary from protruding lesions</w:t>
      </w:r>
      <w:r w:rsidR="00842F82" w:rsidRPr="00853B95">
        <w:rPr>
          <w:rFonts w:ascii="Book Antiqua" w:hAnsi="Book Antiqua"/>
          <w:szCs w:val="24"/>
          <w:vertAlign w:val="superscript"/>
        </w:rPr>
        <w:t>[</w:t>
      </w:r>
      <w:r w:rsidRPr="00853B95">
        <w:rPr>
          <w:rFonts w:ascii="Book Antiqua" w:hAnsi="Book Antiqua"/>
          <w:szCs w:val="24"/>
          <w:vertAlign w:val="superscript"/>
        </w:rPr>
        <w:t>27]</w:t>
      </w:r>
      <w:r w:rsidRPr="00853B95">
        <w:rPr>
          <w:rFonts w:ascii="Book Antiqua" w:hAnsi="Book Antiqua"/>
          <w:szCs w:val="24"/>
        </w:rPr>
        <w:t xml:space="preserve"> to superficial, shallow depressed lesions</w:t>
      </w:r>
      <w:r w:rsidR="00842F82" w:rsidRPr="00853B95">
        <w:rPr>
          <w:rFonts w:ascii="Book Antiqua" w:hAnsi="Book Antiqua"/>
          <w:szCs w:val="24"/>
          <w:vertAlign w:val="superscript"/>
        </w:rPr>
        <w:t>[</w:t>
      </w:r>
      <w:r w:rsidRPr="00853B95">
        <w:rPr>
          <w:rFonts w:ascii="Book Antiqua" w:hAnsi="Book Antiqua"/>
          <w:szCs w:val="24"/>
          <w:vertAlign w:val="superscript"/>
        </w:rPr>
        <w:t>28]</w:t>
      </w:r>
      <w:r w:rsidRPr="00853B95">
        <w:rPr>
          <w:rFonts w:ascii="Book Antiqua" w:hAnsi="Book Antiqua"/>
          <w:szCs w:val="24"/>
        </w:rPr>
        <w:t>. Only eight case reports of follicular lymphomas with colorectal involvement that describe detailed features have been reported</w:t>
      </w:r>
      <w:r w:rsidR="00842F82" w:rsidRPr="00853B95">
        <w:rPr>
          <w:rFonts w:ascii="Book Antiqua" w:hAnsi="Book Antiqua"/>
          <w:szCs w:val="24"/>
          <w:vertAlign w:val="superscript"/>
        </w:rPr>
        <w:t>[</w:t>
      </w:r>
      <w:r w:rsidRPr="00853B95">
        <w:rPr>
          <w:rFonts w:ascii="Book Antiqua" w:hAnsi="Book Antiqua"/>
          <w:szCs w:val="24"/>
          <w:vertAlign w:val="superscript"/>
        </w:rPr>
        <w:t>29-36]</w:t>
      </w:r>
      <w:r w:rsidRPr="00853B95">
        <w:rPr>
          <w:rFonts w:ascii="Book Antiqua" w:hAnsi="Book Antiqua"/>
          <w:szCs w:val="24"/>
        </w:rPr>
        <w:t>. Among the reported cases, the endoscopic images in one patient showed a submucosal tumor with ulceration</w:t>
      </w:r>
      <w:r w:rsidR="00842F82" w:rsidRPr="00853B95">
        <w:rPr>
          <w:rFonts w:ascii="Book Antiqua" w:hAnsi="Book Antiqua"/>
          <w:szCs w:val="24"/>
          <w:vertAlign w:val="superscript"/>
        </w:rPr>
        <w:t>[</w:t>
      </w:r>
      <w:r w:rsidRPr="00853B95">
        <w:rPr>
          <w:rFonts w:ascii="Book Antiqua" w:hAnsi="Book Antiqua"/>
          <w:szCs w:val="24"/>
          <w:vertAlign w:val="superscript"/>
        </w:rPr>
        <w:t>31]</w:t>
      </w:r>
      <w:r w:rsidRPr="00853B95">
        <w:rPr>
          <w:rFonts w:ascii="Book Antiqua" w:hAnsi="Book Antiqua"/>
          <w:szCs w:val="24"/>
        </w:rPr>
        <w:t xml:space="preserve">. The other </w:t>
      </w:r>
      <w:r w:rsidR="009E3084" w:rsidRPr="00853B95">
        <w:rPr>
          <w:rFonts w:ascii="Book Antiqua" w:hAnsi="Book Antiqua"/>
          <w:szCs w:val="24"/>
        </w:rPr>
        <w:t xml:space="preserve">seven </w:t>
      </w:r>
      <w:r w:rsidR="00501F55" w:rsidRPr="00853B95">
        <w:rPr>
          <w:rFonts w:ascii="Book Antiqua" w:hAnsi="Book Antiqua"/>
          <w:szCs w:val="24"/>
        </w:rPr>
        <w:t>patients presented with elevated lesions in the colorect</w:t>
      </w:r>
      <w:r w:rsidR="00DA3643" w:rsidRPr="00853B95">
        <w:rPr>
          <w:rFonts w:ascii="Book Antiqua" w:hAnsi="Book Antiqua"/>
          <w:szCs w:val="24"/>
        </w:rPr>
        <w:t>al region</w:t>
      </w:r>
      <w:r w:rsidR="00501F55" w:rsidRPr="00853B95">
        <w:rPr>
          <w:rFonts w:ascii="Book Antiqua" w:hAnsi="Book Antiqua"/>
          <w:szCs w:val="24"/>
        </w:rPr>
        <w:t xml:space="preserve"> without erosions or ulcers.</w:t>
      </w:r>
      <w:r w:rsidR="00FB3F9D" w:rsidRPr="00853B95">
        <w:rPr>
          <w:rFonts w:ascii="Book Antiqua" w:hAnsi="Book Antiqua"/>
          <w:szCs w:val="24"/>
        </w:rPr>
        <w:t xml:space="preserve"> Recently</w:t>
      </w:r>
      <w:r w:rsidR="00B24C9E" w:rsidRPr="00853B95">
        <w:rPr>
          <w:rFonts w:ascii="Book Antiqua" w:hAnsi="Book Antiqua"/>
          <w:szCs w:val="24"/>
        </w:rPr>
        <w:t>,</w:t>
      </w:r>
      <w:r w:rsidR="00FB3F9D" w:rsidRPr="00853B95">
        <w:rPr>
          <w:rFonts w:ascii="Book Antiqua" w:hAnsi="Book Antiqua"/>
          <w:szCs w:val="24"/>
        </w:rPr>
        <w:t xml:space="preserve"> we summarized 12 </w:t>
      </w:r>
      <w:r w:rsidR="00B24C9E" w:rsidRPr="00853B95">
        <w:rPr>
          <w:rFonts w:ascii="Book Antiqua" w:hAnsi="Book Antiqua"/>
          <w:szCs w:val="24"/>
        </w:rPr>
        <w:t xml:space="preserve">additional </w:t>
      </w:r>
      <w:r w:rsidR="00FB3F9D" w:rsidRPr="00853B95">
        <w:rPr>
          <w:rFonts w:ascii="Book Antiqua" w:hAnsi="Book Antiqua"/>
          <w:szCs w:val="24"/>
        </w:rPr>
        <w:t>cases of colorectal follicular lymphoma lesions</w:t>
      </w:r>
      <w:r w:rsidR="00842F82" w:rsidRPr="00853B95">
        <w:rPr>
          <w:rFonts w:ascii="Book Antiqua" w:hAnsi="Book Antiqua"/>
          <w:szCs w:val="24"/>
          <w:vertAlign w:val="superscript"/>
        </w:rPr>
        <w:t>[</w:t>
      </w:r>
      <w:r w:rsidRPr="00853B95">
        <w:rPr>
          <w:rFonts w:ascii="Book Antiqua" w:hAnsi="Book Antiqua"/>
          <w:szCs w:val="24"/>
          <w:vertAlign w:val="superscript"/>
        </w:rPr>
        <w:t>37]</w:t>
      </w:r>
      <w:r w:rsidRPr="00853B95">
        <w:rPr>
          <w:rFonts w:ascii="Book Antiqua" w:hAnsi="Book Antiqua"/>
          <w:szCs w:val="24"/>
        </w:rPr>
        <w:t>. Virtually all of the 12 colorectal follicular lymphoma presented as elevated lesions and had no erosions or ulcers. They could be macroscopically subcategorized into papular, polypoid, or flat elevated lesions. Consequently, erosions and ulcer formation are considered to be infrequent events in the colorectal involvement of follicular lymphoma.</w:t>
      </w:r>
    </w:p>
    <w:p w14:paraId="5E7F7226" w14:textId="77777777" w:rsidR="00877044" w:rsidRPr="00853B95" w:rsidRDefault="00877044" w:rsidP="00AF41BC">
      <w:pPr>
        <w:spacing w:line="360" w:lineRule="auto"/>
        <w:rPr>
          <w:rFonts w:ascii="Book Antiqua" w:hAnsi="Book Antiqua"/>
          <w:szCs w:val="24"/>
        </w:rPr>
      </w:pPr>
    </w:p>
    <w:p w14:paraId="5A4AF258" w14:textId="37EF4633" w:rsidR="00E053CE" w:rsidRPr="00853B95" w:rsidRDefault="00842F82" w:rsidP="00AF41BC">
      <w:pPr>
        <w:spacing w:line="360" w:lineRule="auto"/>
        <w:rPr>
          <w:rFonts w:ascii="Book Antiqua" w:hAnsi="Book Antiqua"/>
          <w:b/>
          <w:szCs w:val="24"/>
        </w:rPr>
      </w:pPr>
      <w:r w:rsidRPr="00853B95">
        <w:rPr>
          <w:rFonts w:ascii="Book Antiqua" w:hAnsi="Book Antiqua"/>
          <w:b/>
          <w:szCs w:val="24"/>
        </w:rPr>
        <w:t>MAGNIFYING ENDOSCOPY OBSERVATION</w:t>
      </w:r>
    </w:p>
    <w:p w14:paraId="0840124F" w14:textId="26C23310" w:rsidR="004008EB" w:rsidRPr="00853B95" w:rsidRDefault="004008EB" w:rsidP="00842F82">
      <w:pPr>
        <w:spacing w:line="360" w:lineRule="auto"/>
        <w:rPr>
          <w:rFonts w:ascii="Book Antiqua" w:hAnsi="Book Antiqua"/>
          <w:szCs w:val="24"/>
        </w:rPr>
      </w:pPr>
      <w:r w:rsidRPr="00853B95">
        <w:rPr>
          <w:rFonts w:ascii="Book Antiqua" w:hAnsi="Book Antiqua"/>
          <w:szCs w:val="24"/>
        </w:rPr>
        <w:t xml:space="preserve">As described above, multiple whitish polypoid lesions are representative </w:t>
      </w:r>
      <w:r w:rsidRPr="00853B95">
        <w:rPr>
          <w:rFonts w:ascii="Book Antiqua" w:hAnsi="Book Antiqua"/>
          <w:szCs w:val="24"/>
        </w:rPr>
        <w:lastRenderedPageBreak/>
        <w:t>macroscopic features of intestinal follicular lymphoma. Recent advances in magnifying endoscopy technology enable visualization of the finer structures of these lesions. Several authors have reported that opaque whitish spots, enlarged villi, and a dilated vascular pattern within the villi are representative magnifying endoscopic features of this disease</w:t>
      </w:r>
      <w:r w:rsidR="00842F82" w:rsidRPr="00853B95">
        <w:rPr>
          <w:rFonts w:ascii="Book Antiqua" w:hAnsi="Book Antiqua"/>
          <w:szCs w:val="24"/>
          <w:vertAlign w:val="superscript"/>
        </w:rPr>
        <w:t>[</w:t>
      </w:r>
      <w:r w:rsidRPr="00853B95">
        <w:rPr>
          <w:rFonts w:ascii="Book Antiqua" w:hAnsi="Book Antiqua"/>
          <w:szCs w:val="24"/>
          <w:vertAlign w:val="superscript"/>
        </w:rPr>
        <w:t>38-45]</w:t>
      </w:r>
      <w:r w:rsidRPr="00853B95">
        <w:rPr>
          <w:rFonts w:ascii="Book Antiqua" w:hAnsi="Book Antiqua"/>
          <w:szCs w:val="24"/>
        </w:rPr>
        <w:t>. The whitish color of the intestinal lesions are presumably imparted by the infiltrating lymphoma cells</w:t>
      </w:r>
      <w:r w:rsidR="00842F82" w:rsidRPr="00853B95">
        <w:rPr>
          <w:rFonts w:ascii="Book Antiqua" w:hAnsi="Book Antiqua"/>
          <w:szCs w:val="24"/>
          <w:vertAlign w:val="superscript"/>
        </w:rPr>
        <w:t>[</w:t>
      </w:r>
      <w:r w:rsidRPr="00853B95">
        <w:rPr>
          <w:rFonts w:ascii="Book Antiqua" w:hAnsi="Book Antiqua"/>
          <w:szCs w:val="24"/>
          <w:vertAlign w:val="superscript"/>
        </w:rPr>
        <w:t>42,43,46]</w:t>
      </w:r>
      <w:r w:rsidRPr="00853B95">
        <w:rPr>
          <w:rFonts w:ascii="Book Antiqua" w:hAnsi="Book Antiqua"/>
          <w:szCs w:val="24"/>
        </w:rPr>
        <w:t>. Moreover, we speculate that the microstructures observed by magnifying endoscopy reflect the underlying pathological structures.</w:t>
      </w:r>
    </w:p>
    <w:p w14:paraId="1D0B093D" w14:textId="08E6A2FF" w:rsidR="004008EB" w:rsidRPr="00853B95" w:rsidRDefault="004008EB" w:rsidP="00AF41BC">
      <w:pPr>
        <w:spacing w:line="360" w:lineRule="auto"/>
        <w:ind w:firstLine="835"/>
        <w:rPr>
          <w:rFonts w:ascii="Book Antiqua" w:hAnsi="Book Antiqua"/>
          <w:szCs w:val="24"/>
        </w:rPr>
      </w:pPr>
      <w:r w:rsidRPr="00853B95">
        <w:rPr>
          <w:rFonts w:ascii="Book Antiqua" w:hAnsi="Book Antiqua"/>
          <w:szCs w:val="24"/>
        </w:rPr>
        <w:t>Pathologically, follicular lymphoma in the small intestine is characterized by infiltration of lymphoma cells within the villi and the development of neoplastic lymphoid follicles. Lymphoid follicles formed in the mucosa or submucosa visually appear as opaque white spots. Infiltration of lymphoma cells results in the swelling of the affected villi producing enlarged whitish villi. Infiltrating follicular lymphoma cells may disturb the perfusion of microvessels in the villi, leading to the dilation of these vessels</w:t>
      </w:r>
      <w:r w:rsidR="00842F82" w:rsidRPr="00853B95">
        <w:rPr>
          <w:rFonts w:ascii="Book Antiqua" w:hAnsi="Book Antiqua"/>
          <w:szCs w:val="24"/>
          <w:vertAlign w:val="superscript"/>
        </w:rPr>
        <w:t>[</w:t>
      </w:r>
      <w:r w:rsidRPr="00853B95">
        <w:rPr>
          <w:rFonts w:ascii="Book Antiqua" w:hAnsi="Book Antiqua"/>
          <w:szCs w:val="24"/>
          <w:vertAlign w:val="superscript"/>
        </w:rPr>
        <w:t>44]</w:t>
      </w:r>
      <w:r w:rsidRPr="00853B95">
        <w:rPr>
          <w:rFonts w:ascii="Book Antiqua" w:hAnsi="Book Antiqua"/>
          <w:szCs w:val="24"/>
        </w:rPr>
        <w:t>.</w:t>
      </w:r>
    </w:p>
    <w:p w14:paraId="4B6E26E7" w14:textId="78C27F07" w:rsidR="004008EB" w:rsidRPr="00853B95" w:rsidRDefault="004008EB" w:rsidP="00AF41BC">
      <w:pPr>
        <w:spacing w:line="360" w:lineRule="auto"/>
        <w:ind w:firstLine="835"/>
        <w:rPr>
          <w:rFonts w:ascii="Book Antiqua" w:hAnsi="Book Antiqua"/>
          <w:szCs w:val="24"/>
        </w:rPr>
      </w:pPr>
      <w:r w:rsidRPr="00853B95">
        <w:rPr>
          <w:rFonts w:ascii="Book Antiqua" w:hAnsi="Book Antiqua"/>
          <w:szCs w:val="24"/>
        </w:rPr>
        <w:t>These microstructure features are useful to distinguish follicular lymphoma from other whitish lesions in the duodenum. We comparatively analyzed the magnifying endoscopic features of cases with follicular lymphoma (</w:t>
      </w:r>
      <w:r w:rsidRPr="00853B95">
        <w:rPr>
          <w:rFonts w:ascii="Book Antiqua" w:hAnsi="Book Antiqua"/>
          <w:i/>
          <w:szCs w:val="24"/>
        </w:rPr>
        <w:t xml:space="preserve">n </w:t>
      </w:r>
      <w:r w:rsidRPr="00853B95">
        <w:rPr>
          <w:rFonts w:ascii="Book Antiqua" w:hAnsi="Book Antiqua"/>
          <w:szCs w:val="24"/>
        </w:rPr>
        <w:t>＝</w:t>
      </w:r>
      <w:r w:rsidRPr="00853B95">
        <w:rPr>
          <w:rFonts w:ascii="Book Antiqua" w:hAnsi="Book Antiqua"/>
          <w:szCs w:val="24"/>
        </w:rPr>
        <w:t xml:space="preserve"> 9), lymphangiectasia (</w:t>
      </w:r>
      <w:r w:rsidR="00842F82" w:rsidRPr="00853B95">
        <w:rPr>
          <w:rFonts w:ascii="Book Antiqua" w:hAnsi="Book Antiqua"/>
          <w:i/>
          <w:szCs w:val="24"/>
        </w:rPr>
        <w:t>n</w:t>
      </w:r>
      <w:r w:rsidRPr="00853B95">
        <w:rPr>
          <w:rFonts w:ascii="Book Antiqua" w:hAnsi="Book Antiqua"/>
          <w:szCs w:val="24"/>
        </w:rPr>
        <w:t xml:space="preserve"> = 7), adenoma (</w:t>
      </w:r>
      <w:r w:rsidR="00842F82" w:rsidRPr="00853B95">
        <w:rPr>
          <w:rFonts w:ascii="Book Antiqua" w:hAnsi="Book Antiqua"/>
          <w:i/>
          <w:szCs w:val="24"/>
        </w:rPr>
        <w:t>n</w:t>
      </w:r>
      <w:r w:rsidRPr="00853B95">
        <w:rPr>
          <w:rFonts w:ascii="Book Antiqua" w:hAnsi="Book Antiqua"/>
          <w:szCs w:val="24"/>
        </w:rPr>
        <w:t xml:space="preserve"> </w:t>
      </w:r>
      <w:r w:rsidRPr="00853B95">
        <w:rPr>
          <w:rFonts w:ascii="Book Antiqua" w:hAnsi="Book Antiqua"/>
          <w:szCs w:val="24"/>
        </w:rPr>
        <w:t>＝</w:t>
      </w:r>
      <w:r w:rsidRPr="00853B95">
        <w:rPr>
          <w:rFonts w:ascii="Book Antiqua" w:hAnsi="Book Antiqua"/>
          <w:szCs w:val="24"/>
        </w:rPr>
        <w:t xml:space="preserve"> 10), duodenitis (</w:t>
      </w:r>
      <w:r w:rsidR="00842F82" w:rsidRPr="00853B95">
        <w:rPr>
          <w:rFonts w:ascii="Book Antiqua" w:hAnsi="Book Antiqua"/>
          <w:i/>
          <w:szCs w:val="24"/>
        </w:rPr>
        <w:t>n</w:t>
      </w:r>
      <w:r w:rsidRPr="00853B95">
        <w:rPr>
          <w:rFonts w:ascii="Book Antiqua" w:hAnsi="Book Antiqua"/>
          <w:szCs w:val="24"/>
        </w:rPr>
        <w:t xml:space="preserve"> </w:t>
      </w:r>
      <w:r w:rsidRPr="00853B95">
        <w:rPr>
          <w:rFonts w:ascii="Book Antiqua" w:hAnsi="Book Antiqua"/>
          <w:szCs w:val="24"/>
        </w:rPr>
        <w:t>＝</w:t>
      </w:r>
      <w:r w:rsidRPr="00853B95">
        <w:rPr>
          <w:rFonts w:ascii="Book Antiqua" w:hAnsi="Book Antiqua"/>
          <w:szCs w:val="24"/>
        </w:rPr>
        <w:t xml:space="preserve"> 4), erosion (</w:t>
      </w:r>
      <w:r w:rsidR="00842F82" w:rsidRPr="00853B95">
        <w:rPr>
          <w:rFonts w:ascii="Book Antiqua" w:hAnsi="Book Antiqua"/>
          <w:i/>
          <w:szCs w:val="24"/>
        </w:rPr>
        <w:t>n</w:t>
      </w:r>
      <w:r w:rsidRPr="00853B95">
        <w:rPr>
          <w:rFonts w:ascii="Book Antiqua" w:hAnsi="Book Antiqua"/>
          <w:szCs w:val="24"/>
        </w:rPr>
        <w:t xml:space="preserve"> </w:t>
      </w:r>
      <w:r w:rsidRPr="00853B95">
        <w:rPr>
          <w:rFonts w:ascii="Book Antiqua" w:hAnsi="Book Antiqua"/>
          <w:szCs w:val="24"/>
        </w:rPr>
        <w:t>＝</w:t>
      </w:r>
      <w:r w:rsidRPr="00853B95">
        <w:rPr>
          <w:rFonts w:ascii="Book Antiqua" w:hAnsi="Book Antiqua"/>
          <w:szCs w:val="24"/>
        </w:rPr>
        <w:t xml:space="preserve"> 1), lymphangioma (</w:t>
      </w:r>
      <w:r w:rsidR="00842F82" w:rsidRPr="00853B95">
        <w:rPr>
          <w:rFonts w:ascii="Book Antiqua" w:hAnsi="Book Antiqua"/>
          <w:i/>
          <w:szCs w:val="24"/>
        </w:rPr>
        <w:t>n</w:t>
      </w:r>
      <w:r w:rsidRPr="00853B95">
        <w:rPr>
          <w:rFonts w:ascii="Book Antiqua" w:hAnsi="Book Antiqua"/>
          <w:szCs w:val="24"/>
        </w:rPr>
        <w:t xml:space="preserve"> </w:t>
      </w:r>
      <w:r w:rsidRPr="00853B95">
        <w:rPr>
          <w:rFonts w:ascii="Book Antiqua" w:hAnsi="Book Antiqua"/>
          <w:szCs w:val="24"/>
        </w:rPr>
        <w:t>＝</w:t>
      </w:r>
      <w:r w:rsidRPr="00853B95">
        <w:rPr>
          <w:rFonts w:ascii="Book Antiqua" w:hAnsi="Book Antiqua"/>
          <w:szCs w:val="24"/>
        </w:rPr>
        <w:t xml:space="preserve"> 1), and hyperplastic polyps (</w:t>
      </w:r>
      <w:r w:rsidR="00842F82" w:rsidRPr="00853B95">
        <w:rPr>
          <w:rFonts w:ascii="Book Antiqua" w:hAnsi="Book Antiqua"/>
          <w:i/>
          <w:szCs w:val="24"/>
        </w:rPr>
        <w:t>n</w:t>
      </w:r>
      <w:r w:rsidRPr="00853B95">
        <w:rPr>
          <w:rFonts w:ascii="Book Antiqua" w:hAnsi="Book Antiqua"/>
          <w:szCs w:val="24"/>
        </w:rPr>
        <w:t xml:space="preserve"> </w:t>
      </w:r>
      <w:r w:rsidRPr="00853B95">
        <w:rPr>
          <w:rFonts w:ascii="Book Antiqua" w:hAnsi="Book Antiqua"/>
          <w:szCs w:val="24"/>
        </w:rPr>
        <w:t>＝</w:t>
      </w:r>
      <w:r w:rsidRPr="00853B95">
        <w:rPr>
          <w:rFonts w:ascii="Book Antiqua" w:hAnsi="Book Antiqua"/>
          <w:szCs w:val="24"/>
        </w:rPr>
        <w:t xml:space="preserve"> 1)</w:t>
      </w:r>
      <w:r w:rsidR="00842F82" w:rsidRPr="00853B95">
        <w:rPr>
          <w:rFonts w:ascii="Book Antiqua" w:hAnsi="Book Antiqua"/>
          <w:szCs w:val="24"/>
          <w:vertAlign w:val="superscript"/>
        </w:rPr>
        <w:t>[</w:t>
      </w:r>
      <w:r w:rsidRPr="00853B95">
        <w:rPr>
          <w:rFonts w:ascii="Book Antiqua" w:hAnsi="Book Antiqua"/>
          <w:szCs w:val="24"/>
          <w:vertAlign w:val="superscript"/>
        </w:rPr>
        <w:t>45]</w:t>
      </w:r>
      <w:r w:rsidRPr="00853B95">
        <w:rPr>
          <w:rFonts w:ascii="Book Antiqua" w:hAnsi="Book Antiqua"/>
          <w:szCs w:val="24"/>
        </w:rPr>
        <w:t xml:space="preserve">. In our study, enlarged villi (8/9, 88.9%), dilated microvessels (5/9, 55.6%), and opaque white spots of various sizes (9/9, 100%) were detected in follicular lymphoma cases. Such magnifying endoscopic features are helpful in terms of the differential diagnosis of follicular lymphoma from lymphangiectasia, </w:t>
      </w:r>
      <w:r w:rsidRPr="00853B95">
        <w:rPr>
          <w:rFonts w:ascii="Book Antiqua" w:hAnsi="Book Antiqua"/>
          <w:szCs w:val="24"/>
        </w:rPr>
        <w:lastRenderedPageBreak/>
        <w:t xml:space="preserve">adenoma, and duodenitis. Observation of the lymphangiectasia revealed enlarged villi, dilated microvessels, and white spots, but the sizes of the white spots were homogeneous and their margins were clear. Adenoma and duodenitis showed only whitish villi. </w:t>
      </w:r>
    </w:p>
    <w:p w14:paraId="5BD7392B" w14:textId="2E405A7E" w:rsidR="004008EB" w:rsidRPr="00853B95" w:rsidRDefault="004008EB" w:rsidP="00AF41BC">
      <w:pPr>
        <w:spacing w:line="360" w:lineRule="auto"/>
        <w:ind w:firstLine="835"/>
        <w:rPr>
          <w:rFonts w:ascii="Book Antiqua" w:hAnsi="Book Antiqua"/>
          <w:szCs w:val="24"/>
        </w:rPr>
      </w:pPr>
      <w:r w:rsidRPr="00853B95">
        <w:rPr>
          <w:rFonts w:ascii="Book Antiqua" w:hAnsi="Book Antiqua"/>
          <w:szCs w:val="24"/>
        </w:rPr>
        <w:t>Although the lymphangiomas showed a similar microstructure to the follicular lymphoma lesions, they were easily distinguishable based on the macroscopic morphology, since the lymphangioma appeared as a soft submucosal tumor with white spots. Consequently, we consider that magnifying endoscopic observation, in combination with macroscopic morphology, is valuable for prompt endoscopic diagnosis of intestinal follicular lymphoma. We also believe that magnified endoscopy can be applied to detect subtle intestinal involvement of follicular lymphoma</w:t>
      </w:r>
      <w:r w:rsidR="00842F82" w:rsidRPr="00853B95">
        <w:rPr>
          <w:rFonts w:ascii="Book Antiqua" w:hAnsi="Book Antiqua"/>
          <w:szCs w:val="24"/>
          <w:vertAlign w:val="superscript"/>
        </w:rPr>
        <w:t>[</w:t>
      </w:r>
      <w:r w:rsidRPr="00853B95">
        <w:rPr>
          <w:rFonts w:ascii="Book Antiqua" w:hAnsi="Book Antiqua"/>
          <w:szCs w:val="24"/>
          <w:vertAlign w:val="superscript"/>
        </w:rPr>
        <w:t>45]</w:t>
      </w:r>
      <w:r w:rsidRPr="00853B95">
        <w:rPr>
          <w:rFonts w:ascii="Book Antiqua" w:hAnsi="Book Antiqua"/>
          <w:szCs w:val="24"/>
        </w:rPr>
        <w:t xml:space="preserve"> and to judge whether complete remission of the intestinal lesions is obtained</w:t>
      </w:r>
      <w:r w:rsidR="00842F82" w:rsidRPr="00853B95">
        <w:rPr>
          <w:rFonts w:ascii="Book Antiqua" w:hAnsi="Book Antiqua"/>
          <w:szCs w:val="24"/>
          <w:vertAlign w:val="superscript"/>
        </w:rPr>
        <w:t>[</w:t>
      </w:r>
      <w:r w:rsidRPr="00853B95">
        <w:rPr>
          <w:rFonts w:ascii="Book Antiqua" w:hAnsi="Book Antiqua"/>
          <w:szCs w:val="24"/>
          <w:vertAlign w:val="superscript"/>
        </w:rPr>
        <w:t>46]</w:t>
      </w:r>
      <w:r w:rsidRPr="00853B95">
        <w:rPr>
          <w:rFonts w:ascii="Book Antiqua" w:hAnsi="Book Antiqua"/>
          <w:szCs w:val="24"/>
        </w:rPr>
        <w:t>.</w:t>
      </w:r>
    </w:p>
    <w:p w14:paraId="6AB90ADF" w14:textId="77777777" w:rsidR="00394EC3" w:rsidRPr="00853B95" w:rsidRDefault="00394EC3" w:rsidP="00AF41BC">
      <w:pPr>
        <w:spacing w:line="360" w:lineRule="auto"/>
        <w:rPr>
          <w:rFonts w:ascii="Book Antiqua" w:hAnsi="Book Antiqua"/>
          <w:szCs w:val="24"/>
        </w:rPr>
      </w:pPr>
    </w:p>
    <w:p w14:paraId="57E30E90" w14:textId="2CAA3966" w:rsidR="00207E18" w:rsidRPr="00853B95" w:rsidRDefault="00842F82" w:rsidP="00AF41BC">
      <w:pPr>
        <w:spacing w:line="360" w:lineRule="auto"/>
        <w:rPr>
          <w:rFonts w:ascii="Book Antiqua" w:hAnsi="Book Antiqua"/>
          <w:b/>
          <w:szCs w:val="24"/>
        </w:rPr>
      </w:pPr>
      <w:r w:rsidRPr="00853B95">
        <w:rPr>
          <w:rFonts w:ascii="Book Antiqua" w:hAnsi="Book Antiqua"/>
          <w:b/>
          <w:szCs w:val="24"/>
        </w:rPr>
        <w:t>HISTOLOGICAL ASSESSMENT OF BIOPSIED SPECIMEN</w:t>
      </w:r>
    </w:p>
    <w:p w14:paraId="3CB28653" w14:textId="6AF652BF" w:rsidR="004008EB" w:rsidRPr="00853B95" w:rsidRDefault="004008EB" w:rsidP="00842F82">
      <w:pPr>
        <w:spacing w:line="360" w:lineRule="auto"/>
        <w:rPr>
          <w:rFonts w:ascii="Book Antiqua" w:hAnsi="Book Antiqua"/>
          <w:szCs w:val="24"/>
        </w:rPr>
      </w:pPr>
      <w:r w:rsidRPr="00853B95">
        <w:rPr>
          <w:rFonts w:ascii="Book Antiqua" w:hAnsi="Book Antiqua"/>
          <w:szCs w:val="24"/>
        </w:rPr>
        <w:t>Appropriate pathological assessment is indispensable to the diagnosis of follicular lymphoma (Fig</w:t>
      </w:r>
      <w:r w:rsidR="00842F82" w:rsidRPr="00853B95">
        <w:rPr>
          <w:rFonts w:ascii="Book Antiqua" w:eastAsia="SimSun" w:hAnsi="Book Antiqua" w:hint="eastAsia"/>
          <w:szCs w:val="24"/>
          <w:lang w:eastAsia="zh-CN"/>
        </w:rPr>
        <w:t>ure</w:t>
      </w:r>
      <w:r w:rsidRPr="00853B95">
        <w:rPr>
          <w:rFonts w:ascii="Book Antiqua" w:hAnsi="Book Antiqua"/>
          <w:szCs w:val="24"/>
        </w:rPr>
        <w:t xml:space="preserve"> 2). Histologically, this neoplasm is composed of germinal center B cells, typically both centrocytes and centroblasts</w:t>
      </w:r>
      <w:r w:rsidR="00842F82" w:rsidRPr="00853B95">
        <w:rPr>
          <w:rFonts w:ascii="Book Antiqua" w:hAnsi="Book Antiqua"/>
          <w:szCs w:val="24"/>
          <w:vertAlign w:val="superscript"/>
        </w:rPr>
        <w:t>[</w:t>
      </w:r>
      <w:r w:rsidRPr="00853B95">
        <w:rPr>
          <w:rFonts w:ascii="Book Antiqua" w:hAnsi="Book Antiqua"/>
          <w:szCs w:val="24"/>
          <w:vertAlign w:val="superscript"/>
        </w:rPr>
        <w:t>1,2]</w:t>
      </w:r>
      <w:r w:rsidRPr="00853B95">
        <w:rPr>
          <w:rFonts w:ascii="Book Antiqua" w:hAnsi="Book Antiqua"/>
          <w:szCs w:val="24"/>
        </w:rPr>
        <w:t>. Pathological grading is done according to the number of centroblasts per 40</w:t>
      </w:r>
      <w:r w:rsidRPr="00853B95">
        <w:rPr>
          <w:rFonts w:ascii="Book Antiqua" w:eastAsia="MS Mincho" w:hAnsi="Book Antiqua"/>
          <w:szCs w:val="24"/>
        </w:rPr>
        <w:t>×</w:t>
      </w:r>
      <w:r w:rsidRPr="00853B95">
        <w:rPr>
          <w:rFonts w:ascii="Book Antiqua" w:hAnsi="Book Antiqua"/>
          <w:szCs w:val="24"/>
        </w:rPr>
        <w:t xml:space="preserve"> high-power microscopic field (hpf)</w:t>
      </w:r>
      <w:r w:rsidR="00842F82" w:rsidRPr="00853B95">
        <w:rPr>
          <w:rFonts w:ascii="Book Antiqua" w:hAnsi="Book Antiqua"/>
          <w:szCs w:val="24"/>
          <w:vertAlign w:val="superscript"/>
        </w:rPr>
        <w:t>[</w:t>
      </w:r>
      <w:r w:rsidRPr="00853B95">
        <w:rPr>
          <w:rFonts w:ascii="Book Antiqua" w:hAnsi="Book Antiqua"/>
          <w:szCs w:val="24"/>
          <w:vertAlign w:val="superscript"/>
        </w:rPr>
        <w:t>1]</w:t>
      </w:r>
      <w:r w:rsidRPr="00853B95">
        <w:rPr>
          <w:rFonts w:ascii="Book Antiqua" w:hAnsi="Book Antiqua"/>
          <w:szCs w:val="24"/>
        </w:rPr>
        <w:t xml:space="preserve">. </w:t>
      </w:r>
      <w:r w:rsidR="00C400E2" w:rsidRPr="00853B95">
        <w:rPr>
          <w:rFonts w:ascii="Book Antiqua" w:hAnsi="Book Antiqua"/>
          <w:szCs w:val="24"/>
        </w:rPr>
        <w:t>I</w:t>
      </w:r>
      <w:r w:rsidRPr="00853B95">
        <w:rPr>
          <w:rFonts w:ascii="Book Antiqua" w:hAnsi="Book Antiqua"/>
          <w:szCs w:val="24"/>
        </w:rPr>
        <w:t>t has been reported that more than 95% of gastrointestinal follicular lymphomas are Grade 1 or 2</w:t>
      </w:r>
      <w:r w:rsidR="00842F82" w:rsidRPr="00853B95">
        <w:rPr>
          <w:rFonts w:ascii="Book Antiqua" w:hAnsi="Book Antiqua"/>
          <w:szCs w:val="24"/>
          <w:vertAlign w:val="superscript"/>
        </w:rPr>
        <w:t>[</w:t>
      </w:r>
      <w:r w:rsidRPr="00853B95">
        <w:rPr>
          <w:rFonts w:ascii="Book Antiqua" w:hAnsi="Book Antiqua"/>
          <w:szCs w:val="24"/>
          <w:vertAlign w:val="superscript"/>
        </w:rPr>
        <w:t>2]</w:t>
      </w:r>
      <w:r w:rsidRPr="00853B95">
        <w:rPr>
          <w:rFonts w:ascii="Book Antiqua" w:hAnsi="Book Antiqua"/>
          <w:szCs w:val="24"/>
        </w:rPr>
        <w:t>.</w:t>
      </w:r>
    </w:p>
    <w:p w14:paraId="27D7FA17" w14:textId="3209A688" w:rsidR="004008EB" w:rsidRPr="00853B95" w:rsidRDefault="004008EB" w:rsidP="00AF41BC">
      <w:pPr>
        <w:spacing w:line="360" w:lineRule="auto"/>
        <w:ind w:firstLine="835"/>
        <w:rPr>
          <w:rFonts w:ascii="Book Antiqua" w:hAnsi="Book Antiqua"/>
          <w:szCs w:val="24"/>
        </w:rPr>
      </w:pPr>
      <w:r w:rsidRPr="00853B95">
        <w:rPr>
          <w:rFonts w:ascii="Book Antiqua" w:hAnsi="Book Antiqua"/>
          <w:szCs w:val="24"/>
        </w:rPr>
        <w:t xml:space="preserve">Typical microscopic features of duodenal follicular lymphoma include: </w:t>
      </w:r>
      <w:r w:rsidR="00842F82" w:rsidRPr="00853B95">
        <w:rPr>
          <w:rFonts w:ascii="Book Antiqua" w:eastAsia="SimSun" w:hAnsi="Book Antiqua" w:hint="eastAsia"/>
          <w:szCs w:val="24"/>
          <w:lang w:eastAsia="zh-CN"/>
        </w:rPr>
        <w:t>(1</w:t>
      </w:r>
      <w:r w:rsidRPr="00853B95">
        <w:rPr>
          <w:rFonts w:ascii="Book Antiqua" w:hAnsi="Book Antiqua"/>
          <w:szCs w:val="24"/>
        </w:rPr>
        <w:t xml:space="preserve">) small to medium-sized lymphoid cells forming tumor follicles, and </w:t>
      </w:r>
      <w:r w:rsidR="00842F82" w:rsidRPr="00853B95">
        <w:rPr>
          <w:rFonts w:ascii="Book Antiqua" w:eastAsia="SimSun" w:hAnsi="Book Antiqua" w:hint="eastAsia"/>
          <w:szCs w:val="24"/>
          <w:lang w:eastAsia="zh-CN"/>
        </w:rPr>
        <w:t>(2</w:t>
      </w:r>
      <w:r w:rsidRPr="00853B95">
        <w:rPr>
          <w:rFonts w:ascii="Book Antiqua" w:hAnsi="Book Antiqua"/>
          <w:szCs w:val="24"/>
        </w:rPr>
        <w:t>) infiltration of tumor cells involving the duodenal villi</w:t>
      </w:r>
      <w:r w:rsidR="00842F82" w:rsidRPr="00853B95">
        <w:rPr>
          <w:rFonts w:ascii="Book Antiqua" w:hAnsi="Book Antiqua"/>
          <w:szCs w:val="24"/>
          <w:vertAlign w:val="superscript"/>
        </w:rPr>
        <w:t>[</w:t>
      </w:r>
      <w:r w:rsidRPr="00853B95">
        <w:rPr>
          <w:rFonts w:ascii="Book Antiqua" w:hAnsi="Book Antiqua"/>
          <w:szCs w:val="24"/>
          <w:vertAlign w:val="superscript"/>
        </w:rPr>
        <w:t>2]</w:t>
      </w:r>
      <w:r w:rsidRPr="00853B95">
        <w:rPr>
          <w:rFonts w:ascii="Book Antiqua" w:hAnsi="Book Antiqua"/>
          <w:szCs w:val="24"/>
        </w:rPr>
        <w:t xml:space="preserve">. On pathological </w:t>
      </w:r>
      <w:r w:rsidRPr="00853B95">
        <w:rPr>
          <w:rFonts w:ascii="Book Antiqua" w:hAnsi="Book Antiqua"/>
          <w:szCs w:val="24"/>
        </w:rPr>
        <w:lastRenderedPageBreak/>
        <w:t>assessment of gastrointestinal follicular lymphoma lesions, the main differential diagnoses are extra-nodal marginal zone lymphoma of mucosa-associated lymphoid tissue (MALT lymphoma), mantle cell lymphoma, and reactive lymphoid hyperplasia. The neoplastic cells in follicular lymphoma, MALT lymphoma, and mantle cell lymphoma exhibit morphological similarities, since these lymphomas predominantly consist of small- to medium-sized cells of B-lymphocyte origin. Consequently, in general, subcategorizing these B-cell lymphomas according to the morphological features of the lymphoma cells is often difficult and requires immunohistochemical staining. An immunophenotyping result of B-cell lymphoma (BCL)2+, BCL6+, cluster of differentiation (CD)10+, CD5-, CD43-, and cyclin D1-, in addition to being positive for B-cell associated antigens such as CD19, CD20, CD22, and CD79a, is a distinctive feature of follicular lymphoma</w:t>
      </w:r>
      <w:r w:rsidR="00842F82" w:rsidRPr="00853B95">
        <w:rPr>
          <w:rFonts w:ascii="Book Antiqua" w:hAnsi="Book Antiqua"/>
          <w:szCs w:val="24"/>
          <w:vertAlign w:val="superscript"/>
        </w:rPr>
        <w:t>[</w:t>
      </w:r>
      <w:r w:rsidRPr="00853B95">
        <w:rPr>
          <w:rFonts w:ascii="Book Antiqua" w:hAnsi="Book Antiqua"/>
          <w:szCs w:val="24"/>
          <w:vertAlign w:val="superscript"/>
        </w:rPr>
        <w:t>1]</w:t>
      </w:r>
      <w:r w:rsidRPr="00853B95">
        <w:rPr>
          <w:rFonts w:ascii="Book Antiqua" w:hAnsi="Book Antiqua"/>
          <w:szCs w:val="24"/>
        </w:rPr>
        <w:t>. Translocation t(14;18)(q32;q21) is also a characteristic feature of this disease, and detection of such cytogenetic abnormalities is also useful for diagnosis.</w:t>
      </w:r>
    </w:p>
    <w:p w14:paraId="23A21954" w14:textId="4E84661D" w:rsidR="004008EB" w:rsidRPr="00853B95" w:rsidRDefault="004008EB" w:rsidP="00AF41BC">
      <w:pPr>
        <w:spacing w:line="360" w:lineRule="auto"/>
        <w:ind w:firstLine="835"/>
        <w:rPr>
          <w:rFonts w:ascii="Book Antiqua" w:hAnsi="Book Antiqua"/>
          <w:szCs w:val="24"/>
        </w:rPr>
      </w:pPr>
      <w:r w:rsidRPr="00853B95">
        <w:rPr>
          <w:rFonts w:ascii="Book Antiqua" w:hAnsi="Book Antiqua"/>
          <w:szCs w:val="24"/>
        </w:rPr>
        <w:t>We investigated the diagnostic accuracy of the initial pathological evaluation for gastrointestinal follicular lymphomas</w:t>
      </w:r>
      <w:r w:rsidR="00842F82" w:rsidRPr="00853B95">
        <w:rPr>
          <w:rFonts w:ascii="Book Antiqua" w:hAnsi="Book Antiqua"/>
          <w:szCs w:val="24"/>
          <w:vertAlign w:val="superscript"/>
        </w:rPr>
        <w:t>[</w:t>
      </w:r>
      <w:r w:rsidRPr="00853B95">
        <w:rPr>
          <w:rFonts w:ascii="Book Antiqua" w:hAnsi="Book Antiqua"/>
          <w:szCs w:val="24"/>
          <w:vertAlign w:val="superscript"/>
        </w:rPr>
        <w:t>27]</w:t>
      </w:r>
      <w:r w:rsidRPr="00853B95">
        <w:rPr>
          <w:rFonts w:ascii="Book Antiqua" w:hAnsi="Book Antiqua"/>
          <w:szCs w:val="24"/>
        </w:rPr>
        <w:t>. Forty-eight patients were included, and nine (18.8%) patients were found to have been incorrectly diagnosed at the initial biopsy examination as having MALT lymphoma (</w:t>
      </w:r>
      <w:r w:rsidR="00842F82" w:rsidRPr="00853B95">
        <w:rPr>
          <w:rFonts w:ascii="Book Antiqua" w:hAnsi="Book Antiqua"/>
          <w:i/>
          <w:szCs w:val="24"/>
        </w:rPr>
        <w:t>n</w:t>
      </w:r>
      <w:r w:rsidRPr="00853B95">
        <w:rPr>
          <w:rFonts w:ascii="Book Antiqua" w:hAnsi="Book Antiqua"/>
          <w:szCs w:val="24"/>
        </w:rPr>
        <w:t xml:space="preserve"> = 4), necrotic tissue (</w:t>
      </w:r>
      <w:r w:rsidRPr="00853B95">
        <w:rPr>
          <w:rFonts w:ascii="Book Antiqua" w:hAnsi="Book Antiqua"/>
          <w:i/>
          <w:szCs w:val="24"/>
        </w:rPr>
        <w:t xml:space="preserve">n </w:t>
      </w:r>
      <w:r w:rsidRPr="00853B95">
        <w:rPr>
          <w:rFonts w:ascii="Book Antiqua" w:hAnsi="Book Antiqua"/>
          <w:szCs w:val="24"/>
        </w:rPr>
        <w:t>= 2), duodenitis (</w:t>
      </w:r>
      <w:r w:rsidR="00842F82" w:rsidRPr="00853B95">
        <w:rPr>
          <w:rFonts w:ascii="Book Antiqua" w:hAnsi="Book Antiqua"/>
          <w:i/>
          <w:szCs w:val="24"/>
        </w:rPr>
        <w:t>n</w:t>
      </w:r>
      <w:r w:rsidRPr="00853B95">
        <w:rPr>
          <w:rFonts w:ascii="Book Antiqua" w:hAnsi="Book Antiqua"/>
          <w:szCs w:val="24"/>
        </w:rPr>
        <w:t xml:space="preserve"> = 1), or suspected lymphoma of unspecified subtype (</w:t>
      </w:r>
      <w:r w:rsidR="00842F82" w:rsidRPr="00853B95">
        <w:rPr>
          <w:rFonts w:ascii="Book Antiqua" w:hAnsi="Book Antiqua"/>
          <w:i/>
          <w:szCs w:val="24"/>
        </w:rPr>
        <w:t xml:space="preserve">n </w:t>
      </w:r>
      <w:r w:rsidRPr="00853B95">
        <w:rPr>
          <w:rFonts w:ascii="Book Antiqua" w:hAnsi="Book Antiqua"/>
          <w:szCs w:val="24"/>
        </w:rPr>
        <w:t>= 2). Misdiagnosis of gastrointestinal follicular lymphoma as MALT lymphoma has been reported by other authors as well</w:t>
      </w:r>
      <w:r w:rsidR="00842F82" w:rsidRPr="00853B95">
        <w:rPr>
          <w:rFonts w:ascii="Book Antiqua" w:hAnsi="Book Antiqua"/>
          <w:szCs w:val="24"/>
          <w:vertAlign w:val="superscript"/>
        </w:rPr>
        <w:t>[</w:t>
      </w:r>
      <w:r w:rsidR="007151DB" w:rsidRPr="00853B95">
        <w:rPr>
          <w:rFonts w:ascii="Book Antiqua" w:hAnsi="Book Antiqua"/>
          <w:szCs w:val="24"/>
          <w:vertAlign w:val="superscript"/>
        </w:rPr>
        <w:t>47,48</w:t>
      </w:r>
      <w:r w:rsidRPr="00853B95">
        <w:rPr>
          <w:rFonts w:ascii="Book Antiqua" w:hAnsi="Book Antiqua"/>
          <w:szCs w:val="24"/>
          <w:vertAlign w:val="superscript"/>
        </w:rPr>
        <w:t>]</w:t>
      </w:r>
      <w:r w:rsidRPr="00853B95">
        <w:rPr>
          <w:rFonts w:ascii="Book Antiqua" w:hAnsi="Book Antiqua"/>
          <w:szCs w:val="24"/>
        </w:rPr>
        <w:t xml:space="preserve">. We found two major problems that might lead to misinterpretation of the pathological diagnosis: an incomplete histopathologic evaluation lacking </w:t>
      </w:r>
      <w:r w:rsidRPr="00853B95">
        <w:rPr>
          <w:rFonts w:ascii="Book Antiqua" w:hAnsi="Book Antiqua"/>
          <w:szCs w:val="24"/>
        </w:rPr>
        <w:lastRenderedPageBreak/>
        <w:t>immunophenotyping analysis, and unsuitable biopsy samples taken from erosions or ulcerative lesions that contained scanty lymphoma cells or no lymphoid follicles</w:t>
      </w:r>
      <w:r w:rsidR="00842F82" w:rsidRPr="00853B95">
        <w:rPr>
          <w:rFonts w:ascii="Book Antiqua" w:hAnsi="Book Antiqua"/>
          <w:szCs w:val="24"/>
          <w:vertAlign w:val="superscript"/>
        </w:rPr>
        <w:t>[</w:t>
      </w:r>
      <w:r w:rsidRPr="00853B95">
        <w:rPr>
          <w:rFonts w:ascii="Book Antiqua" w:hAnsi="Book Antiqua"/>
          <w:szCs w:val="24"/>
          <w:vertAlign w:val="superscript"/>
        </w:rPr>
        <w:t>27]</w:t>
      </w:r>
      <w:r w:rsidRPr="00853B95">
        <w:rPr>
          <w:rFonts w:ascii="Book Antiqua" w:hAnsi="Book Antiqua"/>
          <w:szCs w:val="24"/>
        </w:rPr>
        <w:t>. For patients in whom gastrointestinal low-grade B-cell lymphoma is suspected, physicians should confirm that appropriate immunostaining and/or cytogenetic analysis was performed. In addition, in rare instances presenting with a macroscopic form of erosions or ulcers, extensive pathological analysis by repeat biopsies or surgical resection may be required to reach the correct diagnosis</w:t>
      </w:r>
      <w:r w:rsidR="00842F82" w:rsidRPr="00853B95">
        <w:rPr>
          <w:rFonts w:ascii="Book Antiqua" w:hAnsi="Book Antiqua"/>
          <w:szCs w:val="24"/>
          <w:vertAlign w:val="superscript"/>
        </w:rPr>
        <w:t>[</w:t>
      </w:r>
      <w:r w:rsidRPr="00853B95">
        <w:rPr>
          <w:rFonts w:ascii="Book Antiqua" w:hAnsi="Book Antiqua"/>
          <w:szCs w:val="24"/>
          <w:vertAlign w:val="superscript"/>
        </w:rPr>
        <w:t>27]</w:t>
      </w:r>
      <w:r w:rsidRPr="00853B95">
        <w:rPr>
          <w:rFonts w:ascii="Book Antiqua" w:hAnsi="Book Antiqua"/>
          <w:szCs w:val="24"/>
        </w:rPr>
        <w:t>.</w:t>
      </w:r>
    </w:p>
    <w:p w14:paraId="1CB25E3F" w14:textId="74DA3AEA" w:rsidR="004008EB" w:rsidRPr="00853B95" w:rsidRDefault="004008EB" w:rsidP="00AF41BC">
      <w:pPr>
        <w:spacing w:line="360" w:lineRule="auto"/>
        <w:ind w:firstLine="835"/>
        <w:rPr>
          <w:rFonts w:ascii="Book Antiqua" w:hAnsi="Book Antiqua"/>
          <w:szCs w:val="24"/>
        </w:rPr>
      </w:pPr>
      <w:r w:rsidRPr="00853B95">
        <w:rPr>
          <w:rFonts w:ascii="Book Antiqua" w:hAnsi="Book Antiqua"/>
          <w:szCs w:val="24"/>
        </w:rPr>
        <w:t xml:space="preserve">Histological transformation to </w:t>
      </w:r>
      <w:r w:rsidR="000326EA" w:rsidRPr="00853B95">
        <w:rPr>
          <w:rFonts w:ascii="Book Antiqua" w:hAnsi="Book Antiqua"/>
          <w:szCs w:val="24"/>
        </w:rPr>
        <w:t>diffuse large B-cell lymphoma</w:t>
      </w:r>
      <w:r w:rsidRPr="00853B95">
        <w:rPr>
          <w:rFonts w:ascii="Book Antiqua" w:hAnsi="Book Antiqua"/>
          <w:szCs w:val="24"/>
        </w:rPr>
        <w:t xml:space="preserve"> is a critical event associated with poor prognosis. In nodal follicular lymphoma, 28% of patients develop histological transformation within 10 years</w:t>
      </w:r>
      <w:r w:rsidR="00842F82" w:rsidRPr="00853B95">
        <w:rPr>
          <w:rFonts w:ascii="Book Antiqua" w:hAnsi="Book Antiqua"/>
          <w:szCs w:val="24"/>
          <w:vertAlign w:val="superscript"/>
        </w:rPr>
        <w:t>[</w:t>
      </w:r>
      <w:r w:rsidR="007151DB" w:rsidRPr="00853B95">
        <w:rPr>
          <w:rFonts w:ascii="Book Antiqua" w:hAnsi="Book Antiqua"/>
          <w:szCs w:val="24"/>
          <w:vertAlign w:val="superscript"/>
        </w:rPr>
        <w:t>49</w:t>
      </w:r>
      <w:r w:rsidRPr="00853B95">
        <w:rPr>
          <w:rFonts w:ascii="Book Antiqua" w:hAnsi="Book Antiqua"/>
          <w:szCs w:val="24"/>
          <w:vertAlign w:val="superscript"/>
        </w:rPr>
        <w:t>]</w:t>
      </w:r>
      <w:r w:rsidRPr="00853B95">
        <w:rPr>
          <w:rFonts w:ascii="Book Antiqua" w:hAnsi="Book Antiqua"/>
          <w:szCs w:val="24"/>
        </w:rPr>
        <w:t>. However, histological transformation is considered a rare event in primary gastrointestinal follicular lymphoma cases. To the best of our knowledge, only one such case has ever been reported. Miyata-Takata et al. described a patient with primary intestinal follicular lymphoma in whom perforation of the ileum occurred and histological transformation was confirmed in the surgical specimen</w:t>
      </w:r>
      <w:r w:rsidR="00842F82" w:rsidRPr="00853B95">
        <w:rPr>
          <w:rFonts w:ascii="Book Antiqua" w:hAnsi="Book Antiqua"/>
          <w:szCs w:val="24"/>
          <w:vertAlign w:val="superscript"/>
        </w:rPr>
        <w:t>[</w:t>
      </w:r>
      <w:r w:rsidR="007151DB" w:rsidRPr="00853B95">
        <w:rPr>
          <w:rFonts w:ascii="Book Antiqua" w:hAnsi="Book Antiqua"/>
          <w:szCs w:val="24"/>
          <w:vertAlign w:val="superscript"/>
        </w:rPr>
        <w:t>50</w:t>
      </w:r>
      <w:r w:rsidRPr="00853B95">
        <w:rPr>
          <w:rFonts w:ascii="Book Antiqua" w:hAnsi="Book Antiqua"/>
          <w:szCs w:val="24"/>
          <w:vertAlign w:val="superscript"/>
        </w:rPr>
        <w:t>]</w:t>
      </w:r>
      <w:r w:rsidRPr="00853B95">
        <w:rPr>
          <w:rFonts w:ascii="Book Antiqua" w:hAnsi="Book Antiqua"/>
          <w:szCs w:val="24"/>
        </w:rPr>
        <w:t>.</w:t>
      </w:r>
    </w:p>
    <w:p w14:paraId="14C48566" w14:textId="77777777" w:rsidR="00AB7C2E" w:rsidRPr="00853B95" w:rsidRDefault="00AB7C2E" w:rsidP="00AF41BC">
      <w:pPr>
        <w:spacing w:line="360" w:lineRule="auto"/>
        <w:rPr>
          <w:rFonts w:ascii="Book Antiqua" w:hAnsi="Book Antiqua"/>
          <w:szCs w:val="24"/>
        </w:rPr>
      </w:pPr>
    </w:p>
    <w:p w14:paraId="523E6489" w14:textId="7F4A3A8C" w:rsidR="00396DC7" w:rsidRPr="00853B95" w:rsidRDefault="00842F82" w:rsidP="00AF41BC">
      <w:pPr>
        <w:spacing w:line="360" w:lineRule="auto"/>
        <w:rPr>
          <w:rFonts w:ascii="Book Antiqua" w:hAnsi="Book Antiqua"/>
          <w:b/>
          <w:szCs w:val="24"/>
        </w:rPr>
      </w:pPr>
      <w:r w:rsidRPr="00853B95">
        <w:rPr>
          <w:rFonts w:ascii="Book Antiqua" w:hAnsi="Book Antiqua"/>
          <w:b/>
          <w:szCs w:val="24"/>
        </w:rPr>
        <w:t>PET SCANNING</w:t>
      </w:r>
    </w:p>
    <w:p w14:paraId="180429F1" w14:textId="6177B197" w:rsidR="004008EB" w:rsidRPr="00853B95" w:rsidRDefault="004008EB" w:rsidP="00842F82">
      <w:pPr>
        <w:spacing w:line="360" w:lineRule="auto"/>
        <w:rPr>
          <w:rFonts w:ascii="Book Antiqua" w:hAnsi="Book Antiqua"/>
          <w:szCs w:val="24"/>
        </w:rPr>
      </w:pPr>
      <w:r w:rsidRPr="00853B95">
        <w:rPr>
          <w:rFonts w:ascii="Book Antiqua" w:hAnsi="Book Antiqua"/>
          <w:szCs w:val="24"/>
        </w:rPr>
        <w:t>The consensus reached in an expert meeting on imaging evaluation of lymphomas held in 2013 stated that PET-CT is more accurate, with an increased sensitivity for staging, than contrast-enhanced CT scanning</w:t>
      </w:r>
      <w:r w:rsidR="00842F82" w:rsidRPr="00853B95">
        <w:rPr>
          <w:rFonts w:ascii="Book Antiqua" w:hAnsi="Book Antiqua"/>
          <w:szCs w:val="24"/>
          <w:vertAlign w:val="superscript"/>
        </w:rPr>
        <w:t>[</w:t>
      </w:r>
      <w:r w:rsidR="006F2E31" w:rsidRPr="00853B95">
        <w:rPr>
          <w:rFonts w:ascii="Book Antiqua" w:hAnsi="Book Antiqua"/>
          <w:szCs w:val="24"/>
          <w:vertAlign w:val="superscript"/>
        </w:rPr>
        <w:t>51</w:t>
      </w:r>
      <w:r w:rsidRPr="00853B95">
        <w:rPr>
          <w:rFonts w:ascii="Book Antiqua" w:hAnsi="Book Antiqua"/>
          <w:szCs w:val="24"/>
          <w:vertAlign w:val="superscript"/>
        </w:rPr>
        <w:t>]</w:t>
      </w:r>
      <w:r w:rsidRPr="00853B95">
        <w:rPr>
          <w:rFonts w:ascii="Book Antiqua" w:hAnsi="Book Antiqua"/>
          <w:szCs w:val="24"/>
        </w:rPr>
        <w:t>. Upstaging with detection of extra-nodal disease by PET scanning occurs in some patients, which results in management alterations</w:t>
      </w:r>
      <w:r w:rsidR="00842F82" w:rsidRPr="00853B95">
        <w:rPr>
          <w:rFonts w:ascii="Book Antiqua" w:hAnsi="Book Antiqua"/>
          <w:szCs w:val="24"/>
          <w:vertAlign w:val="superscript"/>
        </w:rPr>
        <w:t>[</w:t>
      </w:r>
      <w:r w:rsidR="006F2E31" w:rsidRPr="00853B95">
        <w:rPr>
          <w:rFonts w:ascii="Book Antiqua" w:hAnsi="Book Antiqua"/>
          <w:szCs w:val="24"/>
          <w:vertAlign w:val="superscript"/>
        </w:rPr>
        <w:t>52</w:t>
      </w:r>
      <w:r w:rsidRPr="00853B95">
        <w:rPr>
          <w:rFonts w:ascii="Book Antiqua" w:hAnsi="Book Antiqua"/>
          <w:szCs w:val="24"/>
          <w:vertAlign w:val="superscript"/>
        </w:rPr>
        <w:t>]</w:t>
      </w:r>
      <w:r w:rsidRPr="00853B95">
        <w:rPr>
          <w:rFonts w:ascii="Book Antiqua" w:hAnsi="Book Antiqua"/>
          <w:szCs w:val="24"/>
        </w:rPr>
        <w:t xml:space="preserve">. PET scanning is particularly </w:t>
      </w:r>
      <w:r w:rsidRPr="00853B95">
        <w:rPr>
          <w:rFonts w:ascii="Book Antiqua" w:hAnsi="Book Antiqua"/>
          <w:szCs w:val="24"/>
        </w:rPr>
        <w:lastRenderedPageBreak/>
        <w:t>recommended for stage I and II patients under consideration for radiotherapy as a curative treatment, since they require precise determination of the disease extent</w:t>
      </w:r>
      <w:r w:rsidR="00842F82" w:rsidRPr="00853B95">
        <w:rPr>
          <w:rFonts w:ascii="Book Antiqua" w:hAnsi="Book Antiqua"/>
          <w:szCs w:val="24"/>
          <w:vertAlign w:val="superscript"/>
        </w:rPr>
        <w:t>[</w:t>
      </w:r>
      <w:r w:rsidRPr="00853B95">
        <w:rPr>
          <w:rFonts w:ascii="Book Antiqua" w:hAnsi="Book Antiqua"/>
          <w:szCs w:val="24"/>
          <w:vertAlign w:val="superscript"/>
        </w:rPr>
        <w:t>9,</w:t>
      </w:r>
      <w:r w:rsidR="006F2E31" w:rsidRPr="00853B95">
        <w:rPr>
          <w:rFonts w:ascii="Book Antiqua" w:hAnsi="Book Antiqua"/>
          <w:szCs w:val="24"/>
          <w:vertAlign w:val="superscript"/>
        </w:rPr>
        <w:t>53</w:t>
      </w:r>
      <w:r w:rsidRPr="00853B95">
        <w:rPr>
          <w:rFonts w:ascii="Book Antiqua" w:hAnsi="Book Antiqua"/>
          <w:szCs w:val="24"/>
          <w:vertAlign w:val="superscript"/>
        </w:rPr>
        <w:t>]</w:t>
      </w:r>
      <w:r w:rsidRPr="00853B95">
        <w:rPr>
          <w:rFonts w:ascii="Book Antiqua" w:hAnsi="Book Antiqua"/>
          <w:szCs w:val="24"/>
        </w:rPr>
        <w:t>. The percentage of follicular lymphoma cases with tracer-avid lesions has been reported to range from 91% to 100%</w:t>
      </w:r>
      <w:r w:rsidR="00842F82" w:rsidRPr="00853B95">
        <w:rPr>
          <w:rFonts w:ascii="Book Antiqua" w:hAnsi="Book Antiqua"/>
          <w:szCs w:val="24"/>
          <w:vertAlign w:val="superscript"/>
        </w:rPr>
        <w:t>[</w:t>
      </w:r>
      <w:r w:rsidR="006F2E31" w:rsidRPr="00853B95">
        <w:rPr>
          <w:rFonts w:ascii="Book Antiqua" w:hAnsi="Book Antiqua"/>
          <w:szCs w:val="24"/>
          <w:vertAlign w:val="superscript"/>
        </w:rPr>
        <w:t>52</w:t>
      </w:r>
      <w:r w:rsidRPr="00853B95">
        <w:rPr>
          <w:rFonts w:ascii="Book Antiqua" w:hAnsi="Book Antiqua"/>
          <w:szCs w:val="24"/>
          <w:vertAlign w:val="superscript"/>
        </w:rPr>
        <w:t>,</w:t>
      </w:r>
      <w:r w:rsidR="006F2E31" w:rsidRPr="00853B95">
        <w:rPr>
          <w:rFonts w:ascii="Book Antiqua" w:hAnsi="Book Antiqua"/>
          <w:szCs w:val="24"/>
          <w:vertAlign w:val="superscript"/>
        </w:rPr>
        <w:t>54</w:t>
      </w:r>
      <w:r w:rsidRPr="00853B95">
        <w:rPr>
          <w:rFonts w:ascii="Book Antiqua" w:hAnsi="Book Antiqua"/>
          <w:szCs w:val="24"/>
          <w:vertAlign w:val="superscript"/>
        </w:rPr>
        <w:t>-</w:t>
      </w:r>
      <w:r w:rsidR="006F2E31" w:rsidRPr="00853B95">
        <w:rPr>
          <w:rFonts w:ascii="Book Antiqua" w:hAnsi="Book Antiqua"/>
          <w:szCs w:val="24"/>
          <w:vertAlign w:val="superscript"/>
        </w:rPr>
        <w:t>58</w:t>
      </w:r>
      <w:r w:rsidRPr="00853B95">
        <w:rPr>
          <w:rFonts w:ascii="Book Antiqua" w:hAnsi="Book Antiqua"/>
          <w:szCs w:val="24"/>
          <w:vertAlign w:val="superscript"/>
        </w:rPr>
        <w:t>]</w:t>
      </w:r>
      <w:r w:rsidRPr="00853B95">
        <w:rPr>
          <w:rFonts w:ascii="Book Antiqua" w:hAnsi="Book Antiqua"/>
          <w:szCs w:val="24"/>
        </w:rPr>
        <w:t>.</w:t>
      </w:r>
    </w:p>
    <w:p w14:paraId="72C9C742" w14:textId="52BCFFE7" w:rsidR="00396DC7" w:rsidRPr="00853B95" w:rsidRDefault="004008EB" w:rsidP="00AF41BC">
      <w:pPr>
        <w:spacing w:line="360" w:lineRule="auto"/>
        <w:ind w:firstLine="840"/>
        <w:rPr>
          <w:rFonts w:ascii="Book Antiqua" w:hAnsi="Book Antiqua"/>
          <w:szCs w:val="24"/>
        </w:rPr>
      </w:pPr>
      <w:r w:rsidRPr="00853B95">
        <w:rPr>
          <w:rFonts w:ascii="Book Antiqua" w:hAnsi="Book Antiqua"/>
          <w:szCs w:val="24"/>
        </w:rPr>
        <w:t xml:space="preserve">Meanwhile, </w:t>
      </w:r>
      <w:r w:rsidR="000326EA" w:rsidRPr="00853B95">
        <w:rPr>
          <w:rFonts w:ascii="Book Antiqua" w:hAnsi="Book Antiqua"/>
          <w:szCs w:val="24"/>
        </w:rPr>
        <w:t>o</w:t>
      </w:r>
      <w:r w:rsidRPr="00853B95">
        <w:rPr>
          <w:rFonts w:ascii="Book Antiqua" w:hAnsi="Book Antiqua"/>
          <w:szCs w:val="24"/>
        </w:rPr>
        <w:t xml:space="preserve">ur previous study </w:t>
      </w:r>
      <w:r w:rsidR="00CD427A" w:rsidRPr="00853B95">
        <w:rPr>
          <w:rFonts w:ascii="Book Antiqua" w:hAnsi="Book Antiqua"/>
          <w:szCs w:val="24"/>
        </w:rPr>
        <w:t xml:space="preserve">showed </w:t>
      </w:r>
      <w:r w:rsidRPr="00853B95">
        <w:rPr>
          <w:rFonts w:ascii="Book Antiqua" w:hAnsi="Book Antiqua"/>
          <w:szCs w:val="24"/>
        </w:rPr>
        <w:t xml:space="preserve">that 19 out of 41 patients </w:t>
      </w:r>
      <w:r w:rsidR="00CD427A" w:rsidRPr="00853B95">
        <w:rPr>
          <w:rFonts w:ascii="Book Antiqua" w:hAnsi="Book Antiqua"/>
          <w:szCs w:val="24"/>
        </w:rPr>
        <w:t xml:space="preserve">had </w:t>
      </w:r>
      <w:r w:rsidRPr="00853B95">
        <w:rPr>
          <w:rFonts w:ascii="Book Antiqua" w:hAnsi="Book Antiqua"/>
          <w:szCs w:val="24"/>
        </w:rPr>
        <w:t>true tracer uptake in the involved gastrointestinal lesions, resulting in a sensitivity of 46.3%</w:t>
      </w:r>
      <w:r w:rsidR="00842F82" w:rsidRPr="00853B95">
        <w:rPr>
          <w:rFonts w:ascii="Book Antiqua" w:hAnsi="Book Antiqua"/>
          <w:szCs w:val="24"/>
          <w:vertAlign w:val="superscript"/>
        </w:rPr>
        <w:t>[</w:t>
      </w:r>
      <w:r w:rsidR="006F2E31" w:rsidRPr="00853B95">
        <w:rPr>
          <w:rFonts w:ascii="Book Antiqua" w:hAnsi="Book Antiqua"/>
          <w:szCs w:val="24"/>
          <w:vertAlign w:val="superscript"/>
        </w:rPr>
        <w:t>59</w:t>
      </w:r>
      <w:r w:rsidRPr="00853B95">
        <w:rPr>
          <w:rFonts w:ascii="Book Antiqua" w:hAnsi="Book Antiqua"/>
          <w:szCs w:val="24"/>
          <w:vertAlign w:val="superscript"/>
        </w:rPr>
        <w:t>]</w:t>
      </w:r>
      <w:r w:rsidRPr="00853B95">
        <w:rPr>
          <w:rFonts w:ascii="Book Antiqua" w:hAnsi="Book Antiqua"/>
          <w:szCs w:val="24"/>
        </w:rPr>
        <w:t>. However, 22 patients (53.7%) showed false-negative tracer uptake, and two (4.9%) exhibited both true-positive and false-negative tracer uptake in gastrointestinal lesions. Consequently, the gastrointestinal lesions were undetectable in 24 patients (58.5%). Moreover, false-positive tracer uptake is another disadvantage associated with PET scanning of the gastrointestinal system. Physiological intestinal spasms, inflammatory conditions such as infections and hemorrhoids, and even constipation are possible causes of false-positives</w:t>
      </w:r>
      <w:r w:rsidR="00842F82" w:rsidRPr="00853B95">
        <w:rPr>
          <w:rFonts w:ascii="Book Antiqua" w:hAnsi="Book Antiqua"/>
          <w:szCs w:val="24"/>
          <w:vertAlign w:val="superscript"/>
        </w:rPr>
        <w:t>[</w:t>
      </w:r>
      <w:r w:rsidR="006F2E31" w:rsidRPr="00853B95">
        <w:rPr>
          <w:rFonts w:ascii="Book Antiqua" w:hAnsi="Book Antiqua"/>
          <w:szCs w:val="24"/>
          <w:vertAlign w:val="superscript"/>
        </w:rPr>
        <w:t>60,61</w:t>
      </w:r>
      <w:r w:rsidRPr="00853B95">
        <w:rPr>
          <w:rFonts w:ascii="Book Antiqua" w:hAnsi="Book Antiqua"/>
          <w:szCs w:val="24"/>
          <w:vertAlign w:val="superscript"/>
        </w:rPr>
        <w:t>]</w:t>
      </w:r>
      <w:r w:rsidRPr="00853B95">
        <w:rPr>
          <w:rFonts w:ascii="Book Antiqua" w:hAnsi="Book Antiqua"/>
          <w:szCs w:val="24"/>
        </w:rPr>
        <w:t>.</w:t>
      </w:r>
    </w:p>
    <w:p w14:paraId="41EE1E78" w14:textId="4612B4A7" w:rsidR="00396DC7" w:rsidRPr="00853B95" w:rsidRDefault="004008EB" w:rsidP="00AF41BC">
      <w:pPr>
        <w:spacing w:line="360" w:lineRule="auto"/>
        <w:ind w:firstLine="840"/>
        <w:rPr>
          <w:rFonts w:ascii="Book Antiqua" w:hAnsi="Book Antiqua"/>
          <w:szCs w:val="24"/>
        </w:rPr>
      </w:pPr>
      <w:r w:rsidRPr="00853B95">
        <w:rPr>
          <w:rFonts w:ascii="Book Antiqua" w:hAnsi="Book Antiqua"/>
          <w:szCs w:val="24"/>
        </w:rPr>
        <w:t>These results indicate that, although the sensitivity of PET scanning is likely higher than that of CT, both imaging studies are not completely reliable for the diagnosis of follicular lymphoma lesions in the gastrointestinal tract. We believe that patients with primary intestinal follicular lymphoma who are eligible for curative radiotherapy should undergo endoscopic examinations, that is, esophagogastroduodenoscopy, colonoscopy, plus balloon-assisted enteroscopy or video capsule enteroscopy, to evaluate the entire gastrointestinal tract</w:t>
      </w:r>
      <w:r w:rsidR="00842F82" w:rsidRPr="00853B95">
        <w:rPr>
          <w:rFonts w:ascii="Book Antiqua" w:hAnsi="Book Antiqua"/>
          <w:szCs w:val="24"/>
          <w:vertAlign w:val="superscript"/>
        </w:rPr>
        <w:t>[</w:t>
      </w:r>
      <w:r w:rsidRPr="00853B95">
        <w:rPr>
          <w:rFonts w:ascii="Book Antiqua" w:hAnsi="Book Antiqua"/>
          <w:szCs w:val="24"/>
          <w:vertAlign w:val="superscript"/>
        </w:rPr>
        <w:t>26,</w:t>
      </w:r>
      <w:r w:rsidR="007135A6" w:rsidRPr="00853B95">
        <w:rPr>
          <w:rFonts w:ascii="Book Antiqua" w:hAnsi="Book Antiqua"/>
          <w:szCs w:val="24"/>
          <w:vertAlign w:val="superscript"/>
        </w:rPr>
        <w:t>59</w:t>
      </w:r>
      <w:r w:rsidRPr="00853B95">
        <w:rPr>
          <w:rFonts w:ascii="Book Antiqua" w:hAnsi="Book Antiqua"/>
          <w:szCs w:val="24"/>
          <w:vertAlign w:val="superscript"/>
        </w:rPr>
        <w:t>]</w:t>
      </w:r>
      <w:r w:rsidRPr="00853B95">
        <w:rPr>
          <w:rFonts w:ascii="Book Antiqua" w:hAnsi="Book Antiqua"/>
          <w:szCs w:val="24"/>
        </w:rPr>
        <w:t>.</w:t>
      </w:r>
    </w:p>
    <w:p w14:paraId="6713C638" w14:textId="77777777" w:rsidR="00396DC7" w:rsidRPr="00853B95" w:rsidRDefault="00396DC7" w:rsidP="00AF41BC">
      <w:pPr>
        <w:spacing w:line="360" w:lineRule="auto"/>
        <w:rPr>
          <w:rFonts w:ascii="Book Antiqua" w:hAnsi="Book Antiqua"/>
          <w:szCs w:val="24"/>
        </w:rPr>
      </w:pPr>
    </w:p>
    <w:p w14:paraId="7CA8505F" w14:textId="080A763C" w:rsidR="00396DC7" w:rsidRPr="00853B95" w:rsidRDefault="00842F82" w:rsidP="00AF41BC">
      <w:pPr>
        <w:spacing w:line="360" w:lineRule="auto"/>
        <w:rPr>
          <w:rFonts w:ascii="Book Antiqua" w:hAnsi="Book Antiqua"/>
          <w:b/>
          <w:szCs w:val="24"/>
        </w:rPr>
      </w:pPr>
      <w:r w:rsidRPr="00853B95">
        <w:rPr>
          <w:rFonts w:ascii="Book Antiqua" w:hAnsi="Book Antiqua"/>
          <w:b/>
          <w:szCs w:val="24"/>
        </w:rPr>
        <w:t>STAGING</w:t>
      </w:r>
    </w:p>
    <w:p w14:paraId="7FB60252" w14:textId="36785051" w:rsidR="004008EB" w:rsidRPr="00853B95" w:rsidRDefault="004008EB" w:rsidP="00842F82">
      <w:pPr>
        <w:spacing w:line="360" w:lineRule="auto"/>
        <w:rPr>
          <w:rFonts w:ascii="Book Antiqua" w:hAnsi="Book Antiqua"/>
          <w:szCs w:val="24"/>
        </w:rPr>
      </w:pPr>
      <w:r w:rsidRPr="00853B95">
        <w:rPr>
          <w:rFonts w:ascii="Book Antiqua" w:hAnsi="Book Antiqua"/>
          <w:szCs w:val="24"/>
        </w:rPr>
        <w:lastRenderedPageBreak/>
        <w:t>Based on a careful evaluation of the disease extent by endoscopy, CT and/or PET scanning, and bone marrow examinations, lymphoma patients are generally assigned an anatomic stage using the Ann Arbor system</w:t>
      </w:r>
      <w:r w:rsidR="00842F82" w:rsidRPr="00853B95">
        <w:rPr>
          <w:rFonts w:ascii="Book Antiqua" w:hAnsi="Book Antiqua"/>
          <w:szCs w:val="24"/>
          <w:vertAlign w:val="superscript"/>
        </w:rPr>
        <w:t>[</w:t>
      </w:r>
      <w:r w:rsidR="007135A6" w:rsidRPr="00853B95">
        <w:rPr>
          <w:rFonts w:ascii="Book Antiqua" w:hAnsi="Book Antiqua"/>
          <w:szCs w:val="24"/>
          <w:vertAlign w:val="superscript"/>
        </w:rPr>
        <w:t>62</w:t>
      </w:r>
      <w:r w:rsidRPr="00853B95">
        <w:rPr>
          <w:rFonts w:ascii="Book Antiqua" w:hAnsi="Book Antiqua"/>
          <w:szCs w:val="24"/>
          <w:vertAlign w:val="superscript"/>
        </w:rPr>
        <w:t>]</w:t>
      </w:r>
      <w:r w:rsidRPr="00853B95">
        <w:rPr>
          <w:rFonts w:ascii="Book Antiqua" w:hAnsi="Book Antiqua"/>
          <w:szCs w:val="24"/>
        </w:rPr>
        <w:t>.</w:t>
      </w:r>
      <w:r w:rsidR="00083C3B" w:rsidRPr="00853B95">
        <w:rPr>
          <w:rFonts w:ascii="Book Antiqua" w:hAnsi="Book Antiqua"/>
          <w:szCs w:val="24"/>
        </w:rPr>
        <w:t xml:space="preserve"> </w:t>
      </w:r>
      <w:r w:rsidRPr="00853B95">
        <w:rPr>
          <w:rFonts w:ascii="Book Antiqua" w:hAnsi="Book Antiqua"/>
          <w:szCs w:val="24"/>
        </w:rPr>
        <w:t>For lymphomas with gastrointestinal involvement, the Lugano system is also applicable for staging</w:t>
      </w:r>
      <w:r w:rsidR="00842F82" w:rsidRPr="00853B95">
        <w:rPr>
          <w:rFonts w:ascii="Book Antiqua" w:hAnsi="Book Antiqua"/>
          <w:szCs w:val="24"/>
          <w:vertAlign w:val="superscript"/>
        </w:rPr>
        <w:t>[</w:t>
      </w:r>
      <w:r w:rsidR="007135A6" w:rsidRPr="00853B95">
        <w:rPr>
          <w:rFonts w:ascii="Book Antiqua" w:hAnsi="Book Antiqua"/>
          <w:szCs w:val="24"/>
          <w:vertAlign w:val="superscript"/>
        </w:rPr>
        <w:t>63,64</w:t>
      </w:r>
      <w:r w:rsidRPr="00853B95">
        <w:rPr>
          <w:rFonts w:ascii="Book Antiqua" w:hAnsi="Book Antiqua"/>
          <w:szCs w:val="24"/>
          <w:vertAlign w:val="superscript"/>
        </w:rPr>
        <w:t>]</w:t>
      </w:r>
      <w:r w:rsidRPr="00853B95">
        <w:rPr>
          <w:rFonts w:ascii="Book Antiqua" w:hAnsi="Book Antiqua"/>
          <w:szCs w:val="24"/>
        </w:rPr>
        <w:t>. The Lugano system staging seems to be suitable for primary gastrointestinal follicular lymphoma patients, because involvement of multiple intestinal sites is common. However, the Ann Arbor classification is still required for risk stratification by FLIPI. Evaluating patients with both staging systems is recommended during the initial diagnostic workup and when lymphoma progression occurs.</w:t>
      </w:r>
    </w:p>
    <w:p w14:paraId="04840B30" w14:textId="77777777" w:rsidR="00396DC7" w:rsidRPr="00853B95" w:rsidRDefault="00396DC7" w:rsidP="00AF41BC">
      <w:pPr>
        <w:spacing w:line="360" w:lineRule="auto"/>
        <w:rPr>
          <w:rFonts w:ascii="Book Antiqua" w:hAnsi="Book Antiqua"/>
          <w:szCs w:val="24"/>
        </w:rPr>
      </w:pPr>
    </w:p>
    <w:p w14:paraId="58ADEC9B" w14:textId="102EA4FA" w:rsidR="00396DC7" w:rsidRPr="00853B95" w:rsidRDefault="004B4DB1" w:rsidP="00AF41BC">
      <w:pPr>
        <w:spacing w:line="360" w:lineRule="auto"/>
        <w:rPr>
          <w:rFonts w:ascii="Book Antiqua" w:hAnsi="Book Antiqua"/>
          <w:b/>
          <w:szCs w:val="24"/>
        </w:rPr>
      </w:pPr>
      <w:r w:rsidRPr="00853B95">
        <w:rPr>
          <w:rFonts w:ascii="Book Antiqua" w:hAnsi="Book Antiqua"/>
          <w:b/>
          <w:szCs w:val="24"/>
        </w:rPr>
        <w:t>SOLUBLE INTERLEUKIN-2 RECEPTOR</w:t>
      </w:r>
    </w:p>
    <w:p w14:paraId="235ACAAE" w14:textId="42A201F1" w:rsidR="004008EB" w:rsidRPr="00853B95" w:rsidRDefault="004008EB" w:rsidP="00842F82">
      <w:pPr>
        <w:spacing w:line="360" w:lineRule="auto"/>
        <w:rPr>
          <w:rFonts w:ascii="Book Antiqua" w:hAnsi="Book Antiqua"/>
          <w:szCs w:val="24"/>
        </w:rPr>
      </w:pPr>
      <w:r w:rsidRPr="00853B95">
        <w:rPr>
          <w:rFonts w:ascii="Book Antiqua" w:hAnsi="Book Antiqua"/>
          <w:szCs w:val="24"/>
        </w:rPr>
        <w:t xml:space="preserve">Serum soluble interleukin-2 receptor (sIL-2R) levels are widely measured and used as a marker for various lymphoproliferative disorders. Mir </w:t>
      </w:r>
      <w:r w:rsidRPr="00853B95">
        <w:rPr>
          <w:rFonts w:ascii="Book Antiqua" w:hAnsi="Book Antiqua"/>
          <w:i/>
          <w:szCs w:val="24"/>
        </w:rPr>
        <w:t>et al</w:t>
      </w:r>
      <w:r w:rsidR="00842F82" w:rsidRPr="00853B95">
        <w:rPr>
          <w:rFonts w:ascii="Book Antiqua" w:hAnsi="Book Antiqua"/>
          <w:szCs w:val="24"/>
          <w:vertAlign w:val="superscript"/>
        </w:rPr>
        <w:t>[65]</w:t>
      </w:r>
      <w:r w:rsidR="00842F82" w:rsidRPr="00853B95">
        <w:rPr>
          <w:rFonts w:ascii="Book Antiqua" w:eastAsia="SimSun" w:hAnsi="Book Antiqua" w:hint="eastAsia"/>
          <w:szCs w:val="24"/>
          <w:vertAlign w:val="superscript"/>
          <w:lang w:eastAsia="zh-CN"/>
        </w:rPr>
        <w:t xml:space="preserve"> </w:t>
      </w:r>
      <w:r w:rsidRPr="00853B95">
        <w:rPr>
          <w:rFonts w:ascii="Book Antiqua" w:hAnsi="Book Antiqua"/>
          <w:szCs w:val="24"/>
        </w:rPr>
        <w:t>reported that, based on the pretreatment serum samples from nodal follicular lymphoma patients (</w:t>
      </w:r>
      <w:r w:rsidR="00842F82" w:rsidRPr="00853B95">
        <w:rPr>
          <w:rFonts w:ascii="Book Antiqua" w:hAnsi="Book Antiqua"/>
          <w:i/>
          <w:szCs w:val="24"/>
        </w:rPr>
        <w:t xml:space="preserve">n </w:t>
      </w:r>
      <w:r w:rsidRPr="00853B95">
        <w:rPr>
          <w:rFonts w:ascii="Book Antiqua" w:hAnsi="Book Antiqua"/>
          <w:szCs w:val="24"/>
        </w:rPr>
        <w:t>= 209) and from matched controls (</w:t>
      </w:r>
      <w:r w:rsidR="00842F82" w:rsidRPr="00853B95">
        <w:rPr>
          <w:rFonts w:ascii="Book Antiqua" w:hAnsi="Book Antiqua"/>
          <w:i/>
          <w:szCs w:val="24"/>
        </w:rPr>
        <w:t>n</w:t>
      </w:r>
      <w:r w:rsidRPr="00853B95">
        <w:rPr>
          <w:rFonts w:ascii="Book Antiqua" w:hAnsi="Book Antiqua"/>
          <w:szCs w:val="24"/>
        </w:rPr>
        <w:t xml:space="preserve"> = 400), elevated serum levels of IL-2R were associated with poor outcomes.</w:t>
      </w:r>
    </w:p>
    <w:p w14:paraId="6D1E3CEA" w14:textId="2169D5C4" w:rsidR="004008EB" w:rsidRPr="00853B95" w:rsidRDefault="004008EB" w:rsidP="00AF41BC">
      <w:pPr>
        <w:spacing w:line="360" w:lineRule="auto"/>
        <w:ind w:firstLine="835"/>
        <w:rPr>
          <w:rFonts w:ascii="Book Antiqua" w:hAnsi="Book Antiqua"/>
          <w:szCs w:val="24"/>
        </w:rPr>
      </w:pPr>
      <w:r w:rsidRPr="00853B95">
        <w:rPr>
          <w:rFonts w:ascii="Book Antiqua" w:hAnsi="Book Antiqua"/>
          <w:szCs w:val="24"/>
        </w:rPr>
        <w:t>We investigated the relationship between sIL-2R levels and other clinical characteristics in follicular lymphoma patients with gastrointestinal involvement</w:t>
      </w:r>
      <w:r w:rsidR="00842F82" w:rsidRPr="00853B95">
        <w:rPr>
          <w:rFonts w:ascii="Book Antiqua" w:hAnsi="Book Antiqua"/>
          <w:szCs w:val="24"/>
          <w:vertAlign w:val="superscript"/>
        </w:rPr>
        <w:t>[</w:t>
      </w:r>
      <w:r w:rsidR="007135A6" w:rsidRPr="00853B95">
        <w:rPr>
          <w:rFonts w:ascii="Book Antiqua" w:hAnsi="Book Antiqua"/>
          <w:szCs w:val="24"/>
          <w:vertAlign w:val="superscript"/>
        </w:rPr>
        <w:t>66</w:t>
      </w:r>
      <w:r w:rsidRPr="00853B95">
        <w:rPr>
          <w:rFonts w:ascii="Book Antiqua" w:hAnsi="Book Antiqua"/>
          <w:szCs w:val="24"/>
          <w:vertAlign w:val="superscript"/>
        </w:rPr>
        <w:t>]</w:t>
      </w:r>
      <w:r w:rsidRPr="00853B95">
        <w:rPr>
          <w:rFonts w:ascii="Book Antiqua" w:hAnsi="Book Antiqua"/>
          <w:szCs w:val="24"/>
        </w:rPr>
        <w:t>. Our study showed that elevated sIL-2R levels correlated with systemic involvement (Ann Arbor system staging IIIES/IV or Lugano system staging II</w:t>
      </w:r>
      <w:r w:rsidRPr="00853B95">
        <w:rPr>
          <w:rFonts w:ascii="Book Antiqua" w:hAnsi="Book Antiqua"/>
          <w:szCs w:val="24"/>
          <w:vertAlign w:val="subscript"/>
        </w:rPr>
        <w:t>2</w:t>
      </w:r>
      <w:r w:rsidRPr="00853B95">
        <w:rPr>
          <w:rFonts w:ascii="Book Antiqua" w:hAnsi="Book Antiqua"/>
          <w:szCs w:val="24"/>
        </w:rPr>
        <w:t xml:space="preserve">/IV), involvement of five or more nodal areas, and presentation of bulky tumors in the gastrointestinal tract detectable by CT scanning. Though the differences were not statistically significant, patients with elevated sIL-2R </w:t>
      </w:r>
      <w:r w:rsidRPr="00853B95">
        <w:rPr>
          <w:rFonts w:ascii="Book Antiqua" w:hAnsi="Book Antiqua"/>
          <w:szCs w:val="24"/>
        </w:rPr>
        <w:lastRenderedPageBreak/>
        <w:t>tended to have lower hemoglobin levels. These patients also had a high FLIPI score. Based on our study results, we speculate that elevated sIL-2R levels at initial diagnosis may be associated with a poor prognosis for gastrointestinal follicular lymphoma patients as well as for nodal cases. Another important implication for the management of follicular lymphoma patients with gastrointestinal involvement is that sIL-2R may be a good indicator for monitoring disease relapse or progression, since high sIL-2R levels reflected a large tumor bulk in our patients.</w:t>
      </w:r>
    </w:p>
    <w:p w14:paraId="3C13D6B1" w14:textId="2C5C0429" w:rsidR="004008EB" w:rsidRPr="00853B95" w:rsidRDefault="004008EB" w:rsidP="00AF41BC">
      <w:pPr>
        <w:spacing w:line="360" w:lineRule="auto"/>
        <w:ind w:firstLine="835"/>
        <w:rPr>
          <w:rFonts w:ascii="Book Antiqua" w:hAnsi="Book Antiqua"/>
          <w:szCs w:val="24"/>
        </w:rPr>
      </w:pPr>
      <w:r w:rsidRPr="00853B95">
        <w:rPr>
          <w:rFonts w:ascii="Book Antiqua" w:hAnsi="Book Antiqua"/>
          <w:szCs w:val="24"/>
        </w:rPr>
        <w:t>We experienced a case with primary intestinal follicular lymphoma that presented without lymph node involvement, but progression with intra-abdominal lymph node enlargement was documented 11 months after the initial diagnosis</w:t>
      </w:r>
      <w:r w:rsidR="00842F82" w:rsidRPr="00853B95">
        <w:rPr>
          <w:rFonts w:ascii="Book Antiqua" w:hAnsi="Book Antiqua"/>
          <w:szCs w:val="24"/>
          <w:vertAlign w:val="superscript"/>
        </w:rPr>
        <w:t>[</w:t>
      </w:r>
      <w:r w:rsidR="007135A6" w:rsidRPr="00853B95">
        <w:rPr>
          <w:rFonts w:ascii="Book Antiqua" w:hAnsi="Book Antiqua"/>
          <w:szCs w:val="24"/>
          <w:vertAlign w:val="superscript"/>
        </w:rPr>
        <w:t>67</w:t>
      </w:r>
      <w:r w:rsidRPr="00853B95">
        <w:rPr>
          <w:rFonts w:ascii="Book Antiqua" w:hAnsi="Book Antiqua"/>
          <w:szCs w:val="24"/>
          <w:vertAlign w:val="superscript"/>
        </w:rPr>
        <w:t>]</w:t>
      </w:r>
      <w:r w:rsidRPr="00853B95">
        <w:rPr>
          <w:rFonts w:ascii="Book Antiqua" w:hAnsi="Book Antiqua"/>
          <w:szCs w:val="24"/>
        </w:rPr>
        <w:t>. The patient’s sIL-2R levels were elevated when the progression occurred, suggesting the possible utility of sIL-2R levels as a tumor marker for intestinal follicular lymphomas. Consequently, we believe that sIL-2R levels should be evaluated at the initial workup. Elevation of sIL-2R levels during the follow-up period may be suggestive of relapse or tumor progression in patients with gastrointestinal follicular lymphoma</w:t>
      </w:r>
      <w:r w:rsidR="00842F82" w:rsidRPr="00853B95">
        <w:rPr>
          <w:rFonts w:ascii="Book Antiqua" w:hAnsi="Book Antiqua"/>
          <w:szCs w:val="24"/>
          <w:vertAlign w:val="superscript"/>
        </w:rPr>
        <w:t>[</w:t>
      </w:r>
      <w:r w:rsidR="007135A6" w:rsidRPr="00853B95">
        <w:rPr>
          <w:rFonts w:ascii="Book Antiqua" w:hAnsi="Book Antiqua"/>
          <w:szCs w:val="24"/>
          <w:vertAlign w:val="superscript"/>
        </w:rPr>
        <w:t>66,67</w:t>
      </w:r>
      <w:r w:rsidRPr="00853B95">
        <w:rPr>
          <w:rFonts w:ascii="Book Antiqua" w:hAnsi="Book Antiqua"/>
          <w:szCs w:val="24"/>
          <w:vertAlign w:val="superscript"/>
        </w:rPr>
        <w:t>]</w:t>
      </w:r>
      <w:r w:rsidRPr="00853B95">
        <w:rPr>
          <w:rFonts w:ascii="Book Antiqua" w:hAnsi="Book Antiqua"/>
          <w:szCs w:val="24"/>
        </w:rPr>
        <w:t>.</w:t>
      </w:r>
    </w:p>
    <w:p w14:paraId="60201D8A" w14:textId="77777777" w:rsidR="00396DC7" w:rsidRPr="00853B95" w:rsidRDefault="00396DC7" w:rsidP="00AF41BC">
      <w:pPr>
        <w:spacing w:line="360" w:lineRule="auto"/>
        <w:rPr>
          <w:rFonts w:ascii="Book Antiqua" w:hAnsi="Book Antiqua"/>
          <w:szCs w:val="24"/>
        </w:rPr>
      </w:pPr>
    </w:p>
    <w:p w14:paraId="4B1A1DC9" w14:textId="35482570" w:rsidR="00396DC7" w:rsidRPr="00853B95" w:rsidRDefault="004B4DB1" w:rsidP="00AF41BC">
      <w:pPr>
        <w:spacing w:line="360" w:lineRule="auto"/>
        <w:rPr>
          <w:rFonts w:ascii="Book Antiqua" w:hAnsi="Book Antiqua"/>
          <w:b/>
          <w:szCs w:val="24"/>
        </w:rPr>
      </w:pPr>
      <w:r w:rsidRPr="00853B95">
        <w:rPr>
          <w:rFonts w:ascii="Book Antiqua" w:hAnsi="Book Antiqua"/>
          <w:b/>
          <w:szCs w:val="24"/>
        </w:rPr>
        <w:t>PATHOGENESIS</w:t>
      </w:r>
    </w:p>
    <w:p w14:paraId="7CC1C688" w14:textId="7DD1B7B0" w:rsidR="0098764A" w:rsidRPr="00853B95" w:rsidRDefault="0098764A" w:rsidP="004B4DB1">
      <w:pPr>
        <w:spacing w:line="360" w:lineRule="auto"/>
        <w:rPr>
          <w:rFonts w:ascii="Book Antiqua" w:hAnsi="Book Antiqua"/>
          <w:szCs w:val="24"/>
        </w:rPr>
      </w:pPr>
      <w:r w:rsidRPr="00853B95">
        <w:rPr>
          <w:rFonts w:ascii="Book Antiqua" w:hAnsi="Book Antiqua"/>
          <w:szCs w:val="24"/>
        </w:rPr>
        <w:t xml:space="preserve">We previously investigated duodenal follicular lymphoma lesions and </w:t>
      </w:r>
      <w:r w:rsidR="00CA1DE0" w:rsidRPr="00853B95">
        <w:rPr>
          <w:rFonts w:ascii="Book Antiqua" w:hAnsi="Book Antiqua"/>
          <w:szCs w:val="24"/>
        </w:rPr>
        <w:t>report</w:t>
      </w:r>
      <w:r w:rsidRPr="00853B95">
        <w:rPr>
          <w:rFonts w:ascii="Book Antiqua" w:hAnsi="Book Antiqua"/>
          <w:szCs w:val="24"/>
        </w:rPr>
        <w:t>ed a deviation of immunoglobulin heavy chain and memory B cell characteristics</w:t>
      </w:r>
      <w:r w:rsidR="00842F82" w:rsidRPr="00853B95">
        <w:rPr>
          <w:rFonts w:ascii="Book Antiqua" w:hAnsi="Book Antiqua"/>
          <w:szCs w:val="24"/>
          <w:vertAlign w:val="superscript"/>
        </w:rPr>
        <w:t>[</w:t>
      </w:r>
      <w:r w:rsidR="007135A6" w:rsidRPr="00853B95">
        <w:rPr>
          <w:rFonts w:ascii="Book Antiqua" w:hAnsi="Book Antiqua"/>
          <w:szCs w:val="24"/>
          <w:vertAlign w:val="superscript"/>
        </w:rPr>
        <w:t>68</w:t>
      </w:r>
      <w:r w:rsidRPr="00853B95">
        <w:rPr>
          <w:rFonts w:ascii="Book Antiqua" w:hAnsi="Book Antiqua"/>
          <w:szCs w:val="24"/>
          <w:vertAlign w:val="superscript"/>
        </w:rPr>
        <w:t>]</w:t>
      </w:r>
      <w:r w:rsidRPr="00853B95">
        <w:rPr>
          <w:rFonts w:ascii="Book Antiqua" w:hAnsi="Book Antiqua"/>
          <w:szCs w:val="24"/>
        </w:rPr>
        <w:t xml:space="preserve">. Our study results indicate the presence of antigen stimulation, which likely affects </w:t>
      </w:r>
      <w:r w:rsidR="00CD427A" w:rsidRPr="00853B95">
        <w:rPr>
          <w:rFonts w:ascii="Book Antiqua" w:hAnsi="Book Antiqua"/>
          <w:szCs w:val="24"/>
        </w:rPr>
        <w:t xml:space="preserve">the </w:t>
      </w:r>
      <w:r w:rsidRPr="00853B95">
        <w:rPr>
          <w:rFonts w:ascii="Book Antiqua" w:hAnsi="Book Antiqua"/>
          <w:szCs w:val="24"/>
        </w:rPr>
        <w:t>spread of intestinal follicular lymphoma</w:t>
      </w:r>
      <w:r w:rsidR="00CD427A" w:rsidRPr="00853B95">
        <w:rPr>
          <w:rFonts w:ascii="Book Antiqua" w:hAnsi="Book Antiqua"/>
          <w:szCs w:val="24"/>
        </w:rPr>
        <w:t xml:space="preserve"> lesions</w:t>
      </w:r>
      <w:r w:rsidRPr="00853B95">
        <w:rPr>
          <w:rFonts w:ascii="Book Antiqua" w:hAnsi="Book Antiqua"/>
          <w:szCs w:val="24"/>
        </w:rPr>
        <w:t>.</w:t>
      </w:r>
      <w:r w:rsidR="00B84C2E" w:rsidRPr="00853B95">
        <w:rPr>
          <w:rFonts w:ascii="Book Antiqua" w:hAnsi="Book Antiqua"/>
          <w:szCs w:val="24"/>
        </w:rPr>
        <w:t xml:space="preserve"> However, </w:t>
      </w:r>
      <w:r w:rsidR="00CA1DE0" w:rsidRPr="00853B95">
        <w:rPr>
          <w:rFonts w:ascii="Book Antiqua" w:hAnsi="Book Antiqua"/>
          <w:szCs w:val="24"/>
        </w:rPr>
        <w:t xml:space="preserve">a </w:t>
      </w:r>
      <w:r w:rsidR="00B84C2E" w:rsidRPr="00853B95">
        <w:rPr>
          <w:rFonts w:ascii="Book Antiqua" w:hAnsi="Book Antiqua"/>
          <w:szCs w:val="24"/>
        </w:rPr>
        <w:t>distinct pathogen has n</w:t>
      </w:r>
      <w:r w:rsidR="00CA1DE0" w:rsidRPr="00853B95">
        <w:rPr>
          <w:rFonts w:ascii="Book Antiqua" w:hAnsi="Book Antiqua"/>
          <w:szCs w:val="24"/>
        </w:rPr>
        <w:t>ot</w:t>
      </w:r>
      <w:r w:rsidR="00B84C2E" w:rsidRPr="00853B95">
        <w:rPr>
          <w:rFonts w:ascii="Book Antiqua" w:hAnsi="Book Antiqua"/>
          <w:szCs w:val="24"/>
        </w:rPr>
        <w:t xml:space="preserve"> been identified </w:t>
      </w:r>
      <w:r w:rsidR="00CD427A" w:rsidRPr="00853B95">
        <w:rPr>
          <w:rFonts w:ascii="Book Antiqua" w:hAnsi="Book Antiqua"/>
          <w:szCs w:val="24"/>
        </w:rPr>
        <w:t>thus far</w:t>
      </w:r>
      <w:r w:rsidR="00B84C2E" w:rsidRPr="00853B95">
        <w:rPr>
          <w:rFonts w:ascii="Book Antiqua" w:hAnsi="Book Antiqua"/>
          <w:szCs w:val="24"/>
        </w:rPr>
        <w:t>.</w:t>
      </w:r>
    </w:p>
    <w:p w14:paraId="3BA370AF" w14:textId="7AE5F42A" w:rsidR="004008EB" w:rsidRPr="00853B95" w:rsidRDefault="004008EB" w:rsidP="004B4DB1">
      <w:pPr>
        <w:spacing w:line="360" w:lineRule="auto"/>
        <w:rPr>
          <w:rFonts w:ascii="Book Antiqua" w:hAnsi="Book Antiqua"/>
          <w:szCs w:val="24"/>
        </w:rPr>
      </w:pPr>
      <w:r w:rsidRPr="00853B95">
        <w:rPr>
          <w:rFonts w:ascii="Book Antiqua" w:hAnsi="Book Antiqua"/>
          <w:szCs w:val="24"/>
        </w:rPr>
        <w:lastRenderedPageBreak/>
        <w:t xml:space="preserve">Several case reports showed that eradication treatment of </w:t>
      </w:r>
      <w:r w:rsidRPr="00853B95">
        <w:rPr>
          <w:rFonts w:ascii="Book Antiqua" w:hAnsi="Book Antiqua"/>
          <w:i/>
          <w:szCs w:val="24"/>
        </w:rPr>
        <w:t>Helicobacter pylori</w:t>
      </w:r>
      <w:r w:rsidRPr="00853B95">
        <w:rPr>
          <w:rFonts w:ascii="Book Antiqua" w:hAnsi="Book Antiqua"/>
          <w:szCs w:val="24"/>
        </w:rPr>
        <w:t xml:space="preserve"> </w:t>
      </w:r>
      <w:r w:rsidR="004144AC">
        <w:rPr>
          <w:rFonts w:ascii="Book Antiqua" w:eastAsia="SimSun" w:hAnsi="Book Antiqua" w:hint="eastAsia"/>
          <w:szCs w:val="24"/>
          <w:lang w:eastAsia="zh-CN"/>
        </w:rPr>
        <w:t>(</w:t>
      </w:r>
      <w:r w:rsidR="004144AC" w:rsidRPr="00853B95">
        <w:rPr>
          <w:rFonts w:ascii="Book Antiqua" w:hAnsi="Book Antiqua"/>
          <w:i/>
          <w:szCs w:val="24"/>
        </w:rPr>
        <w:t>H</w:t>
      </w:r>
      <w:r w:rsidR="004144AC">
        <w:rPr>
          <w:rFonts w:ascii="Book Antiqua" w:eastAsia="SimSun" w:hAnsi="Book Antiqua" w:hint="eastAsia"/>
          <w:i/>
          <w:szCs w:val="24"/>
          <w:lang w:eastAsia="zh-CN"/>
        </w:rPr>
        <w:t>.</w:t>
      </w:r>
      <w:r w:rsidR="004144AC" w:rsidRPr="00853B95">
        <w:rPr>
          <w:rFonts w:ascii="Book Antiqua" w:hAnsi="Book Antiqua"/>
          <w:i/>
          <w:szCs w:val="24"/>
        </w:rPr>
        <w:t xml:space="preserve"> pylori</w:t>
      </w:r>
      <w:r w:rsidR="004144AC">
        <w:rPr>
          <w:rFonts w:ascii="Book Antiqua" w:eastAsia="SimSun" w:hAnsi="Book Antiqua" w:hint="eastAsia"/>
          <w:szCs w:val="24"/>
          <w:lang w:eastAsia="zh-CN"/>
        </w:rPr>
        <w:t xml:space="preserve">) </w:t>
      </w:r>
      <w:r w:rsidRPr="00853B95">
        <w:rPr>
          <w:rFonts w:ascii="Book Antiqua" w:hAnsi="Book Antiqua"/>
          <w:szCs w:val="24"/>
        </w:rPr>
        <w:t xml:space="preserve">resulted in regression of duodenal follicular lymphoma in </w:t>
      </w:r>
      <w:r w:rsidR="004144AC" w:rsidRPr="00853B95">
        <w:rPr>
          <w:rFonts w:ascii="Book Antiqua" w:hAnsi="Book Antiqua"/>
          <w:i/>
          <w:szCs w:val="24"/>
        </w:rPr>
        <w:t>H</w:t>
      </w:r>
      <w:r w:rsidR="004144AC">
        <w:rPr>
          <w:rFonts w:ascii="Book Antiqua" w:eastAsia="SimSun" w:hAnsi="Book Antiqua" w:hint="eastAsia"/>
          <w:i/>
          <w:szCs w:val="24"/>
          <w:lang w:eastAsia="zh-CN"/>
        </w:rPr>
        <w:t>.</w:t>
      </w:r>
      <w:r w:rsidR="004144AC" w:rsidRPr="00853B95">
        <w:rPr>
          <w:rFonts w:ascii="Book Antiqua" w:hAnsi="Book Antiqua"/>
          <w:i/>
          <w:szCs w:val="24"/>
        </w:rPr>
        <w:t xml:space="preserve"> pylori</w:t>
      </w:r>
      <w:r w:rsidRPr="00853B95">
        <w:rPr>
          <w:rFonts w:ascii="Book Antiqua" w:hAnsi="Book Antiqua"/>
          <w:szCs w:val="24"/>
        </w:rPr>
        <w:t>-positive cases</w:t>
      </w:r>
      <w:r w:rsidR="00842F82" w:rsidRPr="00853B95">
        <w:rPr>
          <w:rFonts w:ascii="Book Antiqua" w:hAnsi="Book Antiqua"/>
          <w:szCs w:val="24"/>
          <w:vertAlign w:val="superscript"/>
        </w:rPr>
        <w:t>[</w:t>
      </w:r>
      <w:r w:rsidR="007135A6" w:rsidRPr="00853B95">
        <w:rPr>
          <w:rFonts w:ascii="Book Antiqua" w:hAnsi="Book Antiqua"/>
          <w:szCs w:val="24"/>
          <w:vertAlign w:val="superscript"/>
        </w:rPr>
        <w:t>69,70</w:t>
      </w:r>
      <w:r w:rsidRPr="00853B95">
        <w:rPr>
          <w:rFonts w:ascii="Book Antiqua" w:hAnsi="Book Antiqua"/>
          <w:szCs w:val="24"/>
          <w:vertAlign w:val="superscript"/>
        </w:rPr>
        <w:t>]</w:t>
      </w:r>
      <w:r w:rsidRPr="00853B95">
        <w:rPr>
          <w:rFonts w:ascii="Book Antiqua" w:hAnsi="Book Antiqua"/>
          <w:szCs w:val="24"/>
        </w:rPr>
        <w:t xml:space="preserve">. However, partial regression of intestinal follicular lymphoma lesions after eradication treatment for </w:t>
      </w:r>
      <w:r w:rsidR="004144AC" w:rsidRPr="00853B95">
        <w:rPr>
          <w:rFonts w:ascii="Book Antiqua" w:hAnsi="Book Antiqua"/>
          <w:i/>
          <w:szCs w:val="24"/>
        </w:rPr>
        <w:t>H</w:t>
      </w:r>
      <w:r w:rsidR="004144AC">
        <w:rPr>
          <w:rFonts w:ascii="Book Antiqua" w:eastAsia="SimSun" w:hAnsi="Book Antiqua" w:hint="eastAsia"/>
          <w:i/>
          <w:szCs w:val="24"/>
          <w:lang w:eastAsia="zh-CN"/>
        </w:rPr>
        <w:t>.</w:t>
      </w:r>
      <w:r w:rsidR="004144AC" w:rsidRPr="00853B95">
        <w:rPr>
          <w:rFonts w:ascii="Book Antiqua" w:hAnsi="Book Antiqua"/>
          <w:i/>
          <w:szCs w:val="24"/>
        </w:rPr>
        <w:t xml:space="preserve"> pylori</w:t>
      </w:r>
      <w:r w:rsidR="004144AC" w:rsidRPr="00853B95">
        <w:rPr>
          <w:rFonts w:ascii="Book Antiqua" w:hAnsi="Book Antiqua"/>
          <w:szCs w:val="24"/>
        </w:rPr>
        <w:t xml:space="preserve"> </w:t>
      </w:r>
      <w:r w:rsidRPr="00853B95">
        <w:rPr>
          <w:rFonts w:ascii="Book Antiqua" w:hAnsi="Book Antiqua"/>
          <w:szCs w:val="24"/>
        </w:rPr>
        <w:t xml:space="preserve">has been reported even in a case in whom tests for </w:t>
      </w:r>
      <w:r w:rsidR="004144AC" w:rsidRPr="00853B95">
        <w:rPr>
          <w:rFonts w:ascii="Book Antiqua" w:hAnsi="Book Antiqua"/>
          <w:i/>
          <w:szCs w:val="24"/>
        </w:rPr>
        <w:t>H</w:t>
      </w:r>
      <w:r w:rsidR="004144AC">
        <w:rPr>
          <w:rFonts w:ascii="Book Antiqua" w:eastAsia="SimSun" w:hAnsi="Book Antiqua" w:hint="eastAsia"/>
          <w:i/>
          <w:szCs w:val="24"/>
          <w:lang w:eastAsia="zh-CN"/>
        </w:rPr>
        <w:t>.</w:t>
      </w:r>
      <w:r w:rsidR="004144AC" w:rsidRPr="00853B95">
        <w:rPr>
          <w:rFonts w:ascii="Book Antiqua" w:hAnsi="Book Antiqua"/>
          <w:i/>
          <w:szCs w:val="24"/>
        </w:rPr>
        <w:t xml:space="preserve"> pylori</w:t>
      </w:r>
      <w:r w:rsidR="004144AC" w:rsidRPr="00853B95">
        <w:rPr>
          <w:rFonts w:ascii="Book Antiqua" w:hAnsi="Book Antiqua"/>
          <w:szCs w:val="24"/>
        </w:rPr>
        <w:t xml:space="preserve"> </w:t>
      </w:r>
      <w:r w:rsidRPr="00853B95">
        <w:rPr>
          <w:rFonts w:ascii="Book Antiqua" w:hAnsi="Book Antiqua"/>
          <w:szCs w:val="24"/>
        </w:rPr>
        <w:t>infection were negative</w:t>
      </w:r>
      <w:r w:rsidR="00842F82" w:rsidRPr="00853B95">
        <w:rPr>
          <w:rFonts w:ascii="Book Antiqua" w:hAnsi="Book Antiqua"/>
          <w:szCs w:val="24"/>
          <w:vertAlign w:val="superscript"/>
        </w:rPr>
        <w:t>[</w:t>
      </w:r>
      <w:r w:rsidR="0056568C" w:rsidRPr="00853B95">
        <w:rPr>
          <w:rFonts w:ascii="Book Antiqua" w:hAnsi="Book Antiqua"/>
          <w:szCs w:val="24"/>
          <w:vertAlign w:val="superscript"/>
        </w:rPr>
        <w:t>71</w:t>
      </w:r>
      <w:r w:rsidRPr="00853B95">
        <w:rPr>
          <w:rFonts w:ascii="Book Antiqua" w:hAnsi="Book Antiqua"/>
          <w:szCs w:val="24"/>
          <w:vertAlign w:val="superscript"/>
        </w:rPr>
        <w:t>]</w:t>
      </w:r>
      <w:r w:rsidRPr="00853B95">
        <w:rPr>
          <w:rFonts w:ascii="Book Antiqua" w:hAnsi="Book Antiqua"/>
          <w:szCs w:val="24"/>
        </w:rPr>
        <w:t xml:space="preserve">. The favorable results in the </w:t>
      </w:r>
      <w:r w:rsidR="004144AC" w:rsidRPr="00853B95">
        <w:rPr>
          <w:rFonts w:ascii="Book Antiqua" w:hAnsi="Book Antiqua"/>
          <w:i/>
          <w:szCs w:val="24"/>
        </w:rPr>
        <w:t>H</w:t>
      </w:r>
      <w:r w:rsidR="004144AC">
        <w:rPr>
          <w:rFonts w:ascii="Book Antiqua" w:eastAsia="SimSun" w:hAnsi="Book Antiqua" w:hint="eastAsia"/>
          <w:i/>
          <w:szCs w:val="24"/>
          <w:lang w:eastAsia="zh-CN"/>
        </w:rPr>
        <w:t>.</w:t>
      </w:r>
      <w:r w:rsidR="004144AC" w:rsidRPr="00853B95">
        <w:rPr>
          <w:rFonts w:ascii="Book Antiqua" w:hAnsi="Book Antiqua"/>
          <w:i/>
          <w:szCs w:val="24"/>
        </w:rPr>
        <w:t xml:space="preserve"> pylori</w:t>
      </w:r>
      <w:r w:rsidRPr="00853B95">
        <w:rPr>
          <w:rFonts w:ascii="Book Antiqua" w:hAnsi="Book Antiqua"/>
          <w:szCs w:val="24"/>
        </w:rPr>
        <w:t xml:space="preserve">-negative case raises the possibility that a microorganism other than </w:t>
      </w:r>
      <w:r w:rsidR="004144AC" w:rsidRPr="00853B95">
        <w:rPr>
          <w:rFonts w:ascii="Book Antiqua" w:hAnsi="Book Antiqua"/>
          <w:i/>
          <w:szCs w:val="24"/>
        </w:rPr>
        <w:t>H</w:t>
      </w:r>
      <w:r w:rsidR="004144AC">
        <w:rPr>
          <w:rFonts w:ascii="Book Antiqua" w:eastAsia="SimSun" w:hAnsi="Book Antiqua" w:hint="eastAsia"/>
          <w:i/>
          <w:szCs w:val="24"/>
          <w:lang w:eastAsia="zh-CN"/>
        </w:rPr>
        <w:t>.</w:t>
      </w:r>
      <w:r w:rsidR="004144AC" w:rsidRPr="00853B95">
        <w:rPr>
          <w:rFonts w:ascii="Book Antiqua" w:hAnsi="Book Antiqua"/>
          <w:i/>
          <w:szCs w:val="24"/>
        </w:rPr>
        <w:t xml:space="preserve"> pylori</w:t>
      </w:r>
      <w:r w:rsidRPr="00853B95">
        <w:rPr>
          <w:rFonts w:ascii="Book Antiqua" w:hAnsi="Book Antiqua"/>
          <w:szCs w:val="24"/>
        </w:rPr>
        <w:t xml:space="preserve"> is an etiologic factor for the development/regression of intestinal follicular lymphoma. Another hypothesis is that spontaneous regression of follicular lymphoma lesions unrelated to the infectious status of </w:t>
      </w:r>
      <w:r w:rsidR="004144AC" w:rsidRPr="00853B95">
        <w:rPr>
          <w:rFonts w:ascii="Book Antiqua" w:hAnsi="Book Antiqua"/>
          <w:i/>
          <w:szCs w:val="24"/>
        </w:rPr>
        <w:t>H</w:t>
      </w:r>
      <w:r w:rsidR="004144AC">
        <w:rPr>
          <w:rFonts w:ascii="Book Antiqua" w:eastAsia="SimSun" w:hAnsi="Book Antiqua" w:hint="eastAsia"/>
          <w:i/>
          <w:szCs w:val="24"/>
          <w:lang w:eastAsia="zh-CN"/>
        </w:rPr>
        <w:t>.</w:t>
      </w:r>
      <w:r w:rsidR="004144AC" w:rsidRPr="00853B95">
        <w:rPr>
          <w:rFonts w:ascii="Book Antiqua" w:hAnsi="Book Antiqua"/>
          <w:i/>
          <w:szCs w:val="24"/>
        </w:rPr>
        <w:t xml:space="preserve"> pylori</w:t>
      </w:r>
      <w:r w:rsidR="004144AC" w:rsidRPr="00853B95">
        <w:rPr>
          <w:rFonts w:ascii="Book Antiqua" w:hAnsi="Book Antiqua"/>
          <w:szCs w:val="24"/>
        </w:rPr>
        <w:t xml:space="preserve"> </w:t>
      </w:r>
      <w:r w:rsidRPr="00853B95">
        <w:rPr>
          <w:rFonts w:ascii="Book Antiqua" w:hAnsi="Book Antiqua"/>
          <w:szCs w:val="24"/>
        </w:rPr>
        <w:t>may have occurred. The natural course of nodal follicular lymphoma is characterized by spontaneous regression in up to 25% of cases</w:t>
      </w:r>
      <w:r w:rsidR="00842F82" w:rsidRPr="00853B95">
        <w:rPr>
          <w:rFonts w:ascii="Book Antiqua" w:hAnsi="Book Antiqua"/>
          <w:szCs w:val="24"/>
          <w:vertAlign w:val="superscript"/>
        </w:rPr>
        <w:t>[</w:t>
      </w:r>
      <w:r w:rsidRPr="00853B95">
        <w:rPr>
          <w:rFonts w:ascii="Book Antiqua" w:hAnsi="Book Antiqua"/>
          <w:szCs w:val="24"/>
          <w:vertAlign w:val="superscript"/>
        </w:rPr>
        <w:t>3]</w:t>
      </w:r>
      <w:r w:rsidRPr="00853B95">
        <w:rPr>
          <w:rFonts w:ascii="Book Antiqua" w:hAnsi="Book Antiqua"/>
          <w:szCs w:val="24"/>
        </w:rPr>
        <w:t xml:space="preserve">. A retrospective study of 63 patients with primary intestinal follicular lymphoma revealed that one of the six patients who received eradication therapy for </w:t>
      </w:r>
      <w:r w:rsidR="004144AC" w:rsidRPr="00853B95">
        <w:rPr>
          <w:rFonts w:ascii="Book Antiqua" w:hAnsi="Book Antiqua"/>
          <w:i/>
          <w:szCs w:val="24"/>
        </w:rPr>
        <w:t>H</w:t>
      </w:r>
      <w:r w:rsidR="004144AC">
        <w:rPr>
          <w:rFonts w:ascii="Book Antiqua" w:eastAsia="SimSun" w:hAnsi="Book Antiqua" w:hint="eastAsia"/>
          <w:i/>
          <w:szCs w:val="24"/>
          <w:lang w:eastAsia="zh-CN"/>
        </w:rPr>
        <w:t>.</w:t>
      </w:r>
      <w:r w:rsidR="004144AC" w:rsidRPr="00853B95">
        <w:rPr>
          <w:rFonts w:ascii="Book Antiqua" w:hAnsi="Book Antiqua"/>
          <w:i/>
          <w:szCs w:val="24"/>
        </w:rPr>
        <w:t xml:space="preserve"> pylori</w:t>
      </w:r>
      <w:r w:rsidRPr="00853B95">
        <w:rPr>
          <w:rFonts w:ascii="Book Antiqua" w:hAnsi="Book Antiqua"/>
          <w:szCs w:val="24"/>
        </w:rPr>
        <w:t xml:space="preserve"> experienced complete regression, whereas no responses were noted in the remaining five patients</w:t>
      </w:r>
      <w:r w:rsidR="00842F82" w:rsidRPr="00853B95">
        <w:rPr>
          <w:rFonts w:ascii="Book Antiqua" w:hAnsi="Book Antiqua"/>
          <w:szCs w:val="24"/>
          <w:vertAlign w:val="superscript"/>
        </w:rPr>
        <w:t>[</w:t>
      </w:r>
      <w:r w:rsidRPr="00853B95">
        <w:rPr>
          <w:rFonts w:ascii="Book Antiqua" w:hAnsi="Book Antiqua"/>
          <w:szCs w:val="24"/>
          <w:vertAlign w:val="superscript"/>
        </w:rPr>
        <w:t>4]</w:t>
      </w:r>
      <w:r w:rsidRPr="00853B95">
        <w:rPr>
          <w:rFonts w:ascii="Book Antiqua" w:hAnsi="Book Antiqua"/>
          <w:szCs w:val="24"/>
        </w:rPr>
        <w:t xml:space="preserve">. Meanwhile, five patients experienced spontaneous complete regression without receiving eradication treatment for </w:t>
      </w:r>
      <w:r w:rsidR="004144AC" w:rsidRPr="00853B95">
        <w:rPr>
          <w:rFonts w:ascii="Book Antiqua" w:hAnsi="Book Antiqua"/>
          <w:i/>
          <w:szCs w:val="24"/>
        </w:rPr>
        <w:t>H</w:t>
      </w:r>
      <w:r w:rsidR="004144AC">
        <w:rPr>
          <w:rFonts w:ascii="Book Antiqua" w:eastAsia="SimSun" w:hAnsi="Book Antiqua" w:hint="eastAsia"/>
          <w:i/>
          <w:szCs w:val="24"/>
          <w:lang w:eastAsia="zh-CN"/>
        </w:rPr>
        <w:t>.</w:t>
      </w:r>
      <w:r w:rsidR="004144AC" w:rsidRPr="00853B95">
        <w:rPr>
          <w:rFonts w:ascii="Book Antiqua" w:hAnsi="Book Antiqua"/>
          <w:i/>
          <w:szCs w:val="24"/>
        </w:rPr>
        <w:t xml:space="preserve"> pylori</w:t>
      </w:r>
      <w:r w:rsidRPr="00853B95">
        <w:rPr>
          <w:rFonts w:ascii="Book Antiqua" w:hAnsi="Book Antiqua"/>
          <w:szCs w:val="24"/>
        </w:rPr>
        <w:t>.</w:t>
      </w:r>
      <w:r w:rsidR="00B84C2E" w:rsidRPr="00853B95">
        <w:rPr>
          <w:rFonts w:ascii="Book Antiqua" w:hAnsi="Book Antiqua"/>
          <w:szCs w:val="24"/>
        </w:rPr>
        <w:t xml:space="preserve"> </w:t>
      </w:r>
      <w:r w:rsidRPr="00853B95">
        <w:rPr>
          <w:rFonts w:ascii="Book Antiqua" w:hAnsi="Book Antiqua"/>
          <w:szCs w:val="24"/>
        </w:rPr>
        <w:t xml:space="preserve">At the present time, the pathogenesis of intestinal follicular lymphoma lesions and the mechanism of effect of eradication therapy for </w:t>
      </w:r>
      <w:r w:rsidR="004144AC" w:rsidRPr="00853B95">
        <w:rPr>
          <w:rFonts w:ascii="Book Antiqua" w:hAnsi="Book Antiqua"/>
          <w:i/>
          <w:szCs w:val="24"/>
        </w:rPr>
        <w:t>H</w:t>
      </w:r>
      <w:r w:rsidR="004144AC">
        <w:rPr>
          <w:rFonts w:ascii="Book Antiqua" w:eastAsia="SimSun" w:hAnsi="Book Antiqua" w:hint="eastAsia"/>
          <w:i/>
          <w:szCs w:val="24"/>
          <w:lang w:eastAsia="zh-CN"/>
        </w:rPr>
        <w:t>.</w:t>
      </w:r>
      <w:r w:rsidR="004144AC" w:rsidRPr="00853B95">
        <w:rPr>
          <w:rFonts w:ascii="Book Antiqua" w:hAnsi="Book Antiqua"/>
          <w:i/>
          <w:szCs w:val="24"/>
        </w:rPr>
        <w:t xml:space="preserve"> pylori</w:t>
      </w:r>
      <w:r w:rsidR="004144AC" w:rsidRPr="00853B95">
        <w:rPr>
          <w:rFonts w:ascii="Book Antiqua" w:hAnsi="Book Antiqua"/>
          <w:szCs w:val="24"/>
        </w:rPr>
        <w:t xml:space="preserve"> </w:t>
      </w:r>
      <w:r w:rsidRPr="00853B95">
        <w:rPr>
          <w:rFonts w:ascii="Book Antiqua" w:hAnsi="Book Antiqua"/>
          <w:szCs w:val="24"/>
        </w:rPr>
        <w:t>is unclear</w:t>
      </w:r>
      <w:r w:rsidR="00842F82" w:rsidRPr="00853B95">
        <w:rPr>
          <w:rFonts w:ascii="Book Antiqua" w:hAnsi="Book Antiqua"/>
          <w:szCs w:val="24"/>
          <w:vertAlign w:val="superscript"/>
        </w:rPr>
        <w:t>[</w:t>
      </w:r>
      <w:r w:rsidR="0056568C" w:rsidRPr="00853B95">
        <w:rPr>
          <w:rFonts w:ascii="Book Antiqua" w:hAnsi="Book Antiqua"/>
          <w:szCs w:val="24"/>
          <w:vertAlign w:val="superscript"/>
        </w:rPr>
        <w:t>72</w:t>
      </w:r>
      <w:r w:rsidRPr="00853B95">
        <w:rPr>
          <w:rFonts w:ascii="Book Antiqua" w:hAnsi="Book Antiqua"/>
          <w:szCs w:val="24"/>
          <w:vertAlign w:val="superscript"/>
        </w:rPr>
        <w:t>]</w:t>
      </w:r>
      <w:r w:rsidRPr="00853B95">
        <w:rPr>
          <w:rFonts w:ascii="Book Antiqua" w:hAnsi="Book Antiqua"/>
          <w:szCs w:val="24"/>
        </w:rPr>
        <w:t>.</w:t>
      </w:r>
    </w:p>
    <w:p w14:paraId="0826AB24" w14:textId="77777777" w:rsidR="00207E18" w:rsidRPr="00853B95" w:rsidRDefault="00207E18" w:rsidP="00AF41BC">
      <w:pPr>
        <w:spacing w:line="360" w:lineRule="auto"/>
        <w:rPr>
          <w:rFonts w:ascii="Book Antiqua" w:hAnsi="Book Antiqua"/>
          <w:szCs w:val="24"/>
        </w:rPr>
      </w:pPr>
    </w:p>
    <w:p w14:paraId="4E803515" w14:textId="0C88C9A2" w:rsidR="00396DC7" w:rsidRPr="00853B95" w:rsidRDefault="004B4DB1" w:rsidP="00AF41BC">
      <w:pPr>
        <w:spacing w:line="360" w:lineRule="auto"/>
        <w:rPr>
          <w:rFonts w:ascii="Book Antiqua" w:hAnsi="Book Antiqua"/>
          <w:b/>
          <w:szCs w:val="24"/>
        </w:rPr>
      </w:pPr>
      <w:r w:rsidRPr="00853B95">
        <w:rPr>
          <w:rFonts w:ascii="Book Antiqua" w:hAnsi="Book Antiqua"/>
          <w:b/>
          <w:szCs w:val="24"/>
        </w:rPr>
        <w:t>RISK ASSESSMENT ACCORDING TO THE FLIPI AND FLIPI2 SCORES</w:t>
      </w:r>
    </w:p>
    <w:p w14:paraId="27813887" w14:textId="3A983912" w:rsidR="004008EB" w:rsidRPr="00853B95" w:rsidRDefault="004008EB" w:rsidP="004B4DB1">
      <w:pPr>
        <w:spacing w:line="360" w:lineRule="auto"/>
        <w:rPr>
          <w:rFonts w:ascii="Book Antiqua" w:hAnsi="Book Antiqua"/>
          <w:szCs w:val="24"/>
        </w:rPr>
      </w:pPr>
      <w:r w:rsidRPr="00853B95">
        <w:rPr>
          <w:rFonts w:ascii="Book Antiqua" w:hAnsi="Book Antiqua"/>
          <w:szCs w:val="24"/>
        </w:rPr>
        <w:t xml:space="preserve">For risk stratification of follicular lymphoma patients, FLIPI and FLIPI2 have been developed as prognostic indexes. FLIPI is composed of five adverse prognostic factors: </w:t>
      </w:r>
      <w:r w:rsidR="004B4DB1" w:rsidRPr="00853B95">
        <w:rPr>
          <w:rFonts w:ascii="Book Antiqua" w:eastAsia="SimSun" w:hAnsi="Book Antiqua" w:hint="eastAsia"/>
          <w:szCs w:val="24"/>
          <w:lang w:eastAsia="zh-CN"/>
        </w:rPr>
        <w:t>(1</w:t>
      </w:r>
      <w:r w:rsidRPr="00853B95">
        <w:rPr>
          <w:rFonts w:ascii="Book Antiqua" w:hAnsi="Book Antiqua"/>
          <w:szCs w:val="24"/>
        </w:rPr>
        <w:t>) patient’s age over 60 years</w:t>
      </w:r>
      <w:r w:rsidR="004B4DB1" w:rsidRPr="00853B95">
        <w:rPr>
          <w:rFonts w:ascii="Book Antiqua" w:eastAsia="SimSun" w:hAnsi="Book Antiqua" w:hint="eastAsia"/>
          <w:szCs w:val="24"/>
          <w:lang w:eastAsia="zh-CN"/>
        </w:rPr>
        <w:t>; (2</w:t>
      </w:r>
      <w:r w:rsidRPr="00853B95">
        <w:rPr>
          <w:rFonts w:ascii="Book Antiqua" w:hAnsi="Book Antiqua"/>
          <w:szCs w:val="24"/>
        </w:rPr>
        <w:t xml:space="preserve">) Ann Arbor stage III or IV, </w:t>
      </w:r>
      <w:r w:rsidR="004B4DB1" w:rsidRPr="00853B95">
        <w:rPr>
          <w:rFonts w:ascii="Book Antiqua" w:eastAsia="SimSun" w:hAnsi="Book Antiqua" w:hint="eastAsia"/>
          <w:szCs w:val="24"/>
          <w:lang w:eastAsia="zh-CN"/>
        </w:rPr>
        <w:lastRenderedPageBreak/>
        <w:t>(3</w:t>
      </w:r>
      <w:r w:rsidRPr="00853B95">
        <w:rPr>
          <w:rFonts w:ascii="Book Antiqua" w:hAnsi="Book Antiqua"/>
          <w:szCs w:val="24"/>
        </w:rPr>
        <w:t>) hemoglobin level below 12 g/dL, iv) five or more involved nodal areas</w:t>
      </w:r>
      <w:r w:rsidR="004B4DB1" w:rsidRPr="00853B95">
        <w:rPr>
          <w:rFonts w:ascii="Book Antiqua" w:eastAsia="SimSun" w:hAnsi="Book Antiqua" w:hint="eastAsia"/>
          <w:szCs w:val="24"/>
          <w:lang w:eastAsia="zh-CN"/>
        </w:rPr>
        <w:t>;</w:t>
      </w:r>
      <w:r w:rsidRPr="00853B95">
        <w:rPr>
          <w:rFonts w:ascii="Book Antiqua" w:hAnsi="Book Antiqua"/>
          <w:szCs w:val="24"/>
        </w:rPr>
        <w:t xml:space="preserve"> and </w:t>
      </w:r>
      <w:r w:rsidR="004B4DB1" w:rsidRPr="00853B95">
        <w:rPr>
          <w:rFonts w:ascii="Book Antiqua" w:eastAsia="SimSun" w:hAnsi="Book Antiqua" w:hint="eastAsia"/>
          <w:szCs w:val="24"/>
          <w:lang w:eastAsia="zh-CN"/>
        </w:rPr>
        <w:t>(4</w:t>
      </w:r>
      <w:r w:rsidRPr="00853B95">
        <w:rPr>
          <w:rFonts w:ascii="Book Antiqua" w:hAnsi="Book Antiqua"/>
          <w:szCs w:val="24"/>
        </w:rPr>
        <w:t>) LDH level above the normal limit</w:t>
      </w:r>
      <w:r w:rsidR="00842F82" w:rsidRPr="00853B95">
        <w:rPr>
          <w:rFonts w:ascii="Book Antiqua" w:hAnsi="Book Antiqua"/>
          <w:szCs w:val="24"/>
          <w:vertAlign w:val="superscript"/>
        </w:rPr>
        <w:t>[</w:t>
      </w:r>
      <w:r w:rsidRPr="00853B95">
        <w:rPr>
          <w:rFonts w:ascii="Book Antiqua" w:hAnsi="Book Antiqua"/>
          <w:szCs w:val="24"/>
          <w:vertAlign w:val="superscript"/>
        </w:rPr>
        <w:t>14]</w:t>
      </w:r>
      <w:r w:rsidRPr="00853B95">
        <w:rPr>
          <w:rFonts w:ascii="Book Antiqua" w:hAnsi="Book Antiqua"/>
          <w:szCs w:val="24"/>
        </w:rPr>
        <w:t>. Three risk groups were defined: low risk (zero or one adverse factor), intermediate risk (two factors), and poor risk (three to five factors).</w:t>
      </w:r>
    </w:p>
    <w:p w14:paraId="23625AFA" w14:textId="78D3BE22" w:rsidR="004008EB" w:rsidRPr="00853B95" w:rsidRDefault="004008EB" w:rsidP="00AF41BC">
      <w:pPr>
        <w:spacing w:line="360" w:lineRule="auto"/>
        <w:ind w:firstLine="835"/>
        <w:rPr>
          <w:rFonts w:ascii="Book Antiqua" w:hAnsi="Book Antiqua"/>
          <w:szCs w:val="24"/>
        </w:rPr>
      </w:pPr>
      <w:r w:rsidRPr="00853B95">
        <w:rPr>
          <w:rFonts w:ascii="Book Antiqua" w:hAnsi="Book Antiqua"/>
          <w:szCs w:val="24"/>
        </w:rPr>
        <w:t xml:space="preserve">FLIPI2 consists of a different combination of five adverse prognostic factors: </w:t>
      </w:r>
      <w:r w:rsidR="004B4DB1" w:rsidRPr="00853B95">
        <w:rPr>
          <w:rFonts w:ascii="Book Antiqua" w:eastAsia="SimSun" w:hAnsi="Book Antiqua" w:hint="eastAsia"/>
          <w:szCs w:val="24"/>
          <w:lang w:eastAsia="zh-CN"/>
        </w:rPr>
        <w:t>(1</w:t>
      </w:r>
      <w:r w:rsidR="004B4DB1" w:rsidRPr="00853B95">
        <w:rPr>
          <w:rFonts w:ascii="Book Antiqua" w:hAnsi="Book Antiqua"/>
          <w:szCs w:val="24"/>
        </w:rPr>
        <w:t>)</w:t>
      </w:r>
      <w:r w:rsidRPr="00853B95">
        <w:rPr>
          <w:rFonts w:ascii="Book Antiqua" w:hAnsi="Book Antiqua"/>
          <w:szCs w:val="24"/>
        </w:rPr>
        <w:t xml:space="preserve"> patient’s age over 60 years</w:t>
      </w:r>
      <w:r w:rsidR="004B4DB1" w:rsidRPr="00853B95">
        <w:rPr>
          <w:rFonts w:ascii="Book Antiqua" w:eastAsia="SimSun" w:hAnsi="Book Antiqua" w:hint="eastAsia"/>
          <w:szCs w:val="24"/>
          <w:lang w:eastAsia="zh-CN"/>
        </w:rPr>
        <w:t>;</w:t>
      </w:r>
      <w:r w:rsidRPr="00853B95">
        <w:rPr>
          <w:rFonts w:ascii="Book Antiqua" w:hAnsi="Book Antiqua"/>
          <w:szCs w:val="24"/>
        </w:rPr>
        <w:t xml:space="preserve"> </w:t>
      </w:r>
      <w:r w:rsidR="004B4DB1" w:rsidRPr="00853B95">
        <w:rPr>
          <w:rFonts w:ascii="Book Antiqua" w:eastAsia="SimSun" w:hAnsi="Book Antiqua" w:hint="eastAsia"/>
          <w:szCs w:val="24"/>
          <w:lang w:eastAsia="zh-CN"/>
        </w:rPr>
        <w:t>(2</w:t>
      </w:r>
      <w:r w:rsidR="004B4DB1" w:rsidRPr="00853B95">
        <w:rPr>
          <w:rFonts w:ascii="Book Antiqua" w:hAnsi="Book Antiqua"/>
          <w:szCs w:val="24"/>
        </w:rPr>
        <w:t>)</w:t>
      </w:r>
      <w:r w:rsidR="00D54F7B">
        <w:rPr>
          <w:rFonts w:ascii="Book Antiqua" w:eastAsia="SimSun" w:hAnsi="Book Antiqua" w:hint="eastAsia"/>
          <w:szCs w:val="24"/>
          <w:lang w:eastAsia="zh-CN"/>
        </w:rPr>
        <w:t xml:space="preserve"> </w:t>
      </w:r>
      <w:r w:rsidRPr="00853B95">
        <w:rPr>
          <w:rFonts w:ascii="Book Antiqua" w:hAnsi="Book Antiqua"/>
          <w:szCs w:val="24"/>
        </w:rPr>
        <w:t>bone marrow involvement</w:t>
      </w:r>
      <w:r w:rsidR="004B4DB1" w:rsidRPr="00853B95">
        <w:rPr>
          <w:rFonts w:ascii="Book Antiqua" w:eastAsia="SimSun" w:hAnsi="Book Antiqua" w:hint="eastAsia"/>
          <w:szCs w:val="24"/>
          <w:lang w:eastAsia="zh-CN"/>
        </w:rPr>
        <w:t>;</w:t>
      </w:r>
      <w:r w:rsidRPr="00853B95">
        <w:rPr>
          <w:rFonts w:ascii="Book Antiqua" w:hAnsi="Book Antiqua"/>
          <w:szCs w:val="24"/>
        </w:rPr>
        <w:t xml:space="preserve"> </w:t>
      </w:r>
      <w:r w:rsidR="004B4DB1" w:rsidRPr="00853B95">
        <w:rPr>
          <w:rFonts w:ascii="Book Antiqua" w:eastAsia="SimSun" w:hAnsi="Book Antiqua" w:hint="eastAsia"/>
          <w:szCs w:val="24"/>
          <w:lang w:eastAsia="zh-CN"/>
        </w:rPr>
        <w:t>(3</w:t>
      </w:r>
      <w:r w:rsidR="004B4DB1" w:rsidRPr="00853B95">
        <w:rPr>
          <w:rFonts w:ascii="Book Antiqua" w:hAnsi="Book Antiqua"/>
          <w:szCs w:val="24"/>
        </w:rPr>
        <w:t>)</w:t>
      </w:r>
      <w:r w:rsidRPr="00853B95">
        <w:rPr>
          <w:rFonts w:ascii="Book Antiqua" w:hAnsi="Book Antiqua"/>
          <w:szCs w:val="24"/>
        </w:rPr>
        <w:t xml:space="preserve"> hemoglobin level below 12 g/dL</w:t>
      </w:r>
      <w:r w:rsidR="004B4DB1" w:rsidRPr="00853B95">
        <w:rPr>
          <w:rFonts w:ascii="Book Antiqua" w:eastAsia="SimSun" w:hAnsi="Book Antiqua" w:hint="eastAsia"/>
          <w:szCs w:val="24"/>
          <w:lang w:eastAsia="zh-CN"/>
        </w:rPr>
        <w:t>;</w:t>
      </w:r>
      <w:r w:rsidRPr="00853B95">
        <w:rPr>
          <w:rFonts w:ascii="Book Antiqua" w:hAnsi="Book Antiqua"/>
          <w:szCs w:val="24"/>
        </w:rPr>
        <w:t xml:space="preserve"> </w:t>
      </w:r>
      <w:r w:rsidR="004B4DB1" w:rsidRPr="00853B95">
        <w:rPr>
          <w:rFonts w:ascii="Book Antiqua" w:eastAsia="SimSun" w:hAnsi="Book Antiqua" w:hint="eastAsia"/>
          <w:szCs w:val="24"/>
          <w:lang w:eastAsia="zh-CN"/>
        </w:rPr>
        <w:t>(4</w:t>
      </w:r>
      <w:r w:rsidR="004B4DB1" w:rsidRPr="00853B95">
        <w:rPr>
          <w:rFonts w:ascii="Book Antiqua" w:hAnsi="Book Antiqua"/>
          <w:szCs w:val="24"/>
        </w:rPr>
        <w:t>)</w:t>
      </w:r>
      <w:r w:rsidRPr="00853B95">
        <w:rPr>
          <w:rFonts w:ascii="Book Antiqua" w:hAnsi="Book Antiqua"/>
          <w:szCs w:val="24"/>
        </w:rPr>
        <w:t xml:space="preserve"> longest diameter of the largest involved node greater than 6 cm</w:t>
      </w:r>
      <w:r w:rsidR="004B4DB1" w:rsidRPr="00853B95">
        <w:rPr>
          <w:rFonts w:ascii="Book Antiqua" w:eastAsia="SimSun" w:hAnsi="Book Antiqua" w:hint="eastAsia"/>
          <w:szCs w:val="24"/>
          <w:lang w:eastAsia="zh-CN"/>
        </w:rPr>
        <w:t>;</w:t>
      </w:r>
      <w:r w:rsidRPr="00853B95">
        <w:rPr>
          <w:rFonts w:ascii="Book Antiqua" w:hAnsi="Book Antiqua"/>
          <w:szCs w:val="24"/>
        </w:rPr>
        <w:t xml:space="preserve"> and </w:t>
      </w:r>
      <w:r w:rsidR="004B4DB1" w:rsidRPr="00853B95">
        <w:rPr>
          <w:rFonts w:ascii="Book Antiqua" w:eastAsia="SimSun" w:hAnsi="Book Antiqua" w:hint="eastAsia"/>
          <w:szCs w:val="24"/>
          <w:lang w:eastAsia="zh-CN"/>
        </w:rPr>
        <w:t>(5</w:t>
      </w:r>
      <w:r w:rsidR="004B4DB1" w:rsidRPr="00853B95">
        <w:rPr>
          <w:rFonts w:ascii="Book Antiqua" w:hAnsi="Book Antiqua"/>
          <w:szCs w:val="24"/>
        </w:rPr>
        <w:t>)</w:t>
      </w:r>
      <w:r w:rsidRPr="00853B95">
        <w:rPr>
          <w:rFonts w:ascii="Book Antiqua" w:hAnsi="Book Antiqua"/>
          <w:szCs w:val="24"/>
        </w:rPr>
        <w:t xml:space="preserve"> 2-microglobulin level above the normal limit</w:t>
      </w:r>
      <w:r w:rsidR="00842F82" w:rsidRPr="00853B95">
        <w:rPr>
          <w:rFonts w:ascii="Book Antiqua" w:hAnsi="Book Antiqua"/>
          <w:szCs w:val="24"/>
          <w:vertAlign w:val="superscript"/>
        </w:rPr>
        <w:t>[</w:t>
      </w:r>
      <w:r w:rsidRPr="00853B95">
        <w:rPr>
          <w:rFonts w:ascii="Book Antiqua" w:hAnsi="Book Antiqua"/>
          <w:szCs w:val="24"/>
          <w:vertAlign w:val="superscript"/>
        </w:rPr>
        <w:t>15]</w:t>
      </w:r>
      <w:r w:rsidRPr="00853B95">
        <w:rPr>
          <w:rFonts w:ascii="Book Antiqua" w:hAnsi="Book Antiqua"/>
          <w:szCs w:val="24"/>
        </w:rPr>
        <w:t>. Three risk groups were defined: low risk (zero adverse factors), intermediate risk (one to two factors), and poor risk (three to five factors).</w:t>
      </w:r>
    </w:p>
    <w:p w14:paraId="0F48EAB0" w14:textId="31E7B48A" w:rsidR="004008EB" w:rsidRPr="00853B95" w:rsidRDefault="004008EB" w:rsidP="00AF41BC">
      <w:pPr>
        <w:spacing w:line="360" w:lineRule="auto"/>
        <w:ind w:firstLine="835"/>
        <w:rPr>
          <w:rFonts w:ascii="Book Antiqua" w:hAnsi="Book Antiqua"/>
          <w:szCs w:val="24"/>
        </w:rPr>
      </w:pPr>
      <w:r w:rsidRPr="00853B95">
        <w:rPr>
          <w:rFonts w:ascii="Book Antiqua" w:hAnsi="Book Antiqua"/>
          <w:szCs w:val="24"/>
        </w:rPr>
        <w:t>Despite the usefulness of these risk assessment systems in nodal cases</w:t>
      </w:r>
      <w:r w:rsidR="00842F82" w:rsidRPr="00853B95">
        <w:rPr>
          <w:rFonts w:ascii="Book Antiqua" w:hAnsi="Book Antiqua"/>
          <w:szCs w:val="24"/>
          <w:vertAlign w:val="superscript"/>
        </w:rPr>
        <w:t>[</w:t>
      </w:r>
      <w:r w:rsidR="0056568C" w:rsidRPr="00853B95">
        <w:rPr>
          <w:rFonts w:ascii="Book Antiqua" w:hAnsi="Book Antiqua"/>
          <w:szCs w:val="24"/>
          <w:vertAlign w:val="superscript"/>
        </w:rPr>
        <w:t>73</w:t>
      </w:r>
      <w:r w:rsidR="00C67E90" w:rsidRPr="00853B95">
        <w:rPr>
          <w:rFonts w:ascii="Book Antiqua" w:hAnsi="Book Antiqua"/>
          <w:szCs w:val="24"/>
          <w:vertAlign w:val="superscript"/>
        </w:rPr>
        <w:t>-</w:t>
      </w:r>
      <w:r w:rsidR="0056568C" w:rsidRPr="00853B95">
        <w:rPr>
          <w:rFonts w:ascii="Book Antiqua" w:hAnsi="Book Antiqua"/>
          <w:szCs w:val="24"/>
          <w:vertAlign w:val="superscript"/>
        </w:rPr>
        <w:t>76</w:t>
      </w:r>
      <w:r w:rsidR="00C67E90" w:rsidRPr="00853B95">
        <w:rPr>
          <w:rFonts w:ascii="Book Antiqua" w:hAnsi="Book Antiqua"/>
          <w:szCs w:val="24"/>
          <w:vertAlign w:val="superscript"/>
        </w:rPr>
        <w:t>]</w:t>
      </w:r>
      <w:r w:rsidRPr="00853B95">
        <w:rPr>
          <w:rFonts w:ascii="Book Antiqua" w:hAnsi="Book Antiqua"/>
          <w:szCs w:val="24"/>
        </w:rPr>
        <w:t>, no studies have been conducted on intestinal follicular lymphoma patients. One of the issues regarding FLIPI and FLIPI2 systems is that the proportion of patients in the three groups is unlikely to be balanced, since most of the patients with primary intestinal follicular lymphoma are classified as “low risk” or “intermediate risk”</w:t>
      </w:r>
      <w:r w:rsidR="00842F82" w:rsidRPr="00853B95">
        <w:rPr>
          <w:rFonts w:ascii="Book Antiqua" w:hAnsi="Book Antiqua"/>
          <w:szCs w:val="24"/>
          <w:vertAlign w:val="superscript"/>
        </w:rPr>
        <w:t>[</w:t>
      </w:r>
      <w:r w:rsidR="0056568C" w:rsidRPr="00853B95">
        <w:rPr>
          <w:rFonts w:ascii="Book Antiqua" w:hAnsi="Book Antiqua"/>
          <w:szCs w:val="24"/>
          <w:vertAlign w:val="superscript"/>
        </w:rPr>
        <w:t>66</w:t>
      </w:r>
      <w:r w:rsidRPr="00853B95">
        <w:rPr>
          <w:rFonts w:ascii="Book Antiqua" w:hAnsi="Book Antiqua"/>
          <w:szCs w:val="24"/>
          <w:vertAlign w:val="superscript"/>
        </w:rPr>
        <w:t>]</w:t>
      </w:r>
      <w:r w:rsidRPr="00853B95">
        <w:rPr>
          <w:rFonts w:ascii="Book Antiqua" w:hAnsi="Book Antiqua"/>
          <w:szCs w:val="24"/>
        </w:rPr>
        <w:t>. Further investigation is required to prove the utility of FLIPI and FLIPI2 or to establish other risk assessment methods for intestinal follicular lymphoma patients.</w:t>
      </w:r>
    </w:p>
    <w:p w14:paraId="7B600873" w14:textId="77777777" w:rsidR="00875A01" w:rsidRPr="00853B95" w:rsidRDefault="00875A01" w:rsidP="00AF41BC">
      <w:pPr>
        <w:spacing w:line="360" w:lineRule="auto"/>
        <w:rPr>
          <w:rFonts w:ascii="Book Antiqua" w:hAnsi="Book Antiqua"/>
          <w:szCs w:val="24"/>
        </w:rPr>
      </w:pPr>
    </w:p>
    <w:p w14:paraId="2E310B8E" w14:textId="4983ED52" w:rsidR="00875A01" w:rsidRPr="00853B95" w:rsidRDefault="004B4DB1" w:rsidP="00AF41BC">
      <w:pPr>
        <w:spacing w:line="360" w:lineRule="auto"/>
        <w:rPr>
          <w:rFonts w:ascii="Book Antiqua" w:hAnsi="Book Antiqua"/>
          <w:b/>
          <w:szCs w:val="24"/>
        </w:rPr>
      </w:pPr>
      <w:r w:rsidRPr="00853B95">
        <w:rPr>
          <w:rFonts w:ascii="Book Antiqua" w:hAnsi="Book Antiqua"/>
          <w:b/>
          <w:szCs w:val="24"/>
        </w:rPr>
        <w:t>CONCLUSION</w:t>
      </w:r>
    </w:p>
    <w:p w14:paraId="2A951018" w14:textId="0A64379A" w:rsidR="004008EB" w:rsidRPr="00853B95" w:rsidRDefault="00C4488C" w:rsidP="004B4DB1">
      <w:pPr>
        <w:spacing w:line="360" w:lineRule="auto"/>
        <w:rPr>
          <w:rFonts w:ascii="Book Antiqua" w:hAnsi="Book Antiqua"/>
          <w:szCs w:val="24"/>
        </w:rPr>
      </w:pPr>
      <w:r w:rsidRPr="00853B95">
        <w:rPr>
          <w:rFonts w:ascii="Book Antiqua" w:hAnsi="Book Antiqua"/>
          <w:szCs w:val="24"/>
        </w:rPr>
        <w:t xml:space="preserve">In this review, we provided initial diagnostic workup strategies for a </w:t>
      </w:r>
      <w:r w:rsidR="00CA1DE0" w:rsidRPr="00853B95">
        <w:rPr>
          <w:rFonts w:ascii="Book Antiqua" w:hAnsi="Book Antiqua"/>
          <w:szCs w:val="24"/>
        </w:rPr>
        <w:t xml:space="preserve">more accurate and timely </w:t>
      </w:r>
      <w:r w:rsidRPr="00853B95">
        <w:rPr>
          <w:rFonts w:ascii="Book Antiqua" w:hAnsi="Book Antiqua"/>
          <w:szCs w:val="24"/>
        </w:rPr>
        <w:t xml:space="preserve">diagnosis of patients with follicular lymphoma in the gastrointestinal tract, particularly highlighting the importance of endoscopic examinations. </w:t>
      </w:r>
      <w:r w:rsidR="004008EB" w:rsidRPr="00853B95">
        <w:rPr>
          <w:rFonts w:ascii="Book Antiqua" w:hAnsi="Book Antiqua"/>
          <w:szCs w:val="24"/>
        </w:rPr>
        <w:t xml:space="preserve">Though there is no doubt that endoscopic examinations play a </w:t>
      </w:r>
      <w:r w:rsidR="004008EB" w:rsidRPr="00853B95">
        <w:rPr>
          <w:rFonts w:ascii="Book Antiqua" w:hAnsi="Book Antiqua"/>
          <w:szCs w:val="24"/>
        </w:rPr>
        <w:lastRenderedPageBreak/>
        <w:t xml:space="preserve">major role in the diagnosis of this disease entity, gastroenterologists should </w:t>
      </w:r>
      <w:r w:rsidR="00472629" w:rsidRPr="00853B95">
        <w:rPr>
          <w:rFonts w:ascii="Book Antiqua" w:hAnsi="Book Antiqua"/>
          <w:szCs w:val="24"/>
        </w:rPr>
        <w:t xml:space="preserve">also </w:t>
      </w:r>
      <w:r w:rsidR="004008EB" w:rsidRPr="00853B95">
        <w:rPr>
          <w:rFonts w:ascii="Book Antiqua" w:hAnsi="Book Antiqua"/>
          <w:szCs w:val="24"/>
        </w:rPr>
        <w:t>keep in mind that follicular lymphoma patients with gastrointestinal involvement must be investigated according to the general guidelines for systemic follicular lymphoma. We believe the pearls and pitfalls described herein can be helpful for a better understanding of the diagnosis and initial workup of this disease.</w:t>
      </w:r>
    </w:p>
    <w:p w14:paraId="48384F4B" w14:textId="77777777" w:rsidR="00875A01" w:rsidRPr="00853B95" w:rsidRDefault="00875A01" w:rsidP="00AF41BC">
      <w:pPr>
        <w:spacing w:line="360" w:lineRule="auto"/>
        <w:rPr>
          <w:rFonts w:ascii="Book Antiqua" w:hAnsi="Book Antiqua"/>
          <w:szCs w:val="24"/>
        </w:rPr>
      </w:pPr>
    </w:p>
    <w:p w14:paraId="2F93CBD5" w14:textId="77777777" w:rsidR="004B4DB1" w:rsidRPr="00853B95" w:rsidRDefault="004B4DB1">
      <w:pPr>
        <w:widowControl/>
        <w:jc w:val="left"/>
        <w:rPr>
          <w:rFonts w:ascii="Book Antiqua" w:hAnsi="Book Antiqua"/>
          <w:b/>
          <w:szCs w:val="24"/>
        </w:rPr>
      </w:pPr>
      <w:r w:rsidRPr="00853B95">
        <w:rPr>
          <w:rFonts w:ascii="Book Antiqua" w:hAnsi="Book Antiqua"/>
          <w:b/>
          <w:szCs w:val="24"/>
        </w:rPr>
        <w:br w:type="page"/>
      </w:r>
    </w:p>
    <w:p w14:paraId="3346B987" w14:textId="10A546A4" w:rsidR="000F53A7" w:rsidRPr="00853B95" w:rsidRDefault="004B4DB1" w:rsidP="00AF41BC">
      <w:pPr>
        <w:spacing w:line="360" w:lineRule="auto"/>
        <w:rPr>
          <w:rFonts w:ascii="Book Antiqua" w:hAnsi="Book Antiqua"/>
          <w:b/>
          <w:szCs w:val="24"/>
        </w:rPr>
      </w:pPr>
      <w:r w:rsidRPr="00853B95">
        <w:rPr>
          <w:rFonts w:ascii="Book Antiqua" w:hAnsi="Book Antiqua"/>
          <w:b/>
          <w:szCs w:val="24"/>
        </w:rPr>
        <w:lastRenderedPageBreak/>
        <w:t>REFERENCES</w:t>
      </w:r>
    </w:p>
    <w:p w14:paraId="3DFADF61" w14:textId="77777777" w:rsidR="009A7EB3" w:rsidRPr="00853B95" w:rsidRDefault="009A7EB3" w:rsidP="009A7EB3">
      <w:pPr>
        <w:widowControl/>
        <w:spacing w:line="360" w:lineRule="auto"/>
        <w:rPr>
          <w:rFonts w:ascii="Book Antiqua" w:eastAsia="SimSun" w:hAnsi="Book Antiqua" w:cs="SimSun"/>
          <w:kern w:val="0"/>
          <w:szCs w:val="24"/>
        </w:rPr>
      </w:pPr>
      <w:bookmarkStart w:id="56" w:name="OLE_LINK574"/>
      <w:bookmarkStart w:id="57" w:name="OLE_LINK575"/>
      <w:r w:rsidRPr="00853B95">
        <w:rPr>
          <w:rFonts w:ascii="Book Antiqua" w:eastAsia="SimSun" w:hAnsi="Book Antiqua" w:cs="SimSun"/>
          <w:kern w:val="0"/>
          <w:szCs w:val="24"/>
        </w:rPr>
        <w:t>1</w:t>
      </w:r>
      <w:r w:rsidRPr="00853B95">
        <w:rPr>
          <w:rFonts w:ascii="Book Antiqua" w:eastAsia="SimSun" w:hAnsi="Book Antiqua" w:cs="SimSun"/>
          <w:b/>
          <w:kern w:val="0"/>
          <w:szCs w:val="24"/>
        </w:rPr>
        <w:t xml:space="preserve"> Harris NL,</w:t>
      </w:r>
      <w:r w:rsidRPr="00853B95">
        <w:rPr>
          <w:rFonts w:ascii="Book Antiqua" w:eastAsia="SimSun" w:hAnsi="Book Antiqua" w:cs="SimSun"/>
          <w:kern w:val="0"/>
          <w:szCs w:val="24"/>
        </w:rPr>
        <w:t xml:space="preserve"> Swerdlow SH, Jaffe ES, Ott G, Nathwani BN, de Jong D, Yoshino T, Spagnolo D. Follicular lymphoma. In: Swerdlow SH, Campo E, Harris NL, Jaffe E, Pileri SA, Stein H, Thiele V, Vardiman JW, editors. WHO Classification of Tumours of Haematopoietic and Lymphoid Tissues. Lyon: IARC, 2008; 220-226</w:t>
      </w:r>
    </w:p>
    <w:p w14:paraId="5C5859A3"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2 </w:t>
      </w:r>
      <w:r w:rsidRPr="00853B95">
        <w:rPr>
          <w:rFonts w:ascii="Book Antiqua" w:eastAsia="SimSun" w:hAnsi="Book Antiqua" w:cs="SimSun"/>
          <w:b/>
          <w:bCs/>
          <w:kern w:val="0"/>
          <w:szCs w:val="24"/>
        </w:rPr>
        <w:t>Takata K</w:t>
      </w:r>
      <w:r w:rsidRPr="00853B95">
        <w:rPr>
          <w:rFonts w:ascii="Book Antiqua" w:eastAsia="SimSun" w:hAnsi="Book Antiqua" w:cs="SimSun"/>
          <w:kern w:val="0"/>
          <w:szCs w:val="24"/>
        </w:rPr>
        <w:t>, Miyata-Takata T, Sato Y, Yoshino T. Pathology of follicular lymphoma. </w:t>
      </w:r>
      <w:r w:rsidRPr="00853B95">
        <w:rPr>
          <w:rFonts w:ascii="Book Antiqua" w:eastAsia="SimSun" w:hAnsi="Book Antiqua" w:cs="SimSun"/>
          <w:i/>
          <w:iCs/>
          <w:kern w:val="0"/>
          <w:szCs w:val="24"/>
        </w:rPr>
        <w:t>J Clin Exp Hematop</w:t>
      </w:r>
      <w:r w:rsidRPr="00853B95">
        <w:rPr>
          <w:rFonts w:ascii="Book Antiqua" w:eastAsia="SimSun" w:hAnsi="Book Antiqua" w:cs="SimSun"/>
          <w:kern w:val="0"/>
          <w:szCs w:val="24"/>
        </w:rPr>
        <w:t> 2014; </w:t>
      </w:r>
      <w:r w:rsidRPr="00853B95">
        <w:rPr>
          <w:rFonts w:ascii="Book Antiqua" w:eastAsia="SimSun" w:hAnsi="Book Antiqua" w:cs="SimSun"/>
          <w:b/>
          <w:bCs/>
          <w:kern w:val="0"/>
          <w:szCs w:val="24"/>
        </w:rPr>
        <w:t>54</w:t>
      </w:r>
      <w:r w:rsidRPr="00853B95">
        <w:rPr>
          <w:rFonts w:ascii="Book Antiqua" w:eastAsia="SimSun" w:hAnsi="Book Antiqua" w:cs="SimSun"/>
          <w:kern w:val="0"/>
          <w:szCs w:val="24"/>
        </w:rPr>
        <w:t>: 3-9 [PMID: 24942941</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10.3960/jslrt.54.3</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w:t>
      </w:r>
    </w:p>
    <w:p w14:paraId="4473B468"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3 </w:t>
      </w:r>
      <w:r w:rsidRPr="00853B95">
        <w:rPr>
          <w:rFonts w:ascii="Book Antiqua" w:eastAsia="SimSun" w:hAnsi="Book Antiqua" w:cs="SimSun"/>
          <w:b/>
          <w:bCs/>
          <w:kern w:val="0"/>
          <w:szCs w:val="24"/>
        </w:rPr>
        <w:t>Dreyling M</w:t>
      </w:r>
      <w:r w:rsidRPr="00853B95">
        <w:rPr>
          <w:rFonts w:ascii="Book Antiqua" w:eastAsia="SimSun" w:hAnsi="Book Antiqua" w:cs="SimSun"/>
          <w:kern w:val="0"/>
          <w:szCs w:val="24"/>
        </w:rPr>
        <w:t>, Ghielmini M, Marcus R, Salles G, Vitolo U. Newly diagnosed and relapsed follicular lymphoma: ESMO Clinical Practice Guidelines for diagnosis, treatment and follow-up. </w:t>
      </w:r>
      <w:r w:rsidRPr="00853B95">
        <w:rPr>
          <w:rFonts w:ascii="Book Antiqua" w:eastAsia="SimSun" w:hAnsi="Book Antiqua" w:cs="SimSun"/>
          <w:i/>
          <w:iCs/>
          <w:kern w:val="0"/>
          <w:szCs w:val="24"/>
        </w:rPr>
        <w:t>Ann Oncol</w:t>
      </w:r>
      <w:r w:rsidRPr="00853B95">
        <w:rPr>
          <w:rFonts w:ascii="Book Antiqua" w:eastAsia="SimSun" w:hAnsi="Book Antiqua" w:cs="SimSun"/>
          <w:kern w:val="0"/>
          <w:szCs w:val="24"/>
        </w:rPr>
        <w:t> 2011; </w:t>
      </w:r>
      <w:r w:rsidRPr="00853B95">
        <w:rPr>
          <w:rFonts w:ascii="Book Antiqua" w:eastAsia="SimSun" w:hAnsi="Book Antiqua" w:cs="SimSun"/>
          <w:b/>
          <w:bCs/>
          <w:kern w:val="0"/>
          <w:szCs w:val="24"/>
        </w:rPr>
        <w:t xml:space="preserve">22 </w:t>
      </w:r>
      <w:r w:rsidRPr="00853B95">
        <w:rPr>
          <w:rFonts w:ascii="Book Antiqua" w:eastAsia="SimSun" w:hAnsi="Book Antiqua" w:cs="SimSun"/>
          <w:bCs/>
          <w:kern w:val="0"/>
          <w:szCs w:val="24"/>
        </w:rPr>
        <w:t>Suppl 6</w:t>
      </w:r>
      <w:r w:rsidRPr="00853B95">
        <w:rPr>
          <w:rFonts w:ascii="Book Antiqua" w:eastAsia="SimSun" w:hAnsi="Book Antiqua" w:cs="SimSun"/>
          <w:kern w:val="0"/>
          <w:szCs w:val="24"/>
        </w:rPr>
        <w:t>: vi59-vi63 [PMID: 21908506 DOI: 10.1093/annonc/mdr388]</w:t>
      </w:r>
    </w:p>
    <w:p w14:paraId="25DCCCBB"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4 </w:t>
      </w:r>
      <w:r w:rsidRPr="00853B95">
        <w:rPr>
          <w:rFonts w:ascii="Book Antiqua" w:eastAsia="SimSun" w:hAnsi="Book Antiqua" w:cs="SimSun"/>
          <w:b/>
          <w:bCs/>
          <w:kern w:val="0"/>
          <w:szCs w:val="24"/>
        </w:rPr>
        <w:t>Schmatz AI</w:t>
      </w:r>
      <w:r w:rsidRPr="00853B95">
        <w:rPr>
          <w:rFonts w:ascii="Book Antiqua" w:eastAsia="SimSun" w:hAnsi="Book Antiqua" w:cs="SimSun"/>
          <w:kern w:val="0"/>
          <w:szCs w:val="24"/>
        </w:rPr>
        <w:t>, Streubel B, Kretschmer-Chott E, Püspök A, Jäger U, Mannhalter C, Tiemann M, Ott G, Fischbach W, Herzog P, Seitz G, Stolte M, Raderer M, Chott A. Primary follicular lymphoma of the duodenum is a distinct mucosal/submucosal variant of follicular lymphoma: a retrospective study of 63 cases. </w:t>
      </w:r>
      <w:r w:rsidRPr="00853B95">
        <w:rPr>
          <w:rFonts w:ascii="Book Antiqua" w:eastAsia="SimSun" w:hAnsi="Book Antiqua" w:cs="SimSun"/>
          <w:i/>
          <w:iCs/>
          <w:kern w:val="0"/>
          <w:szCs w:val="24"/>
        </w:rPr>
        <w:t>J Clin Oncol</w:t>
      </w:r>
      <w:r w:rsidRPr="00853B95">
        <w:rPr>
          <w:rFonts w:ascii="Book Antiqua" w:eastAsia="SimSun" w:hAnsi="Book Antiqua" w:cs="SimSun"/>
          <w:kern w:val="0"/>
          <w:szCs w:val="24"/>
        </w:rPr>
        <w:t> 2011; </w:t>
      </w:r>
      <w:r w:rsidRPr="00853B95">
        <w:rPr>
          <w:rFonts w:ascii="Book Antiqua" w:eastAsia="SimSun" w:hAnsi="Book Antiqua" w:cs="SimSun"/>
          <w:b/>
          <w:bCs/>
          <w:kern w:val="0"/>
          <w:szCs w:val="24"/>
        </w:rPr>
        <w:t>29</w:t>
      </w:r>
      <w:r w:rsidRPr="00853B95">
        <w:rPr>
          <w:rFonts w:ascii="Book Antiqua" w:eastAsia="SimSun" w:hAnsi="Book Antiqua" w:cs="SimSun"/>
          <w:kern w:val="0"/>
          <w:szCs w:val="24"/>
        </w:rPr>
        <w:t>: 1445-1451 [PMID: 21383289 DOI: 10.1200/JCO.2010.32.9193]</w:t>
      </w:r>
    </w:p>
    <w:p w14:paraId="22A6D855"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5 </w:t>
      </w:r>
      <w:r w:rsidRPr="00853B95">
        <w:rPr>
          <w:rFonts w:ascii="Book Antiqua" w:eastAsia="SimSun" w:hAnsi="Book Antiqua" w:cs="SimSun"/>
          <w:b/>
          <w:bCs/>
          <w:kern w:val="0"/>
          <w:szCs w:val="24"/>
        </w:rPr>
        <w:t>Misdraji J</w:t>
      </w:r>
      <w:r w:rsidRPr="00853B95">
        <w:rPr>
          <w:rFonts w:ascii="Book Antiqua" w:eastAsia="SimSun" w:hAnsi="Book Antiqua" w:cs="SimSun"/>
          <w:kern w:val="0"/>
          <w:szCs w:val="24"/>
        </w:rPr>
        <w:t>, Fernandez del Castillo C, Ferry JA. Follicle center lymphoma of the ampulla of Vater presenting with jaundice: report of a case. </w:t>
      </w:r>
      <w:r w:rsidRPr="00853B95">
        <w:rPr>
          <w:rFonts w:ascii="Book Antiqua" w:eastAsia="SimSun" w:hAnsi="Book Antiqua" w:cs="SimSun"/>
          <w:i/>
          <w:iCs/>
          <w:kern w:val="0"/>
          <w:szCs w:val="24"/>
        </w:rPr>
        <w:t>Am J Surg Pathol</w:t>
      </w:r>
      <w:r w:rsidRPr="00853B95">
        <w:rPr>
          <w:rFonts w:ascii="Book Antiqua" w:eastAsia="SimSun" w:hAnsi="Book Antiqua" w:cs="SimSun"/>
          <w:kern w:val="0"/>
          <w:szCs w:val="24"/>
        </w:rPr>
        <w:t> 1997; </w:t>
      </w:r>
      <w:r w:rsidRPr="00853B95">
        <w:rPr>
          <w:rFonts w:ascii="Book Antiqua" w:eastAsia="SimSun" w:hAnsi="Book Antiqua" w:cs="SimSun"/>
          <w:b/>
          <w:bCs/>
          <w:kern w:val="0"/>
          <w:szCs w:val="24"/>
        </w:rPr>
        <w:t>21</w:t>
      </w:r>
      <w:r w:rsidRPr="00853B95">
        <w:rPr>
          <w:rFonts w:ascii="Book Antiqua" w:eastAsia="SimSun" w:hAnsi="Book Antiqua" w:cs="SimSun"/>
          <w:kern w:val="0"/>
          <w:szCs w:val="24"/>
        </w:rPr>
        <w:t>: 484-488 [PMID: 9130997</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10.1097/00000478-199704000-00016]</w:t>
      </w:r>
    </w:p>
    <w:p w14:paraId="75C609C5"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6 </w:t>
      </w:r>
      <w:r w:rsidRPr="00853B95">
        <w:rPr>
          <w:rFonts w:ascii="Book Antiqua" w:eastAsia="SimSun" w:hAnsi="Book Antiqua" w:cs="SimSun"/>
          <w:b/>
          <w:bCs/>
          <w:kern w:val="0"/>
          <w:szCs w:val="24"/>
        </w:rPr>
        <w:t>Yoshino T</w:t>
      </w:r>
      <w:r w:rsidRPr="00853B95">
        <w:rPr>
          <w:rFonts w:ascii="Book Antiqua" w:eastAsia="SimSun" w:hAnsi="Book Antiqua" w:cs="SimSun"/>
          <w:kern w:val="0"/>
          <w:szCs w:val="24"/>
        </w:rPr>
        <w:t>, Miyake K, Ichimura K, Mannami T, Ohara N, Hamazaki S, Akagi T. Increased incidence of follicular lymphoma in the duodenum. </w:t>
      </w:r>
      <w:r w:rsidRPr="00853B95">
        <w:rPr>
          <w:rFonts w:ascii="Book Antiqua" w:eastAsia="SimSun" w:hAnsi="Book Antiqua" w:cs="SimSun"/>
          <w:i/>
          <w:iCs/>
          <w:kern w:val="0"/>
          <w:szCs w:val="24"/>
        </w:rPr>
        <w:t xml:space="preserve">Am J Surg </w:t>
      </w:r>
      <w:r w:rsidRPr="00853B95">
        <w:rPr>
          <w:rFonts w:ascii="Book Antiqua" w:eastAsia="SimSun" w:hAnsi="Book Antiqua" w:cs="SimSun"/>
          <w:i/>
          <w:iCs/>
          <w:kern w:val="0"/>
          <w:szCs w:val="24"/>
        </w:rPr>
        <w:lastRenderedPageBreak/>
        <w:t>Pathol</w:t>
      </w:r>
      <w:r w:rsidRPr="00853B95">
        <w:rPr>
          <w:rFonts w:ascii="Book Antiqua" w:eastAsia="SimSun" w:hAnsi="Book Antiqua" w:cs="SimSun"/>
          <w:kern w:val="0"/>
          <w:szCs w:val="24"/>
        </w:rPr>
        <w:t> 2000; </w:t>
      </w:r>
      <w:r w:rsidRPr="00853B95">
        <w:rPr>
          <w:rFonts w:ascii="Book Antiqua" w:eastAsia="SimSun" w:hAnsi="Book Antiqua" w:cs="SimSun"/>
          <w:b/>
          <w:bCs/>
          <w:kern w:val="0"/>
          <w:szCs w:val="24"/>
        </w:rPr>
        <w:t>24</w:t>
      </w:r>
      <w:r w:rsidRPr="00853B95">
        <w:rPr>
          <w:rFonts w:ascii="Book Antiqua" w:eastAsia="SimSun" w:hAnsi="Book Antiqua" w:cs="SimSun"/>
          <w:kern w:val="0"/>
          <w:szCs w:val="24"/>
        </w:rPr>
        <w:t>: 688-693 [PMID: 10800987</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10.1097/00000478-200005000-00007]</w:t>
      </w:r>
    </w:p>
    <w:p w14:paraId="4971C30D"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7 </w:t>
      </w:r>
      <w:r w:rsidRPr="00853B95">
        <w:rPr>
          <w:rFonts w:ascii="Book Antiqua" w:eastAsia="SimSun" w:hAnsi="Book Antiqua" w:cs="SimSun"/>
          <w:b/>
          <w:bCs/>
          <w:kern w:val="0"/>
          <w:szCs w:val="24"/>
        </w:rPr>
        <w:t>Zelenetz AD</w:t>
      </w:r>
      <w:r w:rsidRPr="00853B95">
        <w:rPr>
          <w:rFonts w:ascii="Book Antiqua" w:eastAsia="SimSun" w:hAnsi="Book Antiqua" w:cs="SimSun"/>
          <w:kern w:val="0"/>
          <w:szCs w:val="24"/>
        </w:rPr>
        <w:t>, Gordon LI, Wierda WG, Abramson JS, Advani RH, Andreadis CB, Bartlett N, Bellam N, Byrd JC, Czuczman MS, Fayad LE, Fisher RI, Glenn MJ, Harris NL, Hoppe RT, Horwitz SM, Kelsey CR, Kim YH, Krivacic S, LaCasce AS, Nademanee A, Porcu P, Press O, Rabinovitch R, Reddy N, Reid E, Sokol L, Swinnen LJ, Tsien C, Vose JM, Yahalom J, Zafar N, Dwyer M, Sundar H. Non-Hodgkin's lymphomas, version 2.2014. </w:t>
      </w:r>
      <w:r w:rsidRPr="00853B95">
        <w:rPr>
          <w:rFonts w:ascii="Book Antiqua" w:eastAsia="SimSun" w:hAnsi="Book Antiqua" w:cs="SimSun"/>
          <w:i/>
          <w:iCs/>
          <w:kern w:val="0"/>
          <w:szCs w:val="24"/>
        </w:rPr>
        <w:t>J Natl Compr Canc Netw</w:t>
      </w:r>
      <w:r w:rsidRPr="00853B95">
        <w:rPr>
          <w:rFonts w:ascii="Book Antiqua" w:eastAsia="SimSun" w:hAnsi="Book Antiqua" w:cs="SimSun"/>
          <w:kern w:val="0"/>
          <w:szCs w:val="24"/>
        </w:rPr>
        <w:t> 2014; </w:t>
      </w:r>
      <w:r w:rsidRPr="00853B95">
        <w:rPr>
          <w:rFonts w:ascii="Book Antiqua" w:eastAsia="SimSun" w:hAnsi="Book Antiqua" w:cs="SimSun"/>
          <w:b/>
          <w:bCs/>
          <w:kern w:val="0"/>
          <w:szCs w:val="24"/>
        </w:rPr>
        <w:t>12</w:t>
      </w:r>
      <w:r w:rsidRPr="00853B95">
        <w:rPr>
          <w:rFonts w:ascii="Book Antiqua" w:eastAsia="SimSun" w:hAnsi="Book Antiqua" w:cs="SimSun"/>
          <w:kern w:val="0"/>
          <w:szCs w:val="24"/>
        </w:rPr>
        <w:t>: 916-946 [PMID: 24925202]</w:t>
      </w:r>
    </w:p>
    <w:p w14:paraId="2C54A68F"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8 </w:t>
      </w:r>
      <w:r w:rsidRPr="00853B95">
        <w:rPr>
          <w:rFonts w:ascii="Book Antiqua" w:eastAsia="SimSun" w:hAnsi="Book Antiqua" w:cs="SimSun"/>
          <w:b/>
          <w:bCs/>
          <w:kern w:val="0"/>
          <w:szCs w:val="24"/>
        </w:rPr>
        <w:t>Dreyling M</w:t>
      </w:r>
      <w:r w:rsidRPr="00853B95">
        <w:rPr>
          <w:rFonts w:ascii="Book Antiqua" w:eastAsia="SimSun" w:hAnsi="Book Antiqua" w:cs="SimSun"/>
          <w:kern w:val="0"/>
          <w:szCs w:val="24"/>
        </w:rPr>
        <w:t>, Ghielmini M, Marcus R, Salles G, Vitolo U, Ladetto M. Newly diagnosed and relapsed follicular lymphoma: ESMO Clinical Practice Guidelines for diagnosis, treatment and follow-up. </w:t>
      </w:r>
      <w:r w:rsidRPr="00853B95">
        <w:rPr>
          <w:rFonts w:ascii="Book Antiqua" w:eastAsia="SimSun" w:hAnsi="Book Antiqua" w:cs="SimSun"/>
          <w:i/>
          <w:iCs/>
          <w:kern w:val="0"/>
          <w:szCs w:val="24"/>
        </w:rPr>
        <w:t>Ann Oncol</w:t>
      </w:r>
      <w:r w:rsidRPr="00853B95">
        <w:rPr>
          <w:rFonts w:ascii="Book Antiqua" w:eastAsia="SimSun" w:hAnsi="Book Antiqua" w:cs="SimSun"/>
          <w:kern w:val="0"/>
          <w:szCs w:val="24"/>
        </w:rPr>
        <w:t> 2014; </w:t>
      </w:r>
      <w:r w:rsidRPr="00853B95">
        <w:rPr>
          <w:rFonts w:ascii="Book Antiqua" w:eastAsia="SimSun" w:hAnsi="Book Antiqua" w:cs="SimSun"/>
          <w:b/>
          <w:bCs/>
          <w:kern w:val="0"/>
          <w:szCs w:val="24"/>
        </w:rPr>
        <w:t xml:space="preserve">25 </w:t>
      </w:r>
      <w:r w:rsidRPr="00853B95">
        <w:rPr>
          <w:rFonts w:ascii="Book Antiqua" w:eastAsia="SimSun" w:hAnsi="Book Antiqua" w:cs="SimSun"/>
          <w:bCs/>
          <w:kern w:val="0"/>
          <w:szCs w:val="24"/>
        </w:rPr>
        <w:t xml:space="preserve">Suppl </w:t>
      </w:r>
      <w:r w:rsidRPr="00853B95">
        <w:rPr>
          <w:rFonts w:ascii="Book Antiqua" w:eastAsia="SimSun" w:hAnsi="Book Antiqua" w:cs="SimSun"/>
          <w:b/>
          <w:bCs/>
          <w:kern w:val="0"/>
          <w:szCs w:val="24"/>
        </w:rPr>
        <w:t>3</w:t>
      </w:r>
      <w:r w:rsidRPr="00853B95">
        <w:rPr>
          <w:rFonts w:ascii="Book Antiqua" w:eastAsia="SimSun" w:hAnsi="Book Antiqua" w:cs="SimSun"/>
          <w:kern w:val="0"/>
          <w:szCs w:val="24"/>
        </w:rPr>
        <w:t>: iii76-iii82 [PMID: 25122695 DOI: 10.1093/annonc/mdu200]</w:t>
      </w:r>
    </w:p>
    <w:p w14:paraId="468697D0" w14:textId="68BBE275" w:rsidR="009A7EB3" w:rsidRPr="00853B95" w:rsidRDefault="009A7EB3" w:rsidP="009A7EB3">
      <w:pPr>
        <w:widowControl/>
        <w:spacing w:line="360" w:lineRule="auto"/>
        <w:rPr>
          <w:rFonts w:ascii="Book Antiqua" w:eastAsia="SimSun" w:hAnsi="Book Antiqua" w:cs="SimSun"/>
          <w:kern w:val="0"/>
          <w:szCs w:val="24"/>
        </w:rPr>
      </w:pPr>
      <w:r w:rsidRPr="000C7A1E">
        <w:rPr>
          <w:rFonts w:ascii="Book Antiqua" w:eastAsia="SimSun" w:hAnsi="Book Antiqua" w:cs="SimSun"/>
          <w:kern w:val="0"/>
          <w:szCs w:val="24"/>
        </w:rPr>
        <w:t>9</w:t>
      </w:r>
      <w:r w:rsidR="00B35366" w:rsidRPr="000C7A1E">
        <w:rPr>
          <w:rFonts w:ascii="Book Antiqua" w:eastAsia="SimSun" w:hAnsi="Book Antiqua" w:cs="SimSun" w:hint="eastAsia"/>
          <w:kern w:val="0"/>
          <w:szCs w:val="24"/>
          <w:lang w:eastAsia="zh-CN"/>
        </w:rPr>
        <w:t xml:space="preserve"> </w:t>
      </w:r>
      <w:r w:rsidR="00B35366" w:rsidRPr="000C7A1E">
        <w:rPr>
          <w:rFonts w:ascii="Book Antiqua" w:eastAsia="SimSun" w:hAnsi="Book Antiqua" w:cs="SimSun" w:hint="eastAsia"/>
          <w:b/>
          <w:kern w:val="0"/>
          <w:szCs w:val="24"/>
          <w:lang w:eastAsia="zh-CN"/>
        </w:rPr>
        <w:t>East Midlands Cancer Network.</w:t>
      </w:r>
      <w:r w:rsidRPr="000C7A1E">
        <w:rPr>
          <w:b/>
        </w:rPr>
        <w:t xml:space="preserve"> </w:t>
      </w:r>
      <w:r w:rsidRPr="000C7A1E">
        <w:rPr>
          <w:rFonts w:ascii="Book Antiqua" w:eastAsia="SimSun" w:hAnsi="Book Antiqua" w:cs="SimSun"/>
          <w:kern w:val="0"/>
          <w:szCs w:val="24"/>
        </w:rPr>
        <w:t>Available from: URL:</w:t>
      </w:r>
      <w:r w:rsidRPr="000C7A1E">
        <w:rPr>
          <w:rFonts w:ascii="Book Antiqua" w:eastAsia="SimSun" w:hAnsi="Book Antiqua" w:cs="SimSun" w:hint="eastAsia"/>
          <w:kern w:val="0"/>
          <w:szCs w:val="24"/>
        </w:rPr>
        <w:t xml:space="preserve"> </w:t>
      </w:r>
      <w:r w:rsidRPr="000C7A1E">
        <w:rPr>
          <w:rFonts w:ascii="Book Antiqua" w:eastAsia="SimSun" w:hAnsi="Book Antiqua" w:cs="SimSun"/>
          <w:kern w:val="0"/>
          <w:szCs w:val="24"/>
        </w:rPr>
        <w:t>http: //www.eastmidlandscancernetwork.nhs.uk/Library/FollicularClinicalGuidelinesNewTemplateFeb20111.pdf</w:t>
      </w:r>
    </w:p>
    <w:p w14:paraId="347AD490"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10 </w:t>
      </w:r>
      <w:r w:rsidRPr="00853B95">
        <w:rPr>
          <w:rFonts w:ascii="Book Antiqua" w:eastAsia="SimSun" w:hAnsi="Book Antiqua" w:cs="SimSun"/>
          <w:b/>
          <w:bCs/>
          <w:kern w:val="0"/>
          <w:szCs w:val="24"/>
        </w:rPr>
        <w:t>McNamara C</w:t>
      </w:r>
      <w:r w:rsidRPr="00853B95">
        <w:rPr>
          <w:rFonts w:ascii="Book Antiqua" w:eastAsia="SimSun" w:hAnsi="Book Antiqua" w:cs="SimSun"/>
          <w:kern w:val="0"/>
          <w:szCs w:val="24"/>
        </w:rPr>
        <w:t>, Davies J, Dyer M, Hoskin P, Illidge T, Lyttelton M, Marcus R, Montoto S, Ramsay A, Wong WL, Ardeshna K. Guidelines on the investigation and management of follicular lymphoma. </w:t>
      </w:r>
      <w:r w:rsidRPr="00853B95">
        <w:rPr>
          <w:rFonts w:ascii="Book Antiqua" w:eastAsia="SimSun" w:hAnsi="Book Antiqua" w:cs="SimSun"/>
          <w:i/>
          <w:iCs/>
          <w:kern w:val="0"/>
          <w:szCs w:val="24"/>
        </w:rPr>
        <w:t>Br J Haematol</w:t>
      </w:r>
      <w:r w:rsidRPr="00853B95">
        <w:rPr>
          <w:rFonts w:ascii="Book Antiqua" w:eastAsia="SimSun" w:hAnsi="Book Antiqua" w:cs="SimSun"/>
          <w:kern w:val="0"/>
          <w:szCs w:val="24"/>
        </w:rPr>
        <w:t> 2012; </w:t>
      </w:r>
      <w:r w:rsidRPr="00853B95">
        <w:rPr>
          <w:rFonts w:ascii="Book Antiqua" w:eastAsia="SimSun" w:hAnsi="Book Antiqua" w:cs="SimSun"/>
          <w:b/>
          <w:bCs/>
          <w:kern w:val="0"/>
          <w:szCs w:val="24"/>
        </w:rPr>
        <w:t>156</w:t>
      </w:r>
      <w:r w:rsidRPr="00853B95">
        <w:rPr>
          <w:rFonts w:ascii="Book Antiqua" w:eastAsia="SimSun" w:hAnsi="Book Antiqua" w:cs="SimSun"/>
          <w:kern w:val="0"/>
          <w:szCs w:val="24"/>
        </w:rPr>
        <w:t>: 446-467 [PMID: 22211428 DOI: 10.1111/j.1365-2141.2011.08969.x]</w:t>
      </w:r>
    </w:p>
    <w:p w14:paraId="67397585"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11 </w:t>
      </w:r>
      <w:r w:rsidRPr="00853B95">
        <w:rPr>
          <w:rFonts w:ascii="Book Antiqua" w:eastAsia="SimSun" w:hAnsi="Book Antiqua" w:cs="SimSun"/>
          <w:b/>
          <w:bCs/>
          <w:kern w:val="0"/>
          <w:szCs w:val="24"/>
        </w:rPr>
        <w:t>Zinzani PL</w:t>
      </w:r>
      <w:r w:rsidRPr="00853B95">
        <w:rPr>
          <w:rFonts w:ascii="Book Antiqua" w:eastAsia="SimSun" w:hAnsi="Book Antiqua" w:cs="SimSun"/>
          <w:kern w:val="0"/>
          <w:szCs w:val="24"/>
        </w:rPr>
        <w:t>, Marchetti M, Billio A, Barosi G, Carella AM, Lazzarino M, Martelli M, Rambaldi A, Rigacci L, Tarella C, Vitolo U, Tura S. SIE, SIES, GITMO revised guidelines for the management of follicular lymphoma. </w:t>
      </w:r>
      <w:r w:rsidRPr="00853B95">
        <w:rPr>
          <w:rFonts w:ascii="Book Antiqua" w:eastAsia="SimSun" w:hAnsi="Book Antiqua" w:cs="SimSun"/>
          <w:i/>
          <w:iCs/>
          <w:kern w:val="0"/>
          <w:szCs w:val="24"/>
        </w:rPr>
        <w:t>Am J Hematol</w:t>
      </w:r>
      <w:r w:rsidRPr="00853B95">
        <w:rPr>
          <w:rFonts w:ascii="Book Antiqua" w:eastAsia="SimSun" w:hAnsi="Book Antiqua" w:cs="SimSun"/>
          <w:kern w:val="0"/>
          <w:szCs w:val="24"/>
        </w:rPr>
        <w:t> 2013; </w:t>
      </w:r>
      <w:r w:rsidRPr="00853B95">
        <w:rPr>
          <w:rFonts w:ascii="Book Antiqua" w:eastAsia="SimSun" w:hAnsi="Book Antiqua" w:cs="SimSun"/>
          <w:b/>
          <w:bCs/>
          <w:kern w:val="0"/>
          <w:szCs w:val="24"/>
        </w:rPr>
        <w:t>88</w:t>
      </w:r>
      <w:r w:rsidRPr="00853B95">
        <w:rPr>
          <w:rFonts w:ascii="Book Antiqua" w:eastAsia="SimSun" w:hAnsi="Book Antiqua" w:cs="SimSun"/>
          <w:kern w:val="0"/>
          <w:szCs w:val="24"/>
        </w:rPr>
        <w:t>: 185-192 [PMID: 23339086 DOI: 10.1002/ajh.23372]</w:t>
      </w:r>
    </w:p>
    <w:p w14:paraId="225E6E06"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lastRenderedPageBreak/>
        <w:t>12 Guidelines for the diagnosis and treatment of follicular lymphoma in China. </w:t>
      </w:r>
      <w:r w:rsidRPr="00853B95">
        <w:rPr>
          <w:rFonts w:ascii="Book Antiqua" w:eastAsia="SimSun" w:hAnsi="Book Antiqua" w:cs="SimSun"/>
          <w:i/>
          <w:iCs/>
          <w:kern w:val="0"/>
          <w:szCs w:val="24"/>
        </w:rPr>
        <w:t>Cancer Biol Med</w:t>
      </w:r>
      <w:r w:rsidRPr="00853B95">
        <w:rPr>
          <w:rFonts w:ascii="Book Antiqua" w:eastAsia="SimSun" w:hAnsi="Book Antiqua" w:cs="SimSun"/>
          <w:kern w:val="0"/>
          <w:szCs w:val="24"/>
        </w:rPr>
        <w:t> 2013; </w:t>
      </w:r>
      <w:r w:rsidRPr="00853B95">
        <w:rPr>
          <w:rFonts w:ascii="Book Antiqua" w:eastAsia="SimSun" w:hAnsi="Book Antiqua" w:cs="SimSun"/>
          <w:b/>
          <w:bCs/>
          <w:kern w:val="0"/>
          <w:szCs w:val="24"/>
        </w:rPr>
        <w:t>10</w:t>
      </w:r>
      <w:r w:rsidRPr="00853B95">
        <w:rPr>
          <w:rFonts w:ascii="Book Antiqua" w:eastAsia="SimSun" w:hAnsi="Book Antiqua" w:cs="SimSun"/>
          <w:kern w:val="0"/>
          <w:szCs w:val="24"/>
        </w:rPr>
        <w:t>: 36-42 [PMID: 23691443 DOI: 10.7497/j.issn.2095-3941.2013.01.006]</w:t>
      </w:r>
    </w:p>
    <w:p w14:paraId="1BAF9594"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13 </w:t>
      </w:r>
      <w:r w:rsidRPr="00853B95">
        <w:rPr>
          <w:rFonts w:ascii="Book Antiqua" w:eastAsia="SimSun" w:hAnsi="Book Antiqua" w:cs="SimSun"/>
          <w:b/>
          <w:bCs/>
          <w:kern w:val="0"/>
          <w:szCs w:val="24"/>
        </w:rPr>
        <w:t>Cheson BD</w:t>
      </w:r>
      <w:r w:rsidRPr="00853B95">
        <w:rPr>
          <w:rFonts w:ascii="Book Antiqua" w:eastAsia="SimSun" w:hAnsi="Book Antiqua" w:cs="SimSun"/>
          <w:kern w:val="0"/>
          <w:szCs w:val="24"/>
        </w:rPr>
        <w:t>, Fisher RI, Barrington SF, Cavalli F, Schwartz LH, Zucca E, Lister TA. Recommendations for initial evaluation, staging, and response assessment of Hodgkin and non-Hodgkin lymphoma: the Lugano classification. </w:t>
      </w:r>
      <w:r w:rsidRPr="00853B95">
        <w:rPr>
          <w:rFonts w:ascii="Book Antiqua" w:eastAsia="SimSun" w:hAnsi="Book Antiqua" w:cs="SimSun"/>
          <w:i/>
          <w:iCs/>
          <w:kern w:val="0"/>
          <w:szCs w:val="24"/>
        </w:rPr>
        <w:t>J Clin Oncol</w:t>
      </w:r>
      <w:r w:rsidRPr="00853B95">
        <w:rPr>
          <w:rFonts w:ascii="Book Antiqua" w:eastAsia="SimSun" w:hAnsi="Book Antiqua" w:cs="SimSun"/>
          <w:kern w:val="0"/>
          <w:szCs w:val="24"/>
        </w:rPr>
        <w:t> 2014; </w:t>
      </w:r>
      <w:r w:rsidRPr="00853B95">
        <w:rPr>
          <w:rFonts w:ascii="Book Antiqua" w:eastAsia="SimSun" w:hAnsi="Book Antiqua" w:cs="SimSun"/>
          <w:b/>
          <w:bCs/>
          <w:kern w:val="0"/>
          <w:szCs w:val="24"/>
        </w:rPr>
        <w:t>32</w:t>
      </w:r>
      <w:r w:rsidRPr="00853B95">
        <w:rPr>
          <w:rFonts w:ascii="Book Antiqua" w:eastAsia="SimSun" w:hAnsi="Book Antiqua" w:cs="SimSun"/>
          <w:kern w:val="0"/>
          <w:szCs w:val="24"/>
        </w:rPr>
        <w:t>: 3059-3068 [PMID: 25113753</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10.1200/JCO.2013.54.8800]</w:t>
      </w:r>
    </w:p>
    <w:p w14:paraId="3A0A077D"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14 </w:t>
      </w:r>
      <w:r w:rsidRPr="00853B95">
        <w:rPr>
          <w:rFonts w:ascii="Book Antiqua" w:eastAsia="SimSun" w:hAnsi="Book Antiqua" w:cs="SimSun"/>
          <w:b/>
          <w:bCs/>
          <w:kern w:val="0"/>
          <w:szCs w:val="24"/>
        </w:rPr>
        <w:t>Solal-Céligny P</w:t>
      </w:r>
      <w:r w:rsidRPr="00853B95">
        <w:rPr>
          <w:rFonts w:ascii="Book Antiqua" w:eastAsia="SimSun" w:hAnsi="Book Antiqua" w:cs="SimSun"/>
          <w:kern w:val="0"/>
          <w:szCs w:val="24"/>
        </w:rPr>
        <w:t>, Roy P, Colombat P, White J, Armitage JO, Arranz-Saez R, Au WY, Bellei M, Brice P, Caballero D, Coiffier B, Conde-Garcia E, Doyen C, Federico M, Fisher RI, Garcia-Conde JF, Guglielmi C, Hagenbeek A, Haïoun C, LeBlanc M, Lister AT, Lopez-Guillermo A, McLaughlin P, Milpied N, Morel P, Mounier N, Proctor SJ, Rohatiner A, Smith P, Soubeyran P, Tilly H, Vitolo U, Zinzani PL, Zucca E, Montserrat E. Follicular lymphoma international prognostic index. </w:t>
      </w:r>
      <w:r w:rsidRPr="00853B95">
        <w:rPr>
          <w:rFonts w:ascii="Book Antiqua" w:eastAsia="SimSun" w:hAnsi="Book Antiqua" w:cs="SimSun"/>
          <w:i/>
          <w:iCs/>
          <w:kern w:val="0"/>
          <w:szCs w:val="24"/>
        </w:rPr>
        <w:t>Blood</w:t>
      </w:r>
      <w:r w:rsidRPr="00853B95">
        <w:rPr>
          <w:rFonts w:ascii="Book Antiqua" w:eastAsia="SimSun" w:hAnsi="Book Antiqua" w:cs="SimSun"/>
          <w:kern w:val="0"/>
          <w:szCs w:val="24"/>
        </w:rPr>
        <w:t> 2004; </w:t>
      </w:r>
      <w:r w:rsidRPr="00853B95">
        <w:rPr>
          <w:rFonts w:ascii="Book Antiqua" w:eastAsia="SimSun" w:hAnsi="Book Antiqua" w:cs="SimSun"/>
          <w:b/>
          <w:bCs/>
          <w:kern w:val="0"/>
          <w:szCs w:val="24"/>
        </w:rPr>
        <w:t>104</w:t>
      </w:r>
      <w:r w:rsidRPr="00853B95">
        <w:rPr>
          <w:rFonts w:ascii="Book Antiqua" w:eastAsia="SimSun" w:hAnsi="Book Antiqua" w:cs="SimSun"/>
          <w:kern w:val="0"/>
          <w:szCs w:val="24"/>
        </w:rPr>
        <w:t>: 1258-1265 [PMID: 15126323</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10.1182/blood-2003-12-4434]</w:t>
      </w:r>
    </w:p>
    <w:p w14:paraId="2DCE0D25"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15 </w:t>
      </w:r>
      <w:r w:rsidRPr="00853B95">
        <w:rPr>
          <w:rFonts w:ascii="Book Antiqua" w:eastAsia="SimSun" w:hAnsi="Book Antiqua" w:cs="SimSun"/>
          <w:b/>
          <w:bCs/>
          <w:kern w:val="0"/>
          <w:szCs w:val="24"/>
        </w:rPr>
        <w:t>Federico M</w:t>
      </w:r>
      <w:r w:rsidRPr="00853B95">
        <w:rPr>
          <w:rFonts w:ascii="Book Antiqua" w:eastAsia="SimSun" w:hAnsi="Book Antiqua" w:cs="SimSun"/>
          <w:kern w:val="0"/>
          <w:szCs w:val="24"/>
        </w:rPr>
        <w:t>, Bellei M, Marcheselli L, Luminari S, Lopez-Guillermo A, Vitolo U, Pro B, Pileri S, Pulsoni A, Soubeyran P, Cortelazzo S, Martinelli G, Martelli M, Rigacci L, Arcaini L, Di Raimondo F, Merli F, Sabattini E, McLaughlin P, Solal-Céligny P. Follicular lymphoma international prognostic index 2: a new prognostic index for follicular lymphoma developed by the international follicular lymphoma prognostic factor project. </w:t>
      </w:r>
      <w:r w:rsidRPr="00853B95">
        <w:rPr>
          <w:rFonts w:ascii="Book Antiqua" w:eastAsia="SimSun" w:hAnsi="Book Antiqua" w:cs="SimSun"/>
          <w:i/>
          <w:iCs/>
          <w:kern w:val="0"/>
          <w:szCs w:val="24"/>
        </w:rPr>
        <w:t>J Clin Oncol</w:t>
      </w:r>
      <w:r w:rsidRPr="00853B95">
        <w:rPr>
          <w:rFonts w:ascii="Book Antiqua" w:eastAsia="SimSun" w:hAnsi="Book Antiqua" w:cs="SimSun"/>
          <w:kern w:val="0"/>
          <w:szCs w:val="24"/>
        </w:rPr>
        <w:t> 2009; </w:t>
      </w:r>
      <w:r w:rsidRPr="00853B95">
        <w:rPr>
          <w:rFonts w:ascii="Book Antiqua" w:eastAsia="SimSun" w:hAnsi="Book Antiqua" w:cs="SimSun"/>
          <w:b/>
          <w:bCs/>
          <w:kern w:val="0"/>
          <w:szCs w:val="24"/>
        </w:rPr>
        <w:t>27</w:t>
      </w:r>
      <w:r w:rsidRPr="00853B95">
        <w:rPr>
          <w:rFonts w:ascii="Book Antiqua" w:eastAsia="SimSun" w:hAnsi="Book Antiqua" w:cs="SimSun"/>
          <w:kern w:val="0"/>
          <w:szCs w:val="24"/>
        </w:rPr>
        <w:t>: 4555-4562 [PMID: 19652063 DOI: 10.1200/JCO.2008.21.3991]</w:t>
      </w:r>
    </w:p>
    <w:p w14:paraId="54DB09E6"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16 </w:t>
      </w:r>
      <w:r w:rsidRPr="00853B95">
        <w:rPr>
          <w:rFonts w:ascii="Book Antiqua" w:eastAsia="SimSun" w:hAnsi="Book Antiqua" w:cs="SimSun"/>
          <w:b/>
          <w:bCs/>
          <w:kern w:val="0"/>
          <w:szCs w:val="24"/>
        </w:rPr>
        <w:t>Yamamoto S</w:t>
      </w:r>
      <w:r w:rsidRPr="00853B95">
        <w:rPr>
          <w:rFonts w:ascii="Book Antiqua" w:eastAsia="SimSun" w:hAnsi="Book Antiqua" w:cs="SimSun"/>
          <w:kern w:val="0"/>
          <w:szCs w:val="24"/>
        </w:rPr>
        <w:t>, Nakase H, Yamashita K, Matsuura M, Takada M, Kawanami C, Chiba T. Gastrointestinal follicular lymphoma: review of the literature. </w:t>
      </w:r>
      <w:r w:rsidRPr="00853B95">
        <w:rPr>
          <w:rFonts w:ascii="Book Antiqua" w:eastAsia="SimSun" w:hAnsi="Book Antiqua" w:cs="SimSun"/>
          <w:i/>
          <w:iCs/>
          <w:kern w:val="0"/>
          <w:szCs w:val="24"/>
        </w:rPr>
        <w:t xml:space="preserve">J </w:t>
      </w:r>
      <w:r w:rsidRPr="00853B95">
        <w:rPr>
          <w:rFonts w:ascii="Book Antiqua" w:eastAsia="SimSun" w:hAnsi="Book Antiqua" w:cs="SimSun"/>
          <w:i/>
          <w:iCs/>
          <w:kern w:val="0"/>
          <w:szCs w:val="24"/>
        </w:rPr>
        <w:lastRenderedPageBreak/>
        <w:t>Gastroenterol</w:t>
      </w:r>
      <w:r w:rsidRPr="00853B95">
        <w:rPr>
          <w:rFonts w:ascii="Book Antiqua" w:eastAsia="SimSun" w:hAnsi="Book Antiqua" w:cs="SimSun"/>
          <w:kern w:val="0"/>
          <w:szCs w:val="24"/>
        </w:rPr>
        <w:t> 2010; </w:t>
      </w:r>
      <w:r w:rsidRPr="00853B95">
        <w:rPr>
          <w:rFonts w:ascii="Book Antiqua" w:eastAsia="SimSun" w:hAnsi="Book Antiqua" w:cs="SimSun"/>
          <w:b/>
          <w:bCs/>
          <w:kern w:val="0"/>
          <w:szCs w:val="24"/>
        </w:rPr>
        <w:t>45</w:t>
      </w:r>
      <w:r w:rsidRPr="00853B95">
        <w:rPr>
          <w:rFonts w:ascii="Book Antiqua" w:eastAsia="SimSun" w:hAnsi="Book Antiqua" w:cs="SimSun"/>
          <w:kern w:val="0"/>
          <w:szCs w:val="24"/>
        </w:rPr>
        <w:t>: 370-388 [PMID: 20084529 DOI: 10.1007/s00535-009-0182-z]</w:t>
      </w:r>
    </w:p>
    <w:p w14:paraId="7217A501"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17 </w:t>
      </w:r>
      <w:r w:rsidRPr="00853B95">
        <w:rPr>
          <w:rFonts w:ascii="Book Antiqua" w:eastAsia="SimSun" w:hAnsi="Book Antiqua" w:cs="SimSun"/>
          <w:b/>
          <w:bCs/>
          <w:kern w:val="0"/>
          <w:szCs w:val="24"/>
        </w:rPr>
        <w:t>Takata K</w:t>
      </w:r>
      <w:r w:rsidRPr="00853B95">
        <w:rPr>
          <w:rFonts w:ascii="Book Antiqua" w:eastAsia="SimSun" w:hAnsi="Book Antiqua" w:cs="SimSun"/>
          <w:kern w:val="0"/>
          <w:szCs w:val="24"/>
        </w:rPr>
        <w:t>, Okada H, Ohmiya N, Nakamura S, Kitadai Y, Tari A, Akamatsu T, Kawai H, Tanaka S, Araki H, Yoshida T, Okumura H, Nishisaki H, Sagawa T, Watanabe N, Arima N, Takatsu N, Nakamura M, Yanai S, Kaya H, Morito T, Sato Y, Moriwaki H, Sakamoto C, Niwa Y, Goto H, Chiba T, Matsumoto T, Ennishi D, Kinoshita T, Yoshino T. Primary gastrointestinal follicular lymphoma involving the duodenal second portion is a distinct entity: a multicenter, retrospective analysis in Japan. </w:t>
      </w:r>
      <w:r w:rsidRPr="00853B95">
        <w:rPr>
          <w:rFonts w:ascii="Book Antiqua" w:eastAsia="SimSun" w:hAnsi="Book Antiqua" w:cs="SimSun"/>
          <w:i/>
          <w:iCs/>
          <w:kern w:val="0"/>
          <w:szCs w:val="24"/>
        </w:rPr>
        <w:t>Cancer Sci</w:t>
      </w:r>
      <w:r w:rsidRPr="00853B95">
        <w:rPr>
          <w:rFonts w:ascii="Book Antiqua" w:eastAsia="SimSun" w:hAnsi="Book Antiqua" w:cs="SimSun"/>
          <w:kern w:val="0"/>
          <w:szCs w:val="24"/>
        </w:rPr>
        <w:t> 2011; </w:t>
      </w:r>
      <w:r w:rsidRPr="00853B95">
        <w:rPr>
          <w:rFonts w:ascii="Book Antiqua" w:eastAsia="SimSun" w:hAnsi="Book Antiqua" w:cs="SimSun"/>
          <w:b/>
          <w:bCs/>
          <w:kern w:val="0"/>
          <w:szCs w:val="24"/>
        </w:rPr>
        <w:t>102</w:t>
      </w:r>
      <w:r w:rsidRPr="00853B95">
        <w:rPr>
          <w:rFonts w:ascii="Book Antiqua" w:eastAsia="SimSun" w:hAnsi="Book Antiqua" w:cs="SimSun"/>
          <w:kern w:val="0"/>
          <w:szCs w:val="24"/>
        </w:rPr>
        <w:t>: 1532-1536 [PMID: 21561531 DOI: 10.1111/j.1349-7006.2011.01980.x]</w:t>
      </w:r>
    </w:p>
    <w:p w14:paraId="1021F926"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18 </w:t>
      </w:r>
      <w:r w:rsidRPr="00853B95">
        <w:rPr>
          <w:rFonts w:ascii="Book Antiqua" w:eastAsia="SimSun" w:hAnsi="Book Antiqua" w:cs="SimSun"/>
          <w:b/>
          <w:bCs/>
          <w:kern w:val="0"/>
          <w:szCs w:val="24"/>
        </w:rPr>
        <w:t>Shia J</w:t>
      </w:r>
      <w:r w:rsidRPr="00853B95">
        <w:rPr>
          <w:rFonts w:ascii="Book Antiqua" w:eastAsia="SimSun" w:hAnsi="Book Antiqua" w:cs="SimSun"/>
          <w:kern w:val="0"/>
          <w:szCs w:val="24"/>
        </w:rPr>
        <w:t>, Teruya-Feldstein J, Pan D, Hegde A, Klimstra DS, Chaganti RS, Qin J, Portlock CS, Filippa DA. Primary follicular lymphoma of the gastrointestinal tract: a clinical and pathologic study of 26 cases. </w:t>
      </w:r>
      <w:r w:rsidRPr="00853B95">
        <w:rPr>
          <w:rFonts w:ascii="Book Antiqua" w:eastAsia="SimSun" w:hAnsi="Book Antiqua" w:cs="SimSun"/>
          <w:i/>
          <w:iCs/>
          <w:kern w:val="0"/>
          <w:szCs w:val="24"/>
        </w:rPr>
        <w:t>Am J Surg Pathol</w:t>
      </w:r>
      <w:r w:rsidRPr="00853B95">
        <w:rPr>
          <w:rFonts w:ascii="Book Antiqua" w:eastAsia="SimSun" w:hAnsi="Book Antiqua" w:cs="SimSun"/>
          <w:kern w:val="0"/>
          <w:szCs w:val="24"/>
        </w:rPr>
        <w:t> 2002; </w:t>
      </w:r>
      <w:r w:rsidRPr="00853B95">
        <w:rPr>
          <w:rFonts w:ascii="Book Antiqua" w:eastAsia="SimSun" w:hAnsi="Book Antiqua" w:cs="SimSun"/>
          <w:b/>
          <w:bCs/>
          <w:kern w:val="0"/>
          <w:szCs w:val="24"/>
        </w:rPr>
        <w:t>26</w:t>
      </w:r>
      <w:r w:rsidRPr="00853B95">
        <w:rPr>
          <w:rFonts w:ascii="Book Antiqua" w:eastAsia="SimSun" w:hAnsi="Book Antiqua" w:cs="SimSun"/>
          <w:kern w:val="0"/>
          <w:szCs w:val="24"/>
        </w:rPr>
        <w:t>: 216-224 [PMID: 11812943</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10.1097/00000478-200202000-00008]</w:t>
      </w:r>
    </w:p>
    <w:p w14:paraId="025FDBEF"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19 </w:t>
      </w:r>
      <w:r w:rsidRPr="00853B95">
        <w:rPr>
          <w:rFonts w:ascii="Book Antiqua" w:eastAsia="SimSun" w:hAnsi="Book Antiqua" w:cs="SimSun"/>
          <w:b/>
          <w:bCs/>
          <w:kern w:val="0"/>
          <w:szCs w:val="24"/>
        </w:rPr>
        <w:t>Takeuchi K</w:t>
      </w:r>
      <w:r w:rsidRPr="00853B95">
        <w:rPr>
          <w:rFonts w:ascii="Book Antiqua" w:eastAsia="SimSun" w:hAnsi="Book Antiqua" w:cs="SimSun"/>
          <w:kern w:val="0"/>
          <w:szCs w:val="24"/>
        </w:rPr>
        <w:t>, Iwamuro M, Imagawa A, Kubota Y, Miyatani K, Takata K, Okada H. Primary follicular lymphoma of the duodenum with erosions as atypical macroscopic features. </w:t>
      </w:r>
      <w:r w:rsidRPr="00853B95">
        <w:rPr>
          <w:rFonts w:ascii="Book Antiqua" w:eastAsia="SimSun" w:hAnsi="Book Antiqua" w:cs="SimSun"/>
          <w:i/>
          <w:iCs/>
          <w:kern w:val="0"/>
          <w:szCs w:val="24"/>
        </w:rPr>
        <w:t>Case Rep Med</w:t>
      </w:r>
      <w:r w:rsidRPr="00853B95">
        <w:rPr>
          <w:rFonts w:ascii="Book Antiqua" w:eastAsia="SimSun" w:hAnsi="Book Antiqua" w:cs="SimSun"/>
          <w:kern w:val="0"/>
          <w:szCs w:val="24"/>
        </w:rPr>
        <w:t> 2012; </w:t>
      </w:r>
      <w:r w:rsidRPr="00853B95">
        <w:rPr>
          <w:rFonts w:ascii="Book Antiqua" w:eastAsia="SimSun" w:hAnsi="Book Antiqua" w:cs="SimSun"/>
          <w:b/>
          <w:bCs/>
          <w:kern w:val="0"/>
          <w:szCs w:val="24"/>
        </w:rPr>
        <w:t>2012</w:t>
      </w:r>
      <w:r w:rsidRPr="00853B95">
        <w:rPr>
          <w:rFonts w:ascii="Book Antiqua" w:eastAsia="SimSun" w:hAnsi="Book Antiqua" w:cs="SimSun"/>
          <w:kern w:val="0"/>
          <w:szCs w:val="24"/>
        </w:rPr>
        <w:t>: 582607 [PMID: 22690224 DOI: 10.1155/2012/582607]</w:t>
      </w:r>
    </w:p>
    <w:p w14:paraId="32850AFC"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20 </w:t>
      </w:r>
      <w:r w:rsidRPr="00853B95">
        <w:rPr>
          <w:rFonts w:ascii="Book Antiqua" w:eastAsia="SimSun" w:hAnsi="Book Antiqua" w:cs="SimSun"/>
          <w:b/>
          <w:bCs/>
          <w:kern w:val="0"/>
          <w:szCs w:val="24"/>
        </w:rPr>
        <w:t>Akamatsu T</w:t>
      </w:r>
      <w:r w:rsidRPr="00853B95">
        <w:rPr>
          <w:rFonts w:ascii="Book Antiqua" w:eastAsia="SimSun" w:hAnsi="Book Antiqua" w:cs="SimSun"/>
          <w:kern w:val="0"/>
          <w:szCs w:val="24"/>
        </w:rPr>
        <w:t>, Kaneko Y, Ota H, Miyabayashi H, Arakura N, Tanaka E. Usefulness of double balloon enteroscopy and video capsule endoscopy for the diagnosis and management of primary follicular lymphoma of the gastrointestinal tract in its early stages. </w:t>
      </w:r>
      <w:r w:rsidRPr="00853B95">
        <w:rPr>
          <w:rFonts w:ascii="Book Antiqua" w:eastAsia="SimSun" w:hAnsi="Book Antiqua" w:cs="SimSun"/>
          <w:i/>
          <w:iCs/>
          <w:kern w:val="0"/>
          <w:szCs w:val="24"/>
        </w:rPr>
        <w:t>Dig Endosc</w:t>
      </w:r>
      <w:r w:rsidRPr="00853B95">
        <w:rPr>
          <w:rFonts w:ascii="Book Antiqua" w:eastAsia="SimSun" w:hAnsi="Book Antiqua" w:cs="SimSun"/>
          <w:kern w:val="0"/>
          <w:szCs w:val="24"/>
        </w:rPr>
        <w:t> 2010; </w:t>
      </w:r>
      <w:r w:rsidRPr="00853B95">
        <w:rPr>
          <w:rFonts w:ascii="Book Antiqua" w:eastAsia="SimSun" w:hAnsi="Book Antiqua" w:cs="SimSun"/>
          <w:b/>
          <w:bCs/>
          <w:kern w:val="0"/>
          <w:szCs w:val="24"/>
        </w:rPr>
        <w:t>22</w:t>
      </w:r>
      <w:r w:rsidRPr="00853B95">
        <w:rPr>
          <w:rFonts w:ascii="Book Antiqua" w:eastAsia="SimSun" w:hAnsi="Book Antiqua" w:cs="SimSun"/>
          <w:kern w:val="0"/>
          <w:szCs w:val="24"/>
        </w:rPr>
        <w:t>: 33-38 [PMID: 20078662 DOI: 10.1111/j.1443-1661.2009.00915.x]</w:t>
      </w:r>
    </w:p>
    <w:p w14:paraId="35033101"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lastRenderedPageBreak/>
        <w:t>21 </w:t>
      </w:r>
      <w:r w:rsidRPr="00853B95">
        <w:rPr>
          <w:rFonts w:ascii="Book Antiqua" w:eastAsia="SimSun" w:hAnsi="Book Antiqua" w:cs="SimSun"/>
          <w:b/>
          <w:bCs/>
          <w:kern w:val="0"/>
          <w:szCs w:val="24"/>
        </w:rPr>
        <w:t>Kodama M</w:t>
      </w:r>
      <w:r w:rsidRPr="00853B95">
        <w:rPr>
          <w:rFonts w:ascii="Book Antiqua" w:eastAsia="SimSun" w:hAnsi="Book Antiqua" w:cs="SimSun"/>
          <w:kern w:val="0"/>
          <w:szCs w:val="24"/>
        </w:rPr>
        <w:t>, Kitadai Y, Shishido T, Shimamoto M, Fukumoto A, Masuda H, Tanaka S, Yoshihara M, Sakai A, Nakayama H, Chayama K. Primary follicular lymphoma of the gastrointestinal tract: a retrospective case series. </w:t>
      </w:r>
      <w:r w:rsidRPr="00853B95">
        <w:rPr>
          <w:rFonts w:ascii="Book Antiqua" w:eastAsia="SimSun" w:hAnsi="Book Antiqua" w:cs="SimSun"/>
          <w:i/>
          <w:iCs/>
          <w:kern w:val="0"/>
          <w:szCs w:val="24"/>
        </w:rPr>
        <w:t>Endoscopy</w:t>
      </w:r>
      <w:r w:rsidRPr="00853B95">
        <w:rPr>
          <w:rFonts w:ascii="Book Antiqua" w:eastAsia="SimSun" w:hAnsi="Book Antiqua" w:cs="SimSun"/>
          <w:kern w:val="0"/>
          <w:szCs w:val="24"/>
        </w:rPr>
        <w:t> 2008; </w:t>
      </w:r>
      <w:r w:rsidRPr="00853B95">
        <w:rPr>
          <w:rFonts w:ascii="Book Antiqua" w:eastAsia="SimSun" w:hAnsi="Book Antiqua" w:cs="SimSun"/>
          <w:b/>
          <w:bCs/>
          <w:kern w:val="0"/>
          <w:szCs w:val="24"/>
        </w:rPr>
        <w:t>40</w:t>
      </w:r>
      <w:r w:rsidRPr="00853B95">
        <w:rPr>
          <w:rFonts w:ascii="Book Antiqua" w:eastAsia="SimSun" w:hAnsi="Book Antiqua" w:cs="SimSun"/>
          <w:kern w:val="0"/>
          <w:szCs w:val="24"/>
        </w:rPr>
        <w:t>: 343-346 [PMID: 18067068</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10.1055/s-2007-995365]</w:t>
      </w:r>
    </w:p>
    <w:p w14:paraId="567BBA78"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22 </w:t>
      </w:r>
      <w:r w:rsidRPr="00853B95">
        <w:rPr>
          <w:rFonts w:ascii="Book Antiqua" w:eastAsia="SimSun" w:hAnsi="Book Antiqua" w:cs="SimSun"/>
          <w:b/>
          <w:bCs/>
          <w:kern w:val="0"/>
          <w:szCs w:val="24"/>
        </w:rPr>
        <w:t>Nakamura M</w:t>
      </w:r>
      <w:r w:rsidRPr="00853B95">
        <w:rPr>
          <w:rFonts w:ascii="Book Antiqua" w:eastAsia="SimSun" w:hAnsi="Book Antiqua" w:cs="SimSun"/>
          <w:kern w:val="0"/>
          <w:szCs w:val="24"/>
        </w:rPr>
        <w:t>, Ohmiya N, Hirooka Y, Miyahara R, Ando T, Watanabe O, Itoh A, Kawashima H, Ohno E, Kinoshita T, Goto H. Endoscopic diagnosis of follicular lymphoma with small-bowel involvement using video capsule endoscopy and double-balloon endoscopy: a case series. </w:t>
      </w:r>
      <w:r w:rsidRPr="00853B95">
        <w:rPr>
          <w:rFonts w:ascii="Book Antiqua" w:eastAsia="SimSun" w:hAnsi="Book Antiqua" w:cs="SimSun"/>
          <w:i/>
          <w:iCs/>
          <w:kern w:val="0"/>
          <w:szCs w:val="24"/>
        </w:rPr>
        <w:t>Endoscopy</w:t>
      </w:r>
      <w:r w:rsidRPr="00853B95">
        <w:rPr>
          <w:rFonts w:ascii="Book Antiqua" w:eastAsia="SimSun" w:hAnsi="Book Antiqua" w:cs="SimSun"/>
          <w:kern w:val="0"/>
          <w:szCs w:val="24"/>
        </w:rPr>
        <w:t> 2013; </w:t>
      </w:r>
      <w:r w:rsidRPr="00853B95">
        <w:rPr>
          <w:rFonts w:ascii="Book Antiqua" w:eastAsia="SimSun" w:hAnsi="Book Antiqua" w:cs="SimSun"/>
          <w:b/>
          <w:bCs/>
          <w:kern w:val="0"/>
          <w:szCs w:val="24"/>
        </w:rPr>
        <w:t>45</w:t>
      </w:r>
      <w:r w:rsidRPr="00853B95">
        <w:rPr>
          <w:rFonts w:ascii="Book Antiqua" w:eastAsia="SimSun" w:hAnsi="Book Antiqua" w:cs="SimSun"/>
          <w:kern w:val="0"/>
          <w:szCs w:val="24"/>
        </w:rPr>
        <w:t>: 67-70 [PMID: 23208779 DOI: 10.1055/s-0032-1325867]</w:t>
      </w:r>
    </w:p>
    <w:p w14:paraId="63AD75E4"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23 </w:t>
      </w:r>
      <w:r w:rsidRPr="00853B95">
        <w:rPr>
          <w:rFonts w:ascii="Book Antiqua" w:eastAsia="SimSun" w:hAnsi="Book Antiqua" w:cs="SimSun"/>
          <w:b/>
          <w:bCs/>
          <w:kern w:val="0"/>
          <w:szCs w:val="24"/>
        </w:rPr>
        <w:t>Iddan G</w:t>
      </w:r>
      <w:r w:rsidRPr="00853B95">
        <w:rPr>
          <w:rFonts w:ascii="Book Antiqua" w:eastAsia="SimSun" w:hAnsi="Book Antiqua" w:cs="SimSun"/>
          <w:kern w:val="0"/>
          <w:szCs w:val="24"/>
        </w:rPr>
        <w:t>, Meron G, Glukhovsky A, Swain P. Wireless capsule endoscopy. </w:t>
      </w:r>
      <w:r w:rsidRPr="00853B95">
        <w:rPr>
          <w:rFonts w:ascii="Book Antiqua" w:eastAsia="SimSun" w:hAnsi="Book Antiqua" w:cs="SimSun"/>
          <w:i/>
          <w:iCs/>
          <w:kern w:val="0"/>
          <w:szCs w:val="24"/>
        </w:rPr>
        <w:t>Nature</w:t>
      </w:r>
      <w:r w:rsidRPr="00853B95">
        <w:rPr>
          <w:rFonts w:ascii="Book Antiqua" w:eastAsia="SimSun" w:hAnsi="Book Antiqua" w:cs="SimSun"/>
          <w:kern w:val="0"/>
          <w:szCs w:val="24"/>
        </w:rPr>
        <w:t> 2000; </w:t>
      </w:r>
      <w:r w:rsidRPr="00853B95">
        <w:rPr>
          <w:rFonts w:ascii="Book Antiqua" w:eastAsia="SimSun" w:hAnsi="Book Antiqua" w:cs="SimSun"/>
          <w:b/>
          <w:bCs/>
          <w:kern w:val="0"/>
          <w:szCs w:val="24"/>
        </w:rPr>
        <w:t>405</w:t>
      </w:r>
      <w:r w:rsidRPr="00853B95">
        <w:rPr>
          <w:rFonts w:ascii="Book Antiqua" w:eastAsia="SimSun" w:hAnsi="Book Antiqua" w:cs="SimSun"/>
          <w:kern w:val="0"/>
          <w:szCs w:val="24"/>
        </w:rPr>
        <w:t>: 417 [PMID: 10839527</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10.1038/35013140]</w:t>
      </w:r>
    </w:p>
    <w:p w14:paraId="1090A60A"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24 </w:t>
      </w:r>
      <w:r w:rsidRPr="00853B95">
        <w:rPr>
          <w:rFonts w:ascii="Book Antiqua" w:eastAsia="SimSun" w:hAnsi="Book Antiqua" w:cs="SimSun"/>
          <w:b/>
          <w:bCs/>
          <w:kern w:val="0"/>
          <w:szCs w:val="24"/>
        </w:rPr>
        <w:t>Higuchi N</w:t>
      </w:r>
      <w:r w:rsidRPr="00853B95">
        <w:rPr>
          <w:rFonts w:ascii="Book Antiqua" w:eastAsia="SimSun" w:hAnsi="Book Antiqua" w:cs="SimSun"/>
          <w:kern w:val="0"/>
          <w:szCs w:val="24"/>
        </w:rPr>
        <w:t>, Sumida Y, Nakamura K, Itaba S, Yoshinaga S, Mizutani T, Honda K, Taki K, Murao H, Ogino H, Kanayama K, Akiho H, Goto A, Segawa Y, Yao T, Takayanagi R. Impact of double-balloon endoscopy on the diagnosis of jejunoileal involvement in primary intestinal follicular lymphomas: a case series. </w:t>
      </w:r>
      <w:r w:rsidRPr="00853B95">
        <w:rPr>
          <w:rFonts w:ascii="Book Antiqua" w:eastAsia="SimSun" w:hAnsi="Book Antiqua" w:cs="SimSun"/>
          <w:i/>
          <w:iCs/>
          <w:kern w:val="0"/>
          <w:szCs w:val="24"/>
        </w:rPr>
        <w:t>Endoscopy</w:t>
      </w:r>
      <w:r w:rsidRPr="00853B95">
        <w:rPr>
          <w:rFonts w:ascii="Book Antiqua" w:eastAsia="SimSun" w:hAnsi="Book Antiqua" w:cs="SimSun"/>
          <w:kern w:val="0"/>
          <w:szCs w:val="24"/>
        </w:rPr>
        <w:t> 2009; </w:t>
      </w:r>
      <w:r w:rsidRPr="00853B95">
        <w:rPr>
          <w:rFonts w:ascii="Book Antiqua" w:eastAsia="SimSun" w:hAnsi="Book Antiqua" w:cs="SimSun"/>
          <w:b/>
          <w:bCs/>
          <w:kern w:val="0"/>
          <w:szCs w:val="24"/>
        </w:rPr>
        <w:t>41</w:t>
      </w:r>
      <w:r w:rsidRPr="00853B95">
        <w:rPr>
          <w:rFonts w:ascii="Book Antiqua" w:eastAsia="SimSun" w:hAnsi="Book Antiqua" w:cs="SimSun"/>
          <w:kern w:val="0"/>
          <w:szCs w:val="24"/>
        </w:rPr>
        <w:t>: 175-178 [PMID: 19214900 DOI: 10.1055/s-0028-1119467]</w:t>
      </w:r>
    </w:p>
    <w:p w14:paraId="183E8AED"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25 </w:t>
      </w:r>
      <w:r w:rsidRPr="00853B95">
        <w:rPr>
          <w:rFonts w:ascii="Book Antiqua" w:eastAsia="SimSun" w:hAnsi="Book Antiqua" w:cs="SimSun"/>
          <w:b/>
          <w:bCs/>
          <w:kern w:val="0"/>
          <w:szCs w:val="24"/>
        </w:rPr>
        <w:t>Nakamura S</w:t>
      </w:r>
      <w:r w:rsidRPr="00853B95">
        <w:rPr>
          <w:rFonts w:ascii="Book Antiqua" w:eastAsia="SimSun" w:hAnsi="Book Antiqua" w:cs="SimSun"/>
          <w:kern w:val="0"/>
          <w:szCs w:val="24"/>
        </w:rPr>
        <w:t>, Matsumoto T, Umeno J, Yanai S, Shono Y, Suekane H, Hirahashi M, Yao T, Iida M. Endoscopic features of intestinal follicular lymphoma: the value of double-balloon enteroscopy. </w:t>
      </w:r>
      <w:r w:rsidRPr="00853B95">
        <w:rPr>
          <w:rFonts w:ascii="Book Antiqua" w:eastAsia="SimSun" w:hAnsi="Book Antiqua" w:cs="SimSun"/>
          <w:i/>
          <w:iCs/>
          <w:kern w:val="0"/>
          <w:szCs w:val="24"/>
        </w:rPr>
        <w:t>Endoscopy</w:t>
      </w:r>
      <w:r w:rsidRPr="00853B95">
        <w:rPr>
          <w:rFonts w:ascii="Book Antiqua" w:eastAsia="SimSun" w:hAnsi="Book Antiqua" w:cs="SimSun"/>
          <w:kern w:val="0"/>
          <w:szCs w:val="24"/>
        </w:rPr>
        <w:t> 2007; </w:t>
      </w:r>
      <w:r w:rsidRPr="00853B95">
        <w:rPr>
          <w:rFonts w:ascii="Book Antiqua" w:eastAsia="SimSun" w:hAnsi="Book Antiqua" w:cs="SimSun"/>
          <w:b/>
          <w:bCs/>
          <w:kern w:val="0"/>
          <w:szCs w:val="24"/>
        </w:rPr>
        <w:t xml:space="preserve">39 </w:t>
      </w:r>
      <w:r w:rsidRPr="00853B95">
        <w:rPr>
          <w:rFonts w:ascii="Book Antiqua" w:eastAsia="SimSun" w:hAnsi="Book Antiqua" w:cs="SimSun"/>
          <w:bCs/>
          <w:kern w:val="0"/>
          <w:szCs w:val="24"/>
        </w:rPr>
        <w:t>Suppl 1</w:t>
      </w:r>
      <w:r w:rsidRPr="00853B95">
        <w:rPr>
          <w:rFonts w:ascii="Book Antiqua" w:eastAsia="SimSun" w:hAnsi="Book Antiqua" w:cs="SimSun"/>
          <w:kern w:val="0"/>
          <w:szCs w:val="24"/>
        </w:rPr>
        <w:t>: E26-E27 [PMID: 17285496</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10.1055/s-2007-966223]</w:t>
      </w:r>
    </w:p>
    <w:p w14:paraId="32646FE7"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26</w:t>
      </w:r>
      <w:r w:rsidRPr="00853B95">
        <w:rPr>
          <w:rFonts w:ascii="Book Antiqua" w:eastAsia="SimSun" w:hAnsi="Book Antiqua" w:cs="SimSun"/>
          <w:b/>
          <w:kern w:val="0"/>
          <w:szCs w:val="24"/>
        </w:rPr>
        <w:t xml:space="preserve"> Iwamuro M,</w:t>
      </w:r>
      <w:r w:rsidRPr="00853B95">
        <w:rPr>
          <w:rFonts w:ascii="Book Antiqua" w:eastAsia="SimSun" w:hAnsi="Book Antiqua" w:cs="SimSun"/>
          <w:kern w:val="0"/>
          <w:szCs w:val="24"/>
        </w:rPr>
        <w:t xml:space="preserve"> Okada H, Kawano S, Shiode J, Takenaka R, Imagawa A, Inaba T, Suzuki S, Nishimura M, Mizuno M, Araki M, Mannami T, Ueki T, Kobashi H, </w:t>
      </w:r>
      <w:r w:rsidRPr="00853B95">
        <w:rPr>
          <w:rFonts w:ascii="Book Antiqua" w:eastAsia="SimSun" w:hAnsi="Book Antiqua" w:cs="SimSun"/>
          <w:kern w:val="0"/>
          <w:szCs w:val="24"/>
        </w:rPr>
        <w:lastRenderedPageBreak/>
        <w:t xml:space="preserve">Fukatsu H, Tanaka S, Omoto A, Kawai Y, Kitagawa T, Toyokawa T, Takata K, Yoshino T, Takaki A, Yamamoto K. A multicenter survey of enteroscopy for the diagnosis of intestinal follicular lymphoma. </w:t>
      </w:r>
      <w:r w:rsidRPr="00853B95">
        <w:rPr>
          <w:rFonts w:ascii="Book Antiqua" w:eastAsia="SimSun" w:hAnsi="Book Antiqua" w:cs="SimSun"/>
          <w:i/>
          <w:kern w:val="0"/>
          <w:szCs w:val="24"/>
        </w:rPr>
        <w:t>Oncol Lett</w:t>
      </w:r>
      <w:r w:rsidRPr="00853B95">
        <w:rPr>
          <w:rFonts w:ascii="Book Antiqua" w:eastAsia="SimSun" w:hAnsi="Book Antiqua" w:cs="SimSun"/>
          <w:kern w:val="0"/>
          <w:szCs w:val="24"/>
        </w:rPr>
        <w:t xml:space="preserve"> 2015; </w:t>
      </w:r>
      <w:r w:rsidRPr="00853B95">
        <w:rPr>
          <w:rFonts w:ascii="Book Antiqua" w:eastAsia="SimSun" w:hAnsi="Book Antiqua" w:cs="SimSun"/>
          <w:b/>
          <w:kern w:val="0"/>
          <w:szCs w:val="24"/>
        </w:rPr>
        <w:t>10</w:t>
      </w:r>
      <w:r w:rsidRPr="00853B95">
        <w:rPr>
          <w:rFonts w:ascii="Book Antiqua" w:eastAsia="SimSun" w:hAnsi="Book Antiqua" w:cs="SimSun"/>
          <w:kern w:val="0"/>
          <w:szCs w:val="24"/>
        </w:rPr>
        <w:t>: 131-136</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10.3892/ol.2015.3251]</w:t>
      </w:r>
    </w:p>
    <w:p w14:paraId="5225C789"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27 </w:t>
      </w:r>
      <w:r w:rsidRPr="00853B95">
        <w:rPr>
          <w:rFonts w:ascii="Book Antiqua" w:eastAsia="SimSun" w:hAnsi="Book Antiqua" w:cs="SimSun"/>
          <w:b/>
          <w:bCs/>
          <w:kern w:val="0"/>
          <w:szCs w:val="24"/>
        </w:rPr>
        <w:t>Iwamuro M</w:t>
      </w:r>
      <w:r w:rsidRPr="00853B95">
        <w:rPr>
          <w:rFonts w:ascii="Book Antiqua" w:eastAsia="SimSun" w:hAnsi="Book Antiqua" w:cs="SimSun"/>
          <w:kern w:val="0"/>
          <w:szCs w:val="24"/>
        </w:rPr>
        <w:t>, Okada H, Takata K, Nose S, Miyatani K, Yoshino T, Yamamoto K. Diagnostic accuracy of endoscopic biopsies for the diagnosis of gastrointestinal follicular lymphoma: a clinicopathologic study of 48 patients. </w:t>
      </w:r>
      <w:r w:rsidRPr="00853B95">
        <w:rPr>
          <w:rFonts w:ascii="Book Antiqua" w:eastAsia="SimSun" w:hAnsi="Book Antiqua" w:cs="SimSun"/>
          <w:i/>
          <w:iCs/>
          <w:kern w:val="0"/>
          <w:szCs w:val="24"/>
        </w:rPr>
        <w:t>Ann Diagn Pathol</w:t>
      </w:r>
      <w:r w:rsidRPr="00853B95">
        <w:rPr>
          <w:rFonts w:ascii="Book Antiqua" w:eastAsia="SimSun" w:hAnsi="Book Antiqua" w:cs="SimSun"/>
          <w:kern w:val="0"/>
          <w:szCs w:val="24"/>
        </w:rPr>
        <w:t> 2014; </w:t>
      </w:r>
      <w:r w:rsidRPr="00853B95">
        <w:rPr>
          <w:rFonts w:ascii="Book Antiqua" w:eastAsia="SimSun" w:hAnsi="Book Antiqua" w:cs="SimSun"/>
          <w:b/>
          <w:bCs/>
          <w:kern w:val="0"/>
          <w:szCs w:val="24"/>
        </w:rPr>
        <w:t>18</w:t>
      </w:r>
      <w:r w:rsidRPr="00853B95">
        <w:rPr>
          <w:rFonts w:ascii="Book Antiqua" w:eastAsia="SimSun" w:hAnsi="Book Antiqua" w:cs="SimSun"/>
          <w:kern w:val="0"/>
          <w:szCs w:val="24"/>
        </w:rPr>
        <w:t>: 99-103 [PMID: 24513028 DOI: 10.1016/j.anndiagpath.2013.12.006]</w:t>
      </w:r>
    </w:p>
    <w:p w14:paraId="0E64ABB6"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28 </w:t>
      </w:r>
      <w:r w:rsidRPr="00853B95">
        <w:rPr>
          <w:rFonts w:ascii="Book Antiqua" w:eastAsia="SimSun" w:hAnsi="Book Antiqua" w:cs="SimSun"/>
          <w:b/>
          <w:bCs/>
          <w:kern w:val="0"/>
          <w:szCs w:val="24"/>
        </w:rPr>
        <w:t>Iwamuro M</w:t>
      </w:r>
      <w:r w:rsidRPr="00853B95">
        <w:rPr>
          <w:rFonts w:ascii="Book Antiqua" w:eastAsia="SimSun" w:hAnsi="Book Antiqua" w:cs="SimSun"/>
          <w:kern w:val="0"/>
          <w:szCs w:val="24"/>
        </w:rPr>
        <w:t>, Imagawa A, Kobayashi N, Kubota Y, Miyatani K, Takata K, Okada H. Synchronous adenocarcinoma and follicular lymphoma of the stomach. </w:t>
      </w:r>
      <w:r w:rsidRPr="00853B95">
        <w:rPr>
          <w:rFonts w:ascii="Book Antiqua" w:eastAsia="SimSun" w:hAnsi="Book Antiqua" w:cs="SimSun"/>
          <w:i/>
          <w:iCs/>
          <w:kern w:val="0"/>
          <w:szCs w:val="24"/>
        </w:rPr>
        <w:t>Intern Med</w:t>
      </w:r>
      <w:r w:rsidRPr="00853B95">
        <w:rPr>
          <w:rFonts w:ascii="Book Antiqua" w:eastAsia="SimSun" w:hAnsi="Book Antiqua" w:cs="SimSun"/>
          <w:kern w:val="0"/>
          <w:szCs w:val="24"/>
        </w:rPr>
        <w:t> 2013; </w:t>
      </w:r>
      <w:r w:rsidRPr="00853B95">
        <w:rPr>
          <w:rFonts w:ascii="Book Antiqua" w:eastAsia="SimSun" w:hAnsi="Book Antiqua" w:cs="SimSun"/>
          <w:b/>
          <w:bCs/>
          <w:kern w:val="0"/>
          <w:szCs w:val="24"/>
        </w:rPr>
        <w:t>52</w:t>
      </w:r>
      <w:r w:rsidRPr="00853B95">
        <w:rPr>
          <w:rFonts w:ascii="Book Antiqua" w:eastAsia="SimSun" w:hAnsi="Book Antiqua" w:cs="SimSun"/>
          <w:kern w:val="0"/>
          <w:szCs w:val="24"/>
        </w:rPr>
        <w:t>: 907-912 [PMID: 23583995</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10.2169/internalmedicine.52.7948]</w:t>
      </w:r>
    </w:p>
    <w:p w14:paraId="471C2FE5"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29 </w:t>
      </w:r>
      <w:r w:rsidRPr="00853B95">
        <w:rPr>
          <w:rFonts w:ascii="Book Antiqua" w:eastAsia="SimSun" w:hAnsi="Book Antiqua" w:cs="SimSun"/>
          <w:b/>
          <w:bCs/>
          <w:kern w:val="0"/>
          <w:szCs w:val="24"/>
        </w:rPr>
        <w:t>Ferreira A</w:t>
      </w:r>
      <w:r w:rsidRPr="00853B95">
        <w:rPr>
          <w:rFonts w:ascii="Book Antiqua" w:eastAsia="SimSun" w:hAnsi="Book Antiqua" w:cs="SimSun"/>
          <w:kern w:val="0"/>
          <w:szCs w:val="24"/>
        </w:rPr>
        <w:t>, Gonçalves R, Rolanda C. A different kind of colon polyp. </w:t>
      </w:r>
      <w:r w:rsidRPr="00853B95">
        <w:rPr>
          <w:rFonts w:ascii="Book Antiqua" w:eastAsia="SimSun" w:hAnsi="Book Antiqua" w:cs="SimSun"/>
          <w:i/>
          <w:iCs/>
          <w:kern w:val="0"/>
          <w:szCs w:val="24"/>
        </w:rPr>
        <w:t>Gastroenterology</w:t>
      </w:r>
      <w:r w:rsidRPr="00853B95">
        <w:rPr>
          <w:rFonts w:ascii="Book Antiqua" w:eastAsia="SimSun" w:hAnsi="Book Antiqua" w:cs="SimSun"/>
          <w:kern w:val="0"/>
          <w:szCs w:val="24"/>
        </w:rPr>
        <w:t> 2012; </w:t>
      </w:r>
      <w:r w:rsidRPr="00853B95">
        <w:rPr>
          <w:rFonts w:ascii="Book Antiqua" w:eastAsia="SimSun" w:hAnsi="Book Antiqua" w:cs="SimSun"/>
          <w:b/>
          <w:bCs/>
          <w:kern w:val="0"/>
          <w:szCs w:val="24"/>
        </w:rPr>
        <w:t>143</w:t>
      </w:r>
      <w:r w:rsidRPr="00853B95">
        <w:rPr>
          <w:rFonts w:ascii="Book Antiqua" w:eastAsia="SimSun" w:hAnsi="Book Antiqua" w:cs="SimSun"/>
          <w:kern w:val="0"/>
          <w:szCs w:val="24"/>
        </w:rPr>
        <w:t>: 1440, 1693-1694 [PMID: 23078991 DOI: 10.1053/j.gastro.2012.07.006]</w:t>
      </w:r>
    </w:p>
    <w:p w14:paraId="1F6648AC"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30 </w:t>
      </w:r>
      <w:r w:rsidRPr="00853B95">
        <w:rPr>
          <w:rFonts w:ascii="Book Antiqua" w:eastAsia="SimSun" w:hAnsi="Book Antiqua" w:cs="SimSun"/>
          <w:b/>
          <w:bCs/>
          <w:kern w:val="0"/>
          <w:szCs w:val="24"/>
        </w:rPr>
        <w:t>Yoshida N</w:t>
      </w:r>
      <w:r w:rsidRPr="00853B95">
        <w:rPr>
          <w:rFonts w:ascii="Book Antiqua" w:eastAsia="SimSun" w:hAnsi="Book Antiqua" w:cs="SimSun"/>
          <w:kern w:val="0"/>
          <w:szCs w:val="24"/>
        </w:rPr>
        <w:t>, Nomura K, Matsumoto Y, Nishida K, Wakabayashi N, Konishi H, Mitsufuji S, Kataoka K, Okanoue T, Taniwaki M. Detection of BCL2-IGH rearrangement on paraffin-embedded tissue sections obtained from a small submucosal tumor of the rectum in a patient with recurrent follicular lymphoma. </w:t>
      </w:r>
      <w:r w:rsidRPr="00853B95">
        <w:rPr>
          <w:rFonts w:ascii="Book Antiqua" w:eastAsia="SimSun" w:hAnsi="Book Antiqua" w:cs="SimSun"/>
          <w:i/>
          <w:iCs/>
          <w:kern w:val="0"/>
          <w:szCs w:val="24"/>
        </w:rPr>
        <w:t>World J Gastroenterol</w:t>
      </w:r>
      <w:r w:rsidRPr="00853B95">
        <w:rPr>
          <w:rFonts w:ascii="Book Antiqua" w:eastAsia="SimSun" w:hAnsi="Book Antiqua" w:cs="SimSun"/>
          <w:kern w:val="0"/>
          <w:szCs w:val="24"/>
        </w:rPr>
        <w:t> 2004; </w:t>
      </w:r>
      <w:r w:rsidRPr="00853B95">
        <w:rPr>
          <w:rFonts w:ascii="Book Antiqua" w:eastAsia="SimSun" w:hAnsi="Book Antiqua" w:cs="SimSun"/>
          <w:b/>
          <w:bCs/>
          <w:kern w:val="0"/>
          <w:szCs w:val="24"/>
        </w:rPr>
        <w:t>10</w:t>
      </w:r>
      <w:r w:rsidRPr="00853B95">
        <w:rPr>
          <w:rFonts w:ascii="Book Antiqua" w:eastAsia="SimSun" w:hAnsi="Book Antiqua" w:cs="SimSun"/>
          <w:kern w:val="0"/>
          <w:szCs w:val="24"/>
        </w:rPr>
        <w:t>: 2602-2604 [PMID: 15300917</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10.3748/wjg.v10.i17.2602]</w:t>
      </w:r>
    </w:p>
    <w:p w14:paraId="31FEB837"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lastRenderedPageBreak/>
        <w:t>31 </w:t>
      </w:r>
      <w:r w:rsidRPr="00853B95">
        <w:rPr>
          <w:rFonts w:ascii="Book Antiqua" w:eastAsia="SimSun" w:hAnsi="Book Antiqua" w:cs="SimSun"/>
          <w:b/>
          <w:bCs/>
          <w:kern w:val="0"/>
          <w:szCs w:val="24"/>
        </w:rPr>
        <w:t>Fehring A</w:t>
      </w:r>
      <w:r w:rsidRPr="00853B95">
        <w:rPr>
          <w:rFonts w:ascii="Book Antiqua" w:eastAsia="SimSun" w:hAnsi="Book Antiqua" w:cs="SimSun"/>
          <w:kern w:val="0"/>
          <w:szCs w:val="24"/>
        </w:rPr>
        <w:t>, Schmulewitz N. EUS-guided FNA diagnosis of recurrent follicular lymphoma in the transverse colon. </w:t>
      </w:r>
      <w:r w:rsidRPr="00853B95">
        <w:rPr>
          <w:rFonts w:ascii="Book Antiqua" w:eastAsia="SimSun" w:hAnsi="Book Antiqua" w:cs="SimSun"/>
          <w:i/>
          <w:iCs/>
          <w:kern w:val="0"/>
          <w:szCs w:val="24"/>
        </w:rPr>
        <w:t>Gastrointest Endosc</w:t>
      </w:r>
      <w:r w:rsidRPr="00853B95">
        <w:rPr>
          <w:rFonts w:ascii="Book Antiqua" w:eastAsia="SimSun" w:hAnsi="Book Antiqua" w:cs="SimSun"/>
          <w:kern w:val="0"/>
          <w:szCs w:val="24"/>
        </w:rPr>
        <w:t> 2006; </w:t>
      </w:r>
      <w:r w:rsidRPr="00853B95">
        <w:rPr>
          <w:rFonts w:ascii="Book Antiqua" w:eastAsia="SimSun" w:hAnsi="Book Antiqua" w:cs="SimSun"/>
          <w:b/>
          <w:bCs/>
          <w:kern w:val="0"/>
          <w:szCs w:val="24"/>
        </w:rPr>
        <w:t>64</w:t>
      </w:r>
      <w:r w:rsidRPr="00853B95">
        <w:rPr>
          <w:rFonts w:ascii="Book Antiqua" w:eastAsia="SimSun" w:hAnsi="Book Antiqua" w:cs="SimSun"/>
          <w:kern w:val="0"/>
          <w:szCs w:val="24"/>
        </w:rPr>
        <w:t>: 652-653 [PMID: 16996367</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10.1016/j.gie.2006.02.033]</w:t>
      </w:r>
    </w:p>
    <w:p w14:paraId="13EDE5A2"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32 </w:t>
      </w:r>
      <w:r w:rsidRPr="00853B95">
        <w:rPr>
          <w:rFonts w:ascii="Book Antiqua" w:eastAsia="SimSun" w:hAnsi="Book Antiqua" w:cs="SimSun"/>
          <w:b/>
          <w:bCs/>
          <w:kern w:val="0"/>
          <w:szCs w:val="24"/>
        </w:rPr>
        <w:t>Esaki M</w:t>
      </w:r>
      <w:r w:rsidRPr="00853B95">
        <w:rPr>
          <w:rFonts w:ascii="Book Antiqua" w:eastAsia="SimSun" w:hAnsi="Book Antiqua" w:cs="SimSun"/>
          <w:kern w:val="0"/>
          <w:szCs w:val="24"/>
        </w:rPr>
        <w:t>, Matsumoto T, Nakamura S, Suekane H, Ohji Y, Yao T, Iida M. Capsule endoscopy findings in intestinal follicular lymphoma. </w:t>
      </w:r>
      <w:r w:rsidRPr="00853B95">
        <w:rPr>
          <w:rFonts w:ascii="Book Antiqua" w:eastAsia="SimSun" w:hAnsi="Book Antiqua" w:cs="SimSun"/>
          <w:i/>
          <w:iCs/>
          <w:kern w:val="0"/>
          <w:szCs w:val="24"/>
        </w:rPr>
        <w:t>Endoscopy</w:t>
      </w:r>
      <w:r w:rsidRPr="00853B95">
        <w:rPr>
          <w:rFonts w:ascii="Book Antiqua" w:eastAsia="SimSun" w:hAnsi="Book Antiqua" w:cs="SimSun"/>
          <w:kern w:val="0"/>
          <w:szCs w:val="24"/>
        </w:rPr>
        <w:t> 2007; </w:t>
      </w:r>
      <w:r w:rsidRPr="00853B95">
        <w:rPr>
          <w:rFonts w:ascii="Book Antiqua" w:eastAsia="SimSun" w:hAnsi="Book Antiqua" w:cs="SimSun"/>
          <w:b/>
          <w:bCs/>
          <w:kern w:val="0"/>
          <w:szCs w:val="24"/>
        </w:rPr>
        <w:t xml:space="preserve">39 </w:t>
      </w:r>
      <w:r w:rsidRPr="00853B95">
        <w:rPr>
          <w:rFonts w:ascii="Book Antiqua" w:eastAsia="SimSun" w:hAnsi="Book Antiqua" w:cs="SimSun"/>
          <w:bCs/>
          <w:kern w:val="0"/>
          <w:szCs w:val="24"/>
        </w:rPr>
        <w:t>Suppl 1</w:t>
      </w:r>
      <w:r w:rsidRPr="00853B95">
        <w:rPr>
          <w:rFonts w:ascii="Book Antiqua" w:eastAsia="SimSun" w:hAnsi="Book Antiqua" w:cs="SimSun"/>
          <w:kern w:val="0"/>
          <w:szCs w:val="24"/>
        </w:rPr>
        <w:t>: E86-E87 [PMID: 17440873]</w:t>
      </w:r>
    </w:p>
    <w:p w14:paraId="288F2E8D"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33 </w:t>
      </w:r>
      <w:r w:rsidRPr="00853B95">
        <w:rPr>
          <w:rFonts w:ascii="Book Antiqua" w:eastAsia="SimSun" w:hAnsi="Book Antiqua" w:cs="SimSun"/>
          <w:b/>
          <w:bCs/>
          <w:kern w:val="0"/>
          <w:szCs w:val="24"/>
        </w:rPr>
        <w:t>Dalal L</w:t>
      </w:r>
      <w:r w:rsidRPr="00853B95">
        <w:rPr>
          <w:rFonts w:ascii="Book Antiqua" w:eastAsia="SimSun" w:hAnsi="Book Antiqua" w:cs="SimSun"/>
          <w:kern w:val="0"/>
          <w:szCs w:val="24"/>
        </w:rPr>
        <w:t>. Primary multifocal non-Hodgkin lymphoma of the colon successfully treated with chemotherapy. </w:t>
      </w:r>
      <w:r w:rsidRPr="00853B95">
        <w:rPr>
          <w:rFonts w:ascii="Book Antiqua" w:eastAsia="SimSun" w:hAnsi="Book Antiqua" w:cs="SimSun"/>
          <w:i/>
          <w:iCs/>
          <w:kern w:val="0"/>
          <w:szCs w:val="24"/>
        </w:rPr>
        <w:t>Gastrointest Endosc</w:t>
      </w:r>
      <w:r w:rsidRPr="00853B95">
        <w:rPr>
          <w:rFonts w:ascii="Book Antiqua" w:eastAsia="SimSun" w:hAnsi="Book Antiqua" w:cs="SimSun"/>
          <w:kern w:val="0"/>
          <w:szCs w:val="24"/>
        </w:rPr>
        <w:t> 2008; </w:t>
      </w:r>
      <w:r w:rsidRPr="00853B95">
        <w:rPr>
          <w:rFonts w:ascii="Book Antiqua" w:eastAsia="SimSun" w:hAnsi="Book Antiqua" w:cs="SimSun"/>
          <w:b/>
          <w:bCs/>
          <w:kern w:val="0"/>
          <w:szCs w:val="24"/>
        </w:rPr>
        <w:t>68</w:t>
      </w:r>
      <w:r w:rsidRPr="00853B95">
        <w:rPr>
          <w:rFonts w:ascii="Book Antiqua" w:eastAsia="SimSun" w:hAnsi="Book Antiqua" w:cs="SimSun"/>
          <w:kern w:val="0"/>
          <w:szCs w:val="24"/>
        </w:rPr>
        <w:t>: 1005-106; discussion 1006 [PMID: 18565526 DOI: 10.1016/j.gie.2008.04.002]</w:t>
      </w:r>
    </w:p>
    <w:p w14:paraId="17F9A1A1"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34 </w:t>
      </w:r>
      <w:r w:rsidRPr="00853B95">
        <w:rPr>
          <w:rFonts w:ascii="Book Antiqua" w:eastAsia="SimSun" w:hAnsi="Book Antiqua" w:cs="SimSun"/>
          <w:b/>
          <w:bCs/>
          <w:kern w:val="0"/>
          <w:szCs w:val="24"/>
        </w:rPr>
        <w:t>Kuroha M</w:t>
      </w:r>
      <w:r w:rsidRPr="00853B95">
        <w:rPr>
          <w:rFonts w:ascii="Book Antiqua" w:eastAsia="SimSun" w:hAnsi="Book Antiqua" w:cs="SimSun"/>
          <w:kern w:val="0"/>
          <w:szCs w:val="24"/>
        </w:rPr>
        <w:t>, Endo K, Sato Y, Shiga H, Kakuta Y, Takahashi S, Kinouchi Y, Shimosegawa T. Magnifying endoscopy findings in follicular lymphoma of the rectum using narrow band imaging. </w:t>
      </w:r>
      <w:r w:rsidRPr="00853B95">
        <w:rPr>
          <w:rFonts w:ascii="Book Antiqua" w:eastAsia="SimSun" w:hAnsi="Book Antiqua" w:cs="SimSun"/>
          <w:i/>
          <w:iCs/>
          <w:kern w:val="0"/>
          <w:szCs w:val="24"/>
        </w:rPr>
        <w:t>Endoscopy</w:t>
      </w:r>
      <w:r w:rsidRPr="00853B95">
        <w:rPr>
          <w:rFonts w:ascii="Book Antiqua" w:eastAsia="SimSun" w:hAnsi="Book Antiqua" w:cs="SimSun"/>
          <w:kern w:val="0"/>
          <w:szCs w:val="24"/>
        </w:rPr>
        <w:t> 2011; </w:t>
      </w:r>
      <w:r w:rsidRPr="00853B95">
        <w:rPr>
          <w:rFonts w:ascii="Book Antiqua" w:eastAsia="SimSun" w:hAnsi="Book Antiqua" w:cs="SimSun"/>
          <w:b/>
          <w:bCs/>
          <w:kern w:val="0"/>
          <w:szCs w:val="24"/>
        </w:rPr>
        <w:t xml:space="preserve">43 </w:t>
      </w:r>
      <w:r w:rsidRPr="00853B95">
        <w:rPr>
          <w:rFonts w:ascii="Book Antiqua" w:eastAsia="SimSun" w:hAnsi="Book Antiqua" w:cs="SimSun"/>
          <w:bCs/>
          <w:kern w:val="0"/>
          <w:szCs w:val="24"/>
        </w:rPr>
        <w:t>Suppl 2 UCTN</w:t>
      </w:r>
      <w:r w:rsidRPr="00853B95">
        <w:rPr>
          <w:rFonts w:ascii="Book Antiqua" w:eastAsia="SimSun" w:hAnsi="Book Antiqua" w:cs="SimSun"/>
          <w:kern w:val="0"/>
          <w:szCs w:val="24"/>
        </w:rPr>
        <w:t>: E346-E347 [PMID: 22020720 DOI: 10.1055/s-0030-1256843]</w:t>
      </w:r>
    </w:p>
    <w:p w14:paraId="5EBA5F20"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35 </w:t>
      </w:r>
      <w:r w:rsidRPr="00853B95">
        <w:rPr>
          <w:rFonts w:ascii="Book Antiqua" w:eastAsia="SimSun" w:hAnsi="Book Antiqua" w:cs="SimSun"/>
          <w:b/>
          <w:bCs/>
          <w:kern w:val="0"/>
          <w:szCs w:val="24"/>
        </w:rPr>
        <w:t>Hiraide T</w:t>
      </w:r>
      <w:r w:rsidRPr="00853B95">
        <w:rPr>
          <w:rFonts w:ascii="Book Antiqua" w:eastAsia="SimSun" w:hAnsi="Book Antiqua" w:cs="SimSun"/>
          <w:kern w:val="0"/>
          <w:szCs w:val="24"/>
        </w:rPr>
        <w:t>, Shoji T, Higashi Y, Matsuda I, Terada T. Extranodal multiple polypoid follicular lymphoma of the sigmoid colon. </w:t>
      </w:r>
      <w:r w:rsidRPr="00853B95">
        <w:rPr>
          <w:rFonts w:ascii="Book Antiqua" w:eastAsia="SimSun" w:hAnsi="Book Antiqua" w:cs="SimSun"/>
          <w:i/>
          <w:iCs/>
          <w:kern w:val="0"/>
          <w:szCs w:val="24"/>
        </w:rPr>
        <w:t>Gastrointest Endosc</w:t>
      </w:r>
      <w:r w:rsidRPr="00853B95">
        <w:rPr>
          <w:rFonts w:ascii="Book Antiqua" w:eastAsia="SimSun" w:hAnsi="Book Antiqua" w:cs="SimSun"/>
          <w:kern w:val="0"/>
          <w:szCs w:val="24"/>
        </w:rPr>
        <w:t> 2011; </w:t>
      </w:r>
      <w:r w:rsidRPr="00853B95">
        <w:rPr>
          <w:rFonts w:ascii="Book Antiqua" w:eastAsia="SimSun" w:hAnsi="Book Antiqua" w:cs="SimSun"/>
          <w:b/>
          <w:bCs/>
          <w:kern w:val="0"/>
          <w:szCs w:val="24"/>
        </w:rPr>
        <w:t>73</w:t>
      </w:r>
      <w:r w:rsidRPr="00853B95">
        <w:rPr>
          <w:rFonts w:ascii="Book Antiqua" w:eastAsia="SimSun" w:hAnsi="Book Antiqua" w:cs="SimSun"/>
          <w:kern w:val="0"/>
          <w:szCs w:val="24"/>
        </w:rPr>
        <w:t>: 182-184 [PMID: 20646697 DOI: 10.1016/j.gie.2010.04.021]</w:t>
      </w:r>
    </w:p>
    <w:p w14:paraId="2EE02CF6"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36 </w:t>
      </w:r>
      <w:r w:rsidRPr="00853B95">
        <w:rPr>
          <w:rFonts w:ascii="Book Antiqua" w:eastAsia="SimSun" w:hAnsi="Book Antiqua" w:cs="SimSun"/>
          <w:b/>
          <w:bCs/>
          <w:kern w:val="0"/>
          <w:szCs w:val="24"/>
        </w:rPr>
        <w:t>Kakati BR</w:t>
      </w:r>
      <w:r w:rsidRPr="00853B95">
        <w:rPr>
          <w:rFonts w:ascii="Book Antiqua" w:eastAsia="SimSun" w:hAnsi="Book Antiqua" w:cs="SimSun"/>
          <w:kern w:val="0"/>
          <w:szCs w:val="24"/>
        </w:rPr>
        <w:t>, Krishna K, Krishna SG, Sharma SG, Sanathkumar N, Rego RF. Extensive extramedullary disease involving the colon in multiple myeloma: a case report and review of literature. </w:t>
      </w:r>
      <w:r w:rsidRPr="00853B95">
        <w:rPr>
          <w:rFonts w:ascii="Book Antiqua" w:eastAsia="SimSun" w:hAnsi="Book Antiqua" w:cs="SimSun"/>
          <w:i/>
          <w:iCs/>
          <w:kern w:val="0"/>
          <w:szCs w:val="24"/>
        </w:rPr>
        <w:t>J Gastrointest Cancer</w:t>
      </w:r>
      <w:r w:rsidRPr="00853B95">
        <w:rPr>
          <w:rFonts w:ascii="Book Antiqua" w:eastAsia="SimSun" w:hAnsi="Book Antiqua" w:cs="SimSun"/>
          <w:kern w:val="0"/>
          <w:szCs w:val="24"/>
        </w:rPr>
        <w:t> 2012; </w:t>
      </w:r>
      <w:r w:rsidRPr="00853B95">
        <w:rPr>
          <w:rFonts w:ascii="Book Antiqua" w:eastAsia="SimSun" w:hAnsi="Book Antiqua" w:cs="SimSun"/>
          <w:b/>
          <w:bCs/>
          <w:kern w:val="0"/>
          <w:szCs w:val="24"/>
        </w:rPr>
        <w:t>43</w:t>
      </w:r>
      <w:r w:rsidRPr="00853B95">
        <w:rPr>
          <w:rFonts w:ascii="Book Antiqua" w:eastAsia="SimSun" w:hAnsi="Book Antiqua" w:cs="SimSun"/>
          <w:kern w:val="0"/>
          <w:szCs w:val="24"/>
        </w:rPr>
        <w:t>: 379-381 [PMID: 20703830 DOI: 10.1007/s12029-010-9199-z]</w:t>
      </w:r>
    </w:p>
    <w:p w14:paraId="6929A724" w14:textId="77777777" w:rsidR="009A7EB3" w:rsidRPr="00853B95" w:rsidRDefault="009A7EB3" w:rsidP="009A7EB3">
      <w:pPr>
        <w:widowControl/>
        <w:spacing w:line="360" w:lineRule="auto"/>
        <w:rPr>
          <w:rFonts w:ascii="Book Antiqua" w:eastAsia="SimSun" w:hAnsi="Book Antiqua" w:cs="SimSun"/>
          <w:kern w:val="0"/>
          <w:szCs w:val="24"/>
        </w:rPr>
      </w:pPr>
      <w:r w:rsidRPr="000C7A1E">
        <w:rPr>
          <w:rFonts w:ascii="Book Antiqua" w:eastAsia="SimSun" w:hAnsi="Book Antiqua" w:cs="SimSun"/>
          <w:kern w:val="0"/>
          <w:szCs w:val="24"/>
        </w:rPr>
        <w:t>37</w:t>
      </w:r>
      <w:r w:rsidRPr="000C7A1E">
        <w:rPr>
          <w:rFonts w:ascii="Book Antiqua" w:eastAsia="SimSun" w:hAnsi="Book Antiqua" w:cs="SimSun"/>
          <w:b/>
          <w:kern w:val="0"/>
          <w:szCs w:val="24"/>
        </w:rPr>
        <w:t xml:space="preserve"> </w:t>
      </w:r>
      <w:bookmarkStart w:id="58" w:name="OLE_LINK572"/>
      <w:bookmarkStart w:id="59" w:name="OLE_LINK573"/>
      <w:bookmarkStart w:id="60" w:name="OLE_LINK566"/>
      <w:bookmarkStart w:id="61" w:name="OLE_LINK567"/>
      <w:bookmarkStart w:id="62" w:name="OLE_LINK568"/>
      <w:bookmarkStart w:id="63" w:name="OLE_LINK569"/>
      <w:r w:rsidRPr="000C7A1E">
        <w:rPr>
          <w:rFonts w:ascii="Book Antiqua" w:eastAsia="SimSun" w:hAnsi="Book Antiqua" w:cs="SimSun"/>
          <w:b/>
          <w:kern w:val="0"/>
          <w:szCs w:val="24"/>
        </w:rPr>
        <w:t>Iwamuro M</w:t>
      </w:r>
      <w:r w:rsidRPr="000C7A1E">
        <w:rPr>
          <w:rFonts w:ascii="Book Antiqua" w:eastAsia="SimSun" w:hAnsi="Book Antiqua" w:cs="SimSun"/>
          <w:kern w:val="0"/>
          <w:szCs w:val="24"/>
        </w:rPr>
        <w:t>, Okada H, Takata K, Takenaka R, Inaba T, Mizuno M, Kobashi H, Tanaka S, Yoshioka M, Kondo E, Yoshino T, Yamamoto K</w:t>
      </w:r>
      <w:bookmarkEnd w:id="58"/>
      <w:bookmarkEnd w:id="59"/>
      <w:r w:rsidRPr="000C7A1E">
        <w:rPr>
          <w:rFonts w:ascii="Book Antiqua" w:eastAsia="SimSun" w:hAnsi="Book Antiqua" w:cs="SimSun"/>
          <w:kern w:val="0"/>
          <w:szCs w:val="24"/>
        </w:rPr>
        <w:t xml:space="preserve">. </w:t>
      </w:r>
      <w:bookmarkStart w:id="64" w:name="OLE_LINK570"/>
      <w:bookmarkStart w:id="65" w:name="OLE_LINK571"/>
      <w:r w:rsidRPr="000C7A1E">
        <w:rPr>
          <w:rFonts w:ascii="Book Antiqua" w:eastAsia="SimSun" w:hAnsi="Book Antiqua" w:cs="SimSun"/>
          <w:kern w:val="0"/>
          <w:szCs w:val="24"/>
        </w:rPr>
        <w:t>Colorectal Manifestation of Follicular Lymphoma</w:t>
      </w:r>
      <w:bookmarkEnd w:id="60"/>
      <w:bookmarkEnd w:id="61"/>
      <w:bookmarkEnd w:id="64"/>
      <w:bookmarkEnd w:id="65"/>
      <w:r w:rsidRPr="000C7A1E">
        <w:rPr>
          <w:rFonts w:ascii="Book Antiqua" w:eastAsia="SimSun" w:hAnsi="Book Antiqua" w:cs="SimSun"/>
          <w:kern w:val="0"/>
          <w:szCs w:val="24"/>
        </w:rPr>
        <w:t xml:space="preserve">. </w:t>
      </w:r>
      <w:r w:rsidRPr="000C7A1E">
        <w:rPr>
          <w:rFonts w:ascii="Book Antiqua" w:eastAsia="SimSun" w:hAnsi="Book Antiqua" w:cs="SimSun"/>
          <w:i/>
          <w:kern w:val="0"/>
          <w:szCs w:val="24"/>
        </w:rPr>
        <w:t>Intern Med</w:t>
      </w:r>
      <w:bookmarkEnd w:id="62"/>
      <w:bookmarkEnd w:id="63"/>
      <w:r w:rsidRPr="000C7A1E">
        <w:rPr>
          <w:rFonts w:ascii="Book Antiqua" w:eastAsia="SimSun" w:hAnsi="Book Antiqua" w:cs="SimSun" w:hint="eastAsia"/>
          <w:i/>
          <w:kern w:val="0"/>
          <w:szCs w:val="24"/>
        </w:rPr>
        <w:t xml:space="preserve"> </w:t>
      </w:r>
      <w:r w:rsidRPr="000C7A1E">
        <w:rPr>
          <w:rFonts w:ascii="Book Antiqua" w:eastAsia="SimSun" w:hAnsi="Book Antiqua" w:cs="SimSun" w:hint="eastAsia"/>
          <w:kern w:val="0"/>
          <w:szCs w:val="24"/>
        </w:rPr>
        <w:t xml:space="preserve">2015; </w:t>
      </w:r>
      <w:r w:rsidRPr="000C7A1E">
        <w:rPr>
          <w:rFonts w:ascii="Book Antiqua" w:eastAsia="SimSun" w:hAnsi="Book Antiqua" w:cs="SimSun"/>
          <w:kern w:val="0"/>
          <w:szCs w:val="24"/>
        </w:rPr>
        <w:t>In press</w:t>
      </w:r>
      <w:r w:rsidRPr="00853B95">
        <w:rPr>
          <w:rFonts w:ascii="Book Antiqua" w:eastAsia="SimSun" w:hAnsi="Book Antiqua" w:cs="SimSun" w:hint="eastAsia"/>
          <w:kern w:val="0"/>
          <w:szCs w:val="24"/>
        </w:rPr>
        <w:t xml:space="preserve"> </w:t>
      </w:r>
    </w:p>
    <w:p w14:paraId="7DFDFEBE"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lastRenderedPageBreak/>
        <w:t>38 </w:t>
      </w:r>
      <w:r w:rsidRPr="00853B95">
        <w:rPr>
          <w:rFonts w:ascii="Book Antiqua" w:eastAsia="SimSun" w:hAnsi="Book Antiqua" w:cs="SimSun"/>
          <w:b/>
          <w:bCs/>
          <w:kern w:val="0"/>
          <w:szCs w:val="24"/>
        </w:rPr>
        <w:t>Nakase H</w:t>
      </w:r>
      <w:r w:rsidRPr="00853B95">
        <w:rPr>
          <w:rFonts w:ascii="Book Antiqua" w:eastAsia="SimSun" w:hAnsi="Book Antiqua" w:cs="SimSun"/>
          <w:kern w:val="0"/>
          <w:szCs w:val="24"/>
        </w:rPr>
        <w:t>, Matsuura M, Mikami S, Chiba T. Magnified endoscopic view of primary follicular lymphoma at the duodenal papilla. </w:t>
      </w:r>
      <w:r w:rsidRPr="00853B95">
        <w:rPr>
          <w:rFonts w:ascii="Book Antiqua" w:eastAsia="SimSun" w:hAnsi="Book Antiqua" w:cs="SimSun"/>
          <w:i/>
          <w:iCs/>
          <w:kern w:val="0"/>
          <w:szCs w:val="24"/>
        </w:rPr>
        <w:t>Intern Med</w:t>
      </w:r>
      <w:r w:rsidRPr="00853B95">
        <w:rPr>
          <w:rFonts w:ascii="Book Antiqua" w:eastAsia="SimSun" w:hAnsi="Book Antiqua" w:cs="SimSun"/>
          <w:kern w:val="0"/>
          <w:szCs w:val="24"/>
        </w:rPr>
        <w:t> 2007; </w:t>
      </w:r>
      <w:r w:rsidRPr="00853B95">
        <w:rPr>
          <w:rFonts w:ascii="Book Antiqua" w:eastAsia="SimSun" w:hAnsi="Book Antiqua" w:cs="SimSun"/>
          <w:b/>
          <w:bCs/>
          <w:kern w:val="0"/>
          <w:szCs w:val="24"/>
        </w:rPr>
        <w:t>46</w:t>
      </w:r>
      <w:r w:rsidRPr="00853B95">
        <w:rPr>
          <w:rFonts w:ascii="Book Antiqua" w:eastAsia="SimSun" w:hAnsi="Book Antiqua" w:cs="SimSun"/>
          <w:kern w:val="0"/>
          <w:szCs w:val="24"/>
        </w:rPr>
        <w:t>: 141-142 [PMID: 17268132]</w:t>
      </w:r>
    </w:p>
    <w:p w14:paraId="1422CA18"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39 </w:t>
      </w:r>
      <w:r w:rsidRPr="00853B95">
        <w:rPr>
          <w:rFonts w:ascii="Book Antiqua" w:eastAsia="SimSun" w:hAnsi="Book Antiqua" w:cs="SimSun"/>
          <w:b/>
          <w:bCs/>
          <w:kern w:val="0"/>
          <w:szCs w:val="24"/>
        </w:rPr>
        <w:t>Higuchi K</w:t>
      </w:r>
      <w:r w:rsidRPr="00853B95">
        <w:rPr>
          <w:rFonts w:ascii="Book Antiqua" w:eastAsia="SimSun" w:hAnsi="Book Antiqua" w:cs="SimSun"/>
          <w:kern w:val="0"/>
          <w:szCs w:val="24"/>
        </w:rPr>
        <w:t>, Komatsu K, Wakamatsu H, Kawasaki H, Murata M, Miyazaki K, Oikawa K, Ohwada M, Nanjo H, Otaka M, Watanabe S, Komatsu K. Small intestinal follicular lymphoma with multiple tumor formations diagnosed by double-balloon enteroscopy. </w:t>
      </w:r>
      <w:r w:rsidRPr="00853B95">
        <w:rPr>
          <w:rFonts w:ascii="Book Antiqua" w:eastAsia="SimSun" w:hAnsi="Book Antiqua" w:cs="SimSun"/>
          <w:i/>
          <w:iCs/>
          <w:kern w:val="0"/>
          <w:szCs w:val="24"/>
        </w:rPr>
        <w:t>Intern Med</w:t>
      </w:r>
      <w:r w:rsidRPr="00853B95">
        <w:rPr>
          <w:rFonts w:ascii="Book Antiqua" w:eastAsia="SimSun" w:hAnsi="Book Antiqua" w:cs="SimSun"/>
          <w:kern w:val="0"/>
          <w:szCs w:val="24"/>
        </w:rPr>
        <w:t> 2007; </w:t>
      </w:r>
      <w:r w:rsidRPr="00853B95">
        <w:rPr>
          <w:rFonts w:ascii="Book Antiqua" w:eastAsia="SimSun" w:hAnsi="Book Antiqua" w:cs="SimSun"/>
          <w:b/>
          <w:bCs/>
          <w:kern w:val="0"/>
          <w:szCs w:val="24"/>
        </w:rPr>
        <w:t>46</w:t>
      </w:r>
      <w:r w:rsidRPr="00853B95">
        <w:rPr>
          <w:rFonts w:ascii="Book Antiqua" w:eastAsia="SimSun" w:hAnsi="Book Antiqua" w:cs="SimSun"/>
          <w:kern w:val="0"/>
          <w:szCs w:val="24"/>
        </w:rPr>
        <w:t>: 705-709 [PMID: 17541220]</w:t>
      </w:r>
    </w:p>
    <w:p w14:paraId="15AFB2FE"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40 </w:t>
      </w:r>
      <w:r w:rsidRPr="00853B95">
        <w:rPr>
          <w:rFonts w:ascii="Book Antiqua" w:eastAsia="SimSun" w:hAnsi="Book Antiqua" w:cs="SimSun"/>
          <w:b/>
          <w:bCs/>
          <w:kern w:val="0"/>
          <w:szCs w:val="24"/>
        </w:rPr>
        <w:t>Inoue N</w:t>
      </w:r>
      <w:r w:rsidRPr="00853B95">
        <w:rPr>
          <w:rFonts w:ascii="Book Antiqua" w:eastAsia="SimSun" w:hAnsi="Book Antiqua" w:cs="SimSun"/>
          <w:kern w:val="0"/>
          <w:szCs w:val="24"/>
        </w:rPr>
        <w:t>, Isomoto H, Shikuwa S, Mizuta Y, Hayashi T, Kohno S. Magnifying endoscopic observation of primary follicular lymphoma of the duodenum by using the narrow-band imaging system. </w:t>
      </w:r>
      <w:r w:rsidRPr="00853B95">
        <w:rPr>
          <w:rFonts w:ascii="Book Antiqua" w:eastAsia="SimSun" w:hAnsi="Book Antiqua" w:cs="SimSun"/>
          <w:i/>
          <w:iCs/>
          <w:kern w:val="0"/>
          <w:szCs w:val="24"/>
        </w:rPr>
        <w:t>Gastrointest Endosc</w:t>
      </w:r>
      <w:r w:rsidRPr="00853B95">
        <w:rPr>
          <w:rFonts w:ascii="Book Antiqua" w:eastAsia="SimSun" w:hAnsi="Book Antiqua" w:cs="SimSun"/>
          <w:kern w:val="0"/>
          <w:szCs w:val="24"/>
        </w:rPr>
        <w:t> 2009; </w:t>
      </w:r>
      <w:r w:rsidRPr="00853B95">
        <w:rPr>
          <w:rFonts w:ascii="Book Antiqua" w:eastAsia="SimSun" w:hAnsi="Book Antiqua" w:cs="SimSun"/>
          <w:b/>
          <w:bCs/>
          <w:kern w:val="0"/>
          <w:szCs w:val="24"/>
        </w:rPr>
        <w:t>69</w:t>
      </w:r>
      <w:r w:rsidRPr="00853B95">
        <w:rPr>
          <w:rFonts w:ascii="Book Antiqua" w:eastAsia="SimSun" w:hAnsi="Book Antiqua" w:cs="SimSun"/>
          <w:kern w:val="0"/>
          <w:szCs w:val="24"/>
        </w:rPr>
        <w:t>: 158-19; discussion 159 [PMID: 19111697 DOI: 10.1016/j.gie.2008.06.055]</w:t>
      </w:r>
    </w:p>
    <w:p w14:paraId="10727D90"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41 </w:t>
      </w:r>
      <w:r w:rsidRPr="00853B95">
        <w:rPr>
          <w:rFonts w:ascii="Book Antiqua" w:eastAsia="SimSun" w:hAnsi="Book Antiqua" w:cs="SimSun"/>
          <w:b/>
          <w:bCs/>
          <w:kern w:val="0"/>
          <w:szCs w:val="24"/>
        </w:rPr>
        <w:t>Chowdhury M</w:t>
      </w:r>
      <w:r w:rsidRPr="00853B95">
        <w:rPr>
          <w:rFonts w:ascii="Book Antiqua" w:eastAsia="SimSun" w:hAnsi="Book Antiqua" w:cs="SimSun"/>
          <w:kern w:val="0"/>
          <w:szCs w:val="24"/>
        </w:rPr>
        <w:t>, Endo M, Chiba T, Kudara N, Oana S, Sato K, Akasaka R, Tomita K, Fujiwara S, Mizutani T, Sugai T, Takikawa Y, Suzuki K. Characterization of follicular lymphoma in the small intestine using double-balloon endoscopy. </w:t>
      </w:r>
      <w:r w:rsidRPr="00853B95">
        <w:rPr>
          <w:rFonts w:ascii="Book Antiqua" w:eastAsia="SimSun" w:hAnsi="Book Antiqua" w:cs="SimSun"/>
          <w:i/>
          <w:iCs/>
          <w:kern w:val="0"/>
          <w:szCs w:val="24"/>
        </w:rPr>
        <w:t>Gastroenterol Res Pract</w:t>
      </w:r>
      <w:r w:rsidRPr="00853B95">
        <w:rPr>
          <w:rFonts w:ascii="Book Antiqua" w:eastAsia="SimSun" w:hAnsi="Book Antiqua" w:cs="SimSun"/>
          <w:kern w:val="0"/>
          <w:szCs w:val="24"/>
        </w:rPr>
        <w:t> 2009; </w:t>
      </w:r>
      <w:r w:rsidRPr="00853B95">
        <w:rPr>
          <w:rFonts w:ascii="Book Antiqua" w:eastAsia="SimSun" w:hAnsi="Book Antiqua" w:cs="SimSun"/>
          <w:b/>
          <w:bCs/>
          <w:kern w:val="0"/>
          <w:szCs w:val="24"/>
        </w:rPr>
        <w:t>2009</w:t>
      </w:r>
      <w:r w:rsidRPr="00853B95">
        <w:rPr>
          <w:rFonts w:ascii="Book Antiqua" w:eastAsia="SimSun" w:hAnsi="Book Antiqua" w:cs="SimSun"/>
          <w:kern w:val="0"/>
          <w:szCs w:val="24"/>
        </w:rPr>
        <w:t>: 835258 [PMID: 19901998 DOI: 10.1155/2009/835258]</w:t>
      </w:r>
    </w:p>
    <w:p w14:paraId="1347B523"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42 </w:t>
      </w:r>
      <w:r w:rsidRPr="00853B95">
        <w:rPr>
          <w:rFonts w:ascii="Book Antiqua" w:eastAsia="SimSun" w:hAnsi="Book Antiqua" w:cs="SimSun"/>
          <w:b/>
          <w:bCs/>
          <w:kern w:val="0"/>
          <w:szCs w:val="24"/>
        </w:rPr>
        <w:t>Norimura D</w:t>
      </w:r>
      <w:r w:rsidRPr="00853B95">
        <w:rPr>
          <w:rFonts w:ascii="Book Antiqua" w:eastAsia="SimSun" w:hAnsi="Book Antiqua" w:cs="SimSun"/>
          <w:kern w:val="0"/>
          <w:szCs w:val="24"/>
        </w:rPr>
        <w:t>, Isomoto H, Niino D, Akazawa Y, Yamaguchi N, Ohnita K, Shikuwa S, Takeshima F, Nakao K. Magnified endoscopic observation with Fuji Intelligent Chromo Endoscopy of primary duodenal follicular lymphoma. </w:t>
      </w:r>
      <w:r w:rsidRPr="00853B95">
        <w:rPr>
          <w:rFonts w:ascii="Book Antiqua" w:eastAsia="SimSun" w:hAnsi="Book Antiqua" w:cs="SimSun"/>
          <w:i/>
          <w:iCs/>
          <w:kern w:val="0"/>
          <w:szCs w:val="24"/>
        </w:rPr>
        <w:t>Endoscopy</w:t>
      </w:r>
      <w:r w:rsidRPr="00853B95">
        <w:rPr>
          <w:rFonts w:ascii="Book Antiqua" w:eastAsia="SimSun" w:hAnsi="Book Antiqua" w:cs="SimSun"/>
          <w:kern w:val="0"/>
          <w:szCs w:val="24"/>
        </w:rPr>
        <w:t> 2010; </w:t>
      </w:r>
      <w:r w:rsidRPr="00853B95">
        <w:rPr>
          <w:rFonts w:ascii="Book Antiqua" w:eastAsia="SimSun" w:hAnsi="Book Antiqua" w:cs="SimSun"/>
          <w:b/>
          <w:bCs/>
          <w:kern w:val="0"/>
          <w:szCs w:val="24"/>
        </w:rPr>
        <w:t xml:space="preserve">42 </w:t>
      </w:r>
      <w:r w:rsidRPr="00853B95">
        <w:rPr>
          <w:rFonts w:ascii="Book Antiqua" w:eastAsia="SimSun" w:hAnsi="Book Antiqua" w:cs="SimSun"/>
          <w:bCs/>
          <w:kern w:val="0"/>
          <w:szCs w:val="24"/>
        </w:rPr>
        <w:t>Suppl 2</w:t>
      </w:r>
      <w:r w:rsidRPr="00853B95">
        <w:rPr>
          <w:rFonts w:ascii="Book Antiqua" w:eastAsia="SimSun" w:hAnsi="Book Antiqua" w:cs="SimSun"/>
          <w:kern w:val="0"/>
          <w:szCs w:val="24"/>
        </w:rPr>
        <w:t>: E320-E321 [PMID: 21113891 DOI: 10.1055/s-0030-1255825]</w:t>
      </w:r>
    </w:p>
    <w:p w14:paraId="40FCBF8E"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43 </w:t>
      </w:r>
      <w:r w:rsidRPr="00853B95">
        <w:rPr>
          <w:rFonts w:ascii="Book Antiqua" w:eastAsia="SimSun" w:hAnsi="Book Antiqua" w:cs="SimSun"/>
          <w:b/>
          <w:bCs/>
          <w:kern w:val="0"/>
          <w:szCs w:val="24"/>
        </w:rPr>
        <w:t>Norimura D</w:t>
      </w:r>
      <w:r w:rsidRPr="00853B95">
        <w:rPr>
          <w:rFonts w:ascii="Book Antiqua" w:eastAsia="SimSun" w:hAnsi="Book Antiqua" w:cs="SimSun"/>
          <w:kern w:val="0"/>
          <w:szCs w:val="24"/>
        </w:rPr>
        <w:t xml:space="preserve">, Isomoto H, Imaizumi Y, Akazawa Y, Matsushima K, Inoue N, Yamaguchi N, Ohnita K, Shikuwa S, Arima T, Hayashi T, Takeshima F, Miyazaki Y, Nakao K. Case series of duodenal follicular lymphoma, observed </w:t>
      </w:r>
      <w:r w:rsidRPr="00853B95">
        <w:rPr>
          <w:rFonts w:ascii="Book Antiqua" w:eastAsia="SimSun" w:hAnsi="Book Antiqua" w:cs="SimSun"/>
          <w:kern w:val="0"/>
          <w:szCs w:val="24"/>
        </w:rPr>
        <w:lastRenderedPageBreak/>
        <w:t>by magnified endoscopy with narrow-band imaging. </w:t>
      </w:r>
      <w:r w:rsidRPr="00853B95">
        <w:rPr>
          <w:rFonts w:ascii="Book Antiqua" w:eastAsia="SimSun" w:hAnsi="Book Antiqua" w:cs="SimSun"/>
          <w:i/>
          <w:iCs/>
          <w:kern w:val="0"/>
          <w:szCs w:val="24"/>
        </w:rPr>
        <w:t>Gastrointest Endosc</w:t>
      </w:r>
      <w:r w:rsidRPr="00853B95">
        <w:rPr>
          <w:rFonts w:ascii="Book Antiqua" w:eastAsia="SimSun" w:hAnsi="Book Antiqua" w:cs="SimSun"/>
          <w:kern w:val="0"/>
          <w:szCs w:val="24"/>
        </w:rPr>
        <w:t> 2011; </w:t>
      </w:r>
      <w:r w:rsidRPr="00853B95">
        <w:rPr>
          <w:rFonts w:ascii="Book Antiqua" w:eastAsia="SimSun" w:hAnsi="Book Antiqua" w:cs="SimSun"/>
          <w:b/>
          <w:bCs/>
          <w:kern w:val="0"/>
          <w:szCs w:val="24"/>
        </w:rPr>
        <w:t>74</w:t>
      </w:r>
      <w:r w:rsidRPr="00853B95">
        <w:rPr>
          <w:rFonts w:ascii="Book Antiqua" w:eastAsia="SimSun" w:hAnsi="Book Antiqua" w:cs="SimSun"/>
          <w:kern w:val="0"/>
          <w:szCs w:val="24"/>
        </w:rPr>
        <w:t>: 428-434 [PMID: 21620398 DOI: 10.1016/j.gie.2011.03.1237]</w:t>
      </w:r>
    </w:p>
    <w:p w14:paraId="3B4D7B22"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44 </w:t>
      </w:r>
      <w:r w:rsidRPr="00853B95">
        <w:rPr>
          <w:rFonts w:ascii="Book Antiqua" w:eastAsia="SimSun" w:hAnsi="Book Antiqua" w:cs="SimSun"/>
          <w:b/>
          <w:bCs/>
          <w:kern w:val="0"/>
          <w:szCs w:val="24"/>
        </w:rPr>
        <w:t>Iwamuro M</w:t>
      </w:r>
      <w:r w:rsidRPr="00853B95">
        <w:rPr>
          <w:rFonts w:ascii="Book Antiqua" w:eastAsia="SimSun" w:hAnsi="Book Antiqua" w:cs="SimSun"/>
          <w:kern w:val="0"/>
          <w:szCs w:val="24"/>
        </w:rPr>
        <w:t>, Okuda M, Yumoto E, Suzuki S, Shirakawa A, Takata K, Yoshino T, Okada H, Yamamoto K. Magnifying endoscopy for intestinal follicular lymphoma is helpful for prompt diagnosis. </w:t>
      </w:r>
      <w:r w:rsidRPr="00853B95">
        <w:rPr>
          <w:rFonts w:ascii="Book Antiqua" w:eastAsia="SimSun" w:hAnsi="Book Antiqua" w:cs="SimSun"/>
          <w:i/>
          <w:iCs/>
          <w:kern w:val="0"/>
          <w:szCs w:val="24"/>
        </w:rPr>
        <w:t>Gut Liver</w:t>
      </w:r>
      <w:r w:rsidRPr="00853B95">
        <w:rPr>
          <w:rFonts w:ascii="Book Antiqua" w:eastAsia="SimSun" w:hAnsi="Book Antiqua" w:cs="SimSun"/>
          <w:kern w:val="0"/>
          <w:szCs w:val="24"/>
        </w:rPr>
        <w:t> 2013; </w:t>
      </w:r>
      <w:r w:rsidRPr="00853B95">
        <w:rPr>
          <w:rFonts w:ascii="Book Antiqua" w:eastAsia="SimSun" w:hAnsi="Book Antiqua" w:cs="SimSun"/>
          <w:b/>
          <w:bCs/>
          <w:kern w:val="0"/>
          <w:szCs w:val="24"/>
        </w:rPr>
        <w:t>7</w:t>
      </w:r>
      <w:r w:rsidRPr="00853B95">
        <w:rPr>
          <w:rFonts w:ascii="Book Antiqua" w:eastAsia="SimSun" w:hAnsi="Book Antiqua" w:cs="SimSun"/>
          <w:kern w:val="0"/>
          <w:szCs w:val="24"/>
        </w:rPr>
        <w:t>: 258-261 [PMID: 23560166 DOI: 10.5009/gnl.2013.7.2.258]</w:t>
      </w:r>
    </w:p>
    <w:p w14:paraId="2679AB4F"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45 </w:t>
      </w:r>
      <w:r w:rsidRPr="00853B95">
        <w:rPr>
          <w:rFonts w:ascii="Book Antiqua" w:eastAsia="SimSun" w:hAnsi="Book Antiqua" w:cs="SimSun"/>
          <w:b/>
          <w:bCs/>
          <w:kern w:val="0"/>
          <w:szCs w:val="24"/>
        </w:rPr>
        <w:t>Iwamuro M</w:t>
      </w:r>
      <w:r w:rsidRPr="00853B95">
        <w:rPr>
          <w:rFonts w:ascii="Book Antiqua" w:eastAsia="SimSun" w:hAnsi="Book Antiqua" w:cs="SimSun"/>
          <w:kern w:val="0"/>
          <w:szCs w:val="24"/>
        </w:rPr>
        <w:t>, Okada H, Takata K, Kawai Y, Kawano S, Nasu J, Kawahara Y, Tanaka T, Yoshino T, Yamamoto K. Magnified endoscopic features of duodenal follicular lymphoma and other whitish lesions. </w:t>
      </w:r>
      <w:r w:rsidRPr="00853B95">
        <w:rPr>
          <w:rFonts w:ascii="Book Antiqua" w:eastAsia="SimSun" w:hAnsi="Book Antiqua" w:cs="SimSun"/>
          <w:i/>
          <w:iCs/>
          <w:kern w:val="0"/>
          <w:szCs w:val="24"/>
        </w:rPr>
        <w:t>Acta Med Okayama</w:t>
      </w:r>
      <w:r w:rsidRPr="00853B95">
        <w:rPr>
          <w:rFonts w:ascii="Book Antiqua" w:eastAsia="SimSun" w:hAnsi="Book Antiqua" w:cs="SimSun"/>
          <w:kern w:val="0"/>
          <w:szCs w:val="24"/>
        </w:rPr>
        <w:t> 2015; </w:t>
      </w:r>
      <w:r w:rsidRPr="00853B95">
        <w:rPr>
          <w:rFonts w:ascii="Book Antiqua" w:eastAsia="SimSun" w:hAnsi="Book Antiqua" w:cs="SimSun"/>
          <w:b/>
          <w:bCs/>
          <w:kern w:val="0"/>
          <w:szCs w:val="24"/>
        </w:rPr>
        <w:t>69</w:t>
      </w:r>
      <w:r w:rsidRPr="00853B95">
        <w:rPr>
          <w:rFonts w:ascii="Book Antiqua" w:eastAsia="SimSun" w:hAnsi="Book Antiqua" w:cs="SimSun"/>
          <w:kern w:val="0"/>
          <w:szCs w:val="24"/>
        </w:rPr>
        <w:t>: 37-44 [PMID: 25703169]</w:t>
      </w:r>
    </w:p>
    <w:p w14:paraId="24ADB504"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46 </w:t>
      </w:r>
      <w:r w:rsidRPr="00853B95">
        <w:rPr>
          <w:rFonts w:ascii="Book Antiqua" w:eastAsia="SimSun" w:hAnsi="Book Antiqua" w:cs="SimSun"/>
          <w:b/>
          <w:bCs/>
          <w:kern w:val="0"/>
          <w:szCs w:val="24"/>
        </w:rPr>
        <w:t>Iwamuro M</w:t>
      </w:r>
      <w:r w:rsidRPr="00853B95">
        <w:rPr>
          <w:rFonts w:ascii="Book Antiqua" w:eastAsia="SimSun" w:hAnsi="Book Antiqua" w:cs="SimSun"/>
          <w:kern w:val="0"/>
          <w:szCs w:val="24"/>
        </w:rPr>
        <w:t>, Okada H, Takata K, Fujii N, Kawano S, Kawahara Y, Yoshino T, Yamamoto K. Magnifying Endoscopic Observation of Duodenal Involvement of Follicular Lymphoma before and after Chemotherapy. </w:t>
      </w:r>
      <w:r w:rsidRPr="00853B95">
        <w:rPr>
          <w:rFonts w:ascii="Book Antiqua" w:eastAsia="SimSun" w:hAnsi="Book Antiqua" w:cs="SimSun"/>
          <w:i/>
          <w:iCs/>
          <w:kern w:val="0"/>
          <w:szCs w:val="24"/>
        </w:rPr>
        <w:t>Intern Med</w:t>
      </w:r>
      <w:r w:rsidRPr="00853B95">
        <w:rPr>
          <w:rFonts w:ascii="Book Antiqua" w:eastAsia="SimSun" w:hAnsi="Book Antiqua" w:cs="SimSun"/>
          <w:kern w:val="0"/>
          <w:szCs w:val="24"/>
        </w:rPr>
        <w:t> 2015; </w:t>
      </w:r>
      <w:r w:rsidRPr="00853B95">
        <w:rPr>
          <w:rFonts w:ascii="Book Antiqua" w:eastAsia="SimSun" w:hAnsi="Book Antiqua" w:cs="SimSun"/>
          <w:b/>
          <w:bCs/>
          <w:kern w:val="0"/>
          <w:szCs w:val="24"/>
        </w:rPr>
        <w:t>54</w:t>
      </w:r>
      <w:r w:rsidRPr="00853B95">
        <w:rPr>
          <w:rFonts w:ascii="Book Antiqua" w:eastAsia="SimSun" w:hAnsi="Book Antiqua" w:cs="SimSun"/>
          <w:kern w:val="0"/>
          <w:szCs w:val="24"/>
        </w:rPr>
        <w:t>: 1741-1745 [PMID: 26179528 DOI: 10.2169/internalmedicine.54.4390]</w:t>
      </w:r>
    </w:p>
    <w:p w14:paraId="37062096"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47 </w:t>
      </w:r>
      <w:r w:rsidRPr="00853B95">
        <w:rPr>
          <w:rFonts w:ascii="Book Antiqua" w:eastAsia="SimSun" w:hAnsi="Book Antiqua" w:cs="SimSun"/>
          <w:b/>
          <w:bCs/>
          <w:kern w:val="0"/>
          <w:szCs w:val="24"/>
        </w:rPr>
        <w:t>Sentani K</w:t>
      </w:r>
      <w:r w:rsidRPr="00853B95">
        <w:rPr>
          <w:rFonts w:ascii="Book Antiqua" w:eastAsia="SimSun" w:hAnsi="Book Antiqua" w:cs="SimSun"/>
          <w:kern w:val="0"/>
          <w:szCs w:val="24"/>
        </w:rPr>
        <w:t>, Maeshima AM, Nomoto J, Maruyama D, Kim SW, Watanabe T, Kobayashi Y, Tobinai K, Matsuno Y. Follicular lymphoma of the duodenum: a clinicopathologic analysis of 26 cases. </w:t>
      </w:r>
      <w:r w:rsidRPr="00853B95">
        <w:rPr>
          <w:rFonts w:ascii="Book Antiqua" w:eastAsia="SimSun" w:hAnsi="Book Antiqua" w:cs="SimSun"/>
          <w:i/>
          <w:iCs/>
          <w:kern w:val="0"/>
          <w:szCs w:val="24"/>
        </w:rPr>
        <w:t>Jpn J Clin Oncol</w:t>
      </w:r>
      <w:r w:rsidRPr="00853B95">
        <w:rPr>
          <w:rFonts w:ascii="Book Antiqua" w:eastAsia="SimSun" w:hAnsi="Book Antiqua" w:cs="SimSun"/>
          <w:kern w:val="0"/>
          <w:szCs w:val="24"/>
        </w:rPr>
        <w:t> 2008; </w:t>
      </w:r>
      <w:r w:rsidRPr="00853B95">
        <w:rPr>
          <w:rFonts w:ascii="Book Antiqua" w:eastAsia="SimSun" w:hAnsi="Book Antiqua" w:cs="SimSun"/>
          <w:b/>
          <w:bCs/>
          <w:kern w:val="0"/>
          <w:szCs w:val="24"/>
        </w:rPr>
        <w:t>38</w:t>
      </w:r>
      <w:r w:rsidRPr="00853B95">
        <w:rPr>
          <w:rFonts w:ascii="Book Antiqua" w:eastAsia="SimSun" w:hAnsi="Book Antiqua" w:cs="SimSun"/>
          <w:kern w:val="0"/>
          <w:szCs w:val="24"/>
        </w:rPr>
        <w:t>: 547-552 [PMID: 18687756 DOI: 10.1093/jjco/hyn069]</w:t>
      </w:r>
    </w:p>
    <w:p w14:paraId="011CF4EF"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48 </w:t>
      </w:r>
      <w:r w:rsidRPr="00853B95">
        <w:rPr>
          <w:rFonts w:ascii="Book Antiqua" w:eastAsia="SimSun" w:hAnsi="Book Antiqua" w:cs="SimSun"/>
          <w:b/>
          <w:bCs/>
          <w:kern w:val="0"/>
          <w:szCs w:val="24"/>
        </w:rPr>
        <w:t>Tzankov A</w:t>
      </w:r>
      <w:r w:rsidRPr="00853B95">
        <w:rPr>
          <w:rFonts w:ascii="Book Antiqua" w:eastAsia="SimSun" w:hAnsi="Book Antiqua" w:cs="SimSun"/>
          <w:kern w:val="0"/>
          <w:szCs w:val="24"/>
        </w:rPr>
        <w:t>, Hittmair A, Müller-Hermelink HK, Rüdiger T, Dirnhofer S. Primary gastric follicular lymphoma with parafollicular monocytoid B-cells and lymphoepithelial lesions, mimicking extranodal marginal zone lymphoma of MALT. </w:t>
      </w:r>
      <w:r w:rsidRPr="00853B95">
        <w:rPr>
          <w:rFonts w:ascii="Book Antiqua" w:eastAsia="SimSun" w:hAnsi="Book Antiqua" w:cs="SimSun"/>
          <w:i/>
          <w:iCs/>
          <w:kern w:val="0"/>
          <w:szCs w:val="24"/>
        </w:rPr>
        <w:t>Virchows Arch</w:t>
      </w:r>
      <w:r w:rsidRPr="00853B95">
        <w:rPr>
          <w:rFonts w:ascii="Book Antiqua" w:eastAsia="SimSun" w:hAnsi="Book Antiqua" w:cs="SimSun"/>
          <w:kern w:val="0"/>
          <w:szCs w:val="24"/>
        </w:rPr>
        <w:t> 2002; </w:t>
      </w:r>
      <w:r w:rsidRPr="00853B95">
        <w:rPr>
          <w:rFonts w:ascii="Book Antiqua" w:eastAsia="SimSun" w:hAnsi="Book Antiqua" w:cs="SimSun"/>
          <w:b/>
          <w:bCs/>
          <w:kern w:val="0"/>
          <w:szCs w:val="24"/>
        </w:rPr>
        <w:t>441</w:t>
      </w:r>
      <w:r w:rsidRPr="00853B95">
        <w:rPr>
          <w:rFonts w:ascii="Book Antiqua" w:eastAsia="SimSun" w:hAnsi="Book Antiqua" w:cs="SimSun"/>
          <w:kern w:val="0"/>
          <w:szCs w:val="24"/>
        </w:rPr>
        <w:t>: 614-617 [PMID: 12461620]</w:t>
      </w:r>
    </w:p>
    <w:p w14:paraId="4EED3184"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49 </w:t>
      </w:r>
      <w:r w:rsidRPr="00853B95">
        <w:rPr>
          <w:rFonts w:ascii="Book Antiqua" w:eastAsia="SimSun" w:hAnsi="Book Antiqua" w:cs="SimSun"/>
          <w:b/>
          <w:bCs/>
          <w:kern w:val="0"/>
          <w:szCs w:val="24"/>
        </w:rPr>
        <w:t>Montoto S</w:t>
      </w:r>
      <w:r w:rsidRPr="00853B95">
        <w:rPr>
          <w:rFonts w:ascii="Book Antiqua" w:eastAsia="SimSun" w:hAnsi="Book Antiqua" w:cs="SimSun"/>
          <w:kern w:val="0"/>
          <w:szCs w:val="24"/>
        </w:rPr>
        <w:t xml:space="preserve">, Davies AJ, Matthews J, Calaminici M, Norton AJ, Amess J, Vinnicombe S, Waters R, Rohatiner AZ, Lister TA. Risk and clinical implications </w:t>
      </w:r>
      <w:r w:rsidRPr="00853B95">
        <w:rPr>
          <w:rFonts w:ascii="Book Antiqua" w:eastAsia="SimSun" w:hAnsi="Book Antiqua" w:cs="SimSun"/>
          <w:kern w:val="0"/>
          <w:szCs w:val="24"/>
        </w:rPr>
        <w:lastRenderedPageBreak/>
        <w:t>of transformation of follicular lymphoma to diffuse large B-cell lymphoma. </w:t>
      </w:r>
      <w:r w:rsidRPr="00853B95">
        <w:rPr>
          <w:rFonts w:ascii="Book Antiqua" w:eastAsia="SimSun" w:hAnsi="Book Antiqua" w:cs="SimSun"/>
          <w:i/>
          <w:iCs/>
          <w:kern w:val="0"/>
          <w:szCs w:val="24"/>
        </w:rPr>
        <w:t>J Clin Oncol</w:t>
      </w:r>
      <w:r w:rsidRPr="00853B95">
        <w:rPr>
          <w:rFonts w:ascii="Book Antiqua" w:eastAsia="SimSun" w:hAnsi="Book Antiqua" w:cs="SimSun"/>
          <w:kern w:val="0"/>
          <w:szCs w:val="24"/>
        </w:rPr>
        <w:t> 2007; </w:t>
      </w:r>
      <w:r w:rsidRPr="00853B95">
        <w:rPr>
          <w:rFonts w:ascii="Book Antiqua" w:eastAsia="SimSun" w:hAnsi="Book Antiqua" w:cs="SimSun"/>
          <w:b/>
          <w:bCs/>
          <w:kern w:val="0"/>
          <w:szCs w:val="24"/>
        </w:rPr>
        <w:t>25</w:t>
      </w:r>
      <w:r w:rsidRPr="00853B95">
        <w:rPr>
          <w:rFonts w:ascii="Book Antiqua" w:eastAsia="SimSun" w:hAnsi="Book Antiqua" w:cs="SimSun"/>
          <w:kern w:val="0"/>
          <w:szCs w:val="24"/>
        </w:rPr>
        <w:t>: 2426-2433 [PMID: 17485708]</w:t>
      </w:r>
    </w:p>
    <w:p w14:paraId="7C9173BC"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50 </w:t>
      </w:r>
      <w:r w:rsidRPr="00853B95">
        <w:rPr>
          <w:rFonts w:ascii="Book Antiqua" w:eastAsia="SimSun" w:hAnsi="Book Antiqua" w:cs="SimSun"/>
          <w:b/>
          <w:bCs/>
          <w:kern w:val="0"/>
          <w:szCs w:val="24"/>
        </w:rPr>
        <w:t>Miyata-Takata T</w:t>
      </w:r>
      <w:r w:rsidRPr="00853B95">
        <w:rPr>
          <w:rFonts w:ascii="Book Antiqua" w:eastAsia="SimSun" w:hAnsi="Book Antiqua" w:cs="SimSun"/>
          <w:kern w:val="0"/>
          <w:szCs w:val="24"/>
        </w:rPr>
        <w:t>, Takata K, Sato Y, Taniguchi K, Takahashi Y, Ohara N, Yoshino T. A case of diffuse large B-cell lymphoma transformed from primary duodenal follicular lymphoma. </w:t>
      </w:r>
      <w:r w:rsidRPr="00853B95">
        <w:rPr>
          <w:rFonts w:ascii="Book Antiqua" w:eastAsia="SimSun" w:hAnsi="Book Antiqua" w:cs="SimSun"/>
          <w:i/>
          <w:iCs/>
          <w:kern w:val="0"/>
          <w:szCs w:val="24"/>
        </w:rPr>
        <w:t>Pathol Int</w:t>
      </w:r>
      <w:r w:rsidRPr="00853B95">
        <w:rPr>
          <w:rFonts w:ascii="Book Antiqua" w:eastAsia="SimSun" w:hAnsi="Book Antiqua" w:cs="SimSun"/>
          <w:kern w:val="0"/>
          <w:szCs w:val="24"/>
        </w:rPr>
        <w:t> 2014; </w:t>
      </w:r>
      <w:r w:rsidRPr="00853B95">
        <w:rPr>
          <w:rFonts w:ascii="Book Antiqua" w:eastAsia="SimSun" w:hAnsi="Book Antiqua" w:cs="SimSun"/>
          <w:b/>
          <w:bCs/>
          <w:kern w:val="0"/>
          <w:szCs w:val="24"/>
        </w:rPr>
        <w:t>64</w:t>
      </w:r>
      <w:r w:rsidRPr="00853B95">
        <w:rPr>
          <w:rFonts w:ascii="Book Antiqua" w:eastAsia="SimSun" w:hAnsi="Book Antiqua" w:cs="SimSun"/>
          <w:kern w:val="0"/>
          <w:szCs w:val="24"/>
        </w:rPr>
        <w:t>: 527-532 [PMID: 25186289 DOI: 10.1111/pin.12197]</w:t>
      </w:r>
    </w:p>
    <w:p w14:paraId="7311F658" w14:textId="77777777" w:rsidR="009A7EB3" w:rsidRPr="00853B95" w:rsidRDefault="009A7EB3" w:rsidP="009A7EB3">
      <w:pPr>
        <w:widowControl/>
        <w:spacing w:line="360" w:lineRule="auto"/>
        <w:rPr>
          <w:rFonts w:ascii="Book Antiqua" w:eastAsia="SimSun" w:hAnsi="Book Antiqua" w:cs="SimSun"/>
          <w:kern w:val="0"/>
          <w:szCs w:val="24"/>
        </w:rPr>
      </w:pPr>
      <w:bookmarkStart w:id="66" w:name="OLE_LINK576"/>
      <w:bookmarkStart w:id="67" w:name="OLE_LINK577"/>
      <w:bookmarkEnd w:id="56"/>
      <w:bookmarkEnd w:id="57"/>
      <w:r w:rsidRPr="00853B95">
        <w:rPr>
          <w:rFonts w:ascii="Book Antiqua" w:eastAsia="SimSun" w:hAnsi="Book Antiqua" w:cs="SimSun"/>
          <w:kern w:val="0"/>
          <w:szCs w:val="24"/>
        </w:rPr>
        <w:t>51 </w:t>
      </w:r>
      <w:r w:rsidRPr="00853B95">
        <w:rPr>
          <w:rFonts w:ascii="Book Antiqua" w:eastAsia="SimSun" w:hAnsi="Book Antiqua" w:cs="SimSun"/>
          <w:b/>
          <w:bCs/>
          <w:kern w:val="0"/>
          <w:szCs w:val="24"/>
        </w:rPr>
        <w:t>Barrington SF</w:t>
      </w:r>
      <w:r w:rsidRPr="00853B95">
        <w:rPr>
          <w:rFonts w:ascii="Book Antiqua" w:eastAsia="SimSun" w:hAnsi="Book Antiqua" w:cs="SimSun"/>
          <w:kern w:val="0"/>
          <w:szCs w:val="24"/>
        </w:rPr>
        <w:t>, Mikhaeel NG, Kostakoglu L, Meignan M, Hutchings M, Müeller SP, Schwartz LH, Zucca E, Fisher RI, Trotman J, Hoekstra OS, Hicks RJ, O'Doherty MJ, Hustinx R, Biggi A, Cheson BD. Role of imaging in the staging and response assessment of lymphoma: consensus of the International Conference on Malignant Lymphomas Imaging Working Group. </w:t>
      </w:r>
      <w:r w:rsidRPr="00853B95">
        <w:rPr>
          <w:rFonts w:ascii="Book Antiqua" w:eastAsia="SimSun" w:hAnsi="Book Antiqua" w:cs="SimSun"/>
          <w:i/>
          <w:iCs/>
          <w:kern w:val="0"/>
          <w:szCs w:val="24"/>
        </w:rPr>
        <w:t>J Clin Oncol</w:t>
      </w:r>
      <w:r w:rsidRPr="00853B95">
        <w:rPr>
          <w:rFonts w:ascii="Book Antiqua" w:eastAsia="SimSun" w:hAnsi="Book Antiqua" w:cs="SimSun"/>
          <w:kern w:val="0"/>
          <w:szCs w:val="24"/>
        </w:rPr>
        <w:t> 2014; </w:t>
      </w:r>
      <w:r w:rsidRPr="00853B95">
        <w:rPr>
          <w:rFonts w:ascii="Book Antiqua" w:eastAsia="SimSun" w:hAnsi="Book Antiqua" w:cs="SimSun"/>
          <w:b/>
          <w:bCs/>
          <w:kern w:val="0"/>
          <w:szCs w:val="24"/>
        </w:rPr>
        <w:t>32</w:t>
      </w:r>
      <w:r w:rsidRPr="00853B95">
        <w:rPr>
          <w:rFonts w:ascii="Book Antiqua" w:eastAsia="SimSun" w:hAnsi="Book Antiqua" w:cs="SimSun"/>
          <w:kern w:val="0"/>
          <w:szCs w:val="24"/>
        </w:rPr>
        <w:t>: 3048-3058 [PMID: 25113771]</w:t>
      </w:r>
    </w:p>
    <w:p w14:paraId="13248256"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52 </w:t>
      </w:r>
      <w:r w:rsidRPr="00853B95">
        <w:rPr>
          <w:rFonts w:ascii="Book Antiqua" w:eastAsia="SimSun" w:hAnsi="Book Antiqua" w:cs="SimSun"/>
          <w:b/>
          <w:bCs/>
          <w:kern w:val="0"/>
          <w:szCs w:val="24"/>
        </w:rPr>
        <w:t>Karam M</w:t>
      </w:r>
      <w:r w:rsidRPr="00853B95">
        <w:rPr>
          <w:rFonts w:ascii="Book Antiqua" w:eastAsia="SimSun" w:hAnsi="Book Antiqua" w:cs="SimSun"/>
          <w:kern w:val="0"/>
          <w:szCs w:val="24"/>
        </w:rPr>
        <w:t>, Novak L, Cyriac J, Ali A, Nazeer T, Nugent F. Role of fluorine-18 fluoro-deoxyglucose positron emission tomography scan in the evaluation and follow-up of patients with low-grade lymphomas. </w:t>
      </w:r>
      <w:r w:rsidRPr="00853B95">
        <w:rPr>
          <w:rFonts w:ascii="Book Antiqua" w:eastAsia="SimSun" w:hAnsi="Book Antiqua" w:cs="SimSun"/>
          <w:i/>
          <w:iCs/>
          <w:kern w:val="0"/>
          <w:szCs w:val="24"/>
        </w:rPr>
        <w:t>Cancer</w:t>
      </w:r>
      <w:r w:rsidRPr="00853B95">
        <w:rPr>
          <w:rFonts w:ascii="Book Antiqua" w:eastAsia="SimSun" w:hAnsi="Book Antiqua" w:cs="SimSun"/>
          <w:kern w:val="0"/>
          <w:szCs w:val="24"/>
        </w:rPr>
        <w:t> 2006; </w:t>
      </w:r>
      <w:r w:rsidRPr="00853B95">
        <w:rPr>
          <w:rFonts w:ascii="Book Antiqua" w:eastAsia="SimSun" w:hAnsi="Book Antiqua" w:cs="SimSun"/>
          <w:b/>
          <w:bCs/>
          <w:kern w:val="0"/>
          <w:szCs w:val="24"/>
        </w:rPr>
        <w:t>107</w:t>
      </w:r>
      <w:r w:rsidRPr="00853B95">
        <w:rPr>
          <w:rFonts w:ascii="Book Antiqua" w:eastAsia="SimSun" w:hAnsi="Book Antiqua" w:cs="SimSun"/>
          <w:kern w:val="0"/>
          <w:szCs w:val="24"/>
        </w:rPr>
        <w:t>: 175-183 [PMID: 16721817</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10.1002/cncr.21967]</w:t>
      </w:r>
    </w:p>
    <w:p w14:paraId="7AA8D429"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53 </w:t>
      </w:r>
      <w:r w:rsidRPr="00853B95">
        <w:rPr>
          <w:rFonts w:ascii="Book Antiqua" w:eastAsia="SimSun" w:hAnsi="Book Antiqua" w:cs="SimSun"/>
          <w:b/>
          <w:bCs/>
          <w:kern w:val="0"/>
          <w:szCs w:val="24"/>
        </w:rPr>
        <w:t>Wirth A</w:t>
      </w:r>
      <w:r w:rsidRPr="00853B95">
        <w:rPr>
          <w:rFonts w:ascii="Book Antiqua" w:eastAsia="SimSun" w:hAnsi="Book Antiqua" w:cs="SimSun"/>
          <w:kern w:val="0"/>
          <w:szCs w:val="24"/>
        </w:rPr>
        <w:t>, Foo M, Seymour JF, Macmanus MP, Hicks RJ. Impact of [18f] fluorodeoxyglucose positron emission tomography on staging and management of early-stage follicular non-hodgkin lymphoma. </w:t>
      </w:r>
      <w:r w:rsidRPr="00853B95">
        <w:rPr>
          <w:rFonts w:ascii="Book Antiqua" w:eastAsia="SimSun" w:hAnsi="Book Antiqua" w:cs="SimSun"/>
          <w:i/>
          <w:iCs/>
          <w:kern w:val="0"/>
          <w:szCs w:val="24"/>
        </w:rPr>
        <w:t>Int J Radiat Oncol Biol Phys</w:t>
      </w:r>
      <w:r w:rsidRPr="00853B95">
        <w:rPr>
          <w:rFonts w:ascii="Book Antiqua" w:eastAsia="SimSun" w:hAnsi="Book Antiqua" w:cs="SimSun"/>
          <w:kern w:val="0"/>
          <w:szCs w:val="24"/>
        </w:rPr>
        <w:t> 2008; </w:t>
      </w:r>
      <w:r w:rsidRPr="00853B95">
        <w:rPr>
          <w:rFonts w:ascii="Book Antiqua" w:eastAsia="SimSun" w:hAnsi="Book Antiqua" w:cs="SimSun"/>
          <w:b/>
          <w:bCs/>
          <w:kern w:val="0"/>
          <w:szCs w:val="24"/>
        </w:rPr>
        <w:t>71</w:t>
      </w:r>
      <w:r w:rsidRPr="00853B95">
        <w:rPr>
          <w:rFonts w:ascii="Book Antiqua" w:eastAsia="SimSun" w:hAnsi="Book Antiqua" w:cs="SimSun"/>
          <w:kern w:val="0"/>
          <w:szCs w:val="24"/>
        </w:rPr>
        <w:t>: 213-219 [PMID: 18295982 DOI: 10.1016/j.ijrobp.2007.09.051]</w:t>
      </w:r>
    </w:p>
    <w:p w14:paraId="39E02E91"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54 </w:t>
      </w:r>
      <w:r w:rsidRPr="00853B95">
        <w:rPr>
          <w:rFonts w:ascii="Book Antiqua" w:eastAsia="SimSun" w:hAnsi="Book Antiqua" w:cs="SimSun"/>
          <w:b/>
          <w:bCs/>
          <w:kern w:val="0"/>
          <w:szCs w:val="24"/>
        </w:rPr>
        <w:t>Newman JS</w:t>
      </w:r>
      <w:r w:rsidRPr="00853B95">
        <w:rPr>
          <w:rFonts w:ascii="Book Antiqua" w:eastAsia="SimSun" w:hAnsi="Book Antiqua" w:cs="SimSun"/>
          <w:kern w:val="0"/>
          <w:szCs w:val="24"/>
        </w:rPr>
        <w:t>, Francis IR, Kaminski MS, Wahl RL. Imaging of lymphoma with PET with 2-[F-18]-fluoro-2-deoxy-D-glucose: correlation with CT. </w:t>
      </w:r>
      <w:r w:rsidRPr="00853B95">
        <w:rPr>
          <w:rFonts w:ascii="Book Antiqua" w:eastAsia="SimSun" w:hAnsi="Book Antiqua" w:cs="SimSun"/>
          <w:i/>
          <w:iCs/>
          <w:kern w:val="0"/>
          <w:szCs w:val="24"/>
        </w:rPr>
        <w:t>Radiology</w:t>
      </w:r>
      <w:r w:rsidRPr="00853B95">
        <w:rPr>
          <w:rFonts w:ascii="Book Antiqua" w:eastAsia="SimSun" w:hAnsi="Book Antiqua" w:cs="SimSun"/>
          <w:kern w:val="0"/>
          <w:szCs w:val="24"/>
        </w:rPr>
        <w:t> 1994; </w:t>
      </w:r>
      <w:r w:rsidRPr="00853B95">
        <w:rPr>
          <w:rFonts w:ascii="Book Antiqua" w:eastAsia="SimSun" w:hAnsi="Book Antiqua" w:cs="SimSun"/>
          <w:b/>
          <w:bCs/>
          <w:kern w:val="0"/>
          <w:szCs w:val="24"/>
        </w:rPr>
        <w:t>190</w:t>
      </w:r>
      <w:r w:rsidRPr="00853B95">
        <w:rPr>
          <w:rFonts w:ascii="Book Antiqua" w:eastAsia="SimSun" w:hAnsi="Book Antiqua" w:cs="SimSun"/>
          <w:kern w:val="0"/>
          <w:szCs w:val="24"/>
        </w:rPr>
        <w:t>: 111-116 [PMID: 8259386</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10.1148/radiology.190.1.8259386]</w:t>
      </w:r>
    </w:p>
    <w:p w14:paraId="68674C50"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lastRenderedPageBreak/>
        <w:t>55 </w:t>
      </w:r>
      <w:r w:rsidRPr="00853B95">
        <w:rPr>
          <w:rFonts w:ascii="Book Antiqua" w:eastAsia="SimSun" w:hAnsi="Book Antiqua" w:cs="SimSun"/>
          <w:b/>
          <w:bCs/>
          <w:kern w:val="0"/>
          <w:szCs w:val="24"/>
        </w:rPr>
        <w:t>Moog F</w:t>
      </w:r>
      <w:r w:rsidRPr="00853B95">
        <w:rPr>
          <w:rFonts w:ascii="Book Antiqua" w:eastAsia="SimSun" w:hAnsi="Book Antiqua" w:cs="SimSun"/>
          <w:kern w:val="0"/>
          <w:szCs w:val="24"/>
        </w:rPr>
        <w:t>, Bangerter M, Diederichs CG, Guhlmann A, Kotzerke J, Merkle E, Kolokythas O, Herrmann F, Reske SN. Lymphoma: role of whole-body 2-deoxy-2-[F-18]fluoro-D-glucose (FDG) PET in nodal staging. </w:t>
      </w:r>
      <w:r w:rsidRPr="00853B95">
        <w:rPr>
          <w:rFonts w:ascii="Book Antiqua" w:eastAsia="SimSun" w:hAnsi="Book Antiqua" w:cs="SimSun"/>
          <w:i/>
          <w:iCs/>
          <w:kern w:val="0"/>
          <w:szCs w:val="24"/>
        </w:rPr>
        <w:t>Radiology</w:t>
      </w:r>
      <w:r w:rsidRPr="00853B95">
        <w:rPr>
          <w:rFonts w:ascii="Book Antiqua" w:eastAsia="SimSun" w:hAnsi="Book Antiqua" w:cs="SimSun"/>
          <w:kern w:val="0"/>
          <w:szCs w:val="24"/>
        </w:rPr>
        <w:t> 1997; </w:t>
      </w:r>
      <w:r w:rsidRPr="00853B95">
        <w:rPr>
          <w:rFonts w:ascii="Book Antiqua" w:eastAsia="SimSun" w:hAnsi="Book Antiqua" w:cs="SimSun"/>
          <w:b/>
          <w:bCs/>
          <w:kern w:val="0"/>
          <w:szCs w:val="24"/>
        </w:rPr>
        <w:t>203</w:t>
      </w:r>
      <w:r w:rsidRPr="00853B95">
        <w:rPr>
          <w:rFonts w:ascii="Book Antiqua" w:eastAsia="SimSun" w:hAnsi="Book Antiqua" w:cs="SimSun"/>
          <w:kern w:val="0"/>
          <w:szCs w:val="24"/>
        </w:rPr>
        <w:t>: 795-800 [PMID: 9169707</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10.1148/radiology.203.3.9169707]</w:t>
      </w:r>
    </w:p>
    <w:p w14:paraId="5DE77885"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56 </w:t>
      </w:r>
      <w:r w:rsidRPr="00853B95">
        <w:rPr>
          <w:rFonts w:ascii="Book Antiqua" w:eastAsia="SimSun" w:hAnsi="Book Antiqua" w:cs="SimSun"/>
          <w:b/>
          <w:bCs/>
          <w:kern w:val="0"/>
          <w:szCs w:val="24"/>
        </w:rPr>
        <w:t>Stumpe KD</w:t>
      </w:r>
      <w:r w:rsidRPr="00853B95">
        <w:rPr>
          <w:rFonts w:ascii="Book Antiqua" w:eastAsia="SimSun" w:hAnsi="Book Antiqua" w:cs="SimSun"/>
          <w:kern w:val="0"/>
          <w:szCs w:val="24"/>
        </w:rPr>
        <w:t>, Urbinelli M, Steinert HC, Glanzmann C, Buck A, von Schulthess GK. Whole-body positron emission tomography using fluorodeoxyglucose for staging of lymphoma: effectiveness and comparison with computed tomography. </w:t>
      </w:r>
      <w:r w:rsidRPr="00853B95">
        <w:rPr>
          <w:rFonts w:ascii="Book Antiqua" w:eastAsia="SimSun" w:hAnsi="Book Antiqua" w:cs="SimSun"/>
          <w:i/>
          <w:iCs/>
          <w:kern w:val="0"/>
          <w:szCs w:val="24"/>
        </w:rPr>
        <w:t>Eur J Nucl Med</w:t>
      </w:r>
      <w:r w:rsidRPr="00853B95">
        <w:rPr>
          <w:rFonts w:ascii="Book Antiqua" w:eastAsia="SimSun" w:hAnsi="Book Antiqua" w:cs="SimSun"/>
          <w:kern w:val="0"/>
          <w:szCs w:val="24"/>
        </w:rPr>
        <w:t> 1998; </w:t>
      </w:r>
      <w:r w:rsidRPr="00853B95">
        <w:rPr>
          <w:rFonts w:ascii="Book Antiqua" w:eastAsia="SimSun" w:hAnsi="Book Antiqua" w:cs="SimSun"/>
          <w:b/>
          <w:bCs/>
          <w:kern w:val="0"/>
          <w:szCs w:val="24"/>
        </w:rPr>
        <w:t>25</w:t>
      </w:r>
      <w:r w:rsidRPr="00853B95">
        <w:rPr>
          <w:rFonts w:ascii="Book Antiqua" w:eastAsia="SimSun" w:hAnsi="Book Antiqua" w:cs="SimSun"/>
          <w:kern w:val="0"/>
          <w:szCs w:val="24"/>
        </w:rPr>
        <w:t>: 721-728 [PMID: 9662594</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10.1007/s002590050275]</w:t>
      </w:r>
    </w:p>
    <w:p w14:paraId="14076FE5"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57 </w:t>
      </w:r>
      <w:r w:rsidRPr="00853B95">
        <w:rPr>
          <w:rFonts w:ascii="Book Antiqua" w:eastAsia="SimSun" w:hAnsi="Book Antiqua" w:cs="SimSun"/>
          <w:b/>
          <w:bCs/>
          <w:kern w:val="0"/>
          <w:szCs w:val="24"/>
        </w:rPr>
        <w:t>Jerusalem G</w:t>
      </w:r>
      <w:r w:rsidRPr="00853B95">
        <w:rPr>
          <w:rFonts w:ascii="Book Antiqua" w:eastAsia="SimSun" w:hAnsi="Book Antiqua" w:cs="SimSun"/>
          <w:kern w:val="0"/>
          <w:szCs w:val="24"/>
        </w:rPr>
        <w:t>, Beguin Y, Najjar F, Hustinx R, Fassotte MF, Rigo P, Fillet G. Positron emission tomography (PET) with 18F-fluorodeoxyglucose (18F-FDG) for the staging of low-grade non-Hodgkin's lymphoma (NHL). </w:t>
      </w:r>
      <w:r w:rsidRPr="00853B95">
        <w:rPr>
          <w:rFonts w:ascii="Book Antiqua" w:eastAsia="SimSun" w:hAnsi="Book Antiqua" w:cs="SimSun"/>
          <w:i/>
          <w:iCs/>
          <w:kern w:val="0"/>
          <w:szCs w:val="24"/>
        </w:rPr>
        <w:t>Ann Oncol</w:t>
      </w:r>
      <w:r w:rsidRPr="00853B95">
        <w:rPr>
          <w:rFonts w:ascii="Book Antiqua" w:eastAsia="SimSun" w:hAnsi="Book Antiqua" w:cs="SimSun"/>
          <w:kern w:val="0"/>
          <w:szCs w:val="24"/>
        </w:rPr>
        <w:t> 2001; </w:t>
      </w:r>
      <w:r w:rsidRPr="00853B95">
        <w:rPr>
          <w:rFonts w:ascii="Book Antiqua" w:eastAsia="SimSun" w:hAnsi="Book Antiqua" w:cs="SimSun"/>
          <w:b/>
          <w:bCs/>
          <w:kern w:val="0"/>
          <w:szCs w:val="24"/>
        </w:rPr>
        <w:t>12</w:t>
      </w:r>
      <w:r w:rsidRPr="00853B95">
        <w:rPr>
          <w:rFonts w:ascii="Book Antiqua" w:eastAsia="SimSun" w:hAnsi="Book Antiqua" w:cs="SimSun"/>
          <w:kern w:val="0"/>
          <w:szCs w:val="24"/>
        </w:rPr>
        <w:t>: 825-830 [PMID: 11484959</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10.1023/A:1011169332265]</w:t>
      </w:r>
    </w:p>
    <w:p w14:paraId="7C5C550B"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58 </w:t>
      </w:r>
      <w:r w:rsidRPr="00853B95">
        <w:rPr>
          <w:rFonts w:ascii="Book Antiqua" w:eastAsia="SimSun" w:hAnsi="Book Antiqua" w:cs="SimSun"/>
          <w:b/>
          <w:bCs/>
          <w:kern w:val="0"/>
          <w:szCs w:val="24"/>
        </w:rPr>
        <w:t>Wöhrer S</w:t>
      </w:r>
      <w:r w:rsidRPr="00853B95">
        <w:rPr>
          <w:rFonts w:ascii="Book Antiqua" w:eastAsia="SimSun" w:hAnsi="Book Antiqua" w:cs="SimSun"/>
          <w:kern w:val="0"/>
          <w:szCs w:val="24"/>
        </w:rPr>
        <w:t>, Jaeger U, Kletter K, Becherer A, Hauswirth A, Turetschek K, Raderer M, Hoffmann M. 18F-fluoro-deoxy-glucose positron emission tomography (18F-FDG-PET) visualizes follicular lymphoma irrespective of grading. </w:t>
      </w:r>
      <w:r w:rsidRPr="00853B95">
        <w:rPr>
          <w:rFonts w:ascii="Book Antiqua" w:eastAsia="SimSun" w:hAnsi="Book Antiqua" w:cs="SimSun"/>
          <w:i/>
          <w:iCs/>
          <w:kern w:val="0"/>
          <w:szCs w:val="24"/>
        </w:rPr>
        <w:t>Ann Oncol</w:t>
      </w:r>
      <w:r w:rsidRPr="00853B95">
        <w:rPr>
          <w:rFonts w:ascii="Book Antiqua" w:eastAsia="SimSun" w:hAnsi="Book Antiqua" w:cs="SimSun"/>
          <w:kern w:val="0"/>
          <w:szCs w:val="24"/>
        </w:rPr>
        <w:t> 2006; </w:t>
      </w:r>
      <w:r w:rsidRPr="00853B95">
        <w:rPr>
          <w:rFonts w:ascii="Book Antiqua" w:eastAsia="SimSun" w:hAnsi="Book Antiqua" w:cs="SimSun"/>
          <w:b/>
          <w:bCs/>
          <w:kern w:val="0"/>
          <w:szCs w:val="24"/>
        </w:rPr>
        <w:t>17</w:t>
      </w:r>
      <w:r w:rsidRPr="00853B95">
        <w:rPr>
          <w:rFonts w:ascii="Book Antiqua" w:eastAsia="SimSun" w:hAnsi="Book Antiqua" w:cs="SimSun"/>
          <w:kern w:val="0"/>
          <w:szCs w:val="24"/>
        </w:rPr>
        <w:t>: 780-784 [PMID: 16497824</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10.1093/annonc/mdl014]</w:t>
      </w:r>
    </w:p>
    <w:p w14:paraId="7D377151"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59 </w:t>
      </w:r>
      <w:r w:rsidRPr="00853B95">
        <w:rPr>
          <w:rFonts w:ascii="Book Antiqua" w:eastAsia="SimSun" w:hAnsi="Book Antiqua" w:cs="SimSun"/>
          <w:b/>
          <w:bCs/>
          <w:kern w:val="0"/>
          <w:szCs w:val="24"/>
        </w:rPr>
        <w:t>Iwamuro M</w:t>
      </w:r>
      <w:r w:rsidRPr="00853B95">
        <w:rPr>
          <w:rFonts w:ascii="Book Antiqua" w:eastAsia="SimSun" w:hAnsi="Book Antiqua" w:cs="SimSun"/>
          <w:kern w:val="0"/>
          <w:szCs w:val="24"/>
        </w:rPr>
        <w:t xml:space="preserve">, Okada H, Takata K, Shinagawa K, Fujiki S, Shiode J, Imagawa A, Araki M, Morito T, Nishimura M, Mizuno M, Inaba T, Suzuki S, Kawai Y, Yoshino T, Kawahara Y, Takaki A, Yamamoto K. Diagnostic role of 18F-fluorodeoxyglucose positron emission tomography for follicular lymphoma </w:t>
      </w:r>
      <w:r w:rsidRPr="00853B95">
        <w:rPr>
          <w:rFonts w:ascii="Book Antiqua" w:eastAsia="SimSun" w:hAnsi="Book Antiqua" w:cs="SimSun"/>
          <w:kern w:val="0"/>
          <w:szCs w:val="24"/>
        </w:rPr>
        <w:lastRenderedPageBreak/>
        <w:t>with gastrointestinal involvement. </w:t>
      </w:r>
      <w:r w:rsidRPr="00853B95">
        <w:rPr>
          <w:rFonts w:ascii="Book Antiqua" w:eastAsia="SimSun" w:hAnsi="Book Antiqua" w:cs="SimSun"/>
          <w:i/>
          <w:iCs/>
          <w:kern w:val="0"/>
          <w:szCs w:val="24"/>
        </w:rPr>
        <w:t>World J Gastroenterol</w:t>
      </w:r>
      <w:r w:rsidRPr="00853B95">
        <w:rPr>
          <w:rFonts w:ascii="Book Antiqua" w:eastAsia="SimSun" w:hAnsi="Book Antiqua" w:cs="SimSun"/>
          <w:kern w:val="0"/>
          <w:szCs w:val="24"/>
        </w:rPr>
        <w:t> 2012; </w:t>
      </w:r>
      <w:r w:rsidRPr="00853B95">
        <w:rPr>
          <w:rFonts w:ascii="Book Antiqua" w:eastAsia="SimSun" w:hAnsi="Book Antiqua" w:cs="SimSun"/>
          <w:b/>
          <w:bCs/>
          <w:kern w:val="0"/>
          <w:szCs w:val="24"/>
        </w:rPr>
        <w:t>18</w:t>
      </w:r>
      <w:r w:rsidRPr="00853B95">
        <w:rPr>
          <w:rFonts w:ascii="Book Antiqua" w:eastAsia="SimSun" w:hAnsi="Book Antiqua" w:cs="SimSun"/>
          <w:kern w:val="0"/>
          <w:szCs w:val="24"/>
        </w:rPr>
        <w:t>: 6427-636; discussion p.6434 [PMID: 23197888 DOI: 10.3748/wjg.v18.i44.6427]</w:t>
      </w:r>
    </w:p>
    <w:p w14:paraId="53032709"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60 </w:t>
      </w:r>
      <w:r w:rsidRPr="00853B95">
        <w:rPr>
          <w:rFonts w:ascii="Book Antiqua" w:eastAsia="SimSun" w:hAnsi="Book Antiqua" w:cs="SimSun"/>
          <w:b/>
          <w:bCs/>
          <w:kern w:val="0"/>
          <w:szCs w:val="24"/>
        </w:rPr>
        <w:t>Paes FM</w:t>
      </w:r>
      <w:r w:rsidRPr="00853B95">
        <w:rPr>
          <w:rFonts w:ascii="Book Antiqua" w:eastAsia="SimSun" w:hAnsi="Book Antiqua" w:cs="SimSun"/>
          <w:kern w:val="0"/>
          <w:szCs w:val="24"/>
        </w:rPr>
        <w:t>, Kalkanis DG, Sideras PA, Serafini AN. FDG PET/CT of extranodal involvement in non-Hodgkin lymphoma and Hodgkin disease. </w:t>
      </w:r>
      <w:r w:rsidRPr="00853B95">
        <w:rPr>
          <w:rFonts w:ascii="Book Antiqua" w:eastAsia="SimSun" w:hAnsi="Book Antiqua" w:cs="SimSun"/>
          <w:i/>
          <w:iCs/>
          <w:kern w:val="0"/>
          <w:szCs w:val="24"/>
        </w:rPr>
        <w:t>Radiographics</w:t>
      </w:r>
      <w:r w:rsidRPr="00853B95">
        <w:rPr>
          <w:rFonts w:ascii="Book Antiqua" w:eastAsia="SimSun" w:hAnsi="Book Antiqua" w:cs="SimSun"/>
          <w:kern w:val="0"/>
          <w:szCs w:val="24"/>
        </w:rPr>
        <w:t> 2010; </w:t>
      </w:r>
      <w:r w:rsidRPr="00853B95">
        <w:rPr>
          <w:rFonts w:ascii="Book Antiqua" w:eastAsia="SimSun" w:hAnsi="Book Antiqua" w:cs="SimSun"/>
          <w:b/>
          <w:bCs/>
          <w:kern w:val="0"/>
          <w:szCs w:val="24"/>
        </w:rPr>
        <w:t>30</w:t>
      </w:r>
      <w:r w:rsidRPr="00853B95">
        <w:rPr>
          <w:rFonts w:ascii="Book Antiqua" w:eastAsia="SimSun" w:hAnsi="Book Antiqua" w:cs="SimSun"/>
          <w:kern w:val="0"/>
          <w:szCs w:val="24"/>
        </w:rPr>
        <w:t>: 269-291 [PMID: 20083598 DOI: 10.1148/rg.301095088]</w:t>
      </w:r>
    </w:p>
    <w:p w14:paraId="3AFD72CA"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61 </w:t>
      </w:r>
      <w:r w:rsidRPr="00853B95">
        <w:rPr>
          <w:rFonts w:ascii="Book Antiqua" w:eastAsia="SimSun" w:hAnsi="Book Antiqua" w:cs="SimSun"/>
          <w:b/>
          <w:bCs/>
          <w:kern w:val="0"/>
          <w:szCs w:val="24"/>
        </w:rPr>
        <w:t>Gutman F</w:t>
      </w:r>
      <w:r w:rsidRPr="00853B95">
        <w:rPr>
          <w:rFonts w:ascii="Book Antiqua" w:eastAsia="SimSun" w:hAnsi="Book Antiqua" w:cs="SimSun"/>
          <w:kern w:val="0"/>
          <w:szCs w:val="24"/>
        </w:rPr>
        <w:t>, Alberini JL, Wartski M, Vilain D, Le Stanc E, Sarandi F, Corone C, Tainturier C, Pecking AP. Incidental colonic focal lesions detected by FDG PET/CT. </w:t>
      </w:r>
      <w:r w:rsidRPr="00853B95">
        <w:rPr>
          <w:rFonts w:ascii="Book Antiqua" w:eastAsia="SimSun" w:hAnsi="Book Antiqua" w:cs="SimSun"/>
          <w:i/>
          <w:iCs/>
          <w:kern w:val="0"/>
          <w:szCs w:val="24"/>
        </w:rPr>
        <w:t>AJR Am J Roentgenol</w:t>
      </w:r>
      <w:r w:rsidRPr="00853B95">
        <w:rPr>
          <w:rFonts w:ascii="Book Antiqua" w:eastAsia="SimSun" w:hAnsi="Book Antiqua" w:cs="SimSun"/>
          <w:kern w:val="0"/>
          <w:szCs w:val="24"/>
        </w:rPr>
        <w:t> 2005; </w:t>
      </w:r>
      <w:r w:rsidRPr="00853B95">
        <w:rPr>
          <w:rFonts w:ascii="Book Antiqua" w:eastAsia="SimSun" w:hAnsi="Book Antiqua" w:cs="SimSun"/>
          <w:b/>
          <w:bCs/>
          <w:kern w:val="0"/>
          <w:szCs w:val="24"/>
        </w:rPr>
        <w:t>185</w:t>
      </w:r>
      <w:r w:rsidRPr="00853B95">
        <w:rPr>
          <w:rFonts w:ascii="Book Antiqua" w:eastAsia="SimSun" w:hAnsi="Book Antiqua" w:cs="SimSun"/>
          <w:kern w:val="0"/>
          <w:szCs w:val="24"/>
        </w:rPr>
        <w:t>: 495-500 [PMID: 16037527</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10.2214/ajr.185.2.01850495]</w:t>
      </w:r>
    </w:p>
    <w:p w14:paraId="28298627"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62 </w:t>
      </w:r>
      <w:r w:rsidRPr="00853B95">
        <w:rPr>
          <w:rFonts w:ascii="Book Antiqua" w:eastAsia="SimSun" w:hAnsi="Book Antiqua" w:cs="SimSun"/>
          <w:b/>
          <w:bCs/>
          <w:kern w:val="0"/>
          <w:szCs w:val="24"/>
        </w:rPr>
        <w:t>Lister TA</w:t>
      </w:r>
      <w:r w:rsidRPr="00853B95">
        <w:rPr>
          <w:rFonts w:ascii="Book Antiqua" w:eastAsia="SimSun" w:hAnsi="Book Antiqua" w:cs="SimSun"/>
          <w:kern w:val="0"/>
          <w:szCs w:val="24"/>
        </w:rPr>
        <w:t>, Crowther D, Sutcliffe SB, Glatstein E, Canellos GP, Young RC, Rosenberg SA, Coltman CA, Tubiana M. Report of a committee convened to discuss the evaluation and staging of patients with Hodgkin's disease: Cotswolds meeting. </w:t>
      </w:r>
      <w:r w:rsidRPr="00853B95">
        <w:rPr>
          <w:rFonts w:ascii="Book Antiqua" w:eastAsia="SimSun" w:hAnsi="Book Antiqua" w:cs="SimSun"/>
          <w:i/>
          <w:iCs/>
          <w:kern w:val="0"/>
          <w:szCs w:val="24"/>
        </w:rPr>
        <w:t>J Clin Oncol</w:t>
      </w:r>
      <w:r w:rsidRPr="00853B95">
        <w:rPr>
          <w:rFonts w:ascii="Book Antiqua" w:eastAsia="SimSun" w:hAnsi="Book Antiqua" w:cs="SimSun"/>
          <w:kern w:val="0"/>
          <w:szCs w:val="24"/>
        </w:rPr>
        <w:t> 1989; </w:t>
      </w:r>
      <w:r w:rsidRPr="00853B95">
        <w:rPr>
          <w:rFonts w:ascii="Book Antiqua" w:eastAsia="SimSun" w:hAnsi="Book Antiqua" w:cs="SimSun"/>
          <w:b/>
          <w:bCs/>
          <w:kern w:val="0"/>
          <w:szCs w:val="24"/>
        </w:rPr>
        <w:t>7</w:t>
      </w:r>
      <w:r w:rsidRPr="00853B95">
        <w:rPr>
          <w:rFonts w:ascii="Book Antiqua" w:eastAsia="SimSun" w:hAnsi="Book Antiqua" w:cs="SimSun"/>
          <w:kern w:val="0"/>
          <w:szCs w:val="24"/>
        </w:rPr>
        <w:t>: 1630-1636 [PMID: 2809679]</w:t>
      </w:r>
    </w:p>
    <w:p w14:paraId="5C0C46AE"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63 </w:t>
      </w:r>
      <w:r w:rsidRPr="00853B95">
        <w:rPr>
          <w:rFonts w:ascii="Book Antiqua" w:eastAsia="SimSun" w:hAnsi="Book Antiqua" w:cs="SimSun"/>
          <w:b/>
          <w:bCs/>
          <w:kern w:val="0"/>
          <w:szCs w:val="24"/>
        </w:rPr>
        <w:t>Rohatiner A</w:t>
      </w:r>
      <w:r w:rsidRPr="00853B95">
        <w:rPr>
          <w:rFonts w:ascii="Book Antiqua" w:eastAsia="SimSun" w:hAnsi="Book Antiqua" w:cs="SimSun"/>
          <w:kern w:val="0"/>
          <w:szCs w:val="24"/>
        </w:rPr>
        <w:t>, d'Amore F, Coiffier B, Crowther D, Gospodarowicz M, Isaacson P, Lister TA, Norton A, Salem P, Shipp M. Report on a workshop convened to discuss the pathological and staging classifications of gastrointestinal tract lymphoma. </w:t>
      </w:r>
      <w:r w:rsidRPr="00853B95">
        <w:rPr>
          <w:rFonts w:ascii="Book Antiqua" w:eastAsia="SimSun" w:hAnsi="Book Antiqua" w:cs="SimSun"/>
          <w:i/>
          <w:iCs/>
          <w:kern w:val="0"/>
          <w:szCs w:val="24"/>
        </w:rPr>
        <w:t>Ann Oncol</w:t>
      </w:r>
      <w:r w:rsidRPr="00853B95">
        <w:rPr>
          <w:rFonts w:ascii="Book Antiqua" w:eastAsia="SimSun" w:hAnsi="Book Antiqua" w:cs="SimSun"/>
          <w:kern w:val="0"/>
          <w:szCs w:val="24"/>
        </w:rPr>
        <w:t> 1994; </w:t>
      </w:r>
      <w:r w:rsidRPr="00853B95">
        <w:rPr>
          <w:rFonts w:ascii="Book Antiqua" w:eastAsia="SimSun" w:hAnsi="Book Antiqua" w:cs="SimSun"/>
          <w:b/>
          <w:bCs/>
          <w:kern w:val="0"/>
          <w:szCs w:val="24"/>
        </w:rPr>
        <w:t>5</w:t>
      </w:r>
      <w:r w:rsidRPr="00853B95">
        <w:rPr>
          <w:rFonts w:ascii="Book Antiqua" w:eastAsia="SimSun" w:hAnsi="Book Antiqua" w:cs="SimSun"/>
          <w:kern w:val="0"/>
          <w:szCs w:val="24"/>
        </w:rPr>
        <w:t>: 397-400 [PMID: 8075046]</w:t>
      </w:r>
    </w:p>
    <w:p w14:paraId="5E006A1C"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64 </w:t>
      </w:r>
      <w:r w:rsidRPr="00853B95">
        <w:rPr>
          <w:rFonts w:ascii="Book Antiqua" w:eastAsia="SimSun" w:hAnsi="Book Antiqua" w:cs="SimSun"/>
          <w:b/>
          <w:bCs/>
          <w:kern w:val="0"/>
          <w:szCs w:val="24"/>
        </w:rPr>
        <w:t>Zucca E</w:t>
      </w:r>
      <w:r w:rsidRPr="00853B95">
        <w:rPr>
          <w:rFonts w:ascii="Book Antiqua" w:eastAsia="SimSun" w:hAnsi="Book Antiqua" w:cs="SimSun"/>
          <w:kern w:val="0"/>
          <w:szCs w:val="24"/>
        </w:rPr>
        <w:t>, Roggero E, Bertoni F, Cavalli F. Primary extranodal non-Hodgkin's lymphomas. Part 1: Gastrointestinal, cutaneous and genitourinary lymphomas. </w:t>
      </w:r>
      <w:r w:rsidRPr="00853B95">
        <w:rPr>
          <w:rFonts w:ascii="Book Antiqua" w:eastAsia="SimSun" w:hAnsi="Book Antiqua" w:cs="SimSun"/>
          <w:i/>
          <w:iCs/>
          <w:kern w:val="0"/>
          <w:szCs w:val="24"/>
        </w:rPr>
        <w:t>Ann Oncol</w:t>
      </w:r>
      <w:r w:rsidRPr="00853B95">
        <w:rPr>
          <w:rFonts w:ascii="Book Antiqua" w:eastAsia="SimSun" w:hAnsi="Book Antiqua" w:cs="SimSun"/>
          <w:kern w:val="0"/>
          <w:szCs w:val="24"/>
        </w:rPr>
        <w:t> 1997; </w:t>
      </w:r>
      <w:r w:rsidRPr="00853B95">
        <w:rPr>
          <w:rFonts w:ascii="Book Antiqua" w:eastAsia="SimSun" w:hAnsi="Book Antiqua" w:cs="SimSun"/>
          <w:b/>
          <w:bCs/>
          <w:kern w:val="0"/>
          <w:szCs w:val="24"/>
        </w:rPr>
        <w:t>8</w:t>
      </w:r>
      <w:r w:rsidRPr="00853B95">
        <w:rPr>
          <w:rFonts w:ascii="Book Antiqua" w:eastAsia="SimSun" w:hAnsi="Book Antiqua" w:cs="SimSun"/>
          <w:kern w:val="0"/>
          <w:szCs w:val="24"/>
        </w:rPr>
        <w:t>: 727-737 [PMID: 9332679</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10.1023/A:1008282818705]</w:t>
      </w:r>
    </w:p>
    <w:p w14:paraId="50F39966"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65 </w:t>
      </w:r>
      <w:r w:rsidRPr="00853B95">
        <w:rPr>
          <w:rFonts w:ascii="Book Antiqua" w:eastAsia="SimSun" w:hAnsi="Book Antiqua" w:cs="SimSun"/>
          <w:b/>
          <w:bCs/>
          <w:kern w:val="0"/>
          <w:szCs w:val="24"/>
        </w:rPr>
        <w:t>Mir MA</w:t>
      </w:r>
      <w:r w:rsidRPr="00853B95">
        <w:rPr>
          <w:rFonts w:ascii="Book Antiqua" w:eastAsia="SimSun" w:hAnsi="Book Antiqua" w:cs="SimSun"/>
          <w:kern w:val="0"/>
          <w:szCs w:val="24"/>
        </w:rPr>
        <w:t xml:space="preserve">, Maurer MJ, Ziesmer SC, Slager SL, Habermann T, Macon WR, Link BK, Syrbu S, Witzig T, Friedberg JW, Press O, LeBlanc M, Cerhan JR, Novak A, </w:t>
      </w:r>
      <w:r w:rsidRPr="00853B95">
        <w:rPr>
          <w:rFonts w:ascii="Book Antiqua" w:eastAsia="SimSun" w:hAnsi="Book Antiqua" w:cs="SimSun"/>
          <w:kern w:val="0"/>
          <w:szCs w:val="24"/>
        </w:rPr>
        <w:lastRenderedPageBreak/>
        <w:t>Ansell SM. Elevated serum levels of IL-2R, IL-1RA, and CXCL9 are associated with a poor prognosis in follicular lymphoma. </w:t>
      </w:r>
      <w:r w:rsidRPr="00853B95">
        <w:rPr>
          <w:rFonts w:ascii="Book Antiqua" w:eastAsia="SimSun" w:hAnsi="Book Antiqua" w:cs="SimSun"/>
          <w:i/>
          <w:iCs/>
          <w:kern w:val="0"/>
          <w:szCs w:val="24"/>
        </w:rPr>
        <w:t>Blood</w:t>
      </w:r>
      <w:r w:rsidRPr="00853B95">
        <w:rPr>
          <w:rFonts w:ascii="Book Antiqua" w:eastAsia="SimSun" w:hAnsi="Book Antiqua" w:cs="SimSun"/>
          <w:kern w:val="0"/>
          <w:szCs w:val="24"/>
        </w:rPr>
        <w:t> 2015; </w:t>
      </w:r>
      <w:r w:rsidRPr="00853B95">
        <w:rPr>
          <w:rFonts w:ascii="Book Antiqua" w:eastAsia="SimSun" w:hAnsi="Book Antiqua" w:cs="SimSun"/>
          <w:b/>
          <w:bCs/>
          <w:kern w:val="0"/>
          <w:szCs w:val="24"/>
        </w:rPr>
        <w:t>125</w:t>
      </w:r>
      <w:r w:rsidRPr="00853B95">
        <w:rPr>
          <w:rFonts w:ascii="Book Antiqua" w:eastAsia="SimSun" w:hAnsi="Book Antiqua" w:cs="SimSun"/>
          <w:kern w:val="0"/>
          <w:szCs w:val="24"/>
        </w:rPr>
        <w:t>: 992-998 [PMID: 25422100 DOI: 10.1182/blood-2014-06-583369]</w:t>
      </w:r>
    </w:p>
    <w:p w14:paraId="2C50C71B"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66 </w:t>
      </w:r>
      <w:r w:rsidRPr="00853B95">
        <w:rPr>
          <w:rFonts w:ascii="Book Antiqua" w:eastAsia="SimSun" w:hAnsi="Book Antiqua" w:cs="SimSun"/>
          <w:b/>
          <w:bCs/>
          <w:kern w:val="0"/>
          <w:szCs w:val="24"/>
        </w:rPr>
        <w:t>Iwamuro M</w:t>
      </w:r>
      <w:r w:rsidRPr="00853B95">
        <w:rPr>
          <w:rFonts w:ascii="Book Antiqua" w:eastAsia="SimSun" w:hAnsi="Book Antiqua" w:cs="SimSun"/>
          <w:kern w:val="0"/>
          <w:szCs w:val="24"/>
        </w:rPr>
        <w:t>, Shinagawa K, Okada H, Takata K, Yoshino T, Yamamoto K. Elevated soluble IL-2 receptor levels correlate with tumor bulk of follicular lymphomas with intestinal involvement. </w:t>
      </w:r>
      <w:r w:rsidRPr="00853B95">
        <w:rPr>
          <w:rFonts w:ascii="Book Antiqua" w:eastAsia="SimSun" w:hAnsi="Book Antiqua" w:cs="SimSun"/>
          <w:i/>
          <w:iCs/>
          <w:kern w:val="0"/>
          <w:szCs w:val="24"/>
        </w:rPr>
        <w:t>Clin Biochem</w:t>
      </w:r>
      <w:r w:rsidRPr="00853B95">
        <w:rPr>
          <w:rFonts w:ascii="Book Antiqua" w:eastAsia="SimSun" w:hAnsi="Book Antiqua" w:cs="SimSun"/>
          <w:kern w:val="0"/>
          <w:szCs w:val="24"/>
        </w:rPr>
        <w:t> 2014; </w:t>
      </w:r>
      <w:r w:rsidRPr="00853B95">
        <w:rPr>
          <w:rFonts w:ascii="Book Antiqua" w:eastAsia="SimSun" w:hAnsi="Book Antiqua" w:cs="SimSun"/>
          <w:b/>
          <w:bCs/>
          <w:kern w:val="0"/>
          <w:szCs w:val="24"/>
        </w:rPr>
        <w:t>47</w:t>
      </w:r>
      <w:r w:rsidRPr="00853B95">
        <w:rPr>
          <w:rFonts w:ascii="Book Antiqua" w:eastAsia="SimSun" w:hAnsi="Book Antiqua" w:cs="SimSun"/>
          <w:kern w:val="0"/>
          <w:szCs w:val="24"/>
        </w:rPr>
        <w:t>: 191-195 [PMID: 24362271 DOI: 10.1016/j.clinbiochem.2013.11.026]</w:t>
      </w:r>
    </w:p>
    <w:p w14:paraId="31F3239C"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67 </w:t>
      </w:r>
      <w:r w:rsidRPr="00853B95">
        <w:rPr>
          <w:rFonts w:ascii="Book Antiqua" w:eastAsia="SimSun" w:hAnsi="Book Antiqua" w:cs="SimSun"/>
          <w:b/>
          <w:bCs/>
          <w:kern w:val="0"/>
          <w:szCs w:val="24"/>
        </w:rPr>
        <w:t>Iwamuro M</w:t>
      </w:r>
      <w:r w:rsidRPr="00853B95">
        <w:rPr>
          <w:rFonts w:ascii="Book Antiqua" w:eastAsia="SimSun" w:hAnsi="Book Antiqua" w:cs="SimSun"/>
          <w:kern w:val="0"/>
          <w:szCs w:val="24"/>
        </w:rPr>
        <w:t>, Takenaka R, Mori A, Fujiki S, Miyake T, Asakura S, Okada H, Takata K, Yoshino T, Yamamoto K. Rapidly progressed primary intestinal follicular lymphoma with elevation of soluble interleukin-2 receptor levels. </w:t>
      </w:r>
      <w:r w:rsidRPr="00853B95">
        <w:rPr>
          <w:rFonts w:ascii="Book Antiqua" w:eastAsia="SimSun" w:hAnsi="Book Antiqua" w:cs="SimSun"/>
          <w:i/>
          <w:iCs/>
          <w:kern w:val="0"/>
          <w:szCs w:val="24"/>
        </w:rPr>
        <w:t>Case Rep Oncol Med</w:t>
      </w:r>
      <w:r w:rsidRPr="00853B95">
        <w:rPr>
          <w:rFonts w:ascii="Book Antiqua" w:eastAsia="SimSun" w:hAnsi="Book Antiqua" w:cs="SimSun"/>
          <w:kern w:val="0"/>
          <w:szCs w:val="24"/>
        </w:rPr>
        <w:t> 2014; </w:t>
      </w:r>
      <w:r w:rsidRPr="00853B95">
        <w:rPr>
          <w:rFonts w:ascii="Book Antiqua" w:eastAsia="SimSun" w:hAnsi="Book Antiqua" w:cs="SimSun"/>
          <w:b/>
          <w:bCs/>
          <w:kern w:val="0"/>
          <w:szCs w:val="24"/>
        </w:rPr>
        <w:t>2014</w:t>
      </w:r>
      <w:r w:rsidRPr="00853B95">
        <w:rPr>
          <w:rFonts w:ascii="Book Antiqua" w:eastAsia="SimSun" w:hAnsi="Book Antiqua" w:cs="SimSun"/>
          <w:kern w:val="0"/>
          <w:szCs w:val="24"/>
        </w:rPr>
        <w:t>: 549248 [PMID: 24876980 DOI: 10.1155/2014/549248]</w:t>
      </w:r>
    </w:p>
    <w:p w14:paraId="57A9F87A"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68 </w:t>
      </w:r>
      <w:r w:rsidRPr="00853B95">
        <w:rPr>
          <w:rFonts w:ascii="Book Antiqua" w:eastAsia="SimSun" w:hAnsi="Book Antiqua" w:cs="SimSun"/>
          <w:b/>
          <w:bCs/>
          <w:kern w:val="0"/>
          <w:szCs w:val="24"/>
        </w:rPr>
        <w:t>Takata K</w:t>
      </w:r>
      <w:r w:rsidRPr="00853B95">
        <w:rPr>
          <w:rFonts w:ascii="Book Antiqua" w:eastAsia="SimSun" w:hAnsi="Book Antiqua" w:cs="SimSun"/>
          <w:kern w:val="0"/>
          <w:szCs w:val="24"/>
        </w:rPr>
        <w:t>, Sato Y, Nakamura N, Tokunaka M, Miki Y, Yukie Kikuti Y, Igarashi K, Ito E, Harigae H, Kato S, Hayashi E, Oka T, Hoshii Y, Tari A, Okada H, Al-Kader LA, Maeda Y, Tanimoto M, Kinoshita T, Yoshino T. Duodenal follicular lymphoma lacks AID but expresses BACH2 and has memory B-cell characteristics. </w:t>
      </w:r>
      <w:r w:rsidRPr="00853B95">
        <w:rPr>
          <w:rFonts w:ascii="Book Antiqua" w:eastAsia="SimSun" w:hAnsi="Book Antiqua" w:cs="SimSun"/>
          <w:i/>
          <w:iCs/>
          <w:kern w:val="0"/>
          <w:szCs w:val="24"/>
        </w:rPr>
        <w:t>Mod Pathol</w:t>
      </w:r>
      <w:r w:rsidRPr="00853B95">
        <w:rPr>
          <w:rFonts w:ascii="Book Antiqua" w:eastAsia="SimSun" w:hAnsi="Book Antiqua" w:cs="SimSun"/>
          <w:kern w:val="0"/>
          <w:szCs w:val="24"/>
        </w:rPr>
        <w:t> 2013; </w:t>
      </w:r>
      <w:r w:rsidRPr="00853B95">
        <w:rPr>
          <w:rFonts w:ascii="Book Antiqua" w:eastAsia="SimSun" w:hAnsi="Book Antiqua" w:cs="SimSun"/>
          <w:b/>
          <w:bCs/>
          <w:kern w:val="0"/>
          <w:szCs w:val="24"/>
        </w:rPr>
        <w:t>26</w:t>
      </w:r>
      <w:r w:rsidRPr="00853B95">
        <w:rPr>
          <w:rFonts w:ascii="Book Antiqua" w:eastAsia="SimSun" w:hAnsi="Book Antiqua" w:cs="SimSun"/>
          <w:kern w:val="0"/>
          <w:szCs w:val="24"/>
        </w:rPr>
        <w:t>: 22-31 [PMID: 22899287 DOI: 10.1038/modpathol.2012.127]</w:t>
      </w:r>
    </w:p>
    <w:p w14:paraId="2EAE543C"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69 </w:t>
      </w:r>
      <w:r w:rsidRPr="00853B95">
        <w:rPr>
          <w:rFonts w:ascii="Book Antiqua" w:eastAsia="SimSun" w:hAnsi="Book Antiqua" w:cs="SimSun"/>
          <w:b/>
          <w:bCs/>
          <w:kern w:val="0"/>
          <w:szCs w:val="24"/>
        </w:rPr>
        <w:t>Toyoda H</w:t>
      </w:r>
      <w:r w:rsidRPr="00853B95">
        <w:rPr>
          <w:rFonts w:ascii="Book Antiqua" w:eastAsia="SimSun" w:hAnsi="Book Antiqua" w:cs="SimSun"/>
          <w:kern w:val="0"/>
          <w:szCs w:val="24"/>
        </w:rPr>
        <w:t>, Yamaguchi M, Nakamura S, Nakamura T, Kimura M, Suzuki H, Mukai K, Sawa H, Kawamura K, Shiku H. Regression of primary lymphoma of the ampulla of Vater after eradication of Helicobacter pylori. </w:t>
      </w:r>
      <w:r w:rsidRPr="00853B95">
        <w:rPr>
          <w:rFonts w:ascii="Book Antiqua" w:eastAsia="SimSun" w:hAnsi="Book Antiqua" w:cs="SimSun"/>
          <w:i/>
          <w:iCs/>
          <w:kern w:val="0"/>
          <w:szCs w:val="24"/>
        </w:rPr>
        <w:t>Gastrointest Endosc</w:t>
      </w:r>
      <w:r w:rsidRPr="00853B95">
        <w:rPr>
          <w:rFonts w:ascii="Book Antiqua" w:eastAsia="SimSun" w:hAnsi="Book Antiqua" w:cs="SimSun"/>
          <w:kern w:val="0"/>
          <w:szCs w:val="24"/>
        </w:rPr>
        <w:t> 2001; </w:t>
      </w:r>
      <w:r w:rsidRPr="00853B95">
        <w:rPr>
          <w:rFonts w:ascii="Book Antiqua" w:eastAsia="SimSun" w:hAnsi="Book Antiqua" w:cs="SimSun"/>
          <w:b/>
          <w:bCs/>
          <w:kern w:val="0"/>
          <w:szCs w:val="24"/>
        </w:rPr>
        <w:t>54</w:t>
      </w:r>
      <w:r w:rsidRPr="00853B95">
        <w:rPr>
          <w:rFonts w:ascii="Book Antiqua" w:eastAsia="SimSun" w:hAnsi="Book Antiqua" w:cs="SimSun"/>
          <w:kern w:val="0"/>
          <w:szCs w:val="24"/>
        </w:rPr>
        <w:t>: 92-96 [PMID: 11427853</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10.1067/mge.2001.114963</w:t>
      </w:r>
      <w:r w:rsidRPr="00853B95">
        <w:rPr>
          <w:rFonts w:ascii="Book Antiqua" w:eastAsia="SimSun" w:hAnsi="Book Antiqua" w:cs="SimSun" w:hint="eastAsia"/>
          <w:kern w:val="0"/>
          <w:szCs w:val="24"/>
        </w:rPr>
        <w:t>]</w:t>
      </w:r>
    </w:p>
    <w:p w14:paraId="70E25B8F"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70 </w:t>
      </w:r>
      <w:r w:rsidRPr="00853B95">
        <w:rPr>
          <w:rFonts w:ascii="Book Antiqua" w:eastAsia="SimSun" w:hAnsi="Book Antiqua" w:cs="SimSun"/>
          <w:b/>
          <w:bCs/>
          <w:kern w:val="0"/>
          <w:szCs w:val="24"/>
        </w:rPr>
        <w:t>Hayashi H</w:t>
      </w:r>
      <w:r w:rsidRPr="00853B95">
        <w:rPr>
          <w:rFonts w:ascii="Book Antiqua" w:eastAsia="SimSun" w:hAnsi="Book Antiqua" w:cs="SimSun"/>
          <w:kern w:val="0"/>
          <w:szCs w:val="24"/>
        </w:rPr>
        <w:t xml:space="preserve">, Onishi Y, Mitsuoka H, Ogura T, Maeda M, Nishigami T, Harada M. Regression of follicular lymphoma of the duodenum following eradication </w:t>
      </w:r>
      <w:r w:rsidRPr="00853B95">
        <w:rPr>
          <w:rFonts w:ascii="Book Antiqua" w:eastAsia="SimSun" w:hAnsi="Book Antiqua" w:cs="SimSun"/>
          <w:kern w:val="0"/>
          <w:szCs w:val="24"/>
        </w:rPr>
        <w:lastRenderedPageBreak/>
        <w:t>of H. pylori infection. </w:t>
      </w:r>
      <w:r w:rsidRPr="00853B95">
        <w:rPr>
          <w:rFonts w:ascii="Book Antiqua" w:eastAsia="SimSun" w:hAnsi="Book Antiqua" w:cs="SimSun"/>
          <w:i/>
          <w:iCs/>
          <w:kern w:val="0"/>
          <w:szCs w:val="24"/>
        </w:rPr>
        <w:t>Intern Med</w:t>
      </w:r>
      <w:r w:rsidRPr="00853B95">
        <w:rPr>
          <w:rFonts w:ascii="Book Antiqua" w:eastAsia="SimSun" w:hAnsi="Book Antiqua" w:cs="SimSun"/>
          <w:kern w:val="0"/>
          <w:szCs w:val="24"/>
        </w:rPr>
        <w:t> 2013; </w:t>
      </w:r>
      <w:r w:rsidRPr="00853B95">
        <w:rPr>
          <w:rFonts w:ascii="Book Antiqua" w:eastAsia="SimSun" w:hAnsi="Book Antiqua" w:cs="SimSun"/>
          <w:b/>
          <w:bCs/>
          <w:kern w:val="0"/>
          <w:szCs w:val="24"/>
        </w:rPr>
        <w:t>52</w:t>
      </w:r>
      <w:r w:rsidRPr="00853B95">
        <w:rPr>
          <w:rFonts w:ascii="Book Antiqua" w:eastAsia="SimSun" w:hAnsi="Book Antiqua" w:cs="SimSun"/>
          <w:kern w:val="0"/>
          <w:szCs w:val="24"/>
        </w:rPr>
        <w:t>: 2611-2614 [PMID: 24292749</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10.2169/internalmedicine.52.0552]</w:t>
      </w:r>
    </w:p>
    <w:p w14:paraId="36DF6E04"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71 </w:t>
      </w:r>
      <w:r w:rsidRPr="00853B95">
        <w:rPr>
          <w:rFonts w:ascii="Book Antiqua" w:eastAsia="SimSun" w:hAnsi="Book Antiqua" w:cs="SimSun"/>
          <w:b/>
          <w:bCs/>
          <w:kern w:val="0"/>
          <w:szCs w:val="24"/>
        </w:rPr>
        <w:t>Yaguchi T</w:t>
      </w:r>
      <w:r w:rsidRPr="00853B95">
        <w:rPr>
          <w:rFonts w:ascii="Book Antiqua" w:eastAsia="SimSun" w:hAnsi="Book Antiqua" w:cs="SimSun"/>
          <w:kern w:val="0"/>
          <w:szCs w:val="24"/>
        </w:rPr>
        <w:t>, Imaeda H, Kizaki M, Hosoe N, Suzuki H, Ogata H, Iwao Y, Kameyama K, Ikeda Y, Hibi T. Partial regression of duodenal lesions of intestinal follicular lymphoma after antibiotic treatment. </w:t>
      </w:r>
      <w:r w:rsidRPr="00853B95">
        <w:rPr>
          <w:rFonts w:ascii="Book Antiqua" w:eastAsia="SimSun" w:hAnsi="Book Antiqua" w:cs="SimSun"/>
          <w:i/>
          <w:iCs/>
          <w:kern w:val="0"/>
          <w:szCs w:val="24"/>
        </w:rPr>
        <w:t>Dig Endosc</w:t>
      </w:r>
      <w:r w:rsidRPr="00853B95">
        <w:rPr>
          <w:rFonts w:ascii="Book Antiqua" w:eastAsia="SimSun" w:hAnsi="Book Antiqua" w:cs="SimSun"/>
          <w:kern w:val="0"/>
          <w:szCs w:val="24"/>
        </w:rPr>
        <w:t> 2010; </w:t>
      </w:r>
      <w:r w:rsidRPr="00853B95">
        <w:rPr>
          <w:rFonts w:ascii="Book Antiqua" w:eastAsia="SimSun" w:hAnsi="Book Antiqua" w:cs="SimSun"/>
          <w:b/>
          <w:bCs/>
          <w:kern w:val="0"/>
          <w:szCs w:val="24"/>
        </w:rPr>
        <w:t>22</w:t>
      </w:r>
      <w:r w:rsidRPr="00853B95">
        <w:rPr>
          <w:rFonts w:ascii="Book Antiqua" w:eastAsia="SimSun" w:hAnsi="Book Antiqua" w:cs="SimSun"/>
          <w:kern w:val="0"/>
          <w:szCs w:val="24"/>
        </w:rPr>
        <w:t>: 316-318 [PMID: 21175486 DOI: 10.1111/j.1443-1661.2010.01011.x]</w:t>
      </w:r>
    </w:p>
    <w:p w14:paraId="348C6D0A"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72 </w:t>
      </w:r>
      <w:r w:rsidRPr="00853B95">
        <w:rPr>
          <w:rFonts w:ascii="Book Antiqua" w:eastAsia="SimSun" w:hAnsi="Book Antiqua" w:cs="SimSun"/>
          <w:b/>
          <w:bCs/>
          <w:kern w:val="0"/>
          <w:szCs w:val="24"/>
        </w:rPr>
        <w:t>Iwamuro M</w:t>
      </w:r>
      <w:r w:rsidRPr="00853B95">
        <w:rPr>
          <w:rFonts w:ascii="Book Antiqua" w:eastAsia="SimSun" w:hAnsi="Book Antiqua" w:cs="SimSun"/>
          <w:kern w:val="0"/>
          <w:szCs w:val="24"/>
        </w:rPr>
        <w:t>, Okada H, Shinagawa K, Takata K, Yoshino T, Yamamoto K. Regression of duodenal follicular lymphoma: susceptible to H. pylori eradication? </w:t>
      </w:r>
      <w:r w:rsidRPr="00853B95">
        <w:rPr>
          <w:rFonts w:ascii="Book Antiqua" w:eastAsia="SimSun" w:hAnsi="Book Antiqua" w:cs="SimSun"/>
          <w:i/>
          <w:iCs/>
          <w:kern w:val="0"/>
          <w:szCs w:val="24"/>
        </w:rPr>
        <w:t>Intern Med</w:t>
      </w:r>
      <w:r w:rsidRPr="00853B95">
        <w:rPr>
          <w:rFonts w:ascii="Book Antiqua" w:eastAsia="SimSun" w:hAnsi="Book Antiqua" w:cs="SimSun"/>
          <w:kern w:val="0"/>
          <w:szCs w:val="24"/>
        </w:rPr>
        <w:t> 2014; </w:t>
      </w:r>
      <w:r w:rsidRPr="00853B95">
        <w:rPr>
          <w:rFonts w:ascii="Book Antiqua" w:eastAsia="SimSun" w:hAnsi="Book Antiqua" w:cs="SimSun"/>
          <w:b/>
          <w:bCs/>
          <w:kern w:val="0"/>
          <w:szCs w:val="24"/>
        </w:rPr>
        <w:t>53</w:t>
      </w:r>
      <w:r w:rsidRPr="00853B95">
        <w:rPr>
          <w:rFonts w:ascii="Book Antiqua" w:eastAsia="SimSun" w:hAnsi="Book Antiqua" w:cs="SimSun"/>
          <w:kern w:val="0"/>
          <w:szCs w:val="24"/>
        </w:rPr>
        <w:t>: 1397 [PMID: 24930665</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10.2169/internalmedicine.53.2433]</w:t>
      </w:r>
    </w:p>
    <w:p w14:paraId="0A3FED75"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73 </w:t>
      </w:r>
      <w:r w:rsidRPr="00853B95">
        <w:rPr>
          <w:rFonts w:ascii="Book Antiqua" w:eastAsia="SimSun" w:hAnsi="Book Antiqua" w:cs="SimSun"/>
          <w:b/>
          <w:bCs/>
          <w:kern w:val="0"/>
          <w:szCs w:val="24"/>
        </w:rPr>
        <w:t>Nooka AK</w:t>
      </w:r>
      <w:r w:rsidRPr="00853B95">
        <w:rPr>
          <w:rFonts w:ascii="Book Antiqua" w:eastAsia="SimSun" w:hAnsi="Book Antiqua" w:cs="SimSun"/>
          <w:kern w:val="0"/>
          <w:szCs w:val="24"/>
        </w:rPr>
        <w:t>, Nabhan C, Zhou X, Taylor MD, Byrtek M, Miller TP, Friedberg JW, Zelenetz AD, Link BK, Cerhan JR, Dillon H, Sinha R, Shenoy PJ, Levy D, Dawson K, Hirata JH, Flowers CR. Examination of the follicular lymphoma international prognostic index (FLIPI) in the National LymphoCare study (NLCS): a prospective US patient cohort treated predominantly in community practices. </w:t>
      </w:r>
      <w:r w:rsidRPr="00853B95">
        <w:rPr>
          <w:rFonts w:ascii="Book Antiqua" w:eastAsia="SimSun" w:hAnsi="Book Antiqua" w:cs="SimSun"/>
          <w:i/>
          <w:iCs/>
          <w:kern w:val="0"/>
          <w:szCs w:val="24"/>
        </w:rPr>
        <w:t>Ann Oncol</w:t>
      </w:r>
      <w:r w:rsidRPr="00853B95">
        <w:rPr>
          <w:rFonts w:ascii="Book Antiqua" w:eastAsia="SimSun" w:hAnsi="Book Antiqua" w:cs="SimSun"/>
          <w:kern w:val="0"/>
          <w:szCs w:val="24"/>
        </w:rPr>
        <w:t> 2013; </w:t>
      </w:r>
      <w:r w:rsidRPr="00853B95">
        <w:rPr>
          <w:rFonts w:ascii="Book Antiqua" w:eastAsia="SimSun" w:hAnsi="Book Antiqua" w:cs="SimSun"/>
          <w:b/>
          <w:bCs/>
          <w:kern w:val="0"/>
          <w:szCs w:val="24"/>
        </w:rPr>
        <w:t>24</w:t>
      </w:r>
      <w:r w:rsidRPr="00853B95">
        <w:rPr>
          <w:rFonts w:ascii="Book Antiqua" w:eastAsia="SimSun" w:hAnsi="Book Antiqua" w:cs="SimSun"/>
          <w:kern w:val="0"/>
          <w:szCs w:val="24"/>
        </w:rPr>
        <w:t>: 441-448 [PMID: 23041589 DOI: 10.1093/annonc/mds429]</w:t>
      </w:r>
    </w:p>
    <w:p w14:paraId="5185464B"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74 </w:t>
      </w:r>
      <w:r w:rsidRPr="00853B95">
        <w:rPr>
          <w:rFonts w:ascii="Book Antiqua" w:eastAsia="SimSun" w:hAnsi="Book Antiqua" w:cs="SimSun"/>
          <w:b/>
          <w:bCs/>
          <w:kern w:val="0"/>
          <w:szCs w:val="24"/>
        </w:rPr>
        <w:t>Arcaini L</w:t>
      </w:r>
      <w:r w:rsidRPr="00853B95">
        <w:rPr>
          <w:rFonts w:ascii="Book Antiqua" w:eastAsia="SimSun" w:hAnsi="Book Antiqua" w:cs="SimSun"/>
          <w:kern w:val="0"/>
          <w:szCs w:val="24"/>
        </w:rPr>
        <w:t>, Merli M, Passamonti F, Rizzi S, Ferretti V, Rattotti S, Pascutto C, Paulli M, Lazzarino M. Validation of follicular lymphoma international prognostic index 2 (FLIPI2) score in an independent series of follicular lymphoma patients. </w:t>
      </w:r>
      <w:r w:rsidRPr="00853B95">
        <w:rPr>
          <w:rFonts w:ascii="Book Antiqua" w:eastAsia="SimSun" w:hAnsi="Book Antiqua" w:cs="SimSun"/>
          <w:i/>
          <w:iCs/>
          <w:kern w:val="0"/>
          <w:szCs w:val="24"/>
        </w:rPr>
        <w:t>Br J Haematol</w:t>
      </w:r>
      <w:r w:rsidRPr="00853B95">
        <w:rPr>
          <w:rFonts w:ascii="Book Antiqua" w:eastAsia="SimSun" w:hAnsi="Book Antiqua" w:cs="SimSun"/>
          <w:kern w:val="0"/>
          <w:szCs w:val="24"/>
        </w:rPr>
        <w:t> 2010; </w:t>
      </w:r>
      <w:r w:rsidRPr="00853B95">
        <w:rPr>
          <w:rFonts w:ascii="Book Antiqua" w:eastAsia="SimSun" w:hAnsi="Book Antiqua" w:cs="SimSun"/>
          <w:b/>
          <w:bCs/>
          <w:kern w:val="0"/>
          <w:szCs w:val="24"/>
        </w:rPr>
        <w:t>149</w:t>
      </w:r>
      <w:r w:rsidRPr="00853B95">
        <w:rPr>
          <w:rFonts w:ascii="Book Antiqua" w:eastAsia="SimSun" w:hAnsi="Book Antiqua" w:cs="SimSun"/>
          <w:kern w:val="0"/>
          <w:szCs w:val="24"/>
        </w:rPr>
        <w:t>: 455-457 [PMID: 20064149 DOI: 10.1111/j.1365-2141.2009.08065.x]</w:t>
      </w:r>
    </w:p>
    <w:p w14:paraId="00E68C35" w14:textId="77777777" w:rsidR="009A7EB3" w:rsidRPr="00853B95" w:rsidRDefault="009A7EB3" w:rsidP="009A7EB3">
      <w:pPr>
        <w:widowControl/>
        <w:spacing w:line="360" w:lineRule="auto"/>
        <w:rPr>
          <w:rFonts w:ascii="Book Antiqua" w:eastAsia="SimSun" w:hAnsi="Book Antiqua" w:cs="SimSun"/>
          <w:kern w:val="0"/>
          <w:szCs w:val="24"/>
        </w:rPr>
      </w:pPr>
      <w:r w:rsidRPr="00853B95">
        <w:rPr>
          <w:rFonts w:ascii="Book Antiqua" w:eastAsia="SimSun" w:hAnsi="Book Antiqua" w:cs="SimSun"/>
          <w:kern w:val="0"/>
          <w:szCs w:val="24"/>
        </w:rPr>
        <w:t>75 </w:t>
      </w:r>
      <w:r w:rsidRPr="00853B95">
        <w:rPr>
          <w:rFonts w:ascii="Book Antiqua" w:eastAsia="SimSun" w:hAnsi="Book Antiqua" w:cs="SimSun"/>
          <w:b/>
          <w:bCs/>
          <w:kern w:val="0"/>
          <w:szCs w:val="24"/>
        </w:rPr>
        <w:t>Montoto S</w:t>
      </w:r>
      <w:r w:rsidRPr="00853B95">
        <w:rPr>
          <w:rFonts w:ascii="Book Antiqua" w:eastAsia="SimSun" w:hAnsi="Book Antiqua" w:cs="SimSun"/>
          <w:kern w:val="0"/>
          <w:szCs w:val="24"/>
        </w:rPr>
        <w:t xml:space="preserve">, López-Guillermo A, Altés A, Perea G, Ferrer A, Camós M, Villela L, Bosch F, Esteve J, Cervantes F, Bladé J, Nomdedeu B, Campo E, Sierra J, </w:t>
      </w:r>
      <w:r w:rsidRPr="00853B95">
        <w:rPr>
          <w:rFonts w:ascii="Book Antiqua" w:eastAsia="SimSun" w:hAnsi="Book Antiqua" w:cs="SimSun"/>
          <w:kern w:val="0"/>
          <w:szCs w:val="24"/>
        </w:rPr>
        <w:lastRenderedPageBreak/>
        <w:t>Montserrat E. Predictive value of Follicular Lymphoma International Prognostic Index (FLIPI) in patients with follicular lymphoma at first progression. </w:t>
      </w:r>
      <w:r w:rsidRPr="00853B95">
        <w:rPr>
          <w:rFonts w:ascii="Book Antiqua" w:eastAsia="SimSun" w:hAnsi="Book Antiqua" w:cs="SimSun"/>
          <w:i/>
          <w:iCs/>
          <w:kern w:val="0"/>
          <w:szCs w:val="24"/>
        </w:rPr>
        <w:t>Ann Oncol</w:t>
      </w:r>
      <w:r w:rsidRPr="00853B95">
        <w:rPr>
          <w:rFonts w:ascii="Book Antiqua" w:eastAsia="SimSun" w:hAnsi="Book Antiqua" w:cs="SimSun"/>
          <w:kern w:val="0"/>
          <w:szCs w:val="24"/>
        </w:rPr>
        <w:t> 2004; </w:t>
      </w:r>
      <w:r w:rsidRPr="00853B95">
        <w:rPr>
          <w:rFonts w:ascii="Book Antiqua" w:eastAsia="SimSun" w:hAnsi="Book Antiqua" w:cs="SimSun"/>
          <w:b/>
          <w:bCs/>
          <w:kern w:val="0"/>
          <w:szCs w:val="24"/>
        </w:rPr>
        <w:t>15</w:t>
      </w:r>
      <w:r w:rsidRPr="00853B95">
        <w:rPr>
          <w:rFonts w:ascii="Book Antiqua" w:eastAsia="SimSun" w:hAnsi="Book Antiqua" w:cs="SimSun"/>
          <w:kern w:val="0"/>
          <w:szCs w:val="24"/>
        </w:rPr>
        <w:t>: 1484-1489 [PMID: 15367408</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10.1093/annonc/mdh406]</w:t>
      </w:r>
    </w:p>
    <w:p w14:paraId="505C7369" w14:textId="59DAF2C4" w:rsidR="00AA20C5" w:rsidRPr="00B76EA4" w:rsidRDefault="009A7EB3" w:rsidP="00B76EA4">
      <w:pPr>
        <w:widowControl/>
        <w:spacing w:line="360" w:lineRule="auto"/>
        <w:rPr>
          <w:rFonts w:ascii="Book Antiqua" w:eastAsia="SimSun" w:hAnsi="Book Antiqua" w:cs="SimSun"/>
          <w:kern w:val="0"/>
          <w:szCs w:val="24"/>
          <w:lang w:eastAsia="zh-CN"/>
        </w:rPr>
      </w:pPr>
      <w:r w:rsidRPr="00853B95">
        <w:rPr>
          <w:rFonts w:ascii="Book Antiqua" w:eastAsia="SimSun" w:hAnsi="Book Antiqua" w:cs="SimSun"/>
          <w:kern w:val="0"/>
          <w:szCs w:val="24"/>
        </w:rPr>
        <w:t>76 </w:t>
      </w:r>
      <w:r w:rsidRPr="00853B95">
        <w:rPr>
          <w:rFonts w:ascii="Book Antiqua" w:eastAsia="SimSun" w:hAnsi="Book Antiqua" w:cs="SimSun"/>
          <w:b/>
          <w:bCs/>
          <w:kern w:val="0"/>
          <w:szCs w:val="24"/>
        </w:rPr>
        <w:t>Giné E</w:t>
      </w:r>
      <w:r w:rsidRPr="00853B95">
        <w:rPr>
          <w:rFonts w:ascii="Book Antiqua" w:eastAsia="SimSun" w:hAnsi="Book Antiqua" w:cs="SimSun"/>
          <w:kern w:val="0"/>
          <w:szCs w:val="24"/>
        </w:rPr>
        <w:t>, Montoto S, Bosch F, Arenillas L, Mercadal S, Villamor N, Martínez A, Colomo L, Campo E, Montserrat E, López-Guillermo A. The Follicular Lymphoma International Prognostic Index (FLIPI) and the histological subtype are the most important factors to predict histological transformation in follicular lymphoma. </w:t>
      </w:r>
      <w:r w:rsidRPr="00853B95">
        <w:rPr>
          <w:rFonts w:ascii="Book Antiqua" w:eastAsia="SimSun" w:hAnsi="Book Antiqua" w:cs="SimSun"/>
          <w:i/>
          <w:iCs/>
          <w:kern w:val="0"/>
          <w:szCs w:val="24"/>
        </w:rPr>
        <w:t>Ann Oncol</w:t>
      </w:r>
      <w:r w:rsidRPr="00853B95">
        <w:rPr>
          <w:rFonts w:ascii="Book Antiqua" w:eastAsia="SimSun" w:hAnsi="Book Antiqua" w:cs="SimSun"/>
          <w:kern w:val="0"/>
          <w:szCs w:val="24"/>
        </w:rPr>
        <w:t> 2006; </w:t>
      </w:r>
      <w:r w:rsidRPr="00853B95">
        <w:rPr>
          <w:rFonts w:ascii="Book Antiqua" w:eastAsia="SimSun" w:hAnsi="Book Antiqua" w:cs="SimSun"/>
          <w:b/>
          <w:bCs/>
          <w:kern w:val="0"/>
          <w:szCs w:val="24"/>
        </w:rPr>
        <w:t>17</w:t>
      </w:r>
      <w:r w:rsidRPr="00853B95">
        <w:rPr>
          <w:rFonts w:ascii="Book Antiqua" w:eastAsia="SimSun" w:hAnsi="Book Antiqua" w:cs="SimSun"/>
          <w:kern w:val="0"/>
          <w:szCs w:val="24"/>
        </w:rPr>
        <w:t>: 1539-1545 [PMID:</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16940035</w:t>
      </w:r>
      <w:r w:rsidRPr="00853B95">
        <w:rPr>
          <w:rFonts w:ascii="Book Antiqua" w:eastAsia="SimSun" w:hAnsi="Book Antiqua" w:cs="SimSun" w:hint="eastAsia"/>
          <w:kern w:val="0"/>
          <w:szCs w:val="24"/>
        </w:rPr>
        <w:t xml:space="preserve"> </w:t>
      </w:r>
      <w:r w:rsidRPr="00853B95">
        <w:rPr>
          <w:rFonts w:ascii="Book Antiqua" w:eastAsia="SimSun" w:hAnsi="Book Antiqua" w:cs="SimSun"/>
          <w:kern w:val="0"/>
          <w:szCs w:val="24"/>
        </w:rPr>
        <w:t>DOI: 10.1093/annonc/mdl162]</w:t>
      </w:r>
      <w:bookmarkEnd w:id="66"/>
      <w:bookmarkEnd w:id="67"/>
    </w:p>
    <w:p w14:paraId="765DDF34" w14:textId="77777777" w:rsidR="005D124F" w:rsidRPr="00853B95" w:rsidRDefault="005D124F" w:rsidP="005D124F">
      <w:pPr>
        <w:pStyle w:val="ListParagraph"/>
        <w:wordWrap w:val="0"/>
        <w:spacing w:line="360" w:lineRule="auto"/>
        <w:ind w:left="360" w:right="120" w:firstLineChars="0" w:firstLine="0"/>
        <w:jc w:val="right"/>
        <w:rPr>
          <w:rFonts w:ascii="Book Antiqua" w:eastAsia="SimSun" w:hAnsi="Book Antiqua"/>
          <w:b/>
          <w:bCs/>
          <w:lang w:eastAsia="zh-CN"/>
        </w:rPr>
      </w:pPr>
      <w:bookmarkStart w:id="68" w:name="OLE_LINK427"/>
      <w:bookmarkStart w:id="69" w:name="OLE_LINK435"/>
      <w:bookmarkStart w:id="70" w:name="OLE_LINK516"/>
      <w:bookmarkStart w:id="71" w:name="OLE_LINK45"/>
      <w:bookmarkStart w:id="72" w:name="OLE_LINK132"/>
      <w:bookmarkStart w:id="73" w:name="OLE_LINK529"/>
      <w:bookmarkStart w:id="74" w:name="OLE_LINK541"/>
      <w:bookmarkStart w:id="75" w:name="OLE_LINK560"/>
      <w:bookmarkStart w:id="76" w:name="OLE_LINK558"/>
      <w:r w:rsidRPr="00853B95">
        <w:rPr>
          <w:rStyle w:val="Strong"/>
          <w:rFonts w:ascii="Book Antiqua" w:hAnsi="Book Antiqua" w:cs="Arial"/>
          <w:bCs w:val="0"/>
          <w:noProof/>
        </w:rPr>
        <w:t>P-Reviewer</w:t>
      </w:r>
      <w:r w:rsidRPr="00853B95">
        <w:rPr>
          <w:rStyle w:val="Strong"/>
          <w:rFonts w:ascii="Book Antiqua" w:eastAsia="SimSun" w:hAnsi="Book Antiqua" w:cs="Arial"/>
          <w:bCs w:val="0"/>
          <w:noProof/>
          <w:lang w:eastAsia="zh-CN"/>
        </w:rPr>
        <w:t>:</w:t>
      </w:r>
      <w:r w:rsidRPr="00853B95">
        <w:rPr>
          <w:rFonts w:ascii="Book Antiqua" w:hAnsi="Book Antiqua"/>
          <w:bCs/>
        </w:rPr>
        <w:t xml:space="preserve"> Ruskone-Fourmestraux</w:t>
      </w:r>
      <w:r w:rsidRPr="00853B95">
        <w:rPr>
          <w:rFonts w:ascii="Book Antiqua" w:eastAsia="SimSun" w:hAnsi="Book Antiqua" w:hint="eastAsia"/>
          <w:bCs/>
          <w:lang w:eastAsia="zh-CN"/>
        </w:rPr>
        <w:t xml:space="preserve"> </w:t>
      </w:r>
      <w:r w:rsidRPr="00853B95">
        <w:rPr>
          <w:rFonts w:ascii="Book Antiqua" w:hAnsi="Book Antiqua"/>
          <w:bCs/>
        </w:rPr>
        <w:t>A</w:t>
      </w:r>
      <w:r w:rsidRPr="00853B95">
        <w:rPr>
          <w:rFonts w:ascii="Book Antiqua" w:eastAsia="SimSun" w:hAnsi="Book Antiqua" w:hint="eastAsia"/>
          <w:bCs/>
          <w:lang w:eastAsia="zh-CN"/>
        </w:rPr>
        <w:t>,</w:t>
      </w:r>
      <w:r w:rsidRPr="00853B95">
        <w:rPr>
          <w:rFonts w:ascii="Book Antiqua" w:hAnsi="Book Antiqua"/>
          <w:bCs/>
        </w:rPr>
        <w:t xml:space="preserve"> Zhao</w:t>
      </w:r>
      <w:r w:rsidRPr="00853B95">
        <w:rPr>
          <w:rFonts w:ascii="Book Antiqua" w:eastAsia="SimSun" w:hAnsi="Book Antiqua" w:hint="eastAsia"/>
          <w:bCs/>
          <w:lang w:eastAsia="zh-CN"/>
        </w:rPr>
        <w:t xml:space="preserve"> </w:t>
      </w:r>
      <w:r w:rsidRPr="00853B95">
        <w:rPr>
          <w:rFonts w:ascii="Book Antiqua" w:hAnsi="Book Antiqua"/>
          <w:bCs/>
        </w:rPr>
        <w:t xml:space="preserve">JB  </w:t>
      </w:r>
      <w:r w:rsidRPr="00853B95">
        <w:rPr>
          <w:rFonts w:ascii="Book Antiqua" w:hAnsi="Book Antiqua"/>
          <w:b/>
          <w:bCs/>
        </w:rPr>
        <w:t>S-Editor</w:t>
      </w:r>
      <w:r w:rsidRPr="00853B95">
        <w:rPr>
          <w:rFonts w:ascii="Book Antiqua" w:eastAsia="SimSun" w:hAnsi="Book Antiqua"/>
          <w:b/>
          <w:bCs/>
          <w:lang w:eastAsia="zh-CN"/>
        </w:rPr>
        <w:t>:</w:t>
      </w:r>
      <w:r w:rsidRPr="00853B95">
        <w:rPr>
          <w:rFonts w:ascii="Book Antiqua" w:hAnsi="Book Antiqua"/>
          <w:bCs/>
        </w:rPr>
        <w:t xml:space="preserve"> </w:t>
      </w:r>
      <w:r w:rsidRPr="00853B95">
        <w:rPr>
          <w:rFonts w:ascii="Book Antiqua" w:eastAsia="SimSun" w:hAnsi="Book Antiqua"/>
          <w:bCs/>
          <w:lang w:eastAsia="zh-CN"/>
        </w:rPr>
        <w:t>Qi Y</w:t>
      </w:r>
      <w:r w:rsidRPr="00853B95">
        <w:rPr>
          <w:rFonts w:ascii="Book Antiqua" w:hAnsi="Book Antiqua"/>
          <w:b/>
          <w:bCs/>
        </w:rPr>
        <w:t xml:space="preserve"> </w:t>
      </w:r>
    </w:p>
    <w:p w14:paraId="466D2558" w14:textId="0A48C8B4" w:rsidR="005D124F" w:rsidRPr="00853B95" w:rsidRDefault="005D124F" w:rsidP="005D124F">
      <w:pPr>
        <w:pStyle w:val="ListParagraph"/>
        <w:spacing w:line="360" w:lineRule="auto"/>
        <w:ind w:left="360" w:right="120" w:firstLineChars="0" w:firstLine="0"/>
        <w:jc w:val="right"/>
        <w:rPr>
          <w:rFonts w:ascii="Book Antiqua" w:eastAsia="SimSun" w:hAnsi="Book Antiqua"/>
          <w:b/>
          <w:bCs/>
          <w:lang w:eastAsia="zh-CN"/>
        </w:rPr>
      </w:pPr>
      <w:r w:rsidRPr="00853B95">
        <w:rPr>
          <w:rFonts w:ascii="Book Antiqua" w:hAnsi="Book Antiqua"/>
          <w:b/>
          <w:bCs/>
        </w:rPr>
        <w:t>L-Editor</w:t>
      </w:r>
      <w:r w:rsidRPr="00853B95">
        <w:rPr>
          <w:rFonts w:ascii="Book Antiqua" w:eastAsia="SimSun" w:hAnsi="Book Antiqua"/>
          <w:b/>
          <w:bCs/>
          <w:lang w:eastAsia="zh-CN"/>
        </w:rPr>
        <w:t>:</w:t>
      </w:r>
      <w:r w:rsidRPr="00853B95">
        <w:rPr>
          <w:rFonts w:ascii="Book Antiqua" w:hAnsi="Book Antiqua"/>
          <w:b/>
          <w:bCs/>
        </w:rPr>
        <w:t xml:space="preserve">   E-Editor</w:t>
      </w:r>
      <w:r w:rsidRPr="00853B95">
        <w:rPr>
          <w:rFonts w:ascii="Book Antiqua" w:eastAsia="SimSun" w:hAnsi="Book Antiqua"/>
          <w:b/>
          <w:bCs/>
          <w:lang w:eastAsia="zh-CN"/>
        </w:rPr>
        <w:t>:</w:t>
      </w:r>
    </w:p>
    <w:bookmarkEnd w:id="68"/>
    <w:bookmarkEnd w:id="69"/>
    <w:bookmarkEnd w:id="70"/>
    <w:bookmarkEnd w:id="71"/>
    <w:bookmarkEnd w:id="72"/>
    <w:bookmarkEnd w:id="73"/>
    <w:bookmarkEnd w:id="74"/>
    <w:bookmarkEnd w:id="75"/>
    <w:bookmarkEnd w:id="76"/>
    <w:p w14:paraId="05C45771" w14:textId="77777777" w:rsidR="00A03DA0" w:rsidRPr="00853B95" w:rsidRDefault="00A03DA0" w:rsidP="00AF41BC">
      <w:pPr>
        <w:spacing w:line="360" w:lineRule="auto"/>
        <w:rPr>
          <w:rFonts w:ascii="Book Antiqua" w:hAnsi="Book Antiqua"/>
          <w:szCs w:val="24"/>
          <w:lang w:val="it-IT"/>
        </w:rPr>
      </w:pPr>
    </w:p>
    <w:p w14:paraId="02828C4A" w14:textId="77777777" w:rsidR="001E3B30" w:rsidRPr="00853B95" w:rsidRDefault="001E3B30" w:rsidP="00AF41BC">
      <w:pPr>
        <w:widowControl/>
        <w:spacing w:line="360" w:lineRule="auto"/>
        <w:rPr>
          <w:rFonts w:ascii="Book Antiqua" w:hAnsi="Book Antiqua"/>
          <w:b/>
          <w:szCs w:val="24"/>
        </w:rPr>
      </w:pPr>
      <w:r w:rsidRPr="00853B95">
        <w:rPr>
          <w:rFonts w:ascii="Book Antiqua" w:hAnsi="Book Antiqua"/>
          <w:b/>
          <w:szCs w:val="24"/>
        </w:rPr>
        <w:br w:type="page"/>
      </w:r>
    </w:p>
    <w:p w14:paraId="5B4CBD84" w14:textId="72641346" w:rsidR="00742BD0" w:rsidRPr="00853B95" w:rsidRDefault="00737F1A" w:rsidP="00AF41BC">
      <w:pPr>
        <w:spacing w:line="360" w:lineRule="auto"/>
        <w:rPr>
          <w:rFonts w:ascii="Book Antiqua" w:hAnsi="Book Antiqua"/>
          <w:b/>
          <w:szCs w:val="24"/>
        </w:rPr>
      </w:pPr>
      <w:r w:rsidRPr="00853B95">
        <w:rPr>
          <w:noProof/>
          <w:lang w:eastAsia="zh-CN"/>
        </w:rPr>
        <w:lastRenderedPageBreak/>
        <w:drawing>
          <wp:inline distT="0" distB="0" distL="0" distR="0" wp14:anchorId="04444E62" wp14:editId="140F57A4">
            <wp:extent cx="5400040" cy="3123773"/>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00040" cy="3123773"/>
                    </a:xfrm>
                    <a:prstGeom prst="rect">
                      <a:avLst/>
                    </a:prstGeom>
                  </pic:spPr>
                </pic:pic>
              </a:graphicData>
            </a:graphic>
          </wp:inline>
        </w:drawing>
      </w:r>
      <w:r w:rsidR="004008EB" w:rsidRPr="00853B95">
        <w:rPr>
          <w:rFonts w:ascii="Book Antiqua" w:hAnsi="Book Antiqua"/>
          <w:b/>
          <w:szCs w:val="24"/>
        </w:rPr>
        <w:t>Fig</w:t>
      </w:r>
      <w:r w:rsidR="005D124F" w:rsidRPr="00853B95">
        <w:rPr>
          <w:rFonts w:ascii="Book Antiqua" w:eastAsia="SimSun" w:hAnsi="Book Antiqua" w:hint="eastAsia"/>
          <w:b/>
          <w:szCs w:val="24"/>
          <w:lang w:eastAsia="zh-CN"/>
        </w:rPr>
        <w:t>ure</w:t>
      </w:r>
      <w:r w:rsidR="005D124F" w:rsidRPr="00853B95">
        <w:rPr>
          <w:rFonts w:ascii="Book Antiqua" w:hAnsi="Book Antiqua"/>
          <w:b/>
          <w:szCs w:val="24"/>
        </w:rPr>
        <w:t xml:space="preserve"> 1</w:t>
      </w:r>
      <w:r w:rsidR="005D124F" w:rsidRPr="00853B95">
        <w:rPr>
          <w:rFonts w:ascii="Book Antiqua" w:eastAsia="SimSun" w:hAnsi="Book Antiqua" w:hint="eastAsia"/>
          <w:b/>
          <w:szCs w:val="24"/>
          <w:lang w:eastAsia="zh-CN"/>
        </w:rPr>
        <w:t xml:space="preserve"> </w:t>
      </w:r>
      <w:r w:rsidR="004008EB" w:rsidRPr="00853B95">
        <w:rPr>
          <w:rFonts w:ascii="Book Antiqua" w:hAnsi="Book Antiqua"/>
          <w:b/>
          <w:szCs w:val="24"/>
        </w:rPr>
        <w:t>Endoscopic features of intestinal follicular lymphoma in a 63-year-old woman.</w:t>
      </w:r>
      <w:r w:rsidR="005D124F" w:rsidRPr="00853B95">
        <w:rPr>
          <w:rFonts w:ascii="Book Antiqua" w:eastAsia="SimSun" w:hAnsi="Book Antiqua" w:hint="eastAsia"/>
          <w:b/>
          <w:szCs w:val="24"/>
          <w:lang w:eastAsia="zh-CN"/>
        </w:rPr>
        <w:t xml:space="preserve"> </w:t>
      </w:r>
      <w:r w:rsidR="004008EB" w:rsidRPr="00853B95">
        <w:rPr>
          <w:rFonts w:ascii="Book Antiqua" w:hAnsi="Book Antiqua"/>
          <w:szCs w:val="24"/>
        </w:rPr>
        <w:t>A: This case was diagnosed as follicular lymphoma with duodenal and jejunal lesions, and mesenteric lymph node involvement. The duodenal lesions are observed as multiple whitish nodules; B: Magnifying observation reveals opaque white depositions; C: Narrow-band imaging visualizes dilated microvessels on the surface of the white depositions; D: Video capsule enteroscopy shows multiple whitish granules in the jejunum; E: Double-balloon enteroscopy images of a jejunal lesion.</w:t>
      </w:r>
    </w:p>
    <w:p w14:paraId="2A0F5B21" w14:textId="77777777" w:rsidR="00742BD0" w:rsidRPr="00853B95" w:rsidRDefault="00742BD0" w:rsidP="00AF41BC">
      <w:pPr>
        <w:spacing w:line="360" w:lineRule="auto"/>
        <w:rPr>
          <w:rFonts w:ascii="Book Antiqua" w:hAnsi="Book Antiqua"/>
          <w:szCs w:val="24"/>
        </w:rPr>
      </w:pPr>
    </w:p>
    <w:p w14:paraId="23FFC75F" w14:textId="629B7950" w:rsidR="003659F8" w:rsidRPr="00853B95" w:rsidRDefault="00737F1A" w:rsidP="00AF41BC">
      <w:pPr>
        <w:spacing w:line="360" w:lineRule="auto"/>
        <w:rPr>
          <w:rFonts w:ascii="Book Antiqua" w:hAnsi="Book Antiqua"/>
          <w:szCs w:val="24"/>
        </w:rPr>
      </w:pPr>
      <w:r w:rsidRPr="00853B95">
        <w:rPr>
          <w:noProof/>
          <w:lang w:eastAsia="zh-CN"/>
        </w:rPr>
        <w:lastRenderedPageBreak/>
        <w:drawing>
          <wp:inline distT="0" distB="0" distL="0" distR="0" wp14:anchorId="0189EAC7" wp14:editId="5D7AF977">
            <wp:extent cx="5400040" cy="310877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00040" cy="3108773"/>
                    </a:xfrm>
                    <a:prstGeom prst="rect">
                      <a:avLst/>
                    </a:prstGeom>
                  </pic:spPr>
                </pic:pic>
              </a:graphicData>
            </a:graphic>
          </wp:inline>
        </w:drawing>
      </w:r>
    </w:p>
    <w:p w14:paraId="5279516D" w14:textId="713C91CA" w:rsidR="00CD4D85" w:rsidRPr="00853B95" w:rsidRDefault="004008EB" w:rsidP="00AF41BC">
      <w:pPr>
        <w:spacing w:line="360" w:lineRule="auto"/>
        <w:rPr>
          <w:rFonts w:ascii="Book Antiqua" w:hAnsi="Book Antiqua"/>
          <w:szCs w:val="24"/>
        </w:rPr>
      </w:pPr>
      <w:r w:rsidRPr="00853B95">
        <w:rPr>
          <w:rFonts w:ascii="Book Antiqua" w:hAnsi="Book Antiqua"/>
          <w:b/>
          <w:szCs w:val="24"/>
        </w:rPr>
        <w:t>Fig</w:t>
      </w:r>
      <w:r w:rsidR="005D124F" w:rsidRPr="00853B95">
        <w:rPr>
          <w:rFonts w:ascii="Book Antiqua" w:eastAsia="SimSun" w:hAnsi="Book Antiqua" w:hint="eastAsia"/>
          <w:b/>
          <w:szCs w:val="24"/>
          <w:lang w:eastAsia="zh-CN"/>
        </w:rPr>
        <w:t xml:space="preserve">ure </w:t>
      </w:r>
      <w:r w:rsidR="005D124F" w:rsidRPr="00853B95">
        <w:rPr>
          <w:rFonts w:ascii="Book Antiqua" w:hAnsi="Book Antiqua"/>
          <w:b/>
          <w:szCs w:val="24"/>
        </w:rPr>
        <w:t>2</w:t>
      </w:r>
      <w:r w:rsidR="005D124F" w:rsidRPr="00853B95">
        <w:rPr>
          <w:rFonts w:ascii="Book Antiqua" w:eastAsia="SimSun" w:hAnsi="Book Antiqua" w:hint="eastAsia"/>
          <w:b/>
          <w:szCs w:val="24"/>
          <w:lang w:eastAsia="zh-CN"/>
        </w:rPr>
        <w:t xml:space="preserve"> </w:t>
      </w:r>
      <w:r w:rsidRPr="00853B95">
        <w:rPr>
          <w:rFonts w:ascii="Book Antiqua" w:hAnsi="Book Antiqua"/>
          <w:b/>
          <w:szCs w:val="24"/>
        </w:rPr>
        <w:t>Pathological images (the same case shown in Fig</w:t>
      </w:r>
      <w:r w:rsidR="005D124F" w:rsidRPr="00853B95">
        <w:rPr>
          <w:rFonts w:ascii="Book Antiqua" w:eastAsia="SimSun" w:hAnsi="Book Antiqua" w:hint="eastAsia"/>
          <w:b/>
          <w:szCs w:val="24"/>
          <w:lang w:eastAsia="zh-CN"/>
        </w:rPr>
        <w:t>ure</w:t>
      </w:r>
      <w:r w:rsidRPr="00853B95">
        <w:rPr>
          <w:rFonts w:ascii="Book Antiqua" w:hAnsi="Book Antiqua"/>
          <w:b/>
          <w:szCs w:val="24"/>
        </w:rPr>
        <w:t xml:space="preserve"> 1).</w:t>
      </w:r>
      <w:r w:rsidR="005D124F" w:rsidRPr="00853B95">
        <w:rPr>
          <w:rFonts w:ascii="Book Antiqua" w:eastAsia="SimSun" w:hAnsi="Book Antiqua" w:hint="eastAsia"/>
          <w:szCs w:val="24"/>
          <w:lang w:eastAsia="zh-CN"/>
        </w:rPr>
        <w:t xml:space="preserve"> </w:t>
      </w:r>
      <w:r w:rsidRPr="00853B95">
        <w:rPr>
          <w:rFonts w:ascii="Book Antiqua" w:hAnsi="Book Antiqua"/>
          <w:szCs w:val="24"/>
        </w:rPr>
        <w:t xml:space="preserve">A: Neoplastic follicles are seen in the duodenal villi (hematoxylin and eosin staining, </w:t>
      </w:r>
      <w:r w:rsidRPr="00853B95">
        <w:rPr>
          <w:rFonts w:ascii="Book Antiqua" w:eastAsia="MS Mincho" w:hAnsi="Book Antiqua" w:cs="Times New Roman"/>
          <w:szCs w:val="24"/>
        </w:rPr>
        <w:t>×</w:t>
      </w:r>
      <w:r w:rsidR="005D124F" w:rsidRPr="00853B95">
        <w:rPr>
          <w:rFonts w:ascii="Book Antiqua" w:eastAsia="SimSun" w:hAnsi="Book Antiqua" w:cs="Times New Roman" w:hint="eastAsia"/>
          <w:szCs w:val="24"/>
          <w:lang w:eastAsia="zh-CN"/>
        </w:rPr>
        <w:t xml:space="preserve"> </w:t>
      </w:r>
      <w:r w:rsidRPr="00853B95">
        <w:rPr>
          <w:rFonts w:ascii="Book Antiqua" w:eastAsia="MS Mincho" w:hAnsi="Book Antiqua" w:cs="Times New Roman"/>
          <w:szCs w:val="24"/>
        </w:rPr>
        <w:t>10</w:t>
      </w:r>
      <w:r w:rsidR="00332B54" w:rsidRPr="00853B95">
        <w:rPr>
          <w:rFonts w:ascii="Book Antiqua" w:hAnsi="Book Antiqua"/>
          <w:szCs w:val="24"/>
        </w:rPr>
        <w:t xml:space="preserve">); B: </w:t>
      </w:r>
      <w:r w:rsidR="005046EA" w:rsidRPr="00853B95">
        <w:rPr>
          <w:rFonts w:ascii="Book Antiqua" w:hAnsi="Book Antiqua"/>
          <w:szCs w:val="24"/>
        </w:rPr>
        <w:t>The l</w:t>
      </w:r>
      <w:r w:rsidR="002C219B" w:rsidRPr="00853B95">
        <w:rPr>
          <w:rFonts w:ascii="Book Antiqua" w:hAnsi="Book Antiqua"/>
          <w:szCs w:val="24"/>
        </w:rPr>
        <w:t>ymphoma</w:t>
      </w:r>
      <w:r w:rsidR="00332B54" w:rsidRPr="00853B95">
        <w:rPr>
          <w:rFonts w:ascii="Book Antiqua" w:hAnsi="Book Antiqua"/>
          <w:szCs w:val="24"/>
        </w:rPr>
        <w:t xml:space="preserve"> cells </w:t>
      </w:r>
      <w:r w:rsidR="00CB6389" w:rsidRPr="00853B95">
        <w:rPr>
          <w:rFonts w:ascii="Book Antiqua" w:hAnsi="Book Antiqua"/>
          <w:szCs w:val="24"/>
        </w:rPr>
        <w:t>a</w:t>
      </w:r>
      <w:r w:rsidR="00332B54" w:rsidRPr="00853B95">
        <w:rPr>
          <w:rFonts w:ascii="Book Antiqua" w:hAnsi="Book Antiqua"/>
          <w:szCs w:val="24"/>
        </w:rPr>
        <w:t xml:space="preserve">re composed of small- to medium-sized lymphoid cells (hematoxylin and eosin staining, </w:t>
      </w:r>
      <w:r w:rsidRPr="00853B95">
        <w:rPr>
          <w:rFonts w:ascii="Book Antiqua" w:eastAsia="MS Mincho" w:hAnsi="Book Antiqua" w:cs="Times New Roman"/>
          <w:szCs w:val="24"/>
        </w:rPr>
        <w:t>×</w:t>
      </w:r>
      <w:r w:rsidR="005D124F" w:rsidRPr="00853B95">
        <w:rPr>
          <w:rFonts w:ascii="Book Antiqua" w:eastAsia="SimSun" w:hAnsi="Book Antiqua" w:cs="Times New Roman" w:hint="eastAsia"/>
          <w:szCs w:val="24"/>
          <w:lang w:eastAsia="zh-CN"/>
        </w:rPr>
        <w:t xml:space="preserve"> </w:t>
      </w:r>
      <w:r w:rsidR="00CA0EB8" w:rsidRPr="00853B95">
        <w:rPr>
          <w:rFonts w:ascii="Book Antiqua" w:eastAsia="MS Mincho" w:hAnsi="Book Antiqua" w:cs="Times New Roman"/>
          <w:szCs w:val="24"/>
        </w:rPr>
        <w:t>40</w:t>
      </w:r>
      <w:r w:rsidR="00332B54" w:rsidRPr="00853B95">
        <w:rPr>
          <w:rFonts w:ascii="Book Antiqua" w:hAnsi="Book Antiqua"/>
          <w:szCs w:val="24"/>
        </w:rPr>
        <w:t xml:space="preserve">); C: </w:t>
      </w:r>
      <w:r w:rsidR="005046EA" w:rsidRPr="00853B95">
        <w:rPr>
          <w:rFonts w:ascii="Book Antiqua" w:hAnsi="Book Antiqua"/>
          <w:szCs w:val="24"/>
        </w:rPr>
        <w:t>The l</w:t>
      </w:r>
      <w:r w:rsidR="00CB6389" w:rsidRPr="00853B95">
        <w:rPr>
          <w:rFonts w:ascii="Book Antiqua" w:hAnsi="Book Antiqua"/>
          <w:szCs w:val="24"/>
        </w:rPr>
        <w:t xml:space="preserve">ymphoma cells are negative for CD3 </w:t>
      </w:r>
      <w:r w:rsidR="00CB6389" w:rsidRPr="00853B95">
        <w:rPr>
          <w:rFonts w:ascii="Book Antiqua" w:hAnsi="Book Antiqua" w:cs="Times New Roman"/>
          <w:szCs w:val="24"/>
        </w:rPr>
        <w:t>(</w:t>
      </w:r>
      <w:r w:rsidRPr="00853B95">
        <w:rPr>
          <w:rFonts w:ascii="Book Antiqua" w:eastAsia="MS Mincho" w:hAnsi="Book Antiqua" w:cs="Times New Roman"/>
          <w:szCs w:val="24"/>
        </w:rPr>
        <w:t>×</w:t>
      </w:r>
      <w:r w:rsidR="005D124F" w:rsidRPr="00853B95">
        <w:rPr>
          <w:rFonts w:ascii="Book Antiqua" w:eastAsia="SimSun" w:hAnsi="Book Antiqua" w:cs="Times New Roman" w:hint="eastAsia"/>
          <w:szCs w:val="24"/>
          <w:lang w:eastAsia="zh-CN"/>
        </w:rPr>
        <w:t xml:space="preserve"> </w:t>
      </w:r>
      <w:r w:rsidR="00CA0EB8" w:rsidRPr="00853B95">
        <w:rPr>
          <w:rFonts w:ascii="Book Antiqua" w:eastAsia="MS Mincho" w:hAnsi="Book Antiqua" w:cs="Times New Roman"/>
          <w:szCs w:val="24"/>
        </w:rPr>
        <w:t>10</w:t>
      </w:r>
      <w:r w:rsidR="00CB6389" w:rsidRPr="00853B95">
        <w:rPr>
          <w:rFonts w:ascii="Book Antiqua" w:hAnsi="Book Antiqua"/>
          <w:szCs w:val="24"/>
        </w:rPr>
        <w:t xml:space="preserve">); D: </w:t>
      </w:r>
      <w:r w:rsidR="005046EA" w:rsidRPr="00853B95">
        <w:rPr>
          <w:rFonts w:ascii="Book Antiqua" w:hAnsi="Book Antiqua"/>
          <w:szCs w:val="24"/>
        </w:rPr>
        <w:t>The l</w:t>
      </w:r>
      <w:r w:rsidR="00CB6389" w:rsidRPr="00853B95">
        <w:rPr>
          <w:rFonts w:ascii="Book Antiqua" w:hAnsi="Book Antiqua"/>
          <w:szCs w:val="24"/>
        </w:rPr>
        <w:t xml:space="preserve">ymphoma cells are positive for CD20 </w:t>
      </w:r>
      <w:r w:rsidR="00CB6389" w:rsidRPr="00853B95">
        <w:rPr>
          <w:rFonts w:ascii="Book Antiqua" w:hAnsi="Book Antiqua" w:cs="Times New Roman"/>
          <w:szCs w:val="24"/>
        </w:rPr>
        <w:t>(</w:t>
      </w:r>
      <w:r w:rsidRPr="00853B95">
        <w:rPr>
          <w:rFonts w:ascii="Book Antiqua" w:eastAsia="MS Mincho" w:hAnsi="Book Antiqua" w:cs="Times New Roman"/>
          <w:szCs w:val="24"/>
        </w:rPr>
        <w:t>×</w:t>
      </w:r>
      <w:r w:rsidR="005D124F" w:rsidRPr="00853B95">
        <w:rPr>
          <w:rFonts w:ascii="Book Antiqua" w:eastAsia="SimSun" w:hAnsi="Book Antiqua" w:cs="Times New Roman" w:hint="eastAsia"/>
          <w:szCs w:val="24"/>
          <w:lang w:eastAsia="zh-CN"/>
        </w:rPr>
        <w:t xml:space="preserve"> </w:t>
      </w:r>
      <w:r w:rsidR="00CA0EB8" w:rsidRPr="00853B95">
        <w:rPr>
          <w:rFonts w:ascii="Book Antiqua" w:eastAsia="MS Mincho" w:hAnsi="Book Antiqua" w:cs="Times New Roman"/>
          <w:szCs w:val="24"/>
        </w:rPr>
        <w:t>10</w:t>
      </w:r>
      <w:r w:rsidR="00CB6389" w:rsidRPr="00853B95">
        <w:rPr>
          <w:rFonts w:ascii="Book Antiqua" w:hAnsi="Book Antiqua"/>
          <w:szCs w:val="24"/>
        </w:rPr>
        <w:t xml:space="preserve">); E: </w:t>
      </w:r>
      <w:r w:rsidR="005046EA" w:rsidRPr="00853B95">
        <w:rPr>
          <w:rFonts w:ascii="Book Antiqua" w:hAnsi="Book Antiqua"/>
          <w:szCs w:val="24"/>
        </w:rPr>
        <w:t>The l</w:t>
      </w:r>
      <w:r w:rsidR="00CB6389" w:rsidRPr="00853B95">
        <w:rPr>
          <w:rFonts w:ascii="Book Antiqua" w:hAnsi="Book Antiqua"/>
          <w:szCs w:val="24"/>
        </w:rPr>
        <w:t xml:space="preserve">ymphoma cells are positive for CD10 </w:t>
      </w:r>
      <w:r w:rsidR="00CB6389" w:rsidRPr="00853B95">
        <w:rPr>
          <w:rFonts w:ascii="Book Antiqua" w:hAnsi="Book Antiqua" w:cs="Times New Roman"/>
          <w:szCs w:val="24"/>
        </w:rPr>
        <w:t>(</w:t>
      </w:r>
      <w:r w:rsidRPr="00853B95">
        <w:rPr>
          <w:rFonts w:ascii="Book Antiqua" w:eastAsia="MS Mincho" w:hAnsi="Book Antiqua" w:cs="Times New Roman"/>
          <w:szCs w:val="24"/>
        </w:rPr>
        <w:t>×</w:t>
      </w:r>
      <w:r w:rsidR="005D124F" w:rsidRPr="00853B95">
        <w:rPr>
          <w:rFonts w:ascii="Book Antiqua" w:eastAsia="SimSun" w:hAnsi="Book Antiqua" w:cs="Times New Roman" w:hint="eastAsia"/>
          <w:szCs w:val="24"/>
          <w:lang w:eastAsia="zh-CN"/>
        </w:rPr>
        <w:t xml:space="preserve"> </w:t>
      </w:r>
      <w:r w:rsidR="00CA0EB8" w:rsidRPr="00853B95">
        <w:rPr>
          <w:rFonts w:ascii="Book Antiqua" w:eastAsia="MS Mincho" w:hAnsi="Book Antiqua" w:cs="Times New Roman"/>
          <w:szCs w:val="24"/>
        </w:rPr>
        <w:t>10</w:t>
      </w:r>
      <w:r w:rsidR="00CB6389" w:rsidRPr="00853B95">
        <w:rPr>
          <w:rFonts w:ascii="Book Antiqua" w:hAnsi="Book Antiqua"/>
          <w:szCs w:val="24"/>
        </w:rPr>
        <w:t xml:space="preserve">); F: </w:t>
      </w:r>
      <w:r w:rsidR="005046EA" w:rsidRPr="00853B95">
        <w:rPr>
          <w:rFonts w:ascii="Book Antiqua" w:hAnsi="Book Antiqua"/>
          <w:szCs w:val="24"/>
        </w:rPr>
        <w:t>The l</w:t>
      </w:r>
      <w:r w:rsidR="00CB6389" w:rsidRPr="00853B95">
        <w:rPr>
          <w:rFonts w:ascii="Book Antiqua" w:hAnsi="Book Antiqua"/>
          <w:szCs w:val="24"/>
        </w:rPr>
        <w:t xml:space="preserve">ymphoma cells are positive for BCL2 </w:t>
      </w:r>
      <w:r w:rsidR="00CB6389" w:rsidRPr="00853B95">
        <w:rPr>
          <w:rFonts w:ascii="Book Antiqua" w:hAnsi="Book Antiqua" w:cs="Times New Roman"/>
          <w:szCs w:val="24"/>
        </w:rPr>
        <w:t>(</w:t>
      </w:r>
      <w:r w:rsidRPr="00853B95">
        <w:rPr>
          <w:rFonts w:ascii="Book Antiqua" w:eastAsia="MS Mincho" w:hAnsi="Book Antiqua" w:cs="Times New Roman"/>
          <w:szCs w:val="24"/>
        </w:rPr>
        <w:t>×</w:t>
      </w:r>
      <w:r w:rsidR="005D124F" w:rsidRPr="00853B95">
        <w:rPr>
          <w:rFonts w:ascii="Book Antiqua" w:eastAsia="SimSun" w:hAnsi="Book Antiqua" w:cs="Times New Roman" w:hint="eastAsia"/>
          <w:szCs w:val="24"/>
          <w:lang w:eastAsia="zh-CN"/>
        </w:rPr>
        <w:t xml:space="preserve"> </w:t>
      </w:r>
      <w:r w:rsidR="00CA0EB8" w:rsidRPr="00853B95">
        <w:rPr>
          <w:rFonts w:ascii="Book Antiqua" w:eastAsia="MS Mincho" w:hAnsi="Book Antiqua" w:cs="Times New Roman"/>
          <w:szCs w:val="24"/>
        </w:rPr>
        <w:t>10</w:t>
      </w:r>
      <w:r w:rsidR="00CB6389" w:rsidRPr="00853B95">
        <w:rPr>
          <w:rFonts w:ascii="Book Antiqua" w:hAnsi="Book Antiqua" w:cs="Times New Roman"/>
          <w:szCs w:val="24"/>
        </w:rPr>
        <w:t>).</w:t>
      </w:r>
    </w:p>
    <w:p w14:paraId="133595C5" w14:textId="77777777" w:rsidR="00CB6389" w:rsidRPr="00853B95" w:rsidRDefault="00CB6389" w:rsidP="00AF41BC">
      <w:pPr>
        <w:spacing w:line="360" w:lineRule="auto"/>
        <w:rPr>
          <w:rFonts w:ascii="Book Antiqua" w:hAnsi="Book Antiqua"/>
          <w:szCs w:val="24"/>
        </w:rPr>
      </w:pPr>
    </w:p>
    <w:p w14:paraId="09BF71DF" w14:textId="77777777" w:rsidR="007C112F" w:rsidRPr="00853B95" w:rsidRDefault="007C112F" w:rsidP="00AF41BC">
      <w:pPr>
        <w:widowControl/>
        <w:spacing w:line="360" w:lineRule="auto"/>
        <w:rPr>
          <w:rFonts w:ascii="Book Antiqua" w:hAnsi="Book Antiqua"/>
          <w:szCs w:val="24"/>
        </w:rPr>
      </w:pPr>
      <w:r w:rsidRPr="00853B95">
        <w:rPr>
          <w:rFonts w:ascii="Book Antiqua" w:hAnsi="Book Antiqua"/>
          <w:szCs w:val="24"/>
        </w:rPr>
        <w:br w:type="page"/>
      </w:r>
    </w:p>
    <w:p w14:paraId="1080408C" w14:textId="3418FD39" w:rsidR="007C112F" w:rsidRPr="00853B95" w:rsidRDefault="005D124F" w:rsidP="00AF41BC">
      <w:pPr>
        <w:spacing w:line="360" w:lineRule="auto"/>
        <w:rPr>
          <w:rFonts w:ascii="Book Antiqua" w:hAnsi="Book Antiqua"/>
          <w:b/>
          <w:szCs w:val="24"/>
        </w:rPr>
      </w:pPr>
      <w:r w:rsidRPr="00853B95">
        <w:rPr>
          <w:rFonts w:ascii="Book Antiqua" w:hAnsi="Book Antiqua"/>
          <w:b/>
          <w:szCs w:val="24"/>
        </w:rPr>
        <w:lastRenderedPageBreak/>
        <w:t>Table 1</w:t>
      </w:r>
      <w:r w:rsidR="004008EB" w:rsidRPr="00853B95">
        <w:rPr>
          <w:rFonts w:ascii="Book Antiqua" w:hAnsi="Book Antiqua"/>
          <w:b/>
          <w:szCs w:val="24"/>
        </w:rPr>
        <w:t xml:space="preserve"> Initial diagnostic workup for patients with primary or secondary gastrointestinal involvement of follicular lymphoma</w:t>
      </w:r>
    </w:p>
    <w:p w14:paraId="591F364B" w14:textId="25C0CD5D" w:rsidR="007C112F" w:rsidRPr="00853B95" w:rsidRDefault="007C112F" w:rsidP="00AF41BC">
      <w:pPr>
        <w:spacing w:line="360" w:lineRule="auto"/>
        <w:rPr>
          <w:rFonts w:ascii="Book Antiqua" w:hAnsi="Book Antiqua"/>
          <w:szCs w:val="24"/>
        </w:rPr>
      </w:pPr>
    </w:p>
    <w:tbl>
      <w:tblPr>
        <w:tblStyle w:val="TableGrid"/>
        <w:tblW w:w="0" w:type="auto"/>
        <w:tblBorders>
          <w:left w:val="none" w:sz="0" w:space="0" w:color="auto"/>
          <w:right w:val="none" w:sz="0" w:space="0" w:color="auto"/>
          <w:insideH w:val="none" w:sz="0" w:space="0" w:color="auto"/>
        </w:tblBorders>
        <w:tblLook w:val="04A0" w:firstRow="1" w:lastRow="0" w:firstColumn="1" w:lastColumn="0" w:noHBand="0" w:noVBand="1"/>
      </w:tblPr>
      <w:tblGrid>
        <w:gridCol w:w="8720"/>
      </w:tblGrid>
      <w:tr w:rsidR="00853B95" w:rsidRPr="00853B95" w14:paraId="46FF7BEA" w14:textId="77777777" w:rsidTr="005D124F">
        <w:tc>
          <w:tcPr>
            <w:tcW w:w="8720" w:type="dxa"/>
          </w:tcPr>
          <w:p w14:paraId="454018AD" w14:textId="77777777" w:rsidR="005D124F" w:rsidRPr="00853B95" w:rsidRDefault="005D124F" w:rsidP="005D124F">
            <w:pPr>
              <w:spacing w:line="360" w:lineRule="auto"/>
              <w:rPr>
                <w:rFonts w:ascii="Book Antiqua" w:hAnsi="Book Antiqua"/>
                <w:b/>
                <w:szCs w:val="24"/>
              </w:rPr>
            </w:pPr>
            <w:r w:rsidRPr="00853B95">
              <w:rPr>
                <w:rFonts w:ascii="Book Antiqua" w:hAnsi="Book Antiqua"/>
                <w:b/>
                <w:szCs w:val="24"/>
              </w:rPr>
              <w:t>Required evaluations</w:t>
            </w:r>
          </w:p>
        </w:tc>
      </w:tr>
      <w:tr w:rsidR="00853B95" w:rsidRPr="00853B95" w14:paraId="3A19A71C" w14:textId="77777777" w:rsidTr="005D124F">
        <w:tc>
          <w:tcPr>
            <w:tcW w:w="8720" w:type="dxa"/>
          </w:tcPr>
          <w:p w14:paraId="52419C65" w14:textId="34D5DDF4" w:rsidR="005D124F" w:rsidRPr="00853B95" w:rsidRDefault="005D124F" w:rsidP="005D124F">
            <w:pPr>
              <w:spacing w:line="360" w:lineRule="auto"/>
              <w:rPr>
                <w:rFonts w:ascii="Book Antiqua" w:hAnsi="Book Antiqua"/>
                <w:szCs w:val="24"/>
              </w:rPr>
            </w:pPr>
            <w:r w:rsidRPr="00853B95">
              <w:rPr>
                <w:rFonts w:ascii="Book Antiqua" w:hAnsi="Book Antiqua"/>
                <w:szCs w:val="24"/>
              </w:rPr>
              <w:t xml:space="preserve"> Performance status</w:t>
            </w:r>
          </w:p>
        </w:tc>
      </w:tr>
      <w:tr w:rsidR="00853B95" w:rsidRPr="00853B95" w14:paraId="1BA46BBC" w14:textId="77777777" w:rsidTr="005D124F">
        <w:tc>
          <w:tcPr>
            <w:tcW w:w="8720" w:type="dxa"/>
          </w:tcPr>
          <w:p w14:paraId="052C9D8A" w14:textId="678FFD58" w:rsidR="005D124F" w:rsidRPr="00853B95" w:rsidRDefault="005D124F" w:rsidP="005D124F">
            <w:pPr>
              <w:spacing w:line="360" w:lineRule="auto"/>
              <w:rPr>
                <w:rFonts w:ascii="Book Antiqua" w:hAnsi="Book Antiqua"/>
                <w:szCs w:val="24"/>
              </w:rPr>
            </w:pPr>
            <w:r w:rsidRPr="00853B95">
              <w:rPr>
                <w:rFonts w:ascii="Book Antiqua" w:hAnsi="Book Antiqua"/>
                <w:szCs w:val="24"/>
              </w:rPr>
              <w:t xml:space="preserve"> Physical exams of the peripheral lymph nodes, liver, spleen, and Waldeyer’s ring.</w:t>
            </w:r>
          </w:p>
        </w:tc>
      </w:tr>
      <w:tr w:rsidR="00853B95" w:rsidRPr="00853B95" w14:paraId="7925A1B7" w14:textId="77777777" w:rsidTr="005D124F">
        <w:tc>
          <w:tcPr>
            <w:tcW w:w="8720" w:type="dxa"/>
          </w:tcPr>
          <w:p w14:paraId="0DC5D268" w14:textId="3D1042F1" w:rsidR="005D124F" w:rsidRPr="00853B95" w:rsidRDefault="005D124F" w:rsidP="005D124F">
            <w:pPr>
              <w:spacing w:line="360" w:lineRule="auto"/>
              <w:rPr>
                <w:rFonts w:ascii="Book Antiqua" w:hAnsi="Book Antiqua"/>
                <w:szCs w:val="24"/>
              </w:rPr>
            </w:pPr>
            <w:r w:rsidRPr="00853B95">
              <w:rPr>
                <w:rFonts w:ascii="Book Antiqua" w:hAnsi="Book Antiqua"/>
                <w:szCs w:val="24"/>
              </w:rPr>
              <w:t xml:space="preserve"> Blood tests including a complete blood count and leukocyte differential, LDH, β2-microglobulin, uric acid, creatinine, electrolytes including calcium and phosphate, liver function tests, albumin, and serology tests for hepatitis B, C, and HIV.</w:t>
            </w:r>
          </w:p>
        </w:tc>
      </w:tr>
      <w:tr w:rsidR="00853B95" w:rsidRPr="00853B95" w14:paraId="7D60BAAA" w14:textId="77777777" w:rsidTr="005D124F">
        <w:tc>
          <w:tcPr>
            <w:tcW w:w="8720" w:type="dxa"/>
          </w:tcPr>
          <w:p w14:paraId="33B9E3B1" w14:textId="5EBCA202" w:rsidR="005D124F" w:rsidRPr="00853B95" w:rsidRDefault="005D124F" w:rsidP="005D124F">
            <w:pPr>
              <w:spacing w:line="360" w:lineRule="auto"/>
              <w:rPr>
                <w:rFonts w:ascii="Book Antiqua" w:hAnsi="Book Antiqua"/>
                <w:szCs w:val="24"/>
              </w:rPr>
            </w:pPr>
            <w:r w:rsidRPr="00853B95">
              <w:rPr>
                <w:rFonts w:ascii="Book Antiqua" w:hAnsi="Book Antiqua"/>
                <w:szCs w:val="24"/>
              </w:rPr>
              <w:t xml:space="preserve"> Immunoglobulins and electrophoresis of proteins</w:t>
            </w:r>
          </w:p>
        </w:tc>
      </w:tr>
      <w:tr w:rsidR="00853B95" w:rsidRPr="00853B95" w14:paraId="4D09DDB0" w14:textId="77777777" w:rsidTr="005D124F">
        <w:tc>
          <w:tcPr>
            <w:tcW w:w="8720" w:type="dxa"/>
          </w:tcPr>
          <w:p w14:paraId="02E602E6" w14:textId="203F62B9" w:rsidR="005D124F" w:rsidRPr="00853B95" w:rsidRDefault="005D124F" w:rsidP="005D124F">
            <w:pPr>
              <w:spacing w:line="360" w:lineRule="auto"/>
              <w:rPr>
                <w:rFonts w:ascii="Book Antiqua" w:eastAsia="SimSun" w:hAnsi="Book Antiqua"/>
                <w:szCs w:val="24"/>
                <w:lang w:eastAsia="zh-CN"/>
              </w:rPr>
            </w:pPr>
            <w:r w:rsidRPr="00853B95">
              <w:rPr>
                <w:rFonts w:ascii="Book Antiqua" w:hAnsi="Book Antiqua"/>
                <w:szCs w:val="24"/>
              </w:rPr>
              <w:t xml:space="preserve"> Esophagogastroduodenoscopy, colonoscopy, and enteroscopy</w:t>
            </w:r>
            <w:r w:rsidRPr="00853B95">
              <w:rPr>
                <w:rFonts w:ascii="Book Antiqua" w:eastAsia="SimSun" w:hAnsi="Book Antiqua" w:hint="eastAsia"/>
                <w:szCs w:val="24"/>
                <w:vertAlign w:val="superscript"/>
                <w:lang w:eastAsia="zh-CN"/>
              </w:rPr>
              <w:t>1</w:t>
            </w:r>
          </w:p>
        </w:tc>
      </w:tr>
      <w:tr w:rsidR="00853B95" w:rsidRPr="00853B95" w14:paraId="72B3D5DF" w14:textId="77777777" w:rsidTr="005D124F">
        <w:tc>
          <w:tcPr>
            <w:tcW w:w="8720" w:type="dxa"/>
          </w:tcPr>
          <w:p w14:paraId="0E8A8242" w14:textId="4DAF7231" w:rsidR="005D124F" w:rsidRPr="00853B95" w:rsidRDefault="005D124F" w:rsidP="005D124F">
            <w:pPr>
              <w:spacing w:line="360" w:lineRule="auto"/>
              <w:rPr>
                <w:rFonts w:ascii="Book Antiqua" w:hAnsi="Book Antiqua"/>
                <w:szCs w:val="24"/>
              </w:rPr>
            </w:pPr>
            <w:r w:rsidRPr="00853B95">
              <w:rPr>
                <w:rFonts w:ascii="Book Antiqua" w:hAnsi="Book Antiqua"/>
                <w:szCs w:val="24"/>
              </w:rPr>
              <w:t xml:space="preserve"> PET-CT scanning of the neck, chest, abdomen, and pelvis.</w:t>
            </w:r>
          </w:p>
        </w:tc>
      </w:tr>
      <w:tr w:rsidR="00853B95" w:rsidRPr="00853B95" w14:paraId="1A6D0C94" w14:textId="77777777" w:rsidTr="005D124F">
        <w:tc>
          <w:tcPr>
            <w:tcW w:w="8720" w:type="dxa"/>
          </w:tcPr>
          <w:p w14:paraId="7820B92E" w14:textId="106BAE22" w:rsidR="005D124F" w:rsidRPr="00853B95" w:rsidRDefault="005D124F" w:rsidP="005D124F">
            <w:pPr>
              <w:spacing w:line="360" w:lineRule="auto"/>
              <w:rPr>
                <w:rFonts w:ascii="Book Antiqua" w:hAnsi="Book Antiqua"/>
                <w:szCs w:val="24"/>
              </w:rPr>
            </w:pPr>
            <w:r w:rsidRPr="00853B95">
              <w:rPr>
                <w:rFonts w:ascii="Book Antiqua" w:hAnsi="Book Antiqua"/>
                <w:szCs w:val="24"/>
              </w:rPr>
              <w:t xml:space="preserve"> Chest X-ray, abdominal ultrasound</w:t>
            </w:r>
          </w:p>
        </w:tc>
      </w:tr>
      <w:tr w:rsidR="00853B95" w:rsidRPr="00853B95" w14:paraId="5C42E6EE" w14:textId="77777777" w:rsidTr="005D124F">
        <w:tc>
          <w:tcPr>
            <w:tcW w:w="8720" w:type="dxa"/>
          </w:tcPr>
          <w:p w14:paraId="64884EC6" w14:textId="2102B0DE" w:rsidR="005D124F" w:rsidRPr="00853B95" w:rsidRDefault="005D124F" w:rsidP="005D124F">
            <w:pPr>
              <w:spacing w:line="360" w:lineRule="auto"/>
              <w:rPr>
                <w:rFonts w:ascii="Book Antiqua" w:hAnsi="Book Antiqua"/>
                <w:szCs w:val="24"/>
              </w:rPr>
            </w:pPr>
            <w:r w:rsidRPr="00853B95">
              <w:rPr>
                <w:rFonts w:ascii="Book Antiqua" w:hAnsi="Book Antiqua"/>
                <w:szCs w:val="24"/>
              </w:rPr>
              <w:t xml:space="preserve"> Bone marrow biopsy</w:t>
            </w:r>
          </w:p>
        </w:tc>
      </w:tr>
      <w:tr w:rsidR="00853B95" w:rsidRPr="00853B95" w14:paraId="228A2D43" w14:textId="77777777" w:rsidTr="005D124F">
        <w:tc>
          <w:tcPr>
            <w:tcW w:w="8720" w:type="dxa"/>
          </w:tcPr>
          <w:p w14:paraId="0DA232F9" w14:textId="54C16806" w:rsidR="005D124F" w:rsidRPr="00853B95" w:rsidRDefault="005D124F" w:rsidP="005D124F">
            <w:pPr>
              <w:spacing w:line="360" w:lineRule="auto"/>
              <w:rPr>
                <w:rFonts w:ascii="Book Antiqua" w:hAnsi="Book Antiqua"/>
                <w:szCs w:val="24"/>
              </w:rPr>
            </w:pPr>
            <w:r w:rsidRPr="00853B95">
              <w:rPr>
                <w:rFonts w:ascii="Book Antiqua" w:hAnsi="Book Antiqua"/>
                <w:szCs w:val="24"/>
              </w:rPr>
              <w:t xml:space="preserve"> When planning chemotherapy: electrocardiogram, cardiac ultrasound</w:t>
            </w:r>
            <w:r w:rsidRPr="00853B95">
              <w:rPr>
                <w:rFonts w:ascii="Book Antiqua" w:eastAsia="SimSun" w:hAnsi="Book Antiqua" w:hint="eastAsia"/>
                <w:szCs w:val="24"/>
                <w:vertAlign w:val="superscript"/>
                <w:lang w:eastAsia="zh-CN"/>
              </w:rPr>
              <w:t>2</w:t>
            </w:r>
            <w:r w:rsidRPr="00853B95">
              <w:rPr>
                <w:rFonts w:ascii="Book Antiqua" w:hAnsi="Book Antiqua"/>
                <w:szCs w:val="24"/>
              </w:rPr>
              <w:t>, creatinine clearance</w:t>
            </w:r>
          </w:p>
        </w:tc>
      </w:tr>
      <w:tr w:rsidR="00853B95" w:rsidRPr="00853B95" w14:paraId="08135784" w14:textId="77777777" w:rsidTr="005D124F">
        <w:tc>
          <w:tcPr>
            <w:tcW w:w="8720" w:type="dxa"/>
          </w:tcPr>
          <w:p w14:paraId="29F71CA9" w14:textId="77777777" w:rsidR="005D124F" w:rsidRPr="00853B95" w:rsidRDefault="005D124F" w:rsidP="005D124F">
            <w:pPr>
              <w:spacing w:line="360" w:lineRule="auto"/>
              <w:rPr>
                <w:rFonts w:ascii="Book Antiqua" w:eastAsia="SimSun" w:hAnsi="Book Antiqua"/>
                <w:szCs w:val="24"/>
                <w:lang w:eastAsia="zh-CN"/>
              </w:rPr>
            </w:pPr>
          </w:p>
        </w:tc>
      </w:tr>
      <w:tr w:rsidR="00853B95" w:rsidRPr="00853B95" w14:paraId="4D57657F" w14:textId="77777777" w:rsidTr="005D124F">
        <w:tc>
          <w:tcPr>
            <w:tcW w:w="8720" w:type="dxa"/>
          </w:tcPr>
          <w:p w14:paraId="69110771" w14:textId="77777777" w:rsidR="005D124F" w:rsidRPr="00853B95" w:rsidRDefault="005D124F" w:rsidP="005D124F">
            <w:pPr>
              <w:spacing w:line="360" w:lineRule="auto"/>
              <w:rPr>
                <w:rFonts w:ascii="Book Antiqua" w:hAnsi="Book Antiqua"/>
                <w:b/>
                <w:szCs w:val="24"/>
              </w:rPr>
            </w:pPr>
            <w:r w:rsidRPr="00853B95">
              <w:rPr>
                <w:rFonts w:ascii="Book Antiqua" w:hAnsi="Book Antiqua"/>
                <w:b/>
                <w:szCs w:val="24"/>
              </w:rPr>
              <w:t>Optional</w:t>
            </w:r>
          </w:p>
        </w:tc>
      </w:tr>
      <w:tr w:rsidR="00853B95" w:rsidRPr="00853B95" w14:paraId="4E13F332" w14:textId="77777777" w:rsidTr="005D124F">
        <w:tc>
          <w:tcPr>
            <w:tcW w:w="8720" w:type="dxa"/>
          </w:tcPr>
          <w:p w14:paraId="2CDDA51C" w14:textId="55A4F852" w:rsidR="005D124F" w:rsidRPr="00853B95" w:rsidRDefault="005D124F" w:rsidP="005D124F">
            <w:pPr>
              <w:spacing w:line="360" w:lineRule="auto"/>
              <w:rPr>
                <w:rFonts w:ascii="Book Antiqua" w:hAnsi="Book Antiqua"/>
                <w:szCs w:val="24"/>
              </w:rPr>
            </w:pPr>
            <w:r w:rsidRPr="00853B95">
              <w:rPr>
                <w:rFonts w:ascii="Book Antiqua" w:hAnsi="Book Antiqua"/>
                <w:szCs w:val="24"/>
              </w:rPr>
              <w:t xml:space="preserve"> sIL-2R</w:t>
            </w:r>
          </w:p>
        </w:tc>
      </w:tr>
      <w:tr w:rsidR="00853B95" w:rsidRPr="00853B95" w14:paraId="4B863B8D" w14:textId="77777777" w:rsidTr="005D124F">
        <w:tc>
          <w:tcPr>
            <w:tcW w:w="8720" w:type="dxa"/>
          </w:tcPr>
          <w:p w14:paraId="6E659EB3" w14:textId="26EAC11C" w:rsidR="005D124F" w:rsidRPr="00853B95" w:rsidRDefault="005D124F" w:rsidP="005D124F">
            <w:pPr>
              <w:spacing w:line="360" w:lineRule="auto"/>
              <w:rPr>
                <w:rFonts w:ascii="Book Antiqua" w:hAnsi="Book Antiqua"/>
                <w:szCs w:val="24"/>
              </w:rPr>
            </w:pPr>
            <w:r w:rsidRPr="00853B95">
              <w:rPr>
                <w:rFonts w:ascii="Book Antiqua" w:hAnsi="Book Antiqua"/>
                <w:szCs w:val="24"/>
              </w:rPr>
              <w:t xml:space="preserve"> </w:t>
            </w:r>
            <w:r w:rsidRPr="00853B95">
              <w:rPr>
                <w:rFonts w:ascii="Book Antiqua" w:hAnsi="Book Antiqua"/>
                <w:i/>
                <w:szCs w:val="24"/>
              </w:rPr>
              <w:t>Helicobacter pylori</w:t>
            </w:r>
            <w:r w:rsidRPr="00853B95">
              <w:rPr>
                <w:rFonts w:ascii="Book Antiqua" w:hAnsi="Book Antiqua"/>
                <w:szCs w:val="24"/>
              </w:rPr>
              <w:t xml:space="preserve"> test</w:t>
            </w:r>
          </w:p>
        </w:tc>
      </w:tr>
      <w:tr w:rsidR="00853B95" w:rsidRPr="00853B95" w14:paraId="6F03DDCE" w14:textId="77777777" w:rsidTr="005D124F">
        <w:tc>
          <w:tcPr>
            <w:tcW w:w="8720" w:type="dxa"/>
          </w:tcPr>
          <w:p w14:paraId="77A77A18" w14:textId="1F2AE349" w:rsidR="005D124F" w:rsidRPr="00853B95" w:rsidRDefault="005D124F" w:rsidP="005D124F">
            <w:pPr>
              <w:spacing w:line="360" w:lineRule="auto"/>
              <w:rPr>
                <w:rFonts w:ascii="Book Antiqua" w:eastAsia="SimSun" w:hAnsi="Book Antiqua"/>
                <w:szCs w:val="24"/>
                <w:lang w:eastAsia="zh-CN"/>
              </w:rPr>
            </w:pPr>
            <w:r w:rsidRPr="00853B95">
              <w:rPr>
                <w:rFonts w:ascii="Book Antiqua" w:hAnsi="Book Antiqua"/>
                <w:szCs w:val="24"/>
              </w:rPr>
              <w:t xml:space="preserve"> Magnetic resonance imaging of the CNS</w:t>
            </w:r>
            <w:r w:rsidRPr="00853B95">
              <w:rPr>
                <w:rFonts w:ascii="Book Antiqua" w:eastAsia="SimSun" w:hAnsi="Book Antiqua" w:hint="eastAsia"/>
                <w:szCs w:val="24"/>
                <w:vertAlign w:val="superscript"/>
                <w:lang w:eastAsia="zh-CN"/>
              </w:rPr>
              <w:t>3</w:t>
            </w:r>
          </w:p>
        </w:tc>
      </w:tr>
      <w:tr w:rsidR="00853B95" w:rsidRPr="00853B95" w14:paraId="6449D961" w14:textId="77777777" w:rsidTr="005D124F">
        <w:tc>
          <w:tcPr>
            <w:tcW w:w="8720" w:type="dxa"/>
          </w:tcPr>
          <w:p w14:paraId="0261280B" w14:textId="0AFE891B" w:rsidR="005D124F" w:rsidRPr="00853B95" w:rsidRDefault="005D124F" w:rsidP="005D124F">
            <w:pPr>
              <w:spacing w:line="360" w:lineRule="auto"/>
              <w:ind w:firstLineChars="50" w:firstLine="120"/>
              <w:rPr>
                <w:rFonts w:ascii="Book Antiqua" w:hAnsi="Book Antiqua"/>
                <w:szCs w:val="24"/>
              </w:rPr>
            </w:pPr>
            <w:r w:rsidRPr="00853B95">
              <w:rPr>
                <w:rFonts w:ascii="Book Antiqua" w:hAnsi="Book Antiqua"/>
                <w:szCs w:val="24"/>
              </w:rPr>
              <w:t>Flow cytometry, FISH/PCR for BCL-2 rearrangement of the bone marrow cells</w:t>
            </w:r>
          </w:p>
        </w:tc>
      </w:tr>
      <w:tr w:rsidR="00853B95" w:rsidRPr="00853B95" w14:paraId="2FDF54B1" w14:textId="77777777" w:rsidTr="005D124F">
        <w:tc>
          <w:tcPr>
            <w:tcW w:w="8720" w:type="dxa"/>
          </w:tcPr>
          <w:p w14:paraId="00253E9A" w14:textId="61DE7C0A" w:rsidR="005D124F" w:rsidRPr="00853B95" w:rsidRDefault="005D124F" w:rsidP="005D124F">
            <w:pPr>
              <w:spacing w:line="360" w:lineRule="auto"/>
              <w:ind w:firstLineChars="100" w:firstLine="240"/>
              <w:rPr>
                <w:rFonts w:ascii="Book Antiqua" w:hAnsi="Book Antiqua"/>
                <w:szCs w:val="24"/>
              </w:rPr>
            </w:pPr>
            <w:r w:rsidRPr="00853B95">
              <w:rPr>
                <w:rFonts w:ascii="Book Antiqua" w:hAnsi="Book Antiqua"/>
                <w:szCs w:val="24"/>
              </w:rPr>
              <w:lastRenderedPageBreak/>
              <w:t>Reproductive counseling to preserve fertility before chemotherapy</w:t>
            </w:r>
          </w:p>
        </w:tc>
      </w:tr>
    </w:tbl>
    <w:p w14:paraId="1DB28310" w14:textId="6A7DBDF8" w:rsidR="007C112F" w:rsidRPr="00853B95" w:rsidRDefault="005D124F" w:rsidP="00AF41BC">
      <w:pPr>
        <w:spacing w:line="360" w:lineRule="auto"/>
        <w:rPr>
          <w:rFonts w:ascii="Book Antiqua" w:hAnsi="Book Antiqua"/>
          <w:szCs w:val="24"/>
        </w:rPr>
      </w:pPr>
      <w:r w:rsidRPr="00853B95">
        <w:rPr>
          <w:rFonts w:ascii="Book Antiqua" w:eastAsia="SimSun" w:hAnsi="Book Antiqua" w:hint="eastAsia"/>
          <w:szCs w:val="24"/>
          <w:vertAlign w:val="superscript"/>
          <w:lang w:eastAsia="zh-CN"/>
        </w:rPr>
        <w:t>1</w:t>
      </w:r>
      <w:r w:rsidR="004008EB" w:rsidRPr="00853B95">
        <w:rPr>
          <w:rFonts w:ascii="Book Antiqua" w:hAnsi="Book Antiqua"/>
          <w:szCs w:val="24"/>
        </w:rPr>
        <w:t>Required when planning radiotherapy. Video capsule enteroscopy and/or balloon assisted enteroscopy.</w:t>
      </w:r>
      <w:r w:rsidRPr="00853B95">
        <w:rPr>
          <w:rFonts w:ascii="Book Antiqua" w:eastAsia="SimSun" w:hAnsi="Book Antiqua" w:hint="eastAsia"/>
          <w:szCs w:val="24"/>
          <w:lang w:eastAsia="zh-CN"/>
        </w:rPr>
        <w:t xml:space="preserve"> </w:t>
      </w:r>
      <w:r w:rsidRPr="00853B95">
        <w:rPr>
          <w:rFonts w:ascii="Book Antiqua" w:eastAsia="SimSun" w:hAnsi="Book Antiqua" w:hint="eastAsia"/>
          <w:szCs w:val="24"/>
          <w:vertAlign w:val="superscript"/>
          <w:lang w:eastAsia="zh-CN"/>
        </w:rPr>
        <w:t>2</w:t>
      </w:r>
      <w:r w:rsidR="004008EB" w:rsidRPr="00853B95">
        <w:rPr>
          <w:rFonts w:ascii="Book Antiqua" w:hAnsi="Book Antiqua"/>
          <w:szCs w:val="24"/>
        </w:rPr>
        <w:t>Required before chemotherapy with anthracycline-based regimens or autologous stem cell transplantation.</w:t>
      </w:r>
      <w:r w:rsidRPr="00853B95">
        <w:rPr>
          <w:rFonts w:ascii="Book Antiqua" w:eastAsia="SimSun" w:hAnsi="Book Antiqua" w:hint="eastAsia"/>
          <w:szCs w:val="24"/>
          <w:lang w:eastAsia="zh-CN"/>
        </w:rPr>
        <w:t xml:space="preserve"> </w:t>
      </w:r>
      <w:r w:rsidRPr="00853B95">
        <w:rPr>
          <w:rFonts w:ascii="Book Antiqua" w:eastAsia="SimSun" w:hAnsi="Book Antiqua" w:hint="eastAsia"/>
          <w:szCs w:val="24"/>
          <w:vertAlign w:val="superscript"/>
          <w:lang w:eastAsia="zh-CN"/>
        </w:rPr>
        <w:t>3</w:t>
      </w:r>
      <w:r w:rsidR="004008EB" w:rsidRPr="00853B95">
        <w:rPr>
          <w:rFonts w:ascii="Book Antiqua" w:hAnsi="Book Antiqua"/>
          <w:szCs w:val="24"/>
        </w:rPr>
        <w:t>Required only for patients with suspected CNS involvement.</w:t>
      </w:r>
      <w:r w:rsidRPr="00853B95">
        <w:rPr>
          <w:rFonts w:ascii="Book Antiqua" w:eastAsia="SimSun" w:hAnsi="Book Antiqua" w:hint="eastAsia"/>
          <w:szCs w:val="24"/>
          <w:lang w:eastAsia="zh-CN"/>
        </w:rPr>
        <w:t xml:space="preserve"> </w:t>
      </w:r>
      <w:r w:rsidR="004008EB" w:rsidRPr="00853B95">
        <w:rPr>
          <w:rFonts w:ascii="Book Antiqua" w:hAnsi="Book Antiqua"/>
          <w:szCs w:val="24"/>
        </w:rPr>
        <w:t>HIV</w:t>
      </w:r>
      <w:r w:rsidRPr="00853B95">
        <w:rPr>
          <w:rFonts w:ascii="Book Antiqua" w:eastAsia="SimSun" w:hAnsi="Book Antiqua" w:hint="eastAsia"/>
          <w:szCs w:val="24"/>
          <w:lang w:eastAsia="zh-CN"/>
        </w:rPr>
        <w:t>:</w:t>
      </w:r>
      <w:r w:rsidR="004008EB" w:rsidRPr="00853B95">
        <w:rPr>
          <w:rFonts w:ascii="Book Antiqua" w:hAnsi="Book Antiqua"/>
          <w:szCs w:val="24"/>
        </w:rPr>
        <w:t xml:space="preserve"> </w:t>
      </w:r>
      <w:r w:rsidRPr="00853B95">
        <w:rPr>
          <w:rFonts w:ascii="Book Antiqua" w:hAnsi="Book Antiqua"/>
          <w:szCs w:val="24"/>
        </w:rPr>
        <w:t xml:space="preserve">Human </w:t>
      </w:r>
      <w:r w:rsidR="004008EB" w:rsidRPr="00853B95">
        <w:rPr>
          <w:rFonts w:ascii="Book Antiqua" w:hAnsi="Book Antiqua"/>
          <w:szCs w:val="24"/>
        </w:rPr>
        <w:t>immunodeficiency virus; CNS</w:t>
      </w:r>
      <w:r w:rsidR="00A053F2" w:rsidRPr="00853B95">
        <w:rPr>
          <w:rFonts w:ascii="Book Antiqua" w:eastAsia="SimSun" w:hAnsi="Book Antiqua" w:hint="eastAsia"/>
          <w:szCs w:val="24"/>
          <w:lang w:eastAsia="zh-CN"/>
        </w:rPr>
        <w:t>:</w:t>
      </w:r>
      <w:r w:rsidR="00A053F2" w:rsidRPr="00853B95">
        <w:rPr>
          <w:rFonts w:ascii="Book Antiqua" w:hAnsi="Book Antiqua"/>
          <w:szCs w:val="24"/>
        </w:rPr>
        <w:t xml:space="preserve"> </w:t>
      </w:r>
      <w:r w:rsidRPr="00853B95">
        <w:rPr>
          <w:rFonts w:ascii="Book Antiqua" w:hAnsi="Book Antiqua"/>
          <w:szCs w:val="24"/>
        </w:rPr>
        <w:t xml:space="preserve">Central </w:t>
      </w:r>
      <w:r w:rsidR="004008EB" w:rsidRPr="00853B95">
        <w:rPr>
          <w:rFonts w:ascii="Book Antiqua" w:hAnsi="Book Antiqua"/>
          <w:szCs w:val="24"/>
        </w:rPr>
        <w:t>nervous system; sIL-2R</w:t>
      </w:r>
      <w:r w:rsidR="00A053F2" w:rsidRPr="00853B95">
        <w:rPr>
          <w:rFonts w:ascii="Book Antiqua" w:eastAsia="SimSun" w:hAnsi="Book Antiqua" w:hint="eastAsia"/>
          <w:szCs w:val="24"/>
          <w:lang w:eastAsia="zh-CN"/>
        </w:rPr>
        <w:t>:</w:t>
      </w:r>
      <w:r w:rsidR="00A053F2" w:rsidRPr="00853B95">
        <w:rPr>
          <w:rFonts w:ascii="Book Antiqua" w:hAnsi="Book Antiqua"/>
          <w:szCs w:val="24"/>
        </w:rPr>
        <w:t xml:space="preserve"> Soluble </w:t>
      </w:r>
      <w:r w:rsidR="004008EB" w:rsidRPr="00853B95">
        <w:rPr>
          <w:rFonts w:ascii="Book Antiqua" w:hAnsi="Book Antiqua"/>
          <w:szCs w:val="24"/>
        </w:rPr>
        <w:t>interleukin-2 receptor; PET</w:t>
      </w:r>
      <w:r w:rsidR="00A053F2" w:rsidRPr="00853B95">
        <w:rPr>
          <w:rFonts w:ascii="Book Antiqua" w:eastAsia="SimSun" w:hAnsi="Book Antiqua" w:hint="eastAsia"/>
          <w:szCs w:val="24"/>
          <w:lang w:eastAsia="zh-CN"/>
        </w:rPr>
        <w:t>:</w:t>
      </w:r>
      <w:r w:rsidR="00A053F2" w:rsidRPr="00853B95">
        <w:rPr>
          <w:rFonts w:ascii="Book Antiqua" w:hAnsi="Book Antiqua"/>
          <w:szCs w:val="24"/>
        </w:rPr>
        <w:t xml:space="preserve"> </w:t>
      </w:r>
      <w:r w:rsidRPr="00853B95">
        <w:rPr>
          <w:rFonts w:ascii="Book Antiqua" w:hAnsi="Book Antiqua"/>
          <w:szCs w:val="24"/>
        </w:rPr>
        <w:t xml:space="preserve">Positron </w:t>
      </w:r>
      <w:r w:rsidR="004008EB" w:rsidRPr="00853B95">
        <w:rPr>
          <w:rFonts w:ascii="Book Antiqua" w:hAnsi="Book Antiqua"/>
          <w:szCs w:val="24"/>
        </w:rPr>
        <w:t>emission tomography; FISH</w:t>
      </w:r>
      <w:r w:rsidR="00A053F2" w:rsidRPr="00853B95">
        <w:rPr>
          <w:rFonts w:ascii="Book Antiqua" w:eastAsia="SimSun" w:hAnsi="Book Antiqua" w:hint="eastAsia"/>
          <w:szCs w:val="24"/>
          <w:lang w:eastAsia="zh-CN"/>
        </w:rPr>
        <w:t>:</w:t>
      </w:r>
      <w:r w:rsidR="00A053F2" w:rsidRPr="00853B95">
        <w:rPr>
          <w:rFonts w:ascii="Book Antiqua" w:hAnsi="Book Antiqua"/>
          <w:szCs w:val="24"/>
        </w:rPr>
        <w:t xml:space="preserve"> </w:t>
      </w:r>
      <w:r w:rsidRPr="00853B95">
        <w:rPr>
          <w:rFonts w:ascii="Book Antiqua" w:hAnsi="Book Antiqua"/>
          <w:szCs w:val="24"/>
        </w:rPr>
        <w:t xml:space="preserve">Fluorescence </w:t>
      </w:r>
      <w:r w:rsidR="004008EB" w:rsidRPr="00853B95">
        <w:rPr>
          <w:rFonts w:ascii="Book Antiqua" w:hAnsi="Book Antiqua"/>
          <w:i/>
          <w:szCs w:val="24"/>
        </w:rPr>
        <w:t xml:space="preserve">in situ </w:t>
      </w:r>
      <w:r w:rsidR="00D662D9" w:rsidRPr="00853B95">
        <w:rPr>
          <w:rFonts w:ascii="Book Antiqua" w:hAnsi="Book Antiqua"/>
          <w:szCs w:val="24"/>
        </w:rPr>
        <w:t>hybridization</w:t>
      </w:r>
      <w:r w:rsidR="007C112F" w:rsidRPr="00853B95">
        <w:rPr>
          <w:rFonts w:ascii="Book Antiqua" w:hAnsi="Book Antiqua"/>
          <w:szCs w:val="24"/>
        </w:rPr>
        <w:t>; PCR</w:t>
      </w:r>
      <w:r w:rsidR="00A053F2" w:rsidRPr="00853B95">
        <w:rPr>
          <w:rFonts w:ascii="Book Antiqua" w:eastAsia="SimSun" w:hAnsi="Book Antiqua" w:hint="eastAsia"/>
          <w:szCs w:val="24"/>
          <w:lang w:eastAsia="zh-CN"/>
        </w:rPr>
        <w:t>:</w:t>
      </w:r>
      <w:r w:rsidR="00A053F2" w:rsidRPr="00853B95">
        <w:rPr>
          <w:rFonts w:ascii="Book Antiqua" w:hAnsi="Book Antiqua"/>
          <w:szCs w:val="24"/>
        </w:rPr>
        <w:t xml:space="preserve"> </w:t>
      </w:r>
      <w:r w:rsidRPr="00853B95">
        <w:rPr>
          <w:rFonts w:ascii="Book Antiqua" w:hAnsi="Book Antiqua"/>
          <w:szCs w:val="24"/>
        </w:rPr>
        <w:t xml:space="preserve">Polymerase </w:t>
      </w:r>
      <w:r w:rsidR="007C112F" w:rsidRPr="00853B95">
        <w:rPr>
          <w:rFonts w:ascii="Book Antiqua" w:hAnsi="Book Antiqua"/>
          <w:szCs w:val="24"/>
        </w:rPr>
        <w:t>chain reaction</w:t>
      </w:r>
      <w:r w:rsidR="00AC24AD" w:rsidRPr="00853B95">
        <w:rPr>
          <w:rFonts w:ascii="Book Antiqua" w:hAnsi="Book Antiqua"/>
          <w:szCs w:val="24"/>
        </w:rPr>
        <w:t>; LDH</w:t>
      </w:r>
      <w:r w:rsidR="00A053F2" w:rsidRPr="00853B95">
        <w:rPr>
          <w:rFonts w:ascii="Book Antiqua" w:eastAsia="SimSun" w:hAnsi="Book Antiqua" w:hint="eastAsia"/>
          <w:szCs w:val="24"/>
          <w:lang w:eastAsia="zh-CN"/>
        </w:rPr>
        <w:t>:</w:t>
      </w:r>
      <w:r w:rsidR="00A053F2" w:rsidRPr="00853B95">
        <w:rPr>
          <w:rFonts w:ascii="Book Antiqua" w:hAnsi="Book Antiqua"/>
          <w:szCs w:val="24"/>
        </w:rPr>
        <w:t xml:space="preserve"> </w:t>
      </w:r>
      <w:r w:rsidRPr="00853B95">
        <w:rPr>
          <w:rFonts w:ascii="Book Antiqua" w:hAnsi="Book Antiqua"/>
          <w:szCs w:val="24"/>
        </w:rPr>
        <w:t xml:space="preserve">Lactate </w:t>
      </w:r>
      <w:r w:rsidR="00AC24AD" w:rsidRPr="00853B95">
        <w:rPr>
          <w:rFonts w:ascii="Book Antiqua" w:hAnsi="Book Antiqua"/>
          <w:szCs w:val="24"/>
        </w:rPr>
        <w:t xml:space="preserve">dehydrogenase; BCL-2, B-cell lymphoma 2. </w:t>
      </w:r>
    </w:p>
    <w:p w14:paraId="645AC411" w14:textId="22196612" w:rsidR="002E32A8" w:rsidRPr="00853B95" w:rsidRDefault="002E32A8" w:rsidP="00AF41BC">
      <w:pPr>
        <w:widowControl/>
        <w:spacing w:line="360" w:lineRule="auto"/>
        <w:rPr>
          <w:rFonts w:ascii="Book Antiqua" w:hAnsi="Book Antiqua"/>
          <w:szCs w:val="24"/>
        </w:rPr>
      </w:pPr>
    </w:p>
    <w:sectPr w:rsidR="002E32A8" w:rsidRPr="00853B95" w:rsidSect="00C20C73">
      <w:headerReference w:type="default" r:id="rId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969652" w14:textId="77777777" w:rsidR="00986BCF" w:rsidRDefault="00986BCF" w:rsidP="00593753">
      <w:r>
        <w:separator/>
      </w:r>
    </w:p>
  </w:endnote>
  <w:endnote w:type="continuationSeparator" w:id="0">
    <w:p w14:paraId="23FC9477" w14:textId="77777777" w:rsidR="00986BCF" w:rsidRDefault="00986BCF" w:rsidP="00593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90D262" w14:textId="77777777" w:rsidR="00986BCF" w:rsidRDefault="00986BCF" w:rsidP="00593753">
      <w:r>
        <w:separator/>
      </w:r>
    </w:p>
  </w:footnote>
  <w:footnote w:type="continuationSeparator" w:id="0">
    <w:p w14:paraId="7C2A9C99" w14:textId="77777777" w:rsidR="00986BCF" w:rsidRDefault="00986BCF" w:rsidP="005937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8123772"/>
      <w:docPartObj>
        <w:docPartGallery w:val="Page Numbers (Top of Page)"/>
        <w:docPartUnique/>
      </w:docPartObj>
    </w:sdtPr>
    <w:sdtEndPr/>
    <w:sdtContent>
      <w:p w14:paraId="3CDF628D" w14:textId="55F45DA8" w:rsidR="005D124F" w:rsidRDefault="005D124F">
        <w:pPr>
          <w:pStyle w:val="Header"/>
          <w:jc w:val="right"/>
        </w:pPr>
        <w:r>
          <w:fldChar w:fldCharType="begin"/>
        </w:r>
        <w:r>
          <w:instrText>PAGE   \* MERGEFORMAT</w:instrText>
        </w:r>
        <w:r>
          <w:fldChar w:fldCharType="separate"/>
        </w:r>
        <w:r w:rsidR="00FA1E2D" w:rsidRPr="00FA1E2D">
          <w:rPr>
            <w:noProof/>
            <w:lang w:val="ja-JP"/>
          </w:rPr>
          <w:t>39</w:t>
        </w:r>
        <w:r>
          <w:fldChar w:fldCharType="end"/>
        </w:r>
      </w:p>
    </w:sdtContent>
  </w:sdt>
  <w:p w14:paraId="6091558D" w14:textId="77777777" w:rsidR="005D124F" w:rsidRDefault="005D124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98D"/>
    <w:rsid w:val="00011CD8"/>
    <w:rsid w:val="00012858"/>
    <w:rsid w:val="000151D0"/>
    <w:rsid w:val="00015DF7"/>
    <w:rsid w:val="00027E30"/>
    <w:rsid w:val="00031224"/>
    <w:rsid w:val="000326EA"/>
    <w:rsid w:val="00035748"/>
    <w:rsid w:val="0003595B"/>
    <w:rsid w:val="000405E3"/>
    <w:rsid w:val="00040F58"/>
    <w:rsid w:val="0004502A"/>
    <w:rsid w:val="000513F1"/>
    <w:rsid w:val="00054449"/>
    <w:rsid w:val="0005581B"/>
    <w:rsid w:val="00055862"/>
    <w:rsid w:val="0007239A"/>
    <w:rsid w:val="00072B2B"/>
    <w:rsid w:val="00073E2F"/>
    <w:rsid w:val="00083C3B"/>
    <w:rsid w:val="0008685F"/>
    <w:rsid w:val="000A36FA"/>
    <w:rsid w:val="000B4A48"/>
    <w:rsid w:val="000B65F1"/>
    <w:rsid w:val="000C59A9"/>
    <w:rsid w:val="000C6C2D"/>
    <w:rsid w:val="000C7A1E"/>
    <w:rsid w:val="000E1C5F"/>
    <w:rsid w:val="000E7989"/>
    <w:rsid w:val="000E79B6"/>
    <w:rsid w:val="000F53A7"/>
    <w:rsid w:val="001017E9"/>
    <w:rsid w:val="00102A11"/>
    <w:rsid w:val="001050B1"/>
    <w:rsid w:val="00105745"/>
    <w:rsid w:val="0011191B"/>
    <w:rsid w:val="00130346"/>
    <w:rsid w:val="00142D31"/>
    <w:rsid w:val="0014691F"/>
    <w:rsid w:val="00150A8B"/>
    <w:rsid w:val="00160D58"/>
    <w:rsid w:val="00163F55"/>
    <w:rsid w:val="001701BA"/>
    <w:rsid w:val="00186480"/>
    <w:rsid w:val="00195507"/>
    <w:rsid w:val="001B0728"/>
    <w:rsid w:val="001B0E65"/>
    <w:rsid w:val="001B728C"/>
    <w:rsid w:val="001C3F28"/>
    <w:rsid w:val="001C54E6"/>
    <w:rsid w:val="001D0D2B"/>
    <w:rsid w:val="001D69B5"/>
    <w:rsid w:val="001E3B30"/>
    <w:rsid w:val="00201E85"/>
    <w:rsid w:val="002053BC"/>
    <w:rsid w:val="00207E18"/>
    <w:rsid w:val="00210018"/>
    <w:rsid w:val="00220BE8"/>
    <w:rsid w:val="002229EA"/>
    <w:rsid w:val="00225BE5"/>
    <w:rsid w:val="00230D02"/>
    <w:rsid w:val="002313C4"/>
    <w:rsid w:val="00232926"/>
    <w:rsid w:val="002430CC"/>
    <w:rsid w:val="002514D3"/>
    <w:rsid w:val="002522F0"/>
    <w:rsid w:val="00272629"/>
    <w:rsid w:val="0027334F"/>
    <w:rsid w:val="002736A2"/>
    <w:rsid w:val="00274899"/>
    <w:rsid w:val="00274D1B"/>
    <w:rsid w:val="00277F8F"/>
    <w:rsid w:val="00284BAE"/>
    <w:rsid w:val="002A34F0"/>
    <w:rsid w:val="002A7CCF"/>
    <w:rsid w:val="002B369D"/>
    <w:rsid w:val="002C219B"/>
    <w:rsid w:val="002C3085"/>
    <w:rsid w:val="002D3817"/>
    <w:rsid w:val="002D6497"/>
    <w:rsid w:val="002E18F0"/>
    <w:rsid w:val="002E32A8"/>
    <w:rsid w:val="003029A6"/>
    <w:rsid w:val="003307EF"/>
    <w:rsid w:val="00332B54"/>
    <w:rsid w:val="00340B82"/>
    <w:rsid w:val="003475BA"/>
    <w:rsid w:val="00351ADC"/>
    <w:rsid w:val="00351FC8"/>
    <w:rsid w:val="0036104A"/>
    <w:rsid w:val="00364258"/>
    <w:rsid w:val="003659F8"/>
    <w:rsid w:val="00366E5D"/>
    <w:rsid w:val="00387C75"/>
    <w:rsid w:val="00390D87"/>
    <w:rsid w:val="00393E0E"/>
    <w:rsid w:val="00394226"/>
    <w:rsid w:val="00394EC3"/>
    <w:rsid w:val="00395EB8"/>
    <w:rsid w:val="00396DC7"/>
    <w:rsid w:val="003A1989"/>
    <w:rsid w:val="003A40B7"/>
    <w:rsid w:val="003B5849"/>
    <w:rsid w:val="003B7CAA"/>
    <w:rsid w:val="003D0EE5"/>
    <w:rsid w:val="003D4DE7"/>
    <w:rsid w:val="003F2346"/>
    <w:rsid w:val="003F70B4"/>
    <w:rsid w:val="004008EB"/>
    <w:rsid w:val="004070DE"/>
    <w:rsid w:val="0041010C"/>
    <w:rsid w:val="004116BE"/>
    <w:rsid w:val="00411C6D"/>
    <w:rsid w:val="004144AC"/>
    <w:rsid w:val="00420C7B"/>
    <w:rsid w:val="0042486A"/>
    <w:rsid w:val="00426F63"/>
    <w:rsid w:val="004519E1"/>
    <w:rsid w:val="00456DF9"/>
    <w:rsid w:val="00472629"/>
    <w:rsid w:val="00475C50"/>
    <w:rsid w:val="00477837"/>
    <w:rsid w:val="004818E1"/>
    <w:rsid w:val="00485994"/>
    <w:rsid w:val="00492FFA"/>
    <w:rsid w:val="004A7B77"/>
    <w:rsid w:val="004B1A98"/>
    <w:rsid w:val="004B4DB1"/>
    <w:rsid w:val="004B5476"/>
    <w:rsid w:val="004C2037"/>
    <w:rsid w:val="004C4D39"/>
    <w:rsid w:val="004C74A0"/>
    <w:rsid w:val="004D0063"/>
    <w:rsid w:val="004D3230"/>
    <w:rsid w:val="004E2631"/>
    <w:rsid w:val="004F2D3D"/>
    <w:rsid w:val="004F2F68"/>
    <w:rsid w:val="00501F55"/>
    <w:rsid w:val="005046EA"/>
    <w:rsid w:val="0050572E"/>
    <w:rsid w:val="00507896"/>
    <w:rsid w:val="005121F5"/>
    <w:rsid w:val="00533573"/>
    <w:rsid w:val="00534334"/>
    <w:rsid w:val="00534B9C"/>
    <w:rsid w:val="00536CE1"/>
    <w:rsid w:val="00542C52"/>
    <w:rsid w:val="00555A24"/>
    <w:rsid w:val="005566D2"/>
    <w:rsid w:val="005655D7"/>
    <w:rsid w:val="0056568C"/>
    <w:rsid w:val="00570586"/>
    <w:rsid w:val="00570772"/>
    <w:rsid w:val="00573654"/>
    <w:rsid w:val="005759B7"/>
    <w:rsid w:val="005841FC"/>
    <w:rsid w:val="00592217"/>
    <w:rsid w:val="00593753"/>
    <w:rsid w:val="0059509A"/>
    <w:rsid w:val="005958B0"/>
    <w:rsid w:val="005A2DA6"/>
    <w:rsid w:val="005A2FB9"/>
    <w:rsid w:val="005C42BF"/>
    <w:rsid w:val="005D0F71"/>
    <w:rsid w:val="005D0FD9"/>
    <w:rsid w:val="005D124F"/>
    <w:rsid w:val="005D32FB"/>
    <w:rsid w:val="005D70D2"/>
    <w:rsid w:val="005E0AFD"/>
    <w:rsid w:val="005E15B2"/>
    <w:rsid w:val="005F66A4"/>
    <w:rsid w:val="006011E6"/>
    <w:rsid w:val="006238CF"/>
    <w:rsid w:val="006267A3"/>
    <w:rsid w:val="00626A3A"/>
    <w:rsid w:val="00631873"/>
    <w:rsid w:val="00633E32"/>
    <w:rsid w:val="00635B02"/>
    <w:rsid w:val="00643A51"/>
    <w:rsid w:val="00646C0A"/>
    <w:rsid w:val="00651A91"/>
    <w:rsid w:val="0065294F"/>
    <w:rsid w:val="00676C0B"/>
    <w:rsid w:val="00677043"/>
    <w:rsid w:val="00691371"/>
    <w:rsid w:val="00692843"/>
    <w:rsid w:val="006959B0"/>
    <w:rsid w:val="006A767A"/>
    <w:rsid w:val="006B2FD1"/>
    <w:rsid w:val="006C0D1E"/>
    <w:rsid w:val="006C1029"/>
    <w:rsid w:val="006C5A23"/>
    <w:rsid w:val="006D76F9"/>
    <w:rsid w:val="006F2E31"/>
    <w:rsid w:val="00702160"/>
    <w:rsid w:val="007135A6"/>
    <w:rsid w:val="007151DB"/>
    <w:rsid w:val="00723028"/>
    <w:rsid w:val="00723C05"/>
    <w:rsid w:val="007256B4"/>
    <w:rsid w:val="00726B59"/>
    <w:rsid w:val="00733239"/>
    <w:rsid w:val="007341DF"/>
    <w:rsid w:val="00737F1A"/>
    <w:rsid w:val="00742BD0"/>
    <w:rsid w:val="00762693"/>
    <w:rsid w:val="007644C8"/>
    <w:rsid w:val="00766CB4"/>
    <w:rsid w:val="00783D98"/>
    <w:rsid w:val="007A30B8"/>
    <w:rsid w:val="007A6C89"/>
    <w:rsid w:val="007B3286"/>
    <w:rsid w:val="007C112F"/>
    <w:rsid w:val="007C598D"/>
    <w:rsid w:val="007C7A31"/>
    <w:rsid w:val="007D4EAF"/>
    <w:rsid w:val="007E479B"/>
    <w:rsid w:val="00800C5E"/>
    <w:rsid w:val="00806D29"/>
    <w:rsid w:val="00813E8D"/>
    <w:rsid w:val="00815EE5"/>
    <w:rsid w:val="00841A10"/>
    <w:rsid w:val="00842F82"/>
    <w:rsid w:val="00846636"/>
    <w:rsid w:val="00850FC1"/>
    <w:rsid w:val="00853B95"/>
    <w:rsid w:val="00861930"/>
    <w:rsid w:val="00864A10"/>
    <w:rsid w:val="008665A2"/>
    <w:rsid w:val="00875A01"/>
    <w:rsid w:val="00875F60"/>
    <w:rsid w:val="00876F54"/>
    <w:rsid w:val="00877044"/>
    <w:rsid w:val="008A221A"/>
    <w:rsid w:val="008B0220"/>
    <w:rsid w:val="008B7F5A"/>
    <w:rsid w:val="008D1F77"/>
    <w:rsid w:val="008D2D9F"/>
    <w:rsid w:val="008E04C8"/>
    <w:rsid w:val="008E22E8"/>
    <w:rsid w:val="00903CD1"/>
    <w:rsid w:val="00925576"/>
    <w:rsid w:val="00930CF9"/>
    <w:rsid w:val="00933042"/>
    <w:rsid w:val="00941CF4"/>
    <w:rsid w:val="00944F8A"/>
    <w:rsid w:val="0094698C"/>
    <w:rsid w:val="00952251"/>
    <w:rsid w:val="0097436D"/>
    <w:rsid w:val="00976A02"/>
    <w:rsid w:val="00986BCF"/>
    <w:rsid w:val="0098764A"/>
    <w:rsid w:val="009A7EB3"/>
    <w:rsid w:val="009B0312"/>
    <w:rsid w:val="009B5160"/>
    <w:rsid w:val="009D1157"/>
    <w:rsid w:val="009D63DF"/>
    <w:rsid w:val="009E3084"/>
    <w:rsid w:val="009E63E5"/>
    <w:rsid w:val="009F6731"/>
    <w:rsid w:val="00A02B60"/>
    <w:rsid w:val="00A03DA0"/>
    <w:rsid w:val="00A053F2"/>
    <w:rsid w:val="00A10181"/>
    <w:rsid w:val="00A11BFD"/>
    <w:rsid w:val="00A27179"/>
    <w:rsid w:val="00A32CE9"/>
    <w:rsid w:val="00A517BB"/>
    <w:rsid w:val="00A54277"/>
    <w:rsid w:val="00A64733"/>
    <w:rsid w:val="00A76565"/>
    <w:rsid w:val="00A85F7B"/>
    <w:rsid w:val="00A91C99"/>
    <w:rsid w:val="00A929FF"/>
    <w:rsid w:val="00AA20C5"/>
    <w:rsid w:val="00AA3F93"/>
    <w:rsid w:val="00AB1A02"/>
    <w:rsid w:val="00AB3EEE"/>
    <w:rsid w:val="00AB6E66"/>
    <w:rsid w:val="00AB7C2E"/>
    <w:rsid w:val="00AC24AD"/>
    <w:rsid w:val="00AD3CC9"/>
    <w:rsid w:val="00AF23F4"/>
    <w:rsid w:val="00AF41BC"/>
    <w:rsid w:val="00AF7E23"/>
    <w:rsid w:val="00B06980"/>
    <w:rsid w:val="00B129A9"/>
    <w:rsid w:val="00B222E8"/>
    <w:rsid w:val="00B23732"/>
    <w:rsid w:val="00B24C9E"/>
    <w:rsid w:val="00B335FA"/>
    <w:rsid w:val="00B34D6B"/>
    <w:rsid w:val="00B35366"/>
    <w:rsid w:val="00B402EE"/>
    <w:rsid w:val="00B420E6"/>
    <w:rsid w:val="00B47471"/>
    <w:rsid w:val="00B50813"/>
    <w:rsid w:val="00B55DA6"/>
    <w:rsid w:val="00B71E91"/>
    <w:rsid w:val="00B76EA4"/>
    <w:rsid w:val="00B84C2E"/>
    <w:rsid w:val="00B97084"/>
    <w:rsid w:val="00BA145D"/>
    <w:rsid w:val="00BA2026"/>
    <w:rsid w:val="00BA6E3F"/>
    <w:rsid w:val="00BB6B0F"/>
    <w:rsid w:val="00BB7ACE"/>
    <w:rsid w:val="00BC44D3"/>
    <w:rsid w:val="00BD3C53"/>
    <w:rsid w:val="00BF3903"/>
    <w:rsid w:val="00BF7766"/>
    <w:rsid w:val="00BF7F15"/>
    <w:rsid w:val="00C0234C"/>
    <w:rsid w:val="00C04A14"/>
    <w:rsid w:val="00C11629"/>
    <w:rsid w:val="00C15FB7"/>
    <w:rsid w:val="00C20C73"/>
    <w:rsid w:val="00C330BC"/>
    <w:rsid w:val="00C35453"/>
    <w:rsid w:val="00C368FD"/>
    <w:rsid w:val="00C36C19"/>
    <w:rsid w:val="00C400E2"/>
    <w:rsid w:val="00C412D1"/>
    <w:rsid w:val="00C4488C"/>
    <w:rsid w:val="00C54204"/>
    <w:rsid w:val="00C54576"/>
    <w:rsid w:val="00C621AB"/>
    <w:rsid w:val="00C67E90"/>
    <w:rsid w:val="00C74D4D"/>
    <w:rsid w:val="00C84146"/>
    <w:rsid w:val="00C93082"/>
    <w:rsid w:val="00CA0EB8"/>
    <w:rsid w:val="00CA1DE0"/>
    <w:rsid w:val="00CB6389"/>
    <w:rsid w:val="00CB773A"/>
    <w:rsid w:val="00CC1586"/>
    <w:rsid w:val="00CC4165"/>
    <w:rsid w:val="00CC5BDE"/>
    <w:rsid w:val="00CD427A"/>
    <w:rsid w:val="00CD4D85"/>
    <w:rsid w:val="00CF659F"/>
    <w:rsid w:val="00D10802"/>
    <w:rsid w:val="00D13484"/>
    <w:rsid w:val="00D16A99"/>
    <w:rsid w:val="00D26375"/>
    <w:rsid w:val="00D302B5"/>
    <w:rsid w:val="00D34A3B"/>
    <w:rsid w:val="00D41385"/>
    <w:rsid w:val="00D54F7B"/>
    <w:rsid w:val="00D570C7"/>
    <w:rsid w:val="00D662D9"/>
    <w:rsid w:val="00D74429"/>
    <w:rsid w:val="00D8006C"/>
    <w:rsid w:val="00D8481F"/>
    <w:rsid w:val="00D92DB5"/>
    <w:rsid w:val="00DA3643"/>
    <w:rsid w:val="00DB63B1"/>
    <w:rsid w:val="00DC435D"/>
    <w:rsid w:val="00DC43FF"/>
    <w:rsid w:val="00DE731E"/>
    <w:rsid w:val="00DF4D47"/>
    <w:rsid w:val="00E02A5A"/>
    <w:rsid w:val="00E053CE"/>
    <w:rsid w:val="00E22263"/>
    <w:rsid w:val="00E31D08"/>
    <w:rsid w:val="00E40C2B"/>
    <w:rsid w:val="00E503AC"/>
    <w:rsid w:val="00E574EA"/>
    <w:rsid w:val="00E6148B"/>
    <w:rsid w:val="00E72074"/>
    <w:rsid w:val="00E73056"/>
    <w:rsid w:val="00E82E70"/>
    <w:rsid w:val="00E9317E"/>
    <w:rsid w:val="00EB16DC"/>
    <w:rsid w:val="00EC7ACC"/>
    <w:rsid w:val="00ED1AF2"/>
    <w:rsid w:val="00EE2207"/>
    <w:rsid w:val="00EE7446"/>
    <w:rsid w:val="00EF50DF"/>
    <w:rsid w:val="00F2528B"/>
    <w:rsid w:val="00F26E69"/>
    <w:rsid w:val="00F32379"/>
    <w:rsid w:val="00F462E3"/>
    <w:rsid w:val="00F5406B"/>
    <w:rsid w:val="00F554B2"/>
    <w:rsid w:val="00F60E12"/>
    <w:rsid w:val="00F63890"/>
    <w:rsid w:val="00F80BDB"/>
    <w:rsid w:val="00F954BE"/>
    <w:rsid w:val="00F95DA6"/>
    <w:rsid w:val="00FA0880"/>
    <w:rsid w:val="00FA1E2D"/>
    <w:rsid w:val="00FA351E"/>
    <w:rsid w:val="00FA7CCC"/>
    <w:rsid w:val="00FB3F9D"/>
    <w:rsid w:val="00FB52BA"/>
    <w:rsid w:val="00FC0D72"/>
    <w:rsid w:val="00FC3642"/>
    <w:rsid w:val="00FD118B"/>
    <w:rsid w:val="00FD7F76"/>
    <w:rsid w:val="00FF7A40"/>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1F26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C73"/>
    <w:pPr>
      <w:widowControl w:val="0"/>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3753"/>
    <w:pPr>
      <w:tabs>
        <w:tab w:val="center" w:pos="4252"/>
        <w:tab w:val="right" w:pos="8504"/>
      </w:tabs>
      <w:snapToGrid w:val="0"/>
    </w:pPr>
  </w:style>
  <w:style w:type="character" w:customStyle="1" w:styleId="HeaderChar">
    <w:name w:val="Header Char"/>
    <w:basedOn w:val="DefaultParagraphFont"/>
    <w:link w:val="Header"/>
    <w:uiPriority w:val="99"/>
    <w:rsid w:val="00593753"/>
    <w:rPr>
      <w:rFonts w:ascii="Times New Roman" w:hAnsi="Times New Roman"/>
      <w:sz w:val="24"/>
    </w:rPr>
  </w:style>
  <w:style w:type="paragraph" w:styleId="Footer">
    <w:name w:val="footer"/>
    <w:basedOn w:val="Normal"/>
    <w:link w:val="FooterChar"/>
    <w:uiPriority w:val="99"/>
    <w:unhideWhenUsed/>
    <w:rsid w:val="00593753"/>
    <w:pPr>
      <w:tabs>
        <w:tab w:val="center" w:pos="4252"/>
        <w:tab w:val="right" w:pos="8504"/>
      </w:tabs>
      <w:snapToGrid w:val="0"/>
    </w:pPr>
  </w:style>
  <w:style w:type="character" w:customStyle="1" w:styleId="FooterChar">
    <w:name w:val="Footer Char"/>
    <w:basedOn w:val="DefaultParagraphFont"/>
    <w:link w:val="Footer"/>
    <w:uiPriority w:val="99"/>
    <w:rsid w:val="00593753"/>
    <w:rPr>
      <w:rFonts w:ascii="Times New Roman" w:hAnsi="Times New Roman"/>
      <w:sz w:val="24"/>
    </w:rPr>
  </w:style>
  <w:style w:type="character" w:styleId="CommentReference">
    <w:name w:val="annotation reference"/>
    <w:basedOn w:val="DefaultParagraphFont"/>
    <w:uiPriority w:val="99"/>
    <w:semiHidden/>
    <w:unhideWhenUsed/>
    <w:rsid w:val="00B50813"/>
    <w:rPr>
      <w:sz w:val="16"/>
      <w:szCs w:val="16"/>
    </w:rPr>
  </w:style>
  <w:style w:type="paragraph" w:styleId="CommentText">
    <w:name w:val="annotation text"/>
    <w:basedOn w:val="Normal"/>
    <w:link w:val="CommentTextChar"/>
    <w:uiPriority w:val="99"/>
    <w:unhideWhenUsed/>
    <w:rsid w:val="00B50813"/>
    <w:rPr>
      <w:sz w:val="20"/>
      <w:szCs w:val="20"/>
    </w:rPr>
  </w:style>
  <w:style w:type="character" w:customStyle="1" w:styleId="CommentTextChar">
    <w:name w:val="Comment Text Char"/>
    <w:basedOn w:val="DefaultParagraphFont"/>
    <w:link w:val="CommentText"/>
    <w:uiPriority w:val="99"/>
    <w:rsid w:val="00B5081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0813"/>
    <w:rPr>
      <w:b/>
      <w:bCs/>
    </w:rPr>
  </w:style>
  <w:style w:type="character" w:customStyle="1" w:styleId="CommentSubjectChar">
    <w:name w:val="Comment Subject Char"/>
    <w:basedOn w:val="CommentTextChar"/>
    <w:link w:val="CommentSubject"/>
    <w:uiPriority w:val="99"/>
    <w:semiHidden/>
    <w:rsid w:val="00B50813"/>
    <w:rPr>
      <w:rFonts w:ascii="Times New Roman" w:hAnsi="Times New Roman"/>
      <w:b/>
      <w:bCs/>
      <w:sz w:val="20"/>
      <w:szCs w:val="20"/>
    </w:rPr>
  </w:style>
  <w:style w:type="paragraph" w:styleId="BalloonText">
    <w:name w:val="Balloon Text"/>
    <w:basedOn w:val="Normal"/>
    <w:link w:val="BalloonTextChar"/>
    <w:uiPriority w:val="99"/>
    <w:semiHidden/>
    <w:unhideWhenUsed/>
    <w:rsid w:val="00B508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813"/>
    <w:rPr>
      <w:rFonts w:ascii="Segoe UI" w:hAnsi="Segoe UI" w:cs="Segoe UI"/>
      <w:sz w:val="18"/>
      <w:szCs w:val="18"/>
    </w:rPr>
  </w:style>
  <w:style w:type="character" w:styleId="Strong">
    <w:name w:val="Strong"/>
    <w:uiPriority w:val="22"/>
    <w:qFormat/>
    <w:rsid w:val="005D124F"/>
    <w:rPr>
      <w:b/>
      <w:bCs/>
    </w:rPr>
  </w:style>
  <w:style w:type="paragraph" w:styleId="ListParagraph">
    <w:name w:val="List Paragraph"/>
    <w:basedOn w:val="Normal"/>
    <w:uiPriority w:val="34"/>
    <w:qFormat/>
    <w:rsid w:val="005D124F"/>
    <w:pPr>
      <w:widowControl/>
      <w:suppressAutoHyphens/>
      <w:ind w:firstLineChars="200" w:firstLine="420"/>
      <w:jc w:val="left"/>
    </w:pPr>
    <w:rPr>
      <w:rFonts w:eastAsia="Lucida Sans Unicode" w:cs="Mangal"/>
      <w:kern w:val="1"/>
      <w:szCs w:val="21"/>
      <w:lang w:val="it-IT" w:eastAsia="hi-IN" w:bidi="hi-IN"/>
    </w:rPr>
  </w:style>
  <w:style w:type="table" w:styleId="TableGrid">
    <w:name w:val="Table Grid"/>
    <w:basedOn w:val="TableNormal"/>
    <w:uiPriority w:val="39"/>
    <w:rsid w:val="005D12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70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ECC20-6F74-4265-8B21-F7DC2F8B0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7845</Words>
  <Characters>44722</Characters>
  <Application>Microsoft Office Word</Application>
  <DocSecurity>0</DocSecurity>
  <Lines>372</Lines>
  <Paragraphs>104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52463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2015-10-12T15:26:00Z</dcterms:created>
  <dcterms:modified xsi:type="dcterms:W3CDTF">2015-10-12T15:26:00Z</dcterms:modified>
</cp:coreProperties>
</file>