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4F" w:rsidRPr="00D31C26" w:rsidRDefault="00DE494F" w:rsidP="00DE494F">
      <w:pPr>
        <w:adjustRightInd w:val="0"/>
        <w:snapToGrid w:val="0"/>
        <w:spacing w:line="360" w:lineRule="auto"/>
        <w:jc w:val="both"/>
        <w:rPr>
          <w:rFonts w:ascii="Book Antiqua" w:eastAsia="Times New Roman" w:hAnsi="Book Antiqua" w:cs="宋体"/>
          <w:b/>
          <w:i/>
        </w:rPr>
      </w:pPr>
      <w:bookmarkStart w:id="0" w:name="OLE_LINK545"/>
      <w:bookmarkStart w:id="1" w:name="OLE_LINK546"/>
      <w:r w:rsidRPr="005E4B56">
        <w:rPr>
          <w:rFonts w:ascii="Book Antiqua" w:eastAsia="Times New Roman" w:hAnsi="Book Antiqua" w:cs="宋体"/>
          <w:b/>
        </w:rPr>
        <w:t xml:space="preserve">Name of </w:t>
      </w:r>
      <w:r w:rsidR="00D31C26">
        <w:rPr>
          <w:rFonts w:ascii="Book Antiqua" w:eastAsia="宋体" w:hAnsi="Book Antiqua" w:cs="宋体" w:hint="eastAsia"/>
          <w:b/>
          <w:lang w:eastAsia="zh-CN"/>
        </w:rPr>
        <w:t>J</w:t>
      </w:r>
      <w:r w:rsidRPr="005E4B56">
        <w:rPr>
          <w:rFonts w:ascii="Book Antiqua" w:eastAsia="Times New Roman" w:hAnsi="Book Antiqua" w:cs="宋体"/>
          <w:b/>
        </w:rPr>
        <w:t xml:space="preserve">ournal: </w:t>
      </w:r>
      <w:r w:rsidRPr="00D31C26">
        <w:rPr>
          <w:rFonts w:ascii="Book Antiqua" w:eastAsia="Times New Roman" w:hAnsi="Book Antiqua" w:cs="宋体"/>
          <w:b/>
          <w:i/>
        </w:rPr>
        <w:t>World Journal of Radiology</w:t>
      </w:r>
    </w:p>
    <w:p w:rsidR="00DE494F" w:rsidRPr="005E4B56" w:rsidRDefault="00DE494F" w:rsidP="00DE494F">
      <w:pPr>
        <w:adjustRightInd w:val="0"/>
        <w:snapToGrid w:val="0"/>
        <w:spacing w:line="360" w:lineRule="auto"/>
        <w:jc w:val="both"/>
        <w:rPr>
          <w:rFonts w:ascii="Book Antiqua" w:eastAsia="宋体" w:hAnsi="Book Antiqua" w:cs="Arial"/>
          <w:lang w:val="en" w:eastAsia="zh-CN"/>
        </w:rPr>
      </w:pPr>
      <w:r w:rsidRPr="005E4B56">
        <w:rPr>
          <w:rFonts w:ascii="Book Antiqua" w:hAnsi="Book Antiqua" w:cs="Arial"/>
          <w:b/>
          <w:lang w:val="en"/>
        </w:rPr>
        <w:t xml:space="preserve">ESPS Manuscript NO: </w:t>
      </w:r>
      <w:r w:rsidRPr="005E4B56">
        <w:rPr>
          <w:rFonts w:ascii="Book Antiqua" w:eastAsia="宋体" w:hAnsi="Book Antiqua" w:cs="Arial"/>
          <w:b/>
          <w:lang w:val="en" w:eastAsia="zh-CN"/>
        </w:rPr>
        <w:t>21817</w:t>
      </w:r>
    </w:p>
    <w:p w:rsidR="00DE494F" w:rsidRPr="005E4B56" w:rsidRDefault="00DE494F" w:rsidP="00DE494F">
      <w:pPr>
        <w:spacing w:line="360" w:lineRule="auto"/>
        <w:jc w:val="both"/>
        <w:rPr>
          <w:rFonts w:ascii="Book Antiqua" w:eastAsia="宋体" w:hAnsi="Book Antiqua"/>
          <w:b/>
          <w:lang w:eastAsia="zh-CN"/>
        </w:rPr>
      </w:pPr>
      <w:r w:rsidRPr="005E4B56">
        <w:rPr>
          <w:rFonts w:ascii="Book Antiqua" w:hAnsi="Book Antiqua"/>
          <w:b/>
        </w:rPr>
        <w:t>Manuscript Type: ORIGINAL ARTICLE</w:t>
      </w:r>
    </w:p>
    <w:p w:rsidR="00DE494F" w:rsidRPr="005E4B56" w:rsidRDefault="00DE494F" w:rsidP="00DE494F">
      <w:pPr>
        <w:spacing w:line="360" w:lineRule="auto"/>
        <w:jc w:val="both"/>
        <w:rPr>
          <w:rFonts w:ascii="Book Antiqua" w:eastAsia="宋体" w:hAnsi="Book Antiqua"/>
          <w:b/>
          <w:lang w:eastAsia="zh-CN"/>
        </w:rPr>
      </w:pPr>
    </w:p>
    <w:p w:rsidR="00DE494F" w:rsidRPr="00D31C26" w:rsidRDefault="00DE494F" w:rsidP="00DE494F">
      <w:pPr>
        <w:spacing w:line="360" w:lineRule="auto"/>
        <w:jc w:val="both"/>
        <w:rPr>
          <w:rFonts w:ascii="Book Antiqua" w:eastAsia="宋体" w:hAnsi="Book Antiqua"/>
          <w:b/>
          <w:i/>
          <w:lang w:eastAsia="zh-CN"/>
        </w:rPr>
      </w:pPr>
      <w:r w:rsidRPr="00D31C26">
        <w:rPr>
          <w:rFonts w:ascii="Book Antiqua" w:eastAsia="宋体" w:hAnsi="Book Antiqua"/>
          <w:b/>
          <w:i/>
          <w:lang w:eastAsia="zh-CN"/>
        </w:rPr>
        <w:t>Retrospective Study</w:t>
      </w:r>
    </w:p>
    <w:bookmarkEnd w:id="0"/>
    <w:bookmarkEnd w:id="1"/>
    <w:p w:rsidR="00123CF4" w:rsidRPr="005E4B56" w:rsidRDefault="003179AE" w:rsidP="00DE494F">
      <w:pPr>
        <w:spacing w:line="360" w:lineRule="auto"/>
        <w:jc w:val="both"/>
        <w:rPr>
          <w:rFonts w:ascii="Book Antiqua" w:hAnsi="Book Antiqua"/>
          <w:b/>
        </w:rPr>
      </w:pPr>
      <w:r w:rsidRPr="005E4B56">
        <w:rPr>
          <w:rFonts w:ascii="Book Antiqua" w:hAnsi="Book Antiqua"/>
          <w:b/>
        </w:rPr>
        <w:t>C</w:t>
      </w:r>
      <w:r w:rsidR="00DE494F" w:rsidRPr="005E4B56">
        <w:rPr>
          <w:rFonts w:ascii="Book Antiqua" w:hAnsi="Book Antiqua"/>
          <w:b/>
        </w:rPr>
        <w:t xml:space="preserve">orrelation between thoracic aorta </w:t>
      </w:r>
      <w:r w:rsidR="00D42D84" w:rsidRPr="005E4B56">
        <w:rPr>
          <w:rFonts w:ascii="Book Antiqua" w:hAnsi="Book Antiqua"/>
          <w:b/>
        </w:rPr>
        <w:t>18F-natrium fluoride</w:t>
      </w:r>
      <w:r w:rsidR="00DE494F" w:rsidRPr="005E4B56">
        <w:rPr>
          <w:rFonts w:ascii="Book Antiqua" w:hAnsi="Book Antiqua"/>
          <w:b/>
        </w:rPr>
        <w:t xml:space="preserve"> uptake</w:t>
      </w:r>
      <w:r w:rsidRPr="005E4B56">
        <w:rPr>
          <w:rFonts w:ascii="Book Antiqua" w:hAnsi="Book Antiqua"/>
          <w:b/>
        </w:rPr>
        <w:t xml:space="preserve"> </w:t>
      </w:r>
      <w:r w:rsidR="00DE494F" w:rsidRPr="005E4B56">
        <w:rPr>
          <w:rFonts w:ascii="Book Antiqua" w:hAnsi="Book Antiqua"/>
          <w:b/>
        </w:rPr>
        <w:t>and cardiovascular risk</w:t>
      </w:r>
    </w:p>
    <w:p w:rsidR="00906B2F" w:rsidRPr="005E4B56" w:rsidRDefault="00906B2F" w:rsidP="00DE494F">
      <w:pPr>
        <w:spacing w:line="360" w:lineRule="auto"/>
        <w:jc w:val="both"/>
        <w:rPr>
          <w:rFonts w:ascii="Book Antiqua" w:hAnsi="Book Antiqua"/>
          <w:lang w:val="en-US"/>
        </w:rPr>
      </w:pPr>
    </w:p>
    <w:p w:rsidR="00906B2F" w:rsidRPr="005E4B56" w:rsidRDefault="00DE494F" w:rsidP="00DE494F">
      <w:pPr>
        <w:spacing w:line="360" w:lineRule="auto"/>
        <w:jc w:val="both"/>
        <w:rPr>
          <w:rFonts w:ascii="Book Antiqua" w:hAnsi="Book Antiqua"/>
          <w:lang w:val="en-US"/>
        </w:rPr>
      </w:pPr>
      <w:proofErr w:type="spellStart"/>
      <w:r w:rsidRPr="005E4B56">
        <w:rPr>
          <w:rFonts w:ascii="Book Antiqua" w:hAnsi="Book Antiqua"/>
          <w:lang w:val="en-US"/>
        </w:rPr>
        <w:t>Fiz</w:t>
      </w:r>
      <w:proofErr w:type="spellEnd"/>
      <w:r w:rsidRPr="005E4B56">
        <w:rPr>
          <w:rFonts w:ascii="Book Antiqua" w:hAnsi="Book Antiqua"/>
          <w:lang w:val="en-US"/>
        </w:rPr>
        <w:t xml:space="preserve"> </w:t>
      </w:r>
      <w:r w:rsidRPr="005E4B56">
        <w:rPr>
          <w:rFonts w:ascii="Book Antiqua" w:eastAsia="宋体" w:hAnsi="Book Antiqua"/>
          <w:lang w:val="en-US" w:eastAsia="zh-CN"/>
        </w:rPr>
        <w:t>F</w:t>
      </w:r>
      <w:r w:rsidRPr="005E4B56">
        <w:rPr>
          <w:rFonts w:ascii="Book Antiqua" w:eastAsia="宋体" w:hAnsi="Book Antiqua"/>
          <w:i/>
          <w:lang w:val="en-US" w:eastAsia="zh-CN"/>
        </w:rPr>
        <w:t xml:space="preserve"> et al. </w:t>
      </w:r>
      <w:r w:rsidR="00A337C2" w:rsidRPr="005E4B56">
        <w:rPr>
          <w:rFonts w:ascii="Book Antiqua" w:hAnsi="Book Antiqua"/>
          <w:lang w:val="en-US"/>
        </w:rPr>
        <w:t xml:space="preserve">Vascular </w:t>
      </w:r>
      <w:proofErr w:type="spellStart"/>
      <w:r w:rsidR="00A337C2" w:rsidRPr="005E4B56">
        <w:rPr>
          <w:rFonts w:ascii="Book Antiqua" w:hAnsi="Book Antiqua"/>
          <w:lang w:val="en-US"/>
        </w:rPr>
        <w:t>NaF</w:t>
      </w:r>
      <w:proofErr w:type="spellEnd"/>
      <w:r w:rsidR="00A337C2" w:rsidRPr="005E4B56">
        <w:rPr>
          <w:rFonts w:ascii="Book Antiqua" w:hAnsi="Book Antiqua"/>
          <w:lang w:val="en-US"/>
        </w:rPr>
        <w:t xml:space="preserve"> uptake and </w:t>
      </w:r>
      <w:r w:rsidRPr="005E4B56">
        <w:rPr>
          <w:rFonts w:ascii="Book Antiqua" w:hAnsi="Book Antiqua"/>
          <w:lang w:val="en-US"/>
        </w:rPr>
        <w:t>cardiovascular risk</w:t>
      </w:r>
    </w:p>
    <w:p w:rsidR="00906B2F" w:rsidRPr="005E4B56" w:rsidRDefault="00906B2F" w:rsidP="00DE494F">
      <w:pPr>
        <w:spacing w:line="360" w:lineRule="auto"/>
        <w:jc w:val="both"/>
        <w:rPr>
          <w:rFonts w:ascii="Book Antiqua" w:hAnsi="Book Antiqua"/>
          <w:lang w:val="en-US"/>
        </w:rPr>
      </w:pPr>
    </w:p>
    <w:p w:rsidR="003179AE" w:rsidRPr="00D31C26" w:rsidRDefault="00DE494F" w:rsidP="00DE494F">
      <w:pPr>
        <w:spacing w:line="360" w:lineRule="auto"/>
        <w:jc w:val="both"/>
        <w:rPr>
          <w:rFonts w:ascii="Book Antiqua" w:eastAsia="宋体" w:hAnsi="Book Antiqua"/>
          <w:b/>
          <w:lang w:val="en-US" w:eastAsia="zh-CN"/>
        </w:rPr>
      </w:pPr>
      <w:r w:rsidRPr="00D31C26">
        <w:rPr>
          <w:rFonts w:ascii="Book Antiqua" w:hAnsi="Book Antiqua"/>
          <w:b/>
          <w:lang w:val="en-US"/>
        </w:rPr>
        <w:t xml:space="preserve">Francesco </w:t>
      </w:r>
      <w:proofErr w:type="spellStart"/>
      <w:r w:rsidRPr="00D31C26">
        <w:rPr>
          <w:rFonts w:ascii="Book Antiqua" w:hAnsi="Book Antiqua"/>
          <w:b/>
          <w:lang w:val="en-US"/>
        </w:rPr>
        <w:t>Fiz</w:t>
      </w:r>
      <w:proofErr w:type="spellEnd"/>
      <w:r w:rsidRPr="00D31C26">
        <w:rPr>
          <w:rFonts w:ascii="Book Antiqua" w:hAnsi="Book Antiqua"/>
          <w:b/>
          <w:lang w:val="en-US"/>
        </w:rPr>
        <w:t xml:space="preserve">, Silvia </w:t>
      </w:r>
      <w:proofErr w:type="spellStart"/>
      <w:r w:rsidRPr="00D31C26">
        <w:rPr>
          <w:rFonts w:ascii="Book Antiqua" w:hAnsi="Book Antiqua"/>
          <w:b/>
          <w:lang w:val="en-US"/>
        </w:rPr>
        <w:t>Morbelli</w:t>
      </w:r>
      <w:proofErr w:type="spellEnd"/>
      <w:r w:rsidRPr="00D31C26">
        <w:rPr>
          <w:rFonts w:ascii="Book Antiqua" w:hAnsi="Book Antiqua"/>
          <w:b/>
          <w:lang w:val="en-US"/>
        </w:rPr>
        <w:t xml:space="preserve">, Matteo </w:t>
      </w:r>
      <w:proofErr w:type="spellStart"/>
      <w:r w:rsidRPr="00D31C26">
        <w:rPr>
          <w:rFonts w:ascii="Book Antiqua" w:hAnsi="Book Antiqua"/>
          <w:b/>
          <w:lang w:val="en-US"/>
        </w:rPr>
        <w:t>Bauckneht</w:t>
      </w:r>
      <w:proofErr w:type="spellEnd"/>
      <w:r w:rsidRPr="00D31C26">
        <w:rPr>
          <w:rFonts w:ascii="Book Antiqua" w:hAnsi="Book Antiqua"/>
          <w:b/>
          <w:lang w:val="en-US"/>
        </w:rPr>
        <w:t xml:space="preserve">, Arnoldo </w:t>
      </w:r>
      <w:proofErr w:type="spellStart"/>
      <w:r w:rsidRPr="00D31C26">
        <w:rPr>
          <w:rFonts w:ascii="Book Antiqua" w:hAnsi="Book Antiqua"/>
          <w:b/>
          <w:lang w:val="en-US"/>
        </w:rPr>
        <w:t>Piccardo</w:t>
      </w:r>
      <w:proofErr w:type="spellEnd"/>
      <w:r w:rsidRPr="00D31C26">
        <w:rPr>
          <w:rFonts w:ascii="Book Antiqua" w:hAnsi="Book Antiqua"/>
          <w:b/>
          <w:lang w:val="en-US"/>
        </w:rPr>
        <w:t xml:space="preserve">, Giulia </w:t>
      </w:r>
      <w:proofErr w:type="spellStart"/>
      <w:r w:rsidRPr="00D31C26">
        <w:rPr>
          <w:rFonts w:ascii="Book Antiqua" w:hAnsi="Book Antiqua"/>
          <w:b/>
          <w:lang w:val="en-US"/>
        </w:rPr>
        <w:t>Ferrarazzo</w:t>
      </w:r>
      <w:proofErr w:type="spellEnd"/>
      <w:r w:rsidRPr="00D31C26">
        <w:rPr>
          <w:rFonts w:ascii="Book Antiqua" w:hAnsi="Book Antiqua"/>
          <w:b/>
          <w:lang w:val="en-US"/>
        </w:rPr>
        <w:t xml:space="preserve">, Alberto </w:t>
      </w:r>
      <w:proofErr w:type="spellStart"/>
      <w:r w:rsidRPr="00D31C26">
        <w:rPr>
          <w:rFonts w:ascii="Book Antiqua" w:hAnsi="Book Antiqua"/>
          <w:b/>
          <w:lang w:val="en-US"/>
        </w:rPr>
        <w:t>Nieri</w:t>
      </w:r>
      <w:proofErr w:type="spellEnd"/>
      <w:r w:rsidRPr="00D31C26">
        <w:rPr>
          <w:rFonts w:ascii="Book Antiqua" w:hAnsi="Book Antiqua"/>
          <w:b/>
          <w:lang w:val="en-US"/>
        </w:rPr>
        <w:t xml:space="preserve">, Nathan </w:t>
      </w:r>
      <w:proofErr w:type="spellStart"/>
      <w:r w:rsidRPr="00D31C26">
        <w:rPr>
          <w:rFonts w:ascii="Book Antiqua" w:hAnsi="Book Antiqua"/>
          <w:b/>
          <w:lang w:val="en-US"/>
        </w:rPr>
        <w:t>Artom</w:t>
      </w:r>
      <w:proofErr w:type="spellEnd"/>
      <w:r w:rsidRPr="00D31C26">
        <w:rPr>
          <w:rFonts w:ascii="Book Antiqua" w:hAnsi="Book Antiqua"/>
          <w:b/>
          <w:lang w:val="en-US"/>
        </w:rPr>
        <w:t xml:space="preserve">, </w:t>
      </w:r>
      <w:proofErr w:type="spellStart"/>
      <w:r w:rsidRPr="00D31C26">
        <w:rPr>
          <w:rFonts w:ascii="Book Antiqua" w:hAnsi="Book Antiqua"/>
          <w:b/>
          <w:lang w:val="en-US"/>
        </w:rPr>
        <w:t>Manlio</w:t>
      </w:r>
      <w:proofErr w:type="spellEnd"/>
      <w:r w:rsidRPr="00D31C26">
        <w:rPr>
          <w:rFonts w:ascii="Book Antiqua" w:hAnsi="Book Antiqua"/>
          <w:b/>
          <w:lang w:val="en-US"/>
        </w:rPr>
        <w:t xml:space="preserve"> </w:t>
      </w:r>
      <w:proofErr w:type="spellStart"/>
      <w:r w:rsidRPr="00D31C26">
        <w:rPr>
          <w:rFonts w:ascii="Book Antiqua" w:hAnsi="Book Antiqua"/>
          <w:b/>
          <w:lang w:val="en-US"/>
        </w:rPr>
        <w:t>Cabria</w:t>
      </w:r>
      <w:proofErr w:type="spellEnd"/>
      <w:r w:rsidRPr="00D31C26">
        <w:rPr>
          <w:rFonts w:ascii="Book Antiqua" w:hAnsi="Book Antiqua"/>
          <w:b/>
          <w:lang w:val="en-US"/>
        </w:rPr>
        <w:t>, Cecilia Marini</w:t>
      </w:r>
      <w:r w:rsidR="003179AE" w:rsidRPr="00D31C26">
        <w:rPr>
          <w:rFonts w:ascii="Book Antiqua" w:hAnsi="Book Antiqua"/>
          <w:b/>
          <w:lang w:val="en-US"/>
        </w:rPr>
        <w:t xml:space="preserve">, Marco </w:t>
      </w:r>
      <w:proofErr w:type="spellStart"/>
      <w:r w:rsidR="003179AE" w:rsidRPr="00D31C26">
        <w:rPr>
          <w:rFonts w:ascii="Book Antiqua" w:hAnsi="Book Antiqua"/>
          <w:b/>
          <w:lang w:val="en-US"/>
        </w:rPr>
        <w:t>Canepa</w:t>
      </w:r>
      <w:proofErr w:type="spellEnd"/>
      <w:r w:rsidR="003179AE" w:rsidRPr="00D31C26">
        <w:rPr>
          <w:rFonts w:ascii="Book Antiqua" w:hAnsi="Book Antiqua"/>
          <w:b/>
          <w:lang w:val="en-US"/>
        </w:rPr>
        <w:t xml:space="preserve">, </w:t>
      </w:r>
      <w:proofErr w:type="spellStart"/>
      <w:r w:rsidR="003179AE" w:rsidRPr="00D31C26">
        <w:rPr>
          <w:rFonts w:ascii="Book Antiqua" w:hAnsi="Book Antiqua"/>
          <w:b/>
          <w:lang w:val="en-US"/>
        </w:rPr>
        <w:t>Gianmario</w:t>
      </w:r>
      <w:proofErr w:type="spellEnd"/>
      <w:r w:rsidR="003179AE" w:rsidRPr="00D31C26">
        <w:rPr>
          <w:rFonts w:ascii="Book Antiqua" w:hAnsi="Book Antiqua"/>
          <w:b/>
          <w:lang w:val="en-US"/>
        </w:rPr>
        <w:t xml:space="preserve"> </w:t>
      </w:r>
      <w:proofErr w:type="spellStart"/>
      <w:r w:rsidR="003179AE" w:rsidRPr="00D31C26">
        <w:rPr>
          <w:rFonts w:ascii="Book Antiqua" w:hAnsi="Book Antiqua"/>
          <w:b/>
          <w:lang w:val="en-US"/>
        </w:rPr>
        <w:t>Sambuceti</w:t>
      </w:r>
      <w:proofErr w:type="spellEnd"/>
    </w:p>
    <w:p w:rsidR="00DE494F" w:rsidRPr="005E4B56" w:rsidRDefault="00DE494F" w:rsidP="00DE494F">
      <w:pPr>
        <w:autoSpaceDE w:val="0"/>
        <w:autoSpaceDN w:val="0"/>
        <w:adjustRightInd w:val="0"/>
        <w:spacing w:line="360" w:lineRule="auto"/>
        <w:jc w:val="both"/>
        <w:rPr>
          <w:rFonts w:ascii="Book Antiqua" w:eastAsia="宋体" w:hAnsi="Book Antiqua"/>
          <w:vertAlign w:val="superscript"/>
          <w:lang w:val="en-US" w:eastAsia="zh-CN"/>
        </w:rPr>
      </w:pPr>
    </w:p>
    <w:p w:rsidR="00B81606"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r w:rsidRPr="005E4B56">
        <w:rPr>
          <w:rFonts w:ascii="Book Antiqua" w:hAnsi="Book Antiqua"/>
          <w:b/>
          <w:lang w:val="en-US"/>
        </w:rPr>
        <w:t xml:space="preserve">Francesco </w:t>
      </w:r>
      <w:proofErr w:type="spellStart"/>
      <w:r w:rsidRPr="005E4B56">
        <w:rPr>
          <w:rFonts w:ascii="Book Antiqua" w:hAnsi="Book Antiqua"/>
          <w:b/>
          <w:lang w:val="en-US"/>
        </w:rPr>
        <w:t>Fiz</w:t>
      </w:r>
      <w:proofErr w:type="spellEnd"/>
      <w:r w:rsidRPr="005E4B56">
        <w:rPr>
          <w:rFonts w:ascii="Book Antiqua" w:hAnsi="Book Antiqua"/>
          <w:b/>
          <w:lang w:val="en-US"/>
        </w:rPr>
        <w:t xml:space="preserve">, Silvia </w:t>
      </w:r>
      <w:proofErr w:type="spellStart"/>
      <w:r w:rsidRPr="005E4B56">
        <w:rPr>
          <w:rFonts w:ascii="Book Antiqua" w:hAnsi="Book Antiqua"/>
          <w:b/>
          <w:lang w:val="en-US"/>
        </w:rPr>
        <w:t>Morbelli</w:t>
      </w:r>
      <w:proofErr w:type="spellEnd"/>
      <w:r w:rsidRPr="005E4B56">
        <w:rPr>
          <w:rFonts w:ascii="Book Antiqua" w:hAnsi="Book Antiqua"/>
          <w:b/>
          <w:lang w:val="en-US"/>
        </w:rPr>
        <w:t xml:space="preserve">, Matteo </w:t>
      </w:r>
      <w:proofErr w:type="spellStart"/>
      <w:r w:rsidRPr="005E4B56">
        <w:rPr>
          <w:rFonts w:ascii="Book Antiqua" w:hAnsi="Book Antiqua"/>
          <w:b/>
          <w:lang w:val="en-US"/>
        </w:rPr>
        <w:t>Bauckneht</w:t>
      </w:r>
      <w:proofErr w:type="spellEnd"/>
      <w:r w:rsidRPr="005E4B56">
        <w:rPr>
          <w:rFonts w:ascii="Book Antiqua" w:hAnsi="Book Antiqua"/>
          <w:b/>
          <w:lang w:val="en-US"/>
        </w:rPr>
        <w:t>,</w:t>
      </w:r>
      <w:r w:rsidRPr="005E4B56">
        <w:rPr>
          <w:rFonts w:ascii="Book Antiqua" w:eastAsia="宋体" w:hAnsi="Book Antiqua"/>
          <w:b/>
          <w:lang w:val="en-US" w:eastAsia="zh-CN"/>
        </w:rPr>
        <w:t xml:space="preserve"> </w:t>
      </w:r>
      <w:r w:rsidRPr="005E4B56">
        <w:rPr>
          <w:rFonts w:ascii="Book Antiqua" w:hAnsi="Book Antiqua"/>
          <w:b/>
          <w:lang w:val="en-US"/>
        </w:rPr>
        <w:t xml:space="preserve">Giulia </w:t>
      </w:r>
      <w:proofErr w:type="spellStart"/>
      <w:r w:rsidRPr="005E4B56">
        <w:rPr>
          <w:rFonts w:ascii="Book Antiqua" w:hAnsi="Book Antiqua"/>
          <w:b/>
          <w:lang w:val="en-US"/>
        </w:rPr>
        <w:t>Ferrarazzo</w:t>
      </w:r>
      <w:proofErr w:type="spellEnd"/>
      <w:r w:rsidRPr="005E4B56">
        <w:rPr>
          <w:rFonts w:ascii="Book Antiqua" w:hAnsi="Book Antiqua"/>
          <w:b/>
          <w:lang w:val="en-US"/>
        </w:rPr>
        <w:t xml:space="preserve">, Alberto </w:t>
      </w:r>
      <w:proofErr w:type="spellStart"/>
      <w:r w:rsidRPr="005E4B56">
        <w:rPr>
          <w:rFonts w:ascii="Book Antiqua" w:hAnsi="Book Antiqua"/>
          <w:b/>
          <w:lang w:val="en-US"/>
        </w:rPr>
        <w:t>Nieri</w:t>
      </w:r>
      <w:proofErr w:type="spellEnd"/>
      <w:r w:rsidRPr="005E4B56">
        <w:rPr>
          <w:rFonts w:ascii="Book Antiqua" w:hAnsi="Book Antiqua"/>
          <w:b/>
          <w:lang w:val="en-US"/>
        </w:rPr>
        <w:t xml:space="preserve">, </w:t>
      </w:r>
      <w:proofErr w:type="spellStart"/>
      <w:r w:rsidRPr="005E4B56">
        <w:rPr>
          <w:rFonts w:ascii="Book Antiqua" w:hAnsi="Book Antiqua"/>
          <w:b/>
          <w:lang w:val="en-US"/>
        </w:rPr>
        <w:t>Gianmario</w:t>
      </w:r>
      <w:proofErr w:type="spellEnd"/>
      <w:r w:rsidRPr="005E4B56">
        <w:rPr>
          <w:rFonts w:ascii="Book Antiqua" w:hAnsi="Book Antiqua"/>
          <w:b/>
          <w:lang w:val="en-US"/>
        </w:rPr>
        <w:t xml:space="preserve"> </w:t>
      </w:r>
      <w:proofErr w:type="spellStart"/>
      <w:r w:rsidRPr="005E4B56">
        <w:rPr>
          <w:rFonts w:ascii="Book Antiqua" w:hAnsi="Book Antiqua"/>
          <w:b/>
          <w:lang w:val="en-US"/>
        </w:rPr>
        <w:t>Sambuceti</w:t>
      </w:r>
      <w:proofErr w:type="spellEnd"/>
      <w:r w:rsidRPr="005E4B56">
        <w:rPr>
          <w:rFonts w:ascii="Book Antiqua" w:eastAsia="宋体" w:hAnsi="Book Antiqua"/>
          <w:b/>
          <w:lang w:val="en-US" w:eastAsia="zh-CN"/>
        </w:rPr>
        <w:t>,</w:t>
      </w:r>
      <w:r w:rsidRPr="005E4B56">
        <w:rPr>
          <w:rFonts w:ascii="Book Antiqua" w:eastAsia="宋体" w:hAnsi="Book Antiqua"/>
          <w:lang w:val="en-US" w:eastAsia="zh-CN"/>
        </w:rPr>
        <w:t xml:space="preserve"> </w:t>
      </w:r>
      <w:r w:rsidR="003179AE" w:rsidRPr="005E4B56">
        <w:rPr>
          <w:rFonts w:ascii="Book Antiqua" w:hAnsi="Book Antiqua" w:cs="TimesNewRomanPSMT"/>
          <w:lang w:val="en-US"/>
        </w:rPr>
        <w:t xml:space="preserve">Nuclear Medicine, </w:t>
      </w:r>
      <w:r w:rsidR="008B638E" w:rsidRPr="005E4B56">
        <w:rPr>
          <w:rFonts w:ascii="Book Antiqua" w:hAnsi="Book Antiqua" w:cs="TimesNewRomanPSMT"/>
          <w:lang w:val="en-US"/>
        </w:rPr>
        <w:t xml:space="preserve">Department </w:t>
      </w:r>
      <w:r w:rsidR="003179AE" w:rsidRPr="005E4B56">
        <w:rPr>
          <w:rFonts w:ascii="Book Antiqua" w:hAnsi="Book Antiqua" w:cs="TimesNewRomanPSMT"/>
          <w:lang w:val="en-US"/>
        </w:rPr>
        <w:t>of Health Science, Univer</w:t>
      </w:r>
      <w:r w:rsidR="009B0861" w:rsidRPr="005E4B56">
        <w:rPr>
          <w:rFonts w:ascii="Book Antiqua" w:hAnsi="Book Antiqua" w:cs="TimesNewRomanPSMT"/>
          <w:lang w:val="en-US"/>
        </w:rPr>
        <w:t>sity of Genoa and IRCCS</w:t>
      </w:r>
      <w:r w:rsidRPr="005E4B56">
        <w:rPr>
          <w:rFonts w:ascii="Book Antiqua" w:hAnsi="Book Antiqua" w:cs="TimesNewRomanPSMT"/>
          <w:lang w:val="en-US"/>
        </w:rPr>
        <w:t xml:space="preserve"> San Martino-IST, 16132</w:t>
      </w:r>
      <w:r w:rsidRPr="005E4B56">
        <w:rPr>
          <w:rFonts w:ascii="Book Antiqua" w:eastAsia="宋体" w:hAnsi="Book Antiqua" w:cs="TimesNewRomanPSMT"/>
          <w:lang w:val="en-US" w:eastAsia="zh-CN"/>
        </w:rPr>
        <w:t xml:space="preserve"> </w:t>
      </w:r>
      <w:r w:rsidRPr="005E4B56">
        <w:rPr>
          <w:rFonts w:ascii="Book Antiqua" w:hAnsi="Book Antiqua" w:cs="TimesNewRomanPSMT"/>
          <w:lang w:val="en-US"/>
        </w:rPr>
        <w:t>Genoa</w:t>
      </w:r>
      <w:r w:rsidR="003179AE" w:rsidRPr="005E4B56">
        <w:rPr>
          <w:rFonts w:ascii="Book Antiqua" w:hAnsi="Book Antiqua" w:cs="TimesNewRomanPSMT"/>
          <w:lang w:val="en-US"/>
        </w:rPr>
        <w:t>, Italy</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B81606"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r w:rsidRPr="005E4B56">
        <w:rPr>
          <w:rFonts w:ascii="Book Antiqua" w:hAnsi="Book Antiqua"/>
          <w:b/>
          <w:lang w:val="en-US"/>
        </w:rPr>
        <w:t xml:space="preserve">Arnoldo </w:t>
      </w:r>
      <w:proofErr w:type="spellStart"/>
      <w:r w:rsidRPr="005E4B56">
        <w:rPr>
          <w:rFonts w:ascii="Book Antiqua" w:hAnsi="Book Antiqua"/>
          <w:b/>
          <w:lang w:val="en-US"/>
        </w:rPr>
        <w:t>Piccardo</w:t>
      </w:r>
      <w:proofErr w:type="spellEnd"/>
      <w:r w:rsidRPr="005E4B56">
        <w:rPr>
          <w:rFonts w:ascii="Book Antiqua" w:hAnsi="Book Antiqua"/>
          <w:b/>
          <w:lang w:val="en-US"/>
        </w:rPr>
        <w:t xml:space="preserve">, </w:t>
      </w:r>
      <w:proofErr w:type="spellStart"/>
      <w:r w:rsidRPr="005E4B56">
        <w:rPr>
          <w:rFonts w:ascii="Book Antiqua" w:hAnsi="Book Antiqua"/>
          <w:b/>
          <w:lang w:val="en-US"/>
        </w:rPr>
        <w:t>Manlio</w:t>
      </w:r>
      <w:proofErr w:type="spellEnd"/>
      <w:r w:rsidRPr="005E4B56">
        <w:rPr>
          <w:rFonts w:ascii="Book Antiqua" w:hAnsi="Book Antiqua"/>
          <w:b/>
          <w:lang w:val="en-US"/>
        </w:rPr>
        <w:t xml:space="preserve"> </w:t>
      </w:r>
      <w:proofErr w:type="spellStart"/>
      <w:r w:rsidRPr="005E4B56">
        <w:rPr>
          <w:rFonts w:ascii="Book Antiqua" w:hAnsi="Book Antiqua"/>
          <w:b/>
          <w:lang w:val="en-US"/>
        </w:rPr>
        <w:t>Cabria</w:t>
      </w:r>
      <w:proofErr w:type="spellEnd"/>
      <w:r w:rsidRPr="005E4B56">
        <w:rPr>
          <w:rFonts w:ascii="Book Antiqua" w:hAnsi="Book Antiqua"/>
          <w:b/>
          <w:lang w:val="en-US"/>
        </w:rPr>
        <w:t>,</w:t>
      </w:r>
      <w:r w:rsidRPr="005E4B56">
        <w:rPr>
          <w:rFonts w:ascii="Book Antiqua" w:hAnsi="Book Antiqua"/>
          <w:lang w:val="en-US"/>
        </w:rPr>
        <w:t xml:space="preserve"> </w:t>
      </w:r>
      <w:r w:rsidR="003179AE" w:rsidRPr="005E4B56">
        <w:rPr>
          <w:rFonts w:ascii="Book Antiqua" w:hAnsi="Book Antiqua" w:cs="TimesNewRomanPSMT"/>
          <w:lang w:val="en-US"/>
        </w:rPr>
        <w:t xml:space="preserve">Nuclear Medicine Unit, </w:t>
      </w:r>
      <w:proofErr w:type="spellStart"/>
      <w:r w:rsidR="003179AE" w:rsidRPr="005E4B56">
        <w:rPr>
          <w:rFonts w:ascii="Book Antiqua" w:hAnsi="Book Antiqua" w:cs="TimesNewRomanPSMT"/>
          <w:lang w:val="en-US"/>
        </w:rPr>
        <w:t>Galliera</w:t>
      </w:r>
      <w:proofErr w:type="spellEnd"/>
      <w:r w:rsidR="003179AE" w:rsidRPr="005E4B56">
        <w:rPr>
          <w:rFonts w:ascii="Book Antiqua" w:hAnsi="Book Antiqua" w:cs="TimesNewRomanPSMT"/>
          <w:lang w:val="en-US"/>
        </w:rPr>
        <w:t xml:space="preserve"> Hospital, Mura </w:t>
      </w:r>
      <w:proofErr w:type="spellStart"/>
      <w:r w:rsidR="003179AE" w:rsidRPr="005E4B56">
        <w:rPr>
          <w:rFonts w:ascii="Book Antiqua" w:hAnsi="Book Antiqua" w:cs="TimesNewRomanPSMT"/>
          <w:lang w:val="en-US"/>
        </w:rPr>
        <w:t>delle</w:t>
      </w:r>
      <w:proofErr w:type="spellEnd"/>
      <w:r w:rsidR="003179AE" w:rsidRPr="005E4B56">
        <w:rPr>
          <w:rFonts w:ascii="Book Antiqua" w:hAnsi="Book Antiqua" w:cs="TimesNewRomanPSMT"/>
          <w:lang w:val="en-US"/>
        </w:rPr>
        <w:t xml:space="preserve"> </w:t>
      </w:r>
      <w:proofErr w:type="spellStart"/>
      <w:r w:rsidR="003179AE" w:rsidRPr="005E4B56">
        <w:rPr>
          <w:rFonts w:ascii="Book Antiqua" w:hAnsi="Book Antiqua" w:cs="TimesNewRomanPSMT"/>
          <w:lang w:val="en-US"/>
        </w:rPr>
        <w:t>Cappuccine</w:t>
      </w:r>
      <w:proofErr w:type="spellEnd"/>
      <w:r w:rsidR="003179AE" w:rsidRPr="005E4B56">
        <w:rPr>
          <w:rFonts w:ascii="Book Antiqua" w:hAnsi="Book Antiqua" w:cs="TimesNewRomanPSMT"/>
          <w:lang w:val="en-US"/>
        </w:rPr>
        <w:t xml:space="preserve"> 14, 16128 Genoa, Italy</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B81606"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r w:rsidRPr="005E4B56">
        <w:rPr>
          <w:rFonts w:ascii="Book Antiqua" w:hAnsi="Book Antiqua"/>
          <w:b/>
          <w:lang w:val="en-US"/>
        </w:rPr>
        <w:t xml:space="preserve">Nathan </w:t>
      </w:r>
      <w:proofErr w:type="spellStart"/>
      <w:r w:rsidRPr="005E4B56">
        <w:rPr>
          <w:rFonts w:ascii="Book Antiqua" w:hAnsi="Book Antiqua"/>
          <w:b/>
          <w:lang w:val="en-US"/>
        </w:rPr>
        <w:t>Artom</w:t>
      </w:r>
      <w:proofErr w:type="spellEnd"/>
      <w:r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cs="TimesNewRomanPSMT"/>
          <w:lang w:val="en-US"/>
        </w:rPr>
        <w:t>Clinic of Internal Medicine 1, Department of Internal Medicine, University of Genoa School of Medicine, 16132 Genoa, Italy</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B81606"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r w:rsidRPr="005E4B56">
        <w:rPr>
          <w:rFonts w:ascii="Book Antiqua" w:hAnsi="Book Antiqua"/>
          <w:b/>
          <w:lang w:val="en-US"/>
        </w:rPr>
        <w:t xml:space="preserve">Cecilia Marini, </w:t>
      </w:r>
      <w:r w:rsidR="003179AE" w:rsidRPr="005E4B56">
        <w:rPr>
          <w:rFonts w:ascii="Book Antiqua" w:hAnsi="Book Antiqua" w:cs="TimesNewRomanPSMT"/>
          <w:lang w:val="en-US"/>
        </w:rPr>
        <w:t xml:space="preserve">CNR Institute of Molecular </w:t>
      </w:r>
      <w:proofErr w:type="spellStart"/>
      <w:r w:rsidR="003179AE" w:rsidRPr="005E4B56">
        <w:rPr>
          <w:rFonts w:ascii="Book Antiqua" w:hAnsi="Book Antiqua" w:cs="TimesNewRomanPSMT"/>
          <w:lang w:val="en-US"/>
        </w:rPr>
        <w:t>Bioimaging</w:t>
      </w:r>
      <w:proofErr w:type="spellEnd"/>
      <w:r w:rsidR="003179AE" w:rsidRPr="005E4B56">
        <w:rPr>
          <w:rFonts w:ascii="Book Antiqua" w:hAnsi="Book Antiqua" w:cs="TimesNewRomanPSMT"/>
          <w:lang w:val="en-US"/>
        </w:rPr>
        <w:t xml:space="preserve"> and Physiology Milan, section of Genoa, c/o Nuclear Medicin</w:t>
      </w:r>
      <w:r w:rsidRPr="005E4B56">
        <w:rPr>
          <w:rFonts w:ascii="Book Antiqua" w:hAnsi="Book Antiqua" w:cs="TimesNewRomanPSMT"/>
          <w:lang w:val="en-US"/>
        </w:rPr>
        <w:t>e</w:t>
      </w:r>
      <w:r w:rsidRPr="005E4B56">
        <w:rPr>
          <w:rFonts w:ascii="Book Antiqua" w:eastAsia="宋体" w:hAnsi="Book Antiqua" w:cs="TimesNewRomanPSMT"/>
          <w:lang w:val="en-US" w:eastAsia="zh-CN"/>
        </w:rPr>
        <w:t xml:space="preserve">, </w:t>
      </w:r>
      <w:r w:rsidRPr="005E4B56">
        <w:rPr>
          <w:rFonts w:ascii="Book Antiqua" w:hAnsi="Book Antiqua" w:cs="TimesNewRomanPSMT"/>
          <w:lang w:val="en-US"/>
        </w:rPr>
        <w:t>16132</w:t>
      </w:r>
      <w:r w:rsidRPr="005E4B56">
        <w:rPr>
          <w:rFonts w:ascii="Book Antiqua" w:eastAsia="宋体" w:hAnsi="Book Antiqua" w:cs="TimesNewRomanPSMT"/>
          <w:lang w:val="en-US" w:eastAsia="zh-CN"/>
        </w:rPr>
        <w:t xml:space="preserve"> </w:t>
      </w:r>
      <w:r w:rsidRPr="005E4B56">
        <w:rPr>
          <w:rFonts w:ascii="Book Antiqua" w:hAnsi="Book Antiqua" w:cs="TimesNewRomanPSMT"/>
          <w:lang w:val="en-US"/>
        </w:rPr>
        <w:t>Genoa</w:t>
      </w:r>
      <w:r w:rsidR="003179AE" w:rsidRPr="005E4B56">
        <w:rPr>
          <w:rFonts w:ascii="Book Antiqua" w:hAnsi="Book Antiqua" w:cs="TimesNewRomanPSMT"/>
          <w:lang w:val="en-US"/>
        </w:rPr>
        <w:t>, Italy</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B81606"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r w:rsidRPr="005E4B56">
        <w:rPr>
          <w:rFonts w:ascii="Book Antiqua" w:hAnsi="Book Antiqua"/>
          <w:b/>
          <w:lang w:val="en-US"/>
        </w:rPr>
        <w:t xml:space="preserve">Marco </w:t>
      </w:r>
      <w:proofErr w:type="spellStart"/>
      <w:r w:rsidRPr="005E4B56">
        <w:rPr>
          <w:rFonts w:ascii="Book Antiqua" w:hAnsi="Book Antiqua"/>
          <w:b/>
          <w:lang w:val="en-US"/>
        </w:rPr>
        <w:t>Canepa</w:t>
      </w:r>
      <w:proofErr w:type="spellEnd"/>
      <w:r w:rsidRPr="005E4B56">
        <w:rPr>
          <w:rFonts w:ascii="Book Antiqua" w:hAnsi="Book Antiqua"/>
          <w:b/>
          <w:lang w:val="en-US"/>
        </w:rPr>
        <w:t>,</w:t>
      </w:r>
      <w:r w:rsidRPr="005E4B56">
        <w:rPr>
          <w:rFonts w:ascii="Book Antiqua" w:hAnsi="Book Antiqua"/>
          <w:lang w:val="en-US"/>
        </w:rPr>
        <w:t xml:space="preserve"> </w:t>
      </w:r>
      <w:r w:rsidR="003179AE" w:rsidRPr="005E4B56">
        <w:rPr>
          <w:rFonts w:ascii="Book Antiqua" w:hAnsi="Book Antiqua" w:cs="TimesNewRomanPSMT"/>
          <w:lang w:val="en-US"/>
        </w:rPr>
        <w:t>Cardiovascular Unit, Department of Internal Medicine, University of Genoa, 16132 Genoa, Italy</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DE494F" w:rsidRPr="005E4B56" w:rsidRDefault="00DE494F" w:rsidP="00DE494F">
      <w:pPr>
        <w:autoSpaceDE w:val="0"/>
        <w:autoSpaceDN w:val="0"/>
        <w:adjustRightInd w:val="0"/>
        <w:spacing w:line="360" w:lineRule="auto"/>
        <w:jc w:val="both"/>
        <w:rPr>
          <w:rFonts w:ascii="Book Antiqua" w:hAnsi="Book Antiqua" w:cs="TimesNewRomanPSMT"/>
          <w:lang w:val="en-US"/>
        </w:rPr>
      </w:pPr>
      <w:r w:rsidRPr="005E4B56">
        <w:rPr>
          <w:rFonts w:ascii="Book Antiqua" w:hAnsi="Book Antiqua" w:cs="TimesNewRomanPS-BoldMT"/>
          <w:b/>
          <w:bCs/>
          <w:lang w:val="en-US"/>
        </w:rPr>
        <w:t xml:space="preserve">Author contributions: </w:t>
      </w:r>
      <w:proofErr w:type="spellStart"/>
      <w:r w:rsidRPr="005E4B56">
        <w:rPr>
          <w:rFonts w:ascii="Book Antiqua" w:hAnsi="Book Antiqua" w:cs="TimesNewRomanPSMT"/>
          <w:lang w:val="en-US"/>
        </w:rPr>
        <w:t>Morbelli</w:t>
      </w:r>
      <w:proofErr w:type="spellEnd"/>
      <w:r w:rsidRPr="005E4B56">
        <w:rPr>
          <w:rFonts w:ascii="Book Antiqua" w:hAnsi="Book Antiqua" w:cs="TimesNewRomanPSMT"/>
          <w:lang w:val="en-US"/>
        </w:rPr>
        <w:t xml:space="preserve"> S and </w:t>
      </w:r>
      <w:proofErr w:type="spellStart"/>
      <w:r w:rsidRPr="005E4B56">
        <w:rPr>
          <w:rFonts w:ascii="Book Antiqua" w:hAnsi="Book Antiqua" w:cs="TimesNewRomanPSMT"/>
          <w:lang w:val="en-US"/>
        </w:rPr>
        <w:t>Fiz</w:t>
      </w:r>
      <w:proofErr w:type="spellEnd"/>
      <w:r w:rsidRPr="005E4B56">
        <w:rPr>
          <w:rFonts w:ascii="Book Antiqua" w:hAnsi="Book Antiqua" w:cs="TimesNewRomanPSMT"/>
          <w:lang w:val="en-US"/>
        </w:rPr>
        <w:t xml:space="preserve"> F designed the study; </w:t>
      </w:r>
      <w:proofErr w:type="spellStart"/>
      <w:r w:rsidRPr="005E4B56">
        <w:rPr>
          <w:rFonts w:ascii="Book Antiqua" w:hAnsi="Book Antiqua" w:cs="TimesNewRomanPSMT"/>
          <w:lang w:val="en-US"/>
        </w:rPr>
        <w:t>Nieri</w:t>
      </w:r>
      <w:proofErr w:type="spellEnd"/>
      <w:r w:rsidRPr="005E4B56">
        <w:rPr>
          <w:rFonts w:ascii="Book Antiqua" w:hAnsi="Book Antiqua" w:cs="TimesNewRomanPSMT"/>
          <w:lang w:val="en-US"/>
        </w:rPr>
        <w:t xml:space="preserve"> A, </w:t>
      </w:r>
      <w:proofErr w:type="spellStart"/>
      <w:r w:rsidRPr="005E4B56">
        <w:rPr>
          <w:rFonts w:ascii="Book Antiqua" w:hAnsi="Book Antiqua" w:cs="TimesNewRomanPSMT"/>
          <w:lang w:val="en-US"/>
        </w:rPr>
        <w:t>Ferrarazzo</w:t>
      </w:r>
      <w:proofErr w:type="spellEnd"/>
      <w:r w:rsidRPr="005E4B56">
        <w:rPr>
          <w:rFonts w:ascii="Book Antiqua" w:hAnsi="Book Antiqua" w:cs="TimesNewRomanPSMT"/>
          <w:lang w:val="en-US"/>
        </w:rPr>
        <w:t xml:space="preserve"> G </w:t>
      </w:r>
      <w:proofErr w:type="spellStart"/>
      <w:r w:rsidRPr="005E4B56">
        <w:rPr>
          <w:rFonts w:ascii="Book Antiqua" w:hAnsi="Book Antiqua" w:cs="TimesNewRomanPSMT"/>
          <w:lang w:val="en-US"/>
        </w:rPr>
        <w:t>Arthom</w:t>
      </w:r>
      <w:proofErr w:type="spellEnd"/>
      <w:r w:rsidRPr="005E4B56">
        <w:rPr>
          <w:rFonts w:ascii="Book Antiqua" w:hAnsi="Book Antiqua" w:cs="TimesNewRomanPSMT"/>
          <w:lang w:val="en-US"/>
        </w:rPr>
        <w:t xml:space="preserve"> N, </w:t>
      </w:r>
      <w:proofErr w:type="spellStart"/>
      <w:r w:rsidRPr="005E4B56">
        <w:rPr>
          <w:rFonts w:ascii="Book Antiqua" w:hAnsi="Book Antiqua" w:cs="TimesNewRomanPSMT"/>
          <w:lang w:val="en-US"/>
        </w:rPr>
        <w:t>Bauckneht</w:t>
      </w:r>
      <w:proofErr w:type="spellEnd"/>
      <w:r w:rsidRPr="005E4B56">
        <w:rPr>
          <w:rFonts w:ascii="Book Antiqua" w:hAnsi="Book Antiqua" w:cs="TimesNewRomanPSMT"/>
          <w:lang w:val="en-US"/>
        </w:rPr>
        <w:t xml:space="preserve"> M and </w:t>
      </w:r>
      <w:proofErr w:type="spellStart"/>
      <w:r w:rsidRPr="005E4B56">
        <w:rPr>
          <w:rFonts w:ascii="Book Antiqua" w:hAnsi="Book Antiqua" w:cs="TimesNewRomanPSMT"/>
          <w:lang w:val="en-US"/>
        </w:rPr>
        <w:t>Morbelli</w:t>
      </w:r>
      <w:proofErr w:type="spellEnd"/>
      <w:r w:rsidRPr="005E4B56">
        <w:rPr>
          <w:rFonts w:ascii="Book Antiqua" w:hAnsi="Book Antiqua" w:cs="TimesNewRomanPSMT"/>
          <w:lang w:val="en-US"/>
        </w:rPr>
        <w:t xml:space="preserve"> S performed the VOI on the PET/CT images; </w:t>
      </w:r>
      <w:proofErr w:type="spellStart"/>
      <w:r w:rsidRPr="005E4B56">
        <w:rPr>
          <w:rFonts w:ascii="Book Antiqua" w:hAnsi="Book Antiqua" w:cs="TimesNewRomanPSMT"/>
          <w:lang w:val="en-US"/>
        </w:rPr>
        <w:t>Fiz</w:t>
      </w:r>
      <w:proofErr w:type="spellEnd"/>
      <w:r w:rsidRPr="005E4B56">
        <w:rPr>
          <w:rFonts w:ascii="Book Antiqua" w:hAnsi="Book Antiqua" w:cs="TimesNewRomanPSMT"/>
          <w:lang w:val="en-US"/>
        </w:rPr>
        <w:t xml:space="preserve"> F performed the retrospective analysis of PET/CT images data, literature search and drafted the manuscript; </w:t>
      </w:r>
      <w:proofErr w:type="spellStart"/>
      <w:r w:rsidRPr="005E4B56">
        <w:rPr>
          <w:rFonts w:ascii="Book Antiqua" w:hAnsi="Book Antiqua" w:cs="TimesNewRomanPSMT"/>
          <w:lang w:val="en-US"/>
        </w:rPr>
        <w:t>Bauckneht</w:t>
      </w:r>
      <w:proofErr w:type="spellEnd"/>
      <w:r w:rsidRPr="005E4B56">
        <w:rPr>
          <w:rFonts w:ascii="Book Antiqua" w:hAnsi="Book Antiqua" w:cs="TimesNewRomanPSMT"/>
          <w:lang w:val="en-US"/>
        </w:rPr>
        <w:t xml:space="preserve"> M and </w:t>
      </w:r>
      <w:proofErr w:type="spellStart"/>
      <w:r w:rsidRPr="005E4B56">
        <w:rPr>
          <w:rFonts w:ascii="Book Antiqua" w:hAnsi="Book Antiqua" w:cs="TimesNewRomanPSMT"/>
          <w:lang w:val="en-US"/>
        </w:rPr>
        <w:t>Ferrarazzo</w:t>
      </w:r>
      <w:proofErr w:type="spellEnd"/>
      <w:r w:rsidRPr="005E4B56">
        <w:rPr>
          <w:rFonts w:ascii="Book Antiqua" w:hAnsi="Book Antiqua" w:cs="TimesNewRomanPSMT"/>
          <w:lang w:val="en-US"/>
        </w:rPr>
        <w:t xml:space="preserve"> G drafted figures of the paper; </w:t>
      </w:r>
      <w:proofErr w:type="spellStart"/>
      <w:r w:rsidRPr="005E4B56">
        <w:rPr>
          <w:rFonts w:ascii="Book Antiqua" w:hAnsi="Book Antiqua" w:cs="TimesNewRomanPSMT"/>
          <w:lang w:val="en-US"/>
        </w:rPr>
        <w:t>Morbelli</w:t>
      </w:r>
      <w:proofErr w:type="spellEnd"/>
      <w:r w:rsidRPr="005E4B56">
        <w:rPr>
          <w:rFonts w:ascii="Book Antiqua" w:hAnsi="Book Antiqua" w:cs="TimesNewRomanPSMT"/>
          <w:lang w:val="en-US"/>
        </w:rPr>
        <w:t xml:space="preserve"> S, </w:t>
      </w:r>
      <w:proofErr w:type="spellStart"/>
      <w:r w:rsidRPr="005E4B56">
        <w:rPr>
          <w:rFonts w:ascii="Book Antiqua" w:hAnsi="Book Antiqua" w:cs="TimesNewRomanPSMT"/>
          <w:lang w:val="en-US"/>
        </w:rPr>
        <w:lastRenderedPageBreak/>
        <w:t>Sambuceti</w:t>
      </w:r>
      <w:proofErr w:type="spellEnd"/>
      <w:r w:rsidRPr="005E4B56">
        <w:rPr>
          <w:rFonts w:ascii="Book Antiqua" w:hAnsi="Book Antiqua" w:cs="TimesNewRomanPSMT"/>
          <w:lang w:val="en-US"/>
        </w:rPr>
        <w:t xml:space="preserve"> G, </w:t>
      </w:r>
      <w:proofErr w:type="spellStart"/>
      <w:r w:rsidRPr="005E4B56">
        <w:rPr>
          <w:rFonts w:ascii="Book Antiqua" w:hAnsi="Book Antiqua" w:cs="TimesNewRomanPSMT"/>
          <w:lang w:val="en-US"/>
        </w:rPr>
        <w:t>Canepa</w:t>
      </w:r>
      <w:proofErr w:type="spellEnd"/>
      <w:r w:rsidRPr="005E4B56">
        <w:rPr>
          <w:rFonts w:ascii="Book Antiqua" w:hAnsi="Book Antiqua" w:cs="TimesNewRomanPSMT"/>
          <w:lang w:val="en-US"/>
        </w:rPr>
        <w:t xml:space="preserve"> M, Marini C, </w:t>
      </w:r>
      <w:proofErr w:type="spellStart"/>
      <w:r w:rsidRPr="005E4B56">
        <w:rPr>
          <w:rFonts w:ascii="Book Antiqua" w:hAnsi="Book Antiqua" w:cs="TimesNewRomanPSMT"/>
          <w:lang w:val="en-US"/>
        </w:rPr>
        <w:t>Piccardo</w:t>
      </w:r>
      <w:proofErr w:type="spellEnd"/>
      <w:r w:rsidRPr="005E4B56">
        <w:rPr>
          <w:rFonts w:ascii="Book Antiqua" w:hAnsi="Book Antiqua" w:cs="TimesNewRomanPSMT"/>
          <w:lang w:val="en-US"/>
        </w:rPr>
        <w:t xml:space="preserve"> A and Cambria M made critical revisions related to important intellectual content of the manuscript; </w:t>
      </w:r>
      <w:proofErr w:type="spellStart"/>
      <w:r w:rsidRPr="005E4B56">
        <w:rPr>
          <w:rFonts w:ascii="Book Antiqua" w:hAnsi="Book Antiqua" w:cs="TimesNewRomanPSMT"/>
          <w:lang w:val="en-US"/>
        </w:rPr>
        <w:t>Morbelli</w:t>
      </w:r>
      <w:proofErr w:type="spellEnd"/>
      <w:r w:rsidRPr="005E4B56">
        <w:rPr>
          <w:rFonts w:ascii="Book Antiqua" w:hAnsi="Book Antiqua" w:cs="TimesNewRomanPSMT"/>
          <w:lang w:val="en-US"/>
        </w:rPr>
        <w:t xml:space="preserve"> S and </w:t>
      </w:r>
      <w:proofErr w:type="spellStart"/>
      <w:r w:rsidRPr="005E4B56">
        <w:rPr>
          <w:rFonts w:ascii="Book Antiqua" w:hAnsi="Book Antiqua" w:cs="TimesNewRomanPSMT"/>
          <w:lang w:val="en-US"/>
        </w:rPr>
        <w:t>Fiz</w:t>
      </w:r>
      <w:proofErr w:type="spellEnd"/>
      <w:r w:rsidRPr="005E4B56">
        <w:rPr>
          <w:rFonts w:ascii="Book Antiqua" w:hAnsi="Book Antiqua" w:cs="TimesNewRomanPSMT"/>
          <w:lang w:val="en-US"/>
        </w:rPr>
        <w:t xml:space="preserve"> F have</w:t>
      </w:r>
      <w:r w:rsidRPr="005E4B56">
        <w:rPr>
          <w:rFonts w:ascii="Book Antiqua" w:eastAsia="宋体" w:hAnsi="Book Antiqua" w:cs="TimesNewRomanPSMT"/>
          <w:lang w:val="en-US" w:eastAsia="zh-CN"/>
        </w:rPr>
        <w:t xml:space="preserve"> </w:t>
      </w:r>
      <w:r w:rsidRPr="005E4B56">
        <w:rPr>
          <w:rFonts w:ascii="Book Antiqua" w:hAnsi="Book Antiqua" w:cs="TimesNewRomanPSMT"/>
          <w:lang w:val="en-US"/>
        </w:rPr>
        <w:t>given final approval of the version of the article to be published; all authors read and approved the final manuscript.</w:t>
      </w:r>
    </w:p>
    <w:p w:rsidR="00DE494F" w:rsidRPr="005E4B56" w:rsidRDefault="00DE494F" w:rsidP="00DE494F">
      <w:pPr>
        <w:autoSpaceDE w:val="0"/>
        <w:autoSpaceDN w:val="0"/>
        <w:adjustRightInd w:val="0"/>
        <w:spacing w:line="360" w:lineRule="auto"/>
        <w:jc w:val="both"/>
        <w:rPr>
          <w:rFonts w:ascii="Book Antiqua" w:eastAsia="宋体" w:hAnsi="Book Antiqua" w:cs="TimesNewRomanPSMT"/>
          <w:lang w:val="en-US" w:eastAsia="zh-CN"/>
        </w:rPr>
      </w:pPr>
    </w:p>
    <w:p w:rsidR="00DE494F" w:rsidRPr="005E4B56" w:rsidRDefault="00DE494F" w:rsidP="00DE494F">
      <w:pPr>
        <w:autoSpaceDE w:val="0"/>
        <w:autoSpaceDN w:val="0"/>
        <w:adjustRightInd w:val="0"/>
        <w:spacing w:line="360" w:lineRule="auto"/>
        <w:jc w:val="both"/>
        <w:rPr>
          <w:rFonts w:ascii="Book Antiqua" w:hAnsi="Book Antiqua" w:cs="TimesNewRomanPSMT"/>
          <w:lang w:val="en-US"/>
        </w:rPr>
      </w:pPr>
      <w:r w:rsidRPr="005E4B56">
        <w:rPr>
          <w:rFonts w:ascii="Book Antiqua" w:hAnsi="Book Antiqua" w:cs="TimesNewRomanPS-BoldMT"/>
          <w:b/>
          <w:bCs/>
          <w:lang w:val="en-US"/>
        </w:rPr>
        <w:t>Institutional review board</w:t>
      </w:r>
      <w:r w:rsidRPr="005E4B56">
        <w:rPr>
          <w:rFonts w:ascii="Book Antiqua" w:hAnsi="Book Antiqua" w:cs="TimesNewRomanPS-BoldItalicMT"/>
          <w:b/>
          <w:bCs/>
          <w:iCs/>
        </w:rPr>
        <w:t xml:space="preserve"> statement:</w:t>
      </w:r>
      <w:r w:rsidRPr="005E4B56">
        <w:rPr>
          <w:rFonts w:ascii="Book Antiqua" w:hAnsi="Book Antiqua" w:cs="TimesNewRomanPSMT"/>
          <w:lang w:val="en-US"/>
        </w:rPr>
        <w:t xml:space="preserve"> The Internal Review Board (</w:t>
      </w:r>
      <w:proofErr w:type="spellStart"/>
      <w:r w:rsidRPr="005E4B56">
        <w:rPr>
          <w:rFonts w:ascii="Book Antiqua" w:hAnsi="Book Antiqua" w:cs="TimesNewRomanPSMT"/>
          <w:lang w:val="en-US"/>
        </w:rPr>
        <w:t>Comitato</w:t>
      </w:r>
      <w:proofErr w:type="spellEnd"/>
      <w:r w:rsidRPr="005E4B56">
        <w:rPr>
          <w:rFonts w:ascii="Book Antiqua" w:hAnsi="Book Antiqua" w:cs="TimesNewRomanPSMT"/>
          <w:lang w:val="en-US"/>
        </w:rPr>
        <w:t xml:space="preserve"> </w:t>
      </w:r>
      <w:proofErr w:type="spellStart"/>
      <w:r w:rsidRPr="005E4B56">
        <w:rPr>
          <w:rFonts w:ascii="Book Antiqua" w:hAnsi="Book Antiqua" w:cs="TimesNewRomanPSMT"/>
          <w:lang w:val="en-US"/>
        </w:rPr>
        <w:t>Etico</w:t>
      </w:r>
      <w:proofErr w:type="spellEnd"/>
      <w:r w:rsidRPr="005E4B56">
        <w:rPr>
          <w:rFonts w:ascii="Book Antiqua" w:hAnsi="Book Antiqua" w:cs="TimesNewRomanPSMT"/>
          <w:lang w:val="en-US"/>
        </w:rPr>
        <w:t xml:space="preserve"> </w:t>
      </w:r>
      <w:proofErr w:type="spellStart"/>
      <w:r w:rsidRPr="005E4B56">
        <w:rPr>
          <w:rFonts w:ascii="Book Antiqua" w:hAnsi="Book Antiqua" w:cs="TimesNewRomanPSMT"/>
          <w:lang w:val="en-US"/>
        </w:rPr>
        <w:t>Regionale</w:t>
      </w:r>
      <w:proofErr w:type="spellEnd"/>
      <w:r w:rsidRPr="005E4B56">
        <w:rPr>
          <w:rFonts w:ascii="Book Antiqua" w:hAnsi="Book Antiqua" w:cs="TimesNewRomanPSMT"/>
          <w:lang w:val="en-US"/>
        </w:rPr>
        <w:t xml:space="preserve"> </w:t>
      </w:r>
      <w:proofErr w:type="spellStart"/>
      <w:r w:rsidRPr="005E4B56">
        <w:rPr>
          <w:rFonts w:ascii="Book Antiqua" w:hAnsi="Book Antiqua" w:cs="TimesNewRomanPSMT"/>
          <w:lang w:val="en-US"/>
        </w:rPr>
        <w:t>della</w:t>
      </w:r>
      <w:proofErr w:type="spellEnd"/>
      <w:r w:rsidRPr="005E4B56">
        <w:rPr>
          <w:rFonts w:ascii="Book Antiqua" w:hAnsi="Book Antiqua" w:cs="TimesNewRomanPSMT"/>
          <w:lang w:val="en-US"/>
        </w:rPr>
        <w:t xml:space="preserve"> Liguria) evaluated and approved this retrospective study.</w:t>
      </w:r>
    </w:p>
    <w:p w:rsidR="00DE494F" w:rsidRPr="005E4B56" w:rsidRDefault="00DE494F" w:rsidP="00DE494F">
      <w:pPr>
        <w:autoSpaceDE w:val="0"/>
        <w:autoSpaceDN w:val="0"/>
        <w:adjustRightInd w:val="0"/>
        <w:spacing w:line="360" w:lineRule="auto"/>
        <w:jc w:val="both"/>
        <w:rPr>
          <w:rFonts w:ascii="Book Antiqua" w:hAnsi="Book Antiqua" w:cs="TimesNewRomanPSMT"/>
          <w:lang w:val="en-US"/>
        </w:rPr>
      </w:pPr>
    </w:p>
    <w:p w:rsidR="00DE494F" w:rsidRPr="005E4B56" w:rsidRDefault="00DE494F" w:rsidP="00DE494F">
      <w:pPr>
        <w:spacing w:line="360" w:lineRule="auto"/>
        <w:jc w:val="both"/>
        <w:rPr>
          <w:rFonts w:ascii="Book Antiqua" w:hAnsi="Book Antiqua" w:cs="TimesNewRomanPSMT"/>
          <w:lang w:val="en-US"/>
        </w:rPr>
      </w:pPr>
      <w:r w:rsidRPr="005E4B56">
        <w:rPr>
          <w:rFonts w:ascii="Book Antiqua" w:hAnsi="Book Antiqua" w:cs="TimesNewRomanPS-BoldMT"/>
          <w:b/>
          <w:bCs/>
          <w:lang w:val="en-US"/>
        </w:rPr>
        <w:t xml:space="preserve">Informed consent </w:t>
      </w:r>
      <w:r w:rsidRPr="005E4B56">
        <w:rPr>
          <w:rFonts w:ascii="Book Antiqua" w:hAnsi="Book Antiqua" w:cs="TimesNewRomanPS-BoldItalicMT"/>
          <w:b/>
          <w:bCs/>
          <w:iCs/>
        </w:rPr>
        <w:t>statement:</w:t>
      </w:r>
      <w:r w:rsidRPr="005E4B56">
        <w:rPr>
          <w:rFonts w:ascii="Book Antiqua" w:eastAsia="宋体" w:hAnsi="Book Antiqua" w:cs="TimesNewRomanPS-BoldItalicMT"/>
          <w:b/>
          <w:bCs/>
          <w:iCs/>
          <w:lang w:eastAsia="zh-CN"/>
        </w:rPr>
        <w:t xml:space="preserve"> </w:t>
      </w:r>
      <w:r w:rsidRPr="005E4B56">
        <w:rPr>
          <w:rFonts w:ascii="Book Antiqua" w:hAnsi="Book Antiqua" w:cs="TimesNewRomanPSMT"/>
          <w:lang w:val="en-US"/>
        </w:rPr>
        <w:t>Each patient, or their legal guardian, provided written informed consent. Images and data were anonymized before data analysis.</w:t>
      </w:r>
    </w:p>
    <w:p w:rsidR="00DE494F" w:rsidRPr="005E4B56" w:rsidRDefault="00DE494F" w:rsidP="00DE494F">
      <w:pPr>
        <w:spacing w:line="360" w:lineRule="auto"/>
        <w:jc w:val="both"/>
        <w:rPr>
          <w:rFonts w:ascii="Book Antiqua" w:hAnsi="Book Antiqua" w:cs="TimesNewRomanPSMT"/>
          <w:lang w:val="en-US"/>
        </w:rPr>
      </w:pPr>
    </w:p>
    <w:p w:rsidR="00DE494F" w:rsidRPr="005E4B56" w:rsidRDefault="00DE494F" w:rsidP="00DE494F">
      <w:pPr>
        <w:autoSpaceDE w:val="0"/>
        <w:autoSpaceDN w:val="0"/>
        <w:adjustRightInd w:val="0"/>
        <w:spacing w:line="360" w:lineRule="auto"/>
        <w:jc w:val="both"/>
        <w:rPr>
          <w:rFonts w:ascii="Book Antiqua" w:hAnsi="Book Antiqua" w:cs="TimesNewRomanPSMT"/>
          <w:lang w:val="en-US"/>
        </w:rPr>
      </w:pPr>
      <w:r w:rsidRPr="005E4B56">
        <w:rPr>
          <w:rFonts w:ascii="Book Antiqua" w:hAnsi="Book Antiqua" w:cs="TimesNewRomanPS-BoldMT"/>
          <w:b/>
          <w:bCs/>
          <w:lang w:val="en-US"/>
        </w:rPr>
        <w:t>Conflict-of-interest</w:t>
      </w:r>
      <w:r w:rsidRPr="005E4B56">
        <w:rPr>
          <w:rFonts w:ascii="Book Antiqua" w:hAnsi="Book Antiqua" w:cs="TimesNewRomanPS-BoldItalicMT"/>
          <w:b/>
          <w:bCs/>
          <w:iCs/>
        </w:rPr>
        <w:t xml:space="preserve"> statement:</w:t>
      </w:r>
      <w:r w:rsidRPr="005E4B56">
        <w:rPr>
          <w:rFonts w:ascii="Book Antiqua" w:hAnsi="Book Antiqua" w:cs="TimesNewRomanPS-BoldMT"/>
          <w:b/>
          <w:bCs/>
          <w:lang w:val="en-US"/>
        </w:rPr>
        <w:t xml:space="preserve"> </w:t>
      </w:r>
      <w:r w:rsidRPr="005E4B56">
        <w:rPr>
          <w:rFonts w:ascii="Book Antiqua" w:hAnsi="Book Antiqua" w:cs="TimesNewRomanPSMT"/>
          <w:lang w:val="en-US"/>
        </w:rPr>
        <w:t>The authors have no conflict of interest to declare.</w:t>
      </w:r>
    </w:p>
    <w:p w:rsidR="00DE494F" w:rsidRPr="005E4B56" w:rsidRDefault="00DE494F" w:rsidP="00DE494F">
      <w:pPr>
        <w:spacing w:line="360" w:lineRule="auto"/>
        <w:jc w:val="both"/>
        <w:rPr>
          <w:rFonts w:ascii="Book Antiqua" w:hAnsi="Book Antiqua" w:cs="TimesNewRomanPSMT"/>
          <w:lang w:val="en-US"/>
        </w:rPr>
      </w:pPr>
    </w:p>
    <w:p w:rsidR="00DE494F" w:rsidRPr="005E4B56" w:rsidRDefault="00DE494F" w:rsidP="00DE494F">
      <w:pPr>
        <w:spacing w:line="360" w:lineRule="auto"/>
        <w:jc w:val="both"/>
        <w:rPr>
          <w:rFonts w:ascii="Book Antiqua" w:hAnsi="Book Antiqua" w:cs="TimesNewRomanPSMT"/>
          <w:lang w:val="en-US"/>
        </w:rPr>
      </w:pPr>
      <w:r w:rsidRPr="005E4B56">
        <w:rPr>
          <w:rFonts w:ascii="Book Antiqua" w:hAnsi="Book Antiqua" w:cs="TimesNewRomanPSMT"/>
          <w:b/>
          <w:lang w:val="en-US"/>
        </w:rPr>
        <w:t xml:space="preserve">Data sharing </w:t>
      </w:r>
      <w:r w:rsidRPr="005E4B56">
        <w:rPr>
          <w:rFonts w:ascii="Book Antiqua" w:hAnsi="Book Antiqua" w:cs="TimesNewRomanPS-BoldItalicMT"/>
          <w:b/>
          <w:bCs/>
          <w:iCs/>
        </w:rPr>
        <w:t>statement:</w:t>
      </w:r>
      <w:r w:rsidRPr="005E4B56">
        <w:rPr>
          <w:rFonts w:ascii="Book Antiqua" w:hAnsi="Book Antiqua" w:cs="TimesNewRomanPSMT"/>
          <w:lang w:val="en-US"/>
        </w:rPr>
        <w:t xml:space="preserve"> Statistical code and dataset are available from the corresponding author at his email address. All data are anonymized and there is no risk of patients’ identification.</w:t>
      </w:r>
    </w:p>
    <w:p w:rsidR="00DE494F" w:rsidRPr="005E4B56" w:rsidRDefault="00DE494F" w:rsidP="00DE494F">
      <w:pPr>
        <w:spacing w:line="360" w:lineRule="auto"/>
        <w:jc w:val="both"/>
        <w:rPr>
          <w:rFonts w:ascii="Book Antiqua" w:hAnsi="Book Antiqua" w:cs="TimesNewRomanPSMT"/>
          <w:lang w:val="en-US"/>
        </w:rPr>
      </w:pPr>
    </w:p>
    <w:p w:rsidR="00DE494F" w:rsidRPr="005E4B56" w:rsidRDefault="00DE494F" w:rsidP="00DE494F">
      <w:pPr>
        <w:spacing w:line="360" w:lineRule="auto"/>
        <w:rPr>
          <w:rFonts w:ascii="Book Antiqua" w:hAnsi="Book Antiqua"/>
          <w:b/>
        </w:rPr>
      </w:pPr>
      <w:bookmarkStart w:id="2" w:name="OLE_LINK155"/>
      <w:bookmarkStart w:id="3" w:name="OLE_LINK183"/>
      <w:r w:rsidRPr="005E4B56">
        <w:rPr>
          <w:rFonts w:ascii="Book Antiqua" w:hAnsi="Book Antiqua"/>
          <w:b/>
        </w:rPr>
        <w:t xml:space="preserve">Open-Access: </w:t>
      </w:r>
      <w:r w:rsidRPr="005E4B56">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rsidR="009B0861" w:rsidRPr="005E4B56" w:rsidRDefault="009B0861" w:rsidP="00DE494F">
      <w:pPr>
        <w:spacing w:line="360" w:lineRule="auto"/>
        <w:jc w:val="both"/>
        <w:rPr>
          <w:rFonts w:ascii="Book Antiqua" w:hAnsi="Book Antiqua" w:cs="TimesNewRomanPSMT"/>
          <w:lang w:val="en-US"/>
        </w:rPr>
      </w:pPr>
    </w:p>
    <w:p w:rsidR="00DE494F" w:rsidRPr="005E4B56" w:rsidRDefault="003179AE" w:rsidP="00DE494F">
      <w:pPr>
        <w:spacing w:line="360" w:lineRule="auto"/>
        <w:jc w:val="both"/>
        <w:rPr>
          <w:rFonts w:ascii="Book Antiqua" w:eastAsia="宋体" w:hAnsi="Book Antiqua" w:cs="TimesNewRomanPS-BoldMT"/>
          <w:b/>
          <w:bCs/>
          <w:lang w:val="en-US" w:eastAsia="zh-CN"/>
        </w:rPr>
      </w:pPr>
      <w:r w:rsidRPr="005E4B56">
        <w:rPr>
          <w:rFonts w:ascii="Book Antiqua" w:hAnsi="Book Antiqua" w:cs="TimesNewRomanPS-BoldMT"/>
          <w:b/>
          <w:bCs/>
          <w:lang w:val="en-US"/>
        </w:rPr>
        <w:t>Correspondence to:</w:t>
      </w:r>
      <w:r w:rsidRPr="005E4B56">
        <w:rPr>
          <w:rFonts w:ascii="Book Antiqua" w:hAnsi="Book Antiqua" w:cs="TimesNewRomanPS-BoldMT"/>
          <w:bCs/>
          <w:lang w:val="en-US"/>
        </w:rPr>
        <w:t xml:space="preserve"> </w:t>
      </w:r>
      <w:r w:rsidRPr="005E4B56">
        <w:rPr>
          <w:rFonts w:ascii="Book Antiqua" w:hAnsi="Book Antiqua" w:cs="TimesNewRomanPSMT"/>
          <w:b/>
          <w:lang w:val="en-US"/>
        </w:rPr>
        <w:t xml:space="preserve">Francesco </w:t>
      </w:r>
      <w:proofErr w:type="spellStart"/>
      <w:r w:rsidRPr="005E4B56">
        <w:rPr>
          <w:rFonts w:ascii="Book Antiqua" w:hAnsi="Book Antiqua" w:cs="TimesNewRomanPSMT"/>
          <w:b/>
          <w:lang w:val="en-US"/>
        </w:rPr>
        <w:t>Fiz</w:t>
      </w:r>
      <w:proofErr w:type="spellEnd"/>
      <w:r w:rsidRPr="005E4B56">
        <w:rPr>
          <w:rFonts w:ascii="Book Antiqua" w:hAnsi="Book Antiqua" w:cs="TimesNewRomanPS-BoldMT"/>
          <w:b/>
          <w:bCs/>
          <w:lang w:val="en-US"/>
        </w:rPr>
        <w:t xml:space="preserve">, </w:t>
      </w:r>
      <w:r w:rsidRPr="005E4B56">
        <w:rPr>
          <w:rFonts w:ascii="Book Antiqua" w:hAnsi="Book Antiqua" w:cs="TimesNewRomanPSMT"/>
          <w:b/>
          <w:lang w:val="en-US"/>
        </w:rPr>
        <w:t xml:space="preserve">MD, </w:t>
      </w:r>
      <w:r w:rsidR="008B638E" w:rsidRPr="005E4B56">
        <w:rPr>
          <w:rFonts w:ascii="Book Antiqua" w:hAnsi="Book Antiqua" w:cs="TimesNewRomanPSMT"/>
          <w:lang w:val="en-US"/>
        </w:rPr>
        <w:t xml:space="preserve">Nuclear Medicine, Department of Health Science, University of Genoa and IRCCS San Martino-IST, </w:t>
      </w:r>
      <w:r w:rsidRPr="005E4B56">
        <w:rPr>
          <w:rFonts w:ascii="Book Antiqua" w:hAnsi="Book Antiqua" w:cs="TimesNewRomanPSMT"/>
          <w:lang w:val="en-US"/>
        </w:rPr>
        <w:t xml:space="preserve">Largo R. </w:t>
      </w:r>
      <w:proofErr w:type="spellStart"/>
      <w:r w:rsidRPr="005E4B56">
        <w:rPr>
          <w:rFonts w:ascii="Book Antiqua" w:hAnsi="Book Antiqua" w:cs="TimesNewRomanPSMT"/>
          <w:lang w:val="en-US"/>
        </w:rPr>
        <w:t>Benzi</w:t>
      </w:r>
      <w:proofErr w:type="spellEnd"/>
      <w:r w:rsidRPr="005E4B56">
        <w:rPr>
          <w:rFonts w:ascii="Book Antiqua" w:hAnsi="Book Antiqua" w:cs="TimesNewRomanPSMT"/>
          <w:lang w:val="en-US"/>
        </w:rPr>
        <w:t xml:space="preserve"> 10</w:t>
      </w:r>
      <w:r w:rsidRPr="005E4B56">
        <w:rPr>
          <w:rFonts w:ascii="Book Antiqua" w:hAnsi="Book Antiqua" w:cs="TimesNewRomanPS-BoldMT"/>
          <w:bCs/>
          <w:lang w:val="en-US"/>
        </w:rPr>
        <w:t>,</w:t>
      </w:r>
      <w:r w:rsidRPr="005E4B56">
        <w:rPr>
          <w:rFonts w:ascii="Book Antiqua" w:hAnsi="Book Antiqua" w:cs="TimesNewRomanPS-BoldMT"/>
          <w:b/>
          <w:bCs/>
          <w:lang w:val="en-US"/>
        </w:rPr>
        <w:t xml:space="preserve"> </w:t>
      </w:r>
      <w:r w:rsidRPr="005E4B56">
        <w:rPr>
          <w:rFonts w:ascii="Book Antiqua" w:hAnsi="Book Antiqua" w:cs="TimesNewRomanPSMT"/>
          <w:lang w:val="en-US"/>
        </w:rPr>
        <w:t>16132 Genoa, I</w:t>
      </w:r>
      <w:r w:rsidR="00DE494F" w:rsidRPr="005E4B56">
        <w:rPr>
          <w:rFonts w:ascii="Book Antiqua" w:hAnsi="Book Antiqua" w:cs="TimesNewRomanPSMT"/>
          <w:lang w:val="en-US"/>
        </w:rPr>
        <w:t>taly</w:t>
      </w:r>
      <w:r w:rsidRPr="005E4B56">
        <w:rPr>
          <w:rFonts w:ascii="Book Antiqua" w:hAnsi="Book Antiqua" w:cs="TimesNewRomanPS-BoldMT"/>
          <w:b/>
          <w:bCs/>
          <w:lang w:val="en-US"/>
        </w:rPr>
        <w:t xml:space="preserve">. </w:t>
      </w:r>
      <w:hyperlink r:id="rId8" w:history="1">
        <w:r w:rsidR="00DE494F" w:rsidRPr="005E4B56">
          <w:rPr>
            <w:rStyle w:val="Hyperlink"/>
            <w:rFonts w:ascii="Book Antiqua" w:hAnsi="Book Antiqua"/>
            <w:color w:val="auto"/>
            <w:u w:val="none"/>
          </w:rPr>
          <w:t>francesco.fiz.nm@gmail.com</w:t>
        </w:r>
      </w:hyperlink>
    </w:p>
    <w:p w:rsidR="009B0861" w:rsidRPr="005E4B56" w:rsidRDefault="00DE494F" w:rsidP="00DE494F">
      <w:pPr>
        <w:spacing w:line="360" w:lineRule="auto"/>
        <w:jc w:val="both"/>
        <w:rPr>
          <w:rFonts w:ascii="Book Antiqua" w:hAnsi="Book Antiqua" w:cs="TimesNewRomanPSMT"/>
          <w:lang w:val="en-US"/>
        </w:rPr>
      </w:pPr>
      <w:r w:rsidRPr="005E4B56">
        <w:rPr>
          <w:rFonts w:ascii="Book Antiqua" w:eastAsia="宋体" w:hAnsi="Book Antiqua" w:cs="TimesNewRomanPSMT"/>
          <w:b/>
          <w:lang w:val="en-US" w:eastAsia="zh-CN"/>
        </w:rPr>
        <w:t>Telephone</w:t>
      </w:r>
      <w:r w:rsidR="003179AE" w:rsidRPr="005E4B56">
        <w:rPr>
          <w:rFonts w:ascii="Book Antiqua" w:hAnsi="Book Antiqua" w:cs="TimesNewRomanPSMT"/>
          <w:lang w:val="en-US"/>
        </w:rPr>
        <w:t>: +39</w:t>
      </w:r>
      <w:r w:rsidRPr="005E4B56">
        <w:rPr>
          <w:rFonts w:ascii="Book Antiqua" w:eastAsia="宋体" w:hAnsi="Book Antiqua" w:cs="TimesNewRomanPSMT"/>
          <w:lang w:val="en-US" w:eastAsia="zh-CN"/>
        </w:rPr>
        <w:t>-</w:t>
      </w:r>
      <w:r w:rsidR="003179AE" w:rsidRPr="005E4B56">
        <w:rPr>
          <w:rFonts w:ascii="Book Antiqua" w:hAnsi="Book Antiqua" w:cs="TimesNewRomanPSMT"/>
          <w:lang w:val="en-US"/>
        </w:rPr>
        <w:t>1</w:t>
      </w:r>
      <w:r w:rsidRPr="005E4B56">
        <w:rPr>
          <w:rFonts w:ascii="Book Antiqua" w:eastAsia="宋体" w:hAnsi="Book Antiqua" w:cs="TimesNewRomanPSMT"/>
          <w:lang w:val="en-US" w:eastAsia="zh-CN"/>
        </w:rPr>
        <w:t>-</w:t>
      </w:r>
      <w:r w:rsidR="003179AE" w:rsidRPr="005E4B56">
        <w:rPr>
          <w:rFonts w:ascii="Book Antiqua" w:hAnsi="Book Antiqua" w:cs="TimesNewRomanPSMT"/>
          <w:lang w:val="en-US"/>
        </w:rPr>
        <w:t>5552027</w:t>
      </w:r>
      <w:r w:rsidR="009B0861" w:rsidRPr="005E4B56">
        <w:rPr>
          <w:rFonts w:ascii="Book Antiqua" w:hAnsi="Book Antiqua" w:cs="TimesNewRomanPSMT"/>
          <w:lang w:val="en-US"/>
        </w:rPr>
        <w:t xml:space="preserve"> </w:t>
      </w:r>
    </w:p>
    <w:p w:rsidR="00C0454E" w:rsidRPr="005E4B56" w:rsidRDefault="00C0454E" w:rsidP="00DE494F">
      <w:pPr>
        <w:spacing w:line="360" w:lineRule="auto"/>
        <w:jc w:val="both"/>
        <w:rPr>
          <w:rFonts w:ascii="Book Antiqua" w:eastAsia="宋体" w:hAnsi="Book Antiqua" w:cs="TimesNewRomanPSMT"/>
          <w:lang w:val="en-US" w:eastAsia="zh-CN"/>
        </w:rPr>
      </w:pPr>
    </w:p>
    <w:p w:rsidR="00DE494F" w:rsidRPr="005E4B56" w:rsidRDefault="00DE494F" w:rsidP="00DE494F">
      <w:pPr>
        <w:spacing w:line="360" w:lineRule="auto"/>
        <w:rPr>
          <w:rFonts w:ascii="Book Antiqua" w:eastAsia="宋体" w:hAnsi="Book Antiqua"/>
          <w:lang w:eastAsia="zh-CN"/>
        </w:rPr>
      </w:pPr>
      <w:bookmarkStart w:id="4" w:name="OLE_LINK476"/>
      <w:bookmarkStart w:id="5" w:name="OLE_LINK477"/>
      <w:bookmarkStart w:id="6" w:name="OLE_LINK117"/>
      <w:bookmarkStart w:id="7" w:name="OLE_LINK528"/>
      <w:bookmarkStart w:id="8" w:name="OLE_LINK557"/>
      <w:r w:rsidRPr="005E4B56">
        <w:rPr>
          <w:rFonts w:ascii="Book Antiqua" w:hAnsi="Book Antiqua"/>
          <w:b/>
        </w:rPr>
        <w:t>Received:</w:t>
      </w:r>
      <w:r w:rsidR="00174860" w:rsidRPr="005E4B56">
        <w:rPr>
          <w:rFonts w:ascii="Book Antiqua" w:eastAsia="宋体" w:hAnsi="Book Antiqua"/>
          <w:lang w:eastAsia="zh-CN"/>
        </w:rPr>
        <w:t xml:space="preserve"> July 29, 2015</w:t>
      </w:r>
    </w:p>
    <w:p w:rsidR="00DE494F" w:rsidRPr="005E4B56" w:rsidRDefault="00DE494F" w:rsidP="00DE494F">
      <w:pPr>
        <w:spacing w:line="360" w:lineRule="auto"/>
        <w:rPr>
          <w:rFonts w:ascii="Book Antiqua" w:eastAsia="宋体" w:hAnsi="Book Antiqua"/>
          <w:lang w:eastAsia="zh-CN"/>
        </w:rPr>
      </w:pPr>
      <w:r w:rsidRPr="005E4B56">
        <w:rPr>
          <w:rFonts w:ascii="Book Antiqua" w:hAnsi="Book Antiqua"/>
          <w:b/>
        </w:rPr>
        <w:t>Peer-review started:</w:t>
      </w:r>
      <w:r w:rsidR="00174860" w:rsidRPr="005E4B56">
        <w:rPr>
          <w:rFonts w:ascii="Book Antiqua" w:eastAsia="宋体" w:hAnsi="Book Antiqua"/>
          <w:b/>
          <w:lang w:eastAsia="zh-CN"/>
        </w:rPr>
        <w:t xml:space="preserve"> </w:t>
      </w:r>
      <w:r w:rsidR="00174860" w:rsidRPr="005E4B56">
        <w:rPr>
          <w:rFonts w:ascii="Book Antiqua" w:eastAsia="宋体" w:hAnsi="Book Antiqua"/>
          <w:lang w:eastAsia="zh-CN"/>
        </w:rPr>
        <w:t>July 31, 2015</w:t>
      </w:r>
    </w:p>
    <w:p w:rsidR="00DE494F" w:rsidRPr="005E4B56" w:rsidRDefault="00DE494F" w:rsidP="00DE494F">
      <w:pPr>
        <w:spacing w:line="360" w:lineRule="auto"/>
        <w:rPr>
          <w:rFonts w:ascii="Book Antiqua" w:eastAsia="宋体" w:hAnsi="Book Antiqua"/>
          <w:lang w:eastAsia="zh-CN"/>
        </w:rPr>
      </w:pPr>
      <w:r w:rsidRPr="005E4B56">
        <w:rPr>
          <w:rFonts w:ascii="Book Antiqua" w:hAnsi="Book Antiqua"/>
          <w:b/>
        </w:rPr>
        <w:t>First decision:</w:t>
      </w:r>
      <w:r w:rsidR="00174860" w:rsidRPr="005E4B56">
        <w:rPr>
          <w:rFonts w:ascii="Book Antiqua" w:eastAsia="宋体" w:hAnsi="Book Antiqua"/>
          <w:b/>
          <w:lang w:eastAsia="zh-CN"/>
        </w:rPr>
        <w:t xml:space="preserve"> </w:t>
      </w:r>
      <w:r w:rsidR="00174860" w:rsidRPr="005E4B56">
        <w:rPr>
          <w:rFonts w:ascii="Book Antiqua" w:eastAsia="宋体" w:hAnsi="Book Antiqua"/>
          <w:lang w:eastAsia="zh-CN"/>
        </w:rPr>
        <w:t>November 6, 2015</w:t>
      </w:r>
    </w:p>
    <w:p w:rsidR="00DE494F" w:rsidRPr="005E4B56" w:rsidRDefault="00DE494F" w:rsidP="00DE494F">
      <w:pPr>
        <w:spacing w:line="360" w:lineRule="auto"/>
        <w:rPr>
          <w:rFonts w:ascii="Book Antiqua" w:eastAsia="宋体" w:hAnsi="Book Antiqua"/>
          <w:lang w:eastAsia="zh-CN"/>
        </w:rPr>
      </w:pPr>
      <w:r w:rsidRPr="005E4B56">
        <w:rPr>
          <w:rFonts w:ascii="Book Antiqua" w:hAnsi="Book Antiqua"/>
          <w:b/>
        </w:rPr>
        <w:lastRenderedPageBreak/>
        <w:t>Revised:</w:t>
      </w:r>
      <w:r w:rsidR="00174860" w:rsidRPr="005E4B56">
        <w:rPr>
          <w:rFonts w:ascii="Book Antiqua" w:eastAsia="宋体" w:hAnsi="Book Antiqua"/>
          <w:b/>
          <w:lang w:eastAsia="zh-CN"/>
        </w:rPr>
        <w:t xml:space="preserve"> </w:t>
      </w:r>
      <w:r w:rsidR="00174860" w:rsidRPr="005E4B56">
        <w:rPr>
          <w:rFonts w:ascii="Book Antiqua" w:eastAsia="宋体" w:hAnsi="Book Antiqua"/>
          <w:lang w:eastAsia="zh-CN"/>
        </w:rPr>
        <w:t>November 24, 2015</w:t>
      </w:r>
    </w:p>
    <w:p w:rsidR="00DE494F" w:rsidRPr="00D1444E" w:rsidRDefault="00DE494F" w:rsidP="00D1444E">
      <w:pPr>
        <w:rPr>
          <w:rFonts w:ascii="Book Antiqua" w:hAnsi="Book Antiqua"/>
          <w:iCs/>
        </w:rPr>
      </w:pPr>
      <w:r w:rsidRPr="005E4B56">
        <w:rPr>
          <w:rFonts w:ascii="Book Antiqua" w:hAnsi="Book Antiqua"/>
          <w:b/>
        </w:rPr>
        <w:t xml:space="preserve">Accepted: </w:t>
      </w:r>
      <w:proofErr w:type="spellStart"/>
      <w:r w:rsidR="00D1444E">
        <w:rPr>
          <w:rStyle w:val="Emphasis"/>
        </w:rPr>
        <w:t>December</w:t>
      </w:r>
      <w:proofErr w:type="spellEnd"/>
      <w:r w:rsidR="00D1444E">
        <w:rPr>
          <w:rStyle w:val="Emphasis"/>
        </w:rPr>
        <w:t xml:space="preserve"> </w:t>
      </w:r>
      <w:r w:rsidR="00D1444E">
        <w:rPr>
          <w:rStyle w:val="Emphasis"/>
          <w:rFonts w:ascii="宋体" w:hAnsi="宋体" w:cs="宋体" w:hint="eastAsia"/>
        </w:rPr>
        <w:t>13</w:t>
      </w:r>
      <w:r w:rsidR="00D1444E" w:rsidRPr="00235CD4">
        <w:rPr>
          <w:rStyle w:val="Emphasis"/>
        </w:rPr>
        <w:t>, 2015</w:t>
      </w:r>
    </w:p>
    <w:p w:rsidR="00DE494F" w:rsidRPr="005E4B56" w:rsidRDefault="00DE494F" w:rsidP="00DE494F">
      <w:pPr>
        <w:spacing w:line="360" w:lineRule="auto"/>
        <w:rPr>
          <w:rFonts w:ascii="Book Antiqua" w:hAnsi="Book Antiqua"/>
          <w:b/>
        </w:rPr>
      </w:pPr>
      <w:r w:rsidRPr="005E4B56">
        <w:rPr>
          <w:rFonts w:ascii="Book Antiqua" w:hAnsi="Book Antiqua"/>
          <w:b/>
        </w:rPr>
        <w:t>Article in press:</w:t>
      </w:r>
    </w:p>
    <w:p w:rsidR="00DE494F" w:rsidRPr="005E4B56" w:rsidRDefault="00DE494F" w:rsidP="00DE494F">
      <w:pPr>
        <w:spacing w:line="360" w:lineRule="auto"/>
        <w:rPr>
          <w:rFonts w:ascii="Book Antiqua" w:hAnsi="Book Antiqua"/>
          <w:b/>
        </w:rPr>
      </w:pPr>
      <w:r w:rsidRPr="005E4B56">
        <w:rPr>
          <w:rFonts w:ascii="Book Antiqua" w:hAnsi="Book Antiqua"/>
          <w:b/>
        </w:rPr>
        <w:t>Published online:</w:t>
      </w:r>
    </w:p>
    <w:bookmarkEnd w:id="4"/>
    <w:bookmarkEnd w:id="5"/>
    <w:bookmarkEnd w:id="6"/>
    <w:bookmarkEnd w:id="7"/>
    <w:bookmarkEnd w:id="8"/>
    <w:p w:rsidR="001F28AD" w:rsidRPr="005E4B56" w:rsidRDefault="001F28AD" w:rsidP="00DE494F">
      <w:pPr>
        <w:spacing w:line="360" w:lineRule="auto"/>
        <w:jc w:val="both"/>
        <w:rPr>
          <w:rFonts w:ascii="Book Antiqua" w:hAnsi="Book Antiqua" w:cs="TimesNewRomanPSMT"/>
          <w:lang w:val="en-US"/>
        </w:rPr>
      </w:pPr>
    </w:p>
    <w:p w:rsidR="00D3696E" w:rsidRPr="005E4B56" w:rsidRDefault="00D3696E" w:rsidP="00DE494F">
      <w:pPr>
        <w:spacing w:line="360" w:lineRule="auto"/>
        <w:jc w:val="both"/>
        <w:rPr>
          <w:rFonts w:ascii="Book Antiqua" w:hAnsi="Book Antiqua"/>
          <w:lang w:val="en-US"/>
        </w:rPr>
      </w:pPr>
      <w:r w:rsidRPr="005E4B56">
        <w:rPr>
          <w:rFonts w:ascii="Book Antiqua" w:hAnsi="Book Antiqua"/>
          <w:lang w:val="en-US"/>
        </w:rPr>
        <w:br w:type="page"/>
      </w:r>
    </w:p>
    <w:p w:rsidR="00D3696E" w:rsidRPr="005E4B56" w:rsidRDefault="003179AE" w:rsidP="00DE494F">
      <w:pPr>
        <w:spacing w:line="360" w:lineRule="auto"/>
        <w:jc w:val="both"/>
        <w:rPr>
          <w:rFonts w:ascii="Book Antiqua" w:hAnsi="Book Antiqua"/>
          <w:b/>
          <w:lang w:val="en-US"/>
        </w:rPr>
      </w:pPr>
      <w:r w:rsidRPr="005E4B56">
        <w:rPr>
          <w:rFonts w:ascii="Book Antiqua" w:hAnsi="Book Antiqua"/>
          <w:b/>
          <w:lang w:val="en-US"/>
        </w:rPr>
        <w:lastRenderedPageBreak/>
        <w:t>Abstract</w:t>
      </w:r>
    </w:p>
    <w:p w:rsidR="00C039F1" w:rsidRPr="005E4B56" w:rsidRDefault="00174860" w:rsidP="00DE494F">
      <w:pPr>
        <w:spacing w:line="360" w:lineRule="auto"/>
        <w:jc w:val="both"/>
        <w:rPr>
          <w:rFonts w:ascii="Book Antiqua" w:eastAsia="宋体" w:hAnsi="Book Antiqua"/>
          <w:lang w:val="en-US" w:eastAsia="zh-CN"/>
        </w:rPr>
      </w:pPr>
      <w:r w:rsidRPr="005E4B56">
        <w:rPr>
          <w:rFonts w:ascii="Book Antiqua" w:hAnsi="Book Antiqua"/>
          <w:b/>
          <w:lang w:val="en-US"/>
        </w:rPr>
        <w:t>AIM</w:t>
      </w:r>
      <w:r w:rsidR="003179AE" w:rsidRPr="005E4B56">
        <w:rPr>
          <w:rFonts w:ascii="Book Antiqua" w:hAnsi="Book Antiqua"/>
          <w:b/>
          <w:lang w:val="en-US"/>
        </w:rPr>
        <w:t>:</w:t>
      </w:r>
      <w:r w:rsidR="003179AE" w:rsidRPr="005E4B56">
        <w:rPr>
          <w:rFonts w:ascii="Book Antiqua" w:hAnsi="Book Antiqua"/>
          <w:lang w:val="en-US"/>
        </w:rPr>
        <w:t xml:space="preserve"> </w:t>
      </w:r>
      <w:r w:rsidRPr="005E4B56">
        <w:rPr>
          <w:rFonts w:ascii="Book Antiqua" w:eastAsia="宋体" w:hAnsi="Book Antiqua"/>
          <w:lang w:val="en-US" w:eastAsia="zh-CN"/>
        </w:rPr>
        <w:t xml:space="preserve">To </w:t>
      </w:r>
      <w:r w:rsidRPr="005E4B56">
        <w:rPr>
          <w:rFonts w:ascii="Book Antiqua" w:hAnsi="Book Antiqua"/>
          <w:lang w:val="en-US"/>
        </w:rPr>
        <w:t xml:space="preserve">investigating </w:t>
      </w:r>
      <w:r w:rsidR="003179AE" w:rsidRPr="005E4B56">
        <w:rPr>
          <w:rFonts w:ascii="Book Antiqua" w:hAnsi="Book Antiqua"/>
          <w:lang w:val="en-US"/>
        </w:rPr>
        <w:t xml:space="preserve">the relationship between thoracic and cardiac </w:t>
      </w:r>
      <w:r w:rsidR="003179AE" w:rsidRPr="005E4B56">
        <w:rPr>
          <w:rFonts w:ascii="Book Antiqua" w:hAnsi="Book Antiqua"/>
          <w:vertAlign w:val="superscript"/>
          <w:lang w:val="en-US"/>
        </w:rPr>
        <w:t>18</w:t>
      </w:r>
      <w:r w:rsidR="003179AE" w:rsidRPr="005E4B56">
        <w:rPr>
          <w:rFonts w:ascii="Book Antiqua" w:hAnsi="Book Antiqua"/>
          <w:lang w:val="en-US"/>
        </w:rPr>
        <w:t>F-Natrium-Fluoride (</w:t>
      </w:r>
      <w:proofErr w:type="spellStart"/>
      <w:r w:rsidR="003179AE" w:rsidRPr="005E4B56">
        <w:rPr>
          <w:rFonts w:ascii="Book Antiqua" w:hAnsi="Book Antiqua"/>
          <w:lang w:val="en-US"/>
        </w:rPr>
        <w:t>NaF</w:t>
      </w:r>
      <w:proofErr w:type="spellEnd"/>
      <w:r w:rsidR="003179AE" w:rsidRPr="005E4B56">
        <w:rPr>
          <w:rFonts w:ascii="Book Antiqua" w:hAnsi="Book Antiqua"/>
          <w:lang w:val="en-US"/>
        </w:rPr>
        <w:t>) uptake, as a marker of ongoing calcification and cardiovascular risk factors.</w:t>
      </w:r>
    </w:p>
    <w:p w:rsidR="00174860" w:rsidRPr="005E4B56" w:rsidRDefault="00174860" w:rsidP="00DE494F">
      <w:pPr>
        <w:spacing w:line="360" w:lineRule="auto"/>
        <w:jc w:val="both"/>
        <w:rPr>
          <w:rFonts w:ascii="Book Antiqua" w:eastAsia="宋体" w:hAnsi="Book Antiqua"/>
          <w:lang w:val="en-US" w:eastAsia="zh-CN"/>
        </w:rPr>
      </w:pPr>
    </w:p>
    <w:p w:rsidR="00F514CE" w:rsidRPr="005E4B56" w:rsidRDefault="00174860" w:rsidP="00DE494F">
      <w:pPr>
        <w:spacing w:line="360" w:lineRule="auto"/>
        <w:jc w:val="both"/>
        <w:rPr>
          <w:rFonts w:ascii="Book Antiqua" w:eastAsia="宋体" w:hAnsi="Book Antiqua"/>
          <w:lang w:val="en-US" w:eastAsia="zh-CN"/>
        </w:rPr>
      </w:pPr>
      <w:r w:rsidRPr="005E4B56">
        <w:rPr>
          <w:rFonts w:ascii="Book Antiqua" w:hAnsi="Book Antiqua"/>
          <w:b/>
          <w:lang w:val="en-US"/>
        </w:rPr>
        <w:t>METHODS</w:t>
      </w:r>
      <w:r w:rsidR="003179AE" w:rsidRPr="005E4B56">
        <w:rPr>
          <w:rFonts w:ascii="Book Antiqua" w:hAnsi="Book Antiqua"/>
          <w:b/>
          <w:lang w:val="en-US"/>
        </w:rPr>
        <w:t>:</w:t>
      </w:r>
      <w:r w:rsidR="003179AE" w:rsidRPr="005E4B56">
        <w:rPr>
          <w:rFonts w:ascii="Book Antiqua" w:hAnsi="Book Antiqua"/>
          <w:lang w:val="en-US"/>
        </w:rPr>
        <w:t xml:space="preserve"> </w:t>
      </w:r>
      <w:r w:rsidRPr="005E4B56">
        <w:rPr>
          <w:rFonts w:ascii="Book Antiqua" w:hAnsi="Book Antiqua"/>
          <w:lang w:val="en-US"/>
        </w:rPr>
        <w:t>Seventy-eight</w:t>
      </w:r>
      <w:r w:rsidRPr="005E4B56">
        <w:rPr>
          <w:rFonts w:ascii="Book Antiqua" w:eastAsia="宋体" w:hAnsi="Book Antiqua"/>
          <w:lang w:val="en-US" w:eastAsia="zh-CN"/>
        </w:rPr>
        <w:t xml:space="preserve"> </w:t>
      </w:r>
      <w:r w:rsidR="003179AE" w:rsidRPr="005E4B56">
        <w:rPr>
          <w:rFonts w:ascii="Book Antiqua" w:hAnsi="Book Antiqua"/>
          <w:lang w:val="en-US"/>
        </w:rPr>
        <w:t xml:space="preserve">patients (44 females, mean age 63, range 44-83) underwent whole body </w:t>
      </w:r>
      <w:proofErr w:type="spellStart"/>
      <w:r w:rsidR="003179AE" w:rsidRPr="005E4B56">
        <w:rPr>
          <w:rFonts w:ascii="Book Antiqua" w:hAnsi="Book Antiqua"/>
          <w:lang w:val="en-US"/>
        </w:rPr>
        <w:t>NaF</w:t>
      </w:r>
      <w:proofErr w:type="spellEnd"/>
      <w:r w:rsidR="003179AE" w:rsidRPr="005E4B56">
        <w:rPr>
          <w:rFonts w:ascii="Book Antiqua" w:hAnsi="Book Antiqua"/>
          <w:lang w:val="en-US"/>
        </w:rPr>
        <w:t xml:space="preserve"> PET/CT. Cardiovascular risk (CVR) was used to divide these patients in three categories: low (LR), medium (MR) and high risk (HR). </w:t>
      </w:r>
      <w:proofErr w:type="spellStart"/>
      <w:r w:rsidR="003179AE" w:rsidRPr="005E4B56">
        <w:rPr>
          <w:rFonts w:ascii="Book Antiqua" w:hAnsi="Book Antiqua"/>
          <w:lang w:val="en-US"/>
        </w:rPr>
        <w:t>NaF</w:t>
      </w:r>
      <w:proofErr w:type="spellEnd"/>
      <w:r w:rsidR="003179AE" w:rsidRPr="005E4B56">
        <w:rPr>
          <w:rFonts w:ascii="Book Antiqua" w:hAnsi="Book Antiqua"/>
          <w:lang w:val="en-US"/>
        </w:rPr>
        <w:t xml:space="preserve"> uptake was measured by manually drawing volumes of intere</w:t>
      </w:r>
      <w:r w:rsidRPr="005E4B56">
        <w:rPr>
          <w:rFonts w:ascii="Book Antiqua" w:hAnsi="Book Antiqua"/>
          <w:lang w:val="en-US"/>
        </w:rPr>
        <w:t>st</w:t>
      </w:r>
      <w:r w:rsidR="003179AE" w:rsidRPr="005E4B56">
        <w:rPr>
          <w:rFonts w:ascii="Book Antiqua" w:hAnsi="Book Antiqua"/>
          <w:lang w:val="en-US"/>
        </w:rPr>
        <w:t xml:space="preserve"> on the ascending aorta, on the aortic arch, on the descending aorta and on the myocardium; av</w:t>
      </w:r>
      <w:r w:rsidRPr="005E4B56">
        <w:rPr>
          <w:rFonts w:ascii="Book Antiqua" w:hAnsi="Book Antiqua"/>
          <w:lang w:val="en-US"/>
        </w:rPr>
        <w:t>erage standardized uptake value</w:t>
      </w:r>
      <w:r w:rsidR="003179AE" w:rsidRPr="005E4B56">
        <w:rPr>
          <w:rFonts w:ascii="Book Antiqua" w:hAnsi="Book Antiqua"/>
          <w:lang w:val="en-US"/>
        </w:rPr>
        <w:t xml:space="preserve"> was normalized for blood-pool, to obtain target-to-background ratio (TBR). Values from the three aortic segments were then averaged to obtain an index of the whole thoracic aorta.</w:t>
      </w:r>
    </w:p>
    <w:p w:rsidR="00174860" w:rsidRPr="005E4B56" w:rsidRDefault="00174860" w:rsidP="00DE494F">
      <w:pPr>
        <w:spacing w:line="360" w:lineRule="auto"/>
        <w:jc w:val="both"/>
        <w:rPr>
          <w:rFonts w:ascii="Book Antiqua" w:eastAsia="宋体" w:hAnsi="Book Antiqua"/>
          <w:lang w:val="en-US" w:eastAsia="zh-CN"/>
        </w:rPr>
      </w:pPr>
    </w:p>
    <w:p w:rsidR="00F514CE" w:rsidRPr="005E4B56" w:rsidRDefault="00174860" w:rsidP="00DE494F">
      <w:pPr>
        <w:spacing w:line="360" w:lineRule="auto"/>
        <w:jc w:val="both"/>
        <w:rPr>
          <w:rFonts w:ascii="Book Antiqua" w:eastAsia="宋体" w:hAnsi="Book Antiqua"/>
          <w:lang w:val="en-US" w:eastAsia="zh-CN"/>
        </w:rPr>
      </w:pPr>
      <w:r w:rsidRPr="005E4B56">
        <w:rPr>
          <w:rFonts w:ascii="Book Antiqua" w:hAnsi="Book Antiqua"/>
          <w:b/>
          <w:lang w:val="en-US"/>
        </w:rPr>
        <w:t>RESULTS</w:t>
      </w:r>
      <w:r w:rsidR="003179AE" w:rsidRPr="005E4B56">
        <w:rPr>
          <w:rFonts w:ascii="Book Antiqua" w:hAnsi="Book Antiqua"/>
          <w:b/>
          <w:lang w:val="en-US"/>
        </w:rPr>
        <w:t>:</w:t>
      </w:r>
      <w:r w:rsidR="003179AE" w:rsidRPr="005E4B56">
        <w:rPr>
          <w:rFonts w:ascii="Book Antiqua" w:hAnsi="Book Antiqua"/>
          <w:lang w:val="en-US"/>
        </w:rPr>
        <w:t xml:space="preserve"> A significant difference in whole thoracic aorta TBR was detected between HR and LR (1.84</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0.76 </w:t>
      </w:r>
      <w:r w:rsidR="003179AE" w:rsidRPr="005E4B56">
        <w:rPr>
          <w:rFonts w:ascii="Book Antiqua" w:hAnsi="Book Antiqua"/>
          <w:i/>
          <w:lang w:val="en-US"/>
        </w:rPr>
        <w:t>vs</w:t>
      </w:r>
      <w:r w:rsidR="003179AE" w:rsidRPr="005E4B56">
        <w:rPr>
          <w:rFonts w:ascii="Book Antiqua" w:hAnsi="Book Antiqua"/>
          <w:lang w:val="en-US"/>
        </w:rPr>
        <w:t xml:space="preserve"> 1.07</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0.3, </w:t>
      </w:r>
      <w:r w:rsidRPr="005E4B56">
        <w:rPr>
          <w:rFonts w:ascii="Book Antiqua" w:hAnsi="Book Antiqua"/>
          <w:i/>
          <w:lang w:val="en-US"/>
        </w:rPr>
        <w:t>P</w:t>
      </w:r>
      <w:r w:rsidRPr="005E4B56">
        <w:rPr>
          <w:rFonts w:ascii="Book Antiqua" w:eastAsia="宋体" w:hAnsi="Book Antiqua"/>
          <w:lang w:val="en-US" w:eastAsia="zh-CN"/>
        </w:rPr>
        <w:t xml:space="preserve"> </w:t>
      </w:r>
      <w:r w:rsidR="003179AE" w:rsidRPr="005E4B56">
        <w:rPr>
          <w:rFonts w:ascii="Book Antiqua" w:hAnsi="Book Antiqua"/>
          <w:lang w:val="en-US"/>
        </w:rPr>
        <w:t>&lt;</w:t>
      </w:r>
      <w:r w:rsidRPr="005E4B56">
        <w:rPr>
          <w:rFonts w:ascii="Book Antiqua" w:eastAsia="宋体" w:hAnsi="Book Antiqua"/>
          <w:lang w:val="en-US" w:eastAsia="zh-CN"/>
        </w:rPr>
        <w:t xml:space="preserve"> </w:t>
      </w:r>
      <w:r w:rsidR="003179AE" w:rsidRPr="005E4B56">
        <w:rPr>
          <w:rFonts w:ascii="Book Antiqua" w:hAnsi="Book Antiqua"/>
          <w:lang w:val="en-US"/>
        </w:rPr>
        <w:t>0.001), but also between MR and HR-LR (1.4</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0.4, </w:t>
      </w:r>
      <w:r w:rsidRPr="005E4B56">
        <w:rPr>
          <w:rFonts w:ascii="Book Antiqua" w:hAnsi="Book Antiqua"/>
          <w:i/>
          <w:lang w:val="en-US"/>
        </w:rPr>
        <w:t>P</w:t>
      </w:r>
      <w:r w:rsidRPr="005E4B56">
        <w:rPr>
          <w:rFonts w:ascii="Book Antiqua" w:hAnsi="Book Antiqua"/>
          <w:lang w:val="en-US"/>
        </w:rPr>
        <w:t xml:space="preserve"> </w:t>
      </w:r>
      <w:r w:rsidR="003179AE" w:rsidRPr="005E4B56">
        <w:rPr>
          <w:rFonts w:ascii="Book Antiqua" w:hAnsi="Book Antiqua"/>
          <w:lang w:val="en-US"/>
        </w:rPr>
        <w:t>&lt;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0.02 and </w:t>
      </w:r>
      <w:r w:rsidRPr="005E4B56">
        <w:rPr>
          <w:rFonts w:ascii="Book Antiqua" w:hAnsi="Book Antiqua"/>
          <w:i/>
          <w:lang w:val="en-US"/>
        </w:rPr>
        <w:t>P</w:t>
      </w:r>
      <w:r w:rsidRPr="005E4B56">
        <w:rPr>
          <w:rFonts w:ascii="Book Antiqua" w:hAnsi="Book Antiqua"/>
          <w:lang w:val="en-US"/>
        </w:rPr>
        <w:t xml:space="preserve"> </w:t>
      </w:r>
      <w:r w:rsidR="003179AE" w:rsidRPr="005E4B56">
        <w:rPr>
          <w:rFonts w:ascii="Book Antiqua" w:hAnsi="Book Antiqua"/>
          <w:lang w:val="en-US"/>
        </w:rPr>
        <w:t>&lt;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0.01, respectively). Significance of this TBR stratification strongly varied among thoracic aorta </w:t>
      </w:r>
      <w:proofErr w:type="spellStart"/>
      <w:r w:rsidR="003179AE" w:rsidRPr="005E4B56">
        <w:rPr>
          <w:rFonts w:ascii="Book Antiqua" w:hAnsi="Book Antiqua"/>
          <w:lang w:val="en-US"/>
        </w:rPr>
        <w:t>subsegments</w:t>
      </w:r>
      <w:proofErr w:type="spellEnd"/>
      <w:r w:rsidR="003179AE" w:rsidRPr="005E4B56">
        <w:rPr>
          <w:rFonts w:ascii="Book Antiqua" w:hAnsi="Book Antiqua"/>
          <w:lang w:val="en-US"/>
        </w:rPr>
        <w:t xml:space="preserve"> and the lowest P values were reached in the descending aorta (</w:t>
      </w:r>
      <w:r w:rsidRPr="005E4B56">
        <w:rPr>
          <w:rFonts w:ascii="Book Antiqua" w:hAnsi="Book Antiqua"/>
          <w:i/>
          <w:lang w:val="en-US"/>
        </w:rPr>
        <w:t>P</w:t>
      </w:r>
      <w:r w:rsidRPr="005E4B56">
        <w:rPr>
          <w:rFonts w:ascii="Book Antiqua" w:hAnsi="Book Antiqua"/>
          <w:lang w:val="en-US"/>
        </w:rPr>
        <w:t xml:space="preserve"> </w:t>
      </w:r>
      <w:r w:rsidR="003179AE" w:rsidRPr="005E4B56">
        <w:rPr>
          <w:rFonts w:ascii="Book Antiqua" w:hAnsi="Book Antiqua"/>
          <w:lang w:val="en-US"/>
        </w:rPr>
        <w:t>&lt;</w:t>
      </w:r>
      <w:r w:rsidRPr="005E4B56">
        <w:rPr>
          <w:rFonts w:ascii="Book Antiqua" w:eastAsia="宋体" w:hAnsi="Book Antiqua"/>
          <w:lang w:val="en-US" w:eastAsia="zh-CN"/>
        </w:rPr>
        <w:t xml:space="preserve"> </w:t>
      </w:r>
      <w:r w:rsidR="003179AE" w:rsidRPr="005E4B56">
        <w:rPr>
          <w:rFonts w:ascii="Book Antiqua" w:hAnsi="Book Antiqua"/>
          <w:lang w:val="en-US"/>
        </w:rPr>
        <w:t>0.01). Myocardial uptake provided an effective CVR classes stratification (</w:t>
      </w:r>
      <w:r w:rsidRPr="005E4B56">
        <w:rPr>
          <w:rFonts w:ascii="Book Antiqua" w:hAnsi="Book Antiqua"/>
          <w:i/>
          <w:lang w:val="en-US"/>
        </w:rPr>
        <w:t>P</w:t>
      </w:r>
      <w:r w:rsidRPr="005E4B56">
        <w:rPr>
          <w:rFonts w:ascii="Book Antiqua" w:hAnsi="Book Antiqua"/>
          <w:lang w:val="en-US"/>
        </w:rPr>
        <w:t xml:space="preserve"> </w:t>
      </w:r>
      <w:r w:rsidR="003179AE" w:rsidRPr="005E4B56">
        <w:rPr>
          <w:rFonts w:ascii="Book Antiqua" w:hAnsi="Book Antiqua"/>
          <w:lang w:val="en-US"/>
        </w:rPr>
        <w:t>&lt;</w:t>
      </w:r>
      <w:r w:rsidRPr="005E4B56">
        <w:rPr>
          <w:rFonts w:ascii="Book Antiqua" w:eastAsia="宋体" w:hAnsi="Book Antiqua"/>
          <w:lang w:val="en-US" w:eastAsia="zh-CN"/>
        </w:rPr>
        <w:t xml:space="preserve"> </w:t>
      </w:r>
      <w:r w:rsidR="003179AE" w:rsidRPr="005E4B56">
        <w:rPr>
          <w:rFonts w:ascii="Book Antiqua" w:hAnsi="Book Antiqua"/>
          <w:lang w:val="en-US"/>
        </w:rPr>
        <w:t>0.001).Correlation between TBR and CVR was appreciable when the whole thoracic aorta was considered (R</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0.67), but it peaked when correlating the descending thoracic segment (R</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0.75), in comparison with the aortic arch and the ascending segment (R</w:t>
      </w:r>
      <w:r w:rsidRPr="005E4B56">
        <w:rPr>
          <w:rFonts w:ascii="Book Antiqua" w:eastAsia="宋体" w:hAnsi="Book Antiqua"/>
          <w:lang w:val="en-US" w:eastAsia="zh-CN"/>
        </w:rPr>
        <w:t xml:space="preserve"> </w:t>
      </w:r>
      <w:r w:rsidR="003179AE" w:rsidRPr="005E4B56">
        <w:rPr>
          <w:rFonts w:ascii="Book Antiqua" w:hAnsi="Book Antiqua"/>
          <w:lang w:val="en-US"/>
        </w:rPr>
        <w:t>=</w:t>
      </w:r>
      <w:r w:rsidRPr="005E4B56">
        <w:rPr>
          <w:rFonts w:ascii="Book Antiqua" w:eastAsia="宋体" w:hAnsi="Book Antiqua"/>
          <w:lang w:val="en-US" w:eastAsia="zh-CN"/>
        </w:rPr>
        <w:t xml:space="preserve"> </w:t>
      </w:r>
      <w:r w:rsidR="003179AE" w:rsidRPr="005E4B56">
        <w:rPr>
          <w:rFonts w:ascii="Book Antiqua" w:hAnsi="Book Antiqua"/>
          <w:lang w:val="en-US"/>
        </w:rPr>
        <w:t xml:space="preserve">0.55 and 0.53, respectively). </w:t>
      </w:r>
    </w:p>
    <w:p w:rsidR="00174860" w:rsidRPr="005E4B56" w:rsidRDefault="00174860" w:rsidP="00DE494F">
      <w:pPr>
        <w:spacing w:line="360" w:lineRule="auto"/>
        <w:jc w:val="both"/>
        <w:rPr>
          <w:rFonts w:ascii="Book Antiqua" w:eastAsia="宋体" w:hAnsi="Book Antiqua"/>
          <w:lang w:val="en-US" w:eastAsia="zh-CN"/>
        </w:rPr>
      </w:pPr>
    </w:p>
    <w:p w:rsidR="001F28AD" w:rsidRPr="005E4B56" w:rsidRDefault="00174860" w:rsidP="00DE494F">
      <w:pPr>
        <w:spacing w:line="360" w:lineRule="auto"/>
        <w:jc w:val="both"/>
        <w:rPr>
          <w:rFonts w:ascii="Book Antiqua" w:hAnsi="Book Antiqua"/>
          <w:lang w:val="en-US"/>
        </w:rPr>
      </w:pPr>
      <w:r w:rsidRPr="005E4B56">
        <w:rPr>
          <w:rFonts w:ascii="Book Antiqua" w:hAnsi="Book Antiqua"/>
          <w:b/>
          <w:lang w:val="en-US"/>
        </w:rPr>
        <w:t>CONCLUSION</w:t>
      </w:r>
      <w:r w:rsidR="003179AE" w:rsidRPr="005E4B56">
        <w:rPr>
          <w:rFonts w:ascii="Book Antiqua" w:hAnsi="Book Antiqua"/>
          <w:b/>
          <w:lang w:val="en-US"/>
        </w:rPr>
        <w:t xml:space="preserve">: </w:t>
      </w:r>
      <w:r w:rsidR="003179AE" w:rsidRPr="005E4B56">
        <w:rPr>
          <w:rFonts w:ascii="Book Antiqua" w:hAnsi="Book Antiqua"/>
          <w:lang w:val="en-US"/>
        </w:rPr>
        <w:t xml:space="preserve">Fluoride uptake within the thoracic aorta wall effectively depicts patients' risk class and correlates with cardiovascular risk. Descending aorta is the most effective in CVR determination. </w:t>
      </w:r>
    </w:p>
    <w:p w:rsidR="001F28AD" w:rsidRPr="005E4B56" w:rsidRDefault="001F28AD" w:rsidP="00DE494F">
      <w:pPr>
        <w:spacing w:line="360" w:lineRule="auto"/>
        <w:jc w:val="both"/>
        <w:rPr>
          <w:rFonts w:ascii="Book Antiqua" w:hAnsi="Book Antiqua"/>
          <w:lang w:val="en-US"/>
        </w:rPr>
      </w:pPr>
    </w:p>
    <w:p w:rsidR="001F28AD" w:rsidRPr="005E4B56" w:rsidRDefault="003179AE" w:rsidP="00DE494F">
      <w:pPr>
        <w:spacing w:line="360" w:lineRule="auto"/>
        <w:jc w:val="both"/>
        <w:rPr>
          <w:rFonts w:ascii="Book Antiqua" w:eastAsia="宋体" w:hAnsi="Book Antiqua"/>
          <w:lang w:val="en-US" w:eastAsia="zh-CN"/>
        </w:rPr>
      </w:pPr>
      <w:r w:rsidRPr="005E4B56">
        <w:rPr>
          <w:rFonts w:ascii="Book Antiqua" w:hAnsi="Book Antiqua"/>
          <w:b/>
          <w:lang w:val="en-US"/>
        </w:rPr>
        <w:t>Key</w:t>
      </w:r>
      <w:r w:rsidR="00174860" w:rsidRPr="005E4B56">
        <w:rPr>
          <w:rFonts w:ascii="Book Antiqua" w:eastAsia="宋体" w:hAnsi="Book Antiqua"/>
          <w:b/>
          <w:lang w:val="en-US" w:eastAsia="zh-CN"/>
        </w:rPr>
        <w:t xml:space="preserve"> </w:t>
      </w:r>
      <w:r w:rsidRPr="005E4B56">
        <w:rPr>
          <w:rFonts w:ascii="Book Antiqua" w:hAnsi="Book Antiqua"/>
          <w:b/>
          <w:lang w:val="en-US"/>
        </w:rPr>
        <w:t>words</w:t>
      </w:r>
      <w:r w:rsidR="00447118" w:rsidRPr="005E4B56">
        <w:rPr>
          <w:rFonts w:ascii="Book Antiqua" w:hAnsi="Book Antiqua"/>
          <w:lang w:val="en-US"/>
        </w:rPr>
        <w:t xml:space="preserve">: </w:t>
      </w:r>
      <w:r w:rsidRPr="005E4B56">
        <w:rPr>
          <w:rFonts w:ascii="Book Antiqua" w:hAnsi="Book Antiqua"/>
          <w:vertAlign w:val="superscript"/>
          <w:lang w:val="en-US"/>
        </w:rPr>
        <w:t>18</w:t>
      </w:r>
      <w:r w:rsidRPr="005E4B56">
        <w:rPr>
          <w:rFonts w:ascii="Book Antiqua" w:hAnsi="Book Antiqua"/>
          <w:lang w:val="en-US"/>
        </w:rPr>
        <w:t xml:space="preserve">F-Natrium </w:t>
      </w:r>
      <w:r w:rsidR="00174860" w:rsidRPr="005E4B56">
        <w:rPr>
          <w:rFonts w:ascii="Book Antiqua" w:hAnsi="Book Antiqua"/>
          <w:lang w:val="en-US"/>
        </w:rPr>
        <w:t>fluoride</w:t>
      </w:r>
      <w:r w:rsidR="00174860" w:rsidRPr="005E4B56">
        <w:rPr>
          <w:rFonts w:ascii="Book Antiqua" w:eastAsia="宋体" w:hAnsi="Book Antiqua"/>
          <w:lang w:val="en-US" w:eastAsia="zh-CN"/>
        </w:rPr>
        <w:t>;</w:t>
      </w:r>
      <w:r w:rsidRPr="005E4B56">
        <w:rPr>
          <w:rFonts w:ascii="Book Antiqua" w:hAnsi="Book Antiqua"/>
          <w:lang w:val="en-US"/>
        </w:rPr>
        <w:t xml:space="preserve"> Plaque </w:t>
      </w:r>
      <w:r w:rsidR="00174860" w:rsidRPr="005E4B56">
        <w:rPr>
          <w:rFonts w:ascii="Book Antiqua" w:hAnsi="Book Antiqua"/>
          <w:lang w:val="en-US"/>
        </w:rPr>
        <w:t>imaging</w:t>
      </w:r>
      <w:r w:rsidR="00174860" w:rsidRPr="005E4B56">
        <w:rPr>
          <w:rFonts w:ascii="Book Antiqua" w:eastAsia="宋体" w:hAnsi="Book Antiqua"/>
          <w:lang w:val="en-US" w:eastAsia="zh-CN"/>
        </w:rPr>
        <w:t xml:space="preserve">; </w:t>
      </w:r>
      <w:r w:rsidRPr="005E4B56">
        <w:rPr>
          <w:rFonts w:ascii="Book Antiqua" w:hAnsi="Book Antiqua"/>
          <w:lang w:val="en-US"/>
        </w:rPr>
        <w:t>PET/CT</w:t>
      </w:r>
      <w:r w:rsidR="00174860" w:rsidRPr="005E4B56">
        <w:rPr>
          <w:rFonts w:ascii="Book Antiqua" w:eastAsia="宋体" w:hAnsi="Book Antiqua"/>
          <w:lang w:val="en-US" w:eastAsia="zh-CN"/>
        </w:rPr>
        <w:t>;</w:t>
      </w:r>
      <w:r w:rsidRPr="005E4B56">
        <w:rPr>
          <w:rFonts w:ascii="Book Antiqua" w:hAnsi="Book Antiqua"/>
          <w:lang w:val="en-US"/>
        </w:rPr>
        <w:t xml:space="preserve"> Cardiovascular </w:t>
      </w:r>
      <w:r w:rsidR="00174860" w:rsidRPr="005E4B56">
        <w:rPr>
          <w:rFonts w:ascii="Book Antiqua" w:hAnsi="Book Antiqua"/>
          <w:lang w:val="en-US"/>
        </w:rPr>
        <w:t>risk prof</w:t>
      </w:r>
      <w:r w:rsidRPr="005E4B56">
        <w:rPr>
          <w:rFonts w:ascii="Book Antiqua" w:hAnsi="Book Antiqua"/>
          <w:lang w:val="en-US"/>
        </w:rPr>
        <w:t>ile</w:t>
      </w:r>
      <w:r w:rsidR="00174860" w:rsidRPr="005E4B56">
        <w:rPr>
          <w:rFonts w:ascii="Book Antiqua" w:eastAsia="宋体" w:hAnsi="Book Antiqua"/>
          <w:lang w:val="en-US" w:eastAsia="zh-CN"/>
        </w:rPr>
        <w:t xml:space="preserve">; </w:t>
      </w:r>
      <w:r w:rsidRPr="005E4B56">
        <w:rPr>
          <w:rFonts w:ascii="Book Antiqua" w:hAnsi="Book Antiqua"/>
          <w:lang w:val="en-US"/>
        </w:rPr>
        <w:t xml:space="preserve">Thoracic </w:t>
      </w:r>
      <w:r w:rsidR="00174860" w:rsidRPr="005E4B56">
        <w:rPr>
          <w:rFonts w:ascii="Book Antiqua" w:hAnsi="Book Antiqua"/>
          <w:lang w:val="en-US"/>
        </w:rPr>
        <w:t>aorta</w:t>
      </w:r>
    </w:p>
    <w:p w:rsidR="00D42D84" w:rsidRPr="005E4B56" w:rsidRDefault="00D42D84" w:rsidP="00DE494F">
      <w:pPr>
        <w:spacing w:line="360" w:lineRule="auto"/>
        <w:jc w:val="both"/>
        <w:rPr>
          <w:rFonts w:ascii="Book Antiqua" w:eastAsia="宋体" w:hAnsi="Book Antiqua"/>
          <w:lang w:val="en-US" w:eastAsia="zh-CN"/>
        </w:rPr>
      </w:pPr>
    </w:p>
    <w:p w:rsidR="00D42D84" w:rsidRPr="005E4B56" w:rsidRDefault="00D42D84" w:rsidP="00D42D84">
      <w:pPr>
        <w:spacing w:line="360" w:lineRule="auto"/>
        <w:rPr>
          <w:rFonts w:ascii="Book Antiqua" w:hAnsi="Book Antiqua" w:cs="Arial"/>
        </w:rPr>
      </w:pPr>
      <w:bookmarkStart w:id="9" w:name="OLE_LINK55"/>
      <w:bookmarkStart w:id="10" w:name="OLE_LINK56"/>
      <w:bookmarkStart w:id="11" w:name="OLE_LINK105"/>
      <w:bookmarkStart w:id="12" w:name="OLE_LINK116"/>
      <w:bookmarkStart w:id="13" w:name="OLE_LINK89"/>
      <w:r w:rsidRPr="005E4B56">
        <w:rPr>
          <w:rFonts w:ascii="Book Antiqua" w:hAnsi="Book Antiqua"/>
          <w:b/>
        </w:rPr>
        <w:t>©</w:t>
      </w:r>
      <w:bookmarkEnd w:id="9"/>
      <w:bookmarkEnd w:id="10"/>
      <w:r w:rsidRPr="005E4B56">
        <w:rPr>
          <w:rFonts w:ascii="Book Antiqua" w:hAnsi="Book Antiqua"/>
          <w:b/>
        </w:rPr>
        <w:t xml:space="preserve"> </w:t>
      </w:r>
      <w:r w:rsidRPr="005E4B56">
        <w:rPr>
          <w:rFonts w:ascii="Book Antiqua" w:hAnsi="Book Antiqua" w:cs="Arial"/>
          <w:b/>
        </w:rPr>
        <w:t xml:space="preserve">The Author(s) 2015. </w:t>
      </w:r>
      <w:r w:rsidRPr="005E4B56">
        <w:rPr>
          <w:rFonts w:ascii="Book Antiqua" w:hAnsi="Book Antiqua" w:cs="Arial"/>
        </w:rPr>
        <w:t>Published by Baishideng Publishing Group Inc. All rights reserved.</w:t>
      </w:r>
    </w:p>
    <w:bookmarkEnd w:id="11"/>
    <w:bookmarkEnd w:id="12"/>
    <w:bookmarkEnd w:id="13"/>
    <w:p w:rsidR="001F28AD" w:rsidRPr="005E4B56" w:rsidRDefault="001F28AD" w:rsidP="00DE494F">
      <w:pPr>
        <w:spacing w:line="360" w:lineRule="auto"/>
        <w:jc w:val="both"/>
        <w:rPr>
          <w:rFonts w:ascii="Book Antiqua" w:hAnsi="Book Antiqua"/>
          <w:lang w:val="en-US"/>
        </w:rPr>
      </w:pPr>
    </w:p>
    <w:p w:rsidR="00D42D84" w:rsidRPr="00102C49" w:rsidRDefault="003179AE" w:rsidP="00102C49">
      <w:pPr>
        <w:spacing w:line="360" w:lineRule="auto"/>
        <w:jc w:val="both"/>
        <w:rPr>
          <w:rFonts w:ascii="Book Antiqua" w:hAnsi="Book Antiqua"/>
          <w:lang w:val="en-US"/>
        </w:rPr>
      </w:pPr>
      <w:r w:rsidRPr="005E4B56">
        <w:rPr>
          <w:rFonts w:ascii="Book Antiqua" w:hAnsi="Book Antiqua"/>
          <w:b/>
          <w:lang w:val="en-US"/>
        </w:rPr>
        <w:t>Core tip</w:t>
      </w:r>
      <w:r w:rsidR="00447118" w:rsidRPr="005E4B56">
        <w:rPr>
          <w:rFonts w:ascii="Book Antiqua" w:hAnsi="Book Antiqua"/>
          <w:lang w:val="en-US"/>
        </w:rPr>
        <w:t xml:space="preserve">: </w:t>
      </w:r>
      <w:r w:rsidRPr="005E4B56">
        <w:rPr>
          <w:rFonts w:ascii="Book Antiqua" w:hAnsi="Book Antiqua"/>
          <w:lang w:val="en-US"/>
        </w:rPr>
        <w:t>We evaluated, in 78 patients who underwent whole body 18F-Natrium Fluoride (</w:t>
      </w:r>
      <w:proofErr w:type="spellStart"/>
      <w:r w:rsidRPr="005E4B56">
        <w:rPr>
          <w:rFonts w:ascii="Book Antiqua" w:hAnsi="Book Antiqua"/>
          <w:lang w:val="en-US"/>
        </w:rPr>
        <w:t>NaF</w:t>
      </w:r>
      <w:proofErr w:type="spellEnd"/>
      <w:r w:rsidRPr="005E4B56">
        <w:rPr>
          <w:rFonts w:ascii="Book Antiqua" w:hAnsi="Book Antiqua"/>
          <w:lang w:val="en-US"/>
        </w:rPr>
        <w:t xml:space="preserve">) PET/CT, the </w:t>
      </w:r>
      <w:proofErr w:type="spellStart"/>
      <w:r w:rsidRPr="005E4B56">
        <w:rPr>
          <w:rFonts w:ascii="Book Antiqua" w:hAnsi="Book Antiqua"/>
          <w:lang w:val="en-US"/>
        </w:rPr>
        <w:t>NaFuptake</w:t>
      </w:r>
      <w:proofErr w:type="spellEnd"/>
      <w:r w:rsidRPr="005E4B56">
        <w:rPr>
          <w:rFonts w:ascii="Book Antiqua" w:hAnsi="Book Antiqua"/>
          <w:lang w:val="en-US"/>
        </w:rPr>
        <w:t xml:space="preserve"> in different segments of thoracic aorta and within the </w:t>
      </w:r>
      <w:r w:rsidRPr="005E4B56">
        <w:rPr>
          <w:rFonts w:ascii="Book Antiqua" w:hAnsi="Book Antiqua"/>
          <w:lang w:val="en-US"/>
        </w:rPr>
        <w:lastRenderedPageBreak/>
        <w:t xml:space="preserve">myocardium, as a measure of ongoing molecular calcification. In particular, we tested the hypothesis of a correlation between thoracic aorta uptake and </w:t>
      </w:r>
      <w:r w:rsidR="00D42D84" w:rsidRPr="005E4B56">
        <w:rPr>
          <w:rFonts w:ascii="Book Antiqua" w:hAnsi="Book Antiqua"/>
          <w:lang w:val="en-US"/>
        </w:rPr>
        <w:t>cardiovascular ri</w:t>
      </w:r>
      <w:r w:rsidRPr="005E4B56">
        <w:rPr>
          <w:rFonts w:ascii="Book Antiqua" w:hAnsi="Book Antiqua"/>
          <w:lang w:val="en-US"/>
        </w:rPr>
        <w:t xml:space="preserve">sk (CVR). We thus assessed </w:t>
      </w:r>
      <w:proofErr w:type="spellStart"/>
      <w:r w:rsidRPr="005E4B56">
        <w:rPr>
          <w:rFonts w:ascii="Book Antiqua" w:hAnsi="Book Antiqua"/>
          <w:lang w:val="en-US"/>
        </w:rPr>
        <w:t>NaF</w:t>
      </w:r>
      <w:proofErr w:type="spellEnd"/>
      <w:r w:rsidRPr="005E4B56">
        <w:rPr>
          <w:rFonts w:ascii="Book Antiqua" w:hAnsi="Book Antiqua"/>
          <w:lang w:val="en-US"/>
        </w:rPr>
        <w:t xml:space="preserve"> uptake (TBR) in different CVR groups (high, medium and low) and its correlation with absolute CVR value. TBR stratified the three CVR classes, mostly in the descending aortic segment and in the myocardium. Thoracic aorta uptake correlated with CVR and with myocardial uptake.</w:t>
      </w:r>
    </w:p>
    <w:p w:rsidR="00D42D84" w:rsidRPr="005E4B56" w:rsidRDefault="00D42D84" w:rsidP="00DE494F">
      <w:pPr>
        <w:spacing w:line="360" w:lineRule="auto"/>
        <w:jc w:val="both"/>
        <w:rPr>
          <w:rFonts w:ascii="Book Antiqua" w:eastAsia="宋体" w:hAnsi="Book Antiqua"/>
          <w:lang w:val="en-US" w:eastAsia="zh-CN"/>
        </w:rPr>
      </w:pPr>
    </w:p>
    <w:p w:rsidR="00D42D84" w:rsidRPr="005E4B56" w:rsidRDefault="00D42D84" w:rsidP="00D42D84">
      <w:pPr>
        <w:spacing w:line="360" w:lineRule="auto"/>
        <w:jc w:val="both"/>
        <w:rPr>
          <w:rFonts w:ascii="Book Antiqua" w:eastAsia="宋体" w:hAnsi="Book Antiqua"/>
          <w:vertAlign w:val="superscript"/>
          <w:lang w:val="en-US" w:eastAsia="zh-CN"/>
        </w:rPr>
      </w:pPr>
      <w:proofErr w:type="spellStart"/>
      <w:r w:rsidRPr="005E4B56">
        <w:rPr>
          <w:rFonts w:ascii="Book Antiqua" w:hAnsi="Book Antiqua"/>
          <w:lang w:val="en-US"/>
        </w:rPr>
        <w:t>Fiz</w:t>
      </w:r>
      <w:proofErr w:type="spellEnd"/>
      <w:r w:rsidRPr="005E4B56">
        <w:rPr>
          <w:rFonts w:ascii="Book Antiqua" w:eastAsia="宋体" w:hAnsi="Book Antiqua"/>
          <w:lang w:val="en-US" w:eastAsia="zh-CN"/>
        </w:rPr>
        <w:t xml:space="preserve"> F, </w:t>
      </w:r>
      <w:proofErr w:type="spellStart"/>
      <w:r w:rsidRPr="005E4B56">
        <w:rPr>
          <w:rFonts w:ascii="Book Antiqua" w:hAnsi="Book Antiqua"/>
          <w:lang w:val="en-US"/>
        </w:rPr>
        <w:t>Morbelli</w:t>
      </w:r>
      <w:proofErr w:type="spellEnd"/>
      <w:r w:rsidRPr="005E4B56">
        <w:rPr>
          <w:rFonts w:ascii="Book Antiqua" w:eastAsia="宋体" w:hAnsi="Book Antiqua"/>
          <w:lang w:val="en-US" w:eastAsia="zh-CN"/>
        </w:rPr>
        <w:t xml:space="preserve"> S, </w:t>
      </w:r>
      <w:proofErr w:type="spellStart"/>
      <w:r w:rsidRPr="005E4B56">
        <w:rPr>
          <w:rFonts w:ascii="Book Antiqua" w:hAnsi="Book Antiqua"/>
          <w:lang w:val="en-US"/>
        </w:rPr>
        <w:t>Bauckneht</w:t>
      </w:r>
      <w:proofErr w:type="spellEnd"/>
      <w:r w:rsidRPr="005E4B56">
        <w:rPr>
          <w:rFonts w:ascii="Book Antiqua" w:eastAsia="宋体" w:hAnsi="Book Antiqua"/>
          <w:lang w:val="en-US" w:eastAsia="zh-CN"/>
        </w:rPr>
        <w:t xml:space="preserve"> M, </w:t>
      </w:r>
      <w:proofErr w:type="spellStart"/>
      <w:r w:rsidRPr="005E4B56">
        <w:rPr>
          <w:rFonts w:ascii="Book Antiqua" w:hAnsi="Book Antiqua"/>
          <w:lang w:val="en-US"/>
        </w:rPr>
        <w:t>Piccardo</w:t>
      </w:r>
      <w:proofErr w:type="spellEnd"/>
      <w:r w:rsidRPr="005E4B56">
        <w:rPr>
          <w:rFonts w:ascii="Book Antiqua" w:eastAsia="宋体" w:hAnsi="Book Antiqua"/>
          <w:lang w:val="en-US" w:eastAsia="zh-CN"/>
        </w:rPr>
        <w:t xml:space="preserve"> A, </w:t>
      </w:r>
      <w:proofErr w:type="spellStart"/>
      <w:r w:rsidRPr="005E4B56">
        <w:rPr>
          <w:rFonts w:ascii="Book Antiqua" w:hAnsi="Book Antiqua"/>
          <w:lang w:val="en-US"/>
        </w:rPr>
        <w:t>Ferrarazzo</w:t>
      </w:r>
      <w:proofErr w:type="spellEnd"/>
      <w:r w:rsidRPr="005E4B56">
        <w:rPr>
          <w:rFonts w:ascii="Book Antiqua" w:eastAsia="宋体" w:hAnsi="Book Antiqua"/>
          <w:lang w:val="en-US" w:eastAsia="zh-CN"/>
        </w:rPr>
        <w:t xml:space="preserve"> G, </w:t>
      </w:r>
      <w:proofErr w:type="spellStart"/>
      <w:r w:rsidRPr="005E4B56">
        <w:rPr>
          <w:rFonts w:ascii="Book Antiqua" w:hAnsi="Book Antiqua"/>
          <w:lang w:val="en-US"/>
        </w:rPr>
        <w:t>Nieri</w:t>
      </w:r>
      <w:proofErr w:type="spellEnd"/>
      <w:r w:rsidRPr="005E4B56">
        <w:rPr>
          <w:rFonts w:ascii="Book Antiqua" w:eastAsia="宋体" w:hAnsi="Book Antiqua"/>
          <w:lang w:val="en-US" w:eastAsia="zh-CN"/>
        </w:rPr>
        <w:t xml:space="preserve"> A, </w:t>
      </w:r>
      <w:proofErr w:type="spellStart"/>
      <w:r w:rsidRPr="005E4B56">
        <w:rPr>
          <w:rFonts w:ascii="Book Antiqua" w:hAnsi="Book Antiqua"/>
          <w:lang w:val="en-US"/>
        </w:rPr>
        <w:t>Artom</w:t>
      </w:r>
      <w:proofErr w:type="spellEnd"/>
      <w:r w:rsidRPr="005E4B56">
        <w:rPr>
          <w:rFonts w:ascii="Book Antiqua" w:eastAsia="宋体" w:hAnsi="Book Antiqua"/>
          <w:lang w:val="en-US" w:eastAsia="zh-CN"/>
        </w:rPr>
        <w:t xml:space="preserve"> N, </w:t>
      </w:r>
      <w:proofErr w:type="spellStart"/>
      <w:r w:rsidRPr="005E4B56">
        <w:rPr>
          <w:rFonts w:ascii="Book Antiqua" w:hAnsi="Book Antiqua"/>
          <w:lang w:val="en-US"/>
        </w:rPr>
        <w:t>Cabria</w:t>
      </w:r>
      <w:proofErr w:type="spellEnd"/>
      <w:r w:rsidRPr="005E4B56">
        <w:rPr>
          <w:rFonts w:ascii="Book Antiqua" w:eastAsia="宋体" w:hAnsi="Book Antiqua"/>
          <w:lang w:val="en-US" w:eastAsia="zh-CN"/>
        </w:rPr>
        <w:t xml:space="preserve"> M, </w:t>
      </w:r>
      <w:r w:rsidRPr="005E4B56">
        <w:rPr>
          <w:rFonts w:ascii="Book Antiqua" w:hAnsi="Book Antiqua"/>
          <w:lang w:val="en-US"/>
        </w:rPr>
        <w:t>Marini</w:t>
      </w:r>
      <w:r w:rsidRPr="005E4B56">
        <w:rPr>
          <w:rFonts w:ascii="Book Antiqua" w:eastAsia="宋体" w:hAnsi="Book Antiqua"/>
          <w:lang w:val="en-US" w:eastAsia="zh-CN"/>
        </w:rPr>
        <w:t xml:space="preserve"> C, </w:t>
      </w:r>
      <w:proofErr w:type="spellStart"/>
      <w:r w:rsidRPr="005E4B56">
        <w:rPr>
          <w:rFonts w:ascii="Book Antiqua" w:hAnsi="Book Antiqua"/>
          <w:lang w:val="en-US"/>
        </w:rPr>
        <w:t>Canepa</w:t>
      </w:r>
      <w:proofErr w:type="spellEnd"/>
      <w:r w:rsidRPr="005E4B56">
        <w:rPr>
          <w:rFonts w:ascii="Book Antiqua" w:eastAsia="宋体" w:hAnsi="Book Antiqua"/>
          <w:lang w:val="en-US" w:eastAsia="zh-CN"/>
        </w:rPr>
        <w:t xml:space="preserve"> M, </w:t>
      </w:r>
      <w:proofErr w:type="spellStart"/>
      <w:r w:rsidRPr="005E4B56">
        <w:rPr>
          <w:rFonts w:ascii="Book Antiqua" w:hAnsi="Book Antiqua"/>
          <w:lang w:val="en-US"/>
        </w:rPr>
        <w:t>Sambuceti</w:t>
      </w:r>
      <w:proofErr w:type="spellEnd"/>
      <w:r w:rsidRPr="005E4B56">
        <w:rPr>
          <w:rFonts w:ascii="Book Antiqua" w:eastAsia="宋体" w:hAnsi="Book Antiqua"/>
          <w:lang w:val="en-US" w:eastAsia="zh-CN"/>
        </w:rPr>
        <w:t xml:space="preserve"> G. Correlation between thoracic aorta 18F-natrium fluoride uptake and cardiovascular risk. </w:t>
      </w:r>
      <w:r w:rsidRPr="005E4B56">
        <w:rPr>
          <w:rFonts w:ascii="Book Antiqua" w:eastAsia="宋体" w:hAnsi="Book Antiqua"/>
          <w:i/>
          <w:lang w:val="en-US" w:eastAsia="zh-CN"/>
        </w:rPr>
        <w:t xml:space="preserve">World J </w:t>
      </w:r>
      <w:proofErr w:type="spellStart"/>
      <w:r w:rsidRPr="005E4B56">
        <w:rPr>
          <w:rFonts w:ascii="Book Antiqua" w:eastAsia="宋体" w:hAnsi="Book Antiqua"/>
          <w:i/>
          <w:lang w:val="en-US" w:eastAsia="zh-CN"/>
        </w:rPr>
        <w:t>Radiol</w:t>
      </w:r>
      <w:proofErr w:type="spellEnd"/>
      <w:r w:rsidRPr="005E4B56">
        <w:rPr>
          <w:rFonts w:ascii="Book Antiqua" w:eastAsia="宋体" w:hAnsi="Book Antiqua"/>
          <w:i/>
          <w:lang w:val="en-US" w:eastAsia="zh-CN"/>
        </w:rPr>
        <w:t xml:space="preserve"> </w:t>
      </w:r>
      <w:r w:rsidRPr="005E4B56">
        <w:rPr>
          <w:rFonts w:ascii="Book Antiqua" w:eastAsia="宋体" w:hAnsi="Book Antiqua"/>
          <w:lang w:val="en-US" w:eastAsia="zh-CN"/>
        </w:rPr>
        <w:t xml:space="preserve">2015; </w:t>
      </w:r>
      <w:proofErr w:type="gramStart"/>
      <w:r w:rsidRPr="005E4B56">
        <w:rPr>
          <w:rFonts w:ascii="Book Antiqua" w:eastAsia="宋体" w:hAnsi="Book Antiqua"/>
          <w:lang w:val="en-US" w:eastAsia="zh-CN"/>
        </w:rPr>
        <w:t>In</w:t>
      </w:r>
      <w:proofErr w:type="gramEnd"/>
      <w:r w:rsidRPr="005E4B56">
        <w:rPr>
          <w:rFonts w:ascii="Book Antiqua" w:eastAsia="宋体" w:hAnsi="Book Antiqua"/>
          <w:lang w:val="en-US" w:eastAsia="zh-CN"/>
        </w:rPr>
        <w:t xml:space="preserve"> press</w:t>
      </w:r>
    </w:p>
    <w:p w:rsidR="00906B2F" w:rsidRPr="005E4B56" w:rsidRDefault="00906B2F" w:rsidP="00DE494F">
      <w:pPr>
        <w:spacing w:line="360" w:lineRule="auto"/>
        <w:jc w:val="both"/>
        <w:rPr>
          <w:rFonts w:ascii="Book Antiqua" w:hAnsi="Book Antiqua"/>
          <w:lang w:val="en-US"/>
        </w:rPr>
      </w:pPr>
      <w:r w:rsidRPr="005E4B56">
        <w:rPr>
          <w:rFonts w:ascii="Book Antiqua" w:hAnsi="Book Antiqua"/>
          <w:lang w:val="en-US"/>
        </w:rPr>
        <w:br w:type="page"/>
      </w:r>
    </w:p>
    <w:p w:rsidR="00906B2F" w:rsidRPr="005E4B56" w:rsidRDefault="00D42D84" w:rsidP="00DE494F">
      <w:pPr>
        <w:spacing w:line="360" w:lineRule="auto"/>
        <w:jc w:val="both"/>
        <w:rPr>
          <w:rFonts w:ascii="Book Antiqua" w:hAnsi="Book Antiqua"/>
          <w:b/>
          <w:lang w:val="en-US"/>
        </w:rPr>
      </w:pPr>
      <w:r w:rsidRPr="005E4B56">
        <w:rPr>
          <w:rFonts w:ascii="Book Antiqua" w:hAnsi="Book Antiqua"/>
          <w:b/>
          <w:lang w:val="en-US"/>
        </w:rPr>
        <w:lastRenderedPageBreak/>
        <w:t>INTRODUCTION</w:t>
      </w:r>
    </w:p>
    <w:p w:rsidR="00145923" w:rsidRPr="005E4B56" w:rsidRDefault="00906B2F" w:rsidP="00DE494F">
      <w:pPr>
        <w:spacing w:line="360" w:lineRule="auto"/>
        <w:jc w:val="both"/>
        <w:rPr>
          <w:rFonts w:ascii="Book Antiqua" w:hAnsi="Book Antiqua"/>
          <w:lang w:val="en-US"/>
        </w:rPr>
      </w:pPr>
      <w:r w:rsidRPr="005E4B56">
        <w:rPr>
          <w:rFonts w:ascii="Book Antiqua" w:hAnsi="Book Antiqua"/>
          <w:lang w:val="en-US"/>
        </w:rPr>
        <w:t>Cardiovascular</w:t>
      </w:r>
      <w:r w:rsidR="00E31658" w:rsidRPr="005E4B56">
        <w:rPr>
          <w:rFonts w:ascii="Book Antiqua" w:hAnsi="Book Antiqua"/>
          <w:lang w:val="en-US"/>
        </w:rPr>
        <w:t xml:space="preserve"> </w:t>
      </w:r>
      <w:r w:rsidRPr="005E4B56">
        <w:rPr>
          <w:rFonts w:ascii="Book Antiqua" w:hAnsi="Book Antiqua"/>
          <w:lang w:val="en-US"/>
        </w:rPr>
        <w:t>disease has been</w:t>
      </w:r>
      <w:r w:rsidR="00BB7E21" w:rsidRPr="005E4B56">
        <w:rPr>
          <w:rFonts w:ascii="Book Antiqua" w:hAnsi="Book Antiqua"/>
          <w:lang w:val="en-US"/>
        </w:rPr>
        <w:t xml:space="preserve"> representing, for many decades an ever-ongoing </w:t>
      </w:r>
      <w:proofErr w:type="spellStart"/>
      <w:r w:rsidR="00BB7E21" w:rsidRPr="005E4B56">
        <w:rPr>
          <w:rFonts w:ascii="Book Antiqua" w:hAnsi="Book Antiqua"/>
          <w:lang w:val="en-US"/>
        </w:rPr>
        <w:t>pandemia</w:t>
      </w:r>
      <w:proofErr w:type="spellEnd"/>
      <w:r w:rsidR="00BB7E21" w:rsidRPr="005E4B56">
        <w:rPr>
          <w:rFonts w:ascii="Book Antiqua" w:hAnsi="Book Antiqua"/>
          <w:lang w:val="en-US"/>
        </w:rPr>
        <w:t>;</w:t>
      </w:r>
      <w:r w:rsidRPr="005E4B56">
        <w:rPr>
          <w:rFonts w:ascii="Book Antiqua" w:hAnsi="Book Antiqua"/>
          <w:lang w:val="en-US"/>
        </w:rPr>
        <w:t xml:space="preserve"> acute and chronic cardiovascular ailments</w:t>
      </w:r>
      <w:r w:rsidR="00E31658" w:rsidRPr="005E4B56">
        <w:rPr>
          <w:rFonts w:ascii="Book Antiqua" w:hAnsi="Book Antiqua"/>
          <w:lang w:val="en-US"/>
        </w:rPr>
        <w:t>, once a</w:t>
      </w:r>
      <w:r w:rsidRPr="005E4B56">
        <w:rPr>
          <w:rFonts w:ascii="Book Antiqua" w:hAnsi="Book Antiqua"/>
          <w:lang w:val="en-US"/>
        </w:rPr>
        <w:t xml:space="preserve"> hallmark of western population and lifestyle, have seeped through the lower-income population </w:t>
      </w:r>
      <w:proofErr w:type="gramStart"/>
      <w:r w:rsidRPr="005E4B56">
        <w:rPr>
          <w:rFonts w:ascii="Book Antiqua" w:hAnsi="Book Antiqua"/>
          <w:lang w:val="en-US"/>
        </w:rPr>
        <w:t>strata</w:t>
      </w:r>
      <w:r w:rsidR="00D42D84" w:rsidRPr="005E4B56">
        <w:rPr>
          <w:rFonts w:ascii="Book Antiqua" w:eastAsia="宋体" w:hAnsi="Book Antiqua"/>
          <w:vertAlign w:val="superscript"/>
          <w:lang w:val="en-US" w:eastAsia="zh-CN"/>
        </w:rPr>
        <w:t>[</w:t>
      </w:r>
      <w:proofErr w:type="gramEnd"/>
      <w:r w:rsidRPr="005E4B56">
        <w:rPr>
          <w:rFonts w:ascii="Book Antiqua" w:hAnsi="Book Antiqua"/>
          <w:vertAlign w:val="superscript"/>
          <w:lang w:val="en-US"/>
        </w:rPr>
        <w:t>1</w:t>
      </w:r>
      <w:r w:rsidR="00D42D84" w:rsidRPr="005E4B56">
        <w:rPr>
          <w:rFonts w:ascii="Book Antiqua" w:eastAsia="宋体" w:hAnsi="Book Antiqua"/>
          <w:vertAlign w:val="superscript"/>
          <w:lang w:val="en-US" w:eastAsia="zh-CN"/>
        </w:rPr>
        <w:t>]</w:t>
      </w:r>
      <w:r w:rsidRPr="005E4B56">
        <w:rPr>
          <w:rFonts w:ascii="Book Antiqua" w:hAnsi="Book Antiqua"/>
          <w:lang w:val="en-US"/>
        </w:rPr>
        <w:t>.</w:t>
      </w:r>
      <w:r w:rsidR="00BB7E21" w:rsidRPr="005E4B56">
        <w:rPr>
          <w:rFonts w:ascii="Book Antiqua" w:hAnsi="Book Antiqua"/>
          <w:lang w:val="en-US"/>
        </w:rPr>
        <w:t xml:space="preserve"> T</w:t>
      </w:r>
      <w:r w:rsidR="00E3676B" w:rsidRPr="005E4B56">
        <w:rPr>
          <w:rFonts w:ascii="Book Antiqua" w:hAnsi="Book Antiqua"/>
          <w:lang w:val="en-US"/>
        </w:rPr>
        <w:t xml:space="preserve">he </w:t>
      </w:r>
      <w:r w:rsidR="00251B76" w:rsidRPr="005E4B56">
        <w:rPr>
          <w:rFonts w:ascii="Book Antiqua" w:hAnsi="Book Antiqua"/>
          <w:lang w:val="en-US"/>
        </w:rPr>
        <w:t xml:space="preserve">assessment </w:t>
      </w:r>
      <w:r w:rsidR="00E3676B" w:rsidRPr="005E4B56">
        <w:rPr>
          <w:rFonts w:ascii="Book Antiqua" w:hAnsi="Book Antiqua"/>
          <w:lang w:val="en-US"/>
        </w:rPr>
        <w:t xml:space="preserve">of </w:t>
      </w:r>
      <w:r w:rsidR="00251B76" w:rsidRPr="005E4B56">
        <w:rPr>
          <w:rFonts w:ascii="Book Antiqua" w:hAnsi="Book Antiqua"/>
          <w:lang w:val="en-US"/>
        </w:rPr>
        <w:t xml:space="preserve">individual </w:t>
      </w:r>
      <w:r w:rsidR="00E3676B" w:rsidRPr="005E4B56">
        <w:rPr>
          <w:rFonts w:ascii="Book Antiqua" w:hAnsi="Book Antiqua"/>
          <w:lang w:val="en-US"/>
        </w:rPr>
        <w:t>cardiovascular</w:t>
      </w:r>
      <w:r w:rsidR="00E31658" w:rsidRPr="005E4B56">
        <w:rPr>
          <w:rFonts w:ascii="Book Antiqua" w:hAnsi="Book Antiqua"/>
          <w:lang w:val="en-US"/>
        </w:rPr>
        <w:t xml:space="preserve"> risk</w:t>
      </w:r>
      <w:r w:rsidR="00E3676B" w:rsidRPr="005E4B56">
        <w:rPr>
          <w:rFonts w:ascii="Book Antiqua" w:hAnsi="Book Antiqua"/>
          <w:lang w:val="en-US"/>
        </w:rPr>
        <w:t xml:space="preserve"> (CVR)</w:t>
      </w:r>
      <w:r w:rsidR="00E31658" w:rsidRPr="005E4B56">
        <w:rPr>
          <w:rFonts w:ascii="Book Antiqua" w:hAnsi="Book Antiqua"/>
          <w:lang w:val="en-US"/>
        </w:rPr>
        <w:t xml:space="preserve"> </w:t>
      </w:r>
      <w:r w:rsidR="00BB7E21" w:rsidRPr="005E4B56">
        <w:rPr>
          <w:rFonts w:ascii="Book Antiqua" w:hAnsi="Book Antiqua"/>
          <w:lang w:val="en-US"/>
        </w:rPr>
        <w:t>allows</w:t>
      </w:r>
      <w:r w:rsidR="00E31658" w:rsidRPr="005E4B56">
        <w:rPr>
          <w:rFonts w:ascii="Book Antiqua" w:hAnsi="Book Antiqua"/>
          <w:lang w:val="en-US"/>
        </w:rPr>
        <w:t xml:space="preserve"> the </w:t>
      </w:r>
      <w:r w:rsidR="00251B76" w:rsidRPr="005E4B56">
        <w:rPr>
          <w:rFonts w:ascii="Book Antiqua" w:hAnsi="Book Antiqua"/>
          <w:lang w:val="en-US"/>
        </w:rPr>
        <w:t xml:space="preserve">implementation </w:t>
      </w:r>
      <w:r w:rsidR="00E31658" w:rsidRPr="005E4B56">
        <w:rPr>
          <w:rFonts w:ascii="Book Antiqua" w:hAnsi="Book Antiqua"/>
          <w:lang w:val="en-US"/>
        </w:rPr>
        <w:t xml:space="preserve">of primary and secondary </w:t>
      </w:r>
      <w:r w:rsidR="0034726F" w:rsidRPr="005E4B56">
        <w:rPr>
          <w:rFonts w:ascii="Book Antiqua" w:hAnsi="Book Antiqua"/>
          <w:lang w:val="en-US"/>
        </w:rPr>
        <w:t xml:space="preserve">prevention </w:t>
      </w:r>
      <w:proofErr w:type="gramStart"/>
      <w:r w:rsidR="0034726F" w:rsidRPr="005E4B56">
        <w:rPr>
          <w:rFonts w:ascii="Book Antiqua" w:hAnsi="Book Antiqua"/>
          <w:lang w:val="en-US"/>
        </w:rPr>
        <w:t>measures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2-4]</w:t>
      </w:r>
      <w:r w:rsidR="00063FDD" w:rsidRPr="005E4B56">
        <w:rPr>
          <w:rFonts w:ascii="Book Antiqua" w:hAnsi="Book Antiqua"/>
          <w:lang w:val="en-US"/>
        </w:rPr>
        <w:t>,</w:t>
      </w:r>
      <w:r w:rsidR="00EE0410" w:rsidRPr="005E4B56">
        <w:rPr>
          <w:rFonts w:ascii="Book Antiqua" w:hAnsi="Book Antiqua"/>
          <w:lang w:val="en-US"/>
        </w:rPr>
        <w:t xml:space="preserve"> </w:t>
      </w:r>
      <w:r w:rsidR="00195883" w:rsidRPr="005E4B56">
        <w:rPr>
          <w:rFonts w:ascii="Book Antiqua" w:hAnsi="Book Antiqua"/>
          <w:lang w:val="en-US"/>
        </w:rPr>
        <w:t>such as lifestyle modifications and the</w:t>
      </w:r>
      <w:r w:rsidR="00D42D84" w:rsidRPr="005E4B56">
        <w:rPr>
          <w:rFonts w:ascii="Book Antiqua" w:eastAsia="宋体" w:hAnsi="Book Antiqua"/>
          <w:vertAlign w:val="superscript"/>
          <w:lang w:val="en-US" w:eastAsia="zh-CN"/>
        </w:rPr>
        <w:t>[5]</w:t>
      </w:r>
      <w:r w:rsidR="00195883" w:rsidRPr="005E4B56">
        <w:rPr>
          <w:rFonts w:ascii="Book Antiqua" w:hAnsi="Book Antiqua"/>
          <w:lang w:val="en-US"/>
        </w:rPr>
        <w:t>.</w:t>
      </w:r>
      <w:r w:rsidR="00EE0410" w:rsidRPr="005E4B56">
        <w:rPr>
          <w:rFonts w:ascii="Book Antiqua" w:hAnsi="Book Antiqua"/>
          <w:lang w:val="en-US"/>
        </w:rPr>
        <w:t xml:space="preserve"> </w:t>
      </w:r>
    </w:p>
    <w:p w:rsidR="00E31658" w:rsidRPr="005E4B56" w:rsidRDefault="00145923" w:rsidP="00D42D84">
      <w:pPr>
        <w:spacing w:line="360" w:lineRule="auto"/>
        <w:ind w:firstLineChars="200" w:firstLine="480"/>
        <w:jc w:val="both"/>
        <w:rPr>
          <w:rFonts w:ascii="Book Antiqua" w:hAnsi="Book Antiqua"/>
          <w:lang w:val="en-US"/>
        </w:rPr>
      </w:pPr>
      <w:r w:rsidRPr="005E4B56">
        <w:rPr>
          <w:rFonts w:ascii="Book Antiqua" w:hAnsi="Book Antiqua"/>
          <w:lang w:val="en-US"/>
        </w:rPr>
        <w:t xml:space="preserve">However, </w:t>
      </w:r>
      <w:r w:rsidR="00E3676B" w:rsidRPr="005E4B56">
        <w:rPr>
          <w:rFonts w:ascii="Book Antiqua" w:hAnsi="Book Antiqua"/>
          <w:lang w:val="en-US"/>
        </w:rPr>
        <w:t>CVR</w:t>
      </w:r>
      <w:r w:rsidRPr="005E4B56">
        <w:rPr>
          <w:rFonts w:ascii="Book Antiqua" w:hAnsi="Book Antiqua"/>
          <w:lang w:val="en-US"/>
        </w:rPr>
        <w:t xml:space="preserve"> assessment does not provide any information on </w:t>
      </w:r>
      <w:r w:rsidR="00251B76" w:rsidRPr="005E4B56">
        <w:rPr>
          <w:rFonts w:ascii="Book Antiqua" w:hAnsi="Book Antiqua"/>
          <w:lang w:val="en-US"/>
        </w:rPr>
        <w:t xml:space="preserve">atherosclerotic </w:t>
      </w:r>
      <w:r w:rsidRPr="005E4B56">
        <w:rPr>
          <w:rFonts w:ascii="Book Antiqua" w:hAnsi="Book Antiqua"/>
          <w:lang w:val="en-US"/>
        </w:rPr>
        <w:t xml:space="preserve">plaque biology and progression; it </w:t>
      </w:r>
      <w:r w:rsidR="00251B76" w:rsidRPr="005E4B56">
        <w:rPr>
          <w:rFonts w:ascii="Book Antiqua" w:hAnsi="Book Antiqua"/>
          <w:lang w:val="en-US"/>
        </w:rPr>
        <w:t xml:space="preserve">neither can </w:t>
      </w:r>
      <w:r w:rsidRPr="005E4B56">
        <w:rPr>
          <w:rFonts w:ascii="Book Antiqua" w:hAnsi="Book Antiqua"/>
          <w:lang w:val="en-US"/>
        </w:rPr>
        <w:t>effectively tell whether vascular lesions are stabilized by therapy</w:t>
      </w:r>
      <w:r w:rsidR="007D4C0D" w:rsidRPr="005E4B56">
        <w:rPr>
          <w:rFonts w:ascii="Book Antiqua" w:hAnsi="Book Antiqua"/>
          <w:lang w:val="en-US"/>
        </w:rPr>
        <w:t xml:space="preserve"> </w:t>
      </w:r>
      <w:r w:rsidR="00251B76" w:rsidRPr="005E4B56">
        <w:rPr>
          <w:rFonts w:ascii="Book Antiqua" w:hAnsi="Book Antiqua"/>
          <w:lang w:val="en-US"/>
        </w:rPr>
        <w:t xml:space="preserve">nor can </w:t>
      </w:r>
      <w:r w:rsidR="007D4C0D" w:rsidRPr="005E4B56">
        <w:rPr>
          <w:rFonts w:ascii="Book Antiqua" w:hAnsi="Book Antiqua"/>
          <w:lang w:val="en-US"/>
        </w:rPr>
        <w:t>identify those vascular segments that are at higher risk for occlusion.</w:t>
      </w:r>
    </w:p>
    <w:p w:rsidR="007D4C0D" w:rsidRPr="005E4B56" w:rsidRDefault="00005E51" w:rsidP="00D42D84">
      <w:pPr>
        <w:spacing w:line="360" w:lineRule="auto"/>
        <w:ind w:firstLineChars="150" w:firstLine="360"/>
        <w:jc w:val="both"/>
        <w:rPr>
          <w:rFonts w:ascii="Book Antiqua" w:hAnsi="Book Antiqua"/>
          <w:lang w:val="en-US"/>
        </w:rPr>
      </w:pPr>
      <w:r w:rsidRPr="005E4B56">
        <w:rPr>
          <w:rFonts w:ascii="Book Antiqua" w:hAnsi="Book Antiqua"/>
          <w:lang w:val="en-US"/>
        </w:rPr>
        <w:t>To overcome this limitation, non-invasive imaging has been proposed. The most wid</w:t>
      </w:r>
      <w:r w:rsidR="00E3676B" w:rsidRPr="005E4B56">
        <w:rPr>
          <w:rFonts w:ascii="Book Antiqua" w:hAnsi="Book Antiqua"/>
          <w:lang w:val="en-US"/>
        </w:rPr>
        <w:t>espread application is coronary calcium scoring (C</w:t>
      </w:r>
      <w:r w:rsidRPr="005E4B56">
        <w:rPr>
          <w:rFonts w:ascii="Book Antiqua" w:hAnsi="Book Antiqua"/>
          <w:lang w:val="en-US"/>
        </w:rPr>
        <w:t>S), which uses the h</w:t>
      </w:r>
      <w:r w:rsidR="00E3676B" w:rsidRPr="005E4B56">
        <w:rPr>
          <w:rFonts w:ascii="Book Antiqua" w:hAnsi="Book Antiqua"/>
          <w:lang w:val="en-US"/>
        </w:rPr>
        <w:t>igh attenuation coefficient of c</w:t>
      </w:r>
      <w:r w:rsidRPr="005E4B56">
        <w:rPr>
          <w:rFonts w:ascii="Book Antiqua" w:hAnsi="Book Antiqua"/>
          <w:lang w:val="en-US"/>
        </w:rPr>
        <w:t>alcium to detect calcified plaques within the vascular tree by X-ray computed tomography</w:t>
      </w:r>
      <w:r w:rsidR="00E269FD" w:rsidRPr="005E4B56">
        <w:rPr>
          <w:rFonts w:ascii="Book Antiqua" w:hAnsi="Book Antiqua"/>
          <w:lang w:val="en-US"/>
        </w:rPr>
        <w:t xml:space="preserve"> (CT)</w:t>
      </w:r>
      <w:r w:rsidR="00D42D84" w:rsidRPr="005E4B56">
        <w:rPr>
          <w:rFonts w:ascii="Book Antiqua" w:eastAsia="宋体" w:hAnsi="Book Antiqua"/>
          <w:vertAlign w:val="superscript"/>
          <w:lang w:val="en-US" w:eastAsia="zh-CN"/>
        </w:rPr>
        <w:t>[6]</w:t>
      </w:r>
      <w:r w:rsidRPr="005E4B56">
        <w:rPr>
          <w:rFonts w:ascii="Book Antiqua" w:hAnsi="Book Antiqua"/>
          <w:lang w:val="en-US"/>
        </w:rPr>
        <w:t>.</w:t>
      </w:r>
      <w:r w:rsidR="003F24BB" w:rsidRPr="005E4B56">
        <w:rPr>
          <w:rFonts w:ascii="Book Antiqua" w:hAnsi="Book Antiqua"/>
          <w:lang w:val="en-US"/>
        </w:rPr>
        <w:t xml:space="preserve"> This technique is able to thoroughly depict the total </w:t>
      </w:r>
      <w:r w:rsidR="00251B76" w:rsidRPr="005E4B56">
        <w:rPr>
          <w:rFonts w:ascii="Book Antiqua" w:hAnsi="Book Antiqua"/>
          <w:lang w:val="en-US"/>
        </w:rPr>
        <w:t xml:space="preserve">coronary </w:t>
      </w:r>
      <w:r w:rsidR="00E3676B" w:rsidRPr="005E4B56">
        <w:rPr>
          <w:rFonts w:ascii="Book Antiqua" w:hAnsi="Book Antiqua"/>
          <w:lang w:val="en-US"/>
        </w:rPr>
        <w:t>calcification</w:t>
      </w:r>
      <w:r w:rsidR="003F24BB" w:rsidRPr="005E4B56">
        <w:rPr>
          <w:rFonts w:ascii="Book Antiqua" w:hAnsi="Book Antiqua"/>
          <w:lang w:val="en-US"/>
        </w:rPr>
        <w:t xml:space="preserve"> load, which is an expression of the underlying plaque burden; it is however unclear whether data provided by this type of imaging are able to accurately stratify the</w:t>
      </w:r>
      <w:r w:rsidR="00E3676B" w:rsidRPr="005E4B56">
        <w:rPr>
          <w:rFonts w:ascii="Book Antiqua" w:hAnsi="Book Antiqua"/>
          <w:lang w:val="en-US"/>
        </w:rPr>
        <w:t xml:space="preserve"> actual </w:t>
      </w:r>
      <w:proofErr w:type="gramStart"/>
      <w:r w:rsidR="00E3676B" w:rsidRPr="005E4B56">
        <w:rPr>
          <w:rFonts w:ascii="Book Antiqua" w:hAnsi="Book Antiqua"/>
          <w:lang w:val="en-US"/>
        </w:rPr>
        <w:t>CVR</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7-9]</w:t>
      </w:r>
      <w:r w:rsidR="003F24BB" w:rsidRPr="005E4B56">
        <w:rPr>
          <w:rFonts w:ascii="Book Antiqua" w:hAnsi="Book Antiqua"/>
          <w:lang w:val="en-US"/>
        </w:rPr>
        <w:t>.</w:t>
      </w:r>
    </w:p>
    <w:p w:rsidR="00E269FD" w:rsidRPr="005E4B56" w:rsidRDefault="00E3676B" w:rsidP="00D42D84">
      <w:pPr>
        <w:spacing w:line="360" w:lineRule="auto"/>
        <w:ind w:firstLineChars="150" w:firstLine="360"/>
        <w:jc w:val="both"/>
        <w:rPr>
          <w:rFonts w:ascii="Book Antiqua" w:hAnsi="Book Antiqua"/>
          <w:lang w:val="en-US"/>
        </w:rPr>
      </w:pPr>
      <w:r w:rsidRPr="005E4B56">
        <w:rPr>
          <w:rFonts w:ascii="Book Antiqua" w:hAnsi="Book Antiqua"/>
          <w:lang w:val="en-US"/>
        </w:rPr>
        <w:t xml:space="preserve">Discrepancies between CS and CVR </w:t>
      </w:r>
      <w:r w:rsidR="00E269FD" w:rsidRPr="005E4B56">
        <w:rPr>
          <w:rFonts w:ascii="Book Antiqua" w:hAnsi="Book Antiqua"/>
          <w:lang w:val="en-US"/>
        </w:rPr>
        <w:t>are often related to the relatively low sensitivity of the CT approach, which is unable to d</w:t>
      </w:r>
      <w:r w:rsidR="00C1141B" w:rsidRPr="005E4B56">
        <w:rPr>
          <w:rFonts w:ascii="Book Antiqua" w:hAnsi="Book Antiqua"/>
          <w:lang w:val="en-US"/>
        </w:rPr>
        <w:t>etect micro-</w:t>
      </w:r>
      <w:proofErr w:type="gramStart"/>
      <w:r w:rsidR="00C1141B" w:rsidRPr="005E4B56">
        <w:rPr>
          <w:rFonts w:ascii="Book Antiqua" w:hAnsi="Book Antiqua"/>
          <w:lang w:val="en-US"/>
        </w:rPr>
        <w:t>calcifications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10]</w:t>
      </w:r>
      <w:r w:rsidR="00C1141B" w:rsidRPr="005E4B56">
        <w:rPr>
          <w:rFonts w:ascii="Book Antiqua" w:hAnsi="Book Antiqua"/>
          <w:lang w:val="en-US"/>
        </w:rPr>
        <w:t xml:space="preserve"> and thus tend to miss the earlier phases of plaque formation, which would probably benefit the most from clinical intervention. </w:t>
      </w:r>
      <w:r w:rsidR="00251B76" w:rsidRPr="005E4B56">
        <w:rPr>
          <w:rFonts w:ascii="Book Antiqua" w:hAnsi="Book Antiqua"/>
          <w:lang w:val="en-US"/>
        </w:rPr>
        <w:t>In addition</w:t>
      </w:r>
      <w:r w:rsidR="00C1141B" w:rsidRPr="005E4B56">
        <w:rPr>
          <w:rFonts w:ascii="Book Antiqua" w:hAnsi="Book Antiqua"/>
          <w:lang w:val="en-US"/>
        </w:rPr>
        <w:t xml:space="preserve">, </w:t>
      </w:r>
      <w:proofErr w:type="spellStart"/>
      <w:r w:rsidR="00C1141B" w:rsidRPr="005E4B56">
        <w:rPr>
          <w:rFonts w:ascii="Book Antiqua" w:hAnsi="Book Antiqua"/>
          <w:lang w:val="en-US"/>
        </w:rPr>
        <w:t>tomo-densitometric</w:t>
      </w:r>
      <w:proofErr w:type="spellEnd"/>
      <w:r w:rsidR="00C1141B" w:rsidRPr="005E4B56">
        <w:rPr>
          <w:rFonts w:ascii="Book Antiqua" w:hAnsi="Book Antiqua"/>
          <w:lang w:val="en-US"/>
        </w:rPr>
        <w:t xml:space="preserve"> approaches are unable to </w:t>
      </w:r>
      <w:r w:rsidR="00251B76" w:rsidRPr="005E4B56">
        <w:rPr>
          <w:rFonts w:ascii="Book Antiqua" w:hAnsi="Book Antiqua"/>
          <w:lang w:val="en-US"/>
        </w:rPr>
        <w:t xml:space="preserve">reveal </w:t>
      </w:r>
      <w:r w:rsidR="00C1141B" w:rsidRPr="005E4B56">
        <w:rPr>
          <w:rFonts w:ascii="Book Antiqua" w:hAnsi="Book Antiqua"/>
          <w:lang w:val="en-US"/>
        </w:rPr>
        <w:t>whether the plaque is at risk of rupture.</w:t>
      </w:r>
    </w:p>
    <w:p w:rsidR="00C1141B" w:rsidRPr="005E4B56" w:rsidRDefault="00C1141B" w:rsidP="00D42D84">
      <w:pPr>
        <w:spacing w:line="360" w:lineRule="auto"/>
        <w:ind w:firstLineChars="150" w:firstLine="360"/>
        <w:jc w:val="both"/>
        <w:rPr>
          <w:rFonts w:ascii="Book Antiqua" w:hAnsi="Book Antiqua"/>
          <w:lang w:val="en-US"/>
        </w:rPr>
      </w:pPr>
      <w:r w:rsidRPr="005E4B56">
        <w:rPr>
          <w:rFonts w:ascii="Book Antiqua" w:hAnsi="Book Antiqua"/>
          <w:lang w:val="en-US"/>
        </w:rPr>
        <w:t xml:space="preserve">In order to overcome these limitations, radio-isotope plaque imaging was proposed in relatively recent </w:t>
      </w:r>
      <w:proofErr w:type="gramStart"/>
      <w:r w:rsidRPr="005E4B56">
        <w:rPr>
          <w:rFonts w:ascii="Book Antiqua" w:hAnsi="Book Antiqua"/>
          <w:lang w:val="en-US"/>
        </w:rPr>
        <w:t>times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8,11-14]</w:t>
      </w:r>
      <w:r w:rsidRPr="005E4B56">
        <w:rPr>
          <w:rFonts w:ascii="Book Antiqua" w:hAnsi="Book Antiqua"/>
          <w:lang w:val="en-US"/>
        </w:rPr>
        <w:t>.</w:t>
      </w:r>
      <w:r w:rsidR="00E85EB6" w:rsidRPr="005E4B56">
        <w:rPr>
          <w:rFonts w:ascii="Book Antiqua" w:hAnsi="Book Antiqua"/>
          <w:lang w:val="en-US"/>
        </w:rPr>
        <w:t xml:space="preserve"> In particular, the use of bone-seeking</w:t>
      </w:r>
      <w:r w:rsidR="00CF605E" w:rsidRPr="005E4B56">
        <w:rPr>
          <w:rFonts w:ascii="Book Antiqua" w:hAnsi="Book Antiqua"/>
          <w:lang w:val="en-US"/>
        </w:rPr>
        <w:t xml:space="preserve"> positron-emitting </w:t>
      </w:r>
      <w:r w:rsidR="00E85EB6" w:rsidRPr="005E4B56">
        <w:rPr>
          <w:rFonts w:ascii="Book Antiqua" w:hAnsi="Book Antiqua"/>
          <w:lang w:val="en-US"/>
        </w:rPr>
        <w:t xml:space="preserve">tracer, such as </w:t>
      </w:r>
      <w:r w:rsidR="00E85EB6" w:rsidRPr="005E4B56">
        <w:rPr>
          <w:rFonts w:ascii="Book Antiqua" w:hAnsi="Book Antiqua"/>
          <w:vertAlign w:val="superscript"/>
          <w:lang w:val="en-US"/>
        </w:rPr>
        <w:t>18</w:t>
      </w:r>
      <w:r w:rsidR="003B0869" w:rsidRPr="005E4B56">
        <w:rPr>
          <w:rFonts w:ascii="Book Antiqua" w:hAnsi="Book Antiqua"/>
          <w:lang w:val="en-US"/>
        </w:rPr>
        <w:t xml:space="preserve">F-Natrium Fluoride (18F-NaF) was attempted, given the great similarity in actors participating to bone apposition </w:t>
      </w:r>
      <w:r w:rsidR="00EF5C4E" w:rsidRPr="005E4B56">
        <w:rPr>
          <w:rFonts w:ascii="Book Antiqua" w:hAnsi="Book Antiqua"/>
          <w:lang w:val="en-US"/>
        </w:rPr>
        <w:t xml:space="preserve">in the skeleton </w:t>
      </w:r>
      <w:r w:rsidR="003B0869" w:rsidRPr="005E4B56">
        <w:rPr>
          <w:rFonts w:ascii="Book Antiqua" w:hAnsi="Book Antiqua"/>
          <w:lang w:val="en-US"/>
        </w:rPr>
        <w:t>and plaque calcification</w:t>
      </w:r>
      <w:r w:rsidR="00EF5C4E" w:rsidRPr="005E4B56">
        <w:rPr>
          <w:rFonts w:ascii="Book Antiqua" w:hAnsi="Book Antiqua"/>
          <w:lang w:val="en-US"/>
        </w:rPr>
        <w:t xml:space="preserve"> in the arterial </w:t>
      </w:r>
      <w:proofErr w:type="gramStart"/>
      <w:r w:rsidR="00EF5C4E" w:rsidRPr="005E4B56">
        <w:rPr>
          <w:rFonts w:ascii="Book Antiqua" w:hAnsi="Book Antiqua"/>
          <w:lang w:val="en-US"/>
        </w:rPr>
        <w:t>wall</w:t>
      </w:r>
      <w:r w:rsidR="00D42D84" w:rsidRPr="005E4B56">
        <w:rPr>
          <w:rFonts w:ascii="Book Antiqua" w:eastAsia="宋体" w:hAnsi="Book Antiqua"/>
          <w:vertAlign w:val="superscript"/>
          <w:lang w:val="en-US" w:eastAsia="zh-CN"/>
        </w:rPr>
        <w:t>[</w:t>
      </w:r>
      <w:proofErr w:type="gramEnd"/>
      <w:r w:rsidR="00D42D84" w:rsidRPr="005E4B56">
        <w:rPr>
          <w:rFonts w:ascii="Book Antiqua" w:hAnsi="Book Antiqua"/>
          <w:vertAlign w:val="superscript"/>
          <w:lang w:val="en-US"/>
        </w:rPr>
        <w:t>1</w:t>
      </w:r>
      <w:r w:rsidR="00D42D84" w:rsidRPr="005E4B56">
        <w:rPr>
          <w:rFonts w:ascii="Book Antiqua" w:eastAsia="宋体" w:hAnsi="Book Antiqua"/>
          <w:vertAlign w:val="superscript"/>
          <w:lang w:val="en-US" w:eastAsia="zh-CN"/>
        </w:rPr>
        <w:t>5]</w:t>
      </w:r>
      <w:r w:rsidR="00B61BD6" w:rsidRPr="005E4B56">
        <w:rPr>
          <w:rFonts w:ascii="Book Antiqua" w:hAnsi="Book Antiqua"/>
          <w:lang w:val="en-US"/>
        </w:rPr>
        <w:t xml:space="preserve">. These studies confirmed the feasibility of 18F-NaF plaque imaging and the correlation of arterial </w:t>
      </w:r>
      <w:r w:rsidR="00EF5C4E" w:rsidRPr="005E4B56">
        <w:rPr>
          <w:rFonts w:ascii="Book Antiqua" w:hAnsi="Book Antiqua"/>
          <w:lang w:val="en-US"/>
        </w:rPr>
        <w:t xml:space="preserve">18F-NaF </w:t>
      </w:r>
      <w:r w:rsidR="00B61BD6" w:rsidRPr="005E4B56">
        <w:rPr>
          <w:rFonts w:ascii="Book Antiqua" w:hAnsi="Book Antiqua"/>
          <w:lang w:val="en-US"/>
        </w:rPr>
        <w:t xml:space="preserve">uptake with </w:t>
      </w:r>
      <w:proofErr w:type="gramStart"/>
      <w:r w:rsidR="00B61BD6" w:rsidRPr="005E4B56">
        <w:rPr>
          <w:rFonts w:ascii="Book Antiqua" w:hAnsi="Book Antiqua"/>
          <w:lang w:val="en-US"/>
        </w:rPr>
        <w:t>CV</w:t>
      </w:r>
      <w:r w:rsidR="00EF5C4E" w:rsidRPr="005E4B56">
        <w:rPr>
          <w:rFonts w:ascii="Book Antiqua" w:hAnsi="Book Antiqua"/>
          <w:lang w:val="en-US"/>
        </w:rPr>
        <w:t>R</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8]</w:t>
      </w:r>
      <w:r w:rsidR="00EF5C4E" w:rsidRPr="005E4B56">
        <w:rPr>
          <w:rFonts w:ascii="Book Antiqua" w:hAnsi="Book Antiqua"/>
          <w:lang w:val="en-US"/>
        </w:rPr>
        <w:t>.</w:t>
      </w:r>
      <w:r w:rsidR="00B61BD6" w:rsidRPr="005E4B56">
        <w:rPr>
          <w:rFonts w:ascii="Book Antiqua" w:hAnsi="Book Antiqua"/>
          <w:lang w:val="en-US"/>
        </w:rPr>
        <w:t xml:space="preserve"> </w:t>
      </w:r>
      <w:r w:rsidR="00EF5C4E" w:rsidRPr="005E4B56">
        <w:rPr>
          <w:rFonts w:ascii="Book Antiqua" w:hAnsi="Book Antiqua"/>
          <w:lang w:val="en-US"/>
        </w:rPr>
        <w:t>R</w:t>
      </w:r>
      <w:r w:rsidR="00B61BD6" w:rsidRPr="005E4B56">
        <w:rPr>
          <w:rFonts w:ascii="Book Antiqua" w:hAnsi="Book Antiqua"/>
          <w:lang w:val="en-US"/>
        </w:rPr>
        <w:t xml:space="preserve">ecent evidence points out that this approach is mostly helpful in the earlier phases of calcification, while the plaque is still actively concentrating mineral </w:t>
      </w:r>
      <w:proofErr w:type="gramStart"/>
      <w:r w:rsidR="00B61BD6" w:rsidRPr="005E4B56">
        <w:rPr>
          <w:rFonts w:ascii="Book Antiqua" w:hAnsi="Book Antiqua"/>
          <w:lang w:val="en-US"/>
        </w:rPr>
        <w:t>ions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16]</w:t>
      </w:r>
      <w:r w:rsidR="00B61BD6" w:rsidRPr="005E4B56">
        <w:rPr>
          <w:rFonts w:ascii="Book Antiqua" w:hAnsi="Book Antiqua"/>
          <w:lang w:val="en-US"/>
        </w:rPr>
        <w:t>.</w:t>
      </w:r>
      <w:r w:rsidR="009D73B9" w:rsidRPr="005E4B56">
        <w:rPr>
          <w:rFonts w:ascii="Book Antiqua" w:hAnsi="Book Antiqua"/>
          <w:lang w:val="en-US"/>
        </w:rPr>
        <w:t xml:space="preserve"> Moreover, 18F-NaF plaque imaging has shown potential even in the identification of the vulnerable </w:t>
      </w:r>
      <w:proofErr w:type="gramStart"/>
      <w:r w:rsidR="009D73B9" w:rsidRPr="005E4B56">
        <w:rPr>
          <w:rFonts w:ascii="Book Antiqua" w:hAnsi="Book Antiqua"/>
          <w:lang w:val="en-US"/>
        </w:rPr>
        <w:t>plaque</w:t>
      </w:r>
      <w:r w:rsidR="00D42D84" w:rsidRPr="005E4B56">
        <w:rPr>
          <w:rFonts w:ascii="Book Antiqua" w:eastAsia="宋体" w:hAnsi="Book Antiqua"/>
          <w:vertAlign w:val="superscript"/>
          <w:lang w:val="en-US" w:eastAsia="zh-CN"/>
        </w:rPr>
        <w:t>[</w:t>
      </w:r>
      <w:proofErr w:type="gramEnd"/>
      <w:r w:rsidR="00D42D84" w:rsidRPr="005E4B56">
        <w:rPr>
          <w:rFonts w:ascii="Book Antiqua" w:hAnsi="Book Antiqua"/>
          <w:vertAlign w:val="superscript"/>
          <w:lang w:val="en-US"/>
        </w:rPr>
        <w:t>1</w:t>
      </w:r>
      <w:r w:rsidR="00D42D84" w:rsidRPr="005E4B56">
        <w:rPr>
          <w:rFonts w:ascii="Book Antiqua" w:eastAsia="宋体" w:hAnsi="Book Antiqua"/>
          <w:vertAlign w:val="superscript"/>
          <w:lang w:val="en-US" w:eastAsia="zh-CN"/>
        </w:rPr>
        <w:t>7,18]</w:t>
      </w:r>
      <w:r w:rsidR="003122F5" w:rsidRPr="005E4B56">
        <w:rPr>
          <w:rFonts w:ascii="Book Antiqua" w:hAnsi="Book Antiqua"/>
          <w:lang w:val="en-US"/>
        </w:rPr>
        <w:t>.</w:t>
      </w:r>
    </w:p>
    <w:p w:rsidR="004D3393" w:rsidRPr="005E4B56" w:rsidRDefault="006D2E0A" w:rsidP="00D42D84">
      <w:pPr>
        <w:spacing w:line="360" w:lineRule="auto"/>
        <w:ind w:firstLineChars="150" w:firstLine="360"/>
        <w:jc w:val="both"/>
        <w:rPr>
          <w:rFonts w:ascii="Book Antiqua" w:hAnsi="Book Antiqua"/>
          <w:lang w:val="en-US"/>
        </w:rPr>
      </w:pPr>
      <w:r w:rsidRPr="005E4B56">
        <w:rPr>
          <w:rFonts w:ascii="Book Antiqua" w:hAnsi="Book Antiqua"/>
          <w:lang w:val="en-US"/>
        </w:rPr>
        <w:t xml:space="preserve">These considerations should theoretically bolster the application of 18F-NaF imaging in the coronary district. </w:t>
      </w:r>
      <w:r w:rsidR="00EF5C4E" w:rsidRPr="005E4B56">
        <w:rPr>
          <w:rFonts w:ascii="Book Antiqua" w:hAnsi="Book Antiqua"/>
          <w:lang w:val="en-US"/>
        </w:rPr>
        <w:t>However</w:t>
      </w:r>
      <w:r w:rsidR="00E3676B" w:rsidRPr="005E4B56">
        <w:rPr>
          <w:rFonts w:ascii="Book Antiqua" w:hAnsi="Book Antiqua"/>
          <w:lang w:val="en-US"/>
        </w:rPr>
        <w:t>,</w:t>
      </w:r>
      <w:r w:rsidRPr="005E4B56">
        <w:rPr>
          <w:rFonts w:ascii="Book Antiqua" w:hAnsi="Book Antiqua"/>
          <w:lang w:val="en-US"/>
        </w:rPr>
        <w:t xml:space="preserve"> this type of approach is still limited by several PET-</w:t>
      </w:r>
      <w:r w:rsidRPr="005E4B56">
        <w:rPr>
          <w:rFonts w:ascii="Book Antiqua" w:hAnsi="Book Antiqua"/>
          <w:lang w:val="en-US"/>
        </w:rPr>
        <w:lastRenderedPageBreak/>
        <w:t>related factors, such as the low spatial resolution and the continuous cardiac movement, which prevent an accurate depiction of coronary wall mineral metabolism</w:t>
      </w:r>
      <w:r w:rsidR="001279B4" w:rsidRPr="005E4B56">
        <w:rPr>
          <w:rFonts w:ascii="Book Antiqua" w:hAnsi="Book Antiqua"/>
          <w:lang w:val="en-US"/>
        </w:rPr>
        <w:t xml:space="preserve"> and causes high variability in the evaluated </w:t>
      </w:r>
      <w:proofErr w:type="gramStart"/>
      <w:r w:rsidR="00FF21F4" w:rsidRPr="005E4B56">
        <w:rPr>
          <w:rFonts w:ascii="Book Antiqua" w:hAnsi="Book Antiqua"/>
          <w:lang w:val="en-US"/>
        </w:rPr>
        <w:t>uptake</w:t>
      </w:r>
      <w:r w:rsidR="00D42D84" w:rsidRPr="005E4B56">
        <w:rPr>
          <w:rFonts w:ascii="Book Antiqua" w:eastAsia="宋体" w:hAnsi="Book Antiqua"/>
          <w:vertAlign w:val="superscript"/>
          <w:lang w:val="en-US" w:eastAsia="zh-CN"/>
        </w:rPr>
        <w:t>[</w:t>
      </w:r>
      <w:proofErr w:type="gramEnd"/>
      <w:r w:rsidR="00D42D84" w:rsidRPr="005E4B56">
        <w:rPr>
          <w:rFonts w:ascii="Book Antiqua" w:hAnsi="Book Antiqua"/>
          <w:vertAlign w:val="superscript"/>
          <w:lang w:val="en-US"/>
        </w:rPr>
        <w:t>1</w:t>
      </w:r>
      <w:r w:rsidR="00D42D84" w:rsidRPr="005E4B56">
        <w:rPr>
          <w:rFonts w:ascii="Book Antiqua" w:eastAsia="宋体" w:hAnsi="Book Antiqua"/>
          <w:vertAlign w:val="superscript"/>
          <w:lang w:val="en-US" w:eastAsia="zh-CN"/>
        </w:rPr>
        <w:t>4]</w:t>
      </w:r>
      <w:r w:rsidRPr="005E4B56">
        <w:rPr>
          <w:rFonts w:ascii="Book Antiqua" w:hAnsi="Book Antiqua"/>
          <w:lang w:val="en-US"/>
        </w:rPr>
        <w:t>.</w:t>
      </w:r>
    </w:p>
    <w:p w:rsidR="006D2E0A" w:rsidRPr="005E4B56" w:rsidRDefault="004D3393" w:rsidP="00D42D84">
      <w:pPr>
        <w:spacing w:line="360" w:lineRule="auto"/>
        <w:ind w:firstLineChars="200" w:firstLine="480"/>
        <w:jc w:val="both"/>
        <w:rPr>
          <w:rFonts w:ascii="Book Antiqua" w:hAnsi="Book Antiqua"/>
          <w:lang w:val="en-US"/>
        </w:rPr>
      </w:pPr>
      <w:r w:rsidRPr="005E4B56">
        <w:rPr>
          <w:rFonts w:ascii="Book Antiqua" w:hAnsi="Book Antiqua"/>
          <w:lang w:val="en-US"/>
        </w:rPr>
        <w:t xml:space="preserve">These issues can be overridden in at least two ways. </w:t>
      </w:r>
      <w:r w:rsidR="00EF5C4E" w:rsidRPr="005E4B56">
        <w:rPr>
          <w:rFonts w:ascii="Book Antiqua" w:hAnsi="Book Antiqua"/>
          <w:lang w:val="en-US"/>
        </w:rPr>
        <w:t>First</w:t>
      </w:r>
      <w:r w:rsidRPr="005E4B56">
        <w:rPr>
          <w:rFonts w:ascii="Book Antiqua" w:hAnsi="Book Antiqua"/>
          <w:lang w:val="en-US"/>
        </w:rPr>
        <w:t>, there is strong evidence that thoracic aorta calcifications are strongly linked with coronary artery calcifications</w:t>
      </w:r>
      <w:r w:rsidR="00EF5C4E" w:rsidRPr="005E4B56">
        <w:rPr>
          <w:rFonts w:ascii="Book Antiqua" w:hAnsi="Book Antiqua"/>
          <w:lang w:val="en-US"/>
        </w:rPr>
        <w:t xml:space="preserve"> </w:t>
      </w:r>
      <w:proofErr w:type="gramStart"/>
      <w:r w:rsidR="00C71A11" w:rsidRPr="005E4B56">
        <w:rPr>
          <w:rFonts w:ascii="Book Antiqua" w:hAnsi="Book Antiqua"/>
          <w:lang w:val="en-US"/>
        </w:rPr>
        <w:t>score</w:t>
      </w:r>
      <w:r w:rsidR="00D42D84" w:rsidRPr="005E4B56">
        <w:rPr>
          <w:rFonts w:ascii="Book Antiqua" w:eastAsia="宋体" w:hAnsi="Book Antiqua"/>
          <w:vertAlign w:val="superscript"/>
          <w:lang w:val="en-US" w:eastAsia="zh-CN"/>
        </w:rPr>
        <w:t>[</w:t>
      </w:r>
      <w:proofErr w:type="gramEnd"/>
      <w:r w:rsidR="00D42D84" w:rsidRPr="005E4B56">
        <w:rPr>
          <w:rFonts w:ascii="Book Antiqua" w:hAnsi="Book Antiqua"/>
          <w:vertAlign w:val="superscript"/>
          <w:lang w:val="en-US"/>
        </w:rPr>
        <w:t>1</w:t>
      </w:r>
      <w:r w:rsidR="00D42D84" w:rsidRPr="005E4B56">
        <w:rPr>
          <w:rFonts w:ascii="Book Antiqua" w:eastAsia="宋体" w:hAnsi="Book Antiqua"/>
          <w:vertAlign w:val="superscript"/>
          <w:lang w:val="en-US" w:eastAsia="zh-CN"/>
        </w:rPr>
        <w:t>9,20]</w:t>
      </w:r>
      <w:r w:rsidRPr="005E4B56">
        <w:rPr>
          <w:rFonts w:ascii="Book Antiqua" w:hAnsi="Book Antiqua"/>
          <w:lang w:val="en-US"/>
        </w:rPr>
        <w:t xml:space="preserve">; </w:t>
      </w:r>
      <w:r w:rsidR="00C71A11" w:rsidRPr="005E4B56">
        <w:rPr>
          <w:rFonts w:ascii="Book Antiqua" w:hAnsi="Book Antiqua"/>
          <w:lang w:val="en-US"/>
        </w:rPr>
        <w:t>moreover</w:t>
      </w:r>
      <w:r w:rsidR="00EF5C4E" w:rsidRPr="005E4B56">
        <w:rPr>
          <w:rFonts w:ascii="Book Antiqua" w:hAnsi="Book Antiqua"/>
          <w:lang w:val="en-US"/>
        </w:rPr>
        <w:t xml:space="preserve">, </w:t>
      </w:r>
      <w:r w:rsidRPr="005E4B56">
        <w:rPr>
          <w:rFonts w:ascii="Book Antiqua" w:hAnsi="Book Antiqua"/>
          <w:lang w:val="en-US"/>
        </w:rPr>
        <w:t xml:space="preserve">aortic lesions </w:t>
      </w:r>
      <w:r w:rsidR="00EF5C4E" w:rsidRPr="005E4B56">
        <w:rPr>
          <w:rFonts w:ascii="Book Antiqua" w:hAnsi="Book Antiqua"/>
          <w:lang w:val="en-US"/>
        </w:rPr>
        <w:t>have been shown to</w:t>
      </w:r>
      <w:r w:rsidRPr="005E4B56">
        <w:rPr>
          <w:rFonts w:ascii="Book Antiqua" w:hAnsi="Book Antiqua"/>
          <w:lang w:val="en-US"/>
        </w:rPr>
        <w:t xml:space="preserve"> </w:t>
      </w:r>
      <w:r w:rsidR="00EF5C4E" w:rsidRPr="005E4B56">
        <w:rPr>
          <w:rFonts w:ascii="Book Antiqua" w:hAnsi="Book Antiqua"/>
          <w:lang w:val="en-US"/>
        </w:rPr>
        <w:t xml:space="preserve">even </w:t>
      </w:r>
      <w:r w:rsidRPr="005E4B56">
        <w:rPr>
          <w:rFonts w:ascii="Book Antiqua" w:hAnsi="Book Antiqua"/>
          <w:lang w:val="en-US"/>
        </w:rPr>
        <w:t xml:space="preserve">precede those in the </w:t>
      </w:r>
      <w:proofErr w:type="spellStart"/>
      <w:r w:rsidRPr="005E4B56">
        <w:rPr>
          <w:rFonts w:ascii="Book Antiqua" w:hAnsi="Book Antiqua"/>
          <w:lang w:val="en-US"/>
        </w:rPr>
        <w:t>epicardial</w:t>
      </w:r>
      <w:proofErr w:type="spellEnd"/>
      <w:r w:rsidRPr="005E4B56">
        <w:rPr>
          <w:rFonts w:ascii="Book Antiqua" w:hAnsi="Book Antiqua"/>
          <w:lang w:val="en-US"/>
        </w:rPr>
        <w:t xml:space="preserve"> arteries</w:t>
      </w:r>
      <w:r w:rsidR="00D42D84" w:rsidRPr="005E4B56">
        <w:rPr>
          <w:rFonts w:ascii="Book Antiqua" w:eastAsia="宋体" w:hAnsi="Book Antiqua"/>
          <w:vertAlign w:val="superscript"/>
          <w:lang w:val="en-US" w:eastAsia="zh-CN"/>
        </w:rPr>
        <w:t>[21]</w:t>
      </w:r>
      <w:r w:rsidRPr="005E4B56">
        <w:rPr>
          <w:rFonts w:ascii="Book Antiqua" w:hAnsi="Book Antiqua"/>
          <w:lang w:val="en-US"/>
        </w:rPr>
        <w:t>.</w:t>
      </w:r>
      <w:r w:rsidR="006D2E0A" w:rsidRPr="005E4B56">
        <w:rPr>
          <w:rFonts w:ascii="Book Antiqua" w:hAnsi="Book Antiqua"/>
          <w:lang w:val="en-US"/>
        </w:rPr>
        <w:t xml:space="preserve"> </w:t>
      </w:r>
      <w:r w:rsidR="00EF5C4E" w:rsidRPr="005E4B56">
        <w:rPr>
          <w:rFonts w:ascii="Book Antiqua" w:hAnsi="Book Antiqua"/>
          <w:lang w:val="en-US"/>
        </w:rPr>
        <w:t>Thus, p</w:t>
      </w:r>
      <w:r w:rsidR="00DB251D" w:rsidRPr="005E4B56">
        <w:rPr>
          <w:rFonts w:ascii="Book Antiqua" w:hAnsi="Book Antiqua"/>
          <w:lang w:val="en-US"/>
        </w:rPr>
        <w:t>rocess</w:t>
      </w:r>
      <w:r w:rsidR="00A2563D" w:rsidRPr="005E4B56">
        <w:rPr>
          <w:rFonts w:ascii="Book Antiqua" w:hAnsi="Book Antiqua"/>
          <w:lang w:val="en-US"/>
        </w:rPr>
        <w:t>es</w:t>
      </w:r>
      <w:r w:rsidR="00DB251D" w:rsidRPr="005E4B56">
        <w:rPr>
          <w:rFonts w:ascii="Book Antiqua" w:hAnsi="Book Antiqua"/>
          <w:lang w:val="en-US"/>
        </w:rPr>
        <w:t xml:space="preserve"> underlying thoracic aorta mineral turnover could herald or mirror those observed in the coronary tree.</w:t>
      </w:r>
    </w:p>
    <w:p w:rsidR="00366294" w:rsidRPr="005E4B56" w:rsidRDefault="00C71A11" w:rsidP="00D42D84">
      <w:pPr>
        <w:spacing w:line="360" w:lineRule="auto"/>
        <w:ind w:firstLineChars="150" w:firstLine="360"/>
        <w:jc w:val="both"/>
        <w:rPr>
          <w:rFonts w:ascii="Book Antiqua" w:hAnsi="Book Antiqua"/>
          <w:lang w:val="en-US"/>
        </w:rPr>
      </w:pPr>
      <w:r w:rsidRPr="005E4B56">
        <w:rPr>
          <w:rFonts w:ascii="Book Antiqua" w:hAnsi="Book Antiqua"/>
          <w:lang w:val="en-US"/>
        </w:rPr>
        <w:t>Alternatively</w:t>
      </w:r>
      <w:r w:rsidR="00C8364A" w:rsidRPr="005E4B56">
        <w:rPr>
          <w:rFonts w:ascii="Book Antiqua" w:hAnsi="Book Antiqua"/>
          <w:lang w:val="en-US"/>
        </w:rPr>
        <w:t>,</w:t>
      </w:r>
      <w:r w:rsidR="00366294" w:rsidRPr="005E4B56">
        <w:rPr>
          <w:rFonts w:ascii="Book Antiqua" w:hAnsi="Book Antiqua"/>
          <w:lang w:val="en-US"/>
        </w:rPr>
        <w:t xml:space="preserve"> cardiac</w:t>
      </w:r>
      <w:r w:rsidR="00C8364A" w:rsidRPr="005E4B56">
        <w:rPr>
          <w:rFonts w:ascii="Book Antiqua" w:hAnsi="Book Antiqua"/>
          <w:lang w:val="en-US"/>
        </w:rPr>
        <w:t xml:space="preserve"> </w:t>
      </w:r>
      <w:r w:rsidR="00366294" w:rsidRPr="005E4B56">
        <w:rPr>
          <w:rFonts w:ascii="Book Antiqua" w:hAnsi="Book Antiqua"/>
          <w:lang w:val="en-US"/>
        </w:rPr>
        <w:t xml:space="preserve">fluoride deposition could be measured on the entire myocardium, as proposed by </w:t>
      </w:r>
      <w:proofErr w:type="spellStart"/>
      <w:r w:rsidR="00366294" w:rsidRPr="005E4B56">
        <w:rPr>
          <w:rFonts w:ascii="Book Antiqua" w:hAnsi="Book Antiqua"/>
          <w:lang w:val="en-US"/>
        </w:rPr>
        <w:t>Beheshti</w:t>
      </w:r>
      <w:proofErr w:type="spellEnd"/>
      <w:r w:rsidR="00366294" w:rsidRPr="005E4B56">
        <w:rPr>
          <w:rFonts w:ascii="Book Antiqua" w:hAnsi="Book Antiqua"/>
          <w:lang w:val="en-US"/>
        </w:rPr>
        <w:t xml:space="preserve"> </w:t>
      </w:r>
      <w:r w:rsidR="00366294" w:rsidRPr="005E4B56">
        <w:rPr>
          <w:rFonts w:ascii="Book Antiqua" w:hAnsi="Book Antiqua"/>
          <w:i/>
          <w:lang w:val="en-US"/>
        </w:rPr>
        <w:t xml:space="preserve">et </w:t>
      </w:r>
      <w:proofErr w:type="gramStart"/>
      <w:r w:rsidR="00366294" w:rsidRPr="005E4B56">
        <w:rPr>
          <w:rFonts w:ascii="Book Antiqua" w:hAnsi="Book Antiqua"/>
          <w:i/>
          <w:lang w:val="en-US"/>
        </w:rPr>
        <w:t>al</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22]</w:t>
      </w:r>
      <w:r w:rsidR="00366294" w:rsidRPr="005E4B56">
        <w:rPr>
          <w:rFonts w:ascii="Book Antiqua" w:hAnsi="Book Antiqua"/>
          <w:lang w:val="en-US"/>
        </w:rPr>
        <w:t xml:space="preserve">, thus </w:t>
      </w:r>
      <w:r w:rsidR="00E3676B" w:rsidRPr="005E4B56">
        <w:rPr>
          <w:rFonts w:ascii="Book Antiqua" w:hAnsi="Book Antiqua"/>
          <w:lang w:val="en-US"/>
        </w:rPr>
        <w:t>including in the semi-quantitative analysis both the contribution from major vessel</w:t>
      </w:r>
      <w:r w:rsidR="00EF5C4E" w:rsidRPr="005E4B56">
        <w:rPr>
          <w:rFonts w:ascii="Book Antiqua" w:hAnsi="Book Antiqua"/>
          <w:lang w:val="en-US"/>
        </w:rPr>
        <w:t>s</w:t>
      </w:r>
      <w:r w:rsidR="00E3676B" w:rsidRPr="005E4B56">
        <w:rPr>
          <w:rFonts w:ascii="Book Antiqua" w:hAnsi="Book Antiqua"/>
          <w:lang w:val="en-US"/>
        </w:rPr>
        <w:t xml:space="preserve"> and the signal from</w:t>
      </w:r>
      <w:r w:rsidR="00366294" w:rsidRPr="005E4B56">
        <w:rPr>
          <w:rFonts w:ascii="Book Antiqua" w:hAnsi="Book Antiqua"/>
          <w:lang w:val="en-US"/>
        </w:rPr>
        <w:t xml:space="preserve"> </w:t>
      </w:r>
      <w:r w:rsidR="00E3676B" w:rsidRPr="005E4B56">
        <w:rPr>
          <w:rFonts w:ascii="Book Antiqua" w:hAnsi="Book Antiqua"/>
          <w:lang w:val="en-US"/>
        </w:rPr>
        <w:t>the microvasculature</w:t>
      </w:r>
      <w:r w:rsidR="00366294" w:rsidRPr="005E4B56">
        <w:rPr>
          <w:rFonts w:ascii="Book Antiqua" w:hAnsi="Book Antiqua"/>
          <w:lang w:val="en-US"/>
        </w:rPr>
        <w:t>. This approach could limit the impact of smear artifacts due to cardiac motion and small vessel diameter.</w:t>
      </w:r>
    </w:p>
    <w:p w:rsidR="00F514CE" w:rsidRPr="005E4B56" w:rsidRDefault="00366294" w:rsidP="00D42D84">
      <w:pPr>
        <w:spacing w:line="360" w:lineRule="auto"/>
        <w:ind w:firstLineChars="200" w:firstLine="480"/>
        <w:jc w:val="both"/>
        <w:rPr>
          <w:rFonts w:ascii="Book Antiqua" w:hAnsi="Book Antiqua"/>
          <w:lang w:val="en-US"/>
        </w:rPr>
      </w:pPr>
      <w:r w:rsidRPr="005E4B56">
        <w:rPr>
          <w:rFonts w:ascii="Book Antiqua" w:hAnsi="Book Antiqua"/>
          <w:lang w:val="en-US"/>
        </w:rPr>
        <w:t xml:space="preserve">In the present study, we analyze the correlation </w:t>
      </w:r>
      <w:r w:rsidR="00D3696E" w:rsidRPr="005E4B56">
        <w:rPr>
          <w:rFonts w:ascii="Book Antiqua" w:hAnsi="Book Antiqua"/>
          <w:lang w:val="en-US"/>
        </w:rPr>
        <w:t>between clinical CV</w:t>
      </w:r>
      <w:r w:rsidR="00EF5C4E" w:rsidRPr="005E4B56">
        <w:rPr>
          <w:rFonts w:ascii="Book Antiqua" w:hAnsi="Book Antiqua"/>
          <w:lang w:val="en-US"/>
        </w:rPr>
        <w:t>R</w:t>
      </w:r>
      <w:r w:rsidRPr="005E4B56">
        <w:rPr>
          <w:rFonts w:ascii="Book Antiqua" w:hAnsi="Book Antiqua"/>
          <w:lang w:val="en-US"/>
        </w:rPr>
        <w:t xml:space="preserve"> </w:t>
      </w:r>
      <w:r w:rsidR="00D3696E" w:rsidRPr="005E4B56">
        <w:rPr>
          <w:rFonts w:ascii="Book Antiqua" w:hAnsi="Book Antiqua"/>
          <w:lang w:val="en-US"/>
        </w:rPr>
        <w:t>score and two indexes</w:t>
      </w:r>
      <w:r w:rsidR="00EF5C4E" w:rsidRPr="005E4B56">
        <w:rPr>
          <w:rFonts w:ascii="Book Antiqua" w:hAnsi="Book Antiqua"/>
          <w:lang w:val="en-US"/>
        </w:rPr>
        <w:t xml:space="preserve"> of </w:t>
      </w:r>
      <w:r w:rsidR="00D3696E" w:rsidRPr="005E4B56">
        <w:rPr>
          <w:rFonts w:ascii="Book Antiqua" w:hAnsi="Book Antiqua"/>
          <w:lang w:val="en-US"/>
        </w:rPr>
        <w:t xml:space="preserve">thoracic aorta and global cardiac </w:t>
      </w:r>
      <w:r w:rsidR="00EF5C4E" w:rsidRPr="005E4B56">
        <w:rPr>
          <w:rFonts w:ascii="Book Antiqua" w:hAnsi="Book Antiqua"/>
          <w:lang w:val="en-US"/>
        </w:rPr>
        <w:t xml:space="preserve">18F-NaF </w:t>
      </w:r>
      <w:r w:rsidR="00D3696E" w:rsidRPr="005E4B56">
        <w:rPr>
          <w:rFonts w:ascii="Book Antiqua" w:hAnsi="Book Antiqua"/>
          <w:lang w:val="en-US"/>
        </w:rPr>
        <w:t xml:space="preserve">uptake, aiming to test the feasibility </w:t>
      </w:r>
      <w:r w:rsidR="00EF5C4E" w:rsidRPr="005E4B56">
        <w:rPr>
          <w:rFonts w:ascii="Book Antiqua" w:hAnsi="Book Antiqua"/>
          <w:lang w:val="en-US"/>
        </w:rPr>
        <w:t xml:space="preserve">of their use </w:t>
      </w:r>
      <w:r w:rsidR="00D3696E" w:rsidRPr="005E4B56">
        <w:rPr>
          <w:rFonts w:ascii="Book Antiqua" w:hAnsi="Book Antiqua"/>
          <w:lang w:val="en-US"/>
        </w:rPr>
        <w:t xml:space="preserve">as surrogate markers of </w:t>
      </w:r>
      <w:r w:rsidR="00EF5C4E" w:rsidRPr="005E4B56">
        <w:rPr>
          <w:rFonts w:ascii="Book Antiqua" w:hAnsi="Book Antiqua"/>
          <w:lang w:val="en-US"/>
        </w:rPr>
        <w:t>CVR</w:t>
      </w:r>
      <w:r w:rsidR="00D3696E" w:rsidRPr="005E4B56">
        <w:rPr>
          <w:rFonts w:ascii="Book Antiqua" w:hAnsi="Book Antiqua"/>
          <w:lang w:val="en-US"/>
        </w:rPr>
        <w:t>.</w:t>
      </w:r>
    </w:p>
    <w:p w:rsidR="00F514CE" w:rsidRPr="005E4B56" w:rsidRDefault="00F514CE" w:rsidP="00DE494F">
      <w:pPr>
        <w:spacing w:line="360" w:lineRule="auto"/>
        <w:jc w:val="both"/>
        <w:rPr>
          <w:rFonts w:ascii="Book Antiqua" w:hAnsi="Book Antiqua"/>
          <w:b/>
          <w:lang w:val="en-US"/>
        </w:rPr>
      </w:pPr>
    </w:p>
    <w:p w:rsidR="00F514CE" w:rsidRPr="005E4B56" w:rsidRDefault="00D42D84" w:rsidP="00DE494F">
      <w:pPr>
        <w:spacing w:line="360" w:lineRule="auto"/>
        <w:jc w:val="both"/>
        <w:rPr>
          <w:rFonts w:ascii="Book Antiqua" w:hAnsi="Book Antiqua"/>
          <w:b/>
          <w:lang w:val="en-US"/>
        </w:rPr>
      </w:pPr>
      <w:r w:rsidRPr="005E4B56">
        <w:rPr>
          <w:rFonts w:ascii="Book Antiqua" w:hAnsi="Book Antiqua"/>
          <w:b/>
          <w:lang w:val="en-US"/>
        </w:rPr>
        <w:t>MATERIALS AND METHODS</w:t>
      </w:r>
    </w:p>
    <w:p w:rsidR="006D316A" w:rsidRPr="005E4B56" w:rsidRDefault="006D316A" w:rsidP="00DE494F">
      <w:pPr>
        <w:spacing w:line="360" w:lineRule="auto"/>
        <w:jc w:val="both"/>
        <w:rPr>
          <w:rFonts w:ascii="Book Antiqua" w:hAnsi="Book Antiqua"/>
          <w:b/>
          <w:i/>
          <w:lang w:val="en-US"/>
        </w:rPr>
      </w:pPr>
      <w:proofErr w:type="gramStart"/>
      <w:r w:rsidRPr="005E4B56">
        <w:rPr>
          <w:rFonts w:ascii="Book Antiqua" w:hAnsi="Book Antiqua"/>
          <w:b/>
          <w:i/>
          <w:lang w:val="en-US"/>
        </w:rPr>
        <w:t>Patients</w:t>
      </w:r>
      <w:proofErr w:type="gramEnd"/>
      <w:r w:rsidRPr="005E4B56">
        <w:rPr>
          <w:rFonts w:ascii="Book Antiqua" w:hAnsi="Book Antiqua"/>
          <w:b/>
          <w:i/>
          <w:lang w:val="en-US"/>
        </w:rPr>
        <w:t xml:space="preserve"> </w:t>
      </w:r>
      <w:r w:rsidR="00D42D84" w:rsidRPr="005E4B56">
        <w:rPr>
          <w:rFonts w:ascii="Book Antiqua" w:hAnsi="Book Antiqua"/>
          <w:b/>
          <w:i/>
          <w:lang w:val="en-US"/>
        </w:rPr>
        <w:t>population</w:t>
      </w:r>
    </w:p>
    <w:p w:rsidR="006D316A" w:rsidRPr="005E4B56" w:rsidRDefault="00CF605E" w:rsidP="00DE494F">
      <w:pPr>
        <w:spacing w:line="360" w:lineRule="auto"/>
        <w:jc w:val="both"/>
        <w:rPr>
          <w:rFonts w:ascii="Book Antiqua" w:hAnsi="Book Antiqua"/>
          <w:lang w:val="en-US"/>
        </w:rPr>
      </w:pPr>
      <w:r w:rsidRPr="005E4B56">
        <w:rPr>
          <w:rFonts w:ascii="Book Antiqua" w:hAnsi="Book Antiqua"/>
          <w:lang w:val="en-US"/>
        </w:rPr>
        <w:t>The</w:t>
      </w:r>
      <w:r w:rsidR="006D316A" w:rsidRPr="005E4B56">
        <w:rPr>
          <w:rFonts w:ascii="Book Antiqua" w:hAnsi="Book Antiqua"/>
          <w:lang w:val="en-US"/>
        </w:rPr>
        <w:t xml:space="preserve"> study included </w:t>
      </w:r>
      <w:r w:rsidR="00E50D2B" w:rsidRPr="005E4B56">
        <w:rPr>
          <w:rFonts w:ascii="Book Antiqua" w:hAnsi="Book Antiqua"/>
          <w:lang w:val="en-US"/>
        </w:rPr>
        <w:t>78</w:t>
      </w:r>
      <w:r w:rsidR="006D316A" w:rsidRPr="005E4B56">
        <w:rPr>
          <w:rFonts w:ascii="Book Antiqua" w:hAnsi="Book Antiqua"/>
          <w:lang w:val="en-US"/>
        </w:rPr>
        <w:t xml:space="preserve"> patients with either breast or prostate cancer (</w:t>
      </w:r>
      <w:r w:rsidR="00E50D2B" w:rsidRPr="005E4B56">
        <w:rPr>
          <w:rFonts w:ascii="Book Antiqua" w:hAnsi="Book Antiqua"/>
          <w:lang w:val="en-US"/>
        </w:rPr>
        <w:t>44</w:t>
      </w:r>
      <w:r w:rsidR="006D316A" w:rsidRPr="005E4B56">
        <w:rPr>
          <w:rFonts w:ascii="Book Antiqua" w:hAnsi="Book Antiqua"/>
          <w:lang w:val="en-US"/>
        </w:rPr>
        <w:t xml:space="preserve"> </w:t>
      </w:r>
      <w:r w:rsidR="00E50D2B" w:rsidRPr="005E4B56">
        <w:rPr>
          <w:rFonts w:ascii="Book Antiqua" w:hAnsi="Book Antiqua"/>
          <w:lang w:val="en-US"/>
        </w:rPr>
        <w:t>females, mean age 63</w:t>
      </w:r>
      <w:r w:rsidR="007A73CA" w:rsidRPr="005E4B56">
        <w:rPr>
          <w:rFonts w:ascii="Book Antiqua" w:hAnsi="Book Antiqua"/>
          <w:lang w:val="en-US"/>
        </w:rPr>
        <w:t>.3</w:t>
      </w:r>
      <w:r w:rsidR="00D42D84" w:rsidRPr="005E4B56">
        <w:rPr>
          <w:rFonts w:ascii="Book Antiqua" w:eastAsia="宋体" w:hAnsi="Book Antiqua"/>
          <w:lang w:val="en-US" w:eastAsia="zh-CN"/>
        </w:rPr>
        <w:t xml:space="preserve"> </w:t>
      </w:r>
      <w:r w:rsidR="007A73CA" w:rsidRPr="005E4B56">
        <w:rPr>
          <w:rFonts w:ascii="Book Antiqua" w:hAnsi="Book Antiqua"/>
          <w:lang w:val="en-US"/>
        </w:rPr>
        <w:t>±</w:t>
      </w:r>
      <w:r w:rsidR="00D42D84" w:rsidRPr="005E4B56">
        <w:rPr>
          <w:rFonts w:ascii="Book Antiqua" w:eastAsia="宋体" w:hAnsi="Book Antiqua"/>
          <w:lang w:val="en-US" w:eastAsia="zh-CN"/>
        </w:rPr>
        <w:t xml:space="preserve"> </w:t>
      </w:r>
      <w:r w:rsidR="007A73CA" w:rsidRPr="005E4B56">
        <w:rPr>
          <w:rFonts w:ascii="Book Antiqua" w:hAnsi="Book Antiqua"/>
          <w:lang w:val="en-US"/>
        </w:rPr>
        <w:t>8.2 range 44-83</w:t>
      </w:r>
      <w:r w:rsidR="006D316A" w:rsidRPr="005E4B56">
        <w:rPr>
          <w:rFonts w:ascii="Book Antiqua" w:hAnsi="Book Antiqua"/>
          <w:lang w:val="en-US"/>
        </w:rPr>
        <w:t>) undergoing 18F-NaF PET/CT scan for evaluation of presence of bone metastases. Exclusion criteria included history of</w:t>
      </w:r>
      <w:r w:rsidRPr="005E4B56">
        <w:rPr>
          <w:rFonts w:ascii="Book Antiqua" w:hAnsi="Book Antiqua"/>
          <w:lang w:val="en-US"/>
        </w:rPr>
        <w:t xml:space="preserve"> major cardiac adverse events,</w:t>
      </w:r>
      <w:r w:rsidR="006D316A" w:rsidRPr="005E4B56">
        <w:rPr>
          <w:rFonts w:ascii="Book Antiqua" w:hAnsi="Book Antiqua"/>
          <w:lang w:val="en-US"/>
        </w:rPr>
        <w:t xml:space="preserve"> vasculitis, autoimmune or systemic inflammatory disease or chemotherapy in the preceding 8 </w:t>
      </w:r>
      <w:proofErr w:type="spellStart"/>
      <w:r w:rsidR="00D42D84" w:rsidRPr="005E4B56">
        <w:rPr>
          <w:rFonts w:ascii="Book Antiqua" w:eastAsia="宋体" w:hAnsi="Book Antiqua"/>
          <w:lang w:val="en-US" w:eastAsia="zh-CN"/>
        </w:rPr>
        <w:t>wk</w:t>
      </w:r>
      <w:proofErr w:type="spellEnd"/>
      <w:r w:rsidR="006D316A" w:rsidRPr="005E4B56">
        <w:rPr>
          <w:rFonts w:ascii="Book Antiqua" w:hAnsi="Book Antiqua"/>
          <w:lang w:val="en-US"/>
        </w:rPr>
        <w:t xml:space="preserve">, as previously </w:t>
      </w:r>
      <w:proofErr w:type="gramStart"/>
      <w:r w:rsidR="006D316A" w:rsidRPr="005E4B56">
        <w:rPr>
          <w:rFonts w:ascii="Book Antiqua" w:hAnsi="Book Antiqua"/>
          <w:lang w:val="en-US"/>
        </w:rPr>
        <w:t>proposed</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8]</w:t>
      </w:r>
      <w:r w:rsidR="006D316A" w:rsidRPr="005E4B56">
        <w:rPr>
          <w:rFonts w:ascii="Book Antiqua" w:hAnsi="Book Antiqua"/>
          <w:lang w:val="en-US"/>
        </w:rPr>
        <w:t>. Cardiovascular risk stratification was performed according to a simplified version of the Framingham model (including Age, Diabetes, Smoking, Systolic Bloo</w:t>
      </w:r>
      <w:r w:rsidRPr="005E4B56">
        <w:rPr>
          <w:rFonts w:ascii="Book Antiqua" w:hAnsi="Book Antiqua"/>
          <w:lang w:val="en-US"/>
        </w:rPr>
        <w:t>d Pressure and BMI)</w:t>
      </w:r>
      <w:r w:rsidR="00D42D84" w:rsidRPr="005E4B56">
        <w:rPr>
          <w:rFonts w:ascii="Book Antiqua" w:eastAsia="宋体" w:hAnsi="Book Antiqua"/>
          <w:vertAlign w:val="superscript"/>
          <w:lang w:val="en-US" w:eastAsia="zh-CN"/>
        </w:rPr>
        <w:t>[4]</w:t>
      </w:r>
      <w:r w:rsidR="006D316A" w:rsidRPr="005E4B56">
        <w:rPr>
          <w:rFonts w:ascii="Book Antiqua" w:hAnsi="Book Antiqua"/>
          <w:lang w:val="en-US"/>
        </w:rPr>
        <w:t>. According to the Framingham score, the whole study group was subdivided into three risk categories: high (&gt;</w:t>
      </w:r>
      <w:r w:rsidR="00D42D84" w:rsidRPr="005E4B56">
        <w:rPr>
          <w:rFonts w:ascii="Book Antiqua" w:eastAsia="宋体" w:hAnsi="Book Antiqua"/>
          <w:lang w:val="en-US" w:eastAsia="zh-CN"/>
        </w:rPr>
        <w:t xml:space="preserve"> </w:t>
      </w:r>
      <w:r w:rsidR="006D316A" w:rsidRPr="005E4B56">
        <w:rPr>
          <w:rFonts w:ascii="Book Antiqua" w:hAnsi="Book Antiqua"/>
          <w:lang w:val="en-US"/>
        </w:rPr>
        <w:t>20%), intermediate (</w:t>
      </w:r>
      <w:r w:rsidRPr="005E4B56">
        <w:rPr>
          <w:rFonts w:ascii="Book Antiqua" w:hAnsi="Book Antiqua"/>
          <w:lang w:val="en-US"/>
        </w:rPr>
        <w:t>10</w:t>
      </w:r>
      <w:r w:rsidR="00D42D84" w:rsidRPr="005E4B56">
        <w:rPr>
          <w:rFonts w:ascii="Book Antiqua" w:eastAsia="宋体" w:hAnsi="Book Antiqua"/>
          <w:lang w:val="en-US" w:eastAsia="zh-CN"/>
        </w:rPr>
        <w:t>%</w:t>
      </w:r>
      <w:r w:rsidRPr="005E4B56">
        <w:rPr>
          <w:rFonts w:ascii="Book Antiqua" w:hAnsi="Book Antiqua"/>
          <w:lang w:val="en-US"/>
        </w:rPr>
        <w:t xml:space="preserve"> </w:t>
      </w:r>
      <w:r w:rsidR="00D42D84" w:rsidRPr="005E4B56">
        <w:rPr>
          <w:rFonts w:ascii="Book Antiqua" w:eastAsia="宋体" w:hAnsi="Book Antiqua"/>
          <w:lang w:val="en-US" w:eastAsia="zh-CN"/>
        </w:rPr>
        <w:t>-</w:t>
      </w:r>
      <w:r w:rsidRPr="005E4B56">
        <w:rPr>
          <w:rFonts w:ascii="Book Antiqua" w:hAnsi="Book Antiqua"/>
          <w:lang w:val="en-US"/>
        </w:rPr>
        <w:t xml:space="preserve"> </w:t>
      </w:r>
      <w:r w:rsidR="006D316A" w:rsidRPr="005E4B56">
        <w:rPr>
          <w:rFonts w:ascii="Book Antiqua" w:hAnsi="Book Antiqua"/>
          <w:lang w:val="en-US"/>
        </w:rPr>
        <w:t>20%) and low (&lt;</w:t>
      </w:r>
      <w:r w:rsidR="00D42D84" w:rsidRPr="005E4B56">
        <w:rPr>
          <w:rFonts w:ascii="Book Antiqua" w:eastAsia="宋体" w:hAnsi="Book Antiqua"/>
          <w:lang w:val="en-US" w:eastAsia="zh-CN"/>
        </w:rPr>
        <w:t xml:space="preserve"> </w:t>
      </w:r>
      <w:r w:rsidR="006D316A" w:rsidRPr="005E4B56">
        <w:rPr>
          <w:rFonts w:ascii="Book Antiqua" w:hAnsi="Book Antiqua"/>
          <w:lang w:val="en-US"/>
        </w:rPr>
        <w:t xml:space="preserve">10%) risk of cardiovascular events in the next 10 years. </w:t>
      </w:r>
    </w:p>
    <w:p w:rsidR="006D316A" w:rsidRPr="005E4B56" w:rsidRDefault="006D316A" w:rsidP="00D42D84">
      <w:pPr>
        <w:spacing w:line="360" w:lineRule="auto"/>
        <w:ind w:firstLineChars="150" w:firstLine="360"/>
        <w:jc w:val="both"/>
        <w:rPr>
          <w:rFonts w:ascii="Book Antiqua" w:hAnsi="Book Antiqua"/>
          <w:lang w:val="en-US"/>
        </w:rPr>
      </w:pPr>
      <w:r w:rsidRPr="005E4B56">
        <w:rPr>
          <w:rFonts w:ascii="Book Antiqua" w:hAnsi="Book Antiqua"/>
          <w:lang w:val="en-US"/>
        </w:rPr>
        <w:t>Ongoing or previous treatment with statins was used as a further exclusion criterion to avoid influence of</w:t>
      </w:r>
      <w:r w:rsidR="00CF605E" w:rsidRPr="005E4B56">
        <w:rPr>
          <w:rFonts w:ascii="Book Antiqua" w:hAnsi="Book Antiqua"/>
          <w:lang w:val="en-US"/>
        </w:rPr>
        <w:t xml:space="preserve"> this treatment on the </w:t>
      </w:r>
      <w:proofErr w:type="gramStart"/>
      <w:r w:rsidR="00CF605E" w:rsidRPr="005E4B56">
        <w:rPr>
          <w:rFonts w:ascii="Book Antiqua" w:hAnsi="Book Antiqua"/>
          <w:lang w:val="en-US"/>
        </w:rPr>
        <w:t>results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5]</w:t>
      </w:r>
      <w:r w:rsidRPr="005E4B56">
        <w:rPr>
          <w:rFonts w:ascii="Book Antiqua" w:hAnsi="Book Antiqua"/>
          <w:lang w:val="en-US"/>
        </w:rPr>
        <w:t xml:space="preserve">. </w:t>
      </w:r>
      <w:r w:rsidR="00CF605E" w:rsidRPr="005E4B56">
        <w:rPr>
          <w:rFonts w:ascii="Book Antiqua" w:hAnsi="Book Antiqua"/>
          <w:lang w:val="en-US"/>
        </w:rPr>
        <w:t>The Internal Review Board evaluated and approved this retrospective study; all patients signed a written informed consent</w:t>
      </w:r>
      <w:r w:rsidRPr="005E4B56">
        <w:rPr>
          <w:rFonts w:ascii="Book Antiqua" w:hAnsi="Book Antiqua"/>
          <w:lang w:val="en-US"/>
        </w:rPr>
        <w:t xml:space="preserve">. </w:t>
      </w:r>
    </w:p>
    <w:p w:rsidR="00CF605E" w:rsidRPr="005E4B56" w:rsidRDefault="00CF605E" w:rsidP="00DE494F">
      <w:pPr>
        <w:spacing w:line="360" w:lineRule="auto"/>
        <w:jc w:val="both"/>
        <w:rPr>
          <w:rFonts w:ascii="Book Antiqua" w:hAnsi="Book Antiqua"/>
          <w:lang w:val="en-US"/>
        </w:rPr>
      </w:pPr>
    </w:p>
    <w:p w:rsidR="006D316A" w:rsidRPr="005E4B56" w:rsidRDefault="006D316A" w:rsidP="00DE494F">
      <w:pPr>
        <w:spacing w:line="360" w:lineRule="auto"/>
        <w:jc w:val="both"/>
        <w:rPr>
          <w:rFonts w:ascii="Book Antiqua" w:hAnsi="Book Antiqua"/>
          <w:b/>
          <w:i/>
          <w:lang w:val="en-US"/>
        </w:rPr>
      </w:pPr>
      <w:r w:rsidRPr="005E4B56">
        <w:rPr>
          <w:rFonts w:ascii="Book Antiqua" w:hAnsi="Book Antiqua"/>
          <w:b/>
          <w:i/>
          <w:lang w:val="en-US"/>
        </w:rPr>
        <w:lastRenderedPageBreak/>
        <w:t>18F-NaF PET acquisition and reconstruction</w:t>
      </w:r>
    </w:p>
    <w:p w:rsidR="00F514CE" w:rsidRPr="005E4B56" w:rsidRDefault="006D316A" w:rsidP="00DE494F">
      <w:pPr>
        <w:spacing w:line="360" w:lineRule="auto"/>
        <w:jc w:val="both"/>
        <w:rPr>
          <w:rFonts w:ascii="Book Antiqua" w:hAnsi="Book Antiqua"/>
          <w:lang w:val="en-US"/>
        </w:rPr>
      </w:pPr>
      <w:r w:rsidRPr="005E4B56">
        <w:rPr>
          <w:rFonts w:ascii="Book Antiqua" w:hAnsi="Book Antiqua"/>
          <w:lang w:val="en-US"/>
        </w:rPr>
        <w:t xml:space="preserve">Patients underwent 18F-NaF PET/CT using two 16 slices PET/CT hybrid systems: </w:t>
      </w:r>
      <w:r w:rsidR="00D42D84" w:rsidRPr="005E4B56">
        <w:rPr>
          <w:rFonts w:ascii="Book Antiqua" w:eastAsia="宋体" w:hAnsi="Book Antiqua"/>
          <w:lang w:val="en-US" w:eastAsia="zh-CN"/>
        </w:rPr>
        <w:t>(</w:t>
      </w:r>
      <w:r w:rsidRPr="005E4B56">
        <w:rPr>
          <w:rFonts w:ascii="Book Antiqua" w:hAnsi="Book Antiqua"/>
          <w:lang w:val="en-US"/>
        </w:rPr>
        <w:t xml:space="preserve">1) </w:t>
      </w:r>
      <w:r w:rsidR="00D42D84" w:rsidRPr="005E4B56">
        <w:rPr>
          <w:rFonts w:ascii="Book Antiqua" w:hAnsi="Book Antiqua"/>
          <w:lang w:val="en-US"/>
        </w:rPr>
        <w:t xml:space="preserve">biograph </w:t>
      </w:r>
      <w:r w:rsidRPr="005E4B56">
        <w:rPr>
          <w:rFonts w:ascii="Book Antiqua" w:hAnsi="Book Antiqua"/>
          <w:lang w:val="en-US"/>
        </w:rPr>
        <w:t xml:space="preserve">16 (Siemens Medical Solutions, Knoxville TN, </w:t>
      </w:r>
      <w:r w:rsidR="00D42D84" w:rsidRPr="005E4B56">
        <w:rPr>
          <w:rFonts w:ascii="Book Antiqua" w:hAnsi="Book Antiqua"/>
          <w:lang w:val="en-US"/>
        </w:rPr>
        <w:t>United States</w:t>
      </w:r>
      <w:r w:rsidRPr="005E4B56">
        <w:rPr>
          <w:rFonts w:ascii="Book Antiqua" w:hAnsi="Book Antiqua"/>
          <w:lang w:val="en-US"/>
        </w:rPr>
        <w:t xml:space="preserve">); </w:t>
      </w:r>
      <w:r w:rsidR="00D42D84" w:rsidRPr="005E4B56">
        <w:rPr>
          <w:rFonts w:ascii="Book Antiqua" w:eastAsia="宋体" w:hAnsi="Book Antiqua"/>
          <w:lang w:val="en-US" w:eastAsia="zh-CN"/>
        </w:rPr>
        <w:t>(</w:t>
      </w:r>
      <w:r w:rsidRPr="005E4B56">
        <w:rPr>
          <w:rFonts w:ascii="Book Antiqua" w:hAnsi="Book Antiqua"/>
          <w:lang w:val="en-US"/>
        </w:rPr>
        <w:t xml:space="preserve">2) </w:t>
      </w:r>
      <w:r w:rsidR="00D42D84" w:rsidRPr="005E4B56">
        <w:rPr>
          <w:rFonts w:ascii="Book Antiqua" w:hAnsi="Book Antiqua"/>
          <w:lang w:val="en-US"/>
        </w:rPr>
        <w:t xml:space="preserve">discovery </w:t>
      </w:r>
      <w:r w:rsidRPr="005E4B56">
        <w:rPr>
          <w:rFonts w:ascii="Book Antiqua" w:hAnsi="Book Antiqua"/>
          <w:lang w:val="en-US"/>
        </w:rPr>
        <w:t xml:space="preserve">LS (GE Medical Systems, Milwaukee, WI, </w:t>
      </w:r>
      <w:r w:rsidR="00D42D84" w:rsidRPr="005E4B56">
        <w:rPr>
          <w:rFonts w:ascii="Book Antiqua" w:hAnsi="Book Antiqua"/>
          <w:lang w:val="en-US"/>
        </w:rPr>
        <w:t>United States</w:t>
      </w:r>
      <w:r w:rsidRPr="005E4B56">
        <w:rPr>
          <w:rFonts w:ascii="Book Antiqua" w:hAnsi="Book Antiqua"/>
          <w:lang w:val="en-US"/>
        </w:rPr>
        <w:t>).</w:t>
      </w:r>
      <w:r w:rsidR="00F826EF" w:rsidRPr="005E4B56">
        <w:rPr>
          <w:rFonts w:ascii="Book Antiqua" w:hAnsi="Book Antiqua"/>
          <w:lang w:val="en-US"/>
        </w:rPr>
        <w:t xml:space="preserve"> In both cases patients received an intravenous bolus injection of 18F-NaF (4.8-5.2 </w:t>
      </w:r>
      <w:proofErr w:type="spellStart"/>
      <w:r w:rsidR="00F826EF" w:rsidRPr="005E4B56">
        <w:rPr>
          <w:rFonts w:ascii="Book Antiqua" w:hAnsi="Book Antiqua"/>
          <w:lang w:val="en-US"/>
        </w:rPr>
        <w:t>MBq</w:t>
      </w:r>
      <w:proofErr w:type="spellEnd"/>
      <w:r w:rsidR="00F826EF" w:rsidRPr="005E4B56">
        <w:rPr>
          <w:rFonts w:ascii="Book Antiqua" w:hAnsi="Book Antiqua"/>
          <w:lang w:val="en-US"/>
        </w:rPr>
        <w:t xml:space="preserve"> per kilogram of body weight). PET/CT acquisition started 60-75 </w:t>
      </w:r>
      <w:r w:rsidR="00D42D84" w:rsidRPr="005E4B56">
        <w:rPr>
          <w:rFonts w:ascii="Book Antiqua" w:eastAsia="宋体" w:hAnsi="Book Antiqua"/>
          <w:lang w:val="en-US" w:eastAsia="zh-CN"/>
        </w:rPr>
        <w:t>min</w:t>
      </w:r>
      <w:r w:rsidR="00F826EF" w:rsidRPr="005E4B56">
        <w:rPr>
          <w:rFonts w:ascii="Book Antiqua" w:hAnsi="Book Antiqua"/>
          <w:lang w:val="en-US"/>
        </w:rPr>
        <w:t xml:space="preserve"> thereafter, in the meantime the patient was hydrated and encouraged to void, as to diminish the unbound tracer fraction. The entire body was scanned from vertex to toes in an “arms down” position; emission scan lasted 120’’ per bed position. PET raw data were reconstructed by means of ordered subset expectation maximization (OSEM, 3 iterations, 16 subsets) and attenuation correction was performed using CT data. The </w:t>
      </w:r>
      <w:proofErr w:type="spellStart"/>
      <w:r w:rsidR="00F826EF" w:rsidRPr="005E4B56">
        <w:rPr>
          <w:rFonts w:ascii="Book Antiqua" w:hAnsi="Book Antiqua"/>
          <w:lang w:val="en-US"/>
        </w:rPr>
        <w:t>transaxial</w:t>
      </w:r>
      <w:proofErr w:type="spellEnd"/>
      <w:r w:rsidR="00F826EF" w:rsidRPr="005E4B56">
        <w:rPr>
          <w:rFonts w:ascii="Book Antiqua" w:hAnsi="Book Antiqua"/>
          <w:lang w:val="en-US"/>
        </w:rPr>
        <w:t xml:space="preserve"> field of view and pixel size of the reconstructed PET images were 58.5 cm and 4.57 mm, respectively, with a matrix size of 128×128.  As per standard PET/CT imaging protocol, 16-detector row helical CT scan was performed with non-diagnostic current and voltage settings (120 </w:t>
      </w:r>
      <w:proofErr w:type="spellStart"/>
      <w:r w:rsidR="00F826EF" w:rsidRPr="005E4B56">
        <w:rPr>
          <w:rFonts w:ascii="Book Antiqua" w:hAnsi="Book Antiqua"/>
          <w:lang w:val="en-US"/>
        </w:rPr>
        <w:t>Kv</w:t>
      </w:r>
      <w:proofErr w:type="spellEnd"/>
      <w:r w:rsidR="00F826EF" w:rsidRPr="005E4B56">
        <w:rPr>
          <w:rFonts w:ascii="Book Antiqua" w:hAnsi="Book Antiqua"/>
          <w:lang w:val="en-US"/>
        </w:rPr>
        <w:t>, 80 mA), with a gantry rotation speed of 0.5 s and table speed of 24 mm per gantry rotation. No contrast medium was injected. The entire CT dataset was fused with the 3-dimensional PET images using an integrated software interface (</w:t>
      </w:r>
      <w:proofErr w:type="spellStart"/>
      <w:r w:rsidR="00F826EF" w:rsidRPr="005E4B56">
        <w:rPr>
          <w:rFonts w:ascii="Book Antiqua" w:hAnsi="Book Antiqua"/>
          <w:lang w:val="en-US"/>
        </w:rPr>
        <w:t>Sy</w:t>
      </w:r>
      <w:r w:rsidR="00B04FA6" w:rsidRPr="005E4B56">
        <w:rPr>
          <w:rFonts w:ascii="Book Antiqua" w:hAnsi="Book Antiqua"/>
          <w:lang w:val="en-US"/>
        </w:rPr>
        <w:t>ngo</w:t>
      </w:r>
      <w:proofErr w:type="spellEnd"/>
      <w:r w:rsidR="00B04FA6" w:rsidRPr="005E4B56">
        <w:rPr>
          <w:rFonts w:ascii="Book Antiqua" w:hAnsi="Book Antiqua"/>
          <w:lang w:val="en-US"/>
        </w:rPr>
        <w:t>; Siemens Erlangen, Germany)</w:t>
      </w:r>
      <w:r w:rsidR="00F826EF" w:rsidRPr="005E4B56">
        <w:rPr>
          <w:rFonts w:ascii="Book Antiqua" w:hAnsi="Book Antiqua"/>
          <w:lang w:val="en-US"/>
        </w:rPr>
        <w:t xml:space="preserve"> </w:t>
      </w:r>
      <w:r w:rsidR="00B04FA6" w:rsidRPr="005E4B56">
        <w:rPr>
          <w:rFonts w:ascii="Book Antiqua" w:hAnsi="Book Antiqua"/>
          <w:lang w:val="en-US"/>
        </w:rPr>
        <w:t>and</w:t>
      </w:r>
      <w:r w:rsidR="00F826EF" w:rsidRPr="005E4B56">
        <w:rPr>
          <w:rFonts w:ascii="Book Antiqua" w:hAnsi="Book Antiqua"/>
          <w:lang w:val="en-US"/>
        </w:rPr>
        <w:t xml:space="preserve"> was used for anatomical </w:t>
      </w:r>
      <w:r w:rsidR="00B04FA6" w:rsidRPr="005E4B56">
        <w:rPr>
          <w:rFonts w:ascii="Book Antiqua" w:hAnsi="Book Antiqua"/>
          <w:lang w:val="en-US"/>
        </w:rPr>
        <w:t>localization</w:t>
      </w:r>
      <w:r w:rsidR="00F826EF" w:rsidRPr="005E4B56">
        <w:rPr>
          <w:rFonts w:ascii="Book Antiqua" w:hAnsi="Book Antiqua"/>
          <w:lang w:val="en-US"/>
        </w:rPr>
        <w:t>.</w:t>
      </w:r>
    </w:p>
    <w:p w:rsidR="00F826EF" w:rsidRPr="005E4B56" w:rsidRDefault="00F826EF" w:rsidP="00DE494F">
      <w:pPr>
        <w:spacing w:line="360" w:lineRule="auto"/>
        <w:jc w:val="both"/>
        <w:rPr>
          <w:rFonts w:ascii="Book Antiqua" w:hAnsi="Book Antiqua"/>
          <w:i/>
          <w:lang w:val="en-US"/>
        </w:rPr>
      </w:pPr>
    </w:p>
    <w:p w:rsidR="00F826EF" w:rsidRPr="005E4B56" w:rsidRDefault="00F826EF" w:rsidP="00DE494F">
      <w:pPr>
        <w:spacing w:line="360" w:lineRule="auto"/>
        <w:jc w:val="both"/>
        <w:rPr>
          <w:rFonts w:ascii="Book Antiqua" w:hAnsi="Book Antiqua"/>
          <w:b/>
          <w:i/>
          <w:lang w:val="en-US"/>
        </w:rPr>
      </w:pPr>
      <w:r w:rsidRPr="005E4B56">
        <w:rPr>
          <w:rFonts w:ascii="Book Antiqua" w:hAnsi="Book Antiqua"/>
          <w:b/>
          <w:i/>
          <w:lang w:val="en-US"/>
        </w:rPr>
        <w:t xml:space="preserve">Image </w:t>
      </w:r>
      <w:r w:rsidR="00D42D84" w:rsidRPr="005E4B56">
        <w:rPr>
          <w:rFonts w:ascii="Book Antiqua" w:hAnsi="Book Antiqua"/>
          <w:b/>
          <w:i/>
          <w:lang w:val="en-US"/>
        </w:rPr>
        <w:t>analysis</w:t>
      </w:r>
    </w:p>
    <w:p w:rsidR="00F826EF" w:rsidRPr="005E4B56" w:rsidRDefault="00F826EF" w:rsidP="00DE494F">
      <w:pPr>
        <w:spacing w:line="360" w:lineRule="auto"/>
        <w:jc w:val="both"/>
        <w:rPr>
          <w:rFonts w:ascii="Book Antiqua" w:hAnsi="Book Antiqua"/>
          <w:lang w:val="en-US"/>
        </w:rPr>
      </w:pPr>
      <w:r w:rsidRPr="005E4B56">
        <w:rPr>
          <w:rFonts w:ascii="Book Antiqua" w:hAnsi="Book Antiqua"/>
          <w:lang w:val="en-US"/>
        </w:rPr>
        <w:t>Reconstruc</w:t>
      </w:r>
      <w:r w:rsidR="00A742BD" w:rsidRPr="005E4B56">
        <w:rPr>
          <w:rFonts w:ascii="Book Antiqua" w:hAnsi="Book Antiqua"/>
          <w:lang w:val="en-US"/>
        </w:rPr>
        <w:t xml:space="preserve">ted images were anonymized and </w:t>
      </w:r>
      <w:r w:rsidRPr="005E4B56">
        <w:rPr>
          <w:rFonts w:ascii="Book Antiqua" w:hAnsi="Book Antiqua"/>
          <w:lang w:val="en-US"/>
        </w:rPr>
        <w:t>analyzed offline</w:t>
      </w:r>
      <w:r w:rsidR="004D54FA" w:rsidRPr="005E4B56">
        <w:rPr>
          <w:rFonts w:ascii="Book Antiqua" w:hAnsi="Book Antiqua"/>
          <w:lang w:val="en-US"/>
        </w:rPr>
        <w:t xml:space="preserve"> on a dedicated workstation, running a DICOM </w:t>
      </w:r>
      <w:r w:rsidR="00814E31" w:rsidRPr="005E4B56">
        <w:rPr>
          <w:rFonts w:ascii="Book Antiqua" w:hAnsi="Book Antiqua"/>
          <w:lang w:val="en-US"/>
        </w:rPr>
        <w:t>image visualizer (</w:t>
      </w:r>
      <w:proofErr w:type="spellStart"/>
      <w:r w:rsidR="00814E31" w:rsidRPr="005E4B56">
        <w:rPr>
          <w:rFonts w:ascii="Book Antiqua" w:hAnsi="Book Antiqua"/>
          <w:lang w:val="en-US"/>
        </w:rPr>
        <w:t>Osirix</w:t>
      </w:r>
      <w:proofErr w:type="spellEnd"/>
      <w:r w:rsidR="00814E31" w:rsidRPr="005E4B56">
        <w:rPr>
          <w:rFonts w:ascii="Book Antiqua" w:hAnsi="Book Antiqua"/>
          <w:lang w:val="en-US"/>
        </w:rPr>
        <w:t xml:space="preserve"> 64-bit, </w:t>
      </w:r>
      <w:proofErr w:type="spellStart"/>
      <w:r w:rsidR="00814E31" w:rsidRPr="005E4B56">
        <w:rPr>
          <w:rFonts w:ascii="Book Antiqua" w:hAnsi="Book Antiqua"/>
          <w:lang w:val="en-US"/>
        </w:rPr>
        <w:t>Pixmeo</w:t>
      </w:r>
      <w:proofErr w:type="spellEnd"/>
      <w:r w:rsidR="00814E31" w:rsidRPr="005E4B56">
        <w:rPr>
          <w:rFonts w:ascii="Book Antiqua" w:hAnsi="Book Antiqua"/>
          <w:lang w:val="en-US"/>
        </w:rPr>
        <w:t xml:space="preserve">, Geneva, CH). Volume of interest (VOI) were manually drawn on three segments of the thoracic aorta (ascending, arch, descending) using the co-registered CT images as anatomical reference and on the entire myocardium, as proposed by </w:t>
      </w:r>
      <w:proofErr w:type="spellStart"/>
      <w:r w:rsidR="00814E31" w:rsidRPr="005E4B56">
        <w:rPr>
          <w:rFonts w:ascii="Book Antiqua" w:hAnsi="Book Antiqua"/>
          <w:lang w:val="en-US"/>
        </w:rPr>
        <w:t>Beheshti</w:t>
      </w:r>
      <w:proofErr w:type="spellEnd"/>
      <w:r w:rsidR="00814E31" w:rsidRPr="005E4B56">
        <w:rPr>
          <w:rFonts w:ascii="Book Antiqua" w:hAnsi="Book Antiqua"/>
          <w:i/>
          <w:lang w:val="en-US"/>
        </w:rPr>
        <w:t xml:space="preserve"> et </w:t>
      </w:r>
      <w:proofErr w:type="gramStart"/>
      <w:r w:rsidR="00814E31" w:rsidRPr="005E4B56">
        <w:rPr>
          <w:rFonts w:ascii="Book Antiqua" w:hAnsi="Book Antiqua"/>
          <w:i/>
          <w:lang w:val="en-US"/>
        </w:rPr>
        <w:t>al</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22]</w:t>
      </w:r>
      <w:r w:rsidR="00814E31" w:rsidRPr="005E4B56">
        <w:rPr>
          <w:rFonts w:ascii="Book Antiqua" w:hAnsi="Book Antiqua"/>
          <w:lang w:val="en-US"/>
        </w:rPr>
        <w:t>.</w:t>
      </w:r>
      <w:r w:rsidR="00485779" w:rsidRPr="005E4B56">
        <w:rPr>
          <w:rFonts w:ascii="Book Antiqua" w:hAnsi="Book Antiqua"/>
          <w:lang w:val="en-US"/>
        </w:rPr>
        <w:t xml:space="preserve"> </w:t>
      </w:r>
      <w:r w:rsidR="005A479E" w:rsidRPr="005E4B56">
        <w:rPr>
          <w:rFonts w:ascii="Book Antiqua" w:hAnsi="Book Antiqua"/>
          <w:lang w:val="en-US"/>
        </w:rPr>
        <w:t>The three aortic segments were averaged to obtain the overall thoracic aorta uptake.</w:t>
      </w:r>
      <w:r w:rsidR="00814E31" w:rsidRPr="005E4B56">
        <w:rPr>
          <w:rFonts w:ascii="Book Antiqua" w:hAnsi="Book Antiqua"/>
          <w:lang w:val="en-US"/>
        </w:rPr>
        <w:t xml:space="preserve"> See </w:t>
      </w:r>
      <w:r w:rsidR="00A12A24" w:rsidRPr="005E4B56">
        <w:rPr>
          <w:rFonts w:ascii="Book Antiqua" w:hAnsi="Book Antiqua"/>
          <w:lang w:val="en-US"/>
        </w:rPr>
        <w:t xml:space="preserve">Figure </w:t>
      </w:r>
      <w:r w:rsidR="00814E31" w:rsidRPr="005E4B56">
        <w:rPr>
          <w:rFonts w:ascii="Book Antiqua" w:hAnsi="Book Antiqua"/>
          <w:lang w:val="en-US"/>
        </w:rPr>
        <w:t>1 for an example of VOI generation. Average</w:t>
      </w:r>
      <w:r w:rsidR="002A4CA9" w:rsidRPr="005E4B56">
        <w:rPr>
          <w:rFonts w:ascii="Book Antiqua" w:hAnsi="Book Antiqua"/>
          <w:lang w:val="en-US"/>
        </w:rPr>
        <w:t xml:space="preserve"> standardized uptake value</w:t>
      </w:r>
      <w:r w:rsidR="00814E31" w:rsidRPr="005E4B56">
        <w:rPr>
          <w:rFonts w:ascii="Book Antiqua" w:hAnsi="Book Antiqua"/>
          <w:lang w:val="en-US"/>
        </w:rPr>
        <w:t xml:space="preserve"> </w:t>
      </w:r>
      <w:r w:rsidR="002A4CA9" w:rsidRPr="005E4B56">
        <w:rPr>
          <w:rFonts w:ascii="Book Antiqua" w:hAnsi="Book Antiqua"/>
          <w:lang w:val="en-US"/>
        </w:rPr>
        <w:t>(</w:t>
      </w:r>
      <w:r w:rsidR="00814E31" w:rsidRPr="005E4B56">
        <w:rPr>
          <w:rFonts w:ascii="Book Antiqua" w:hAnsi="Book Antiqua"/>
          <w:lang w:val="en-US"/>
        </w:rPr>
        <w:t>SUV</w:t>
      </w:r>
      <w:r w:rsidR="002A4CA9" w:rsidRPr="005E4B56">
        <w:rPr>
          <w:rFonts w:ascii="Book Antiqua" w:hAnsi="Book Antiqua"/>
          <w:lang w:val="en-US"/>
        </w:rPr>
        <w:t>)</w:t>
      </w:r>
      <w:r w:rsidR="00814E31" w:rsidRPr="005E4B56">
        <w:rPr>
          <w:rFonts w:ascii="Book Antiqua" w:hAnsi="Book Antiqua"/>
          <w:lang w:val="en-US"/>
        </w:rPr>
        <w:t xml:space="preserve"> was calculated and then normalized for background activity, obtained as mean SUV of a 10-slice thick VOI drawn on the inferior vena cava</w:t>
      </w:r>
      <w:r w:rsidR="00D43D3E" w:rsidRPr="005E4B56">
        <w:rPr>
          <w:rFonts w:ascii="Book Antiqua" w:hAnsi="Book Antiqua"/>
          <w:lang w:val="en-US"/>
        </w:rPr>
        <w:t>.</w:t>
      </w:r>
      <w:r w:rsidR="00814E31" w:rsidRPr="005E4B56">
        <w:rPr>
          <w:rFonts w:ascii="Book Antiqua" w:hAnsi="Book Antiqua"/>
          <w:lang w:val="en-US"/>
        </w:rPr>
        <w:t xml:space="preserve"> </w:t>
      </w:r>
      <w:r w:rsidR="00D43D3E" w:rsidRPr="005E4B56">
        <w:rPr>
          <w:rFonts w:ascii="Book Antiqua" w:hAnsi="Book Antiqua"/>
          <w:lang w:val="en-US"/>
        </w:rPr>
        <w:t>R</w:t>
      </w:r>
      <w:r w:rsidR="00814E31" w:rsidRPr="005E4B56">
        <w:rPr>
          <w:rFonts w:ascii="Book Antiqua" w:hAnsi="Book Antiqua"/>
          <w:lang w:val="en-US"/>
        </w:rPr>
        <w:t>esulting figure was labeled target-to-background ratio (TBR)</w:t>
      </w:r>
      <w:proofErr w:type="gramStart"/>
      <w:r w:rsidR="00485779" w:rsidRPr="005E4B56">
        <w:rPr>
          <w:rFonts w:ascii="Book Antiqua" w:hAnsi="Book Antiqua"/>
          <w:lang w:val="en-US"/>
        </w:rPr>
        <w:t>;  myocardial</w:t>
      </w:r>
      <w:proofErr w:type="gramEnd"/>
      <w:r w:rsidR="00485779" w:rsidRPr="005E4B56">
        <w:rPr>
          <w:rFonts w:ascii="Book Antiqua" w:hAnsi="Book Antiqua"/>
          <w:lang w:val="en-US"/>
        </w:rPr>
        <w:t xml:space="preserve"> uptake was defined Normalized Global Molecular Calcification Score (NGMCS), as proposed</w:t>
      </w:r>
      <w:r w:rsidR="00D42D84" w:rsidRPr="005E4B56">
        <w:rPr>
          <w:rFonts w:ascii="Book Antiqua" w:eastAsia="宋体" w:hAnsi="Book Antiqua"/>
          <w:vertAlign w:val="superscript"/>
          <w:lang w:val="en-US" w:eastAsia="zh-CN"/>
        </w:rPr>
        <w:t>[22]</w:t>
      </w:r>
      <w:r w:rsidR="00485779" w:rsidRPr="005E4B56">
        <w:rPr>
          <w:rFonts w:ascii="Book Antiqua" w:hAnsi="Book Antiqua"/>
          <w:lang w:val="en-US"/>
        </w:rPr>
        <w:t>.</w:t>
      </w:r>
    </w:p>
    <w:p w:rsidR="00391BDB" w:rsidRPr="005E4B56" w:rsidRDefault="00391BDB" w:rsidP="00DE494F">
      <w:pPr>
        <w:spacing w:line="360" w:lineRule="auto"/>
        <w:jc w:val="both"/>
        <w:rPr>
          <w:rFonts w:ascii="Book Antiqua" w:hAnsi="Book Antiqua"/>
          <w:i/>
          <w:lang w:val="en-US"/>
        </w:rPr>
      </w:pPr>
    </w:p>
    <w:p w:rsidR="00A742BD" w:rsidRPr="005E4B56" w:rsidRDefault="00A742BD" w:rsidP="00DE494F">
      <w:pPr>
        <w:spacing w:line="360" w:lineRule="auto"/>
        <w:jc w:val="both"/>
        <w:rPr>
          <w:rFonts w:ascii="Book Antiqua" w:hAnsi="Book Antiqua"/>
          <w:b/>
          <w:i/>
          <w:lang w:val="en-US"/>
        </w:rPr>
      </w:pPr>
      <w:r w:rsidRPr="005E4B56">
        <w:rPr>
          <w:rFonts w:ascii="Book Antiqua" w:hAnsi="Book Antiqua"/>
          <w:b/>
          <w:i/>
          <w:lang w:val="en-US"/>
        </w:rPr>
        <w:t xml:space="preserve">Statistical </w:t>
      </w:r>
      <w:r w:rsidR="00D42D84" w:rsidRPr="005E4B56">
        <w:rPr>
          <w:rFonts w:ascii="Book Antiqua" w:hAnsi="Book Antiqua"/>
          <w:b/>
          <w:i/>
          <w:lang w:val="en-US"/>
        </w:rPr>
        <w:t>analysis</w:t>
      </w:r>
    </w:p>
    <w:p w:rsidR="00A742BD" w:rsidRPr="005E4B56" w:rsidRDefault="00391BDB" w:rsidP="00DE494F">
      <w:pPr>
        <w:spacing w:line="360" w:lineRule="auto"/>
        <w:jc w:val="both"/>
        <w:rPr>
          <w:rFonts w:ascii="Book Antiqua" w:hAnsi="Book Antiqua"/>
          <w:lang w:val="en-US"/>
        </w:rPr>
      </w:pPr>
      <w:r w:rsidRPr="005E4B56">
        <w:rPr>
          <w:rFonts w:ascii="Book Antiqua" w:hAnsi="Book Antiqua"/>
          <w:lang w:val="en-US"/>
        </w:rPr>
        <w:lastRenderedPageBreak/>
        <w:t xml:space="preserve">All data are reported as </w:t>
      </w:r>
      <w:r w:rsidR="00D42D84" w:rsidRPr="005E4B56">
        <w:rPr>
          <w:rFonts w:ascii="Book Antiqua" w:hAnsi="Book Antiqua"/>
          <w:lang w:val="en-US"/>
        </w:rPr>
        <w:t>mean</w:t>
      </w:r>
      <w:r w:rsidR="00D42D84" w:rsidRPr="005E4B56">
        <w:rPr>
          <w:rFonts w:ascii="Book Antiqua" w:eastAsia="宋体" w:hAnsi="Book Antiqua"/>
          <w:lang w:val="en-US" w:eastAsia="zh-CN"/>
        </w:rPr>
        <w:t xml:space="preserve"> </w:t>
      </w:r>
      <w:r w:rsidRPr="005E4B56">
        <w:rPr>
          <w:rFonts w:ascii="Book Antiqua" w:hAnsi="Book Antiqua"/>
          <w:lang w:val="en-US"/>
        </w:rPr>
        <w:t>±</w:t>
      </w:r>
      <w:r w:rsidR="00D42D84" w:rsidRPr="005E4B56">
        <w:rPr>
          <w:rFonts w:ascii="Book Antiqua" w:eastAsia="宋体" w:hAnsi="Book Antiqua"/>
          <w:lang w:val="en-US" w:eastAsia="zh-CN"/>
        </w:rPr>
        <w:t xml:space="preserve"> SD</w:t>
      </w:r>
      <w:r w:rsidRPr="005E4B56">
        <w:rPr>
          <w:rFonts w:ascii="Book Antiqua" w:hAnsi="Book Antiqua"/>
          <w:lang w:val="en-US"/>
        </w:rPr>
        <w:t xml:space="preserve">. Differences between groups were tested using one-way analysis of variance, with intergroup comparison afforded using Bonferroni test. Two-tailed Pearson R index was used to test the significance of correlations. </w:t>
      </w:r>
      <w:r w:rsidR="003179AE" w:rsidRPr="005E4B56">
        <w:rPr>
          <w:rFonts w:ascii="Book Antiqua" w:hAnsi="Book Antiqua"/>
          <w:lang w:val="en-US"/>
        </w:rPr>
        <w:t>Intra- and inter-rater agreement were afforded using Cohen’s kappa and two-tailed Pearson R for qualitative and quantitative variables, respectively.</w:t>
      </w:r>
      <w:r w:rsidR="00E73030" w:rsidRPr="005E4B56">
        <w:rPr>
          <w:rFonts w:ascii="Book Antiqua" w:hAnsi="Book Antiqua"/>
          <w:lang w:val="en-US"/>
        </w:rPr>
        <w:t xml:space="preserve"> </w:t>
      </w:r>
      <w:r w:rsidRPr="005E4B56">
        <w:rPr>
          <w:rFonts w:ascii="Book Antiqua" w:hAnsi="Book Antiqua"/>
          <w:lang w:val="en-US"/>
        </w:rPr>
        <w:t xml:space="preserve">Statistical analyses were performed using a software application (SPSS, v. 21.0, IBM, Armonk NY, </w:t>
      </w:r>
      <w:r w:rsidR="00D42D84" w:rsidRPr="005E4B56">
        <w:rPr>
          <w:rFonts w:ascii="Book Antiqua" w:hAnsi="Book Antiqua"/>
          <w:lang w:val="en-US"/>
        </w:rPr>
        <w:t>United States</w:t>
      </w:r>
      <w:r w:rsidRPr="005E4B56">
        <w:rPr>
          <w:rFonts w:ascii="Book Antiqua" w:hAnsi="Book Antiqua"/>
          <w:lang w:val="en-US"/>
        </w:rPr>
        <w:t>).</w:t>
      </w:r>
      <w:r w:rsidR="00A337C2" w:rsidRPr="005E4B56">
        <w:rPr>
          <w:rFonts w:ascii="Book Antiqua" w:hAnsi="Book Antiqua"/>
          <w:lang w:val="en-US"/>
        </w:rPr>
        <w:t xml:space="preserve"> The statistical review of the manuscript was performed by a biomedical statistician.</w:t>
      </w:r>
    </w:p>
    <w:p w:rsidR="00A337C2" w:rsidRPr="005E4B56" w:rsidRDefault="00A337C2" w:rsidP="00DE494F">
      <w:pPr>
        <w:spacing w:line="360" w:lineRule="auto"/>
        <w:jc w:val="both"/>
        <w:rPr>
          <w:rFonts w:ascii="Book Antiqua" w:hAnsi="Book Antiqua"/>
          <w:lang w:val="en-US"/>
        </w:rPr>
      </w:pPr>
    </w:p>
    <w:p w:rsidR="00391BDB" w:rsidRPr="005E4B56" w:rsidRDefault="00D42D84" w:rsidP="00DE494F">
      <w:pPr>
        <w:spacing w:line="360" w:lineRule="auto"/>
        <w:jc w:val="both"/>
        <w:rPr>
          <w:rFonts w:ascii="Book Antiqua" w:hAnsi="Book Antiqua"/>
          <w:b/>
          <w:lang w:val="en-US"/>
        </w:rPr>
      </w:pPr>
      <w:r w:rsidRPr="005E4B56">
        <w:rPr>
          <w:rFonts w:ascii="Book Antiqua" w:hAnsi="Book Antiqua"/>
          <w:b/>
          <w:lang w:val="en-US"/>
        </w:rPr>
        <w:t>RESULTS</w:t>
      </w:r>
    </w:p>
    <w:p w:rsidR="00301F04" w:rsidRPr="005E4B56" w:rsidRDefault="00301F04" w:rsidP="00DE494F">
      <w:pPr>
        <w:spacing w:line="360" w:lineRule="auto"/>
        <w:jc w:val="both"/>
        <w:rPr>
          <w:rFonts w:ascii="Book Antiqua" w:hAnsi="Book Antiqua"/>
          <w:b/>
          <w:i/>
          <w:lang w:val="en-US"/>
        </w:rPr>
      </w:pPr>
      <w:proofErr w:type="gramStart"/>
      <w:r w:rsidRPr="005E4B56">
        <w:rPr>
          <w:rFonts w:ascii="Book Antiqua" w:hAnsi="Book Antiqua"/>
          <w:b/>
          <w:i/>
          <w:lang w:val="en-US"/>
        </w:rPr>
        <w:t>Patients</w:t>
      </w:r>
      <w:proofErr w:type="gramEnd"/>
      <w:r w:rsidRPr="005E4B56">
        <w:rPr>
          <w:rFonts w:ascii="Book Antiqua" w:hAnsi="Book Antiqua"/>
          <w:b/>
          <w:i/>
          <w:lang w:val="en-US"/>
        </w:rPr>
        <w:t xml:space="preserve"> </w:t>
      </w:r>
      <w:r w:rsidR="00D42D84" w:rsidRPr="005E4B56">
        <w:rPr>
          <w:rFonts w:ascii="Book Antiqua" w:hAnsi="Book Antiqua"/>
          <w:b/>
          <w:i/>
          <w:lang w:val="en-US"/>
        </w:rPr>
        <w:t>population</w:t>
      </w:r>
    </w:p>
    <w:p w:rsidR="00301F04" w:rsidRPr="005E4B56" w:rsidRDefault="00301F04" w:rsidP="00DE494F">
      <w:pPr>
        <w:spacing w:line="360" w:lineRule="auto"/>
        <w:jc w:val="both"/>
        <w:rPr>
          <w:rFonts w:ascii="Book Antiqua" w:hAnsi="Book Antiqua"/>
          <w:lang w:val="en-US"/>
        </w:rPr>
      </w:pPr>
      <w:r w:rsidRPr="005E4B56">
        <w:rPr>
          <w:rFonts w:ascii="Book Antiqua" w:hAnsi="Book Antiqua"/>
          <w:lang w:val="en-US"/>
        </w:rPr>
        <w:t xml:space="preserve">After stratification, 20, 36 and 22 patients belonged to the high, medium and low risk category, respectively. </w:t>
      </w:r>
      <w:r w:rsidR="00E92A40" w:rsidRPr="005E4B56">
        <w:rPr>
          <w:rFonts w:ascii="Book Antiqua" w:hAnsi="Book Antiqua"/>
          <w:lang w:val="en-US"/>
        </w:rPr>
        <w:t>Mean ten-years CV risk was 29±2.4% for the high-risk population, 14.3</w:t>
      </w:r>
      <w:r w:rsidR="00D42D84" w:rsidRPr="005E4B56">
        <w:rPr>
          <w:rFonts w:ascii="Book Antiqua" w:eastAsia="宋体" w:hAnsi="Book Antiqua"/>
          <w:lang w:val="en-US" w:eastAsia="zh-CN"/>
        </w:rPr>
        <w:t xml:space="preserve"> </w:t>
      </w:r>
      <w:r w:rsidR="00E92A40"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E92A40" w:rsidRPr="005E4B56">
        <w:rPr>
          <w:rFonts w:ascii="Book Antiqua" w:hAnsi="Book Antiqua" w:cs="Times New Roman"/>
          <w:lang w:val="en-US"/>
        </w:rPr>
        <w:t>3 for the medium risk stratum and 6.6</w:t>
      </w:r>
      <w:r w:rsidR="00D42D84" w:rsidRPr="005E4B56">
        <w:rPr>
          <w:rFonts w:ascii="Book Antiqua" w:eastAsia="宋体" w:hAnsi="Book Antiqua" w:cs="Times New Roman"/>
          <w:lang w:val="en-US" w:eastAsia="zh-CN"/>
        </w:rPr>
        <w:t xml:space="preserve"> </w:t>
      </w:r>
      <w:r w:rsidR="00E92A40"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E92A40" w:rsidRPr="005E4B56">
        <w:rPr>
          <w:rFonts w:ascii="Book Antiqua" w:hAnsi="Book Antiqua" w:cs="Times New Roman"/>
          <w:lang w:val="en-US"/>
        </w:rPr>
        <w:t>2.3 for the low risk</w:t>
      </w:r>
      <w:r w:rsidR="00234B4F" w:rsidRPr="005E4B56">
        <w:rPr>
          <w:rFonts w:ascii="Book Antiqua" w:hAnsi="Book Antiqua" w:cs="Times New Roman"/>
          <w:lang w:val="en-US"/>
        </w:rPr>
        <w:t xml:space="preserve"> group. The latter patients were also significantly younger with respect to the other two sub-populations (58.3</w:t>
      </w:r>
      <w:r w:rsidR="00D42D84" w:rsidRPr="005E4B56">
        <w:rPr>
          <w:rFonts w:ascii="Book Antiqua" w:eastAsia="宋体" w:hAnsi="Book Antiqua" w:cs="Times New Roman"/>
          <w:lang w:val="en-US" w:eastAsia="zh-CN"/>
        </w:rPr>
        <w:t xml:space="preserve"> </w:t>
      </w:r>
      <w:r w:rsidR="00234B4F"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D42D84" w:rsidRPr="005E4B56">
        <w:rPr>
          <w:rFonts w:ascii="Book Antiqua" w:hAnsi="Book Antiqua" w:cs="Times New Roman"/>
          <w:lang w:val="en-US"/>
        </w:rPr>
        <w:t xml:space="preserve">8.2 </w:t>
      </w:r>
      <w:r w:rsidR="00D42D84" w:rsidRPr="005E4B56">
        <w:rPr>
          <w:rFonts w:ascii="Book Antiqua" w:hAnsi="Book Antiqua" w:cs="Times New Roman"/>
          <w:i/>
          <w:lang w:val="en-US"/>
        </w:rPr>
        <w:t>vs</w:t>
      </w:r>
      <w:r w:rsidR="00234B4F" w:rsidRPr="005E4B56">
        <w:rPr>
          <w:rFonts w:ascii="Book Antiqua" w:hAnsi="Book Antiqua" w:cs="Times New Roman"/>
          <w:lang w:val="en-US"/>
        </w:rPr>
        <w:t xml:space="preserve"> 65</w:t>
      </w:r>
      <w:r w:rsidR="00D42D84" w:rsidRPr="005E4B56">
        <w:rPr>
          <w:rFonts w:ascii="Book Antiqua" w:eastAsia="宋体" w:hAnsi="Book Antiqua" w:cs="Times New Roman"/>
          <w:lang w:val="en-US" w:eastAsia="zh-CN"/>
        </w:rPr>
        <w:t xml:space="preserve"> </w:t>
      </w:r>
      <w:r w:rsidR="00234B4F"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234B4F" w:rsidRPr="005E4B56">
        <w:rPr>
          <w:rFonts w:ascii="Book Antiqua" w:hAnsi="Book Antiqua" w:cs="Times New Roman"/>
          <w:lang w:val="en-US"/>
        </w:rPr>
        <w:t>9.5 – medium risk and 65</w:t>
      </w:r>
      <w:r w:rsidR="00D42D84" w:rsidRPr="005E4B56">
        <w:rPr>
          <w:rFonts w:ascii="Book Antiqua" w:eastAsia="宋体" w:hAnsi="Book Antiqua" w:cs="Times New Roman"/>
          <w:lang w:val="en-US" w:eastAsia="zh-CN"/>
        </w:rPr>
        <w:t xml:space="preserve"> </w:t>
      </w:r>
      <w:r w:rsidR="00234B4F"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D42D84" w:rsidRPr="005E4B56">
        <w:rPr>
          <w:rFonts w:ascii="Book Antiqua" w:hAnsi="Book Antiqua" w:cs="Times New Roman"/>
          <w:lang w:val="en-US"/>
        </w:rPr>
        <w:t>9.1 – high risk)</w:t>
      </w:r>
      <w:r w:rsidR="00D42D84" w:rsidRPr="005E4B56">
        <w:rPr>
          <w:rFonts w:ascii="Book Antiqua" w:eastAsia="宋体" w:hAnsi="Book Antiqua" w:cs="Times New Roman"/>
          <w:lang w:val="en-US" w:eastAsia="zh-CN"/>
        </w:rPr>
        <w:t xml:space="preserve"> (</w:t>
      </w:r>
      <w:r w:rsidR="00485779" w:rsidRPr="005E4B56">
        <w:rPr>
          <w:rFonts w:ascii="Book Antiqua" w:hAnsi="Book Antiqua" w:cs="Times New Roman"/>
          <w:lang w:val="en-US"/>
        </w:rPr>
        <w:t>Table 1</w:t>
      </w:r>
      <w:r w:rsidR="00D42D84" w:rsidRPr="005E4B56">
        <w:rPr>
          <w:rFonts w:ascii="Book Antiqua" w:eastAsia="宋体" w:hAnsi="Book Antiqua" w:cs="Times New Roman"/>
          <w:lang w:val="en-US" w:eastAsia="zh-CN"/>
        </w:rPr>
        <w:t>)</w:t>
      </w:r>
      <w:r w:rsidR="00485779" w:rsidRPr="005E4B56">
        <w:rPr>
          <w:rFonts w:ascii="Book Antiqua" w:hAnsi="Book Antiqua" w:cs="Times New Roman"/>
          <w:lang w:val="en-US"/>
        </w:rPr>
        <w:t>.</w:t>
      </w:r>
    </w:p>
    <w:p w:rsidR="00234B4F" w:rsidRPr="005E4B56" w:rsidRDefault="00234B4F" w:rsidP="00DE494F">
      <w:pPr>
        <w:spacing w:line="360" w:lineRule="auto"/>
        <w:jc w:val="both"/>
        <w:rPr>
          <w:rFonts w:ascii="Book Antiqua" w:hAnsi="Book Antiqua"/>
          <w:i/>
          <w:lang w:val="en-US"/>
        </w:rPr>
      </w:pPr>
    </w:p>
    <w:p w:rsidR="00391BDB" w:rsidRPr="005E4B56" w:rsidRDefault="005A479E" w:rsidP="00DE494F">
      <w:pPr>
        <w:spacing w:line="360" w:lineRule="auto"/>
        <w:jc w:val="both"/>
        <w:rPr>
          <w:rFonts w:ascii="Book Antiqua" w:hAnsi="Book Antiqua"/>
          <w:b/>
          <w:i/>
          <w:lang w:val="en-US"/>
        </w:rPr>
      </w:pPr>
      <w:r w:rsidRPr="005E4B56">
        <w:rPr>
          <w:rFonts w:ascii="Book Antiqua" w:hAnsi="Book Antiqua"/>
          <w:b/>
          <w:i/>
          <w:lang w:val="en-US"/>
        </w:rPr>
        <w:t>CV risk stratification</w:t>
      </w:r>
    </w:p>
    <w:p w:rsidR="00A12611" w:rsidRPr="005E4B56" w:rsidRDefault="00234B4F" w:rsidP="00DE494F">
      <w:pPr>
        <w:spacing w:line="360" w:lineRule="auto"/>
        <w:jc w:val="both"/>
        <w:rPr>
          <w:rFonts w:ascii="Book Antiqua" w:hAnsi="Book Antiqua" w:cs="Times New Roman"/>
          <w:lang w:val="en-US"/>
        </w:rPr>
      </w:pPr>
      <w:r w:rsidRPr="005E4B56">
        <w:rPr>
          <w:rFonts w:ascii="Book Antiqua" w:hAnsi="Book Antiqua"/>
          <w:lang w:val="en-US"/>
        </w:rPr>
        <w:t xml:space="preserve">TBR effectively stratified the three risk </w:t>
      </w:r>
      <w:r w:rsidR="004007AA" w:rsidRPr="005E4B56">
        <w:rPr>
          <w:rFonts w:ascii="Book Antiqua" w:hAnsi="Book Antiqua"/>
          <w:lang w:val="en-US"/>
        </w:rPr>
        <w:t>categories</w:t>
      </w:r>
      <w:r w:rsidRPr="005E4B56">
        <w:rPr>
          <w:rFonts w:ascii="Book Antiqua" w:hAnsi="Book Antiqua"/>
          <w:lang w:val="en-US"/>
        </w:rPr>
        <w:t xml:space="preserve">, when </w:t>
      </w:r>
      <w:r w:rsidR="004007AA" w:rsidRPr="005E4B56">
        <w:rPr>
          <w:rFonts w:ascii="Book Antiqua" w:hAnsi="Book Antiqua"/>
          <w:lang w:val="en-US"/>
        </w:rPr>
        <w:t>considering the overall thoracic aorta (1.8</w:t>
      </w:r>
      <w:r w:rsidR="00D42D84" w:rsidRPr="005E4B56">
        <w:rPr>
          <w:rFonts w:ascii="Book Antiqua" w:eastAsia="宋体" w:hAnsi="Book Antiqua"/>
          <w:lang w:val="en-US" w:eastAsia="zh-CN"/>
        </w:rPr>
        <w:t xml:space="preserve"> </w:t>
      </w:r>
      <w:r w:rsidR="004007AA"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0.75, 1.4</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0.4 and 1.14</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 xml:space="preserve">0.34 for high, medium and low risk, respectively, </w:t>
      </w:r>
      <w:r w:rsidR="00D42D84" w:rsidRPr="005E4B56">
        <w:rPr>
          <w:rFonts w:ascii="Book Antiqua" w:hAnsi="Book Antiqua" w:cs="Times New Roman"/>
          <w:i/>
          <w:lang w:val="en-US"/>
        </w:rPr>
        <w:t>P</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004007AA" w:rsidRPr="005E4B56">
        <w:rPr>
          <w:rFonts w:ascii="Book Antiqua" w:hAnsi="Book Antiqua" w:cs="Times New Roman"/>
          <w:lang w:val="en-US"/>
        </w:rPr>
        <w:t xml:space="preserve">0.05). </w:t>
      </w:r>
    </w:p>
    <w:p w:rsidR="005A479E" w:rsidRPr="005E4B56" w:rsidRDefault="00A12611" w:rsidP="00D42D84">
      <w:pPr>
        <w:spacing w:line="360" w:lineRule="auto"/>
        <w:ind w:firstLineChars="200" w:firstLine="480"/>
        <w:jc w:val="both"/>
        <w:rPr>
          <w:rFonts w:ascii="Book Antiqua" w:hAnsi="Book Antiqua" w:cs="Times New Roman"/>
          <w:lang w:val="en-US"/>
        </w:rPr>
      </w:pPr>
      <w:r w:rsidRPr="005E4B56">
        <w:rPr>
          <w:rFonts w:ascii="Book Antiqua" w:hAnsi="Book Antiqua" w:cs="Times New Roman"/>
          <w:lang w:val="en-US"/>
        </w:rPr>
        <w:t xml:space="preserve">Significance of stratification varied among aortic </w:t>
      </w:r>
      <w:proofErr w:type="spellStart"/>
      <w:r w:rsidRPr="005E4B56">
        <w:rPr>
          <w:rFonts w:ascii="Book Antiqua" w:hAnsi="Book Antiqua" w:cs="Times New Roman"/>
          <w:lang w:val="en-US"/>
        </w:rPr>
        <w:t>subsegments</w:t>
      </w:r>
      <w:proofErr w:type="spellEnd"/>
      <w:r w:rsidRPr="005E4B56">
        <w:rPr>
          <w:rFonts w:ascii="Book Antiqua" w:hAnsi="Book Antiqua" w:cs="Times New Roman"/>
          <w:lang w:val="en-US"/>
        </w:rPr>
        <w:t xml:space="preserve">, with descending being capable to tell apart the three CVR </w:t>
      </w:r>
      <w:proofErr w:type="spellStart"/>
      <w:r w:rsidRPr="005E4B56">
        <w:rPr>
          <w:rFonts w:ascii="Book Antiqua" w:hAnsi="Book Antiqua" w:cs="Times New Roman"/>
          <w:lang w:val="en-US"/>
        </w:rPr>
        <w:t>cathegories</w:t>
      </w:r>
      <w:proofErr w:type="spellEnd"/>
      <w:r w:rsidRPr="005E4B56">
        <w:rPr>
          <w:rFonts w:ascii="Book Antiqua" w:hAnsi="Book Antiqua" w:cs="Times New Roman"/>
          <w:lang w:val="en-US"/>
        </w:rPr>
        <w:t xml:space="preserve"> (TBR equal to 1.94</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0.8, 1.44</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0.45 and 1.14</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 xml:space="preserve">0.34, respectively, </w:t>
      </w:r>
      <w:r w:rsidRPr="005E4B56">
        <w:rPr>
          <w:rFonts w:ascii="Book Antiqua" w:hAnsi="Book Antiqua" w:cs="Times New Roman"/>
          <w:i/>
          <w:lang w:val="en-US"/>
        </w:rPr>
        <w:t>P</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 xml:space="preserve">0.02). Conversely, </w:t>
      </w:r>
      <w:r w:rsidR="00772AC1" w:rsidRPr="005E4B56">
        <w:rPr>
          <w:rFonts w:ascii="Book Antiqua" w:hAnsi="Book Antiqua" w:cs="Times New Roman"/>
          <w:lang w:val="en-US"/>
        </w:rPr>
        <w:t xml:space="preserve">aortic arch and ascending aorta could </w:t>
      </w:r>
      <w:r w:rsidRPr="005E4B56">
        <w:rPr>
          <w:rFonts w:ascii="Book Antiqua" w:hAnsi="Book Antiqua" w:cs="Times New Roman"/>
          <w:lang w:val="en-US"/>
        </w:rPr>
        <w:t>discriminate</w:t>
      </w:r>
      <w:r w:rsidR="00772AC1" w:rsidRPr="005E4B56">
        <w:rPr>
          <w:rFonts w:ascii="Book Antiqua" w:hAnsi="Book Antiqua" w:cs="Times New Roman"/>
          <w:lang w:val="en-US"/>
        </w:rPr>
        <w:t xml:space="preserve"> high and low risk (</w:t>
      </w:r>
      <w:r w:rsidR="00D42D84" w:rsidRPr="005E4B56">
        <w:rPr>
          <w:rFonts w:ascii="Book Antiqua" w:hAnsi="Book Antiqua" w:cs="Times New Roman"/>
          <w:i/>
          <w:lang w:val="en-US"/>
        </w:rPr>
        <w:t>P</w:t>
      </w:r>
      <w:r w:rsidR="00D42D84" w:rsidRPr="005E4B56">
        <w:rPr>
          <w:rFonts w:ascii="Book Antiqua" w:hAnsi="Book Antiqua" w:cs="Times New Roman"/>
          <w:lang w:val="en-US"/>
        </w:rPr>
        <w:t xml:space="preserve"> </w:t>
      </w:r>
      <w:r w:rsidR="00772AC1"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00772AC1" w:rsidRPr="005E4B56">
        <w:rPr>
          <w:rFonts w:ascii="Book Antiqua" w:hAnsi="Book Antiqua" w:cs="Times New Roman"/>
          <w:lang w:val="en-US"/>
        </w:rPr>
        <w:t xml:space="preserve">0.01 and </w:t>
      </w:r>
      <w:r w:rsidR="00D42D84" w:rsidRPr="005E4B56">
        <w:rPr>
          <w:rFonts w:ascii="Book Antiqua" w:hAnsi="Book Antiqua" w:cs="Times New Roman"/>
          <w:i/>
          <w:lang w:val="en-US"/>
        </w:rPr>
        <w:t>P</w:t>
      </w:r>
      <w:r w:rsidR="00D42D84" w:rsidRPr="005E4B56">
        <w:rPr>
          <w:rFonts w:ascii="Book Antiqua" w:hAnsi="Book Antiqua" w:cs="Times New Roman"/>
          <w:lang w:val="en-US"/>
        </w:rPr>
        <w:t xml:space="preserve"> </w:t>
      </w:r>
      <w:r w:rsidR="00772AC1"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00772AC1" w:rsidRPr="005E4B56">
        <w:rPr>
          <w:rFonts w:ascii="Book Antiqua" w:hAnsi="Book Antiqua" w:cs="Times New Roman"/>
          <w:lang w:val="en-US"/>
        </w:rPr>
        <w:t xml:space="preserve">0.02) but provided </w:t>
      </w:r>
      <w:r w:rsidR="00350EA9" w:rsidRPr="005E4B56">
        <w:rPr>
          <w:rFonts w:ascii="Book Antiqua" w:hAnsi="Book Antiqua" w:cs="Times New Roman"/>
          <w:lang w:val="en-US"/>
        </w:rPr>
        <w:t>less clear</w:t>
      </w:r>
      <w:r w:rsidR="00772AC1" w:rsidRPr="005E4B56">
        <w:rPr>
          <w:rFonts w:ascii="Book Antiqua" w:hAnsi="Book Antiqua" w:cs="Times New Roman"/>
          <w:lang w:val="en-US"/>
        </w:rPr>
        <w:t xml:space="preserve"> distinction between medium risk and the </w:t>
      </w:r>
      <w:r w:rsidR="002C131E" w:rsidRPr="005E4B56">
        <w:rPr>
          <w:rFonts w:ascii="Book Antiqua" w:hAnsi="Book Antiqua" w:cs="Times New Roman"/>
          <w:lang w:val="en-US"/>
        </w:rPr>
        <w:t xml:space="preserve">other </w:t>
      </w:r>
      <w:r w:rsidR="00772AC1" w:rsidRPr="005E4B56">
        <w:rPr>
          <w:rFonts w:ascii="Book Antiqua" w:hAnsi="Book Antiqua" w:cs="Times New Roman"/>
          <w:lang w:val="en-US"/>
        </w:rPr>
        <w:t xml:space="preserve">two </w:t>
      </w:r>
      <w:r w:rsidR="002C131E" w:rsidRPr="005E4B56">
        <w:rPr>
          <w:rFonts w:ascii="Book Antiqua" w:hAnsi="Book Antiqua" w:cs="Times New Roman"/>
          <w:lang w:val="en-US"/>
        </w:rPr>
        <w:t xml:space="preserve">risk </w:t>
      </w:r>
      <w:r w:rsidR="00772AC1" w:rsidRPr="005E4B56">
        <w:rPr>
          <w:rFonts w:ascii="Book Antiqua" w:hAnsi="Book Antiqua" w:cs="Times New Roman"/>
          <w:lang w:val="en-US"/>
        </w:rPr>
        <w:t>categories. Refer to Figure</w:t>
      </w:r>
      <w:r w:rsidR="00B04FA6" w:rsidRPr="005E4B56">
        <w:rPr>
          <w:rFonts w:ascii="Book Antiqua" w:hAnsi="Book Antiqua" w:cs="Times New Roman"/>
          <w:lang w:val="en-US"/>
        </w:rPr>
        <w:t xml:space="preserve"> 2 and to Table </w:t>
      </w:r>
      <w:r w:rsidR="00485779" w:rsidRPr="005E4B56">
        <w:rPr>
          <w:rFonts w:ascii="Book Antiqua" w:hAnsi="Book Antiqua" w:cs="Times New Roman"/>
          <w:lang w:val="en-US"/>
        </w:rPr>
        <w:t>2</w:t>
      </w:r>
      <w:r w:rsidR="00B04FA6" w:rsidRPr="005E4B56">
        <w:rPr>
          <w:rFonts w:ascii="Book Antiqua" w:hAnsi="Book Antiqua" w:cs="Times New Roman"/>
          <w:lang w:val="en-US"/>
        </w:rPr>
        <w:t xml:space="preserve"> for the exact</w:t>
      </w:r>
      <w:r w:rsidR="00772AC1" w:rsidRPr="005E4B56">
        <w:rPr>
          <w:rFonts w:ascii="Book Antiqua" w:hAnsi="Book Antiqua" w:cs="Times New Roman"/>
          <w:lang w:val="en-US"/>
        </w:rPr>
        <w:t xml:space="preserve"> figures of TBR and significance.</w:t>
      </w:r>
    </w:p>
    <w:p w:rsidR="00B04FA6" w:rsidRPr="005E4B56" w:rsidRDefault="001C7630" w:rsidP="00D42D84">
      <w:pPr>
        <w:spacing w:line="360" w:lineRule="auto"/>
        <w:ind w:firstLineChars="200" w:firstLine="480"/>
        <w:jc w:val="both"/>
        <w:rPr>
          <w:rFonts w:ascii="Book Antiqua" w:hAnsi="Book Antiqua" w:cs="Times New Roman"/>
          <w:lang w:val="en-US"/>
        </w:rPr>
      </w:pPr>
      <w:r w:rsidRPr="005E4B56">
        <w:rPr>
          <w:rFonts w:ascii="Book Antiqua" w:hAnsi="Book Antiqua" w:cs="Times New Roman"/>
          <w:lang w:val="en-US"/>
        </w:rPr>
        <w:t xml:space="preserve">NGMCS, resulted an effective index </w:t>
      </w:r>
      <w:r w:rsidR="00AE71E1" w:rsidRPr="005E4B56">
        <w:rPr>
          <w:rFonts w:ascii="Book Antiqua" w:hAnsi="Book Antiqua" w:cs="Times New Roman"/>
          <w:lang w:val="en-US"/>
        </w:rPr>
        <w:t xml:space="preserve">of </w:t>
      </w:r>
      <w:r w:rsidRPr="005E4B56">
        <w:rPr>
          <w:rFonts w:ascii="Book Antiqua" w:hAnsi="Book Antiqua" w:cs="Times New Roman"/>
          <w:lang w:val="en-US"/>
        </w:rPr>
        <w:t>risk assessment: its values were 104</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45.6, 62</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20.8 and 42.7</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 17.4 in high, medium and low CV risk groups, respectively (</w:t>
      </w:r>
      <w:r w:rsidR="00D42D84" w:rsidRPr="005E4B56">
        <w:rPr>
          <w:rFonts w:ascii="Book Antiqua" w:hAnsi="Book Antiqua" w:cs="Times New Roman"/>
          <w:i/>
          <w:lang w:val="en-US"/>
        </w:rPr>
        <w:t>P</w:t>
      </w:r>
      <w:r w:rsidR="00D42D84" w:rsidRPr="005E4B56">
        <w:rPr>
          <w:rFonts w:ascii="Book Antiqua" w:hAnsi="Book Antiqua" w:cs="Times New Roman"/>
          <w:lang w:val="en-US"/>
        </w:rPr>
        <w:t xml:space="preserve"> </w:t>
      </w:r>
      <w:r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Pr="005E4B56">
        <w:rPr>
          <w:rFonts w:ascii="Book Antiqua" w:hAnsi="Book Antiqua" w:cs="Times New Roman"/>
          <w:lang w:val="en-US"/>
        </w:rPr>
        <w:t>0.001</w:t>
      </w:r>
      <w:r w:rsidR="00D42D84" w:rsidRPr="005E4B56">
        <w:rPr>
          <w:rFonts w:ascii="Book Antiqua" w:eastAsia="宋体" w:hAnsi="Book Antiqua" w:cs="Times New Roman"/>
          <w:lang w:val="en-US" w:eastAsia="zh-CN"/>
        </w:rPr>
        <w:t xml:space="preserve">; </w:t>
      </w:r>
      <w:r w:rsidR="00D42D84" w:rsidRPr="005E4B56">
        <w:rPr>
          <w:rFonts w:ascii="Book Antiqua" w:hAnsi="Book Antiqua" w:cs="Times New Roman"/>
          <w:lang w:val="en-US"/>
        </w:rPr>
        <w:t xml:space="preserve">Table </w:t>
      </w:r>
      <w:r w:rsidR="00485779" w:rsidRPr="005E4B56">
        <w:rPr>
          <w:rFonts w:ascii="Book Antiqua" w:hAnsi="Book Antiqua" w:cs="Times New Roman"/>
          <w:lang w:val="en-US"/>
        </w:rPr>
        <w:t>2</w:t>
      </w:r>
      <w:r w:rsidR="00D42D84" w:rsidRPr="005E4B56">
        <w:rPr>
          <w:rFonts w:ascii="Book Antiqua" w:eastAsia="宋体" w:hAnsi="Book Antiqua" w:cs="Times New Roman"/>
          <w:lang w:val="en-US" w:eastAsia="zh-CN"/>
        </w:rPr>
        <w:t xml:space="preserve"> and </w:t>
      </w:r>
      <w:r w:rsidR="00A2563D" w:rsidRPr="005E4B56">
        <w:rPr>
          <w:rFonts w:ascii="Book Antiqua" w:hAnsi="Book Antiqua" w:cs="Times New Roman"/>
          <w:lang w:val="en-US"/>
        </w:rPr>
        <w:t>Figure 2</w:t>
      </w:r>
      <w:r w:rsidRPr="005E4B56">
        <w:rPr>
          <w:rFonts w:ascii="Book Antiqua" w:hAnsi="Book Antiqua" w:cs="Times New Roman"/>
          <w:lang w:val="en-US"/>
        </w:rPr>
        <w:t>).</w:t>
      </w:r>
    </w:p>
    <w:p w:rsidR="00AF6A99" w:rsidRPr="005E4B56" w:rsidRDefault="00AF6A99" w:rsidP="00DE494F">
      <w:pPr>
        <w:spacing w:line="360" w:lineRule="auto"/>
        <w:jc w:val="both"/>
        <w:rPr>
          <w:rFonts w:ascii="Book Antiqua" w:hAnsi="Book Antiqua" w:cs="Times New Roman"/>
          <w:lang w:val="en-US"/>
        </w:rPr>
      </w:pPr>
    </w:p>
    <w:p w:rsidR="00AF6A99" w:rsidRPr="005E4B56" w:rsidRDefault="00AF6A99" w:rsidP="00DE494F">
      <w:pPr>
        <w:spacing w:line="360" w:lineRule="auto"/>
        <w:jc w:val="both"/>
        <w:rPr>
          <w:rFonts w:ascii="Book Antiqua" w:hAnsi="Book Antiqua" w:cs="Times New Roman"/>
          <w:b/>
          <w:i/>
          <w:lang w:val="en-US"/>
        </w:rPr>
      </w:pPr>
      <w:r w:rsidRPr="005E4B56">
        <w:rPr>
          <w:rFonts w:ascii="Book Antiqua" w:hAnsi="Book Antiqua" w:cs="Times New Roman"/>
          <w:b/>
          <w:i/>
          <w:lang w:val="en-US"/>
        </w:rPr>
        <w:t xml:space="preserve">Correlation between </w:t>
      </w:r>
      <w:proofErr w:type="spellStart"/>
      <w:r w:rsidR="00C00A96" w:rsidRPr="005E4B56">
        <w:rPr>
          <w:rFonts w:ascii="Book Antiqua" w:hAnsi="Book Antiqua" w:cs="Times New Roman"/>
          <w:b/>
          <w:i/>
          <w:lang w:val="en-US"/>
        </w:rPr>
        <w:t>aortica</w:t>
      </w:r>
      <w:proofErr w:type="spellEnd"/>
      <w:r w:rsidR="00C00A96" w:rsidRPr="005E4B56">
        <w:rPr>
          <w:rFonts w:ascii="Book Antiqua" w:hAnsi="Book Antiqua" w:cs="Times New Roman"/>
          <w:b/>
          <w:i/>
          <w:lang w:val="en-US"/>
        </w:rPr>
        <w:t xml:space="preserve"> </w:t>
      </w:r>
      <w:proofErr w:type="spellStart"/>
      <w:r w:rsidRPr="005E4B56">
        <w:rPr>
          <w:rFonts w:ascii="Book Antiqua" w:hAnsi="Book Antiqua" w:cs="Times New Roman"/>
          <w:b/>
          <w:i/>
          <w:lang w:val="en-US"/>
        </w:rPr>
        <w:t>NaF</w:t>
      </w:r>
      <w:proofErr w:type="spellEnd"/>
      <w:r w:rsidRPr="005E4B56">
        <w:rPr>
          <w:rFonts w:ascii="Book Antiqua" w:hAnsi="Book Antiqua" w:cs="Times New Roman"/>
          <w:b/>
          <w:i/>
          <w:lang w:val="en-US"/>
        </w:rPr>
        <w:t xml:space="preserve"> uptake</w:t>
      </w:r>
      <w:r w:rsidR="00C00A96" w:rsidRPr="005E4B56">
        <w:rPr>
          <w:rFonts w:ascii="Book Antiqua" w:hAnsi="Book Antiqua" w:cs="Times New Roman"/>
          <w:b/>
          <w:i/>
          <w:lang w:val="en-US"/>
        </w:rPr>
        <w:t>,</w:t>
      </w:r>
      <w:r w:rsidRPr="005E4B56">
        <w:rPr>
          <w:rFonts w:ascii="Book Antiqua" w:hAnsi="Book Antiqua" w:cs="Times New Roman"/>
          <w:b/>
          <w:i/>
          <w:lang w:val="en-US"/>
        </w:rPr>
        <w:t xml:space="preserve"> CV risk</w:t>
      </w:r>
      <w:r w:rsidR="00C00A96" w:rsidRPr="005E4B56">
        <w:rPr>
          <w:rFonts w:ascii="Book Antiqua" w:hAnsi="Book Antiqua" w:cs="Times New Roman"/>
          <w:b/>
          <w:i/>
          <w:lang w:val="en-US"/>
        </w:rPr>
        <w:t xml:space="preserve"> and NGMCS</w:t>
      </w:r>
    </w:p>
    <w:p w:rsidR="00AF6A99" w:rsidRPr="005E4B56" w:rsidRDefault="00047A49" w:rsidP="00DE494F">
      <w:pPr>
        <w:spacing w:line="360" w:lineRule="auto"/>
        <w:jc w:val="both"/>
        <w:rPr>
          <w:rFonts w:ascii="Book Antiqua" w:hAnsi="Book Antiqua"/>
          <w:lang w:val="en-US"/>
        </w:rPr>
      </w:pPr>
      <w:r w:rsidRPr="005E4B56">
        <w:rPr>
          <w:rFonts w:ascii="Book Antiqua" w:hAnsi="Book Antiqua"/>
          <w:lang w:val="en-US"/>
        </w:rPr>
        <w:t>Overall, thoracic aorta TBR showed a significant correlation with CV</w:t>
      </w:r>
      <w:r w:rsidR="00C00A96" w:rsidRPr="005E4B56">
        <w:rPr>
          <w:rFonts w:ascii="Book Antiqua" w:hAnsi="Book Antiqua"/>
          <w:lang w:val="en-US"/>
        </w:rPr>
        <w:t>R</w:t>
      </w:r>
      <w:r w:rsidRPr="005E4B56">
        <w:rPr>
          <w:rFonts w:ascii="Book Antiqua" w:hAnsi="Book Antiqua"/>
          <w:lang w:val="en-US"/>
        </w:rPr>
        <w:t xml:space="preserve"> (R</w:t>
      </w:r>
      <w:r w:rsidR="00D42D84" w:rsidRPr="005E4B56">
        <w:rPr>
          <w:rFonts w:ascii="Book Antiqua" w:eastAsia="宋体" w:hAnsi="Book Antiqua"/>
          <w:lang w:val="en-US" w:eastAsia="zh-CN"/>
        </w:rPr>
        <w:t xml:space="preserve"> </w:t>
      </w:r>
      <w:r w:rsidRPr="005E4B56">
        <w:rPr>
          <w:rFonts w:ascii="Book Antiqua" w:hAnsi="Book Antiqua"/>
          <w:lang w:val="en-US"/>
        </w:rPr>
        <w:t>=</w:t>
      </w:r>
      <w:r w:rsidR="00D42D84" w:rsidRPr="005E4B56">
        <w:rPr>
          <w:rFonts w:ascii="Book Antiqua" w:eastAsia="宋体" w:hAnsi="Book Antiqua"/>
          <w:lang w:val="en-US" w:eastAsia="zh-CN"/>
        </w:rPr>
        <w:t xml:space="preserve"> </w:t>
      </w:r>
      <w:r w:rsidRPr="005E4B56">
        <w:rPr>
          <w:rFonts w:ascii="Book Antiqua" w:hAnsi="Book Antiqua"/>
          <w:lang w:val="en-US"/>
        </w:rPr>
        <w:t xml:space="preserve">0.82, </w:t>
      </w:r>
      <w:r w:rsidR="00D42D84" w:rsidRPr="005E4B56">
        <w:rPr>
          <w:rFonts w:ascii="Book Antiqua" w:hAnsi="Book Antiqua"/>
          <w:i/>
          <w:lang w:val="en-US"/>
        </w:rPr>
        <w:t>P</w:t>
      </w:r>
      <w:r w:rsidR="00D42D84" w:rsidRPr="005E4B56">
        <w:rPr>
          <w:rFonts w:ascii="Book Antiqua" w:eastAsia="宋体" w:hAnsi="Book Antiqua"/>
          <w:lang w:val="en-US" w:eastAsia="zh-CN"/>
        </w:rPr>
        <w:t xml:space="preserve"> </w:t>
      </w:r>
      <w:r w:rsidRPr="005E4B56">
        <w:rPr>
          <w:rFonts w:ascii="Book Antiqua" w:hAnsi="Book Antiqua"/>
          <w:lang w:val="en-US"/>
        </w:rPr>
        <w:t>&lt;</w:t>
      </w:r>
      <w:r w:rsidR="00D42D84" w:rsidRPr="005E4B56">
        <w:rPr>
          <w:rFonts w:ascii="Book Antiqua" w:eastAsia="宋体" w:hAnsi="Book Antiqua"/>
          <w:lang w:val="en-US" w:eastAsia="zh-CN"/>
        </w:rPr>
        <w:t xml:space="preserve"> </w:t>
      </w:r>
      <w:r w:rsidRPr="005E4B56">
        <w:rPr>
          <w:rFonts w:ascii="Book Antiqua" w:hAnsi="Book Antiqua"/>
          <w:lang w:val="en-US"/>
        </w:rPr>
        <w:t>0.001). Among segments, descending aorta displayed the closes</w:t>
      </w:r>
      <w:r w:rsidR="002206C1" w:rsidRPr="005E4B56">
        <w:rPr>
          <w:rFonts w:ascii="Book Antiqua" w:hAnsi="Book Antiqua"/>
          <w:lang w:val="en-US"/>
        </w:rPr>
        <w:t>t</w:t>
      </w:r>
      <w:r w:rsidRPr="005E4B56">
        <w:rPr>
          <w:rFonts w:ascii="Book Antiqua" w:hAnsi="Book Antiqua"/>
          <w:lang w:val="en-US"/>
        </w:rPr>
        <w:t xml:space="preserve"> correspondence </w:t>
      </w:r>
      <w:r w:rsidR="00C00A96" w:rsidRPr="005E4B56">
        <w:rPr>
          <w:rFonts w:ascii="Book Antiqua" w:hAnsi="Book Antiqua"/>
          <w:lang w:val="en-US"/>
        </w:rPr>
        <w:t xml:space="preserve">to the </w:t>
      </w:r>
      <w:r w:rsidR="00C00A96" w:rsidRPr="005E4B56">
        <w:rPr>
          <w:rFonts w:ascii="Book Antiqua" w:hAnsi="Book Antiqua"/>
          <w:lang w:val="en-US"/>
        </w:rPr>
        <w:lastRenderedPageBreak/>
        <w:t xml:space="preserve">clinical risk assessment </w:t>
      </w:r>
      <w:r w:rsidRPr="005E4B56">
        <w:rPr>
          <w:rFonts w:ascii="Book Antiqua" w:hAnsi="Book Antiqua"/>
          <w:lang w:val="en-US"/>
        </w:rPr>
        <w:t>(R</w:t>
      </w:r>
      <w:r w:rsidR="00D42D84" w:rsidRPr="005E4B56">
        <w:rPr>
          <w:rFonts w:ascii="Book Antiqua" w:eastAsia="宋体" w:hAnsi="Book Antiqua"/>
          <w:lang w:val="en-US" w:eastAsia="zh-CN"/>
        </w:rPr>
        <w:t xml:space="preserve"> </w:t>
      </w:r>
      <w:r w:rsidRPr="005E4B56">
        <w:rPr>
          <w:rFonts w:ascii="Book Antiqua" w:hAnsi="Book Antiqua"/>
          <w:lang w:val="en-US"/>
        </w:rPr>
        <w:t>=</w:t>
      </w:r>
      <w:r w:rsidR="00D42D84" w:rsidRPr="005E4B56">
        <w:rPr>
          <w:rFonts w:ascii="Book Antiqua" w:eastAsia="宋体" w:hAnsi="Book Antiqua"/>
          <w:lang w:val="en-US" w:eastAsia="zh-CN"/>
        </w:rPr>
        <w:t xml:space="preserve"> </w:t>
      </w:r>
      <w:r w:rsidRPr="005E4B56">
        <w:rPr>
          <w:rFonts w:ascii="Book Antiqua" w:hAnsi="Book Antiqua"/>
          <w:lang w:val="en-US"/>
        </w:rPr>
        <w:t>0.79).</w:t>
      </w:r>
      <w:r w:rsidR="00475868" w:rsidRPr="005E4B56">
        <w:rPr>
          <w:rFonts w:ascii="Book Antiqua" w:hAnsi="Book Antiqua"/>
          <w:lang w:val="en-US"/>
        </w:rPr>
        <w:t xml:space="preserve"> </w:t>
      </w:r>
      <w:r w:rsidR="003179AE" w:rsidRPr="005E4B56">
        <w:rPr>
          <w:rFonts w:ascii="Book Antiqua" w:hAnsi="Book Antiqua"/>
          <w:lang w:val="en-US"/>
        </w:rPr>
        <w:t>Among single risk factors, age and hypertension were tightly associated with aortic TBR (R</w:t>
      </w:r>
      <w:r w:rsidR="00D42D84" w:rsidRPr="005E4B56">
        <w:rPr>
          <w:rFonts w:ascii="Book Antiqua" w:eastAsia="宋体" w:hAnsi="Book Antiqua"/>
          <w:lang w:val="en-US" w:eastAsia="zh-CN"/>
        </w:rPr>
        <w:t xml:space="preserve"> </w:t>
      </w:r>
      <w:r w:rsidR="003179AE" w:rsidRPr="005E4B56">
        <w:rPr>
          <w:rFonts w:ascii="Book Antiqua" w:hAnsi="Book Antiqua"/>
          <w:lang w:val="en-US"/>
        </w:rPr>
        <w:t>=</w:t>
      </w:r>
      <w:r w:rsidR="00D42D84" w:rsidRPr="005E4B56">
        <w:rPr>
          <w:rFonts w:ascii="Book Antiqua" w:eastAsia="宋体" w:hAnsi="Book Antiqua"/>
          <w:lang w:val="en-US" w:eastAsia="zh-CN"/>
        </w:rPr>
        <w:t xml:space="preserve"> </w:t>
      </w:r>
      <w:r w:rsidR="003179AE" w:rsidRPr="005E4B56">
        <w:rPr>
          <w:rFonts w:ascii="Book Antiqua" w:hAnsi="Book Antiqua"/>
          <w:lang w:val="en-US"/>
        </w:rPr>
        <w:t xml:space="preserve">0.32, </w:t>
      </w:r>
      <w:r w:rsidR="00D42D84" w:rsidRPr="005E4B56">
        <w:rPr>
          <w:rFonts w:ascii="Book Antiqua" w:hAnsi="Book Antiqua"/>
          <w:i/>
          <w:lang w:val="en-US"/>
        </w:rPr>
        <w:t>P</w:t>
      </w:r>
      <w:r w:rsidR="00D42D84" w:rsidRPr="005E4B56">
        <w:rPr>
          <w:rFonts w:ascii="Book Antiqua" w:hAnsi="Book Antiqua"/>
          <w:lang w:val="en-US"/>
        </w:rPr>
        <w:t xml:space="preserve"> </w:t>
      </w:r>
      <w:r w:rsidR="003179AE" w:rsidRPr="005E4B56">
        <w:rPr>
          <w:rFonts w:ascii="Book Antiqua" w:hAnsi="Book Antiqua"/>
          <w:lang w:val="en-US"/>
        </w:rPr>
        <w:t>&lt;</w:t>
      </w:r>
      <w:r w:rsidR="00D42D84" w:rsidRPr="005E4B56">
        <w:rPr>
          <w:rFonts w:ascii="Book Antiqua" w:eastAsia="宋体" w:hAnsi="Book Antiqua"/>
          <w:lang w:val="en-US" w:eastAsia="zh-CN"/>
        </w:rPr>
        <w:t xml:space="preserve"> </w:t>
      </w:r>
      <w:r w:rsidR="003179AE" w:rsidRPr="005E4B56">
        <w:rPr>
          <w:rFonts w:ascii="Book Antiqua" w:hAnsi="Book Antiqua"/>
          <w:lang w:val="en-US"/>
        </w:rPr>
        <w:t>0.05; R</w:t>
      </w:r>
      <w:r w:rsidR="00D42D84" w:rsidRPr="005E4B56">
        <w:rPr>
          <w:rFonts w:ascii="Book Antiqua" w:eastAsia="宋体" w:hAnsi="Book Antiqua"/>
          <w:lang w:val="en-US" w:eastAsia="zh-CN"/>
        </w:rPr>
        <w:t xml:space="preserve"> </w:t>
      </w:r>
      <w:r w:rsidR="003179AE" w:rsidRPr="005E4B56">
        <w:rPr>
          <w:rFonts w:ascii="Book Antiqua" w:hAnsi="Book Antiqua"/>
          <w:lang w:val="en-US"/>
        </w:rPr>
        <w:t>=</w:t>
      </w:r>
      <w:r w:rsidR="00D42D84" w:rsidRPr="005E4B56">
        <w:rPr>
          <w:rFonts w:ascii="Book Antiqua" w:eastAsia="宋体" w:hAnsi="Book Antiqua"/>
          <w:lang w:val="en-US" w:eastAsia="zh-CN"/>
        </w:rPr>
        <w:t xml:space="preserve"> </w:t>
      </w:r>
      <w:r w:rsidR="003179AE" w:rsidRPr="005E4B56">
        <w:rPr>
          <w:rFonts w:ascii="Book Antiqua" w:hAnsi="Book Antiqua"/>
          <w:lang w:val="en-US"/>
        </w:rPr>
        <w:t xml:space="preserve">0.54, </w:t>
      </w:r>
      <w:r w:rsidR="00D42D84" w:rsidRPr="005E4B56">
        <w:rPr>
          <w:rFonts w:ascii="Book Antiqua" w:hAnsi="Book Antiqua"/>
          <w:i/>
          <w:lang w:val="en-US"/>
        </w:rPr>
        <w:t>P</w:t>
      </w:r>
      <w:r w:rsidR="00D42D84" w:rsidRPr="005E4B56">
        <w:rPr>
          <w:rFonts w:ascii="Book Antiqua" w:hAnsi="Book Antiqua"/>
          <w:lang w:val="en-US"/>
        </w:rPr>
        <w:t xml:space="preserve"> </w:t>
      </w:r>
      <w:r w:rsidR="003179AE" w:rsidRPr="005E4B56">
        <w:rPr>
          <w:rFonts w:ascii="Book Antiqua" w:hAnsi="Book Antiqua"/>
          <w:lang w:val="en-US"/>
        </w:rPr>
        <w:t>&lt;</w:t>
      </w:r>
      <w:r w:rsidR="00D42D84" w:rsidRPr="005E4B56">
        <w:rPr>
          <w:rFonts w:ascii="Book Antiqua" w:eastAsia="宋体" w:hAnsi="Book Antiqua"/>
          <w:lang w:val="en-US" w:eastAsia="zh-CN"/>
        </w:rPr>
        <w:t xml:space="preserve"> </w:t>
      </w:r>
      <w:r w:rsidR="003179AE" w:rsidRPr="005E4B56">
        <w:rPr>
          <w:rFonts w:ascii="Book Antiqua" w:hAnsi="Book Antiqua"/>
          <w:lang w:val="en-US"/>
        </w:rPr>
        <w:t>0.01, respectively); moreover, patients with diabetes had a significantly higher TBR with respect to non-diabetics (1.7</w:t>
      </w:r>
      <w:r w:rsidR="00D42D84" w:rsidRPr="005E4B56">
        <w:rPr>
          <w:rFonts w:ascii="Book Antiqua" w:eastAsia="宋体" w:hAnsi="Book Antiqua"/>
          <w:lang w:val="en-US" w:eastAsia="zh-CN"/>
        </w:rPr>
        <w:t xml:space="preserve"> </w:t>
      </w:r>
      <w:r w:rsidR="003179AE"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3179AE" w:rsidRPr="005E4B56">
        <w:rPr>
          <w:rFonts w:ascii="Book Antiqua" w:hAnsi="Book Antiqua" w:cs="Times New Roman"/>
          <w:lang w:val="en-US"/>
        </w:rPr>
        <w:t>0.7 and 1.4</w:t>
      </w:r>
      <w:r w:rsidR="00D42D84" w:rsidRPr="005E4B56">
        <w:rPr>
          <w:rFonts w:ascii="Book Antiqua" w:eastAsia="宋体" w:hAnsi="Book Antiqua" w:cs="Times New Roman"/>
          <w:lang w:val="en-US" w:eastAsia="zh-CN"/>
        </w:rPr>
        <w:t xml:space="preserve"> </w:t>
      </w:r>
      <w:r w:rsidR="003179AE" w:rsidRPr="005E4B56">
        <w:rPr>
          <w:rFonts w:ascii="Book Antiqua" w:hAnsi="Book Antiqua" w:cs="Times New Roman"/>
          <w:lang w:val="en-US"/>
        </w:rPr>
        <w:t>±</w:t>
      </w:r>
      <w:r w:rsidR="00D42D84" w:rsidRPr="005E4B56">
        <w:rPr>
          <w:rFonts w:ascii="Book Antiqua" w:eastAsia="宋体" w:hAnsi="Book Antiqua" w:cs="Times New Roman"/>
          <w:lang w:val="en-US" w:eastAsia="zh-CN"/>
        </w:rPr>
        <w:t xml:space="preserve"> </w:t>
      </w:r>
      <w:r w:rsidR="003179AE" w:rsidRPr="005E4B56">
        <w:rPr>
          <w:rFonts w:ascii="Book Antiqua" w:hAnsi="Book Antiqua" w:cs="Times New Roman"/>
          <w:lang w:val="en-US"/>
        </w:rPr>
        <w:t xml:space="preserve">0.5, </w:t>
      </w:r>
      <w:r w:rsidR="00D42D84" w:rsidRPr="005E4B56">
        <w:rPr>
          <w:rFonts w:ascii="Book Antiqua" w:hAnsi="Book Antiqua"/>
          <w:i/>
          <w:lang w:val="en-US"/>
        </w:rPr>
        <w:t>P</w:t>
      </w:r>
      <w:r w:rsidR="00D42D84" w:rsidRPr="005E4B56">
        <w:rPr>
          <w:rFonts w:ascii="Book Antiqua" w:hAnsi="Book Antiqua" w:cs="Times New Roman"/>
          <w:lang w:val="en-US"/>
        </w:rPr>
        <w:t xml:space="preserve"> </w:t>
      </w:r>
      <w:r w:rsidR="00ED4A9E" w:rsidRPr="005E4B56">
        <w:rPr>
          <w:rFonts w:ascii="Book Antiqua" w:hAnsi="Book Antiqua" w:cs="Times New Roman"/>
          <w:lang w:val="en-US"/>
        </w:rPr>
        <w:t>&lt;</w:t>
      </w:r>
      <w:r w:rsidR="00D42D84" w:rsidRPr="005E4B56">
        <w:rPr>
          <w:rFonts w:ascii="Book Antiqua" w:eastAsia="宋体" w:hAnsi="Book Antiqua" w:cs="Times New Roman"/>
          <w:lang w:val="en-US" w:eastAsia="zh-CN"/>
        </w:rPr>
        <w:t xml:space="preserve"> </w:t>
      </w:r>
      <w:r w:rsidR="00ED4A9E" w:rsidRPr="005E4B56">
        <w:rPr>
          <w:rFonts w:ascii="Book Antiqua" w:hAnsi="Book Antiqua" w:cs="Times New Roman"/>
          <w:lang w:val="en-US"/>
        </w:rPr>
        <w:t>0.01</w:t>
      </w:r>
      <w:r w:rsidR="003179AE" w:rsidRPr="005E4B56">
        <w:rPr>
          <w:rFonts w:ascii="Book Antiqua" w:hAnsi="Book Antiqua" w:cs="Times New Roman"/>
          <w:lang w:val="en-US"/>
        </w:rPr>
        <w:t>).</w:t>
      </w:r>
    </w:p>
    <w:p w:rsidR="002D6EE6" w:rsidRPr="005E4B56" w:rsidRDefault="00C00A96" w:rsidP="00D42D84">
      <w:pPr>
        <w:spacing w:line="360" w:lineRule="auto"/>
        <w:ind w:firstLineChars="150" w:firstLine="360"/>
        <w:jc w:val="both"/>
        <w:rPr>
          <w:rFonts w:ascii="Book Antiqua" w:hAnsi="Book Antiqua"/>
          <w:lang w:val="en-US"/>
        </w:rPr>
      </w:pPr>
      <w:r w:rsidRPr="005E4B56">
        <w:rPr>
          <w:rFonts w:ascii="Book Antiqua" w:hAnsi="Book Antiqua"/>
          <w:lang w:val="en-US"/>
        </w:rPr>
        <w:t>Aortic</w:t>
      </w:r>
      <w:r w:rsidR="00047A49" w:rsidRPr="005E4B56">
        <w:rPr>
          <w:rFonts w:ascii="Book Antiqua" w:hAnsi="Book Antiqua"/>
          <w:lang w:val="en-US"/>
        </w:rPr>
        <w:t xml:space="preserve"> TBR </w:t>
      </w:r>
      <w:r w:rsidRPr="005E4B56">
        <w:rPr>
          <w:rFonts w:ascii="Book Antiqua" w:hAnsi="Book Antiqua"/>
          <w:lang w:val="en-US"/>
        </w:rPr>
        <w:t xml:space="preserve">showed a significant correlation with </w:t>
      </w:r>
      <w:r w:rsidR="00047A49" w:rsidRPr="005E4B56">
        <w:rPr>
          <w:rFonts w:ascii="Book Antiqua" w:hAnsi="Book Antiqua"/>
          <w:lang w:val="en-US"/>
        </w:rPr>
        <w:t>NGMCS</w:t>
      </w:r>
      <w:r w:rsidRPr="005E4B56">
        <w:rPr>
          <w:rFonts w:ascii="Book Antiqua" w:hAnsi="Book Antiqua"/>
          <w:lang w:val="en-US"/>
        </w:rPr>
        <w:t xml:space="preserve"> as well</w:t>
      </w:r>
      <w:r w:rsidR="00047A49" w:rsidRPr="005E4B56">
        <w:rPr>
          <w:rFonts w:ascii="Book Antiqua" w:hAnsi="Book Antiqua"/>
          <w:lang w:val="en-US"/>
        </w:rPr>
        <w:t xml:space="preserve"> (</w:t>
      </w:r>
      <w:r w:rsidRPr="005E4B56">
        <w:rPr>
          <w:rFonts w:ascii="Book Antiqua" w:hAnsi="Book Antiqua"/>
          <w:lang w:val="en-US"/>
        </w:rPr>
        <w:t>whole thoracic aorta</w:t>
      </w:r>
      <w:r w:rsidR="00D42D84" w:rsidRPr="005E4B56">
        <w:rPr>
          <w:rFonts w:ascii="Book Antiqua" w:hAnsi="Book Antiqua"/>
          <w:lang w:val="en-US"/>
        </w:rPr>
        <w:t xml:space="preserve"> </w:t>
      </w:r>
      <w:r w:rsidR="00D42D84" w:rsidRPr="005E4B56">
        <w:rPr>
          <w:rFonts w:ascii="Book Antiqua" w:hAnsi="Book Antiqua"/>
          <w:i/>
          <w:lang w:val="en-US"/>
        </w:rPr>
        <w:t>vs</w:t>
      </w:r>
      <w:r w:rsidR="0039569E" w:rsidRPr="005E4B56">
        <w:rPr>
          <w:rFonts w:ascii="Book Antiqua" w:hAnsi="Book Antiqua"/>
          <w:lang w:val="en-US"/>
        </w:rPr>
        <w:t xml:space="preserve"> NGMCS produced </w:t>
      </w:r>
      <w:r w:rsidR="00D42D84" w:rsidRPr="005E4B56">
        <w:rPr>
          <w:rFonts w:ascii="Book Antiqua" w:hAnsi="Book Antiqua"/>
          <w:lang w:val="en-US"/>
        </w:rPr>
        <w:t>an</w:t>
      </w:r>
      <w:r w:rsidR="0039569E" w:rsidRPr="005E4B56">
        <w:rPr>
          <w:rFonts w:ascii="Book Antiqua" w:hAnsi="Book Antiqua"/>
          <w:lang w:val="en-US"/>
        </w:rPr>
        <w:t xml:space="preserve"> R-index of 0.67). However, this correlation was prevalently observed in descending aorta (R</w:t>
      </w:r>
      <w:r w:rsidR="00D42D84" w:rsidRPr="005E4B56">
        <w:rPr>
          <w:rFonts w:ascii="Book Antiqua" w:eastAsia="宋体" w:hAnsi="Book Antiqua"/>
          <w:lang w:val="en-US" w:eastAsia="zh-CN"/>
        </w:rPr>
        <w:t xml:space="preserve"> </w:t>
      </w:r>
      <w:r w:rsidR="0039569E" w:rsidRPr="005E4B56">
        <w:rPr>
          <w:rFonts w:ascii="Book Antiqua" w:hAnsi="Book Antiqua"/>
          <w:lang w:val="en-US"/>
        </w:rPr>
        <w:t>=</w:t>
      </w:r>
      <w:r w:rsidR="00D42D84" w:rsidRPr="005E4B56">
        <w:rPr>
          <w:rFonts w:ascii="Book Antiqua" w:eastAsia="宋体" w:hAnsi="Book Antiqua"/>
          <w:lang w:val="en-US" w:eastAsia="zh-CN"/>
        </w:rPr>
        <w:t xml:space="preserve"> </w:t>
      </w:r>
      <w:r w:rsidR="008B638E" w:rsidRPr="005E4B56">
        <w:rPr>
          <w:rFonts w:ascii="Book Antiqua" w:hAnsi="Book Antiqua"/>
          <w:lang w:val="en-US"/>
        </w:rPr>
        <w:t>0.72)</w:t>
      </w:r>
      <w:r w:rsidR="008B638E" w:rsidRPr="005E4B56">
        <w:rPr>
          <w:rFonts w:ascii="Book Antiqua" w:eastAsia="宋体" w:hAnsi="Book Antiqua"/>
          <w:lang w:val="en-US" w:eastAsia="zh-CN"/>
        </w:rPr>
        <w:t xml:space="preserve"> (</w:t>
      </w:r>
      <w:r w:rsidR="00D42D84" w:rsidRPr="005E4B56">
        <w:rPr>
          <w:rFonts w:ascii="Book Antiqua" w:hAnsi="Book Antiqua"/>
          <w:lang w:val="en-US"/>
        </w:rPr>
        <w:t xml:space="preserve">Table </w:t>
      </w:r>
      <w:r w:rsidR="00485779" w:rsidRPr="005E4B56">
        <w:rPr>
          <w:rFonts w:ascii="Book Antiqua" w:hAnsi="Book Antiqua"/>
          <w:lang w:val="en-US"/>
        </w:rPr>
        <w:t>3</w:t>
      </w:r>
      <w:r w:rsidR="0039569E" w:rsidRPr="005E4B56">
        <w:rPr>
          <w:rFonts w:ascii="Book Antiqua" w:hAnsi="Book Antiqua"/>
          <w:lang w:val="en-US"/>
        </w:rPr>
        <w:t xml:space="preserve"> </w:t>
      </w:r>
      <w:r w:rsidR="0013022D" w:rsidRPr="005E4B56">
        <w:rPr>
          <w:rFonts w:ascii="Book Antiqua" w:hAnsi="Book Antiqua"/>
          <w:lang w:val="en-US"/>
        </w:rPr>
        <w:t>and Figure 3</w:t>
      </w:r>
      <w:r w:rsidR="008B638E" w:rsidRPr="005E4B56">
        <w:rPr>
          <w:rFonts w:ascii="Book Antiqua" w:eastAsia="宋体" w:hAnsi="Book Antiqua"/>
          <w:lang w:val="en-US" w:eastAsia="zh-CN"/>
        </w:rPr>
        <w:t>)</w:t>
      </w:r>
      <w:r w:rsidR="0039569E" w:rsidRPr="005E4B56">
        <w:rPr>
          <w:rFonts w:ascii="Book Antiqua" w:hAnsi="Book Antiqua"/>
          <w:lang w:val="en-US"/>
        </w:rPr>
        <w:t>.</w:t>
      </w:r>
      <w:r w:rsidR="00163B46" w:rsidRPr="005E4B56">
        <w:rPr>
          <w:rFonts w:ascii="Book Antiqua" w:hAnsi="Book Antiqua"/>
          <w:lang w:val="en-US"/>
        </w:rPr>
        <w:t xml:space="preserve"> </w:t>
      </w:r>
    </w:p>
    <w:p w:rsidR="00E73030" w:rsidRPr="005E4B56" w:rsidRDefault="003179AE" w:rsidP="00D42D84">
      <w:pPr>
        <w:spacing w:line="360" w:lineRule="auto"/>
        <w:ind w:firstLineChars="200" w:firstLine="480"/>
        <w:jc w:val="both"/>
        <w:rPr>
          <w:rFonts w:ascii="Book Antiqua" w:hAnsi="Book Antiqua"/>
          <w:lang w:val="en-US"/>
        </w:rPr>
      </w:pPr>
      <w:r w:rsidRPr="005E4B56">
        <w:rPr>
          <w:rFonts w:ascii="Book Antiqua" w:hAnsi="Book Antiqua"/>
          <w:lang w:val="en-US"/>
        </w:rPr>
        <w:t>Finally, measurement of TBR was accurate and relatively operator-independent:</w:t>
      </w:r>
      <w:r w:rsidR="000471BA" w:rsidRPr="005E4B56">
        <w:rPr>
          <w:rFonts w:ascii="Book Antiqua" w:hAnsi="Book Antiqua"/>
          <w:lang w:val="en-US"/>
        </w:rPr>
        <w:t xml:space="preserve"> </w:t>
      </w:r>
      <w:r w:rsidR="00821DB0" w:rsidRPr="005E4B56">
        <w:rPr>
          <w:rFonts w:ascii="Book Antiqua" w:hAnsi="Book Antiqua"/>
          <w:lang w:val="en-US"/>
        </w:rPr>
        <w:t>i</w:t>
      </w:r>
      <w:r w:rsidRPr="005E4B56">
        <w:rPr>
          <w:rFonts w:ascii="Book Antiqua" w:hAnsi="Book Antiqua"/>
          <w:lang w:val="en-US"/>
        </w:rPr>
        <w:t>ntra- and inter-r</w:t>
      </w:r>
      <w:r w:rsidR="008B638E" w:rsidRPr="005E4B56">
        <w:rPr>
          <w:rFonts w:ascii="Book Antiqua" w:hAnsi="Book Antiqua"/>
          <w:lang w:val="en-US"/>
        </w:rPr>
        <w:t>ater agreement was excellent</w:t>
      </w:r>
      <w:r w:rsidRPr="005E4B56">
        <w:rPr>
          <w:rFonts w:ascii="Book Antiqua" w:hAnsi="Book Antiqua"/>
          <w:lang w:val="en-US"/>
        </w:rPr>
        <w:t xml:space="preserve"> (Cohen’s kappa value = 0.91; Pearson’s R = 0.95).</w:t>
      </w:r>
    </w:p>
    <w:p w:rsidR="00163B46" w:rsidRPr="005E4B56" w:rsidRDefault="00163B46" w:rsidP="00DE494F">
      <w:pPr>
        <w:spacing w:line="360" w:lineRule="auto"/>
        <w:jc w:val="both"/>
        <w:rPr>
          <w:rFonts w:ascii="Book Antiqua" w:hAnsi="Book Antiqua"/>
          <w:lang w:val="en-US"/>
        </w:rPr>
      </w:pPr>
    </w:p>
    <w:p w:rsidR="0039569E" w:rsidRPr="005E4B56" w:rsidRDefault="00D42D84" w:rsidP="00DE494F">
      <w:pPr>
        <w:spacing w:line="360" w:lineRule="auto"/>
        <w:jc w:val="both"/>
        <w:rPr>
          <w:rFonts w:ascii="Book Antiqua" w:hAnsi="Book Antiqua"/>
          <w:lang w:val="en-US"/>
        </w:rPr>
      </w:pPr>
      <w:r w:rsidRPr="005E4B56">
        <w:rPr>
          <w:rFonts w:ascii="Book Antiqua" w:hAnsi="Book Antiqua"/>
          <w:b/>
          <w:lang w:val="en-US"/>
        </w:rPr>
        <w:t>DISCUSSION</w:t>
      </w:r>
    </w:p>
    <w:p w:rsidR="00A85C51" w:rsidRPr="005E4B56" w:rsidRDefault="00D601C4" w:rsidP="00DE494F">
      <w:pPr>
        <w:spacing w:line="360" w:lineRule="auto"/>
        <w:jc w:val="both"/>
        <w:rPr>
          <w:rFonts w:ascii="Book Antiqua" w:hAnsi="Book Antiqua"/>
          <w:lang w:val="en-US"/>
        </w:rPr>
      </w:pPr>
      <w:r w:rsidRPr="005E4B56">
        <w:rPr>
          <w:rFonts w:ascii="Book Antiqua" w:hAnsi="Book Antiqua"/>
          <w:lang w:val="en-US"/>
        </w:rPr>
        <w:t xml:space="preserve">In recent years, non-invasive, functional imaging of the coronary district has received a large </w:t>
      </w:r>
      <w:proofErr w:type="gramStart"/>
      <w:r w:rsidRPr="005E4B56">
        <w:rPr>
          <w:rFonts w:ascii="Book Antiqua" w:hAnsi="Book Antiqua"/>
          <w:lang w:val="en-US"/>
        </w:rPr>
        <w:t>attention</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17]</w:t>
      </w:r>
      <w:r w:rsidRPr="005E4B56">
        <w:rPr>
          <w:rFonts w:ascii="Book Antiqua" w:hAnsi="Book Antiqua"/>
          <w:lang w:val="en-US"/>
        </w:rPr>
        <w:t xml:space="preserve">. In particular, the widespread distribution of PET scanner with </w:t>
      </w:r>
      <w:r w:rsidR="005C6D38" w:rsidRPr="005E4B56">
        <w:rPr>
          <w:rFonts w:ascii="Book Antiqua" w:hAnsi="Book Antiqua"/>
          <w:lang w:val="en-US"/>
        </w:rPr>
        <w:t xml:space="preserve">3D detection technology has allowed grasping the signal produced by plaque </w:t>
      </w:r>
      <w:proofErr w:type="gramStart"/>
      <w:r w:rsidR="005C6D38" w:rsidRPr="005E4B56">
        <w:rPr>
          <w:rFonts w:ascii="Book Antiqua" w:hAnsi="Book Antiqua"/>
          <w:lang w:val="en-US"/>
        </w:rPr>
        <w:t>metabolism</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11-14,16]</w:t>
      </w:r>
      <w:r w:rsidR="005C6D38" w:rsidRPr="005E4B56">
        <w:rPr>
          <w:rFonts w:ascii="Book Antiqua" w:hAnsi="Book Antiqua"/>
          <w:lang w:val="en-US"/>
        </w:rPr>
        <w:t xml:space="preserve">. The scientific background underlying this approach is still relatively young and its applications lie predominantly within the research </w:t>
      </w:r>
      <w:proofErr w:type="gramStart"/>
      <w:r w:rsidR="005C6D38" w:rsidRPr="005E4B56">
        <w:rPr>
          <w:rFonts w:ascii="Book Antiqua" w:hAnsi="Book Antiqua"/>
          <w:lang w:val="en-US"/>
        </w:rPr>
        <w:t>terrain</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23]</w:t>
      </w:r>
      <w:r w:rsidR="005C6D38" w:rsidRPr="005E4B56">
        <w:rPr>
          <w:rFonts w:ascii="Book Antiqua" w:hAnsi="Book Antiqua"/>
          <w:lang w:val="en-US"/>
        </w:rPr>
        <w:t>.</w:t>
      </w:r>
      <w:r w:rsidR="00705C27" w:rsidRPr="005E4B56">
        <w:rPr>
          <w:rFonts w:ascii="Book Antiqua" w:hAnsi="Book Antiqua"/>
          <w:lang w:val="en-US"/>
        </w:rPr>
        <w:t xml:space="preserve"> However, a few studies have provided a glimpse of future clinical application: the two main streaks are at present the </w:t>
      </w:r>
      <w:r w:rsidR="00420276" w:rsidRPr="005E4B56">
        <w:rPr>
          <w:rFonts w:ascii="Book Antiqua" w:hAnsi="Book Antiqua"/>
          <w:lang w:val="en-US"/>
        </w:rPr>
        <w:t>detection</w:t>
      </w:r>
      <w:r w:rsidR="00705C27" w:rsidRPr="005E4B56">
        <w:rPr>
          <w:rFonts w:ascii="Book Antiqua" w:hAnsi="Book Antiqua"/>
          <w:lang w:val="en-US"/>
        </w:rPr>
        <w:t xml:space="preserve"> of</w:t>
      </w:r>
      <w:r w:rsidR="001D3001" w:rsidRPr="005E4B56">
        <w:rPr>
          <w:rFonts w:ascii="Book Antiqua" w:hAnsi="Book Antiqua"/>
          <w:lang w:val="en-US"/>
        </w:rPr>
        <w:t xml:space="preserve"> early (CT-negative)</w:t>
      </w:r>
      <w:r w:rsidR="00420276" w:rsidRPr="005E4B56">
        <w:rPr>
          <w:rFonts w:ascii="Book Antiqua" w:hAnsi="Book Antiqua"/>
          <w:lang w:val="en-US"/>
        </w:rPr>
        <w:t xml:space="preserve"> arterial </w:t>
      </w:r>
      <w:proofErr w:type="gramStart"/>
      <w:r w:rsidR="00420276" w:rsidRPr="005E4B56">
        <w:rPr>
          <w:rFonts w:ascii="Book Antiqua" w:hAnsi="Book Antiqua"/>
          <w:lang w:val="en-US"/>
        </w:rPr>
        <w:t>plaque</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16,22,24]</w:t>
      </w:r>
      <w:r w:rsidR="00420276" w:rsidRPr="005E4B56">
        <w:rPr>
          <w:rFonts w:ascii="Book Antiqua" w:hAnsi="Book Antiqua"/>
          <w:lang w:val="en-US"/>
        </w:rPr>
        <w:t xml:space="preserve"> and the identification of the vulnerable </w:t>
      </w:r>
      <w:r w:rsidR="00A85C51" w:rsidRPr="005E4B56">
        <w:rPr>
          <w:rFonts w:ascii="Book Antiqua" w:hAnsi="Book Antiqua"/>
          <w:lang w:val="en-US"/>
        </w:rPr>
        <w:t>atherosclerotic lesion</w:t>
      </w:r>
      <w:r w:rsidR="00D42D84" w:rsidRPr="005E4B56">
        <w:rPr>
          <w:rFonts w:ascii="Book Antiqua" w:eastAsia="宋体" w:hAnsi="Book Antiqua"/>
          <w:vertAlign w:val="superscript"/>
          <w:lang w:val="en-US" w:eastAsia="zh-CN"/>
        </w:rPr>
        <w:t>[18,26]</w:t>
      </w:r>
      <w:r w:rsidR="00F6505A" w:rsidRPr="005E4B56">
        <w:rPr>
          <w:rFonts w:ascii="Book Antiqua" w:hAnsi="Book Antiqua"/>
          <w:lang w:val="en-US"/>
        </w:rPr>
        <w:t>.</w:t>
      </w:r>
    </w:p>
    <w:p w:rsidR="00906B2F" w:rsidRPr="005E4B56" w:rsidRDefault="00273E71" w:rsidP="00D42D84">
      <w:pPr>
        <w:spacing w:line="360" w:lineRule="auto"/>
        <w:ind w:firstLineChars="150" w:firstLine="360"/>
        <w:jc w:val="both"/>
        <w:rPr>
          <w:rFonts w:ascii="Book Antiqua" w:hAnsi="Book Antiqua"/>
          <w:lang w:val="en-US"/>
        </w:rPr>
      </w:pPr>
      <w:r w:rsidRPr="005E4B56">
        <w:rPr>
          <w:rFonts w:ascii="Book Antiqua" w:hAnsi="Book Antiqua"/>
          <w:lang w:val="en-US"/>
        </w:rPr>
        <w:t xml:space="preserve">Although the issue of </w:t>
      </w:r>
      <w:r w:rsidR="00D96247" w:rsidRPr="005E4B56">
        <w:rPr>
          <w:rFonts w:ascii="Book Antiqua" w:hAnsi="Book Antiqua"/>
          <w:lang w:val="en-US"/>
        </w:rPr>
        <w:t>organ</w:t>
      </w:r>
      <w:r w:rsidRPr="005E4B56">
        <w:rPr>
          <w:rFonts w:ascii="Book Antiqua" w:hAnsi="Book Antiqua"/>
          <w:lang w:val="en-US"/>
        </w:rPr>
        <w:t xml:space="preserve"> movement can be solved by </w:t>
      </w:r>
      <w:proofErr w:type="gramStart"/>
      <w:r w:rsidRPr="005E4B56">
        <w:rPr>
          <w:rFonts w:ascii="Book Antiqua" w:hAnsi="Book Antiqua"/>
          <w:lang w:val="en-US"/>
        </w:rPr>
        <w:t>gating</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18]</w:t>
      </w:r>
      <w:r w:rsidRPr="005E4B56">
        <w:rPr>
          <w:rFonts w:ascii="Book Antiqua" w:hAnsi="Book Antiqua"/>
          <w:lang w:val="en-US"/>
        </w:rPr>
        <w:t>, t</w:t>
      </w:r>
      <w:r w:rsidR="00A85C51" w:rsidRPr="005E4B56">
        <w:rPr>
          <w:rFonts w:ascii="Book Antiqua" w:hAnsi="Book Antiqua"/>
          <w:lang w:val="en-US"/>
        </w:rPr>
        <w:t xml:space="preserve">he main </w:t>
      </w:r>
      <w:r w:rsidRPr="005E4B56">
        <w:rPr>
          <w:rFonts w:ascii="Book Antiqua" w:hAnsi="Book Antiqua"/>
          <w:lang w:val="en-US"/>
        </w:rPr>
        <w:t>limiting factor</w:t>
      </w:r>
      <w:r w:rsidR="00A85C51" w:rsidRPr="005E4B56">
        <w:rPr>
          <w:rFonts w:ascii="Book Antiqua" w:hAnsi="Book Antiqua"/>
          <w:lang w:val="en-US"/>
        </w:rPr>
        <w:t xml:space="preserve"> in applying </w:t>
      </w:r>
      <w:r w:rsidRPr="005E4B56">
        <w:rPr>
          <w:rFonts w:ascii="Book Antiqua" w:hAnsi="Book Antiqua"/>
          <w:lang w:val="en-US"/>
        </w:rPr>
        <w:t>PET</w:t>
      </w:r>
      <w:r w:rsidR="00A85C51" w:rsidRPr="005E4B56">
        <w:rPr>
          <w:rFonts w:ascii="Book Antiqua" w:hAnsi="Book Antiqua"/>
          <w:lang w:val="en-US"/>
        </w:rPr>
        <w:t xml:space="preserve"> imaging on the study of the coronary district is the small size of these vessels</w:t>
      </w:r>
      <w:r w:rsidR="00D42D84" w:rsidRPr="005E4B56">
        <w:rPr>
          <w:rFonts w:ascii="Book Antiqua" w:eastAsia="宋体" w:hAnsi="Book Antiqua"/>
          <w:vertAlign w:val="superscript"/>
          <w:lang w:val="en-US" w:eastAsia="zh-CN"/>
        </w:rPr>
        <w:t>[26]</w:t>
      </w:r>
      <w:r w:rsidR="00A85C51" w:rsidRPr="005E4B56">
        <w:rPr>
          <w:rFonts w:ascii="Book Antiqua" w:hAnsi="Book Antiqua"/>
          <w:lang w:val="en-US"/>
        </w:rPr>
        <w:t xml:space="preserve">, which fall below the </w:t>
      </w:r>
      <w:r w:rsidR="00D52AED" w:rsidRPr="005E4B56">
        <w:rPr>
          <w:rFonts w:ascii="Book Antiqua" w:hAnsi="Book Antiqua"/>
          <w:lang w:val="en-US"/>
        </w:rPr>
        <w:t>resolution</w:t>
      </w:r>
      <w:r w:rsidR="00A85C51" w:rsidRPr="005E4B56">
        <w:rPr>
          <w:rFonts w:ascii="Book Antiqua" w:hAnsi="Book Antiqua"/>
          <w:lang w:val="en-US"/>
        </w:rPr>
        <w:t xml:space="preserve"> </w:t>
      </w:r>
      <w:r w:rsidR="00D52AED" w:rsidRPr="005E4B56">
        <w:rPr>
          <w:rFonts w:ascii="Book Antiqua" w:hAnsi="Book Antiqua"/>
          <w:lang w:val="en-US"/>
        </w:rPr>
        <w:t>capability of most scanner</w:t>
      </w:r>
      <w:r w:rsidR="00D42D84" w:rsidRPr="005E4B56">
        <w:rPr>
          <w:rFonts w:ascii="Book Antiqua" w:eastAsia="宋体" w:hAnsi="Book Antiqua"/>
          <w:vertAlign w:val="superscript"/>
          <w:lang w:val="en-US" w:eastAsia="zh-CN"/>
        </w:rPr>
        <w:t>[27]</w:t>
      </w:r>
      <w:r w:rsidR="00D52AED" w:rsidRPr="005E4B56">
        <w:rPr>
          <w:rFonts w:ascii="Book Antiqua" w:hAnsi="Book Antiqua"/>
          <w:lang w:val="en-US"/>
        </w:rPr>
        <w:t xml:space="preserve"> and can cause underestimation of PET signal due to partial volume effect.</w:t>
      </w:r>
      <w:r w:rsidR="00A85C51" w:rsidRPr="005E4B56">
        <w:rPr>
          <w:rFonts w:ascii="Book Antiqua" w:hAnsi="Book Antiqua"/>
          <w:lang w:val="en-US"/>
        </w:rPr>
        <w:t xml:space="preserve"> </w:t>
      </w:r>
    </w:p>
    <w:p w:rsidR="008721FE" w:rsidRPr="005E4B56" w:rsidRDefault="00844AA0" w:rsidP="00D42D84">
      <w:pPr>
        <w:spacing w:line="360" w:lineRule="auto"/>
        <w:ind w:firstLineChars="150" w:firstLine="360"/>
        <w:jc w:val="both"/>
        <w:rPr>
          <w:rFonts w:ascii="Book Antiqua" w:hAnsi="Book Antiqua"/>
          <w:lang w:val="en-US"/>
        </w:rPr>
      </w:pPr>
      <w:r w:rsidRPr="005E4B56">
        <w:rPr>
          <w:rFonts w:ascii="Book Antiqua" w:hAnsi="Book Antiqua"/>
          <w:lang w:val="en-US"/>
        </w:rPr>
        <w:t>In this context, the utilization of surrogate measure</w:t>
      </w:r>
      <w:r w:rsidR="00326779" w:rsidRPr="005E4B56">
        <w:rPr>
          <w:rFonts w:ascii="Book Antiqua" w:hAnsi="Book Antiqua"/>
          <w:lang w:val="en-US"/>
        </w:rPr>
        <w:t>s</w:t>
      </w:r>
      <w:r w:rsidRPr="005E4B56">
        <w:rPr>
          <w:rFonts w:ascii="Book Antiqua" w:hAnsi="Book Antiqua"/>
          <w:lang w:val="en-US"/>
        </w:rPr>
        <w:t xml:space="preserve"> to estimate the coronary mineral turnover can provide an affordable method to interrogate </w:t>
      </w:r>
      <w:r w:rsidR="00B22E9E" w:rsidRPr="005E4B56">
        <w:rPr>
          <w:rFonts w:ascii="Book Antiqua" w:hAnsi="Book Antiqua"/>
          <w:lang w:val="en-US"/>
        </w:rPr>
        <w:t xml:space="preserve">calcium deposition </w:t>
      </w:r>
      <w:r w:rsidRPr="005E4B56">
        <w:rPr>
          <w:rFonts w:ascii="Book Antiqua" w:hAnsi="Book Antiqua"/>
          <w:lang w:val="en-US"/>
        </w:rPr>
        <w:t>in this district</w:t>
      </w:r>
      <w:r w:rsidR="00D36105" w:rsidRPr="005E4B56">
        <w:rPr>
          <w:rFonts w:ascii="Book Antiqua" w:hAnsi="Book Antiqua"/>
          <w:lang w:val="en-US"/>
        </w:rPr>
        <w:t>; our data show a tight correlation between activity of thoracic aorta, activity within the myocardium, depicting the process of arterial calcification as a systemic ailment, rather than a localized phenomenon.</w:t>
      </w:r>
      <w:r w:rsidR="0015046D" w:rsidRPr="005E4B56">
        <w:rPr>
          <w:rFonts w:ascii="Book Antiqua" w:hAnsi="Book Antiqua"/>
          <w:lang w:val="en-US"/>
        </w:rPr>
        <w:t xml:space="preserve"> The</w:t>
      </w:r>
      <w:r w:rsidR="00C45809" w:rsidRPr="005E4B56">
        <w:rPr>
          <w:rFonts w:ascii="Book Antiqua" w:hAnsi="Book Antiqua"/>
          <w:lang w:val="en-US"/>
        </w:rPr>
        <w:t xml:space="preserve"> concept of “plaque promoting environment” is</w:t>
      </w:r>
      <w:r w:rsidR="008721FE" w:rsidRPr="005E4B56">
        <w:rPr>
          <w:rFonts w:ascii="Book Antiqua" w:hAnsi="Book Antiqua"/>
          <w:lang w:val="en-US"/>
        </w:rPr>
        <w:t xml:space="preserve"> further corroborate</w:t>
      </w:r>
      <w:r w:rsidR="00C45809" w:rsidRPr="005E4B56">
        <w:rPr>
          <w:rFonts w:ascii="Book Antiqua" w:hAnsi="Book Antiqua"/>
          <w:lang w:val="en-US"/>
        </w:rPr>
        <w:t>d in the analysis of</w:t>
      </w:r>
      <w:r w:rsidR="008721FE" w:rsidRPr="005E4B56">
        <w:rPr>
          <w:rFonts w:ascii="Book Antiqua" w:hAnsi="Book Antiqua"/>
          <w:lang w:val="en-US"/>
        </w:rPr>
        <w:t xml:space="preserve"> </w:t>
      </w:r>
      <w:r w:rsidR="00C45809" w:rsidRPr="005E4B56">
        <w:rPr>
          <w:rFonts w:ascii="Book Antiqua" w:hAnsi="Book Antiqua"/>
          <w:lang w:val="en-US"/>
        </w:rPr>
        <w:t xml:space="preserve">the whole myocardial volume: the application of the model by </w:t>
      </w:r>
      <w:proofErr w:type="spellStart"/>
      <w:r w:rsidR="00C45809" w:rsidRPr="005E4B56">
        <w:rPr>
          <w:rFonts w:ascii="Book Antiqua" w:hAnsi="Book Antiqua"/>
          <w:lang w:val="en-US"/>
        </w:rPr>
        <w:t>Beheshti</w:t>
      </w:r>
      <w:proofErr w:type="spellEnd"/>
      <w:r w:rsidR="00C45809" w:rsidRPr="005E4B56">
        <w:rPr>
          <w:rFonts w:ascii="Book Antiqua" w:hAnsi="Book Antiqua"/>
          <w:i/>
          <w:lang w:val="en-US"/>
        </w:rPr>
        <w:t xml:space="preserve"> et </w:t>
      </w:r>
      <w:proofErr w:type="gramStart"/>
      <w:r w:rsidR="00C45809" w:rsidRPr="005E4B56">
        <w:rPr>
          <w:rFonts w:ascii="Book Antiqua" w:hAnsi="Book Antiqua"/>
          <w:i/>
          <w:lang w:val="en-US"/>
        </w:rPr>
        <w:t>al</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22]</w:t>
      </w:r>
      <w:r w:rsidR="00C45809" w:rsidRPr="005E4B56">
        <w:rPr>
          <w:rFonts w:ascii="Book Antiqua" w:hAnsi="Book Antiqua"/>
          <w:lang w:val="en-US"/>
        </w:rPr>
        <w:t xml:space="preserve">, with subsequent normalization for background activity, provided an excellent stratification among risk classes. </w:t>
      </w:r>
      <w:r w:rsidR="0015046D" w:rsidRPr="005E4B56">
        <w:rPr>
          <w:rFonts w:ascii="Book Antiqua" w:hAnsi="Book Antiqua"/>
          <w:lang w:val="en-US"/>
        </w:rPr>
        <w:t>The evidence of increased macro and micro-vascular signal from high-risk patients open</w:t>
      </w:r>
      <w:r w:rsidR="00B22E9E" w:rsidRPr="005E4B56">
        <w:rPr>
          <w:rFonts w:ascii="Book Antiqua" w:hAnsi="Book Antiqua"/>
          <w:lang w:val="en-US"/>
        </w:rPr>
        <w:t>s</w:t>
      </w:r>
      <w:r w:rsidR="0015046D" w:rsidRPr="005E4B56">
        <w:rPr>
          <w:rFonts w:ascii="Book Antiqua" w:hAnsi="Book Antiqua"/>
          <w:lang w:val="en-US"/>
        </w:rPr>
        <w:t xml:space="preserve"> new questions, which call for longitudinal </w:t>
      </w:r>
      <w:r w:rsidR="0015046D" w:rsidRPr="005E4B56">
        <w:rPr>
          <w:rFonts w:ascii="Book Antiqua" w:hAnsi="Book Antiqua"/>
          <w:lang w:val="en-US"/>
        </w:rPr>
        <w:lastRenderedPageBreak/>
        <w:t xml:space="preserve">studies, aimed to assess whether an increased </w:t>
      </w:r>
      <w:proofErr w:type="spellStart"/>
      <w:r w:rsidR="0015046D" w:rsidRPr="005E4B56">
        <w:rPr>
          <w:rFonts w:ascii="Book Antiqua" w:hAnsi="Book Antiqua"/>
          <w:lang w:val="en-US"/>
        </w:rPr>
        <w:t>NaF</w:t>
      </w:r>
      <w:proofErr w:type="spellEnd"/>
      <w:r w:rsidR="0015046D" w:rsidRPr="005E4B56">
        <w:rPr>
          <w:rFonts w:ascii="Book Antiqua" w:hAnsi="Book Antiqua"/>
          <w:lang w:val="en-US"/>
        </w:rPr>
        <w:t xml:space="preserve"> activity is the harbinger of future calcifications and/or adverse cardiovascular events.</w:t>
      </w:r>
    </w:p>
    <w:p w:rsidR="00981D2E" w:rsidRPr="005E4B56" w:rsidRDefault="00981D2E" w:rsidP="00D42D84">
      <w:pPr>
        <w:spacing w:line="360" w:lineRule="auto"/>
        <w:ind w:firstLineChars="150" w:firstLine="360"/>
        <w:jc w:val="both"/>
        <w:rPr>
          <w:rFonts w:ascii="Book Antiqua" w:hAnsi="Book Antiqua"/>
          <w:lang w:val="en-US"/>
        </w:rPr>
      </w:pPr>
      <w:r w:rsidRPr="005E4B56">
        <w:rPr>
          <w:rFonts w:ascii="Book Antiqua" w:hAnsi="Book Antiqua"/>
          <w:lang w:val="en-US"/>
        </w:rPr>
        <w:t>Correlation between aortic uptake and CV risk was consistent in all three segments but relationship between thoracic and cardiac 18F-NaF accumulation was</w:t>
      </w:r>
      <w:r w:rsidR="002D4EF1" w:rsidRPr="005E4B56">
        <w:rPr>
          <w:rFonts w:ascii="Book Antiqua" w:hAnsi="Book Antiqua"/>
          <w:lang w:val="en-US"/>
        </w:rPr>
        <w:t xml:space="preserve"> somewhat</w:t>
      </w:r>
      <w:r w:rsidRPr="005E4B56">
        <w:rPr>
          <w:rFonts w:ascii="Book Antiqua" w:hAnsi="Book Antiqua"/>
          <w:lang w:val="en-US"/>
        </w:rPr>
        <w:t xml:space="preserve"> less steady and prevailed in the arch and in descending aorta.</w:t>
      </w:r>
      <w:r w:rsidR="002D4EF1" w:rsidRPr="005E4B56">
        <w:rPr>
          <w:rFonts w:ascii="Book Antiqua" w:hAnsi="Book Antiqua"/>
          <w:lang w:val="en-US"/>
        </w:rPr>
        <w:t xml:space="preserve"> This is in agreement with</w:t>
      </w:r>
      <w:r w:rsidR="006369DB" w:rsidRPr="005E4B56">
        <w:rPr>
          <w:rFonts w:ascii="Book Antiqua" w:hAnsi="Book Antiqua"/>
          <w:lang w:val="en-US"/>
        </w:rPr>
        <w:t xml:space="preserve"> our previous observation</w:t>
      </w:r>
      <w:r w:rsidR="002D4EF1" w:rsidRPr="005E4B56">
        <w:rPr>
          <w:rFonts w:ascii="Book Antiqua" w:hAnsi="Book Antiqua"/>
          <w:lang w:val="en-US"/>
        </w:rPr>
        <w:t>, which</w:t>
      </w:r>
      <w:r w:rsidR="006369DB" w:rsidRPr="005E4B56">
        <w:rPr>
          <w:rFonts w:ascii="Book Antiqua" w:hAnsi="Book Antiqua"/>
          <w:lang w:val="en-US"/>
        </w:rPr>
        <w:t xml:space="preserve"> demonstrated that vessel fluoride uptake is “per se” a marker of CVR, regardless of the </w:t>
      </w:r>
      <w:r w:rsidR="00B22E9E" w:rsidRPr="005E4B56">
        <w:rPr>
          <w:rFonts w:ascii="Book Antiqua" w:hAnsi="Book Antiqua"/>
          <w:lang w:val="en-US"/>
        </w:rPr>
        <w:t xml:space="preserve">studied </w:t>
      </w:r>
      <w:proofErr w:type="gramStart"/>
      <w:r w:rsidR="006369DB" w:rsidRPr="005E4B56">
        <w:rPr>
          <w:rFonts w:ascii="Book Antiqua" w:hAnsi="Book Antiqua"/>
          <w:lang w:val="en-US"/>
        </w:rPr>
        <w:t>segment</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8]</w:t>
      </w:r>
      <w:r w:rsidR="006369DB" w:rsidRPr="005E4B56">
        <w:rPr>
          <w:rFonts w:ascii="Book Antiqua" w:hAnsi="Book Antiqua"/>
          <w:lang w:val="en-US"/>
        </w:rPr>
        <w:t xml:space="preserve">. Conversely, intensity of this uptake tends to correlate in vessels that are subject to similar flow conditions. Specifically, these data parallel those reported in the literature for vascular calcification indicating that vascular regions characterized by vessel branching are more </w:t>
      </w:r>
      <w:r w:rsidR="00326779" w:rsidRPr="005E4B56">
        <w:rPr>
          <w:rFonts w:ascii="Book Antiqua" w:hAnsi="Book Antiqua"/>
          <w:lang w:val="en-US"/>
        </w:rPr>
        <w:t xml:space="preserve">prone </w:t>
      </w:r>
      <w:r w:rsidR="006369DB" w:rsidRPr="005E4B56">
        <w:rPr>
          <w:rFonts w:ascii="Book Antiqua" w:hAnsi="Book Antiqua"/>
          <w:lang w:val="en-US"/>
        </w:rPr>
        <w:t xml:space="preserve">to plaque formation, due to the influence of regional flow </w:t>
      </w:r>
      <w:proofErr w:type="gramStart"/>
      <w:r w:rsidR="006369DB" w:rsidRPr="005E4B56">
        <w:rPr>
          <w:rFonts w:ascii="Book Antiqua" w:hAnsi="Book Antiqua"/>
          <w:lang w:val="en-US"/>
        </w:rPr>
        <w:t>alterations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28,29]</w:t>
      </w:r>
      <w:r w:rsidR="008C4E85" w:rsidRPr="005E4B56">
        <w:rPr>
          <w:rFonts w:ascii="Book Antiqua" w:hAnsi="Book Antiqua"/>
          <w:lang w:val="en-US"/>
        </w:rPr>
        <w:t xml:space="preserve">. </w:t>
      </w:r>
      <w:r w:rsidR="00B21C62" w:rsidRPr="005E4B56">
        <w:rPr>
          <w:rFonts w:ascii="Book Antiqua" w:hAnsi="Book Antiqua"/>
          <w:lang w:val="en-US"/>
        </w:rPr>
        <w:t>These considerations imply that, when using thoracic aorta as a surrogate for coronary artery vascular lesions, the analysis should be focused on the descending segment and on the arch.</w:t>
      </w:r>
    </w:p>
    <w:p w:rsidR="00D31E59" w:rsidRPr="005E4B56" w:rsidRDefault="00B21C62" w:rsidP="00D42D84">
      <w:pPr>
        <w:spacing w:line="360" w:lineRule="auto"/>
        <w:ind w:firstLineChars="200" w:firstLine="480"/>
        <w:jc w:val="both"/>
        <w:rPr>
          <w:rFonts w:ascii="Book Antiqua" w:hAnsi="Book Antiqua"/>
          <w:lang w:val="en-US"/>
        </w:rPr>
      </w:pPr>
      <w:r w:rsidRPr="005E4B56">
        <w:rPr>
          <w:rFonts w:ascii="Book Antiqua" w:hAnsi="Book Antiqua"/>
          <w:lang w:val="en-US"/>
        </w:rPr>
        <w:t xml:space="preserve">This study presents some limitations. It is a retrospective study, performed on patients that were referred for an oncologic condition. </w:t>
      </w:r>
      <w:r w:rsidR="003179AE" w:rsidRPr="005E4B56">
        <w:rPr>
          <w:rFonts w:ascii="Book Antiqua" w:hAnsi="Book Antiqua"/>
          <w:lang w:val="en-US"/>
        </w:rPr>
        <w:t xml:space="preserve">Ethical consideration impeded radiotracer injection outside of validated clinical indications; recent studies have </w:t>
      </w:r>
      <w:r w:rsidR="00942477" w:rsidRPr="005E4B56">
        <w:rPr>
          <w:rFonts w:ascii="Book Antiqua" w:hAnsi="Book Antiqua"/>
          <w:lang w:val="en-US"/>
        </w:rPr>
        <w:t>yet</w:t>
      </w:r>
      <w:r w:rsidR="003179AE" w:rsidRPr="005E4B56">
        <w:rPr>
          <w:rFonts w:ascii="Book Antiqua" w:hAnsi="Book Antiqua"/>
          <w:lang w:val="en-US"/>
        </w:rPr>
        <w:t xml:space="preserve"> presented strong evidence that vascular and plaque </w:t>
      </w:r>
      <w:proofErr w:type="spellStart"/>
      <w:r w:rsidR="003179AE" w:rsidRPr="005E4B56">
        <w:rPr>
          <w:rFonts w:ascii="Book Antiqua" w:hAnsi="Book Antiqua"/>
          <w:lang w:val="en-US"/>
        </w:rPr>
        <w:t>NaF</w:t>
      </w:r>
      <w:proofErr w:type="spellEnd"/>
      <w:r w:rsidR="003179AE" w:rsidRPr="005E4B56">
        <w:rPr>
          <w:rFonts w:ascii="Book Antiqua" w:hAnsi="Book Antiqua"/>
          <w:lang w:val="en-US"/>
        </w:rPr>
        <w:t xml:space="preserve"> uptake is linked with active calcification </w:t>
      </w:r>
      <w:proofErr w:type="gramStart"/>
      <w:r w:rsidR="003179AE" w:rsidRPr="005E4B56">
        <w:rPr>
          <w:rFonts w:ascii="Book Antiqua" w:hAnsi="Book Antiqua"/>
          <w:lang w:val="en-US"/>
        </w:rPr>
        <w:t>processes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18,30]</w:t>
      </w:r>
      <w:r w:rsidR="003179AE" w:rsidRPr="005E4B56">
        <w:rPr>
          <w:rFonts w:ascii="Book Antiqua" w:hAnsi="Book Antiqua"/>
          <w:lang w:val="en-US"/>
        </w:rPr>
        <w:t xml:space="preserve">. Moreover, the strict inclusion criteria limited the size of the population; however, the sample size actually matched the one of several previous studies regarding </w:t>
      </w:r>
      <w:proofErr w:type="spellStart"/>
      <w:r w:rsidR="003179AE" w:rsidRPr="005E4B56">
        <w:rPr>
          <w:rFonts w:ascii="Book Antiqua" w:hAnsi="Book Antiqua"/>
          <w:lang w:val="en-US"/>
        </w:rPr>
        <w:t>NaF</w:t>
      </w:r>
      <w:proofErr w:type="spellEnd"/>
      <w:r w:rsidR="003179AE" w:rsidRPr="005E4B56">
        <w:rPr>
          <w:rFonts w:ascii="Book Antiqua" w:hAnsi="Book Antiqua"/>
          <w:lang w:val="en-US"/>
        </w:rPr>
        <w:t xml:space="preserve"> uptake within plaque and arterial </w:t>
      </w:r>
      <w:proofErr w:type="gramStart"/>
      <w:r w:rsidR="003179AE" w:rsidRPr="005E4B56">
        <w:rPr>
          <w:rFonts w:ascii="Book Antiqua" w:hAnsi="Book Antiqua"/>
          <w:lang w:val="en-US"/>
        </w:rPr>
        <w:t>vessels</w:t>
      </w:r>
      <w:r w:rsidR="00D42D84" w:rsidRPr="005E4B56">
        <w:rPr>
          <w:rFonts w:ascii="Book Antiqua" w:eastAsia="宋体" w:hAnsi="Book Antiqua"/>
          <w:vertAlign w:val="superscript"/>
          <w:lang w:val="en-US" w:eastAsia="zh-CN"/>
        </w:rPr>
        <w:t>[</w:t>
      </w:r>
      <w:proofErr w:type="gramEnd"/>
      <w:r w:rsidR="00D42D84" w:rsidRPr="005E4B56">
        <w:rPr>
          <w:rFonts w:ascii="Book Antiqua" w:eastAsia="宋体" w:hAnsi="Book Antiqua"/>
          <w:vertAlign w:val="superscript"/>
          <w:lang w:val="en-US" w:eastAsia="zh-CN"/>
        </w:rPr>
        <w:t>10,14,18]</w:t>
      </w:r>
      <w:r w:rsidR="003179AE" w:rsidRPr="005E4B56">
        <w:rPr>
          <w:rFonts w:ascii="Book Antiqua" w:hAnsi="Book Antiqua"/>
          <w:lang w:val="en-US"/>
        </w:rPr>
        <w:t>.</w:t>
      </w:r>
    </w:p>
    <w:p w:rsidR="00B21C62" w:rsidRPr="005E4B56" w:rsidRDefault="009B3EB7" w:rsidP="00DE494F">
      <w:pPr>
        <w:spacing w:line="360" w:lineRule="auto"/>
        <w:jc w:val="both"/>
        <w:rPr>
          <w:rFonts w:ascii="Book Antiqua" w:hAnsi="Book Antiqua"/>
          <w:lang w:val="en-US"/>
        </w:rPr>
      </w:pPr>
      <w:r w:rsidRPr="005E4B56">
        <w:rPr>
          <w:rFonts w:ascii="Book Antiqua" w:hAnsi="Book Antiqua"/>
          <w:lang w:val="en-US"/>
        </w:rPr>
        <w:t xml:space="preserve"> </w:t>
      </w:r>
      <w:r w:rsidR="00D42D84" w:rsidRPr="005E4B56">
        <w:rPr>
          <w:rFonts w:ascii="Book Antiqua" w:eastAsia="宋体" w:hAnsi="Book Antiqua"/>
          <w:lang w:val="en-US" w:eastAsia="zh-CN"/>
        </w:rPr>
        <w:t xml:space="preserve">    </w:t>
      </w:r>
      <w:r w:rsidR="003179AE" w:rsidRPr="005E4B56">
        <w:rPr>
          <w:rFonts w:ascii="Book Antiqua" w:hAnsi="Book Antiqua"/>
          <w:lang w:val="en-US"/>
        </w:rPr>
        <w:t>Finally</w:t>
      </w:r>
      <w:r w:rsidRPr="005E4B56">
        <w:rPr>
          <w:rFonts w:ascii="Book Antiqua" w:hAnsi="Book Antiqua"/>
          <w:lang w:val="en-US"/>
        </w:rPr>
        <w:t xml:space="preserve">, </w:t>
      </w:r>
      <w:r w:rsidR="00D90F44" w:rsidRPr="005E4B56">
        <w:rPr>
          <w:rFonts w:ascii="Book Antiqua" w:hAnsi="Book Antiqua"/>
          <w:lang w:val="en-US"/>
        </w:rPr>
        <w:t>cardiac volume-of-interest was placed on an ungated PET; however, the large volume of the sampled tissue should have largely limited the influence of motion artifacts.</w:t>
      </w:r>
    </w:p>
    <w:p w:rsidR="00D90F44" w:rsidRPr="005E4B56" w:rsidRDefault="00D90F44" w:rsidP="00DE494F">
      <w:pPr>
        <w:spacing w:line="360" w:lineRule="auto"/>
        <w:jc w:val="both"/>
        <w:rPr>
          <w:rFonts w:ascii="Book Antiqua" w:eastAsia="宋体" w:hAnsi="Book Antiqua"/>
          <w:lang w:val="en-US" w:eastAsia="zh-CN"/>
        </w:rPr>
      </w:pPr>
      <w:r w:rsidRPr="005E4B56">
        <w:rPr>
          <w:rFonts w:ascii="Book Antiqua" w:hAnsi="Book Antiqua"/>
          <w:lang w:val="en-US"/>
        </w:rPr>
        <w:t xml:space="preserve">Altogether, the continuous improvement of PET/CT instrumentation has been opening a whole new perspective on plaque biology. The systematization of this analysis has the potential to allow the quantification of plaque mineral turnover, granting the possibility to stratify the evolutionary pattern of vascular lesions. In the coronary artery setting, where the small vessel size remains </w:t>
      </w:r>
      <w:r w:rsidR="00BE6CCC" w:rsidRPr="005E4B56">
        <w:rPr>
          <w:rFonts w:ascii="Book Antiqua" w:hAnsi="Book Antiqua"/>
          <w:lang w:val="en-US"/>
        </w:rPr>
        <w:t>at the boundary of</w:t>
      </w:r>
      <w:r w:rsidRPr="005E4B56">
        <w:rPr>
          <w:rFonts w:ascii="Book Antiqua" w:hAnsi="Book Antiqua"/>
          <w:lang w:val="en-US"/>
        </w:rPr>
        <w:t xml:space="preserve"> the </w:t>
      </w:r>
      <w:r w:rsidR="00BE6CCC" w:rsidRPr="005E4B56">
        <w:rPr>
          <w:rFonts w:ascii="Book Antiqua" w:hAnsi="Book Antiqua"/>
          <w:lang w:val="en-US"/>
        </w:rPr>
        <w:t>PET diagnostic capability, the application of an indirect evaluation of active calcification might enable to derive a prognostic index and to measure the effectiveness of plaque treatments.</w:t>
      </w:r>
    </w:p>
    <w:p w:rsidR="008D0F60" w:rsidRPr="005E4B56" w:rsidRDefault="008D0F60" w:rsidP="00DE494F">
      <w:pPr>
        <w:spacing w:line="360" w:lineRule="auto"/>
        <w:jc w:val="both"/>
        <w:rPr>
          <w:rFonts w:ascii="Book Antiqua" w:eastAsia="宋体" w:hAnsi="Book Antiqua"/>
          <w:lang w:val="en-US" w:eastAsia="zh-CN"/>
        </w:rPr>
      </w:pPr>
    </w:p>
    <w:p w:rsidR="008D0F60" w:rsidRPr="005E4B56" w:rsidRDefault="008D0F60" w:rsidP="008D0F60">
      <w:pPr>
        <w:spacing w:line="360" w:lineRule="auto"/>
        <w:jc w:val="both"/>
        <w:rPr>
          <w:rFonts w:ascii="Book Antiqua" w:hAnsi="Book Antiqua"/>
          <w:b/>
          <w:lang w:val="en-US"/>
        </w:rPr>
      </w:pPr>
      <w:r w:rsidRPr="005E4B56">
        <w:rPr>
          <w:rFonts w:ascii="Book Antiqua" w:hAnsi="Book Antiqua"/>
          <w:b/>
          <w:lang w:val="en-US"/>
        </w:rPr>
        <w:t>COMMENTS</w:t>
      </w:r>
    </w:p>
    <w:p w:rsidR="008D0F60" w:rsidRPr="005E4B56" w:rsidRDefault="008D0F60" w:rsidP="008D0F60">
      <w:pPr>
        <w:spacing w:line="360" w:lineRule="auto"/>
        <w:jc w:val="both"/>
        <w:rPr>
          <w:rFonts w:ascii="Book Antiqua" w:hAnsi="Book Antiqua"/>
          <w:b/>
          <w:i/>
          <w:lang w:val="en-US"/>
        </w:rPr>
      </w:pPr>
      <w:r w:rsidRPr="005E4B56">
        <w:rPr>
          <w:rFonts w:ascii="Book Antiqua" w:hAnsi="Book Antiqua"/>
          <w:b/>
          <w:i/>
          <w:lang w:val="en-US"/>
        </w:rPr>
        <w:t>Background</w:t>
      </w:r>
    </w:p>
    <w:p w:rsidR="008D0F60" w:rsidRPr="005E4B56" w:rsidRDefault="008D0F60" w:rsidP="008D0F60">
      <w:pPr>
        <w:spacing w:line="360" w:lineRule="auto"/>
        <w:jc w:val="both"/>
        <w:rPr>
          <w:rFonts w:ascii="Book Antiqua" w:hAnsi="Book Antiqua"/>
          <w:lang w:val="en-US"/>
        </w:rPr>
      </w:pPr>
      <w:r w:rsidRPr="005E4B56">
        <w:rPr>
          <w:rFonts w:ascii="Book Antiqua" w:hAnsi="Book Antiqua"/>
          <w:lang w:val="en-US"/>
        </w:rPr>
        <w:lastRenderedPageBreak/>
        <w:t>18F-Natrium-Fluoride (</w:t>
      </w:r>
      <w:proofErr w:type="spellStart"/>
      <w:r w:rsidRPr="005E4B56">
        <w:rPr>
          <w:rFonts w:ascii="Book Antiqua" w:hAnsi="Book Antiqua"/>
          <w:lang w:val="en-US"/>
        </w:rPr>
        <w:t>NaF</w:t>
      </w:r>
      <w:proofErr w:type="spellEnd"/>
      <w:r w:rsidRPr="005E4B56">
        <w:rPr>
          <w:rFonts w:ascii="Book Antiqua" w:hAnsi="Book Antiqua"/>
          <w:lang w:val="en-US"/>
        </w:rPr>
        <w:t>)</w:t>
      </w:r>
      <w:r w:rsidRPr="005E4B56">
        <w:rPr>
          <w:rFonts w:ascii="Book Antiqua" w:eastAsia="宋体" w:hAnsi="Book Antiqua"/>
          <w:lang w:val="en-US" w:eastAsia="zh-CN"/>
        </w:rPr>
        <w:t xml:space="preserve"> </w:t>
      </w:r>
      <w:r w:rsidRPr="005E4B56">
        <w:rPr>
          <w:rFonts w:ascii="Book Antiqua" w:hAnsi="Book Antiqua"/>
          <w:lang w:val="en-US"/>
        </w:rPr>
        <w:t xml:space="preserve">is a bone seeking tracer that has been successfully proposed for the imaging of micro-calcification processes within the atherosclerotic plaque. Since coronary arteries are one of the most important targets of this kind of research, but tend to be subject to partial volume effects in images produced by commercial scanners. We hypothesized that </w:t>
      </w:r>
      <w:proofErr w:type="spellStart"/>
      <w:r w:rsidRPr="005E4B56">
        <w:rPr>
          <w:rFonts w:ascii="Book Antiqua" w:hAnsi="Book Antiqua"/>
          <w:lang w:val="en-US"/>
        </w:rPr>
        <w:t>thoraci</w:t>
      </w:r>
      <w:proofErr w:type="spellEnd"/>
      <w:r w:rsidRPr="005E4B56">
        <w:rPr>
          <w:rFonts w:ascii="Book Antiqua" w:hAnsi="Book Antiqua"/>
          <w:lang w:val="en-US"/>
        </w:rPr>
        <w:t xml:space="preserve"> aorta could serve as an ersatz, on the bases of the known correlation between thoracic aorta and coronary calcifications.</w:t>
      </w:r>
    </w:p>
    <w:p w:rsidR="008D0F60" w:rsidRPr="005E4B56" w:rsidRDefault="008D0F60" w:rsidP="008D0F60">
      <w:pPr>
        <w:spacing w:line="360" w:lineRule="auto"/>
        <w:jc w:val="both"/>
        <w:rPr>
          <w:rFonts w:ascii="Book Antiqua" w:hAnsi="Book Antiqua"/>
          <w:lang w:val="en-US"/>
        </w:rPr>
      </w:pPr>
    </w:p>
    <w:p w:rsidR="008D0F60" w:rsidRPr="005E4B56" w:rsidRDefault="008D0F60" w:rsidP="008D0F60">
      <w:pPr>
        <w:spacing w:line="360" w:lineRule="auto"/>
        <w:jc w:val="both"/>
        <w:rPr>
          <w:rFonts w:ascii="Book Antiqua" w:hAnsi="Book Antiqua"/>
          <w:b/>
          <w:i/>
          <w:lang w:val="en-US"/>
        </w:rPr>
      </w:pPr>
      <w:r w:rsidRPr="005E4B56">
        <w:rPr>
          <w:rFonts w:ascii="Book Antiqua" w:hAnsi="Book Antiqua"/>
          <w:b/>
          <w:i/>
          <w:lang w:val="en-US"/>
        </w:rPr>
        <w:t>Research frontiers</w:t>
      </w:r>
    </w:p>
    <w:p w:rsidR="008D0F60" w:rsidRPr="005E4B56" w:rsidRDefault="008D0F60" w:rsidP="008D0F60">
      <w:pPr>
        <w:spacing w:line="360" w:lineRule="auto"/>
        <w:jc w:val="both"/>
        <w:rPr>
          <w:rFonts w:ascii="Book Antiqua" w:hAnsi="Book Antiqua"/>
          <w:lang w:val="en-US"/>
        </w:rPr>
      </w:pPr>
      <w:r w:rsidRPr="005E4B56">
        <w:rPr>
          <w:rFonts w:ascii="Book Antiqua" w:hAnsi="Book Antiqua"/>
          <w:lang w:val="en-US"/>
        </w:rPr>
        <w:t>The analysis proved that thoracic aorta uptake is related to both the cardiovascular risk profile and the uptake in the whole myocardium (as a measure of the entire calcification activity occurring in the heart micro- and macro-vasculature).</w:t>
      </w:r>
    </w:p>
    <w:p w:rsidR="008D0F60" w:rsidRPr="005E4B56" w:rsidRDefault="008D0F60" w:rsidP="008D0F60">
      <w:pPr>
        <w:spacing w:line="360" w:lineRule="auto"/>
        <w:jc w:val="both"/>
        <w:rPr>
          <w:rFonts w:ascii="Book Antiqua" w:hAnsi="Book Antiqua"/>
          <w:lang w:val="en-US"/>
        </w:rPr>
      </w:pPr>
    </w:p>
    <w:p w:rsidR="008D0F60" w:rsidRPr="005E4B56" w:rsidRDefault="008D0F60" w:rsidP="008D0F60">
      <w:pPr>
        <w:spacing w:line="360" w:lineRule="auto"/>
        <w:jc w:val="both"/>
        <w:rPr>
          <w:rFonts w:ascii="Book Antiqua" w:hAnsi="Book Antiqua"/>
          <w:b/>
          <w:i/>
          <w:lang w:val="en-US"/>
        </w:rPr>
      </w:pPr>
      <w:r w:rsidRPr="005E4B56">
        <w:rPr>
          <w:rFonts w:ascii="Book Antiqua" w:hAnsi="Book Antiqua"/>
          <w:b/>
          <w:i/>
          <w:lang w:val="en-US"/>
        </w:rPr>
        <w:t>Innovation and breakthrough</w:t>
      </w:r>
    </w:p>
    <w:p w:rsidR="008D0F60" w:rsidRPr="005E4B56" w:rsidRDefault="008D0F60" w:rsidP="008D0F60">
      <w:pPr>
        <w:spacing w:line="360" w:lineRule="auto"/>
        <w:jc w:val="both"/>
        <w:rPr>
          <w:rFonts w:ascii="Book Antiqua" w:hAnsi="Book Antiqua"/>
          <w:lang w:val="en-US"/>
        </w:rPr>
      </w:pPr>
      <w:r w:rsidRPr="005E4B56">
        <w:rPr>
          <w:rFonts w:ascii="Book Antiqua" w:hAnsi="Book Antiqua"/>
          <w:lang w:val="en-US"/>
        </w:rPr>
        <w:t xml:space="preserve">Computational analysis of </w:t>
      </w:r>
      <w:proofErr w:type="spellStart"/>
      <w:r w:rsidRPr="005E4B56">
        <w:rPr>
          <w:rFonts w:ascii="Book Antiqua" w:hAnsi="Book Antiqua"/>
          <w:lang w:val="en-US"/>
        </w:rPr>
        <w:t>NaF</w:t>
      </w:r>
      <w:proofErr w:type="spellEnd"/>
      <w:r w:rsidRPr="005E4B56">
        <w:rPr>
          <w:rFonts w:ascii="Book Antiqua" w:hAnsi="Book Antiqua"/>
          <w:lang w:val="en-US"/>
        </w:rPr>
        <w:t xml:space="preserve"> uptake within the thoracic aorta vessel walls has the potential to become a robust, independent and non-invasive risk of cardiovascular risk. Differently from clinical scores, which give off a likelihood of acute events, </w:t>
      </w:r>
      <w:proofErr w:type="spellStart"/>
      <w:r w:rsidRPr="005E4B56">
        <w:rPr>
          <w:rFonts w:ascii="Book Antiqua" w:hAnsi="Book Antiqua"/>
          <w:lang w:val="en-US"/>
        </w:rPr>
        <w:t>NaF</w:t>
      </w:r>
      <w:proofErr w:type="spellEnd"/>
      <w:r w:rsidRPr="005E4B56">
        <w:rPr>
          <w:rFonts w:ascii="Book Antiqua" w:hAnsi="Book Antiqua"/>
          <w:lang w:val="en-US"/>
        </w:rPr>
        <w:t xml:space="preserve"> uptake actually depicts the activity of calcium deposition within arteries, as a marker of plaque growth.</w:t>
      </w:r>
    </w:p>
    <w:p w:rsidR="008D0F60" w:rsidRPr="005E4B56" w:rsidRDefault="008D0F60" w:rsidP="008D0F60">
      <w:pPr>
        <w:spacing w:line="360" w:lineRule="auto"/>
        <w:jc w:val="both"/>
        <w:rPr>
          <w:rFonts w:ascii="Book Antiqua" w:hAnsi="Book Antiqua"/>
          <w:lang w:val="en-US"/>
        </w:rPr>
      </w:pPr>
    </w:p>
    <w:p w:rsidR="008D0F60" w:rsidRPr="005E4B56" w:rsidRDefault="008D0F60" w:rsidP="008D0F60">
      <w:pPr>
        <w:spacing w:line="360" w:lineRule="auto"/>
        <w:jc w:val="both"/>
        <w:rPr>
          <w:rFonts w:ascii="Book Antiqua" w:hAnsi="Book Antiqua"/>
          <w:b/>
          <w:i/>
          <w:lang w:val="en-US"/>
        </w:rPr>
      </w:pPr>
      <w:r w:rsidRPr="005E4B56">
        <w:rPr>
          <w:rFonts w:ascii="Book Antiqua" w:hAnsi="Book Antiqua"/>
          <w:b/>
          <w:i/>
          <w:lang w:val="en-US"/>
        </w:rPr>
        <w:t>Applications</w:t>
      </w:r>
    </w:p>
    <w:p w:rsidR="008D0F60" w:rsidRPr="005E4B56" w:rsidRDefault="008D0F60" w:rsidP="008D0F60">
      <w:pPr>
        <w:spacing w:line="360" w:lineRule="auto"/>
        <w:jc w:val="both"/>
        <w:rPr>
          <w:rFonts w:ascii="Book Antiqua" w:hAnsi="Book Antiqua"/>
          <w:lang w:val="en-US"/>
        </w:rPr>
      </w:pPr>
      <w:r w:rsidRPr="005E4B56">
        <w:rPr>
          <w:rFonts w:ascii="Book Antiqua" w:hAnsi="Book Antiqua"/>
          <w:lang w:val="en-US"/>
        </w:rPr>
        <w:t xml:space="preserve">This research should serve as a base to further perspective studies, used to identify the role of </w:t>
      </w:r>
      <w:proofErr w:type="spellStart"/>
      <w:r w:rsidRPr="005E4B56">
        <w:rPr>
          <w:rFonts w:ascii="Book Antiqua" w:hAnsi="Book Antiqua"/>
          <w:lang w:val="en-US"/>
        </w:rPr>
        <w:t>NaF</w:t>
      </w:r>
      <w:proofErr w:type="spellEnd"/>
      <w:r w:rsidRPr="005E4B56">
        <w:rPr>
          <w:rFonts w:ascii="Book Antiqua" w:hAnsi="Book Antiqua"/>
          <w:lang w:val="en-US"/>
        </w:rPr>
        <w:t xml:space="preserve"> uptake in predicting future CV events. This kind of analysis could be automated by applying simple mathematical approaches, so as to become faster and more operator-</w:t>
      </w:r>
      <w:r w:rsidR="00D1444E" w:rsidRPr="005E4B56">
        <w:rPr>
          <w:rFonts w:ascii="Book Antiqua" w:hAnsi="Book Antiqua"/>
          <w:lang w:val="en-US"/>
        </w:rPr>
        <w:t>independent</w:t>
      </w:r>
      <w:r w:rsidRPr="005E4B56">
        <w:rPr>
          <w:rFonts w:ascii="Book Antiqua" w:hAnsi="Book Antiqua"/>
          <w:lang w:val="en-US"/>
        </w:rPr>
        <w:t>.</w:t>
      </w:r>
    </w:p>
    <w:p w:rsidR="008D0F60" w:rsidRPr="005E4B56" w:rsidRDefault="008D0F60" w:rsidP="008D0F60">
      <w:pPr>
        <w:spacing w:line="360" w:lineRule="auto"/>
        <w:jc w:val="both"/>
        <w:rPr>
          <w:rFonts w:ascii="Book Antiqua" w:hAnsi="Book Antiqua"/>
          <w:lang w:val="en-US"/>
        </w:rPr>
      </w:pPr>
    </w:p>
    <w:p w:rsidR="008D0F60" w:rsidRPr="005E4B56" w:rsidRDefault="008D0F60" w:rsidP="008D0F60">
      <w:pPr>
        <w:spacing w:line="360" w:lineRule="auto"/>
        <w:jc w:val="both"/>
        <w:rPr>
          <w:rFonts w:ascii="Book Antiqua" w:hAnsi="Book Antiqua"/>
          <w:lang w:val="en-US"/>
        </w:rPr>
      </w:pPr>
    </w:p>
    <w:p w:rsidR="008D0F60" w:rsidRPr="005E4B56" w:rsidRDefault="008D0F60" w:rsidP="008D0F60">
      <w:pPr>
        <w:spacing w:line="360" w:lineRule="auto"/>
        <w:jc w:val="both"/>
        <w:rPr>
          <w:rFonts w:ascii="Book Antiqua" w:hAnsi="Book Antiqua"/>
          <w:b/>
          <w:i/>
          <w:lang w:val="en-US"/>
        </w:rPr>
      </w:pPr>
      <w:r w:rsidRPr="005E4B56">
        <w:rPr>
          <w:rFonts w:ascii="Book Antiqua" w:hAnsi="Book Antiqua"/>
          <w:b/>
          <w:i/>
          <w:lang w:val="en-US"/>
        </w:rPr>
        <w:t>Peer</w:t>
      </w:r>
      <w:r w:rsidRPr="005E4B56">
        <w:rPr>
          <w:rFonts w:ascii="Book Antiqua" w:eastAsia="宋体" w:hAnsi="Book Antiqua"/>
          <w:b/>
          <w:i/>
          <w:lang w:val="en-US" w:eastAsia="zh-CN"/>
        </w:rPr>
        <w:t>-</w:t>
      </w:r>
      <w:r w:rsidRPr="005E4B56">
        <w:rPr>
          <w:rFonts w:ascii="Book Antiqua" w:hAnsi="Book Antiqua"/>
          <w:b/>
          <w:i/>
          <w:lang w:val="en-US"/>
        </w:rPr>
        <w:t xml:space="preserve">review </w:t>
      </w:r>
    </w:p>
    <w:p w:rsidR="008D0F60" w:rsidRPr="005E4B56" w:rsidRDefault="008D0F60" w:rsidP="008D0F60">
      <w:pPr>
        <w:spacing w:line="360" w:lineRule="auto"/>
        <w:jc w:val="both"/>
        <w:rPr>
          <w:rFonts w:ascii="Book Antiqua" w:hAnsi="Book Antiqua"/>
          <w:lang w:val="en-US"/>
        </w:rPr>
      </w:pPr>
      <w:r w:rsidRPr="005E4B56">
        <w:rPr>
          <w:rFonts w:ascii="Book Antiqua" w:hAnsi="Book Antiqua"/>
          <w:lang w:val="en-US"/>
        </w:rPr>
        <w:t xml:space="preserve">“The Authors present a retrospective analysis of correlation between different segments of thoracic aorta 18F-NaF uptake and cardiovascular risk, as well as to evaluation of correspondence between aortic and myocardial uptake in 78 oncologic patients. The study is interesting, even if there are several reports demonstrating the reliability of 18F-NaF PET/TC in imaging plaque inflammation in large arteries and the correlation between </w:t>
      </w:r>
      <w:r w:rsidRPr="005E4B56">
        <w:rPr>
          <w:rFonts w:ascii="Book Antiqua" w:hAnsi="Book Antiqua"/>
          <w:lang w:val="en-US"/>
        </w:rPr>
        <w:lastRenderedPageBreak/>
        <w:t>radiotracer uptake in atherosclerotic lesions and the presence of cardiovascular risk factors, identifying the patients at risk of future cardiovascular events”.</w:t>
      </w:r>
    </w:p>
    <w:p w:rsidR="008D0F60" w:rsidRPr="005E4B56" w:rsidRDefault="008D0F60" w:rsidP="008D0F60">
      <w:pPr>
        <w:spacing w:line="360" w:lineRule="auto"/>
        <w:jc w:val="both"/>
        <w:rPr>
          <w:rFonts w:ascii="Book Antiqua" w:eastAsia="宋体" w:hAnsi="Book Antiqua"/>
          <w:b/>
          <w:lang w:val="en-US" w:eastAsia="zh-CN"/>
        </w:rPr>
      </w:pPr>
    </w:p>
    <w:p w:rsidR="008D0F60" w:rsidRPr="005E4B56" w:rsidRDefault="008D0F60">
      <w:pPr>
        <w:rPr>
          <w:rFonts w:ascii="Book Antiqua" w:hAnsi="Book Antiqua"/>
          <w:b/>
          <w:lang w:val="en-US"/>
        </w:rPr>
      </w:pPr>
      <w:r w:rsidRPr="005E4B56">
        <w:rPr>
          <w:rFonts w:ascii="Book Antiqua" w:hAnsi="Book Antiqua"/>
          <w:b/>
          <w:lang w:val="en-US"/>
        </w:rPr>
        <w:br w:type="page"/>
      </w:r>
    </w:p>
    <w:p w:rsidR="00906B2F" w:rsidRPr="005E4B56" w:rsidRDefault="00D42D84" w:rsidP="00DE494F">
      <w:pPr>
        <w:spacing w:line="360" w:lineRule="auto"/>
        <w:jc w:val="both"/>
        <w:rPr>
          <w:rFonts w:ascii="Book Antiqua" w:eastAsia="宋体" w:hAnsi="Book Antiqua"/>
          <w:b/>
          <w:lang w:val="en-US" w:eastAsia="zh-CN"/>
        </w:rPr>
      </w:pPr>
      <w:r w:rsidRPr="005E4B56">
        <w:rPr>
          <w:rFonts w:ascii="Book Antiqua" w:hAnsi="Book Antiqua"/>
          <w:b/>
          <w:lang w:val="en-US"/>
        </w:rPr>
        <w:lastRenderedPageBreak/>
        <w:t>REFERENCES</w:t>
      </w:r>
    </w:p>
    <w:p w:rsidR="00D713F7" w:rsidRPr="005E4B56" w:rsidRDefault="00D713F7" w:rsidP="00D713F7">
      <w:pPr>
        <w:spacing w:line="360" w:lineRule="auto"/>
        <w:rPr>
          <w:rFonts w:ascii="Book Antiqua" w:eastAsia="宋体" w:hAnsi="Book Antiqua" w:cs="宋体"/>
        </w:rPr>
      </w:pPr>
      <w:r w:rsidRPr="005E4B56">
        <w:rPr>
          <w:rFonts w:ascii="Book Antiqua" w:eastAsia="宋体" w:hAnsi="Book Antiqua" w:cs="宋体"/>
        </w:rPr>
        <w:t xml:space="preserve">1 </w:t>
      </w:r>
      <w:r w:rsidRPr="005E4B56">
        <w:rPr>
          <w:rFonts w:ascii="Book Antiqua" w:eastAsia="宋体" w:hAnsi="Book Antiqua" w:cs="宋体"/>
          <w:b/>
        </w:rPr>
        <w:t>World Health Organization.</w:t>
      </w:r>
      <w:r w:rsidRPr="005E4B56">
        <w:rPr>
          <w:rFonts w:ascii="Book Antiqua" w:eastAsia="宋体" w:hAnsi="Book Antiqua" w:cs="宋体"/>
        </w:rPr>
        <w:t xml:space="preserve"> </w:t>
      </w:r>
      <w:proofErr w:type="gramStart"/>
      <w:r w:rsidRPr="005E4B56">
        <w:rPr>
          <w:rFonts w:ascii="Book Antiqua" w:eastAsia="宋体" w:hAnsi="Book Antiqua" w:cs="宋体"/>
        </w:rPr>
        <w:t xml:space="preserve">"Top ten causes of </w:t>
      </w:r>
      <w:proofErr w:type="spellStart"/>
      <w:r w:rsidRPr="005E4B56">
        <w:rPr>
          <w:rFonts w:ascii="Book Antiqua" w:eastAsia="宋体" w:hAnsi="Book Antiqua" w:cs="宋体"/>
        </w:rPr>
        <w:t>death</w:t>
      </w:r>
      <w:proofErr w:type="spellEnd"/>
      <w:proofErr w:type="gramEnd"/>
      <w:r w:rsidRPr="005E4B56">
        <w:rPr>
          <w:rFonts w:ascii="Book Antiqua" w:eastAsia="宋体" w:hAnsi="Book Antiqua" w:cs="宋体"/>
        </w:rPr>
        <w:t>. 2012</w:t>
      </w:r>
      <w:r w:rsidR="00D1444E">
        <w:rPr>
          <w:rFonts w:ascii="Book Antiqua" w:eastAsia="宋体" w:hAnsi="Book Antiqua" w:cs="宋体"/>
        </w:rPr>
        <w:t>.</w:t>
      </w:r>
      <w:r w:rsidRPr="005E4B56">
        <w:rPr>
          <w:rFonts w:ascii="Book Antiqua" w:eastAsia="宋体" w:hAnsi="Book Antiqua" w:cs="宋体"/>
        </w:rPr>
        <w:t xml:space="preserve"> Fact sheet N310: 3</w:t>
      </w:r>
      <w:r w:rsidR="00D1444E">
        <w:rPr>
          <w:rFonts w:ascii="Book Antiqua" w:eastAsia="宋体" w:hAnsi="Book Antiqua" w:cs="宋体"/>
        </w:rPr>
        <w:t>.</w:t>
      </w:r>
      <w:r w:rsidR="00D1444E" w:rsidRPr="00D1444E">
        <w:rPr>
          <w:rFonts w:ascii="Book Antiqua" w:eastAsia="宋体" w:hAnsi="Book Antiqua" w:cs="宋体"/>
        </w:rPr>
        <w:t xml:space="preserve"> </w:t>
      </w:r>
      <w:proofErr w:type="gramStart"/>
      <w:r w:rsidR="00D1444E">
        <w:rPr>
          <w:rFonts w:ascii="Book Antiqua" w:eastAsia="宋体" w:hAnsi="Book Antiqua" w:cs="宋体"/>
        </w:rPr>
        <w:t>[</w:t>
      </w:r>
      <w:proofErr w:type="spellStart"/>
      <w:r w:rsidR="00D1444E" w:rsidRPr="005E4B56">
        <w:rPr>
          <w:rFonts w:ascii="Book Antiqua" w:eastAsia="宋体" w:hAnsi="Book Antiqua" w:cs="宋体"/>
        </w:rPr>
        <w:t>updated</w:t>
      </w:r>
      <w:proofErr w:type="spellEnd"/>
      <w:proofErr w:type="gramEnd"/>
      <w:r w:rsidR="00D1444E" w:rsidRPr="005E4B56">
        <w:rPr>
          <w:rFonts w:ascii="Book Antiqua" w:eastAsia="宋体" w:hAnsi="Book Antiqua" w:cs="宋体"/>
        </w:rPr>
        <w:t xml:space="preserve"> 2014</w:t>
      </w:r>
      <w:r w:rsidR="00D1444E">
        <w:rPr>
          <w:rFonts w:ascii="Book Antiqua" w:eastAsia="宋体" w:hAnsi="Book Antiqua" w:cs="宋体"/>
        </w:rPr>
        <w:t xml:space="preserve"> </w:t>
      </w:r>
      <w:proofErr w:type="spellStart"/>
      <w:r w:rsidR="00D1444E">
        <w:rPr>
          <w:rFonts w:ascii="Book Antiqua" w:eastAsia="宋体" w:hAnsi="Book Antiqua" w:cs="宋体"/>
        </w:rPr>
        <w:t>May</w:t>
      </w:r>
      <w:proofErr w:type="spellEnd"/>
      <w:r w:rsidR="00D1444E">
        <w:rPr>
          <w:rFonts w:ascii="Book Antiqua" w:eastAsia="宋体" w:hAnsi="Book Antiqua" w:cs="宋体"/>
        </w:rPr>
        <w:t>]</w:t>
      </w:r>
      <w:r w:rsidR="00D1444E">
        <w:rPr>
          <w:rFonts w:ascii="Book Antiqua" w:eastAsia="宋体" w:hAnsi="Book Antiqua" w:cs="宋体"/>
        </w:rPr>
        <w:t>.</w:t>
      </w:r>
      <w:r w:rsidRPr="005E4B56">
        <w:rPr>
          <w:rFonts w:ascii="Book Antiqua" w:eastAsia="宋体" w:hAnsi="Book Antiqua" w:cs="宋体"/>
        </w:rPr>
        <w:t xml:space="preserve"> Available from: URL: http://www.who.int/mediacentre/factsheets/fs310/en/</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2 </w:t>
      </w:r>
      <w:r w:rsidRPr="005E4B56">
        <w:rPr>
          <w:rFonts w:ascii="Book Antiqua" w:eastAsia="宋体" w:hAnsi="Book Antiqua" w:cs="宋体"/>
          <w:b/>
          <w:bCs/>
        </w:rPr>
        <w:t>Kannel WB</w:t>
      </w:r>
      <w:r w:rsidRPr="005E4B56">
        <w:rPr>
          <w:rFonts w:ascii="Book Antiqua" w:eastAsia="宋体" w:hAnsi="Book Antiqua" w:cs="宋体"/>
        </w:rPr>
        <w:t>, McGee D, Gordon T. A general cardiovascular risk profile: the Framingham Study. </w:t>
      </w:r>
      <w:r w:rsidRPr="005E4B56">
        <w:rPr>
          <w:rFonts w:ascii="Book Antiqua" w:eastAsia="宋体" w:hAnsi="Book Antiqua" w:cs="宋体"/>
          <w:i/>
          <w:iCs/>
        </w:rPr>
        <w:t>Am J Cardiol</w:t>
      </w:r>
      <w:r w:rsidRPr="005E4B56">
        <w:rPr>
          <w:rFonts w:ascii="Book Antiqua" w:eastAsia="宋体" w:hAnsi="Book Antiqua" w:cs="宋体"/>
        </w:rPr>
        <w:t> 1976; </w:t>
      </w:r>
      <w:r w:rsidRPr="005E4B56">
        <w:rPr>
          <w:rFonts w:ascii="Book Antiqua" w:eastAsia="宋体" w:hAnsi="Book Antiqua" w:cs="宋体"/>
          <w:b/>
          <w:bCs/>
        </w:rPr>
        <w:t>38</w:t>
      </w:r>
      <w:r w:rsidRPr="005E4B56">
        <w:rPr>
          <w:rFonts w:ascii="Book Antiqua" w:eastAsia="宋体" w:hAnsi="Book Antiqua" w:cs="宋体"/>
        </w:rPr>
        <w:t>: 46-51 [PMID: 132862]</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3 </w:t>
      </w:r>
      <w:r w:rsidRPr="005E4B56">
        <w:rPr>
          <w:rFonts w:ascii="Book Antiqua" w:eastAsia="宋体" w:hAnsi="Book Antiqua" w:cs="宋体"/>
          <w:b/>
          <w:bCs/>
        </w:rPr>
        <w:t>Greenland P</w:t>
      </w:r>
      <w:r w:rsidRPr="005E4B56">
        <w:rPr>
          <w:rFonts w:ascii="Book Antiqua" w:eastAsia="宋体" w:hAnsi="Book Antiqua" w:cs="宋体"/>
        </w:rPr>
        <w:t>, Alpert JS, Beller GA, Benjamin EJ, Budoff MJ, Fayad ZA, Foster E, Hlatky MA, Hodgson JM, Kushner FG, Lauer MS, Shaw LJ, Smith SC, Taylor AJ, Weintraub WS, Wenger NK, Jacobs AK, Smith SC, Anderson JL, Albert N, Buller CE, Creager MA, Ettinger SM, Guyton RA, Halperin JL, Hochman JS, Kushner FG, Nishimura R, Ohman EM, Page RL, Stevenson WG, Tarkington LG, Yancy CW. 2010 ACCF/AHA guideline for assessment of cardiovascular risk in asymptomatic adults: a report of the American College of Cardiology Foundation/American Heart Association Task Force on Practice Guidelines. </w:t>
      </w:r>
      <w:r w:rsidRPr="005E4B56">
        <w:rPr>
          <w:rFonts w:ascii="Book Antiqua" w:eastAsia="宋体" w:hAnsi="Book Antiqua" w:cs="宋体"/>
          <w:i/>
          <w:iCs/>
        </w:rPr>
        <w:t>J Am Coll Cardiol</w:t>
      </w:r>
      <w:r w:rsidRPr="005E4B56">
        <w:rPr>
          <w:rFonts w:ascii="Book Antiqua" w:eastAsia="宋体" w:hAnsi="Book Antiqua" w:cs="宋体"/>
        </w:rPr>
        <w:t> 2010; </w:t>
      </w:r>
      <w:r w:rsidRPr="005E4B56">
        <w:rPr>
          <w:rFonts w:ascii="Book Antiqua" w:eastAsia="宋体" w:hAnsi="Book Antiqua" w:cs="宋体"/>
          <w:b/>
          <w:bCs/>
        </w:rPr>
        <w:t>56</w:t>
      </w:r>
      <w:r w:rsidRPr="005E4B56">
        <w:rPr>
          <w:rFonts w:ascii="Book Antiqua" w:eastAsia="宋体" w:hAnsi="Book Antiqua" w:cs="宋体"/>
        </w:rPr>
        <w:t>: e50-103 [PMID: 21144964 DOI: 10.1016/j.jacc.2010.09.001]</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4 </w:t>
      </w:r>
      <w:r w:rsidRPr="005E4B56">
        <w:rPr>
          <w:rFonts w:ascii="Book Antiqua" w:eastAsia="宋体" w:hAnsi="Book Antiqua" w:cs="宋体"/>
          <w:b/>
          <w:bCs/>
        </w:rPr>
        <w:t>Pencina MJ</w:t>
      </w:r>
      <w:r w:rsidRPr="005E4B56">
        <w:rPr>
          <w:rFonts w:ascii="Book Antiqua" w:eastAsia="宋体" w:hAnsi="Book Antiqua" w:cs="宋体"/>
        </w:rPr>
        <w:t>, D'Agostino RB, Larson MG, Massaro JM, Vasan RS. Predicting the 30-year risk of cardiovascular disease: the framingham heart study. </w:t>
      </w:r>
      <w:r w:rsidRPr="005E4B56">
        <w:rPr>
          <w:rFonts w:ascii="Book Antiqua" w:eastAsia="宋体" w:hAnsi="Book Antiqua" w:cs="宋体"/>
          <w:i/>
          <w:iCs/>
        </w:rPr>
        <w:t>Circulation</w:t>
      </w:r>
      <w:r w:rsidRPr="005E4B56">
        <w:rPr>
          <w:rFonts w:ascii="Book Antiqua" w:eastAsia="宋体" w:hAnsi="Book Antiqua" w:cs="宋体"/>
        </w:rPr>
        <w:t> 2009; </w:t>
      </w:r>
      <w:r w:rsidRPr="005E4B56">
        <w:rPr>
          <w:rFonts w:ascii="Book Antiqua" w:eastAsia="宋体" w:hAnsi="Book Antiqua" w:cs="宋体"/>
          <w:b/>
          <w:bCs/>
        </w:rPr>
        <w:t>119</w:t>
      </w:r>
      <w:r w:rsidRPr="005E4B56">
        <w:rPr>
          <w:rFonts w:ascii="Book Antiqua" w:eastAsia="宋体" w:hAnsi="Book Antiqua" w:cs="宋体"/>
        </w:rPr>
        <w:t>: 3078-3084 [PMID: 19506114 DOI: 10.1161/CIRCULATIONAHA.108.816694]</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5 </w:t>
      </w:r>
      <w:r w:rsidRPr="005E4B56">
        <w:rPr>
          <w:rFonts w:ascii="Book Antiqua" w:eastAsia="宋体" w:hAnsi="Book Antiqua" w:cs="宋体"/>
          <w:b/>
          <w:bCs/>
        </w:rPr>
        <w:t>Tahara N</w:t>
      </w:r>
      <w:r w:rsidRPr="005E4B56">
        <w:rPr>
          <w:rFonts w:ascii="Book Antiqua" w:eastAsia="宋体" w:hAnsi="Book Antiqua" w:cs="宋体"/>
        </w:rPr>
        <w:t>, Kai H, Ishibashi M, Nakaura H, Kaida H, Baba K, Hayabuchi N, Imaizumi T. Simvastatin attenuates plaque inflammation: evaluation by fluorodeoxyglucose positron emission tomography. </w:t>
      </w:r>
      <w:r w:rsidRPr="005E4B56">
        <w:rPr>
          <w:rFonts w:ascii="Book Antiqua" w:eastAsia="宋体" w:hAnsi="Book Antiqua" w:cs="宋体"/>
          <w:i/>
          <w:iCs/>
        </w:rPr>
        <w:t>J Am Coll Cardiol</w:t>
      </w:r>
      <w:r w:rsidRPr="005E4B56">
        <w:rPr>
          <w:rFonts w:ascii="Book Antiqua" w:eastAsia="宋体" w:hAnsi="Book Antiqua" w:cs="宋体"/>
        </w:rPr>
        <w:t> 2006; </w:t>
      </w:r>
      <w:r w:rsidRPr="005E4B56">
        <w:rPr>
          <w:rFonts w:ascii="Book Antiqua" w:eastAsia="宋体" w:hAnsi="Book Antiqua" w:cs="宋体"/>
          <w:b/>
          <w:bCs/>
        </w:rPr>
        <w:t>48</w:t>
      </w:r>
      <w:r w:rsidRPr="005E4B56">
        <w:rPr>
          <w:rFonts w:ascii="Book Antiqua" w:eastAsia="宋体" w:hAnsi="Book Antiqua" w:cs="宋体"/>
        </w:rPr>
        <w:t>: 1825-1831 [PMID: 17084257]</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6 </w:t>
      </w:r>
      <w:r w:rsidRPr="005E4B56">
        <w:rPr>
          <w:rFonts w:ascii="Book Antiqua" w:eastAsia="宋体" w:hAnsi="Book Antiqua" w:cs="宋体"/>
          <w:b/>
          <w:bCs/>
        </w:rPr>
        <w:t>Ichii M</w:t>
      </w:r>
      <w:r w:rsidRPr="005E4B56">
        <w:rPr>
          <w:rFonts w:ascii="Book Antiqua" w:eastAsia="宋体" w:hAnsi="Book Antiqua" w:cs="宋体"/>
        </w:rPr>
        <w:t>, Ishimura E, Shima H, Ohno Y, Ochi A, Nakatani S, Tsuda A, Ehara S, Mori K, Fukumoto S, Naganuma T, Takemoto Y, Nakatani T, Inaba M. Quantitative analysis of abdominal aortic calcification in CKD patients without dialysis therapy by use of the Agatston score. </w:t>
      </w:r>
      <w:r w:rsidRPr="005E4B56">
        <w:rPr>
          <w:rFonts w:ascii="Book Antiqua" w:eastAsia="宋体" w:hAnsi="Book Antiqua" w:cs="宋体"/>
          <w:i/>
          <w:iCs/>
        </w:rPr>
        <w:t>Kidney Blood Press Res</w:t>
      </w:r>
      <w:r w:rsidRPr="005E4B56">
        <w:rPr>
          <w:rFonts w:ascii="Book Antiqua" w:eastAsia="宋体" w:hAnsi="Book Antiqua" w:cs="宋体"/>
        </w:rPr>
        <w:t> 2013; </w:t>
      </w:r>
      <w:r w:rsidRPr="005E4B56">
        <w:rPr>
          <w:rFonts w:ascii="Book Antiqua" w:eastAsia="宋体" w:hAnsi="Book Antiqua" w:cs="宋体"/>
          <w:b/>
          <w:bCs/>
        </w:rPr>
        <w:t>38</w:t>
      </w:r>
      <w:r w:rsidRPr="005E4B56">
        <w:rPr>
          <w:rFonts w:ascii="Book Antiqua" w:eastAsia="宋体" w:hAnsi="Book Antiqua" w:cs="宋体"/>
        </w:rPr>
        <w:t>: 196-204 [PMID: 24732137 DOI: 10.1159/000355768]</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7 </w:t>
      </w:r>
      <w:r w:rsidRPr="005E4B56">
        <w:rPr>
          <w:rFonts w:ascii="Book Antiqua" w:eastAsia="宋体" w:hAnsi="Book Antiqua" w:cs="宋体"/>
          <w:b/>
          <w:bCs/>
        </w:rPr>
        <w:t>Pen A</w:t>
      </w:r>
      <w:r w:rsidRPr="005E4B56">
        <w:rPr>
          <w:rFonts w:ascii="Book Antiqua" w:eastAsia="宋体" w:hAnsi="Book Antiqua" w:cs="宋体"/>
        </w:rPr>
        <w:t>, Yam Y, Chen L, Dennie C, McPherson R, Chow BJ. Discordance between Framingham Risk Score and atherosclerotic plaque burden. </w:t>
      </w:r>
      <w:r w:rsidRPr="005E4B56">
        <w:rPr>
          <w:rFonts w:ascii="Book Antiqua" w:eastAsia="宋体" w:hAnsi="Book Antiqua" w:cs="宋体"/>
          <w:i/>
          <w:iCs/>
        </w:rPr>
        <w:t>Eur Heart J</w:t>
      </w:r>
      <w:r w:rsidRPr="005E4B56">
        <w:rPr>
          <w:rFonts w:ascii="Book Antiqua" w:eastAsia="宋体" w:hAnsi="Book Antiqua" w:cs="宋体"/>
        </w:rPr>
        <w:t> 2013; </w:t>
      </w:r>
      <w:r w:rsidRPr="005E4B56">
        <w:rPr>
          <w:rFonts w:ascii="Book Antiqua" w:eastAsia="宋体" w:hAnsi="Book Antiqua" w:cs="宋体"/>
          <w:b/>
          <w:bCs/>
        </w:rPr>
        <w:t>34</w:t>
      </w:r>
      <w:r w:rsidRPr="005E4B56">
        <w:rPr>
          <w:rFonts w:ascii="Book Antiqua" w:eastAsia="宋体" w:hAnsi="Book Antiqua" w:cs="宋体"/>
        </w:rPr>
        <w:t>: 1075-1082 [PMID: 23303659 DOI: 10.1093/eurheartj/ehs473]</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8 </w:t>
      </w:r>
      <w:r w:rsidRPr="005E4B56">
        <w:rPr>
          <w:rFonts w:ascii="Book Antiqua" w:eastAsia="宋体" w:hAnsi="Book Antiqua" w:cs="宋体"/>
          <w:b/>
          <w:bCs/>
        </w:rPr>
        <w:t>Morbelli S</w:t>
      </w:r>
      <w:r w:rsidRPr="005E4B56">
        <w:rPr>
          <w:rFonts w:ascii="Book Antiqua" w:eastAsia="宋体" w:hAnsi="Book Antiqua" w:cs="宋体"/>
        </w:rPr>
        <w:t xml:space="preserve">, Fiz F, Piccardo A, Picori L, Massollo M, Pestarino E, Marini C, Cabria M, Democrito A, Cittadini G, Villavecchia G, Bruzzi P, Alavi A, Sambuceti G. Divergent determinants of 18F-NaF uptake and visible calcium deposition in large arteries: </w:t>
      </w:r>
      <w:r w:rsidRPr="005E4B56">
        <w:rPr>
          <w:rFonts w:ascii="Book Antiqua" w:eastAsia="宋体" w:hAnsi="Book Antiqua" w:cs="宋体"/>
        </w:rPr>
        <w:lastRenderedPageBreak/>
        <w:t>relationship with Framingham risk score. </w:t>
      </w:r>
      <w:r w:rsidRPr="005E4B56">
        <w:rPr>
          <w:rFonts w:ascii="Book Antiqua" w:eastAsia="宋体" w:hAnsi="Book Antiqua" w:cs="宋体"/>
          <w:i/>
          <w:iCs/>
        </w:rPr>
        <w:t>Int J Cardiovasc Imaging</w:t>
      </w:r>
      <w:r w:rsidRPr="005E4B56">
        <w:rPr>
          <w:rFonts w:ascii="Book Antiqua" w:eastAsia="宋体" w:hAnsi="Book Antiqua" w:cs="宋体"/>
        </w:rPr>
        <w:t> 2014; </w:t>
      </w:r>
      <w:r w:rsidRPr="005E4B56">
        <w:rPr>
          <w:rFonts w:ascii="Book Antiqua" w:eastAsia="宋体" w:hAnsi="Book Antiqua" w:cs="宋体"/>
          <w:b/>
          <w:bCs/>
        </w:rPr>
        <w:t>30</w:t>
      </w:r>
      <w:r w:rsidRPr="005E4B56">
        <w:rPr>
          <w:rFonts w:ascii="Book Antiqua" w:eastAsia="宋体" w:hAnsi="Book Antiqua" w:cs="宋体"/>
        </w:rPr>
        <w:t>: 439-447 [PMID: 24318613 DOI: 10.1007/s10554-013-0342-3]</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9 </w:t>
      </w:r>
      <w:r w:rsidRPr="005E4B56">
        <w:rPr>
          <w:rFonts w:ascii="Book Antiqua" w:eastAsia="宋体" w:hAnsi="Book Antiqua" w:cs="宋体"/>
          <w:b/>
          <w:bCs/>
        </w:rPr>
        <w:t>Canpolat U</w:t>
      </w:r>
      <w:r w:rsidRPr="005E4B56">
        <w:rPr>
          <w:rFonts w:ascii="Book Antiqua" w:eastAsia="宋体" w:hAnsi="Book Antiqua" w:cs="宋体"/>
        </w:rPr>
        <w:t>, Yorgun H, Aytemir K, Hazrolan T, Kaya EB, Ate</w:t>
      </w:r>
      <w:r w:rsidRPr="005E4B56">
        <w:rPr>
          <w:rFonts w:ascii="Book Antiqua" w:eastAsia="MS Mincho" w:hAnsi="Book Antiqua" w:cs="MS Mincho"/>
        </w:rPr>
        <w:t>ş</w:t>
      </w:r>
      <w:r w:rsidRPr="005E4B56">
        <w:rPr>
          <w:rFonts w:ascii="Book Antiqua" w:eastAsia="宋体" w:hAnsi="Book Antiqua" w:cs="宋体"/>
        </w:rPr>
        <w:t xml:space="preserve"> AH, Dural M, Gürses KM, Sunman H, Tokgözo</w:t>
      </w:r>
      <w:r w:rsidRPr="005E4B56">
        <w:rPr>
          <w:rFonts w:ascii="Book Antiqua" w:eastAsia="MS Mincho" w:hAnsi="Book Antiqua" w:cs="MS Mincho"/>
        </w:rPr>
        <w:t>ğ</w:t>
      </w:r>
      <w:r w:rsidRPr="005E4B56">
        <w:rPr>
          <w:rFonts w:ascii="Book Antiqua" w:eastAsia="宋体" w:hAnsi="Book Antiqua" w:cs="宋体"/>
        </w:rPr>
        <w:t>lu L, Kabakç G, Oto A. Cardiovascular risk and coronary atherosclerotic plaques detected by multidetector computed tomography: Framingham and SCORE risk models underestimate coronary atherosclerosis in the symptomatic low-risk Turkish population. </w:t>
      </w:r>
      <w:r w:rsidRPr="005E4B56">
        <w:rPr>
          <w:rFonts w:ascii="Book Antiqua" w:eastAsia="宋体" w:hAnsi="Book Antiqua" w:cs="宋体"/>
          <w:i/>
          <w:iCs/>
        </w:rPr>
        <w:t>Coron Artery Dis</w:t>
      </w:r>
      <w:r w:rsidRPr="005E4B56">
        <w:rPr>
          <w:rFonts w:ascii="Book Antiqua" w:eastAsia="宋体" w:hAnsi="Book Antiqua" w:cs="宋体"/>
        </w:rPr>
        <w:t> 2012; </w:t>
      </w:r>
      <w:r w:rsidRPr="005E4B56">
        <w:rPr>
          <w:rFonts w:ascii="Book Antiqua" w:eastAsia="宋体" w:hAnsi="Book Antiqua" w:cs="宋体"/>
          <w:b/>
          <w:bCs/>
        </w:rPr>
        <w:t>23</w:t>
      </w:r>
      <w:r w:rsidRPr="005E4B56">
        <w:rPr>
          <w:rFonts w:ascii="Book Antiqua" w:eastAsia="宋体" w:hAnsi="Book Antiqua" w:cs="宋体"/>
        </w:rPr>
        <w:t>: 195-200 [PMID: 22327064 DOI: 10.1097/MCA.0b013e3283511608]</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10 </w:t>
      </w:r>
      <w:r w:rsidRPr="005E4B56">
        <w:rPr>
          <w:rFonts w:ascii="Book Antiqua" w:eastAsia="宋体" w:hAnsi="Book Antiqua" w:cs="宋体"/>
          <w:b/>
          <w:bCs/>
        </w:rPr>
        <w:t>Pugliese G</w:t>
      </w:r>
      <w:r w:rsidRPr="005E4B56">
        <w:rPr>
          <w:rFonts w:ascii="Book Antiqua" w:eastAsia="宋体" w:hAnsi="Book Antiqua" w:cs="宋体"/>
        </w:rPr>
        <w:t>, Iacobini C, Blasetti Fantauzzi C, Menini S. The dark and bright side of atherosclerotic calcification. </w:t>
      </w:r>
      <w:r w:rsidRPr="005E4B56">
        <w:rPr>
          <w:rFonts w:ascii="Book Antiqua" w:eastAsia="宋体" w:hAnsi="Book Antiqua" w:cs="宋体"/>
          <w:i/>
          <w:iCs/>
        </w:rPr>
        <w:t>Atherosclerosis</w:t>
      </w:r>
      <w:r w:rsidRPr="005E4B56">
        <w:rPr>
          <w:rFonts w:ascii="Book Antiqua" w:eastAsia="宋体" w:hAnsi="Book Antiqua" w:cs="宋体"/>
        </w:rPr>
        <w:t> 2015; </w:t>
      </w:r>
      <w:r w:rsidRPr="005E4B56">
        <w:rPr>
          <w:rFonts w:ascii="Book Antiqua" w:eastAsia="宋体" w:hAnsi="Book Antiqua" w:cs="宋体"/>
          <w:b/>
          <w:bCs/>
        </w:rPr>
        <w:t>238</w:t>
      </w:r>
      <w:r w:rsidRPr="005E4B56">
        <w:rPr>
          <w:rFonts w:ascii="Book Antiqua" w:eastAsia="宋体" w:hAnsi="Book Antiqua" w:cs="宋体"/>
        </w:rPr>
        <w:t>: 220-230 [PMID: 25528431 DOI: 10.1016/j.atherosclerosis.2014]</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11 </w:t>
      </w:r>
      <w:r w:rsidRPr="005E4B56">
        <w:rPr>
          <w:rFonts w:ascii="Book Antiqua" w:eastAsia="宋体" w:hAnsi="Book Antiqua" w:cs="宋体"/>
          <w:b/>
          <w:bCs/>
        </w:rPr>
        <w:t>Derlin T</w:t>
      </w:r>
      <w:r w:rsidRPr="005E4B56">
        <w:rPr>
          <w:rFonts w:ascii="Book Antiqua" w:eastAsia="宋体" w:hAnsi="Book Antiqua" w:cs="宋体"/>
        </w:rPr>
        <w:t>, Richter U, Bannas P, Begemann P, Buchert R, Mester J, Klutmann S. Feasibility of 18F-sodium fluoride PET/CT for imaging of atherosclerotic plaque. </w:t>
      </w:r>
      <w:r w:rsidRPr="005E4B56">
        <w:rPr>
          <w:rFonts w:ascii="Book Antiqua" w:eastAsia="宋体" w:hAnsi="Book Antiqua" w:cs="宋体"/>
          <w:i/>
          <w:iCs/>
        </w:rPr>
        <w:t>J Nucl Med</w:t>
      </w:r>
      <w:r w:rsidRPr="005E4B56">
        <w:rPr>
          <w:rFonts w:ascii="Book Antiqua" w:eastAsia="宋体" w:hAnsi="Book Antiqua" w:cs="宋体"/>
        </w:rPr>
        <w:t> 2010; </w:t>
      </w:r>
      <w:r w:rsidRPr="005E4B56">
        <w:rPr>
          <w:rFonts w:ascii="Book Antiqua" w:eastAsia="宋体" w:hAnsi="Book Antiqua" w:cs="宋体"/>
          <w:b/>
          <w:bCs/>
        </w:rPr>
        <w:t>51</w:t>
      </w:r>
      <w:r w:rsidRPr="005E4B56">
        <w:rPr>
          <w:rFonts w:ascii="Book Antiqua" w:eastAsia="宋体" w:hAnsi="Book Antiqua" w:cs="宋体"/>
        </w:rPr>
        <w:t>: 862-865 [PMID: 20484438 DOI: 10.2967/jnumed.110.076471]</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12 </w:t>
      </w:r>
      <w:r w:rsidRPr="005E4B56">
        <w:rPr>
          <w:rFonts w:ascii="Book Antiqua" w:eastAsia="宋体" w:hAnsi="Book Antiqua" w:cs="宋体"/>
          <w:b/>
          <w:bCs/>
        </w:rPr>
        <w:t>Derlin T</w:t>
      </w:r>
      <w:r w:rsidRPr="005E4B56">
        <w:rPr>
          <w:rFonts w:ascii="Book Antiqua" w:eastAsia="宋体" w:hAnsi="Book Antiqua" w:cs="宋体"/>
        </w:rPr>
        <w:t>, Wisotzki C, Richter U, Apostolova I, Bannas P, Weber C, Mester J, Klutmann S. In vivo imaging of mineral deposition in carotid plaque using 18F-sodium fluoride PET/CT: correlation with atherogenic risk factors. </w:t>
      </w:r>
      <w:r w:rsidRPr="005E4B56">
        <w:rPr>
          <w:rFonts w:ascii="Book Antiqua" w:eastAsia="宋体" w:hAnsi="Book Antiqua" w:cs="宋体"/>
          <w:i/>
          <w:iCs/>
        </w:rPr>
        <w:t>J Nucl Med</w:t>
      </w:r>
      <w:r w:rsidRPr="005E4B56">
        <w:rPr>
          <w:rFonts w:ascii="Book Antiqua" w:eastAsia="宋体" w:hAnsi="Book Antiqua" w:cs="宋体"/>
        </w:rPr>
        <w:t> 2011; </w:t>
      </w:r>
      <w:r w:rsidRPr="005E4B56">
        <w:rPr>
          <w:rFonts w:ascii="Book Antiqua" w:eastAsia="宋体" w:hAnsi="Book Antiqua" w:cs="宋体"/>
          <w:b/>
          <w:bCs/>
        </w:rPr>
        <w:t>52</w:t>
      </w:r>
      <w:r w:rsidRPr="005E4B56">
        <w:rPr>
          <w:rFonts w:ascii="Book Antiqua" w:eastAsia="宋体" w:hAnsi="Book Antiqua" w:cs="宋体"/>
        </w:rPr>
        <w:t>: 362-368 [PMID: 21321276 DOI: 10.2967/jnumed.110.081208]</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13 </w:t>
      </w:r>
      <w:r w:rsidRPr="005E4B56">
        <w:rPr>
          <w:rFonts w:ascii="Book Antiqua" w:eastAsia="宋体" w:hAnsi="Book Antiqua" w:cs="宋体"/>
          <w:b/>
          <w:bCs/>
        </w:rPr>
        <w:t>George RT</w:t>
      </w:r>
      <w:r w:rsidRPr="005E4B56">
        <w:rPr>
          <w:rFonts w:ascii="Book Antiqua" w:eastAsia="宋体" w:hAnsi="Book Antiqua" w:cs="宋体"/>
        </w:rPr>
        <w:t>. 18F-sodium fluoride positron emission tomography: an in vivo window into coronary atherosclerotic plaque biology. </w:t>
      </w:r>
      <w:r w:rsidRPr="005E4B56">
        <w:rPr>
          <w:rFonts w:ascii="Book Antiqua" w:eastAsia="宋体" w:hAnsi="Book Antiqua" w:cs="宋体"/>
          <w:i/>
          <w:iCs/>
        </w:rPr>
        <w:t>J Am Coll Cardiol</w:t>
      </w:r>
      <w:r w:rsidRPr="005E4B56">
        <w:rPr>
          <w:rFonts w:ascii="Book Antiqua" w:eastAsia="宋体" w:hAnsi="Book Antiqua" w:cs="宋体"/>
        </w:rPr>
        <w:t> 2012; </w:t>
      </w:r>
      <w:r w:rsidRPr="005E4B56">
        <w:rPr>
          <w:rFonts w:ascii="Book Antiqua" w:eastAsia="宋体" w:hAnsi="Book Antiqua" w:cs="宋体"/>
          <w:b/>
          <w:bCs/>
        </w:rPr>
        <w:t>59</w:t>
      </w:r>
      <w:r w:rsidRPr="005E4B56">
        <w:rPr>
          <w:rFonts w:ascii="Book Antiqua" w:eastAsia="宋体" w:hAnsi="Book Antiqua" w:cs="宋体"/>
        </w:rPr>
        <w:t>: 1549-1550 [PMID: 22516445 DOI: 10.1016/j.jacc.2012.01.029]</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14 </w:t>
      </w:r>
      <w:r w:rsidRPr="005E4B56">
        <w:rPr>
          <w:rFonts w:ascii="Book Antiqua" w:eastAsia="宋体" w:hAnsi="Book Antiqua" w:cs="宋体"/>
          <w:b/>
          <w:bCs/>
        </w:rPr>
        <w:t>Dweck MR</w:t>
      </w:r>
      <w:r w:rsidRPr="005E4B56">
        <w:rPr>
          <w:rFonts w:ascii="Book Antiqua" w:eastAsia="宋体" w:hAnsi="Book Antiqua" w:cs="宋体"/>
        </w:rPr>
        <w:t>, Chow MW, Joshi NV, Williams MC, Jones C, Fletcher AM, Richardson H, White A, McKillop G, van Beek EJ, Boon NA, Rudd JH, Newby DE. Coronary arterial 18F-sodium fluoride uptake: a novel marker of plaque biology. </w:t>
      </w:r>
      <w:r w:rsidRPr="005E4B56">
        <w:rPr>
          <w:rFonts w:ascii="Book Antiqua" w:eastAsia="宋体" w:hAnsi="Book Antiqua" w:cs="宋体"/>
          <w:i/>
          <w:iCs/>
        </w:rPr>
        <w:t>J Am Coll Cardiol</w:t>
      </w:r>
      <w:r w:rsidRPr="005E4B56">
        <w:rPr>
          <w:rFonts w:ascii="Book Antiqua" w:eastAsia="宋体" w:hAnsi="Book Antiqua" w:cs="宋体"/>
        </w:rPr>
        <w:t> 2012; </w:t>
      </w:r>
      <w:r w:rsidRPr="005E4B56">
        <w:rPr>
          <w:rFonts w:ascii="Book Antiqua" w:eastAsia="宋体" w:hAnsi="Book Antiqua" w:cs="宋体"/>
          <w:b/>
          <w:bCs/>
        </w:rPr>
        <w:t>59</w:t>
      </w:r>
      <w:r w:rsidRPr="005E4B56">
        <w:rPr>
          <w:rFonts w:ascii="Book Antiqua" w:eastAsia="宋体" w:hAnsi="Book Antiqua" w:cs="宋体"/>
        </w:rPr>
        <w:t>: 1539-1548 [PMID: 22516444 DOI: 10.1016/j.jacc.2011.12.037]</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15 </w:t>
      </w:r>
      <w:r w:rsidRPr="005E4B56">
        <w:rPr>
          <w:rFonts w:ascii="Book Antiqua" w:eastAsia="宋体" w:hAnsi="Book Antiqua" w:cs="宋体"/>
          <w:b/>
          <w:bCs/>
        </w:rPr>
        <w:t>Doherty TM</w:t>
      </w:r>
      <w:r w:rsidRPr="005E4B56">
        <w:rPr>
          <w:rFonts w:ascii="Book Antiqua" w:eastAsia="宋体" w:hAnsi="Book Antiqua" w:cs="宋体"/>
        </w:rPr>
        <w:t>, Fitzpatrick LA, Inoue D, Qiao JH, Fishbein MC, Detrano RC, Shah PK, Rajavashisth TB. Molecular, endocrine, and genetic mechanisms of arterial calcification. </w:t>
      </w:r>
      <w:r w:rsidRPr="005E4B56">
        <w:rPr>
          <w:rFonts w:ascii="Book Antiqua" w:eastAsia="宋体" w:hAnsi="Book Antiqua" w:cs="宋体"/>
          <w:i/>
          <w:iCs/>
        </w:rPr>
        <w:t>Endocr Rev</w:t>
      </w:r>
      <w:r w:rsidRPr="005E4B56">
        <w:rPr>
          <w:rFonts w:ascii="Book Antiqua" w:eastAsia="宋体" w:hAnsi="Book Antiqua" w:cs="宋体"/>
        </w:rPr>
        <w:t> 2004; </w:t>
      </w:r>
      <w:r w:rsidRPr="005E4B56">
        <w:rPr>
          <w:rFonts w:ascii="Book Antiqua" w:eastAsia="宋体" w:hAnsi="Book Antiqua" w:cs="宋体"/>
          <w:b/>
          <w:bCs/>
        </w:rPr>
        <w:t>25</w:t>
      </w:r>
      <w:r w:rsidRPr="005E4B56">
        <w:rPr>
          <w:rFonts w:ascii="Book Antiqua" w:eastAsia="宋体" w:hAnsi="Book Antiqua" w:cs="宋体"/>
        </w:rPr>
        <w:t>: 629-672 [PMID: 15294885]</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16 </w:t>
      </w:r>
      <w:r w:rsidRPr="005E4B56">
        <w:rPr>
          <w:rFonts w:ascii="Book Antiqua" w:eastAsia="宋体" w:hAnsi="Book Antiqua" w:cs="宋体"/>
          <w:b/>
          <w:bCs/>
        </w:rPr>
        <w:t>Fiz F</w:t>
      </w:r>
      <w:r w:rsidRPr="005E4B56">
        <w:rPr>
          <w:rFonts w:ascii="Book Antiqua" w:eastAsia="宋体" w:hAnsi="Book Antiqua" w:cs="宋体"/>
        </w:rPr>
        <w:t>, Morbelli S, Piccardo A, Bauckneht M, Ferrarazzo G, Pestarino E, Cabria M, Democrito A, Riondato M, Villavecchia G, Marini C, Sambuceti G. ¹</w:t>
      </w:r>
      <w:r w:rsidRPr="005E4B56">
        <w:rPr>
          <w:rFonts w:ascii="Cambria Math" w:eastAsia="MS Mincho" w:hAnsi="Cambria Math" w:cs="Cambria Math"/>
        </w:rPr>
        <w:t>⁸</w:t>
      </w:r>
      <w:r w:rsidRPr="005E4B56">
        <w:rPr>
          <w:rFonts w:ascii="Book Antiqua" w:eastAsia="宋体" w:hAnsi="Book Antiqua" w:cs="宋体"/>
        </w:rPr>
        <w:t>F-NaF Uptake by Atherosclerotic Plaque on PET/CT Imaging: Inverse Correlation Between Calcification Density and Mineral Metabolic Activity. </w:t>
      </w:r>
      <w:r w:rsidRPr="005E4B56">
        <w:rPr>
          <w:rFonts w:ascii="Book Antiqua" w:eastAsia="宋体" w:hAnsi="Book Antiqua" w:cs="宋体"/>
          <w:i/>
          <w:iCs/>
        </w:rPr>
        <w:t>J Nucl Med</w:t>
      </w:r>
      <w:r w:rsidRPr="005E4B56">
        <w:rPr>
          <w:rFonts w:ascii="Book Antiqua" w:eastAsia="宋体" w:hAnsi="Book Antiqua" w:cs="宋体"/>
        </w:rPr>
        <w:t> 2015; </w:t>
      </w:r>
      <w:r w:rsidRPr="005E4B56">
        <w:rPr>
          <w:rFonts w:ascii="Book Antiqua" w:eastAsia="宋体" w:hAnsi="Book Antiqua" w:cs="宋体"/>
          <w:b/>
          <w:bCs/>
        </w:rPr>
        <w:t>56</w:t>
      </w:r>
      <w:r w:rsidRPr="005E4B56">
        <w:rPr>
          <w:rFonts w:ascii="Book Antiqua" w:eastAsia="宋体" w:hAnsi="Book Antiqua" w:cs="宋体"/>
        </w:rPr>
        <w:t>: 1019-1023 [PMID: 25952737 DOI: 10.2967/jnumed.115.154229]</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lastRenderedPageBreak/>
        <w:t>17 </w:t>
      </w:r>
      <w:r w:rsidRPr="005E4B56">
        <w:rPr>
          <w:rFonts w:ascii="Book Antiqua" w:eastAsia="宋体" w:hAnsi="Book Antiqua" w:cs="宋体"/>
          <w:b/>
          <w:bCs/>
        </w:rPr>
        <w:t>Rosa GM</w:t>
      </w:r>
      <w:r w:rsidRPr="005E4B56">
        <w:rPr>
          <w:rFonts w:ascii="Book Antiqua" w:eastAsia="宋体" w:hAnsi="Book Antiqua" w:cs="宋体"/>
        </w:rPr>
        <w:t>, Bauckneht M, Masoero G, Mach F, Quercioli A, Seitun S, Balbi M, Brunelli C, Parodi A, Nencioni A, Vuilleumier N, Montecucco F. The vulnerable coronary plaque: update on imaging technologies. </w:t>
      </w:r>
      <w:r w:rsidRPr="005E4B56">
        <w:rPr>
          <w:rFonts w:ascii="Book Antiqua" w:eastAsia="宋体" w:hAnsi="Book Antiqua" w:cs="宋体"/>
          <w:i/>
          <w:iCs/>
        </w:rPr>
        <w:t>Thromb Haemost</w:t>
      </w:r>
      <w:r w:rsidRPr="005E4B56">
        <w:rPr>
          <w:rFonts w:ascii="Book Antiqua" w:eastAsia="宋体" w:hAnsi="Book Antiqua" w:cs="宋体"/>
        </w:rPr>
        <w:t> 2013; </w:t>
      </w:r>
      <w:r w:rsidRPr="005E4B56">
        <w:rPr>
          <w:rFonts w:ascii="Book Antiqua" w:eastAsia="宋体" w:hAnsi="Book Antiqua" w:cs="宋体"/>
          <w:b/>
          <w:bCs/>
        </w:rPr>
        <w:t>110</w:t>
      </w:r>
      <w:r w:rsidRPr="005E4B56">
        <w:rPr>
          <w:rFonts w:ascii="Book Antiqua" w:eastAsia="宋体" w:hAnsi="Book Antiqua" w:cs="宋体"/>
        </w:rPr>
        <w:t>: 706-722 [PMID: 23803753 DOI: 10.1160/TH13-02-0121]</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18 </w:t>
      </w:r>
      <w:r w:rsidRPr="005E4B56">
        <w:rPr>
          <w:rFonts w:ascii="Book Antiqua" w:eastAsia="宋体" w:hAnsi="Book Antiqua" w:cs="宋体"/>
          <w:b/>
          <w:bCs/>
        </w:rPr>
        <w:t>Joshi NV</w:t>
      </w:r>
      <w:r w:rsidRPr="005E4B56">
        <w:rPr>
          <w:rFonts w:ascii="Book Antiqua" w:eastAsia="宋体" w:hAnsi="Book Antiqua" w:cs="宋体"/>
        </w:rPr>
        <w:t>, Vesey AT, Williams MC, Shah AS, Calvert PA, Craighead FH, Yeoh SE, Wallace W, Salter D, Fletcher AM, van Beek EJ, Flapan AD, Uren NG, Behan MW, Cruden NL, Mills NL, Fox KA, Rudd JH, Dweck MR, Newby DE. 18F-fluoride positron emission tomography for identification of ruptured and high-risk coronary atherosclerotic plaques: a prospective clinical trial. </w:t>
      </w:r>
      <w:r w:rsidRPr="005E4B56">
        <w:rPr>
          <w:rFonts w:ascii="Book Antiqua" w:eastAsia="宋体" w:hAnsi="Book Antiqua" w:cs="宋体"/>
          <w:i/>
          <w:iCs/>
        </w:rPr>
        <w:t>Lancet</w:t>
      </w:r>
      <w:r w:rsidRPr="005E4B56">
        <w:rPr>
          <w:rFonts w:ascii="Book Antiqua" w:eastAsia="宋体" w:hAnsi="Book Antiqua" w:cs="宋体"/>
        </w:rPr>
        <w:t> 2014; </w:t>
      </w:r>
      <w:r w:rsidRPr="005E4B56">
        <w:rPr>
          <w:rFonts w:ascii="Book Antiqua" w:eastAsia="宋体" w:hAnsi="Book Antiqua" w:cs="宋体"/>
          <w:b/>
          <w:bCs/>
        </w:rPr>
        <w:t>383</w:t>
      </w:r>
      <w:r w:rsidRPr="005E4B56">
        <w:rPr>
          <w:rFonts w:ascii="Book Antiqua" w:eastAsia="宋体" w:hAnsi="Book Antiqua" w:cs="宋体"/>
        </w:rPr>
        <w:t>: 705-713 [PMID: 24224999 DOI: 10.1016/S0140-6736(13)61754-7]</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19 </w:t>
      </w:r>
      <w:r w:rsidRPr="005E4B56">
        <w:rPr>
          <w:rFonts w:ascii="Book Antiqua" w:eastAsia="宋体" w:hAnsi="Book Antiqua" w:cs="宋体"/>
          <w:b/>
          <w:bCs/>
        </w:rPr>
        <w:t>Tison GH</w:t>
      </w:r>
      <w:r w:rsidRPr="005E4B56">
        <w:rPr>
          <w:rFonts w:ascii="Book Antiqua" w:eastAsia="宋体" w:hAnsi="Book Antiqua" w:cs="宋体"/>
        </w:rPr>
        <w:t>, Guo M, Blaha MJ, McClelland RL, Allison MA, Szklo M, Wong ND, Blumenthal RS, Budoff MJ, Nasir K. Multisite extracoronary calcification indicates increased risk of coronary heart disease and all-cause mortality: The Multi-Ethnic Study of Atherosclerosis. </w:t>
      </w:r>
      <w:r w:rsidRPr="005E4B56">
        <w:rPr>
          <w:rFonts w:ascii="Book Antiqua" w:eastAsia="宋体" w:hAnsi="Book Antiqua" w:cs="宋体"/>
          <w:i/>
          <w:iCs/>
        </w:rPr>
        <w:t>J Cardiovasc Comput Tomogr</w:t>
      </w:r>
      <w:r w:rsidRPr="005E4B56">
        <w:rPr>
          <w:rFonts w:ascii="Book Antiqua" w:eastAsia="宋体" w:hAnsi="Book Antiqua" w:cs="宋体"/>
        </w:rPr>
        <w:t> 2015; </w:t>
      </w:r>
      <w:r w:rsidRPr="005E4B56">
        <w:rPr>
          <w:rFonts w:ascii="Book Antiqua" w:eastAsia="宋体" w:hAnsi="Book Antiqua" w:cs="宋体"/>
          <w:b/>
          <w:bCs/>
        </w:rPr>
        <w:t>9</w:t>
      </w:r>
      <w:r w:rsidRPr="005E4B56">
        <w:rPr>
          <w:rFonts w:ascii="Book Antiqua" w:eastAsia="宋体" w:hAnsi="Book Antiqua" w:cs="宋体"/>
        </w:rPr>
        <w:t>: 406-414 [PMID: 26043963 DOI: 10.1016/j.jcct.2015.03.012]</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20 </w:t>
      </w:r>
      <w:r w:rsidRPr="005E4B56">
        <w:rPr>
          <w:rFonts w:ascii="Book Antiqua" w:eastAsia="宋体" w:hAnsi="Book Antiqua" w:cs="宋体"/>
          <w:b/>
          <w:bCs/>
        </w:rPr>
        <w:t>Adar A</w:t>
      </w:r>
      <w:r w:rsidRPr="005E4B56">
        <w:rPr>
          <w:rFonts w:ascii="Book Antiqua" w:eastAsia="宋体" w:hAnsi="Book Antiqua" w:cs="宋体"/>
        </w:rPr>
        <w:t>, Erkan H, Gokdeniz T, Karadeniz A, Cavusoglu IG, Onalan O. Aortic arch calcification is strongly associated with coronary artery calcification. </w:t>
      </w:r>
      <w:r w:rsidRPr="005E4B56">
        <w:rPr>
          <w:rFonts w:ascii="Book Antiqua" w:eastAsia="宋体" w:hAnsi="Book Antiqua" w:cs="宋体"/>
          <w:i/>
          <w:iCs/>
        </w:rPr>
        <w:t>Vasa</w:t>
      </w:r>
      <w:r w:rsidRPr="005E4B56">
        <w:rPr>
          <w:rFonts w:ascii="Book Antiqua" w:eastAsia="宋体" w:hAnsi="Book Antiqua" w:cs="宋体"/>
        </w:rPr>
        <w:t> 2015; </w:t>
      </w:r>
      <w:r w:rsidRPr="005E4B56">
        <w:rPr>
          <w:rFonts w:ascii="Book Antiqua" w:eastAsia="宋体" w:hAnsi="Book Antiqua" w:cs="宋体"/>
          <w:b/>
          <w:bCs/>
        </w:rPr>
        <w:t>44</w:t>
      </w:r>
      <w:r w:rsidRPr="005E4B56">
        <w:rPr>
          <w:rFonts w:ascii="Book Antiqua" w:eastAsia="宋体" w:hAnsi="Book Antiqua" w:cs="宋体"/>
        </w:rPr>
        <w:t>: 106-114 [PMID: 25698388 DOI: 10.1024/0301-1526/a000415]</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21 </w:t>
      </w:r>
      <w:r w:rsidRPr="005E4B56">
        <w:rPr>
          <w:rFonts w:ascii="Book Antiqua" w:eastAsia="宋体" w:hAnsi="Book Antiqua" w:cs="宋体"/>
          <w:b/>
          <w:bCs/>
        </w:rPr>
        <w:t>Brodov Y</w:t>
      </w:r>
      <w:r w:rsidRPr="005E4B56">
        <w:rPr>
          <w:rFonts w:ascii="Book Antiqua" w:eastAsia="宋体" w:hAnsi="Book Antiqua" w:cs="宋体"/>
        </w:rPr>
        <w:t>, Gransar H, Rozanski A, Hayes SW, Friedman JD, Thomson LE, Dey D, Slomka PJ, Min JK, Shaw LJ, Shah PK, Germano G, Berman DS. Extensive thoracic aortic calcification is an independent predictor of development of coronary artery calcium among individuals with coronary artery calcium score of zero. </w:t>
      </w:r>
      <w:r w:rsidRPr="005E4B56">
        <w:rPr>
          <w:rFonts w:ascii="Book Antiqua" w:eastAsia="宋体" w:hAnsi="Book Antiqua" w:cs="宋体"/>
          <w:i/>
          <w:iCs/>
        </w:rPr>
        <w:t>Atherosclerosis</w:t>
      </w:r>
      <w:r w:rsidRPr="005E4B56">
        <w:rPr>
          <w:rFonts w:ascii="Book Antiqua" w:eastAsia="宋体" w:hAnsi="Book Antiqua" w:cs="宋体"/>
        </w:rPr>
        <w:t> 2015; </w:t>
      </w:r>
      <w:r w:rsidRPr="005E4B56">
        <w:rPr>
          <w:rFonts w:ascii="Book Antiqua" w:eastAsia="宋体" w:hAnsi="Book Antiqua" w:cs="宋体"/>
          <w:b/>
          <w:bCs/>
        </w:rPr>
        <w:t>238</w:t>
      </w:r>
      <w:r w:rsidRPr="005E4B56">
        <w:rPr>
          <w:rFonts w:ascii="Book Antiqua" w:eastAsia="宋体" w:hAnsi="Book Antiqua" w:cs="宋体"/>
        </w:rPr>
        <w:t>: 4-8 [PMID: 25461732 DOI: 10.1016/j.atherosclerosis.2014.10.100]</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22 </w:t>
      </w:r>
      <w:r w:rsidRPr="005E4B56">
        <w:rPr>
          <w:rFonts w:ascii="Book Antiqua" w:eastAsia="宋体" w:hAnsi="Book Antiqua" w:cs="宋体"/>
          <w:b/>
          <w:bCs/>
        </w:rPr>
        <w:t>Beheshti M</w:t>
      </w:r>
      <w:r w:rsidRPr="005E4B56">
        <w:rPr>
          <w:rFonts w:ascii="Book Antiqua" w:eastAsia="宋体" w:hAnsi="Book Antiqua" w:cs="宋体"/>
        </w:rPr>
        <w:t>, Saboury B, Mehta NN, Torigian DA, Werner T, Mohler E, Wilensky R, Newberg AB, Basu S, Langsteger W, Alavi A. Detection and global quantification of cardiovascular molecular calcification by fluoro18-fluoride positron emission tomography/computed tomography--a novel concept. </w:t>
      </w:r>
      <w:r w:rsidRPr="005E4B56">
        <w:rPr>
          <w:rFonts w:ascii="Book Antiqua" w:eastAsia="宋体" w:hAnsi="Book Antiqua" w:cs="宋体"/>
          <w:i/>
          <w:iCs/>
        </w:rPr>
        <w:t>Hell J Nucl Med</w:t>
      </w:r>
      <w:r w:rsidRPr="005E4B56">
        <w:rPr>
          <w:rFonts w:ascii="Book Antiqua" w:eastAsia="宋体" w:hAnsi="Book Antiqua" w:cs="宋体"/>
        </w:rPr>
        <w:t> 2011; </w:t>
      </w:r>
      <w:r w:rsidRPr="005E4B56">
        <w:rPr>
          <w:rFonts w:ascii="Book Antiqua" w:eastAsia="宋体" w:hAnsi="Book Antiqua" w:cs="宋体"/>
          <w:b/>
          <w:bCs/>
        </w:rPr>
        <w:t>14</w:t>
      </w:r>
      <w:r w:rsidRPr="005E4B56">
        <w:rPr>
          <w:rFonts w:ascii="Book Antiqua" w:eastAsia="宋体" w:hAnsi="Book Antiqua" w:cs="宋体"/>
        </w:rPr>
        <w:t>: 114-120 [PMID: 21761011]</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23</w:t>
      </w:r>
      <w:r w:rsidRPr="005E4B56">
        <w:rPr>
          <w:rFonts w:ascii="Book Antiqua" w:eastAsia="宋体" w:hAnsi="Book Antiqua" w:cs="宋体"/>
          <w:b/>
        </w:rPr>
        <w:t xml:space="preserve"> Hao L</w:t>
      </w:r>
      <w:r w:rsidRPr="005E4B56">
        <w:rPr>
          <w:rFonts w:ascii="Book Antiqua" w:eastAsia="宋体" w:hAnsi="Book Antiqua" w:cs="宋体"/>
        </w:rPr>
        <w:t>, Hao J, Fang W, Han C, Zhang K, Wang X. Dual isotope simultaneous imaging to evaluate the effects of intracoronary bone marrow-derived mesenchymal stem cells on perfusion and metabolism in canines with acute myocardial infarction. </w:t>
      </w:r>
      <w:r w:rsidRPr="005E4B56">
        <w:rPr>
          <w:rFonts w:ascii="Book Antiqua" w:eastAsia="宋体" w:hAnsi="Book Antiqua" w:cs="宋体"/>
          <w:i/>
          <w:iCs/>
        </w:rPr>
        <w:t>Biomed Rep</w:t>
      </w:r>
      <w:r w:rsidRPr="005E4B56">
        <w:rPr>
          <w:rFonts w:ascii="Book Antiqua" w:eastAsia="宋体" w:hAnsi="Book Antiqua" w:cs="宋体"/>
        </w:rPr>
        <w:t> 2015; </w:t>
      </w:r>
      <w:r w:rsidRPr="005E4B56">
        <w:rPr>
          <w:rFonts w:ascii="Book Antiqua" w:eastAsia="宋体" w:hAnsi="Book Antiqua" w:cs="宋体"/>
          <w:b/>
          <w:bCs/>
        </w:rPr>
        <w:t>3</w:t>
      </w:r>
      <w:r w:rsidRPr="005E4B56">
        <w:rPr>
          <w:rFonts w:ascii="Book Antiqua" w:eastAsia="宋体" w:hAnsi="Book Antiqua" w:cs="宋体"/>
        </w:rPr>
        <w:t xml:space="preserve">: 447-452 [PMID: </w:t>
      </w:r>
      <w:bookmarkStart w:id="14" w:name="OLE_LINK3"/>
      <w:bookmarkStart w:id="15" w:name="OLE_LINK4"/>
      <w:r w:rsidRPr="005E4B56">
        <w:rPr>
          <w:rFonts w:ascii="Book Antiqua" w:eastAsia="宋体" w:hAnsi="Book Antiqua" w:cs="宋体"/>
        </w:rPr>
        <w:t>26171146</w:t>
      </w:r>
      <w:bookmarkEnd w:id="14"/>
      <w:bookmarkEnd w:id="15"/>
      <w:r w:rsidRPr="005E4B56">
        <w:rPr>
          <w:rFonts w:ascii="Book Antiqua" w:eastAsia="宋体" w:hAnsi="Book Antiqua" w:cs="宋体"/>
        </w:rPr>
        <w:t>]</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lastRenderedPageBreak/>
        <w:t xml:space="preserve">24 </w:t>
      </w:r>
      <w:r w:rsidRPr="005E4B56">
        <w:rPr>
          <w:rFonts w:ascii="Book Antiqua" w:eastAsia="宋体" w:hAnsi="Book Antiqua" w:cs="宋体"/>
          <w:b/>
        </w:rPr>
        <w:t xml:space="preserve">Rogers IS, </w:t>
      </w:r>
      <w:r w:rsidRPr="005E4B56">
        <w:rPr>
          <w:rFonts w:ascii="Book Antiqua" w:eastAsia="宋体" w:hAnsi="Book Antiqua" w:cs="宋体"/>
        </w:rPr>
        <w:t>Nasir K, Figueroa AL, Cury RC, Hoffmann U, Vermylen DA, Brady TJ, Tawakol A. (18)F-NaF PET Imaging of Early Coronary Artery Calcification. </w:t>
      </w:r>
      <w:r w:rsidRPr="005E4B56">
        <w:rPr>
          <w:rFonts w:ascii="Book Antiqua" w:eastAsia="宋体" w:hAnsi="Book Antiqua" w:cs="宋体"/>
          <w:i/>
          <w:iCs/>
        </w:rPr>
        <w:t>JACC Cardiovasc Imaging</w:t>
      </w:r>
      <w:r w:rsidRPr="005E4B56">
        <w:rPr>
          <w:rFonts w:ascii="Book Antiqua" w:eastAsia="宋体" w:hAnsi="Book Antiqua" w:cs="宋体"/>
        </w:rPr>
        <w:t> 2015;</w:t>
      </w:r>
      <w:r w:rsidRPr="005E4B56">
        <w:rPr>
          <w:rFonts w:ascii="Book Antiqua" w:hAnsi="Book Antiqua"/>
        </w:rPr>
        <w:t xml:space="preserve"> </w:t>
      </w:r>
      <w:r w:rsidRPr="005E4B56">
        <w:rPr>
          <w:rFonts w:ascii="Book Antiqua" w:eastAsia="宋体" w:hAnsi="Book Antiqua" w:cs="宋体"/>
        </w:rPr>
        <w:t xml:space="preserve">Epub ahead of print [PMID: </w:t>
      </w:r>
      <w:bookmarkStart w:id="16" w:name="OLE_LINK7"/>
      <w:r w:rsidRPr="005E4B56">
        <w:rPr>
          <w:rFonts w:ascii="Book Antiqua" w:eastAsia="宋体" w:hAnsi="Book Antiqua" w:cs="宋体"/>
        </w:rPr>
        <w:t xml:space="preserve">26189122 </w:t>
      </w:r>
      <w:bookmarkEnd w:id="16"/>
      <w:r w:rsidRPr="005E4B56">
        <w:rPr>
          <w:rFonts w:ascii="Book Antiqua" w:eastAsia="宋体" w:hAnsi="Book Antiqua" w:cs="宋体"/>
        </w:rPr>
        <w:t>DOI: 10.1016/j.jcmg.2015.02.026]</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25 </w:t>
      </w:r>
      <w:r w:rsidRPr="005E4B56">
        <w:rPr>
          <w:rFonts w:ascii="Book Antiqua" w:eastAsia="宋体" w:hAnsi="Book Antiqua" w:cs="宋体"/>
          <w:b/>
          <w:bCs/>
        </w:rPr>
        <w:t>Rogers IS</w:t>
      </w:r>
      <w:r w:rsidRPr="005E4B56">
        <w:rPr>
          <w:rFonts w:ascii="Book Antiqua" w:eastAsia="宋体" w:hAnsi="Book Antiqua" w:cs="宋体"/>
        </w:rPr>
        <w:t>, Nasir K, Figueroa AL, Cury RC, Hoffmann U, Vermylen DA, Brady TJ, Tawakol A. Feasibility of FDG imaging of the coronary arteries: comparison between acute coronary syndrome and stable angina. </w:t>
      </w:r>
      <w:r w:rsidRPr="005E4B56">
        <w:rPr>
          <w:rFonts w:ascii="Book Antiqua" w:eastAsia="宋体" w:hAnsi="Book Antiqua" w:cs="宋体"/>
          <w:i/>
          <w:iCs/>
        </w:rPr>
        <w:t>JACC Cardiovasc Imaging</w:t>
      </w:r>
      <w:r w:rsidRPr="005E4B56">
        <w:rPr>
          <w:rFonts w:ascii="Book Antiqua" w:eastAsia="宋体" w:hAnsi="Book Antiqua" w:cs="宋体"/>
        </w:rPr>
        <w:t> 2010; </w:t>
      </w:r>
      <w:r w:rsidRPr="005E4B56">
        <w:rPr>
          <w:rFonts w:ascii="Book Antiqua" w:eastAsia="宋体" w:hAnsi="Book Antiqua" w:cs="宋体"/>
          <w:b/>
          <w:bCs/>
        </w:rPr>
        <w:t>3</w:t>
      </w:r>
      <w:r w:rsidRPr="005E4B56">
        <w:rPr>
          <w:rFonts w:ascii="Book Antiqua" w:eastAsia="宋体" w:hAnsi="Book Antiqua" w:cs="宋体"/>
        </w:rPr>
        <w:t xml:space="preserve">: 388-397 [PMID: </w:t>
      </w:r>
      <w:bookmarkStart w:id="17" w:name="OLE_LINK5"/>
      <w:bookmarkStart w:id="18" w:name="OLE_LINK6"/>
      <w:r w:rsidRPr="005E4B56">
        <w:rPr>
          <w:rFonts w:ascii="Book Antiqua" w:eastAsia="宋体" w:hAnsi="Book Antiqua" w:cs="宋体"/>
        </w:rPr>
        <w:t xml:space="preserve">20394901 </w:t>
      </w:r>
      <w:bookmarkEnd w:id="17"/>
      <w:bookmarkEnd w:id="18"/>
      <w:r w:rsidRPr="005E4B56">
        <w:rPr>
          <w:rFonts w:ascii="Book Antiqua" w:eastAsia="宋体" w:hAnsi="Book Antiqua" w:cs="宋体"/>
        </w:rPr>
        <w:t>DOI: 10.1016/j.jcmg.2010.01.004]</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26</w:t>
      </w:r>
      <w:r w:rsidR="00796690" w:rsidRPr="005E4B56">
        <w:rPr>
          <w:rFonts w:ascii="Book Antiqua" w:eastAsia="宋体" w:hAnsi="Book Antiqua" w:cs="宋体"/>
          <w:lang w:eastAsia="zh-CN"/>
        </w:rPr>
        <w:t xml:space="preserve"> </w:t>
      </w:r>
      <w:r w:rsidRPr="005E4B56">
        <w:rPr>
          <w:rFonts w:ascii="Book Antiqua" w:eastAsia="宋体" w:hAnsi="Book Antiqua" w:cs="宋体"/>
          <w:b/>
        </w:rPr>
        <w:t xml:space="preserve">Johnson T, </w:t>
      </w:r>
      <w:r w:rsidRPr="005E4B56">
        <w:rPr>
          <w:rFonts w:ascii="Book Antiqua" w:eastAsia="宋体" w:hAnsi="Book Antiqua" w:cs="宋体"/>
        </w:rPr>
        <w:t xml:space="preserve">Ding H, Lipinski J, Molloi S. SU-E-I-25: Quantification of Coronary Artery Cross-Sectional Area in CT Angiography Using Integrated Density: A Simulation Study. </w:t>
      </w:r>
      <w:r w:rsidRPr="005E4B56">
        <w:rPr>
          <w:rFonts w:ascii="Book Antiqua" w:eastAsia="宋体" w:hAnsi="Book Antiqua" w:cs="宋体"/>
          <w:i/>
        </w:rPr>
        <w:t>Med Phys</w:t>
      </w:r>
      <w:r w:rsidRPr="005E4B56">
        <w:rPr>
          <w:rFonts w:ascii="Book Antiqua" w:eastAsia="宋体" w:hAnsi="Book Antiqua" w:cs="宋体"/>
        </w:rPr>
        <w:t xml:space="preserve"> 2015; </w:t>
      </w:r>
      <w:r w:rsidRPr="005E4B56">
        <w:rPr>
          <w:rFonts w:ascii="Book Antiqua" w:eastAsia="宋体" w:hAnsi="Book Antiqua" w:cs="宋体"/>
          <w:b/>
        </w:rPr>
        <w:t>42</w:t>
      </w:r>
      <w:r w:rsidRPr="005E4B56">
        <w:rPr>
          <w:rFonts w:ascii="Book Antiqua" w:eastAsia="宋体" w:hAnsi="Book Antiqua" w:cs="宋体"/>
        </w:rPr>
        <w:t>: 3247 [DOI: 10.1118/1.4924022]</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27 </w:t>
      </w:r>
      <w:r w:rsidRPr="005E4B56">
        <w:rPr>
          <w:rFonts w:ascii="Book Antiqua" w:eastAsia="宋体" w:hAnsi="Book Antiqua" w:cs="宋体"/>
          <w:b/>
          <w:bCs/>
        </w:rPr>
        <w:t>Slomka PJ</w:t>
      </w:r>
      <w:r w:rsidRPr="005E4B56">
        <w:rPr>
          <w:rFonts w:ascii="Book Antiqua" w:eastAsia="宋体" w:hAnsi="Book Antiqua" w:cs="宋体"/>
        </w:rPr>
        <w:t>, Pan T, Berman DS, Germano G. Advances in SPECT and PET Hardware. </w:t>
      </w:r>
      <w:r w:rsidRPr="005E4B56">
        <w:rPr>
          <w:rFonts w:ascii="Book Antiqua" w:eastAsia="宋体" w:hAnsi="Book Antiqua" w:cs="宋体"/>
          <w:i/>
          <w:iCs/>
        </w:rPr>
        <w:t>Prog Cardiovasc Dis</w:t>
      </w:r>
      <w:r w:rsidRPr="005E4B56">
        <w:rPr>
          <w:rFonts w:ascii="Book Antiqua" w:eastAsia="宋体" w:hAnsi="Book Antiqua" w:cs="宋体"/>
        </w:rPr>
        <w:t> 2015; </w:t>
      </w:r>
      <w:r w:rsidRPr="005E4B56">
        <w:rPr>
          <w:rFonts w:ascii="Book Antiqua" w:eastAsia="宋体" w:hAnsi="Book Antiqua" w:cs="宋体"/>
          <w:b/>
          <w:bCs/>
        </w:rPr>
        <w:t>57</w:t>
      </w:r>
      <w:r w:rsidRPr="005E4B56">
        <w:rPr>
          <w:rFonts w:ascii="Book Antiqua" w:eastAsia="宋体" w:hAnsi="Book Antiqua" w:cs="宋体"/>
        </w:rPr>
        <w:t>: 566-578 [PMID: 25721706 DOI: 10.1016/j.pcad.2015.02.002]</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28 </w:t>
      </w:r>
      <w:r w:rsidRPr="005E4B56">
        <w:rPr>
          <w:rFonts w:ascii="Book Antiqua" w:eastAsia="宋体" w:hAnsi="Book Antiqua" w:cs="宋体"/>
          <w:b/>
          <w:bCs/>
        </w:rPr>
        <w:t>Craiem D</w:t>
      </w:r>
      <w:r w:rsidRPr="005E4B56">
        <w:rPr>
          <w:rFonts w:ascii="Book Antiqua" w:eastAsia="宋体" w:hAnsi="Book Antiqua" w:cs="宋体"/>
        </w:rPr>
        <w:t>, Chironi G, Casciaro ME, Graf S, Simon A. Calcifications of the thoracic aorta on extended non-contrast-enhanced cardiac CT. </w:t>
      </w:r>
      <w:r w:rsidRPr="005E4B56">
        <w:rPr>
          <w:rFonts w:ascii="Book Antiqua" w:eastAsia="宋体" w:hAnsi="Book Antiqua" w:cs="宋体"/>
          <w:i/>
          <w:iCs/>
        </w:rPr>
        <w:t>PLoS One</w:t>
      </w:r>
      <w:r w:rsidRPr="005E4B56">
        <w:rPr>
          <w:rFonts w:ascii="Book Antiqua" w:eastAsia="宋体" w:hAnsi="Book Antiqua" w:cs="宋体"/>
        </w:rPr>
        <w:t> 2014; </w:t>
      </w:r>
      <w:r w:rsidRPr="005E4B56">
        <w:rPr>
          <w:rFonts w:ascii="Book Antiqua" w:eastAsia="宋体" w:hAnsi="Book Antiqua" w:cs="宋体"/>
          <w:b/>
          <w:bCs/>
        </w:rPr>
        <w:t>9</w:t>
      </w:r>
      <w:r w:rsidRPr="005E4B56">
        <w:rPr>
          <w:rFonts w:ascii="Book Antiqua" w:eastAsia="宋体" w:hAnsi="Book Antiqua" w:cs="宋体"/>
        </w:rPr>
        <w:t>: e109584 [PMID: 25302677 DOI: 10.1371/journal.pone.0109584]</w:t>
      </w:r>
    </w:p>
    <w:p w:rsidR="00D713F7" w:rsidRPr="005E4B56" w:rsidRDefault="00D713F7" w:rsidP="00D713F7">
      <w:pPr>
        <w:spacing w:line="360" w:lineRule="auto"/>
        <w:jc w:val="both"/>
        <w:rPr>
          <w:rFonts w:ascii="Book Antiqua" w:eastAsia="宋体" w:hAnsi="Book Antiqua" w:cs="宋体"/>
        </w:rPr>
      </w:pPr>
      <w:r w:rsidRPr="005E4B56">
        <w:rPr>
          <w:rFonts w:ascii="Book Antiqua" w:eastAsia="宋体" w:hAnsi="Book Antiqua" w:cs="宋体"/>
        </w:rPr>
        <w:t>29 </w:t>
      </w:r>
      <w:r w:rsidRPr="005E4B56">
        <w:rPr>
          <w:rFonts w:ascii="Book Antiqua" w:eastAsia="宋体" w:hAnsi="Book Antiqua" w:cs="宋体"/>
          <w:b/>
          <w:bCs/>
        </w:rPr>
        <w:t>Shahcheraghi N</w:t>
      </w:r>
      <w:r w:rsidRPr="005E4B56">
        <w:rPr>
          <w:rFonts w:ascii="Book Antiqua" w:eastAsia="宋体" w:hAnsi="Book Antiqua" w:cs="宋体"/>
        </w:rPr>
        <w:t>, Dwyer HA, Cheer AY, Barakat AI, Rutaganira T. Unsteady and three-dimensional simulation of blood flow in the human aortic arch. </w:t>
      </w:r>
      <w:r w:rsidRPr="005E4B56">
        <w:rPr>
          <w:rFonts w:ascii="Book Antiqua" w:eastAsia="宋体" w:hAnsi="Book Antiqua" w:cs="宋体"/>
          <w:i/>
          <w:iCs/>
        </w:rPr>
        <w:t>J Biomech Eng</w:t>
      </w:r>
      <w:r w:rsidRPr="005E4B56">
        <w:rPr>
          <w:rFonts w:ascii="Book Antiqua" w:eastAsia="宋体" w:hAnsi="Book Antiqua" w:cs="宋体"/>
        </w:rPr>
        <w:t> 2002; </w:t>
      </w:r>
      <w:r w:rsidRPr="005E4B56">
        <w:rPr>
          <w:rFonts w:ascii="Book Antiqua" w:eastAsia="宋体" w:hAnsi="Book Antiqua" w:cs="宋体"/>
          <w:b/>
          <w:bCs/>
        </w:rPr>
        <w:t>124</w:t>
      </w:r>
      <w:r w:rsidRPr="005E4B56">
        <w:rPr>
          <w:rFonts w:ascii="Book Antiqua" w:eastAsia="宋体" w:hAnsi="Book Antiqua" w:cs="宋体"/>
        </w:rPr>
        <w:t>: 378-387 [PMID: 12188204]</w:t>
      </w:r>
    </w:p>
    <w:p w:rsidR="00D713F7" w:rsidRPr="005E4B56" w:rsidRDefault="00D713F7" w:rsidP="00DE494F">
      <w:pPr>
        <w:spacing w:line="360" w:lineRule="auto"/>
        <w:jc w:val="both"/>
        <w:rPr>
          <w:rFonts w:ascii="Book Antiqua" w:eastAsia="宋体" w:hAnsi="Book Antiqua" w:cs="宋体"/>
          <w:lang w:eastAsia="zh-CN"/>
        </w:rPr>
      </w:pPr>
      <w:r w:rsidRPr="005E4B56">
        <w:rPr>
          <w:rFonts w:ascii="Book Antiqua" w:eastAsia="宋体" w:hAnsi="Book Antiqua" w:cs="宋体"/>
        </w:rPr>
        <w:t xml:space="preserve">30 </w:t>
      </w:r>
      <w:r w:rsidRPr="005E4B56">
        <w:rPr>
          <w:rFonts w:ascii="Book Antiqua" w:eastAsia="宋体" w:hAnsi="Book Antiqua" w:cs="宋体"/>
          <w:b/>
        </w:rPr>
        <w:t>Irkle A</w:t>
      </w:r>
      <w:r w:rsidRPr="005E4B56">
        <w:rPr>
          <w:rFonts w:ascii="Book Antiqua" w:eastAsia="宋体" w:hAnsi="Book Antiqua" w:cs="宋体"/>
        </w:rPr>
        <w:t xml:space="preserve">, Vesey AT, Lewis DY, Skepper JN, Bird JL, Dweck MR, Joshi FR, Gallagher FA, Warburton EA, Bennet MR, Brindle KM, Newby DE, Rudd JH, Davenport AP. </w:t>
      </w:r>
      <w:bookmarkStart w:id="19" w:name="OLE_LINK11"/>
      <w:bookmarkStart w:id="20" w:name="OLE_LINK12"/>
      <w:r w:rsidRPr="005E4B56">
        <w:rPr>
          <w:rFonts w:ascii="Book Antiqua" w:eastAsia="宋体" w:hAnsi="Book Antiqua" w:cs="宋体"/>
        </w:rPr>
        <w:t xml:space="preserve">Identifying active vascular microcalcification by (18)F-sodium fluoride positron emission tomography. </w:t>
      </w:r>
      <w:r w:rsidRPr="005E4B56">
        <w:rPr>
          <w:rFonts w:ascii="Book Antiqua" w:eastAsia="宋体" w:hAnsi="Book Antiqua" w:cs="宋体"/>
          <w:i/>
        </w:rPr>
        <w:t>Nat Commun</w:t>
      </w:r>
      <w:r w:rsidRPr="005E4B56">
        <w:rPr>
          <w:rFonts w:ascii="Book Antiqua" w:eastAsia="宋体" w:hAnsi="Book Antiqua" w:cs="宋体"/>
        </w:rPr>
        <w:t xml:space="preserve"> 2015; </w:t>
      </w:r>
      <w:r w:rsidRPr="005E4B56">
        <w:rPr>
          <w:rFonts w:ascii="Book Antiqua" w:eastAsia="宋体" w:hAnsi="Book Antiqua" w:cs="宋体"/>
          <w:b/>
        </w:rPr>
        <w:t>6:</w:t>
      </w:r>
      <w:r w:rsidRPr="005E4B56">
        <w:rPr>
          <w:rFonts w:ascii="Book Antiqua" w:eastAsia="宋体" w:hAnsi="Book Antiqua" w:cs="宋体"/>
        </w:rPr>
        <w:t xml:space="preserve"> 7495 </w:t>
      </w:r>
      <w:bookmarkEnd w:id="19"/>
      <w:bookmarkEnd w:id="20"/>
      <w:r w:rsidRPr="005E4B56">
        <w:rPr>
          <w:rFonts w:ascii="Book Antiqua" w:eastAsia="宋体" w:hAnsi="Book Antiqua" w:cs="宋体"/>
        </w:rPr>
        <w:t>[PMID: 26151378 DOI: 10.1038/ncomms8495]</w:t>
      </w:r>
    </w:p>
    <w:p w:rsidR="00D42D84" w:rsidRPr="005E4B56" w:rsidRDefault="00D42D84" w:rsidP="00D42D84">
      <w:pPr>
        <w:pStyle w:val="ListParagraph"/>
        <w:wordWrap w:val="0"/>
        <w:spacing w:line="360" w:lineRule="auto"/>
        <w:ind w:right="240"/>
        <w:jc w:val="right"/>
        <w:rPr>
          <w:rStyle w:val="Strong"/>
          <w:rFonts w:ascii="Book Antiqua" w:eastAsia="宋体" w:hAnsi="Book Antiqua" w:cs="Arial"/>
          <w:bCs w:val="0"/>
          <w:noProof/>
          <w:lang w:eastAsia="zh-CN"/>
        </w:rPr>
      </w:pPr>
      <w:bookmarkStart w:id="21" w:name="OLE_LINK277"/>
      <w:bookmarkStart w:id="22" w:name="OLE_LINK278"/>
      <w:bookmarkStart w:id="23" w:name="OLE_LINK279"/>
      <w:bookmarkStart w:id="24" w:name="OLE_LINK290"/>
      <w:bookmarkStart w:id="25" w:name="OLE_LINK301"/>
      <w:bookmarkStart w:id="26" w:name="OLE_LINK312"/>
      <w:bookmarkStart w:id="27" w:name="OLE_LINK315"/>
      <w:bookmarkStart w:id="28" w:name="OLE_LINK316"/>
      <w:bookmarkStart w:id="29" w:name="OLE_LINK317"/>
      <w:bookmarkStart w:id="30" w:name="OLE_LINK318"/>
      <w:bookmarkStart w:id="31" w:name="OLE_LINK326"/>
      <w:bookmarkStart w:id="32" w:name="OLE_LINK335"/>
      <w:bookmarkStart w:id="33" w:name="OLE_LINK339"/>
      <w:bookmarkStart w:id="34" w:name="OLE_LINK348"/>
      <w:bookmarkStart w:id="35" w:name="OLE_LINK399"/>
      <w:bookmarkStart w:id="36" w:name="OLE_LINK419"/>
      <w:bookmarkStart w:id="37" w:name="OLE_LINK420"/>
      <w:bookmarkStart w:id="38" w:name="OLE_LINK423"/>
      <w:bookmarkStart w:id="39" w:name="OLE_LINK449"/>
      <w:bookmarkStart w:id="40" w:name="OLE_LINK450"/>
      <w:bookmarkStart w:id="41" w:name="OLE_LINK454"/>
      <w:bookmarkStart w:id="42" w:name="OLE_LINK461"/>
      <w:bookmarkStart w:id="43" w:name="OLE_LINK471"/>
      <w:bookmarkStart w:id="44" w:name="OLE_LINK474"/>
      <w:bookmarkStart w:id="45" w:name="OLE_LINK407"/>
      <w:bookmarkStart w:id="46" w:name="OLE_LINK494"/>
      <w:bookmarkStart w:id="47" w:name="OLE_LINK506"/>
      <w:bookmarkStart w:id="48" w:name="OLE_LINK519"/>
      <w:bookmarkStart w:id="49" w:name="OLE_LINK8"/>
      <w:bookmarkStart w:id="50" w:name="OLE_LINK87"/>
      <w:bookmarkStart w:id="51" w:name="OLE_LINK556"/>
      <w:bookmarkStart w:id="52" w:name="OLE_LINK602"/>
    </w:p>
    <w:p w:rsidR="00D42D84" w:rsidRPr="005E4B56" w:rsidRDefault="00D42D84" w:rsidP="008B638E">
      <w:pPr>
        <w:pStyle w:val="ListParagraph"/>
        <w:wordWrap w:val="0"/>
        <w:spacing w:line="360" w:lineRule="auto"/>
        <w:ind w:right="240"/>
        <w:jc w:val="right"/>
        <w:rPr>
          <w:rFonts w:ascii="Book Antiqua" w:eastAsia="宋体" w:hAnsi="Book Antiqua"/>
          <w:b/>
          <w:bCs/>
          <w:lang w:eastAsia="zh-CN"/>
        </w:rPr>
      </w:pPr>
      <w:r w:rsidRPr="005E4B56">
        <w:rPr>
          <w:rStyle w:val="Strong"/>
          <w:rFonts w:ascii="Book Antiqua" w:hAnsi="Book Antiqua" w:cs="Arial"/>
          <w:bCs w:val="0"/>
          <w:noProof/>
        </w:rPr>
        <w:t>P-Reviewer</w:t>
      </w:r>
      <w:r w:rsidRPr="005E4B56">
        <w:rPr>
          <w:rStyle w:val="Strong"/>
          <w:rFonts w:ascii="Book Antiqua" w:eastAsia="宋体" w:hAnsi="Book Antiqua" w:cs="Arial"/>
          <w:bCs w:val="0"/>
          <w:noProof/>
          <w:lang w:eastAsia="zh-CN"/>
        </w:rPr>
        <w:t>:</w:t>
      </w:r>
      <w:r w:rsidRPr="005E4B56">
        <w:rPr>
          <w:rFonts w:ascii="Book Antiqua" w:hAnsi="Book Antiqua"/>
          <w:bCs/>
        </w:rPr>
        <w:t xml:space="preserve"> </w:t>
      </w:r>
      <w:r w:rsidR="008B638E" w:rsidRPr="005E4B56">
        <w:rPr>
          <w:rFonts w:ascii="Book Antiqua" w:hAnsi="Book Antiqua"/>
          <w:bCs/>
        </w:rPr>
        <w:t>Petix</w:t>
      </w:r>
      <w:r w:rsidR="008B638E" w:rsidRPr="005E4B56">
        <w:rPr>
          <w:rFonts w:ascii="Book Antiqua" w:eastAsia="宋体" w:hAnsi="Book Antiqua"/>
          <w:bCs/>
          <w:lang w:eastAsia="zh-CN"/>
        </w:rPr>
        <w:t xml:space="preserve"> NR, Said SAM</w:t>
      </w:r>
      <w:r w:rsidRPr="005E4B56">
        <w:rPr>
          <w:rFonts w:ascii="Book Antiqua" w:hAnsi="Book Antiqua"/>
          <w:bCs/>
        </w:rPr>
        <w:t xml:space="preserve">   </w:t>
      </w:r>
      <w:r w:rsidRPr="005E4B56">
        <w:rPr>
          <w:rFonts w:ascii="Book Antiqua" w:hAnsi="Book Antiqua"/>
          <w:b/>
          <w:bCs/>
        </w:rPr>
        <w:t>S-Editor</w:t>
      </w:r>
      <w:r w:rsidRPr="005E4B56">
        <w:rPr>
          <w:rFonts w:ascii="Book Antiqua" w:eastAsia="宋体" w:hAnsi="Book Antiqua"/>
          <w:b/>
          <w:bCs/>
          <w:lang w:eastAsia="zh-CN"/>
        </w:rPr>
        <w:t>:</w:t>
      </w:r>
      <w:r w:rsidRPr="005E4B56">
        <w:rPr>
          <w:rFonts w:ascii="Book Antiqua" w:hAnsi="Book Antiqua"/>
          <w:bCs/>
        </w:rPr>
        <w:t xml:space="preserve"> </w:t>
      </w:r>
      <w:r w:rsidRPr="005E4B56">
        <w:rPr>
          <w:rFonts w:ascii="Book Antiqua" w:eastAsia="宋体" w:hAnsi="Book Antiqua"/>
          <w:bCs/>
          <w:lang w:eastAsia="zh-CN"/>
        </w:rPr>
        <w:t>Qi Y</w:t>
      </w:r>
      <w:r w:rsidRPr="005E4B56">
        <w:rPr>
          <w:rFonts w:ascii="Book Antiqua" w:hAnsi="Book Antiqua"/>
          <w:b/>
          <w:bCs/>
        </w:rPr>
        <w:t xml:space="preserve">   L-Editor</w:t>
      </w:r>
      <w:r w:rsidRPr="005E4B56">
        <w:rPr>
          <w:rFonts w:ascii="Book Antiqua" w:eastAsia="宋体" w:hAnsi="Book Antiqua"/>
          <w:b/>
          <w:bCs/>
          <w:lang w:eastAsia="zh-CN"/>
        </w:rPr>
        <w:t>:</w:t>
      </w:r>
      <w:r w:rsidRPr="005E4B56">
        <w:rPr>
          <w:rFonts w:ascii="Book Antiqua" w:hAnsi="Book Antiqua"/>
          <w:b/>
          <w:bCs/>
        </w:rPr>
        <w:t xml:space="preserve">   E-Editor</w:t>
      </w:r>
      <w:r w:rsidRPr="005E4B56">
        <w:rPr>
          <w:rFonts w:ascii="Book Antiqua" w:eastAsia="宋体" w:hAnsi="Book Antiqua"/>
          <w:b/>
          <w:bCs/>
          <w:lang w:eastAsia="zh-CN"/>
        </w:rPr>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33097A" w:rsidRPr="005E4B56" w:rsidRDefault="0033097A" w:rsidP="00DE494F">
      <w:pPr>
        <w:spacing w:line="360" w:lineRule="auto"/>
        <w:jc w:val="both"/>
        <w:rPr>
          <w:rFonts w:ascii="Book Antiqua" w:hAnsi="Book Antiqua"/>
          <w:lang w:val="en-US"/>
        </w:rPr>
      </w:pPr>
    </w:p>
    <w:p w:rsidR="003409A0" w:rsidRPr="005E4B56" w:rsidRDefault="003409A0" w:rsidP="00DE494F">
      <w:pPr>
        <w:spacing w:line="360" w:lineRule="auto"/>
        <w:jc w:val="both"/>
        <w:rPr>
          <w:rFonts w:ascii="Book Antiqua" w:eastAsia="宋体" w:hAnsi="Book Antiqua"/>
          <w:b/>
          <w:lang w:val="en-US" w:eastAsia="zh-CN"/>
        </w:rPr>
      </w:pPr>
      <w:r w:rsidRPr="005E4B56">
        <w:rPr>
          <w:rFonts w:ascii="Book Antiqua" w:hAnsi="Book Antiqua"/>
          <w:noProof/>
          <w:lang w:val="en-US" w:eastAsia="en-US"/>
        </w:rPr>
        <w:lastRenderedPageBreak/>
        <w:drawing>
          <wp:inline distT="0" distB="0" distL="0" distR="0" wp14:anchorId="4B7B7A58" wp14:editId="5B116313">
            <wp:extent cx="5486400" cy="3834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34130"/>
                    </a:xfrm>
                    <a:prstGeom prst="rect">
                      <a:avLst/>
                    </a:prstGeom>
                  </pic:spPr>
                </pic:pic>
              </a:graphicData>
            </a:graphic>
          </wp:inline>
        </w:drawing>
      </w:r>
      <w:r w:rsidRPr="005E4B56">
        <w:rPr>
          <w:rFonts w:ascii="Book Antiqua" w:hAnsi="Book Antiqua"/>
          <w:b/>
          <w:lang w:val="en-US"/>
        </w:rPr>
        <w:t xml:space="preserve"> </w:t>
      </w:r>
    </w:p>
    <w:p w:rsidR="00D713F7" w:rsidRPr="005E4B56" w:rsidRDefault="00C77381" w:rsidP="00DE494F">
      <w:pPr>
        <w:spacing w:line="360" w:lineRule="auto"/>
        <w:jc w:val="both"/>
        <w:rPr>
          <w:rFonts w:ascii="Book Antiqua" w:hAnsi="Book Antiqua"/>
          <w:lang w:val="en-US"/>
        </w:rPr>
      </w:pPr>
      <w:r w:rsidRPr="005E4B56">
        <w:rPr>
          <w:rFonts w:ascii="Book Antiqua" w:hAnsi="Book Antiqua"/>
          <w:b/>
          <w:lang w:val="en-US"/>
        </w:rPr>
        <w:t xml:space="preserve">Figure 1 </w:t>
      </w:r>
      <w:r w:rsidR="00CD5AA4" w:rsidRPr="005E4B56">
        <w:rPr>
          <w:rFonts w:ascii="Book Antiqua" w:hAnsi="Book Antiqua"/>
          <w:b/>
          <w:lang w:val="en-US"/>
        </w:rPr>
        <w:t xml:space="preserve">Volume of interest </w:t>
      </w:r>
      <w:r w:rsidRPr="005E4B56">
        <w:rPr>
          <w:rFonts w:ascii="Book Antiqua" w:hAnsi="Book Antiqua"/>
          <w:b/>
          <w:lang w:val="en-US"/>
        </w:rPr>
        <w:t xml:space="preserve">placement and 3D rendering of the vascular segments and of the myocardium. </w:t>
      </w:r>
      <w:r w:rsidRPr="005E4B56">
        <w:rPr>
          <w:rFonts w:ascii="Book Antiqua" w:hAnsi="Book Antiqua"/>
          <w:lang w:val="en-US"/>
        </w:rPr>
        <w:t xml:space="preserve">Volumes of interest were constructed by placing sequential region of interest on the </w:t>
      </w:r>
      <w:proofErr w:type="spellStart"/>
      <w:r w:rsidRPr="005E4B56">
        <w:rPr>
          <w:rFonts w:ascii="Book Antiqua" w:hAnsi="Book Antiqua"/>
          <w:lang w:val="en-US"/>
        </w:rPr>
        <w:t>transaxial</w:t>
      </w:r>
      <w:proofErr w:type="spellEnd"/>
      <w:r w:rsidRPr="005E4B56">
        <w:rPr>
          <w:rFonts w:ascii="Book Antiqua" w:hAnsi="Book Antiqua"/>
          <w:lang w:val="en-US"/>
        </w:rPr>
        <w:t xml:space="preserve"> CT slices, carefully adjusting the edges so as to include the entire vessel/myocardium (top panels). The figure depicts the 3D rendering of the three aortic segments and of the heart (bottom panels).</w:t>
      </w:r>
    </w:p>
    <w:p w:rsidR="00D713F7" w:rsidRPr="005E4B56" w:rsidRDefault="00D713F7">
      <w:pPr>
        <w:rPr>
          <w:rFonts w:ascii="Book Antiqua" w:hAnsi="Book Antiqua"/>
          <w:lang w:val="en-US"/>
        </w:rPr>
      </w:pPr>
      <w:r w:rsidRPr="005E4B56">
        <w:rPr>
          <w:rFonts w:ascii="Book Antiqua" w:hAnsi="Book Antiqua"/>
          <w:lang w:val="en-US"/>
        </w:rPr>
        <w:br w:type="page"/>
      </w:r>
    </w:p>
    <w:p w:rsidR="00C77381" w:rsidRPr="005E4B56" w:rsidRDefault="00C77381" w:rsidP="00DE494F">
      <w:pPr>
        <w:spacing w:line="360" w:lineRule="auto"/>
        <w:jc w:val="both"/>
        <w:rPr>
          <w:rFonts w:ascii="Book Antiqua" w:eastAsia="宋体" w:hAnsi="Book Antiqua"/>
          <w:lang w:val="en-US" w:eastAsia="zh-CN"/>
        </w:rPr>
      </w:pPr>
    </w:p>
    <w:p w:rsidR="008D0F60" w:rsidRPr="005E4B56" w:rsidRDefault="00D713F7" w:rsidP="00DE494F">
      <w:pPr>
        <w:spacing w:line="360" w:lineRule="auto"/>
        <w:jc w:val="both"/>
        <w:rPr>
          <w:rFonts w:ascii="Book Antiqua" w:eastAsia="宋体" w:hAnsi="Book Antiqua"/>
          <w:lang w:val="en-US" w:eastAsia="zh-CN"/>
        </w:rPr>
      </w:pPr>
      <w:r w:rsidRPr="005E4B56">
        <w:rPr>
          <w:rFonts w:ascii="Book Antiqua" w:hAnsi="Book Antiqua"/>
          <w:noProof/>
          <w:lang w:val="en-US" w:eastAsia="en-US"/>
        </w:rPr>
        <w:drawing>
          <wp:inline distT="0" distB="0" distL="0" distR="0" wp14:anchorId="4512B954" wp14:editId="7A5C94CB">
            <wp:extent cx="5486400" cy="3695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95700"/>
                    </a:xfrm>
                    <a:prstGeom prst="rect">
                      <a:avLst/>
                    </a:prstGeom>
                  </pic:spPr>
                </pic:pic>
              </a:graphicData>
            </a:graphic>
          </wp:inline>
        </w:drawing>
      </w:r>
    </w:p>
    <w:p w:rsidR="00D713F7" w:rsidRPr="005E4B56" w:rsidRDefault="008D0F60" w:rsidP="00DE494F">
      <w:pPr>
        <w:spacing w:line="360" w:lineRule="auto"/>
        <w:jc w:val="both"/>
        <w:rPr>
          <w:rFonts w:ascii="Book Antiqua" w:hAnsi="Book Antiqua"/>
          <w:lang w:val="en-US"/>
        </w:rPr>
      </w:pPr>
      <w:r w:rsidRPr="005E4B56">
        <w:rPr>
          <w:rFonts w:ascii="Book Antiqua" w:hAnsi="Book Antiqua"/>
          <w:b/>
          <w:lang w:val="en-US"/>
        </w:rPr>
        <w:t>Figure 2</w:t>
      </w:r>
      <w:r w:rsidR="00C77381" w:rsidRPr="005E4B56">
        <w:rPr>
          <w:rFonts w:ascii="Book Antiqua" w:hAnsi="Book Antiqua"/>
          <w:b/>
          <w:lang w:val="en-US"/>
        </w:rPr>
        <w:t xml:space="preserve"> </w:t>
      </w:r>
      <w:r w:rsidR="00CD5AA4" w:rsidRPr="005E4B56">
        <w:rPr>
          <w:rFonts w:ascii="Book Antiqua" w:hAnsi="Book Antiqua"/>
          <w:b/>
          <w:lang w:val="en-US"/>
        </w:rPr>
        <w:t xml:space="preserve">Target-to-background ratio </w:t>
      </w:r>
      <w:r w:rsidR="00C77381" w:rsidRPr="005E4B56">
        <w:rPr>
          <w:rFonts w:ascii="Book Antiqua" w:hAnsi="Book Antiqua"/>
          <w:b/>
          <w:lang w:val="en-US"/>
        </w:rPr>
        <w:t xml:space="preserve">differences in </w:t>
      </w:r>
      <w:bookmarkStart w:id="53" w:name="OLE_LINK1"/>
      <w:bookmarkStart w:id="54" w:name="OLE_LINK2"/>
      <w:r w:rsidR="00CD5AA4" w:rsidRPr="005E4B56">
        <w:rPr>
          <w:rFonts w:ascii="Book Antiqua" w:hAnsi="Book Antiqua"/>
          <w:b/>
          <w:lang w:val="en-US"/>
        </w:rPr>
        <w:t>cardiovascular risk</w:t>
      </w:r>
      <w:bookmarkEnd w:id="53"/>
      <w:bookmarkEnd w:id="54"/>
      <w:r w:rsidR="00CD5AA4" w:rsidRPr="005E4B56">
        <w:rPr>
          <w:rFonts w:ascii="Book Antiqua" w:hAnsi="Book Antiqua"/>
          <w:b/>
          <w:lang w:val="en-US"/>
        </w:rPr>
        <w:t xml:space="preserve"> </w:t>
      </w:r>
      <w:r w:rsidR="00C77381" w:rsidRPr="005E4B56">
        <w:rPr>
          <w:rFonts w:ascii="Book Antiqua" w:hAnsi="Book Antiqua"/>
          <w:b/>
          <w:lang w:val="en-US"/>
        </w:rPr>
        <w:t xml:space="preserve">classes. </w:t>
      </w:r>
      <w:r w:rsidR="00C77381" w:rsidRPr="005E4B56">
        <w:rPr>
          <w:rFonts w:ascii="Book Antiqua" w:hAnsi="Book Antiqua"/>
          <w:lang w:val="en-US"/>
        </w:rPr>
        <w:t xml:space="preserve">The figure highlights the average </w:t>
      </w:r>
      <w:r w:rsidR="00CD5AA4" w:rsidRPr="005E4B56">
        <w:rPr>
          <w:rFonts w:ascii="Book Antiqua" w:hAnsi="Book Antiqua"/>
          <w:lang w:val="en-US"/>
        </w:rPr>
        <w:t>target-to-background ratio (TBR)</w:t>
      </w:r>
      <w:r w:rsidR="00CD5AA4" w:rsidRPr="005E4B56">
        <w:rPr>
          <w:rFonts w:ascii="Book Antiqua" w:eastAsia="宋体" w:hAnsi="Book Antiqua"/>
          <w:lang w:val="en-US" w:eastAsia="zh-CN"/>
        </w:rPr>
        <w:t xml:space="preserve"> </w:t>
      </w:r>
      <w:r w:rsidR="00C77381" w:rsidRPr="005E4B56">
        <w:rPr>
          <w:rFonts w:ascii="Book Antiqua" w:hAnsi="Book Antiqua"/>
          <w:lang w:val="en-US"/>
        </w:rPr>
        <w:t>values for the whole thoracic aorta (top left), the myocardium (top right) and the three different thoracic aorta segments (bottom).</w:t>
      </w:r>
      <w:r w:rsidR="002567AD" w:rsidRPr="005E4B56">
        <w:rPr>
          <w:rFonts w:ascii="Book Antiqua" w:eastAsia="宋体" w:hAnsi="Book Antiqua"/>
          <w:lang w:val="en-US" w:eastAsia="zh-CN"/>
        </w:rPr>
        <w:t xml:space="preserve"> </w:t>
      </w:r>
      <w:proofErr w:type="spellStart"/>
      <w:r w:rsidR="002567AD" w:rsidRPr="005E4B56">
        <w:rPr>
          <w:rFonts w:ascii="Book Antiqua" w:eastAsia="宋体" w:hAnsi="Book Antiqua"/>
          <w:vertAlign w:val="superscript"/>
          <w:lang w:val="en-US" w:eastAsia="zh-CN"/>
        </w:rPr>
        <w:t>a</w:t>
      </w:r>
      <w:r w:rsidRPr="005E4B56">
        <w:rPr>
          <w:rFonts w:ascii="Book Antiqua" w:hAnsi="Book Antiqua"/>
          <w:i/>
          <w:lang w:val="en-US"/>
        </w:rPr>
        <w:t>P</w:t>
      </w:r>
      <w:proofErr w:type="spellEnd"/>
      <w:r w:rsidRPr="005E4B56">
        <w:rPr>
          <w:rFonts w:ascii="Book Antiqua" w:eastAsia="宋体" w:hAnsi="Book Antiqua"/>
          <w:i/>
          <w:lang w:val="en-US" w:eastAsia="zh-CN"/>
        </w:rPr>
        <w:t xml:space="preserve"> </w:t>
      </w:r>
      <w:r w:rsidR="00D04228" w:rsidRPr="005E4B56">
        <w:rPr>
          <w:rFonts w:ascii="Book Antiqua" w:hAnsi="Book Antiqua"/>
          <w:lang w:val="en-US"/>
        </w:rPr>
        <w:t>&lt;</w:t>
      </w:r>
      <w:r w:rsidRPr="005E4B56">
        <w:rPr>
          <w:rFonts w:ascii="Book Antiqua" w:eastAsia="宋体" w:hAnsi="Book Antiqua"/>
          <w:lang w:val="en-US" w:eastAsia="zh-CN"/>
        </w:rPr>
        <w:t xml:space="preserve"> </w:t>
      </w:r>
      <w:r w:rsidR="00D04228" w:rsidRPr="005E4B56">
        <w:rPr>
          <w:rFonts w:ascii="Book Antiqua" w:hAnsi="Book Antiqua"/>
          <w:lang w:val="en-US"/>
        </w:rPr>
        <w:t xml:space="preserve">0.05; </w:t>
      </w:r>
      <w:proofErr w:type="spellStart"/>
      <w:r w:rsidR="002567AD" w:rsidRPr="005E4B56">
        <w:rPr>
          <w:rFonts w:ascii="Book Antiqua" w:eastAsia="宋体" w:hAnsi="Book Antiqua"/>
          <w:vertAlign w:val="superscript"/>
          <w:lang w:val="en-US" w:eastAsia="zh-CN"/>
        </w:rPr>
        <w:t>b</w:t>
      </w:r>
      <w:r w:rsidRPr="005E4B56">
        <w:rPr>
          <w:rFonts w:ascii="Book Antiqua" w:hAnsi="Book Antiqua"/>
          <w:i/>
          <w:lang w:val="en-US"/>
        </w:rPr>
        <w:t>P</w:t>
      </w:r>
      <w:proofErr w:type="spellEnd"/>
      <w:r w:rsidRPr="005E4B56">
        <w:rPr>
          <w:rFonts w:ascii="Book Antiqua" w:hAnsi="Book Antiqua"/>
          <w:lang w:val="en-US"/>
        </w:rPr>
        <w:t xml:space="preserve"> </w:t>
      </w:r>
      <w:r w:rsidR="00D04228" w:rsidRPr="005E4B56">
        <w:rPr>
          <w:rFonts w:ascii="Book Antiqua" w:hAnsi="Book Antiqua"/>
          <w:lang w:val="en-US"/>
        </w:rPr>
        <w:t>&lt;</w:t>
      </w:r>
      <w:r w:rsidRPr="005E4B56">
        <w:rPr>
          <w:rFonts w:ascii="Book Antiqua" w:eastAsia="宋体" w:hAnsi="Book Antiqua"/>
          <w:lang w:val="en-US" w:eastAsia="zh-CN"/>
        </w:rPr>
        <w:t xml:space="preserve"> </w:t>
      </w:r>
      <w:r w:rsidR="00D04228" w:rsidRPr="005E4B56">
        <w:rPr>
          <w:rFonts w:ascii="Book Antiqua" w:hAnsi="Book Antiqua"/>
          <w:lang w:val="en-US"/>
        </w:rPr>
        <w:t xml:space="preserve">0.01; </w:t>
      </w:r>
      <w:proofErr w:type="spellStart"/>
      <w:r w:rsidR="002567AD" w:rsidRPr="005E4B56">
        <w:rPr>
          <w:rFonts w:ascii="Book Antiqua" w:eastAsia="宋体" w:hAnsi="Book Antiqua"/>
          <w:vertAlign w:val="superscript"/>
          <w:lang w:val="en-US" w:eastAsia="zh-CN"/>
        </w:rPr>
        <w:t>c</w:t>
      </w:r>
      <w:r w:rsidRPr="005E4B56">
        <w:rPr>
          <w:rFonts w:ascii="Book Antiqua" w:hAnsi="Book Antiqua"/>
          <w:i/>
          <w:lang w:val="en-US"/>
        </w:rPr>
        <w:t>P</w:t>
      </w:r>
      <w:proofErr w:type="spellEnd"/>
      <w:r w:rsidRPr="005E4B56">
        <w:rPr>
          <w:rFonts w:ascii="Book Antiqua" w:hAnsi="Book Antiqua"/>
          <w:lang w:val="en-US"/>
        </w:rPr>
        <w:t xml:space="preserve"> </w:t>
      </w:r>
      <w:r w:rsidR="00D04228" w:rsidRPr="005E4B56">
        <w:rPr>
          <w:rFonts w:ascii="Book Antiqua" w:hAnsi="Book Antiqua"/>
          <w:lang w:val="en-US"/>
        </w:rPr>
        <w:t>&lt;</w:t>
      </w:r>
      <w:r w:rsidRPr="005E4B56">
        <w:rPr>
          <w:rFonts w:ascii="Book Antiqua" w:eastAsia="宋体" w:hAnsi="Book Antiqua"/>
          <w:lang w:val="en-US" w:eastAsia="zh-CN"/>
        </w:rPr>
        <w:t xml:space="preserve"> </w:t>
      </w:r>
      <w:r w:rsidR="00D04228" w:rsidRPr="005E4B56">
        <w:rPr>
          <w:rFonts w:ascii="Book Antiqua" w:hAnsi="Book Antiqua"/>
          <w:lang w:val="en-US"/>
        </w:rPr>
        <w:t>0.001.</w:t>
      </w:r>
    </w:p>
    <w:p w:rsidR="00D713F7" w:rsidRPr="005E4B56" w:rsidRDefault="00D713F7">
      <w:pPr>
        <w:rPr>
          <w:rFonts w:ascii="Book Antiqua" w:hAnsi="Book Antiqua"/>
          <w:lang w:val="en-US"/>
        </w:rPr>
      </w:pPr>
      <w:r w:rsidRPr="005E4B56">
        <w:rPr>
          <w:rFonts w:ascii="Book Antiqua" w:hAnsi="Book Antiqua"/>
          <w:lang w:val="en-US"/>
        </w:rPr>
        <w:br w:type="page"/>
      </w:r>
    </w:p>
    <w:p w:rsidR="00C77381" w:rsidRPr="005E4B56" w:rsidRDefault="00C77381" w:rsidP="00DE494F">
      <w:pPr>
        <w:spacing w:line="360" w:lineRule="auto"/>
        <w:jc w:val="both"/>
        <w:rPr>
          <w:rFonts w:ascii="Book Antiqua" w:eastAsia="宋体" w:hAnsi="Book Antiqua"/>
          <w:lang w:val="en-US" w:eastAsia="zh-CN"/>
        </w:rPr>
      </w:pPr>
    </w:p>
    <w:p w:rsidR="008D0F60" w:rsidRPr="005E4B56" w:rsidRDefault="00D713F7" w:rsidP="00DE494F">
      <w:pPr>
        <w:spacing w:line="360" w:lineRule="auto"/>
        <w:jc w:val="both"/>
        <w:rPr>
          <w:rFonts w:ascii="Book Antiqua" w:eastAsia="宋体" w:hAnsi="Book Antiqua"/>
          <w:lang w:val="en-US" w:eastAsia="zh-CN"/>
        </w:rPr>
      </w:pPr>
      <w:r w:rsidRPr="005E4B56">
        <w:rPr>
          <w:rFonts w:ascii="Book Antiqua" w:hAnsi="Book Antiqua"/>
          <w:noProof/>
          <w:lang w:val="en-US" w:eastAsia="en-US"/>
        </w:rPr>
        <w:drawing>
          <wp:inline distT="0" distB="0" distL="0" distR="0" wp14:anchorId="4CC52250" wp14:editId="41C22690">
            <wp:extent cx="5486400" cy="36131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13150"/>
                    </a:xfrm>
                    <a:prstGeom prst="rect">
                      <a:avLst/>
                    </a:prstGeom>
                  </pic:spPr>
                </pic:pic>
              </a:graphicData>
            </a:graphic>
          </wp:inline>
        </w:drawing>
      </w:r>
    </w:p>
    <w:p w:rsidR="009B20A5" w:rsidRPr="005E4B56" w:rsidRDefault="008D0F60" w:rsidP="00DE494F">
      <w:pPr>
        <w:spacing w:line="360" w:lineRule="auto"/>
        <w:jc w:val="both"/>
        <w:rPr>
          <w:rFonts w:ascii="Book Antiqua" w:eastAsia="宋体" w:hAnsi="Book Antiqua"/>
          <w:lang w:val="en-US" w:eastAsia="zh-CN"/>
        </w:rPr>
      </w:pPr>
      <w:r w:rsidRPr="005E4B56">
        <w:rPr>
          <w:rFonts w:ascii="Book Antiqua" w:hAnsi="Book Antiqua"/>
          <w:b/>
          <w:lang w:val="en-US"/>
        </w:rPr>
        <w:t>Figure 3</w:t>
      </w:r>
      <w:r w:rsidRPr="005E4B56">
        <w:rPr>
          <w:rFonts w:ascii="Book Antiqua" w:eastAsia="宋体" w:hAnsi="Book Antiqua"/>
          <w:b/>
          <w:lang w:val="en-US" w:eastAsia="zh-CN"/>
        </w:rPr>
        <w:t xml:space="preserve"> </w:t>
      </w:r>
      <w:r w:rsidR="00D04228" w:rsidRPr="005E4B56">
        <w:rPr>
          <w:rFonts w:ascii="Book Antiqua" w:hAnsi="Book Antiqua"/>
          <w:b/>
          <w:lang w:val="en-US"/>
        </w:rPr>
        <w:t xml:space="preserve">Correlation between fluoride uptake and clinical cardiovascular risk. </w:t>
      </w:r>
      <w:r w:rsidR="00D04228" w:rsidRPr="005E4B56">
        <w:rPr>
          <w:rFonts w:ascii="Book Antiqua" w:hAnsi="Book Antiqua"/>
          <w:lang w:val="en-US"/>
        </w:rPr>
        <w:t xml:space="preserve">A strong correlation was noted between thoracic aorta </w:t>
      </w:r>
      <w:proofErr w:type="spellStart"/>
      <w:r w:rsidR="00D04228" w:rsidRPr="005E4B56">
        <w:rPr>
          <w:rFonts w:ascii="Book Antiqua" w:hAnsi="Book Antiqua"/>
          <w:lang w:val="en-US"/>
        </w:rPr>
        <w:t>NaF</w:t>
      </w:r>
      <w:proofErr w:type="spellEnd"/>
      <w:r w:rsidR="00D04228" w:rsidRPr="005E4B56">
        <w:rPr>
          <w:rFonts w:ascii="Book Antiqua" w:hAnsi="Book Antiqua"/>
          <w:lang w:val="en-US"/>
        </w:rPr>
        <w:t xml:space="preserve"> uptake and </w:t>
      </w:r>
      <w:r w:rsidR="00D713F7" w:rsidRPr="005E4B56">
        <w:rPr>
          <w:rFonts w:ascii="Book Antiqua" w:hAnsi="Book Antiqua"/>
          <w:lang w:val="en-US"/>
        </w:rPr>
        <w:t xml:space="preserve">cardiovascular risk </w:t>
      </w:r>
      <w:r w:rsidR="00D713F7" w:rsidRPr="005E4B56">
        <w:rPr>
          <w:rFonts w:ascii="Book Antiqua" w:eastAsia="宋体" w:hAnsi="Book Antiqua"/>
          <w:lang w:val="en-US" w:eastAsia="zh-CN"/>
        </w:rPr>
        <w:t>(</w:t>
      </w:r>
      <w:r w:rsidR="00D04228" w:rsidRPr="005E4B56">
        <w:rPr>
          <w:rFonts w:ascii="Book Antiqua" w:hAnsi="Book Antiqua"/>
          <w:lang w:val="en-US"/>
        </w:rPr>
        <w:t>CVR</w:t>
      </w:r>
      <w:r w:rsidR="00D713F7" w:rsidRPr="005E4B56">
        <w:rPr>
          <w:rFonts w:ascii="Book Antiqua" w:eastAsia="宋体" w:hAnsi="Book Antiqua"/>
          <w:lang w:val="en-US" w:eastAsia="zh-CN"/>
        </w:rPr>
        <w:t>)</w:t>
      </w:r>
      <w:r w:rsidR="00D04228" w:rsidRPr="005E4B56">
        <w:rPr>
          <w:rFonts w:ascii="Book Antiqua" w:hAnsi="Book Antiqua"/>
          <w:lang w:val="en-US"/>
        </w:rPr>
        <w:t xml:space="preserve">, but also between aortic and myocardial uptake (top panels). Among the thoracic aorta </w:t>
      </w:r>
      <w:proofErr w:type="spellStart"/>
      <w:r w:rsidR="00D04228" w:rsidRPr="005E4B56">
        <w:rPr>
          <w:rFonts w:ascii="Book Antiqua" w:hAnsi="Book Antiqua"/>
          <w:lang w:val="en-US"/>
        </w:rPr>
        <w:t>subsegments</w:t>
      </w:r>
      <w:proofErr w:type="spellEnd"/>
      <w:r w:rsidR="00D04228" w:rsidRPr="005E4B56">
        <w:rPr>
          <w:rFonts w:ascii="Book Antiqua" w:hAnsi="Book Antiqua"/>
          <w:lang w:val="en-US"/>
        </w:rPr>
        <w:t xml:space="preserve">, descending aorta provided the strongest correlation (bottom panels). </w:t>
      </w:r>
    </w:p>
    <w:p w:rsidR="005E4B56" w:rsidRPr="005E4B56" w:rsidRDefault="005E4B56" w:rsidP="00DE494F">
      <w:pPr>
        <w:spacing w:line="360" w:lineRule="auto"/>
        <w:jc w:val="both"/>
        <w:rPr>
          <w:rFonts w:ascii="Book Antiqua" w:eastAsia="宋体" w:hAnsi="Book Antiqua"/>
          <w:lang w:val="en-US" w:eastAsia="zh-CN"/>
        </w:rPr>
        <w:sectPr w:rsidR="005E4B56" w:rsidRPr="005E4B56" w:rsidSect="00D23C7F">
          <w:pgSz w:w="11900" w:h="16840"/>
          <w:pgMar w:top="1417" w:right="1134" w:bottom="1134" w:left="1134" w:header="708" w:footer="708" w:gutter="0"/>
          <w:cols w:space="708"/>
          <w:docGrid w:linePitch="360"/>
        </w:sectPr>
      </w:pPr>
    </w:p>
    <w:p w:rsidR="005B7ECB" w:rsidRPr="005E4B56" w:rsidRDefault="005E4B56" w:rsidP="00DE494F">
      <w:pPr>
        <w:spacing w:line="360" w:lineRule="auto"/>
        <w:jc w:val="both"/>
        <w:rPr>
          <w:rFonts w:ascii="Book Antiqua" w:eastAsia="宋体" w:hAnsi="Book Antiqua"/>
          <w:lang w:val="en-US" w:eastAsia="zh-CN"/>
        </w:rPr>
      </w:pPr>
      <w:r w:rsidRPr="005E4B56">
        <w:rPr>
          <w:rFonts w:ascii="Book Antiqua" w:eastAsia="宋体" w:hAnsi="Book Antiqua" w:cs="宋体"/>
          <w:b/>
          <w:bCs/>
          <w:color w:val="000000"/>
          <w:lang w:val="en-US" w:eastAsia="zh-CN"/>
        </w:rPr>
        <w:lastRenderedPageBreak/>
        <w:t>Table 1 Patients' characteristics</w:t>
      </w:r>
    </w:p>
    <w:tbl>
      <w:tblPr>
        <w:tblW w:w="14049" w:type="dxa"/>
        <w:tblInd w:w="93" w:type="dxa"/>
        <w:tblBorders>
          <w:top w:val="single" w:sz="4" w:space="0" w:color="auto"/>
          <w:bottom w:val="single" w:sz="4" w:space="0" w:color="auto"/>
        </w:tblBorders>
        <w:tblLayout w:type="fixed"/>
        <w:tblLook w:val="04A0" w:firstRow="1" w:lastRow="0" w:firstColumn="1" w:lastColumn="0" w:noHBand="0" w:noVBand="1"/>
      </w:tblPr>
      <w:tblGrid>
        <w:gridCol w:w="1311"/>
        <w:gridCol w:w="1114"/>
        <w:gridCol w:w="1245"/>
        <w:gridCol w:w="1043"/>
        <w:gridCol w:w="1105"/>
        <w:gridCol w:w="1291"/>
        <w:gridCol w:w="977"/>
        <w:gridCol w:w="1143"/>
        <w:gridCol w:w="992"/>
        <w:gridCol w:w="1276"/>
        <w:gridCol w:w="1418"/>
        <w:gridCol w:w="1134"/>
      </w:tblGrid>
      <w:tr w:rsidR="005E4B56" w:rsidRPr="005E4B56" w:rsidTr="005E4B56">
        <w:trPr>
          <w:trHeight w:val="855"/>
        </w:trPr>
        <w:tc>
          <w:tcPr>
            <w:tcW w:w="1311" w:type="dxa"/>
            <w:tcBorders>
              <w:top w:val="single" w:sz="4" w:space="0" w:color="auto"/>
              <w:bottom w:val="single" w:sz="4" w:space="0" w:color="auto"/>
            </w:tcBorders>
            <w:shd w:val="clear" w:color="auto" w:fill="auto"/>
            <w:noWrap/>
            <w:vAlign w:val="bottom"/>
            <w:hideMark/>
          </w:tcPr>
          <w:p w:rsidR="005E4B56" w:rsidRPr="005E4B56" w:rsidRDefault="005E4B56" w:rsidP="005E4B56">
            <w:pPr>
              <w:spacing w:line="360" w:lineRule="auto"/>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 xml:space="preserve">　</w:t>
            </w:r>
          </w:p>
        </w:tc>
        <w:tc>
          <w:tcPr>
            <w:tcW w:w="1114"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Patients number</w:t>
            </w:r>
          </w:p>
        </w:tc>
        <w:tc>
          <w:tcPr>
            <w:tcW w:w="1245"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Mean age</w:t>
            </w:r>
          </w:p>
        </w:tc>
        <w:tc>
          <w:tcPr>
            <w:tcW w:w="1043"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Gender m/f</w:t>
            </w:r>
          </w:p>
        </w:tc>
        <w:tc>
          <w:tcPr>
            <w:tcW w:w="1105"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 xml:space="preserve">Systolic </w:t>
            </w:r>
            <w:proofErr w:type="spellStart"/>
            <w:r w:rsidRPr="005E4B56">
              <w:rPr>
                <w:rFonts w:ascii="Book Antiqua" w:eastAsia="宋体" w:hAnsi="Book Antiqua" w:cs="宋体"/>
                <w:b/>
                <w:color w:val="000000"/>
                <w:lang w:val="en-US" w:eastAsia="zh-CN"/>
              </w:rPr>
              <w:t>bp</w:t>
            </w:r>
            <w:proofErr w:type="spellEnd"/>
          </w:p>
        </w:tc>
        <w:tc>
          <w:tcPr>
            <w:tcW w:w="1291"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proofErr w:type="spellStart"/>
            <w:r w:rsidRPr="005E4B56">
              <w:rPr>
                <w:rFonts w:ascii="Book Antiqua" w:eastAsia="宋体" w:hAnsi="Book Antiqua" w:cs="宋体"/>
                <w:b/>
                <w:color w:val="000000"/>
                <w:lang w:val="en-US" w:eastAsia="zh-CN"/>
              </w:rPr>
              <w:t>Bp</w:t>
            </w:r>
            <w:proofErr w:type="spellEnd"/>
            <w:r w:rsidRPr="005E4B56">
              <w:rPr>
                <w:rFonts w:ascii="Book Antiqua" w:eastAsia="宋体" w:hAnsi="Book Antiqua" w:cs="宋体"/>
                <w:b/>
                <w:color w:val="000000"/>
                <w:lang w:val="en-US" w:eastAsia="zh-CN"/>
              </w:rPr>
              <w:t xml:space="preserve"> treatment (Yes/No)</w:t>
            </w:r>
          </w:p>
        </w:tc>
        <w:tc>
          <w:tcPr>
            <w:tcW w:w="977"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Smoke</w:t>
            </w:r>
          </w:p>
        </w:tc>
        <w:tc>
          <w:tcPr>
            <w:tcW w:w="1143"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Diabetes</w:t>
            </w:r>
          </w:p>
        </w:tc>
        <w:tc>
          <w:tcPr>
            <w:tcW w:w="992"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BMI</w:t>
            </w:r>
          </w:p>
        </w:tc>
        <w:tc>
          <w:tcPr>
            <w:tcW w:w="1276" w:type="dxa"/>
            <w:tcBorders>
              <w:top w:val="single" w:sz="4" w:space="0" w:color="auto"/>
              <w:bottom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Mean CVR</w:t>
            </w:r>
          </w:p>
        </w:tc>
        <w:tc>
          <w:tcPr>
            <w:tcW w:w="1418" w:type="dxa"/>
            <w:tcBorders>
              <w:top w:val="single" w:sz="4" w:space="0" w:color="auto"/>
              <w:bottom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 xml:space="preserve"> Whole thoracic aorta TBR</w:t>
            </w:r>
          </w:p>
        </w:tc>
        <w:tc>
          <w:tcPr>
            <w:tcW w:w="1134" w:type="dxa"/>
            <w:tcBorders>
              <w:top w:val="single" w:sz="4" w:space="0" w:color="auto"/>
              <w:bottom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NGCMS</w:t>
            </w:r>
          </w:p>
        </w:tc>
      </w:tr>
      <w:tr w:rsidR="005E4B56" w:rsidRPr="005E4B56" w:rsidTr="005E4B56">
        <w:trPr>
          <w:trHeight w:val="285"/>
        </w:trPr>
        <w:tc>
          <w:tcPr>
            <w:tcW w:w="1311"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 CVR</w:t>
            </w:r>
          </w:p>
        </w:tc>
        <w:tc>
          <w:tcPr>
            <w:tcW w:w="1114"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22</w:t>
            </w:r>
          </w:p>
        </w:tc>
        <w:tc>
          <w:tcPr>
            <w:tcW w:w="1245"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58.3</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8.2 </w:t>
            </w:r>
          </w:p>
        </w:tc>
        <w:tc>
          <w:tcPr>
            <w:tcW w:w="1043"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7/15</w:t>
            </w:r>
          </w:p>
        </w:tc>
        <w:tc>
          <w:tcPr>
            <w:tcW w:w="1105"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114</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5</w:t>
            </w:r>
          </w:p>
        </w:tc>
        <w:tc>
          <w:tcPr>
            <w:tcW w:w="1291"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2/20</w:t>
            </w:r>
          </w:p>
        </w:tc>
        <w:tc>
          <w:tcPr>
            <w:tcW w:w="977"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1/21</w:t>
            </w:r>
          </w:p>
        </w:tc>
        <w:tc>
          <w:tcPr>
            <w:tcW w:w="1143"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2/22</w:t>
            </w:r>
          </w:p>
        </w:tc>
        <w:tc>
          <w:tcPr>
            <w:tcW w:w="992" w:type="dxa"/>
            <w:tcBorders>
              <w:top w:val="single" w:sz="4" w:space="0" w:color="auto"/>
            </w:tcBorders>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24</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1</w:t>
            </w:r>
          </w:p>
        </w:tc>
        <w:tc>
          <w:tcPr>
            <w:tcW w:w="1276"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6.6</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2.3%</w:t>
            </w:r>
          </w:p>
        </w:tc>
        <w:tc>
          <w:tcPr>
            <w:tcW w:w="1418"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1.14</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0.34 </w:t>
            </w:r>
          </w:p>
        </w:tc>
        <w:tc>
          <w:tcPr>
            <w:tcW w:w="1134" w:type="dxa"/>
            <w:tcBorders>
              <w:top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104</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46</w:t>
            </w:r>
          </w:p>
        </w:tc>
      </w:tr>
      <w:tr w:rsidR="005E4B56" w:rsidRPr="005E4B56" w:rsidTr="005E4B56">
        <w:trPr>
          <w:trHeight w:val="285"/>
        </w:trPr>
        <w:tc>
          <w:tcPr>
            <w:tcW w:w="1311"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 CVR</w:t>
            </w:r>
          </w:p>
        </w:tc>
        <w:tc>
          <w:tcPr>
            <w:tcW w:w="111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36</w:t>
            </w:r>
          </w:p>
        </w:tc>
        <w:tc>
          <w:tcPr>
            <w:tcW w:w="124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65</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9.5</w:t>
            </w:r>
          </w:p>
        </w:tc>
        <w:tc>
          <w:tcPr>
            <w:tcW w:w="1043"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10/26</w:t>
            </w:r>
          </w:p>
        </w:tc>
        <w:tc>
          <w:tcPr>
            <w:tcW w:w="1105"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123</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6</w:t>
            </w:r>
          </w:p>
        </w:tc>
        <w:tc>
          <w:tcPr>
            <w:tcW w:w="1291"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12/24</w:t>
            </w:r>
          </w:p>
        </w:tc>
        <w:tc>
          <w:tcPr>
            <w:tcW w:w="977"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14/22</w:t>
            </w:r>
          </w:p>
        </w:tc>
        <w:tc>
          <w:tcPr>
            <w:tcW w:w="1143"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5/31</w:t>
            </w:r>
          </w:p>
        </w:tc>
        <w:tc>
          <w:tcPr>
            <w:tcW w:w="992"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25</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3</w:t>
            </w:r>
          </w:p>
        </w:tc>
        <w:tc>
          <w:tcPr>
            <w:tcW w:w="1276"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14.3</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3 %</w:t>
            </w:r>
          </w:p>
        </w:tc>
        <w:tc>
          <w:tcPr>
            <w:tcW w:w="141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1.4</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0.4 </w:t>
            </w:r>
          </w:p>
        </w:tc>
        <w:tc>
          <w:tcPr>
            <w:tcW w:w="113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62</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21</w:t>
            </w:r>
          </w:p>
        </w:tc>
      </w:tr>
      <w:tr w:rsidR="005E4B56" w:rsidRPr="005E4B56" w:rsidTr="005E4B56">
        <w:trPr>
          <w:trHeight w:val="398"/>
        </w:trPr>
        <w:tc>
          <w:tcPr>
            <w:tcW w:w="1311"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 CVR</w:t>
            </w:r>
          </w:p>
        </w:tc>
        <w:tc>
          <w:tcPr>
            <w:tcW w:w="111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20</w:t>
            </w:r>
          </w:p>
        </w:tc>
        <w:tc>
          <w:tcPr>
            <w:tcW w:w="124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65</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9.1 </w:t>
            </w:r>
          </w:p>
        </w:tc>
        <w:tc>
          <w:tcPr>
            <w:tcW w:w="1043"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10/10</w:t>
            </w:r>
          </w:p>
        </w:tc>
        <w:tc>
          <w:tcPr>
            <w:tcW w:w="1105"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128</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11</w:t>
            </w:r>
          </w:p>
        </w:tc>
        <w:tc>
          <w:tcPr>
            <w:tcW w:w="1291"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8/12</w:t>
            </w:r>
          </w:p>
        </w:tc>
        <w:tc>
          <w:tcPr>
            <w:tcW w:w="977"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19/1</w:t>
            </w:r>
          </w:p>
        </w:tc>
        <w:tc>
          <w:tcPr>
            <w:tcW w:w="1143"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15/5</w:t>
            </w:r>
          </w:p>
        </w:tc>
        <w:tc>
          <w:tcPr>
            <w:tcW w:w="992" w:type="dxa"/>
            <w:shd w:val="clear" w:color="auto" w:fill="auto"/>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27</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2</w:t>
            </w:r>
          </w:p>
        </w:tc>
        <w:tc>
          <w:tcPr>
            <w:tcW w:w="1276"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29</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2.4% </w:t>
            </w:r>
          </w:p>
        </w:tc>
        <w:tc>
          <w:tcPr>
            <w:tcW w:w="141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1.8</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0.75</w:t>
            </w:r>
          </w:p>
        </w:tc>
        <w:tc>
          <w:tcPr>
            <w:tcW w:w="113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43</w:t>
            </w:r>
            <w:r>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 xml:space="preserve">± 17 </w:t>
            </w:r>
          </w:p>
        </w:tc>
      </w:tr>
    </w:tbl>
    <w:p w:rsidR="004749BE" w:rsidRPr="004749BE" w:rsidRDefault="004749BE" w:rsidP="004749BE">
      <w:pPr>
        <w:spacing w:line="360" w:lineRule="auto"/>
        <w:jc w:val="both"/>
        <w:rPr>
          <w:rFonts w:ascii="Book Antiqua" w:eastAsia="宋体" w:hAnsi="Book Antiqua"/>
          <w:lang w:val="en-US" w:eastAsia="zh-CN"/>
        </w:rPr>
      </w:pPr>
      <w:r w:rsidRPr="004749BE">
        <w:rPr>
          <w:rFonts w:ascii="Book Antiqua" w:eastAsia="宋体" w:hAnsi="Book Antiqua"/>
          <w:lang w:val="en-US" w:eastAsia="zh-CN"/>
        </w:rPr>
        <w:t>CVR</w:t>
      </w:r>
      <w:r>
        <w:rPr>
          <w:rFonts w:ascii="Book Antiqua" w:eastAsia="宋体" w:hAnsi="Book Antiqua" w:hint="eastAsia"/>
          <w:lang w:val="en-US" w:eastAsia="zh-CN"/>
        </w:rPr>
        <w:t xml:space="preserve">: </w:t>
      </w:r>
      <w:r w:rsidRPr="004749BE">
        <w:rPr>
          <w:rFonts w:ascii="Book Antiqua" w:eastAsia="宋体" w:hAnsi="Book Antiqua"/>
          <w:lang w:val="en-US" w:eastAsia="zh-CN"/>
        </w:rPr>
        <w:t>Cardiovascular risk</w:t>
      </w:r>
      <w:r>
        <w:rPr>
          <w:rFonts w:ascii="Book Antiqua" w:eastAsia="宋体" w:hAnsi="Book Antiqua" w:hint="eastAsia"/>
          <w:lang w:val="en-US" w:eastAsia="zh-CN"/>
        </w:rPr>
        <w:t xml:space="preserve">; </w:t>
      </w:r>
      <w:r w:rsidRPr="004749BE">
        <w:rPr>
          <w:rFonts w:ascii="Book Antiqua" w:eastAsia="宋体" w:hAnsi="Book Antiqua" w:hint="eastAsia"/>
          <w:lang w:val="en-US" w:eastAsia="zh-CN"/>
        </w:rPr>
        <w:t>T</w:t>
      </w:r>
      <w:r>
        <w:rPr>
          <w:rFonts w:ascii="Book Antiqua" w:eastAsia="宋体" w:hAnsi="Book Antiqua" w:hint="eastAsia"/>
          <w:lang w:val="en-US" w:eastAsia="zh-CN"/>
        </w:rPr>
        <w:t>BR</w:t>
      </w:r>
      <w:r w:rsidRPr="004749BE">
        <w:rPr>
          <w:rFonts w:ascii="Book Antiqua" w:eastAsia="宋体" w:hAnsi="Book Antiqua" w:hint="eastAsia"/>
          <w:lang w:val="en-US" w:eastAsia="zh-CN"/>
        </w:rPr>
        <w:t xml:space="preserve">: </w:t>
      </w:r>
      <w:r w:rsidRPr="004749BE">
        <w:rPr>
          <w:rFonts w:ascii="Book Antiqua" w:eastAsia="宋体" w:hAnsi="Book Antiqua"/>
          <w:lang w:val="en-US" w:eastAsia="zh-CN"/>
        </w:rPr>
        <w:t>Target-to-background ratio</w:t>
      </w:r>
      <w:r>
        <w:rPr>
          <w:rFonts w:ascii="Book Antiqua" w:eastAsia="宋体" w:hAnsi="Book Antiqua" w:hint="eastAsia"/>
          <w:lang w:val="en-US" w:eastAsia="zh-CN"/>
        </w:rPr>
        <w:t xml:space="preserve">; </w:t>
      </w:r>
      <w:r w:rsidRPr="004749BE">
        <w:rPr>
          <w:rFonts w:ascii="Book Antiqua" w:eastAsia="宋体" w:hAnsi="Book Antiqua"/>
          <w:lang w:val="en-US" w:eastAsia="zh-CN"/>
        </w:rPr>
        <w:t>NGMCS</w:t>
      </w:r>
      <w:r>
        <w:rPr>
          <w:rFonts w:ascii="Book Antiqua" w:eastAsia="宋体" w:hAnsi="Book Antiqua" w:hint="eastAsia"/>
          <w:lang w:val="en-US" w:eastAsia="zh-CN"/>
        </w:rPr>
        <w:t xml:space="preserve">: </w:t>
      </w:r>
      <w:r w:rsidRPr="004749BE">
        <w:rPr>
          <w:rFonts w:ascii="Book Antiqua" w:eastAsia="宋体" w:hAnsi="Book Antiqua"/>
          <w:lang w:val="en-US" w:eastAsia="zh-CN"/>
        </w:rPr>
        <w:t>Normalized Global Molecular Calcification Score</w:t>
      </w:r>
      <w:r>
        <w:rPr>
          <w:rFonts w:ascii="Book Antiqua" w:eastAsia="宋体" w:hAnsi="Book Antiqua" w:hint="eastAsia"/>
          <w:lang w:val="en-US" w:eastAsia="zh-CN"/>
        </w:rPr>
        <w:t>.</w:t>
      </w:r>
    </w:p>
    <w:p w:rsidR="005E4B56" w:rsidRPr="004749BE" w:rsidRDefault="005E4B56" w:rsidP="005E4B56">
      <w:pPr>
        <w:rPr>
          <w:rFonts w:ascii="Book Antiqua" w:eastAsia="宋体" w:hAnsi="Book Antiqua"/>
          <w:b/>
          <w:lang w:val="en-US" w:eastAsia="zh-CN"/>
        </w:rPr>
        <w:sectPr w:rsidR="005E4B56" w:rsidRPr="004749BE" w:rsidSect="005E4B56">
          <w:pgSz w:w="16840" w:h="11900" w:orient="landscape"/>
          <w:pgMar w:top="1134" w:right="1134" w:bottom="1134" w:left="1417" w:header="708" w:footer="708" w:gutter="0"/>
          <w:cols w:space="708"/>
          <w:docGrid w:linePitch="360"/>
        </w:sectPr>
      </w:pPr>
    </w:p>
    <w:p w:rsidR="005E4B56" w:rsidRPr="005E4B56" w:rsidRDefault="005E4B56" w:rsidP="005E4B56">
      <w:pPr>
        <w:rPr>
          <w:rFonts w:ascii="Book Antiqua" w:eastAsia="宋体" w:hAnsi="Book Antiqua"/>
          <w:b/>
          <w:lang w:val="en-US" w:eastAsia="zh-CN"/>
        </w:rPr>
      </w:pPr>
      <w:r w:rsidRPr="005E4B56">
        <w:rPr>
          <w:rFonts w:ascii="Book Antiqua" w:eastAsia="宋体" w:hAnsi="Book Antiqua"/>
          <w:b/>
          <w:lang w:val="en-US" w:eastAsia="zh-CN"/>
        </w:rPr>
        <w:lastRenderedPageBreak/>
        <w:t>Table 2</w:t>
      </w:r>
      <w:r w:rsidRPr="005E4B56">
        <w:rPr>
          <w:rFonts w:ascii="Book Antiqua" w:eastAsia="宋体" w:hAnsi="Book Antiqua" w:hint="eastAsia"/>
          <w:b/>
          <w:lang w:val="en-US" w:eastAsia="zh-CN"/>
        </w:rPr>
        <w:t xml:space="preserve"> </w:t>
      </w:r>
      <w:r w:rsidR="004749BE" w:rsidRPr="004749BE">
        <w:rPr>
          <w:rFonts w:ascii="Book Antiqua" w:eastAsia="宋体" w:hAnsi="Book Antiqua"/>
          <w:b/>
          <w:lang w:val="en-US" w:eastAsia="zh-CN"/>
        </w:rPr>
        <w:t xml:space="preserve">Target-to-background ratio </w:t>
      </w:r>
      <w:r w:rsidR="00D1444E" w:rsidRPr="005E4B56">
        <w:rPr>
          <w:rFonts w:ascii="Book Antiqua" w:eastAsia="宋体" w:hAnsi="Book Antiqua"/>
          <w:b/>
          <w:lang w:val="en-US" w:eastAsia="zh-CN"/>
        </w:rPr>
        <w:t>di</w:t>
      </w:r>
      <w:r w:rsidR="00D1444E">
        <w:rPr>
          <w:rFonts w:ascii="Book Antiqua" w:eastAsia="宋体" w:hAnsi="Book Antiqua"/>
          <w:b/>
          <w:lang w:val="en-US" w:eastAsia="zh-CN"/>
        </w:rPr>
        <w:t>fferences</w:t>
      </w:r>
      <w:bookmarkStart w:id="55" w:name="_GoBack"/>
      <w:bookmarkEnd w:id="55"/>
      <w:r>
        <w:rPr>
          <w:rFonts w:ascii="Book Antiqua" w:eastAsia="宋体" w:hAnsi="Book Antiqua"/>
          <w:b/>
          <w:lang w:val="en-US" w:eastAsia="zh-CN"/>
        </w:rPr>
        <w:t xml:space="preserve"> in risk group (</w:t>
      </w:r>
      <w:r w:rsidRPr="005E4B56">
        <w:rPr>
          <w:rFonts w:ascii="Book Antiqua" w:eastAsia="宋体" w:hAnsi="Book Antiqua"/>
          <w:b/>
          <w:i/>
          <w:lang w:val="en-US" w:eastAsia="zh-CN"/>
        </w:rPr>
        <w:t xml:space="preserve">P </w:t>
      </w:r>
      <w:r>
        <w:rPr>
          <w:rFonts w:ascii="Book Antiqua" w:eastAsia="宋体" w:hAnsi="Book Antiqua"/>
          <w:b/>
          <w:lang w:val="en-US" w:eastAsia="zh-CN"/>
        </w:rPr>
        <w:t>value</w:t>
      </w:r>
      <w:r w:rsidRPr="005E4B56">
        <w:rPr>
          <w:rFonts w:ascii="Book Antiqua" w:eastAsia="宋体" w:hAnsi="Book Antiqua"/>
          <w:b/>
          <w:lang w:val="en-US" w:eastAsia="zh-CN"/>
        </w:rPr>
        <w:t>)</w:t>
      </w:r>
      <w:r w:rsidRPr="005E4B56">
        <w:rPr>
          <w:rFonts w:ascii="Book Antiqua" w:eastAsia="宋体" w:hAnsi="Book Antiqua"/>
          <w:b/>
          <w:lang w:val="en-US" w:eastAsia="zh-CN"/>
        </w:rPr>
        <w:tab/>
      </w:r>
    </w:p>
    <w:tbl>
      <w:tblPr>
        <w:tblW w:w="8740" w:type="dxa"/>
        <w:jc w:val="center"/>
        <w:tblInd w:w="-3495" w:type="dxa"/>
        <w:tblBorders>
          <w:top w:val="single" w:sz="4" w:space="0" w:color="auto"/>
          <w:bottom w:val="single" w:sz="4" w:space="0" w:color="auto"/>
        </w:tblBorders>
        <w:tblLook w:val="04A0" w:firstRow="1" w:lastRow="0" w:firstColumn="1" w:lastColumn="0" w:noHBand="0" w:noVBand="1"/>
      </w:tblPr>
      <w:tblGrid>
        <w:gridCol w:w="3180"/>
        <w:gridCol w:w="2268"/>
        <w:gridCol w:w="1843"/>
        <w:gridCol w:w="1449"/>
      </w:tblGrid>
      <w:tr w:rsidR="005E4B56" w:rsidRPr="00756CAD" w:rsidTr="005E4B56">
        <w:trPr>
          <w:trHeight w:val="285"/>
          <w:jc w:val="center"/>
        </w:trPr>
        <w:tc>
          <w:tcPr>
            <w:tcW w:w="3180" w:type="dxa"/>
            <w:tcBorders>
              <w:top w:val="single" w:sz="4" w:space="0" w:color="auto"/>
              <w:bottom w:val="single" w:sz="4" w:space="0" w:color="auto"/>
            </w:tcBorders>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 xml:space="preserve">　</w:t>
            </w:r>
          </w:p>
        </w:tc>
        <w:tc>
          <w:tcPr>
            <w:tcW w:w="2268" w:type="dxa"/>
            <w:tcBorders>
              <w:top w:val="single" w:sz="4" w:space="0" w:color="auto"/>
              <w:bottom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H</w:t>
            </w:r>
            <w:r w:rsidRPr="00756CAD">
              <w:rPr>
                <w:rFonts w:ascii="Book Antiqua" w:eastAsia="宋体" w:hAnsi="Book Antiqua" w:cs="宋体"/>
                <w:b/>
                <w:color w:val="000000"/>
                <w:lang w:val="en-US" w:eastAsia="zh-CN"/>
              </w:rPr>
              <w:t>igh</w:t>
            </w:r>
          </w:p>
        </w:tc>
        <w:tc>
          <w:tcPr>
            <w:tcW w:w="1843" w:type="dxa"/>
            <w:tcBorders>
              <w:top w:val="single" w:sz="4" w:space="0" w:color="auto"/>
              <w:bottom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756CAD">
              <w:rPr>
                <w:rFonts w:ascii="Book Antiqua" w:eastAsia="宋体" w:hAnsi="Book Antiqua" w:cs="宋体"/>
                <w:b/>
                <w:color w:val="000000"/>
                <w:lang w:val="en-US" w:eastAsia="zh-CN"/>
              </w:rPr>
              <w:t>Medium</w:t>
            </w:r>
          </w:p>
        </w:tc>
        <w:tc>
          <w:tcPr>
            <w:tcW w:w="1449" w:type="dxa"/>
            <w:tcBorders>
              <w:top w:val="single" w:sz="4" w:space="0" w:color="auto"/>
              <w:bottom w:val="single" w:sz="4" w:space="0" w:color="auto"/>
            </w:tcBorders>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756CAD">
              <w:rPr>
                <w:rFonts w:ascii="Book Antiqua" w:eastAsia="宋体" w:hAnsi="Book Antiqua" w:cs="宋体"/>
                <w:b/>
                <w:color w:val="000000"/>
                <w:lang w:val="en-US" w:eastAsia="zh-CN"/>
              </w:rPr>
              <w:t>Low</w:t>
            </w:r>
          </w:p>
        </w:tc>
      </w:tr>
      <w:tr w:rsidR="005E4B56" w:rsidRPr="005E4B56" w:rsidTr="005E4B56">
        <w:trPr>
          <w:trHeight w:val="285"/>
          <w:jc w:val="center"/>
        </w:trPr>
        <w:tc>
          <w:tcPr>
            <w:tcW w:w="3180" w:type="dxa"/>
            <w:tcBorders>
              <w:top w:val="single" w:sz="4" w:space="0" w:color="auto"/>
            </w:tcBorders>
            <w:shd w:val="clear" w:color="auto" w:fill="auto"/>
            <w:noWrap/>
            <w:vAlign w:val="bottom"/>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Thoracic aorta</w:t>
            </w:r>
          </w:p>
        </w:tc>
        <w:tc>
          <w:tcPr>
            <w:tcW w:w="2268" w:type="dxa"/>
            <w:tcBorders>
              <w:top w:val="single" w:sz="4" w:space="0" w:color="auto"/>
            </w:tcBorders>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843" w:type="dxa"/>
            <w:tcBorders>
              <w:top w:val="single" w:sz="4" w:space="0" w:color="auto"/>
            </w:tcBorders>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449" w:type="dxa"/>
            <w:tcBorders>
              <w:top w:val="single" w:sz="4" w:space="0" w:color="auto"/>
            </w:tcBorders>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0.031</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0.002</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0.031</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0.023</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0.002</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0.023</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Ascending aorta</w:t>
            </w:r>
          </w:p>
        </w:tc>
        <w:tc>
          <w:tcPr>
            <w:tcW w:w="2268"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843"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449"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0.085</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0.013</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0.085</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0.056</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0.013</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0.056</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Aortic arch</w:t>
            </w:r>
          </w:p>
        </w:tc>
        <w:tc>
          <w:tcPr>
            <w:tcW w:w="2268"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843"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449"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0.066</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0.007</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0.066</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0.033</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0.007</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0.033</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hint="eastAsia"/>
                <w:color w:val="000000"/>
                <w:lang w:val="en-US" w:eastAsia="zh-CN"/>
              </w:rPr>
              <w:t xml:space="preserve">　</w:t>
            </w:r>
            <w:r w:rsidRPr="005E4B56">
              <w:rPr>
                <w:rFonts w:ascii="Book Antiqua" w:eastAsia="宋体" w:hAnsi="Book Antiqua" w:cs="宋体"/>
                <w:color w:val="000000"/>
                <w:lang w:val="en-US" w:eastAsia="zh-CN"/>
              </w:rPr>
              <w:t>Descending aorta</w:t>
            </w:r>
          </w:p>
        </w:tc>
        <w:tc>
          <w:tcPr>
            <w:tcW w:w="2268"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843"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449"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0.012</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0.001</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0.012</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0.018</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0.001</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0.018</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 xml:space="preserve">　</w:t>
            </w:r>
            <w:r w:rsidRPr="005E4B56">
              <w:rPr>
                <w:rFonts w:ascii="Book Antiqua" w:eastAsia="宋体" w:hAnsi="Book Antiqua" w:cs="宋体"/>
                <w:color w:val="000000"/>
                <w:lang w:val="en-US" w:eastAsia="zh-CN"/>
              </w:rPr>
              <w:t>Normalized global molecular calc. Score</w:t>
            </w:r>
          </w:p>
        </w:tc>
        <w:tc>
          <w:tcPr>
            <w:tcW w:w="2268"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843"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c>
          <w:tcPr>
            <w:tcW w:w="1449" w:type="dxa"/>
            <w:shd w:val="clear" w:color="auto" w:fill="auto"/>
            <w:noWrap/>
            <w:vAlign w:val="center"/>
          </w:tcPr>
          <w:p w:rsidR="005E4B56" w:rsidRPr="005E4B56" w:rsidRDefault="005E4B56" w:rsidP="005E4B56">
            <w:pPr>
              <w:spacing w:line="360" w:lineRule="auto"/>
              <w:jc w:val="center"/>
              <w:rPr>
                <w:rFonts w:ascii="Book Antiqua" w:eastAsia="宋体" w:hAnsi="Book Antiqua" w:cs="宋体"/>
                <w:color w:val="000000"/>
                <w:lang w:val="en-US" w:eastAsia="zh-CN"/>
              </w:rPr>
            </w:pP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High</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0.00015</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0.00001</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Medium</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0.00015</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0.00280</w:t>
            </w:r>
          </w:p>
        </w:tc>
      </w:tr>
      <w:tr w:rsidR="005E4B56" w:rsidRPr="005E4B56" w:rsidTr="005E4B56">
        <w:trPr>
          <w:trHeight w:val="285"/>
          <w:jc w:val="center"/>
        </w:trPr>
        <w:tc>
          <w:tcPr>
            <w:tcW w:w="3180"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Low</w:t>
            </w:r>
          </w:p>
        </w:tc>
        <w:tc>
          <w:tcPr>
            <w:tcW w:w="2268"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0.00001</w:t>
            </w:r>
          </w:p>
        </w:tc>
        <w:tc>
          <w:tcPr>
            <w:tcW w:w="1843"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0.00280</w:t>
            </w:r>
          </w:p>
        </w:tc>
        <w:tc>
          <w:tcPr>
            <w:tcW w:w="1449"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w:t>
            </w:r>
          </w:p>
        </w:tc>
      </w:tr>
    </w:tbl>
    <w:p w:rsidR="005E4B56" w:rsidRPr="005E4B56" w:rsidRDefault="005E4B56" w:rsidP="005E4B56">
      <w:pPr>
        <w:spacing w:line="360" w:lineRule="auto"/>
        <w:jc w:val="center"/>
        <w:rPr>
          <w:rFonts w:ascii="Book Antiqua" w:eastAsia="宋体" w:hAnsi="Book Antiqua"/>
          <w:b/>
          <w:lang w:val="en-US" w:eastAsia="zh-CN"/>
        </w:rPr>
      </w:pPr>
    </w:p>
    <w:p w:rsidR="005E4B56" w:rsidRPr="005E4B56" w:rsidRDefault="005E4B56" w:rsidP="00DE494F">
      <w:pPr>
        <w:spacing w:line="360" w:lineRule="auto"/>
        <w:jc w:val="both"/>
        <w:rPr>
          <w:rFonts w:ascii="Book Antiqua" w:eastAsia="宋体" w:hAnsi="Book Antiqua"/>
          <w:b/>
          <w:lang w:val="en-US" w:eastAsia="zh-CN"/>
        </w:rPr>
      </w:pPr>
      <w:r>
        <w:rPr>
          <w:rFonts w:ascii="Book Antiqua" w:eastAsia="宋体" w:hAnsi="Book Antiqua" w:hint="eastAsia"/>
          <w:b/>
          <w:lang w:val="en-US" w:eastAsia="zh-CN"/>
        </w:rPr>
        <w:t xml:space="preserve">        </w:t>
      </w:r>
      <w:r w:rsidRPr="005E4B56">
        <w:rPr>
          <w:rFonts w:ascii="Book Antiqua" w:eastAsia="宋体" w:hAnsi="Book Antiqua"/>
          <w:b/>
          <w:lang w:val="en-US" w:eastAsia="zh-CN"/>
        </w:rPr>
        <w:tab/>
      </w:r>
      <w:r w:rsidRPr="005E4B56">
        <w:rPr>
          <w:rFonts w:ascii="Book Antiqua" w:eastAsia="宋体" w:hAnsi="Book Antiqua"/>
          <w:b/>
          <w:lang w:val="en-US" w:eastAsia="zh-CN"/>
        </w:rPr>
        <w:tab/>
      </w:r>
      <w:r w:rsidRPr="005E4B56">
        <w:rPr>
          <w:rFonts w:ascii="Book Antiqua" w:eastAsia="宋体" w:hAnsi="Book Antiqua"/>
          <w:b/>
          <w:lang w:val="en-US" w:eastAsia="zh-CN"/>
        </w:rPr>
        <w:tab/>
      </w:r>
    </w:p>
    <w:p w:rsidR="005E4B56" w:rsidRDefault="005E4B56">
      <w:pPr>
        <w:rPr>
          <w:rFonts w:ascii="Book Antiqua" w:eastAsia="宋体" w:hAnsi="Book Antiqua"/>
          <w:b/>
          <w:lang w:val="en-US" w:eastAsia="zh-CN"/>
        </w:rPr>
      </w:pPr>
      <w:r>
        <w:rPr>
          <w:rFonts w:ascii="Book Antiqua" w:eastAsia="宋体" w:hAnsi="Book Antiqua"/>
          <w:b/>
          <w:lang w:val="en-US" w:eastAsia="zh-CN"/>
        </w:rPr>
        <w:br w:type="page"/>
      </w:r>
    </w:p>
    <w:p w:rsidR="005E4B56" w:rsidRDefault="005E4B56" w:rsidP="00DE494F">
      <w:pPr>
        <w:spacing w:line="360" w:lineRule="auto"/>
        <w:jc w:val="both"/>
        <w:rPr>
          <w:rFonts w:ascii="Book Antiqua" w:eastAsia="宋体" w:hAnsi="Book Antiqua"/>
          <w:b/>
          <w:lang w:val="en-US" w:eastAsia="zh-CN"/>
        </w:rPr>
      </w:pPr>
      <w:r w:rsidRPr="005E4B56">
        <w:rPr>
          <w:rFonts w:ascii="Book Antiqua" w:eastAsia="宋体" w:hAnsi="Book Antiqua"/>
          <w:b/>
          <w:lang w:val="en-US" w:eastAsia="zh-CN"/>
        </w:rPr>
        <w:lastRenderedPageBreak/>
        <w:t>Table 3</w:t>
      </w:r>
      <w:r w:rsidRPr="005E4B56">
        <w:rPr>
          <w:rFonts w:ascii="Book Antiqua" w:eastAsia="宋体" w:hAnsi="Book Antiqua" w:hint="eastAsia"/>
          <w:b/>
          <w:lang w:val="en-US" w:eastAsia="zh-CN"/>
        </w:rPr>
        <w:t xml:space="preserve"> </w:t>
      </w:r>
      <w:r w:rsidRPr="005E4B56">
        <w:rPr>
          <w:rFonts w:ascii="Book Antiqua" w:eastAsia="宋体" w:hAnsi="Book Antiqua"/>
          <w:b/>
          <w:lang w:val="en-US" w:eastAsia="zh-CN"/>
        </w:rPr>
        <w:t xml:space="preserve">Correlation between aortic uptake, </w:t>
      </w:r>
      <w:r w:rsidR="004749BE" w:rsidRPr="004749BE">
        <w:rPr>
          <w:rFonts w:ascii="Book Antiqua" w:eastAsia="宋体" w:hAnsi="Book Antiqua"/>
          <w:b/>
          <w:lang w:val="en-US" w:eastAsia="zh-CN"/>
        </w:rPr>
        <w:t xml:space="preserve">cardiovascular risk </w:t>
      </w:r>
      <w:r w:rsidRPr="005E4B56">
        <w:rPr>
          <w:rFonts w:ascii="Book Antiqua" w:eastAsia="宋体" w:hAnsi="Book Antiqua"/>
          <w:b/>
          <w:lang w:val="en-US" w:eastAsia="zh-CN"/>
        </w:rPr>
        <w:t xml:space="preserve">and </w:t>
      </w:r>
      <w:r w:rsidR="004749BE" w:rsidRPr="004749BE">
        <w:rPr>
          <w:rFonts w:ascii="Book Antiqua" w:eastAsia="宋体" w:hAnsi="Book Antiqua"/>
          <w:b/>
          <w:lang w:val="en-US" w:eastAsia="zh-CN"/>
        </w:rPr>
        <w:t>Normalized Global Molecular Calcification Score</w:t>
      </w:r>
    </w:p>
    <w:tbl>
      <w:tblPr>
        <w:tblW w:w="7192" w:type="dxa"/>
        <w:jc w:val="center"/>
        <w:tblInd w:w="-1242" w:type="dxa"/>
        <w:tblBorders>
          <w:top w:val="single" w:sz="4" w:space="0" w:color="auto"/>
          <w:bottom w:val="single" w:sz="4" w:space="0" w:color="auto"/>
        </w:tblBorders>
        <w:tblLook w:val="04A0" w:firstRow="1" w:lastRow="0" w:firstColumn="1" w:lastColumn="0" w:noHBand="0" w:noVBand="1"/>
      </w:tblPr>
      <w:tblGrid>
        <w:gridCol w:w="2373"/>
        <w:gridCol w:w="1275"/>
        <w:gridCol w:w="1154"/>
        <w:gridCol w:w="1020"/>
        <w:gridCol w:w="1370"/>
      </w:tblGrid>
      <w:tr w:rsidR="005E4B56" w:rsidRPr="005E4B56" w:rsidTr="005E4B56">
        <w:trPr>
          <w:trHeight w:val="285"/>
          <w:jc w:val="center"/>
        </w:trPr>
        <w:tc>
          <w:tcPr>
            <w:tcW w:w="2373" w:type="dxa"/>
            <w:tcBorders>
              <w:top w:val="single" w:sz="4" w:space="0" w:color="auto"/>
              <w:bottom w:val="single" w:sz="4" w:space="0" w:color="auto"/>
            </w:tcBorders>
            <w:shd w:val="clear" w:color="auto" w:fill="auto"/>
            <w:noWrap/>
            <w:vAlign w:val="bottom"/>
            <w:hideMark/>
          </w:tcPr>
          <w:p w:rsidR="005E4B56" w:rsidRPr="005E4B56" w:rsidRDefault="005E4B56" w:rsidP="005E4B56">
            <w:pPr>
              <w:spacing w:line="360" w:lineRule="auto"/>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Segment TBR</w:t>
            </w:r>
          </w:p>
        </w:tc>
        <w:tc>
          <w:tcPr>
            <w:tcW w:w="2429" w:type="dxa"/>
            <w:gridSpan w:val="2"/>
            <w:tcBorders>
              <w:top w:val="single" w:sz="4" w:space="0" w:color="auto"/>
              <w:bottom w:val="single" w:sz="4" w:space="0" w:color="auto"/>
            </w:tcBorders>
            <w:shd w:val="clear" w:color="auto" w:fill="auto"/>
            <w:noWrap/>
            <w:vAlign w:val="center"/>
            <w:hideMark/>
          </w:tcPr>
          <w:p w:rsidR="005E4B56" w:rsidRPr="005E4B56" w:rsidRDefault="005E4B56" w:rsidP="004749BE">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CVR</w:t>
            </w:r>
          </w:p>
        </w:tc>
        <w:tc>
          <w:tcPr>
            <w:tcW w:w="2390" w:type="dxa"/>
            <w:gridSpan w:val="2"/>
            <w:tcBorders>
              <w:top w:val="single" w:sz="4" w:space="0" w:color="auto"/>
              <w:bottom w:val="single" w:sz="4" w:space="0" w:color="auto"/>
            </w:tcBorders>
            <w:shd w:val="clear" w:color="auto" w:fill="auto"/>
            <w:noWrap/>
            <w:vAlign w:val="bottom"/>
            <w:hideMark/>
          </w:tcPr>
          <w:p w:rsidR="005E4B56" w:rsidRPr="005E4B56" w:rsidRDefault="005E4B56" w:rsidP="005E4B56">
            <w:pPr>
              <w:spacing w:line="360" w:lineRule="auto"/>
              <w:jc w:val="center"/>
              <w:rPr>
                <w:rFonts w:ascii="Book Antiqua" w:eastAsia="宋体" w:hAnsi="Book Antiqua" w:cs="宋体"/>
                <w:b/>
                <w:color w:val="000000"/>
                <w:lang w:val="en-US" w:eastAsia="zh-CN"/>
              </w:rPr>
            </w:pPr>
            <w:r w:rsidRPr="005E4B56">
              <w:rPr>
                <w:rFonts w:ascii="Book Antiqua" w:eastAsia="宋体" w:hAnsi="Book Antiqua" w:cs="宋体"/>
                <w:b/>
                <w:color w:val="000000"/>
                <w:lang w:val="en-US" w:eastAsia="zh-CN"/>
              </w:rPr>
              <w:t>NGMCS</w:t>
            </w:r>
          </w:p>
        </w:tc>
      </w:tr>
      <w:tr w:rsidR="005E4B56" w:rsidRPr="005E4B56" w:rsidTr="005E4B56">
        <w:trPr>
          <w:trHeight w:val="285"/>
          <w:jc w:val="center"/>
        </w:trPr>
        <w:tc>
          <w:tcPr>
            <w:tcW w:w="2373" w:type="dxa"/>
            <w:tcBorders>
              <w:top w:val="single" w:sz="4" w:space="0" w:color="auto"/>
            </w:tcBorders>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 xml:space="preserve">　</w:t>
            </w:r>
          </w:p>
        </w:tc>
        <w:tc>
          <w:tcPr>
            <w:tcW w:w="1275" w:type="dxa"/>
            <w:tcBorders>
              <w:top w:val="single" w:sz="4" w:space="0" w:color="auto"/>
            </w:tcBorders>
            <w:shd w:val="clear" w:color="auto" w:fill="auto"/>
            <w:noWrap/>
            <w:vAlign w:val="bottom"/>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R2</w:t>
            </w:r>
          </w:p>
        </w:tc>
        <w:tc>
          <w:tcPr>
            <w:tcW w:w="1154" w:type="dxa"/>
            <w:tcBorders>
              <w:top w:val="single" w:sz="4" w:space="0" w:color="auto"/>
            </w:tcBorders>
            <w:shd w:val="clear" w:color="auto" w:fill="auto"/>
            <w:noWrap/>
            <w:vAlign w:val="bottom"/>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R</w:t>
            </w:r>
          </w:p>
        </w:tc>
        <w:tc>
          <w:tcPr>
            <w:tcW w:w="1020" w:type="dxa"/>
            <w:tcBorders>
              <w:top w:val="single" w:sz="4" w:space="0" w:color="auto"/>
            </w:tcBorders>
            <w:shd w:val="clear" w:color="auto" w:fill="auto"/>
            <w:noWrap/>
            <w:vAlign w:val="bottom"/>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R2</w:t>
            </w:r>
          </w:p>
        </w:tc>
        <w:tc>
          <w:tcPr>
            <w:tcW w:w="1370" w:type="dxa"/>
            <w:tcBorders>
              <w:top w:val="single" w:sz="4" w:space="0" w:color="auto"/>
            </w:tcBorders>
            <w:shd w:val="clear" w:color="auto" w:fill="auto"/>
            <w:noWrap/>
            <w:vAlign w:val="bottom"/>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R</w:t>
            </w:r>
          </w:p>
        </w:tc>
      </w:tr>
      <w:tr w:rsidR="005E4B56" w:rsidRPr="005E4B56" w:rsidTr="005E4B56">
        <w:trPr>
          <w:trHeight w:val="285"/>
          <w:jc w:val="center"/>
        </w:trPr>
        <w:tc>
          <w:tcPr>
            <w:tcW w:w="2373"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Ascending</w:t>
            </w:r>
          </w:p>
        </w:tc>
        <w:tc>
          <w:tcPr>
            <w:tcW w:w="127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0.52</w:t>
            </w:r>
          </w:p>
        </w:tc>
        <w:tc>
          <w:tcPr>
            <w:tcW w:w="115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0.72</w:t>
            </w:r>
          </w:p>
        </w:tc>
        <w:tc>
          <w:tcPr>
            <w:tcW w:w="102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0.27</w:t>
            </w:r>
          </w:p>
        </w:tc>
        <w:tc>
          <w:tcPr>
            <w:tcW w:w="137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0.52</w:t>
            </w:r>
          </w:p>
        </w:tc>
      </w:tr>
      <w:tr w:rsidR="005E4B56" w:rsidRPr="005E4B56" w:rsidTr="005E4B56">
        <w:trPr>
          <w:trHeight w:val="285"/>
          <w:jc w:val="center"/>
        </w:trPr>
        <w:tc>
          <w:tcPr>
            <w:tcW w:w="2373"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Arch</w:t>
            </w:r>
          </w:p>
        </w:tc>
        <w:tc>
          <w:tcPr>
            <w:tcW w:w="127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0.48</w:t>
            </w:r>
          </w:p>
        </w:tc>
        <w:tc>
          <w:tcPr>
            <w:tcW w:w="115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0.70</w:t>
            </w:r>
          </w:p>
        </w:tc>
        <w:tc>
          <w:tcPr>
            <w:tcW w:w="102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0.35</w:t>
            </w:r>
          </w:p>
        </w:tc>
        <w:tc>
          <w:tcPr>
            <w:tcW w:w="137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0.59</w:t>
            </w:r>
          </w:p>
        </w:tc>
      </w:tr>
      <w:tr w:rsidR="005E4B56" w:rsidRPr="005E4B56" w:rsidTr="005E4B56">
        <w:trPr>
          <w:trHeight w:val="285"/>
          <w:jc w:val="center"/>
        </w:trPr>
        <w:tc>
          <w:tcPr>
            <w:tcW w:w="2373"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Descending</w:t>
            </w:r>
          </w:p>
        </w:tc>
        <w:tc>
          <w:tcPr>
            <w:tcW w:w="127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0.62</w:t>
            </w:r>
          </w:p>
        </w:tc>
        <w:tc>
          <w:tcPr>
            <w:tcW w:w="115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0.79</w:t>
            </w:r>
          </w:p>
        </w:tc>
        <w:tc>
          <w:tcPr>
            <w:tcW w:w="102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0.52</w:t>
            </w:r>
          </w:p>
        </w:tc>
        <w:tc>
          <w:tcPr>
            <w:tcW w:w="137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0.72</w:t>
            </w:r>
          </w:p>
        </w:tc>
      </w:tr>
      <w:tr w:rsidR="005E4B56" w:rsidRPr="005E4B56" w:rsidTr="005E4B56">
        <w:trPr>
          <w:trHeight w:val="285"/>
          <w:jc w:val="center"/>
        </w:trPr>
        <w:tc>
          <w:tcPr>
            <w:tcW w:w="2373" w:type="dxa"/>
            <w:shd w:val="clear" w:color="auto" w:fill="auto"/>
            <w:noWrap/>
            <w:vAlign w:val="bottom"/>
            <w:hideMark/>
          </w:tcPr>
          <w:p w:rsidR="005E4B56" w:rsidRPr="005E4B56" w:rsidRDefault="005E4B56" w:rsidP="005E4B56">
            <w:pPr>
              <w:spacing w:line="360" w:lineRule="auto"/>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All segments</w:t>
            </w:r>
          </w:p>
        </w:tc>
        <w:tc>
          <w:tcPr>
            <w:tcW w:w="1275"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0.67</w:t>
            </w:r>
          </w:p>
        </w:tc>
        <w:tc>
          <w:tcPr>
            <w:tcW w:w="1154"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0.82</w:t>
            </w:r>
          </w:p>
        </w:tc>
        <w:tc>
          <w:tcPr>
            <w:tcW w:w="102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0.45</w:t>
            </w:r>
          </w:p>
        </w:tc>
        <w:tc>
          <w:tcPr>
            <w:tcW w:w="1370" w:type="dxa"/>
            <w:shd w:val="clear" w:color="auto" w:fill="auto"/>
            <w:noWrap/>
            <w:vAlign w:val="center"/>
            <w:hideMark/>
          </w:tcPr>
          <w:p w:rsidR="005E4B56" w:rsidRPr="005E4B56" w:rsidRDefault="005E4B56" w:rsidP="005E4B56">
            <w:pPr>
              <w:spacing w:line="360" w:lineRule="auto"/>
              <w:jc w:val="center"/>
              <w:rPr>
                <w:rFonts w:ascii="Book Antiqua" w:eastAsia="宋体" w:hAnsi="Book Antiqua" w:cs="宋体"/>
                <w:color w:val="000000"/>
                <w:lang w:val="en-US" w:eastAsia="zh-CN"/>
              </w:rPr>
            </w:pPr>
            <w:r w:rsidRPr="005E4B56">
              <w:rPr>
                <w:rFonts w:ascii="Book Antiqua" w:eastAsia="宋体" w:hAnsi="Book Antiqua" w:cs="宋体"/>
                <w:color w:val="000000"/>
                <w:lang w:val="en-US" w:eastAsia="zh-CN"/>
              </w:rPr>
              <w:t>0.67</w:t>
            </w:r>
          </w:p>
        </w:tc>
      </w:tr>
    </w:tbl>
    <w:p w:rsidR="005E4B56" w:rsidRPr="004749BE" w:rsidRDefault="004749BE" w:rsidP="00DE494F">
      <w:pPr>
        <w:spacing w:line="360" w:lineRule="auto"/>
        <w:jc w:val="both"/>
        <w:rPr>
          <w:rFonts w:ascii="Book Antiqua" w:eastAsia="宋体" w:hAnsi="Book Antiqua"/>
          <w:lang w:val="en-US" w:eastAsia="zh-CN"/>
        </w:rPr>
      </w:pPr>
      <w:r w:rsidRPr="004749BE">
        <w:rPr>
          <w:rFonts w:ascii="Book Antiqua" w:eastAsia="宋体" w:hAnsi="Book Antiqua"/>
          <w:lang w:val="en-US" w:eastAsia="zh-CN"/>
        </w:rPr>
        <w:t>CVR</w:t>
      </w:r>
      <w:r>
        <w:rPr>
          <w:rFonts w:ascii="Book Antiqua" w:eastAsia="宋体" w:hAnsi="Book Antiqua" w:hint="eastAsia"/>
          <w:lang w:val="en-US" w:eastAsia="zh-CN"/>
        </w:rPr>
        <w:t xml:space="preserve">: </w:t>
      </w:r>
      <w:r w:rsidRPr="004749BE">
        <w:rPr>
          <w:rFonts w:ascii="Book Antiqua" w:eastAsia="宋体" w:hAnsi="Book Antiqua"/>
          <w:lang w:val="en-US" w:eastAsia="zh-CN"/>
        </w:rPr>
        <w:t>Cardiovascular risk</w:t>
      </w:r>
      <w:r>
        <w:rPr>
          <w:rFonts w:ascii="Book Antiqua" w:eastAsia="宋体" w:hAnsi="Book Antiqua" w:hint="eastAsia"/>
          <w:lang w:val="en-US" w:eastAsia="zh-CN"/>
        </w:rPr>
        <w:t xml:space="preserve">; </w:t>
      </w:r>
      <w:r w:rsidRPr="004749BE">
        <w:rPr>
          <w:rFonts w:ascii="Book Antiqua" w:eastAsia="宋体" w:hAnsi="Book Antiqua" w:hint="eastAsia"/>
          <w:lang w:val="en-US" w:eastAsia="zh-CN"/>
        </w:rPr>
        <w:t>T</w:t>
      </w:r>
      <w:r>
        <w:rPr>
          <w:rFonts w:ascii="Book Antiqua" w:eastAsia="宋体" w:hAnsi="Book Antiqua" w:hint="eastAsia"/>
          <w:lang w:val="en-US" w:eastAsia="zh-CN"/>
        </w:rPr>
        <w:t>BR</w:t>
      </w:r>
      <w:r w:rsidRPr="004749BE">
        <w:rPr>
          <w:rFonts w:ascii="Book Antiqua" w:eastAsia="宋体" w:hAnsi="Book Antiqua" w:hint="eastAsia"/>
          <w:lang w:val="en-US" w:eastAsia="zh-CN"/>
        </w:rPr>
        <w:t xml:space="preserve">: </w:t>
      </w:r>
      <w:r w:rsidRPr="004749BE">
        <w:rPr>
          <w:rFonts w:ascii="Book Antiqua" w:eastAsia="宋体" w:hAnsi="Book Antiqua"/>
          <w:lang w:val="en-US" w:eastAsia="zh-CN"/>
        </w:rPr>
        <w:t>Target-to-background ratio</w:t>
      </w:r>
      <w:r>
        <w:rPr>
          <w:rFonts w:ascii="Book Antiqua" w:eastAsia="宋体" w:hAnsi="Book Antiqua" w:hint="eastAsia"/>
          <w:lang w:val="en-US" w:eastAsia="zh-CN"/>
        </w:rPr>
        <w:t xml:space="preserve">; </w:t>
      </w:r>
      <w:r w:rsidRPr="004749BE">
        <w:rPr>
          <w:rFonts w:ascii="Book Antiqua" w:eastAsia="宋体" w:hAnsi="Book Antiqua"/>
          <w:lang w:val="en-US" w:eastAsia="zh-CN"/>
        </w:rPr>
        <w:t>NGMCS</w:t>
      </w:r>
      <w:r>
        <w:rPr>
          <w:rFonts w:ascii="Book Antiqua" w:eastAsia="宋体" w:hAnsi="Book Antiqua" w:hint="eastAsia"/>
          <w:lang w:val="en-US" w:eastAsia="zh-CN"/>
        </w:rPr>
        <w:t xml:space="preserve">: </w:t>
      </w:r>
      <w:r w:rsidRPr="004749BE">
        <w:rPr>
          <w:rFonts w:ascii="Book Antiqua" w:eastAsia="宋体" w:hAnsi="Book Antiqua"/>
          <w:lang w:val="en-US" w:eastAsia="zh-CN"/>
        </w:rPr>
        <w:t>Normalized Global Molecular Calcification Score</w:t>
      </w:r>
      <w:r>
        <w:rPr>
          <w:rFonts w:ascii="Book Antiqua" w:eastAsia="宋体" w:hAnsi="Book Antiqua" w:hint="eastAsia"/>
          <w:lang w:val="en-US" w:eastAsia="zh-CN"/>
        </w:rPr>
        <w:t>.</w:t>
      </w:r>
    </w:p>
    <w:sectPr w:rsidR="005E4B56" w:rsidRPr="004749BE" w:rsidSect="005E4B5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F1" w:rsidRDefault="00D450F1" w:rsidP="00DE494F">
      <w:r>
        <w:separator/>
      </w:r>
    </w:p>
  </w:endnote>
  <w:endnote w:type="continuationSeparator" w:id="0">
    <w:p w:rsidR="00D450F1" w:rsidRDefault="00D450F1" w:rsidP="00D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F1" w:rsidRDefault="00D450F1" w:rsidP="00DE494F">
      <w:r>
        <w:separator/>
      </w:r>
    </w:p>
  </w:footnote>
  <w:footnote w:type="continuationSeparator" w:id="0">
    <w:p w:rsidR="00D450F1" w:rsidRDefault="00D450F1" w:rsidP="00DE49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49B3"/>
    <w:multiLevelType w:val="hybridMultilevel"/>
    <w:tmpl w:val="9CC49314"/>
    <w:lvl w:ilvl="0" w:tplc="00B21B6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2F"/>
    <w:rsid w:val="00005E51"/>
    <w:rsid w:val="00020E4C"/>
    <w:rsid w:val="000471BA"/>
    <w:rsid w:val="00047A49"/>
    <w:rsid w:val="00063FDD"/>
    <w:rsid w:val="00102C49"/>
    <w:rsid w:val="00123CF4"/>
    <w:rsid w:val="001279B4"/>
    <w:rsid w:val="0013022D"/>
    <w:rsid w:val="00145923"/>
    <w:rsid w:val="0015046D"/>
    <w:rsid w:val="00163319"/>
    <w:rsid w:val="00163B46"/>
    <w:rsid w:val="001678CE"/>
    <w:rsid w:val="00174860"/>
    <w:rsid w:val="00195883"/>
    <w:rsid w:val="001C7630"/>
    <w:rsid w:val="001D3001"/>
    <w:rsid w:val="001F28AD"/>
    <w:rsid w:val="002206C1"/>
    <w:rsid w:val="00234B4F"/>
    <w:rsid w:val="00237AF3"/>
    <w:rsid w:val="00251B76"/>
    <w:rsid w:val="002567AD"/>
    <w:rsid w:val="00273E71"/>
    <w:rsid w:val="0027677D"/>
    <w:rsid w:val="002A4CA9"/>
    <w:rsid w:val="002A6B61"/>
    <w:rsid w:val="002C131E"/>
    <w:rsid w:val="002C4B54"/>
    <w:rsid w:val="002D4EF1"/>
    <w:rsid w:val="002D6EE6"/>
    <w:rsid w:val="002F6507"/>
    <w:rsid w:val="00301F04"/>
    <w:rsid w:val="003122F5"/>
    <w:rsid w:val="003179AE"/>
    <w:rsid w:val="00326779"/>
    <w:rsid w:val="0033097A"/>
    <w:rsid w:val="003348B1"/>
    <w:rsid w:val="003409A0"/>
    <w:rsid w:val="00346BED"/>
    <w:rsid w:val="0034726F"/>
    <w:rsid w:val="00350EA9"/>
    <w:rsid w:val="00366294"/>
    <w:rsid w:val="00377A10"/>
    <w:rsid w:val="003864DA"/>
    <w:rsid w:val="00391BDB"/>
    <w:rsid w:val="00394BE2"/>
    <w:rsid w:val="0039569E"/>
    <w:rsid w:val="003B0869"/>
    <w:rsid w:val="003F24BB"/>
    <w:rsid w:val="004007AA"/>
    <w:rsid w:val="00416BDB"/>
    <w:rsid w:val="00420276"/>
    <w:rsid w:val="00446739"/>
    <w:rsid w:val="00447118"/>
    <w:rsid w:val="004749BE"/>
    <w:rsid w:val="00475868"/>
    <w:rsid w:val="0047742F"/>
    <w:rsid w:val="004818D6"/>
    <w:rsid w:val="00485779"/>
    <w:rsid w:val="004D3393"/>
    <w:rsid w:val="004D54FA"/>
    <w:rsid w:val="00517A6F"/>
    <w:rsid w:val="00565F62"/>
    <w:rsid w:val="005A479E"/>
    <w:rsid w:val="005B7ECB"/>
    <w:rsid w:val="005C6D38"/>
    <w:rsid w:val="005E4B56"/>
    <w:rsid w:val="005F4268"/>
    <w:rsid w:val="00600E81"/>
    <w:rsid w:val="00602177"/>
    <w:rsid w:val="006120F2"/>
    <w:rsid w:val="006179E0"/>
    <w:rsid w:val="006369DB"/>
    <w:rsid w:val="00654D8C"/>
    <w:rsid w:val="00656030"/>
    <w:rsid w:val="0067668F"/>
    <w:rsid w:val="006D2E0A"/>
    <w:rsid w:val="006D316A"/>
    <w:rsid w:val="00705AF8"/>
    <w:rsid w:val="00705C27"/>
    <w:rsid w:val="007311F3"/>
    <w:rsid w:val="00756CAD"/>
    <w:rsid w:val="00772AC1"/>
    <w:rsid w:val="00792DE8"/>
    <w:rsid w:val="00796690"/>
    <w:rsid w:val="007A73CA"/>
    <w:rsid w:val="007C5240"/>
    <w:rsid w:val="007C7369"/>
    <w:rsid w:val="007D4C0D"/>
    <w:rsid w:val="007E7513"/>
    <w:rsid w:val="00814E31"/>
    <w:rsid w:val="00821DB0"/>
    <w:rsid w:val="00844AA0"/>
    <w:rsid w:val="00867D6A"/>
    <w:rsid w:val="008721FE"/>
    <w:rsid w:val="00884A88"/>
    <w:rsid w:val="0089139D"/>
    <w:rsid w:val="00892781"/>
    <w:rsid w:val="008A40E9"/>
    <w:rsid w:val="008B638E"/>
    <w:rsid w:val="008C3690"/>
    <w:rsid w:val="008C4E85"/>
    <w:rsid w:val="008C6BB1"/>
    <w:rsid w:val="008D0F60"/>
    <w:rsid w:val="00906B2F"/>
    <w:rsid w:val="00942477"/>
    <w:rsid w:val="009629C8"/>
    <w:rsid w:val="00981D2E"/>
    <w:rsid w:val="009B0861"/>
    <w:rsid w:val="009B2022"/>
    <w:rsid w:val="009B20A5"/>
    <w:rsid w:val="009B3EB7"/>
    <w:rsid w:val="009C7079"/>
    <w:rsid w:val="009D73B9"/>
    <w:rsid w:val="00A07893"/>
    <w:rsid w:val="00A12611"/>
    <w:rsid w:val="00A12A24"/>
    <w:rsid w:val="00A2563D"/>
    <w:rsid w:val="00A337C2"/>
    <w:rsid w:val="00A47287"/>
    <w:rsid w:val="00A54775"/>
    <w:rsid w:val="00A63C15"/>
    <w:rsid w:val="00A742BD"/>
    <w:rsid w:val="00A85C51"/>
    <w:rsid w:val="00A86B9C"/>
    <w:rsid w:val="00AE58A7"/>
    <w:rsid w:val="00AE71E1"/>
    <w:rsid w:val="00AF6A99"/>
    <w:rsid w:val="00B03472"/>
    <w:rsid w:val="00B04FA6"/>
    <w:rsid w:val="00B21C62"/>
    <w:rsid w:val="00B22E9E"/>
    <w:rsid w:val="00B4408F"/>
    <w:rsid w:val="00B5335D"/>
    <w:rsid w:val="00B55CA2"/>
    <w:rsid w:val="00B61BD6"/>
    <w:rsid w:val="00B81606"/>
    <w:rsid w:val="00B95803"/>
    <w:rsid w:val="00BB7E21"/>
    <w:rsid w:val="00BC7D63"/>
    <w:rsid w:val="00BD48A1"/>
    <w:rsid w:val="00BD5440"/>
    <w:rsid w:val="00BE6CCC"/>
    <w:rsid w:val="00C00A96"/>
    <w:rsid w:val="00C039F1"/>
    <w:rsid w:val="00C0454E"/>
    <w:rsid w:val="00C05FFF"/>
    <w:rsid w:val="00C1141B"/>
    <w:rsid w:val="00C169C9"/>
    <w:rsid w:val="00C37811"/>
    <w:rsid w:val="00C45809"/>
    <w:rsid w:val="00C463DE"/>
    <w:rsid w:val="00C53453"/>
    <w:rsid w:val="00C71A11"/>
    <w:rsid w:val="00C75AB9"/>
    <w:rsid w:val="00C77381"/>
    <w:rsid w:val="00C824B8"/>
    <w:rsid w:val="00C835A5"/>
    <w:rsid w:val="00C8364A"/>
    <w:rsid w:val="00C93D37"/>
    <w:rsid w:val="00CD1597"/>
    <w:rsid w:val="00CD4228"/>
    <w:rsid w:val="00CD5558"/>
    <w:rsid w:val="00CD5AA4"/>
    <w:rsid w:val="00CF605E"/>
    <w:rsid w:val="00D04228"/>
    <w:rsid w:val="00D130CF"/>
    <w:rsid w:val="00D1444E"/>
    <w:rsid w:val="00D23C7F"/>
    <w:rsid w:val="00D31C26"/>
    <w:rsid w:val="00D31E59"/>
    <w:rsid w:val="00D36105"/>
    <w:rsid w:val="00D3696E"/>
    <w:rsid w:val="00D42D84"/>
    <w:rsid w:val="00D43D3E"/>
    <w:rsid w:val="00D450F1"/>
    <w:rsid w:val="00D52AED"/>
    <w:rsid w:val="00D601C4"/>
    <w:rsid w:val="00D713F7"/>
    <w:rsid w:val="00D730C8"/>
    <w:rsid w:val="00D90F44"/>
    <w:rsid w:val="00D92559"/>
    <w:rsid w:val="00D96247"/>
    <w:rsid w:val="00DB251D"/>
    <w:rsid w:val="00DE494F"/>
    <w:rsid w:val="00DF207A"/>
    <w:rsid w:val="00E06AE4"/>
    <w:rsid w:val="00E213B0"/>
    <w:rsid w:val="00E269FD"/>
    <w:rsid w:val="00E31658"/>
    <w:rsid w:val="00E3676B"/>
    <w:rsid w:val="00E42D80"/>
    <w:rsid w:val="00E46149"/>
    <w:rsid w:val="00E50D2B"/>
    <w:rsid w:val="00E63BEA"/>
    <w:rsid w:val="00E71B91"/>
    <w:rsid w:val="00E73030"/>
    <w:rsid w:val="00E85EB6"/>
    <w:rsid w:val="00E92A40"/>
    <w:rsid w:val="00EA6F85"/>
    <w:rsid w:val="00ED4A9E"/>
    <w:rsid w:val="00EE0410"/>
    <w:rsid w:val="00EF5C4E"/>
    <w:rsid w:val="00F26FEC"/>
    <w:rsid w:val="00F514CE"/>
    <w:rsid w:val="00F61310"/>
    <w:rsid w:val="00F6505A"/>
    <w:rsid w:val="00F826EF"/>
    <w:rsid w:val="00FB5561"/>
    <w:rsid w:val="00FB6930"/>
    <w:rsid w:val="00FF21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58"/>
    <w:pPr>
      <w:ind w:left="720"/>
      <w:contextualSpacing/>
    </w:pPr>
  </w:style>
  <w:style w:type="paragraph" w:styleId="BalloonText">
    <w:name w:val="Balloon Text"/>
    <w:basedOn w:val="Normal"/>
    <w:link w:val="BalloonTextChar"/>
    <w:uiPriority w:val="99"/>
    <w:semiHidden/>
    <w:unhideWhenUsed/>
    <w:rsid w:val="00A07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893"/>
    <w:rPr>
      <w:rFonts w:ascii="Lucida Grande" w:hAnsi="Lucida Grande"/>
      <w:sz w:val="18"/>
      <w:szCs w:val="18"/>
    </w:rPr>
  </w:style>
  <w:style w:type="character" w:styleId="CommentReference">
    <w:name w:val="annotation reference"/>
    <w:basedOn w:val="DefaultParagraphFont"/>
    <w:unhideWhenUsed/>
    <w:rsid w:val="008A40E9"/>
    <w:rPr>
      <w:sz w:val="18"/>
      <w:szCs w:val="18"/>
    </w:rPr>
  </w:style>
  <w:style w:type="paragraph" w:styleId="CommentText">
    <w:name w:val="annotation text"/>
    <w:basedOn w:val="Normal"/>
    <w:link w:val="CommentTextChar"/>
    <w:unhideWhenUsed/>
    <w:rsid w:val="008A40E9"/>
  </w:style>
  <w:style w:type="character" w:customStyle="1" w:styleId="CommentTextChar">
    <w:name w:val="Comment Text Char"/>
    <w:basedOn w:val="DefaultParagraphFont"/>
    <w:link w:val="CommentText"/>
    <w:rsid w:val="008A40E9"/>
  </w:style>
  <w:style w:type="paragraph" w:styleId="CommentSubject">
    <w:name w:val="annotation subject"/>
    <w:basedOn w:val="CommentText"/>
    <w:next w:val="CommentText"/>
    <w:link w:val="CommentSubjectChar"/>
    <w:uiPriority w:val="99"/>
    <w:semiHidden/>
    <w:unhideWhenUsed/>
    <w:rsid w:val="008A40E9"/>
    <w:rPr>
      <w:b/>
      <w:bCs/>
      <w:sz w:val="20"/>
      <w:szCs w:val="20"/>
    </w:rPr>
  </w:style>
  <w:style w:type="character" w:customStyle="1" w:styleId="CommentSubjectChar">
    <w:name w:val="Comment Subject Char"/>
    <w:basedOn w:val="CommentTextChar"/>
    <w:link w:val="CommentSubject"/>
    <w:uiPriority w:val="99"/>
    <w:semiHidden/>
    <w:rsid w:val="008A40E9"/>
    <w:rPr>
      <w:b/>
      <w:bCs/>
      <w:sz w:val="20"/>
      <w:szCs w:val="20"/>
    </w:rPr>
  </w:style>
  <w:style w:type="paragraph" w:styleId="Revision">
    <w:name w:val="Revision"/>
    <w:hidden/>
    <w:uiPriority w:val="99"/>
    <w:semiHidden/>
    <w:rsid w:val="00C71A11"/>
  </w:style>
  <w:style w:type="character" w:styleId="Hyperlink">
    <w:name w:val="Hyperlink"/>
    <w:basedOn w:val="DefaultParagraphFont"/>
    <w:uiPriority w:val="99"/>
    <w:unhideWhenUsed/>
    <w:rsid w:val="009B0861"/>
    <w:rPr>
      <w:color w:val="0000FF" w:themeColor="hyperlink"/>
      <w:u w:val="single"/>
    </w:rPr>
  </w:style>
  <w:style w:type="paragraph" w:styleId="Header">
    <w:name w:val="header"/>
    <w:basedOn w:val="Normal"/>
    <w:link w:val="HeaderChar"/>
    <w:uiPriority w:val="99"/>
    <w:unhideWhenUsed/>
    <w:rsid w:val="00DE49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494F"/>
    <w:rPr>
      <w:sz w:val="18"/>
      <w:szCs w:val="18"/>
    </w:rPr>
  </w:style>
  <w:style w:type="paragraph" w:styleId="Footer">
    <w:name w:val="footer"/>
    <w:basedOn w:val="Normal"/>
    <w:link w:val="FooterChar"/>
    <w:uiPriority w:val="99"/>
    <w:unhideWhenUsed/>
    <w:rsid w:val="00DE49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494F"/>
    <w:rPr>
      <w:sz w:val="18"/>
      <w:szCs w:val="18"/>
    </w:rPr>
  </w:style>
  <w:style w:type="character" w:styleId="Strong">
    <w:name w:val="Strong"/>
    <w:uiPriority w:val="22"/>
    <w:qFormat/>
    <w:rsid w:val="00D42D84"/>
    <w:rPr>
      <w:b/>
      <w:bCs/>
    </w:rPr>
  </w:style>
  <w:style w:type="character" w:styleId="Emphasis">
    <w:name w:val="Emphasis"/>
    <w:qFormat/>
    <w:rsid w:val="00D1444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58"/>
    <w:pPr>
      <w:ind w:left="720"/>
      <w:contextualSpacing/>
    </w:pPr>
  </w:style>
  <w:style w:type="paragraph" w:styleId="BalloonText">
    <w:name w:val="Balloon Text"/>
    <w:basedOn w:val="Normal"/>
    <w:link w:val="BalloonTextChar"/>
    <w:uiPriority w:val="99"/>
    <w:semiHidden/>
    <w:unhideWhenUsed/>
    <w:rsid w:val="00A07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893"/>
    <w:rPr>
      <w:rFonts w:ascii="Lucida Grande" w:hAnsi="Lucida Grande"/>
      <w:sz w:val="18"/>
      <w:szCs w:val="18"/>
    </w:rPr>
  </w:style>
  <w:style w:type="character" w:styleId="CommentReference">
    <w:name w:val="annotation reference"/>
    <w:basedOn w:val="DefaultParagraphFont"/>
    <w:unhideWhenUsed/>
    <w:rsid w:val="008A40E9"/>
    <w:rPr>
      <w:sz w:val="18"/>
      <w:szCs w:val="18"/>
    </w:rPr>
  </w:style>
  <w:style w:type="paragraph" w:styleId="CommentText">
    <w:name w:val="annotation text"/>
    <w:basedOn w:val="Normal"/>
    <w:link w:val="CommentTextChar"/>
    <w:unhideWhenUsed/>
    <w:rsid w:val="008A40E9"/>
  </w:style>
  <w:style w:type="character" w:customStyle="1" w:styleId="CommentTextChar">
    <w:name w:val="Comment Text Char"/>
    <w:basedOn w:val="DefaultParagraphFont"/>
    <w:link w:val="CommentText"/>
    <w:rsid w:val="008A40E9"/>
  </w:style>
  <w:style w:type="paragraph" w:styleId="CommentSubject">
    <w:name w:val="annotation subject"/>
    <w:basedOn w:val="CommentText"/>
    <w:next w:val="CommentText"/>
    <w:link w:val="CommentSubjectChar"/>
    <w:uiPriority w:val="99"/>
    <w:semiHidden/>
    <w:unhideWhenUsed/>
    <w:rsid w:val="008A40E9"/>
    <w:rPr>
      <w:b/>
      <w:bCs/>
      <w:sz w:val="20"/>
      <w:szCs w:val="20"/>
    </w:rPr>
  </w:style>
  <w:style w:type="character" w:customStyle="1" w:styleId="CommentSubjectChar">
    <w:name w:val="Comment Subject Char"/>
    <w:basedOn w:val="CommentTextChar"/>
    <w:link w:val="CommentSubject"/>
    <w:uiPriority w:val="99"/>
    <w:semiHidden/>
    <w:rsid w:val="008A40E9"/>
    <w:rPr>
      <w:b/>
      <w:bCs/>
      <w:sz w:val="20"/>
      <w:szCs w:val="20"/>
    </w:rPr>
  </w:style>
  <w:style w:type="paragraph" w:styleId="Revision">
    <w:name w:val="Revision"/>
    <w:hidden/>
    <w:uiPriority w:val="99"/>
    <w:semiHidden/>
    <w:rsid w:val="00C71A11"/>
  </w:style>
  <w:style w:type="character" w:styleId="Hyperlink">
    <w:name w:val="Hyperlink"/>
    <w:basedOn w:val="DefaultParagraphFont"/>
    <w:uiPriority w:val="99"/>
    <w:unhideWhenUsed/>
    <w:rsid w:val="009B0861"/>
    <w:rPr>
      <w:color w:val="0000FF" w:themeColor="hyperlink"/>
      <w:u w:val="single"/>
    </w:rPr>
  </w:style>
  <w:style w:type="paragraph" w:styleId="Header">
    <w:name w:val="header"/>
    <w:basedOn w:val="Normal"/>
    <w:link w:val="HeaderChar"/>
    <w:uiPriority w:val="99"/>
    <w:unhideWhenUsed/>
    <w:rsid w:val="00DE49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E494F"/>
    <w:rPr>
      <w:sz w:val="18"/>
      <w:szCs w:val="18"/>
    </w:rPr>
  </w:style>
  <w:style w:type="paragraph" w:styleId="Footer">
    <w:name w:val="footer"/>
    <w:basedOn w:val="Normal"/>
    <w:link w:val="FooterChar"/>
    <w:uiPriority w:val="99"/>
    <w:unhideWhenUsed/>
    <w:rsid w:val="00DE49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494F"/>
    <w:rPr>
      <w:sz w:val="18"/>
      <w:szCs w:val="18"/>
    </w:rPr>
  </w:style>
  <w:style w:type="character" w:styleId="Strong">
    <w:name w:val="Strong"/>
    <w:uiPriority w:val="22"/>
    <w:qFormat/>
    <w:rsid w:val="00D42D84"/>
    <w:rPr>
      <w:b/>
      <w:bCs/>
    </w:rPr>
  </w:style>
  <w:style w:type="character" w:styleId="Emphasis">
    <w:name w:val="Emphasis"/>
    <w:qFormat/>
    <w:rsid w:val="00D1444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016">
      <w:bodyDiv w:val="1"/>
      <w:marLeft w:val="0"/>
      <w:marRight w:val="0"/>
      <w:marTop w:val="0"/>
      <w:marBottom w:val="0"/>
      <w:divBdr>
        <w:top w:val="none" w:sz="0" w:space="0" w:color="auto"/>
        <w:left w:val="none" w:sz="0" w:space="0" w:color="auto"/>
        <w:bottom w:val="none" w:sz="0" w:space="0" w:color="auto"/>
        <w:right w:val="none" w:sz="0" w:space="0" w:color="auto"/>
      </w:divBdr>
    </w:div>
    <w:div w:id="219289810">
      <w:bodyDiv w:val="1"/>
      <w:marLeft w:val="0"/>
      <w:marRight w:val="0"/>
      <w:marTop w:val="0"/>
      <w:marBottom w:val="0"/>
      <w:divBdr>
        <w:top w:val="none" w:sz="0" w:space="0" w:color="auto"/>
        <w:left w:val="none" w:sz="0" w:space="0" w:color="auto"/>
        <w:bottom w:val="none" w:sz="0" w:space="0" w:color="auto"/>
        <w:right w:val="none" w:sz="0" w:space="0" w:color="auto"/>
      </w:divBdr>
    </w:div>
    <w:div w:id="507133177">
      <w:bodyDiv w:val="1"/>
      <w:marLeft w:val="0"/>
      <w:marRight w:val="0"/>
      <w:marTop w:val="0"/>
      <w:marBottom w:val="0"/>
      <w:divBdr>
        <w:top w:val="none" w:sz="0" w:space="0" w:color="auto"/>
        <w:left w:val="none" w:sz="0" w:space="0" w:color="auto"/>
        <w:bottom w:val="none" w:sz="0" w:space="0" w:color="auto"/>
        <w:right w:val="none" w:sz="0" w:space="0" w:color="auto"/>
      </w:divBdr>
    </w:div>
    <w:div w:id="1072048034">
      <w:bodyDiv w:val="1"/>
      <w:marLeft w:val="0"/>
      <w:marRight w:val="0"/>
      <w:marTop w:val="0"/>
      <w:marBottom w:val="0"/>
      <w:divBdr>
        <w:top w:val="none" w:sz="0" w:space="0" w:color="auto"/>
        <w:left w:val="none" w:sz="0" w:space="0" w:color="auto"/>
        <w:bottom w:val="none" w:sz="0" w:space="0" w:color="auto"/>
        <w:right w:val="none" w:sz="0" w:space="0" w:color="auto"/>
      </w:divBdr>
    </w:div>
    <w:div w:id="1493989829">
      <w:bodyDiv w:val="1"/>
      <w:marLeft w:val="0"/>
      <w:marRight w:val="0"/>
      <w:marTop w:val="0"/>
      <w:marBottom w:val="0"/>
      <w:divBdr>
        <w:top w:val="none" w:sz="0" w:space="0" w:color="auto"/>
        <w:left w:val="none" w:sz="0" w:space="0" w:color="auto"/>
        <w:bottom w:val="none" w:sz="0" w:space="0" w:color="auto"/>
        <w:right w:val="none" w:sz="0" w:space="0" w:color="auto"/>
      </w:divBdr>
    </w:div>
    <w:div w:id="1992709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esco.fiz.nm@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5077</Words>
  <Characters>28942</Characters>
  <Application>Microsoft Macintosh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Fiz</dc:creator>
  <cp:keywords/>
  <dc:description/>
  <cp:lastModifiedBy>Na Ma</cp:lastModifiedBy>
  <cp:revision>2</cp:revision>
  <dcterms:created xsi:type="dcterms:W3CDTF">2015-12-14T04:35:00Z</dcterms:created>
  <dcterms:modified xsi:type="dcterms:W3CDTF">2015-12-14T04:35:00Z</dcterms:modified>
</cp:coreProperties>
</file>