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7247" w14:textId="6DFD0853" w:rsidR="004828F2" w:rsidRPr="0050649F" w:rsidRDefault="004828F2" w:rsidP="00C97716">
      <w:pPr>
        <w:spacing w:line="360" w:lineRule="auto"/>
        <w:jc w:val="both"/>
        <w:rPr>
          <w:rFonts w:ascii="Book Antiqua" w:hAnsi="Book Antiqua"/>
        </w:rPr>
      </w:pPr>
      <w:r w:rsidRPr="0050649F">
        <w:rPr>
          <w:rFonts w:ascii="Book Antiqua" w:hAnsi="Book Antiqua"/>
          <w:b/>
        </w:rPr>
        <w:t xml:space="preserve">Name of Journal: </w:t>
      </w:r>
      <w:r w:rsidRPr="0050649F">
        <w:rPr>
          <w:rFonts w:ascii="Book Antiqua" w:hAnsi="Book Antiqua"/>
          <w:b/>
          <w:i/>
        </w:rPr>
        <w:t>World Journal of Gastrointestinal Pathophysiology</w:t>
      </w:r>
    </w:p>
    <w:p w14:paraId="01B4E803" w14:textId="680E4518" w:rsidR="004828F2" w:rsidRPr="0050649F" w:rsidRDefault="004828F2" w:rsidP="00C97716">
      <w:pPr>
        <w:spacing w:line="360" w:lineRule="auto"/>
        <w:jc w:val="both"/>
        <w:rPr>
          <w:rFonts w:ascii="Book Antiqua" w:eastAsia="宋体" w:hAnsi="Book Antiqua"/>
          <w:b/>
          <w:lang w:eastAsia="zh-CN"/>
        </w:rPr>
      </w:pPr>
      <w:r w:rsidRPr="0050649F">
        <w:rPr>
          <w:rFonts w:ascii="Book Antiqua" w:hAnsi="Book Antiqua"/>
          <w:b/>
        </w:rPr>
        <w:t xml:space="preserve">ESPS Manuscript NO: </w:t>
      </w:r>
      <w:r w:rsidRPr="0050649F">
        <w:rPr>
          <w:rFonts w:ascii="Book Antiqua" w:eastAsia="宋体" w:hAnsi="Book Antiqua"/>
          <w:b/>
          <w:lang w:eastAsia="zh-CN"/>
        </w:rPr>
        <w:t>21849</w:t>
      </w:r>
    </w:p>
    <w:p w14:paraId="143562E1" w14:textId="77777777" w:rsidR="004828F2" w:rsidRPr="0050649F" w:rsidRDefault="004828F2" w:rsidP="00C97716">
      <w:pPr>
        <w:spacing w:line="360" w:lineRule="auto"/>
        <w:jc w:val="both"/>
        <w:rPr>
          <w:rFonts w:ascii="Book Antiqua" w:hAnsi="Book Antiqua"/>
        </w:rPr>
      </w:pPr>
      <w:r w:rsidRPr="0050649F">
        <w:rPr>
          <w:rFonts w:ascii="Book Antiqua" w:hAnsi="Book Antiqua"/>
          <w:b/>
        </w:rPr>
        <w:t>Manuscript Type: Editorial</w:t>
      </w:r>
    </w:p>
    <w:p w14:paraId="5F1F1686" w14:textId="77777777" w:rsidR="004828F2" w:rsidRPr="0050649F" w:rsidRDefault="004828F2" w:rsidP="00C97716">
      <w:pPr>
        <w:spacing w:line="360" w:lineRule="auto"/>
        <w:jc w:val="both"/>
        <w:rPr>
          <w:rFonts w:ascii="Book Antiqua" w:eastAsia="宋体" w:hAnsi="Book Antiqua"/>
          <w:b/>
          <w:lang w:eastAsia="zh-CN"/>
        </w:rPr>
      </w:pPr>
    </w:p>
    <w:p w14:paraId="0E8E5BD8" w14:textId="365D93B7" w:rsidR="00A24C79" w:rsidRPr="0050649F" w:rsidRDefault="00A24C79" w:rsidP="00C97716">
      <w:pPr>
        <w:spacing w:line="360" w:lineRule="auto"/>
        <w:jc w:val="both"/>
        <w:rPr>
          <w:rFonts w:ascii="Book Antiqua" w:hAnsi="Book Antiqua"/>
          <w:b/>
          <w:lang w:val="en-GB"/>
        </w:rPr>
      </w:pPr>
      <w:r w:rsidRPr="0050649F">
        <w:rPr>
          <w:rFonts w:ascii="Book Antiqua" w:hAnsi="Book Antiqua"/>
          <w:b/>
          <w:lang w:val="en-GB"/>
        </w:rPr>
        <w:t>Mucosal healing</w:t>
      </w:r>
      <w:r w:rsidR="004828F2" w:rsidRPr="0050649F">
        <w:rPr>
          <w:rFonts w:ascii="Book Antiqua" w:hAnsi="Book Antiqua"/>
          <w:b/>
          <w:lang w:val="en-GB"/>
        </w:rPr>
        <w:t xml:space="preserve"> in inflammatory bowel dis</w:t>
      </w:r>
      <w:r w:rsidRPr="0050649F">
        <w:rPr>
          <w:rFonts w:ascii="Book Antiqua" w:hAnsi="Book Antiqua"/>
          <w:b/>
          <w:lang w:val="en-GB"/>
        </w:rPr>
        <w:t xml:space="preserve">ease: </w:t>
      </w:r>
      <w:r w:rsidR="004828F2" w:rsidRPr="0050649F">
        <w:rPr>
          <w:rFonts w:ascii="Book Antiqua" w:hAnsi="Book Antiqua"/>
          <w:b/>
          <w:lang w:val="en-GB"/>
        </w:rPr>
        <w:t>M</w:t>
      </w:r>
      <w:r w:rsidRPr="0050649F">
        <w:rPr>
          <w:rFonts w:ascii="Book Antiqua" w:hAnsi="Book Antiqua"/>
          <w:b/>
          <w:lang w:val="en-GB"/>
        </w:rPr>
        <w:t>aintain or de</w:t>
      </w:r>
      <w:r w:rsidR="004828F2" w:rsidRPr="0050649F">
        <w:rPr>
          <w:rFonts w:ascii="Book Antiqua" w:eastAsia="宋体" w:hAnsi="Book Antiqua"/>
          <w:b/>
          <w:lang w:val="en-GB" w:eastAsia="zh-CN"/>
        </w:rPr>
        <w:t>-</w:t>
      </w:r>
      <w:r w:rsidRPr="0050649F">
        <w:rPr>
          <w:rFonts w:ascii="Book Antiqua" w:hAnsi="Book Antiqua"/>
          <w:b/>
          <w:lang w:val="en-GB"/>
        </w:rPr>
        <w:t>escalate therapy</w:t>
      </w:r>
    </w:p>
    <w:p w14:paraId="066613B0" w14:textId="77777777" w:rsidR="00A24C79" w:rsidRPr="0050649F" w:rsidRDefault="00A24C79" w:rsidP="00C97716">
      <w:pPr>
        <w:spacing w:line="360" w:lineRule="auto"/>
        <w:jc w:val="both"/>
        <w:rPr>
          <w:rFonts w:ascii="Book Antiqua" w:eastAsia="宋体" w:hAnsi="Book Antiqua"/>
          <w:lang w:val="en-GB" w:eastAsia="zh-CN"/>
        </w:rPr>
      </w:pPr>
    </w:p>
    <w:p w14:paraId="32E41D0D" w14:textId="452E2AAA" w:rsidR="0097315B" w:rsidRPr="0050649F" w:rsidRDefault="0097315B" w:rsidP="00C97716">
      <w:pPr>
        <w:spacing w:line="360" w:lineRule="auto"/>
        <w:jc w:val="both"/>
        <w:rPr>
          <w:rFonts w:ascii="Book Antiqua" w:eastAsia="宋体" w:hAnsi="Book Antiqua"/>
          <w:lang w:val="en-GB" w:eastAsia="zh-CN"/>
        </w:rPr>
      </w:pPr>
      <w:r w:rsidRPr="0050649F">
        <w:rPr>
          <w:rFonts w:ascii="Book Antiqua" w:hAnsi="Book Antiqua"/>
        </w:rPr>
        <w:t>Cintolo</w:t>
      </w:r>
      <w:r w:rsidRPr="0050649F">
        <w:rPr>
          <w:rFonts w:ascii="Book Antiqua" w:eastAsia="宋体" w:hAnsi="Book Antiqua"/>
          <w:lang w:eastAsia="zh-CN"/>
        </w:rPr>
        <w:t xml:space="preserve"> M </w:t>
      </w:r>
      <w:r w:rsidRPr="0050649F">
        <w:rPr>
          <w:rFonts w:ascii="Book Antiqua" w:eastAsia="宋体" w:hAnsi="Book Antiqua"/>
          <w:i/>
          <w:lang w:eastAsia="zh-CN"/>
        </w:rPr>
        <w:t xml:space="preserve">et al. </w:t>
      </w:r>
      <w:r w:rsidRPr="0050649F">
        <w:rPr>
          <w:rFonts w:ascii="Book Antiqua" w:hAnsi="Book Antiqua"/>
          <w:lang w:val="en-GB"/>
        </w:rPr>
        <w:t>Mucosal healing in inflammatory bowel disease</w:t>
      </w:r>
    </w:p>
    <w:p w14:paraId="17278B8F" w14:textId="77777777" w:rsidR="0097315B" w:rsidRPr="0050649F" w:rsidRDefault="0097315B" w:rsidP="00C97716">
      <w:pPr>
        <w:spacing w:line="360" w:lineRule="auto"/>
        <w:jc w:val="both"/>
        <w:rPr>
          <w:rFonts w:ascii="Book Antiqua" w:eastAsia="宋体" w:hAnsi="Book Antiqua"/>
          <w:i/>
          <w:lang w:val="en-GB" w:eastAsia="zh-CN"/>
        </w:rPr>
      </w:pPr>
    </w:p>
    <w:p w14:paraId="31730517" w14:textId="0C555F21" w:rsidR="004828F2" w:rsidRPr="0050649F" w:rsidRDefault="004828F2" w:rsidP="00C97716">
      <w:pPr>
        <w:spacing w:line="360" w:lineRule="auto"/>
        <w:jc w:val="both"/>
        <w:rPr>
          <w:rFonts w:ascii="Book Antiqua" w:eastAsia="宋体" w:hAnsi="Book Antiqua"/>
          <w:b/>
          <w:vertAlign w:val="superscript"/>
          <w:lang w:eastAsia="zh-CN"/>
        </w:rPr>
      </w:pPr>
      <w:r w:rsidRPr="0050649F">
        <w:rPr>
          <w:rFonts w:ascii="Book Antiqua" w:hAnsi="Book Antiqua"/>
          <w:b/>
        </w:rPr>
        <w:t>Marcello Cintolo, Giuseppe Costantino, Socrate Pallio, Walter Fries</w:t>
      </w:r>
    </w:p>
    <w:p w14:paraId="10C35A7C" w14:textId="77777777" w:rsidR="004828F2" w:rsidRPr="0050649F" w:rsidRDefault="004828F2" w:rsidP="00C97716">
      <w:pPr>
        <w:spacing w:line="360" w:lineRule="auto"/>
        <w:jc w:val="both"/>
        <w:rPr>
          <w:rFonts w:ascii="Book Antiqua" w:eastAsia="宋体" w:hAnsi="Book Antiqua"/>
          <w:lang w:val="en-GB" w:eastAsia="zh-CN"/>
        </w:rPr>
      </w:pPr>
    </w:p>
    <w:p w14:paraId="3061B4A7" w14:textId="4FDB81AE" w:rsidR="00442A1C" w:rsidRPr="0050649F" w:rsidRDefault="00442A1C" w:rsidP="00C97716">
      <w:pPr>
        <w:spacing w:line="360" w:lineRule="auto"/>
        <w:jc w:val="both"/>
        <w:rPr>
          <w:rFonts w:ascii="Book Antiqua" w:eastAsia="宋体" w:hAnsi="Book Antiqua"/>
          <w:lang w:val="en-GB" w:eastAsia="zh-CN"/>
        </w:rPr>
      </w:pPr>
      <w:r w:rsidRPr="0050649F">
        <w:rPr>
          <w:rFonts w:ascii="Book Antiqua" w:hAnsi="Book Antiqua"/>
          <w:b/>
        </w:rPr>
        <w:t>Marcello Cintolo, Giuseppe Costantino, Walter Fries</w:t>
      </w:r>
      <w:r w:rsidRPr="0050649F">
        <w:rPr>
          <w:rFonts w:ascii="Book Antiqua" w:eastAsia="宋体" w:hAnsi="Book Antiqua"/>
          <w:b/>
          <w:lang w:eastAsia="zh-CN"/>
        </w:rPr>
        <w:t>,</w:t>
      </w:r>
      <w:r w:rsidRPr="0050649F">
        <w:rPr>
          <w:rFonts w:ascii="Book Antiqua" w:eastAsia="宋体" w:hAnsi="Book Antiqua"/>
          <w:b/>
          <w:vertAlign w:val="superscript"/>
          <w:lang w:eastAsia="zh-CN"/>
        </w:rPr>
        <w:t xml:space="preserve"> </w:t>
      </w:r>
      <w:r w:rsidR="00A24C79" w:rsidRPr="0050649F">
        <w:rPr>
          <w:rFonts w:ascii="Book Antiqua" w:hAnsi="Book Antiqua"/>
          <w:lang w:val="en-GB"/>
        </w:rPr>
        <w:t xml:space="preserve">Clinical Unit for Chronic Bowel Disorders, </w:t>
      </w:r>
      <w:r w:rsidRPr="0050649F">
        <w:rPr>
          <w:rFonts w:ascii="Book Antiqua" w:hAnsi="Book Antiqua"/>
          <w:lang w:val="en-GB"/>
        </w:rPr>
        <w:t>Dep</w:t>
      </w:r>
      <w:r w:rsidRPr="0050649F">
        <w:rPr>
          <w:rFonts w:ascii="Book Antiqua" w:eastAsia="宋体" w:hAnsi="Book Antiqua"/>
          <w:lang w:val="en-GB" w:eastAsia="zh-CN"/>
        </w:rPr>
        <w:t>artmen</w:t>
      </w:r>
      <w:r w:rsidRPr="0050649F">
        <w:rPr>
          <w:rFonts w:ascii="Book Antiqua" w:hAnsi="Book Antiqua"/>
          <w:lang w:val="en-GB"/>
        </w:rPr>
        <w:t>t of Clinical and Experimental Medicine, University of Messina, 98125</w:t>
      </w:r>
      <w:r w:rsidRPr="0050649F">
        <w:rPr>
          <w:rFonts w:ascii="Book Antiqua" w:eastAsia="宋体" w:hAnsi="Book Antiqua"/>
          <w:lang w:val="en-GB" w:eastAsia="zh-CN"/>
        </w:rPr>
        <w:t xml:space="preserve"> </w:t>
      </w:r>
      <w:r w:rsidRPr="0050649F">
        <w:rPr>
          <w:rFonts w:ascii="Book Antiqua" w:hAnsi="Book Antiqua"/>
          <w:lang w:val="en-GB"/>
        </w:rPr>
        <w:t>Messina</w:t>
      </w:r>
      <w:r w:rsidRPr="0050649F">
        <w:rPr>
          <w:rFonts w:ascii="Book Antiqua" w:eastAsia="宋体" w:hAnsi="Book Antiqua"/>
          <w:lang w:val="en-GB" w:eastAsia="zh-CN"/>
        </w:rPr>
        <w:t>,</w:t>
      </w:r>
      <w:r w:rsidRPr="0050649F">
        <w:rPr>
          <w:rFonts w:ascii="Book Antiqua" w:hAnsi="Book Antiqua"/>
          <w:lang w:val="en-GB"/>
        </w:rPr>
        <w:t xml:space="preserve"> Italy</w:t>
      </w:r>
    </w:p>
    <w:p w14:paraId="330AC03C" w14:textId="77777777" w:rsidR="00442A1C" w:rsidRPr="0050649F" w:rsidRDefault="00442A1C" w:rsidP="00C97716">
      <w:pPr>
        <w:spacing w:line="360" w:lineRule="auto"/>
        <w:jc w:val="both"/>
        <w:rPr>
          <w:rFonts w:ascii="Book Antiqua" w:eastAsia="宋体" w:hAnsi="Book Antiqua"/>
          <w:b/>
          <w:vertAlign w:val="superscript"/>
          <w:lang w:val="en-GB" w:eastAsia="zh-CN"/>
        </w:rPr>
      </w:pPr>
    </w:p>
    <w:p w14:paraId="5235DE3C" w14:textId="634EC06C" w:rsidR="00A24C79" w:rsidRPr="0050649F" w:rsidRDefault="00442A1C" w:rsidP="00C97716">
      <w:pPr>
        <w:spacing w:line="360" w:lineRule="auto"/>
        <w:jc w:val="both"/>
        <w:rPr>
          <w:rFonts w:ascii="Book Antiqua" w:eastAsia="宋体" w:hAnsi="Book Antiqua"/>
          <w:lang w:val="en-US" w:eastAsia="zh-CN"/>
        </w:rPr>
      </w:pPr>
      <w:r w:rsidRPr="0050649F">
        <w:rPr>
          <w:rFonts w:ascii="Book Antiqua" w:hAnsi="Book Antiqua"/>
          <w:b/>
        </w:rPr>
        <w:t xml:space="preserve">Socrate Pallio, </w:t>
      </w:r>
      <w:r w:rsidR="00A24C79" w:rsidRPr="0050649F">
        <w:rPr>
          <w:rFonts w:ascii="Book Antiqua" w:hAnsi="Book Antiqua"/>
          <w:lang w:val="en-GB"/>
        </w:rPr>
        <w:t>Digestive Endoscopy Unit, Dep</w:t>
      </w:r>
      <w:r w:rsidRPr="0050649F">
        <w:rPr>
          <w:rFonts w:ascii="Book Antiqua" w:eastAsia="宋体" w:hAnsi="Book Antiqua"/>
          <w:lang w:val="en-GB" w:eastAsia="zh-CN"/>
        </w:rPr>
        <w:t>artmen</w:t>
      </w:r>
      <w:r w:rsidRPr="0050649F">
        <w:rPr>
          <w:rFonts w:ascii="Book Antiqua" w:hAnsi="Book Antiqua"/>
          <w:lang w:val="en-GB"/>
        </w:rPr>
        <w:t>t</w:t>
      </w:r>
      <w:r w:rsidR="00A24C79" w:rsidRPr="0050649F">
        <w:rPr>
          <w:rFonts w:ascii="Book Antiqua" w:hAnsi="Book Antiqua"/>
          <w:lang w:val="en-GB"/>
        </w:rPr>
        <w:t xml:space="preserve"> of Clinical and Experimental Medicine, University of Messina, </w:t>
      </w:r>
      <w:r w:rsidRPr="0050649F">
        <w:rPr>
          <w:rFonts w:ascii="Book Antiqua" w:hAnsi="Book Antiqua"/>
          <w:lang w:val="en-GB"/>
        </w:rPr>
        <w:t>98125</w:t>
      </w:r>
      <w:r w:rsidRPr="0050649F">
        <w:rPr>
          <w:rFonts w:ascii="Book Antiqua" w:eastAsia="宋体" w:hAnsi="Book Antiqua"/>
          <w:lang w:val="en-GB" w:eastAsia="zh-CN"/>
        </w:rPr>
        <w:t xml:space="preserve"> </w:t>
      </w:r>
      <w:r w:rsidR="00A24C79" w:rsidRPr="0050649F">
        <w:rPr>
          <w:rFonts w:ascii="Book Antiqua" w:hAnsi="Book Antiqua"/>
          <w:lang w:val="en-GB"/>
        </w:rPr>
        <w:t>Messina</w:t>
      </w:r>
      <w:r w:rsidRPr="0050649F">
        <w:rPr>
          <w:rFonts w:ascii="Book Antiqua" w:eastAsia="宋体" w:hAnsi="Book Antiqua"/>
          <w:lang w:val="en-GB" w:eastAsia="zh-CN"/>
        </w:rPr>
        <w:t>,</w:t>
      </w:r>
      <w:r w:rsidRPr="0050649F">
        <w:rPr>
          <w:rFonts w:ascii="Book Antiqua" w:hAnsi="Book Antiqua"/>
          <w:lang w:val="en-GB"/>
        </w:rPr>
        <w:t xml:space="preserve"> Italy</w:t>
      </w:r>
    </w:p>
    <w:p w14:paraId="779B7C6F" w14:textId="77777777" w:rsidR="00A24C79" w:rsidRPr="0050649F" w:rsidRDefault="00A24C79" w:rsidP="00C97716">
      <w:pPr>
        <w:spacing w:line="360" w:lineRule="auto"/>
        <w:jc w:val="both"/>
        <w:rPr>
          <w:rFonts w:ascii="Book Antiqua" w:hAnsi="Book Antiqua"/>
          <w:lang w:val="en-GB"/>
        </w:rPr>
      </w:pPr>
    </w:p>
    <w:p w14:paraId="2301A9F5" w14:textId="13E0ACFE" w:rsidR="00A24C79" w:rsidRPr="0050649F" w:rsidRDefault="00442A1C" w:rsidP="00C97716">
      <w:pPr>
        <w:spacing w:line="360" w:lineRule="auto"/>
        <w:jc w:val="both"/>
        <w:rPr>
          <w:rFonts w:ascii="Book Antiqua" w:hAnsi="Book Antiqua"/>
          <w:b/>
          <w:lang w:val="en-GB"/>
        </w:rPr>
      </w:pPr>
      <w:r w:rsidRPr="0050649F">
        <w:rPr>
          <w:rFonts w:ascii="Book Antiqua" w:hAnsi="Book Antiqua"/>
          <w:b/>
        </w:rPr>
        <w:t>Author contributions:</w:t>
      </w:r>
      <w:r w:rsidR="00A24C79" w:rsidRPr="0050649F">
        <w:rPr>
          <w:rFonts w:ascii="Book Antiqua" w:hAnsi="Book Antiqua"/>
          <w:b/>
          <w:lang w:val="en-GB"/>
        </w:rPr>
        <w:t xml:space="preserve"> </w:t>
      </w:r>
      <w:r w:rsidR="00A24C79" w:rsidRPr="0050649F">
        <w:rPr>
          <w:rFonts w:ascii="Book Antiqua" w:hAnsi="Book Antiqua"/>
          <w:lang w:val="en-GB"/>
        </w:rPr>
        <w:t>Cintolo</w:t>
      </w:r>
      <w:r w:rsidRPr="0050649F">
        <w:rPr>
          <w:rFonts w:ascii="Book Antiqua" w:hAnsi="Book Antiqua"/>
          <w:lang w:val="en-GB"/>
        </w:rPr>
        <w:t xml:space="preserve"> M</w:t>
      </w:r>
      <w:r w:rsidR="00A24C79" w:rsidRPr="0050649F">
        <w:rPr>
          <w:rFonts w:ascii="Book Antiqua" w:hAnsi="Book Antiqua"/>
          <w:lang w:val="en-GB"/>
        </w:rPr>
        <w:t xml:space="preserve"> and Fries </w:t>
      </w:r>
      <w:r w:rsidRPr="0050649F">
        <w:rPr>
          <w:rFonts w:ascii="Book Antiqua" w:hAnsi="Book Antiqua"/>
          <w:lang w:val="en-GB"/>
        </w:rPr>
        <w:t xml:space="preserve">W </w:t>
      </w:r>
      <w:r w:rsidR="00A24C79" w:rsidRPr="0050649F">
        <w:rPr>
          <w:rFonts w:ascii="Book Antiqua" w:hAnsi="Book Antiqua"/>
          <w:lang w:val="en-GB"/>
        </w:rPr>
        <w:t xml:space="preserve">drafted and wrote the manuscript; Costantino </w:t>
      </w:r>
      <w:r w:rsidRPr="0050649F">
        <w:rPr>
          <w:rFonts w:ascii="Book Antiqua" w:hAnsi="Book Antiqua"/>
          <w:lang w:val="en-GB"/>
        </w:rPr>
        <w:t xml:space="preserve">G </w:t>
      </w:r>
      <w:r w:rsidR="00A24C79" w:rsidRPr="0050649F">
        <w:rPr>
          <w:rFonts w:ascii="Book Antiqua" w:hAnsi="Book Antiqua"/>
          <w:lang w:val="en-GB"/>
        </w:rPr>
        <w:t xml:space="preserve">and Pallio </w:t>
      </w:r>
      <w:r w:rsidRPr="0050649F">
        <w:rPr>
          <w:rFonts w:ascii="Book Antiqua" w:hAnsi="Book Antiqua"/>
          <w:lang w:val="en-GB"/>
        </w:rPr>
        <w:t xml:space="preserve">S </w:t>
      </w:r>
      <w:r w:rsidR="00A24C79" w:rsidRPr="0050649F">
        <w:rPr>
          <w:rFonts w:ascii="Book Antiqua" w:hAnsi="Book Antiqua"/>
          <w:lang w:val="en-GB"/>
        </w:rPr>
        <w:t>critically reviewed the manuscript; all authors approved the final version of the article.</w:t>
      </w:r>
    </w:p>
    <w:p w14:paraId="16CA9083" w14:textId="77777777" w:rsidR="008B72C0" w:rsidRPr="0050649F" w:rsidRDefault="008B72C0" w:rsidP="00C97716">
      <w:pPr>
        <w:spacing w:line="360" w:lineRule="auto"/>
        <w:jc w:val="both"/>
        <w:rPr>
          <w:rFonts w:ascii="Book Antiqua" w:eastAsia="宋体" w:hAnsi="Book Antiqua"/>
          <w:lang w:eastAsia="zh-CN"/>
        </w:rPr>
      </w:pPr>
    </w:p>
    <w:p w14:paraId="1B7AE147" w14:textId="77777777" w:rsidR="008B72C0" w:rsidRPr="0050649F" w:rsidRDefault="008B72C0" w:rsidP="00C97716">
      <w:pPr>
        <w:spacing w:line="360" w:lineRule="auto"/>
        <w:jc w:val="both"/>
        <w:rPr>
          <w:rFonts w:ascii="Book Antiqua" w:hAnsi="Book Antiqua"/>
          <w:lang w:val="en-GB"/>
        </w:rPr>
      </w:pPr>
      <w:r w:rsidRPr="0050649F">
        <w:rPr>
          <w:rFonts w:ascii="Book Antiqua" w:hAnsi="Book Antiqua" w:cs="TimesNewRomanPS-BoldItalicMT"/>
          <w:b/>
          <w:bCs/>
          <w:iCs/>
        </w:rPr>
        <w:t>Conflict-of-interest</w:t>
      </w:r>
      <w:r w:rsidRPr="0050649F">
        <w:rPr>
          <w:rFonts w:ascii="Book Antiqua" w:hAnsi="Book Antiqua"/>
        </w:rPr>
        <w:t xml:space="preserve"> </w:t>
      </w:r>
      <w:r w:rsidRPr="0050649F">
        <w:rPr>
          <w:rFonts w:ascii="Book Antiqua" w:hAnsi="Book Antiqua" w:cs="TimesNewRomanPS-BoldItalicMT"/>
          <w:b/>
          <w:bCs/>
          <w:iCs/>
        </w:rPr>
        <w:t xml:space="preserve">statement: </w:t>
      </w:r>
      <w:r w:rsidRPr="0050649F">
        <w:rPr>
          <w:rFonts w:ascii="Book Antiqua" w:hAnsi="Book Antiqua"/>
        </w:rPr>
        <w:t>Marcello Cintolo, Giuseppe Costantino</w:t>
      </w:r>
      <w:r w:rsidRPr="0050649F">
        <w:rPr>
          <w:rFonts w:ascii="Book Antiqua" w:eastAsia="宋体" w:hAnsi="Book Antiqua"/>
          <w:lang w:eastAsia="zh-CN"/>
        </w:rPr>
        <w:t xml:space="preserve"> and</w:t>
      </w:r>
      <w:r w:rsidRPr="0050649F">
        <w:rPr>
          <w:rFonts w:ascii="Book Antiqua" w:hAnsi="Book Antiqua"/>
        </w:rPr>
        <w:t xml:space="preserve"> Socrate Pallio</w:t>
      </w:r>
      <w:r w:rsidRPr="0050649F">
        <w:rPr>
          <w:rFonts w:ascii="Book Antiqua" w:eastAsia="宋体" w:hAnsi="Book Antiqua"/>
          <w:lang w:eastAsia="zh-CN"/>
        </w:rPr>
        <w:t xml:space="preserve"> have</w:t>
      </w:r>
      <w:r w:rsidRPr="0050649F">
        <w:rPr>
          <w:rFonts w:ascii="Book Antiqua" w:hAnsi="Book Antiqua"/>
          <w:lang w:val="en-GB"/>
        </w:rPr>
        <w:t xml:space="preserve"> no conflict of interests to declare.</w:t>
      </w:r>
      <w:r w:rsidRPr="0050649F">
        <w:rPr>
          <w:rFonts w:ascii="Book Antiqua" w:eastAsia="宋体" w:hAnsi="Book Antiqua"/>
          <w:lang w:val="en-GB" w:eastAsia="zh-CN"/>
        </w:rPr>
        <w:t xml:space="preserve"> </w:t>
      </w:r>
      <w:r w:rsidRPr="0050649F">
        <w:rPr>
          <w:rFonts w:ascii="Book Antiqua" w:hAnsi="Book Antiqua"/>
        </w:rPr>
        <w:t>Walter Fries</w:t>
      </w:r>
      <w:r w:rsidRPr="0050649F">
        <w:rPr>
          <w:rFonts w:ascii="Book Antiqua" w:eastAsia="宋体" w:hAnsi="Book Antiqua"/>
          <w:lang w:eastAsia="zh-CN"/>
        </w:rPr>
        <w:t>,</w:t>
      </w:r>
      <w:r w:rsidRPr="0050649F">
        <w:rPr>
          <w:rFonts w:ascii="Book Antiqua" w:hAnsi="Book Antiqua"/>
          <w:lang w:val="en-GB"/>
        </w:rPr>
        <w:t xml:space="preserve"> MSD, AbbVie, Mundipharma advisory board; Zambon, Mundipharma: speaker fees; MSD unrestricted research grant.</w:t>
      </w:r>
    </w:p>
    <w:p w14:paraId="2BB18F20" w14:textId="77777777" w:rsidR="008B72C0" w:rsidRPr="0050649F" w:rsidRDefault="008B72C0" w:rsidP="00C97716">
      <w:pPr>
        <w:spacing w:line="360" w:lineRule="auto"/>
        <w:jc w:val="both"/>
        <w:rPr>
          <w:rFonts w:ascii="Book Antiqua" w:eastAsia="宋体" w:hAnsi="Book Antiqua" w:cs="Garamond"/>
          <w:lang w:eastAsia="zh-CN"/>
        </w:rPr>
      </w:pPr>
    </w:p>
    <w:p w14:paraId="55CC97A4" w14:textId="77777777" w:rsidR="008B72C0" w:rsidRPr="0050649F" w:rsidRDefault="008B72C0" w:rsidP="00C97716">
      <w:pPr>
        <w:spacing w:line="360" w:lineRule="auto"/>
        <w:jc w:val="both"/>
        <w:rPr>
          <w:rFonts w:ascii="Book Antiqua" w:hAnsi="Book Antiqua"/>
        </w:rPr>
      </w:pPr>
      <w:bookmarkStart w:id="0" w:name="OLE_LINK507"/>
      <w:bookmarkStart w:id="1" w:name="OLE_LINK506"/>
      <w:bookmarkStart w:id="2" w:name="OLE_LINK496"/>
      <w:bookmarkStart w:id="3" w:name="OLE_LINK479"/>
      <w:r w:rsidRPr="0050649F">
        <w:rPr>
          <w:rFonts w:ascii="Book Antiqua" w:hAnsi="Book Antiqua"/>
          <w:b/>
        </w:rPr>
        <w:t xml:space="preserve">Open-Access: </w:t>
      </w:r>
      <w:r w:rsidRPr="0050649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0649F">
          <w:rPr>
            <w:rStyle w:val="Hyperlink"/>
            <w:rFonts w:ascii="Book Antiqua" w:hAnsi="Book Antiqua"/>
            <w:color w:val="auto"/>
            <w:u w:val="none"/>
          </w:rPr>
          <w:t>http://creativecommons.org/licenses/by-nc/4.0/</w:t>
        </w:r>
      </w:hyperlink>
      <w:bookmarkEnd w:id="0"/>
      <w:bookmarkEnd w:id="1"/>
      <w:bookmarkEnd w:id="2"/>
      <w:bookmarkEnd w:id="3"/>
    </w:p>
    <w:p w14:paraId="33DC737B" w14:textId="77777777" w:rsidR="00A24C79" w:rsidRPr="0050649F" w:rsidRDefault="00A24C79" w:rsidP="00C97716">
      <w:pPr>
        <w:spacing w:line="360" w:lineRule="auto"/>
        <w:jc w:val="both"/>
        <w:rPr>
          <w:rFonts w:ascii="Book Antiqua" w:eastAsia="宋体" w:hAnsi="Book Antiqua"/>
          <w:lang w:val="en-GB" w:eastAsia="zh-CN"/>
        </w:rPr>
      </w:pPr>
    </w:p>
    <w:p w14:paraId="364807FA" w14:textId="7C5E6D6B" w:rsidR="00A24C79" w:rsidRPr="0050649F" w:rsidRDefault="00442A1C" w:rsidP="00C97716">
      <w:pPr>
        <w:spacing w:line="360" w:lineRule="auto"/>
        <w:jc w:val="both"/>
        <w:rPr>
          <w:rFonts w:ascii="Book Antiqua" w:hAnsi="Book Antiqua"/>
          <w:lang w:val="en-GB"/>
        </w:rPr>
      </w:pPr>
      <w:r w:rsidRPr="0050649F">
        <w:rPr>
          <w:rFonts w:ascii="Book Antiqua" w:hAnsi="Book Antiqua"/>
          <w:b/>
        </w:rPr>
        <w:lastRenderedPageBreak/>
        <w:t>Correspondence to:</w:t>
      </w:r>
      <w:r w:rsidRPr="0050649F">
        <w:rPr>
          <w:rFonts w:ascii="Book Antiqua" w:eastAsia="宋体" w:hAnsi="Book Antiqua"/>
          <w:b/>
          <w:lang w:eastAsia="zh-CN"/>
        </w:rPr>
        <w:t xml:space="preserve"> </w:t>
      </w:r>
      <w:r w:rsidR="00A24C79" w:rsidRPr="0050649F">
        <w:rPr>
          <w:rFonts w:ascii="Book Antiqua" w:hAnsi="Book Antiqua"/>
          <w:b/>
          <w:lang w:val="en-GB"/>
        </w:rPr>
        <w:t>Walter Fries, MD</w:t>
      </w:r>
      <w:r w:rsidRPr="0050649F">
        <w:rPr>
          <w:rFonts w:ascii="Book Antiqua" w:eastAsia="宋体" w:hAnsi="Book Antiqua"/>
          <w:b/>
          <w:lang w:val="en-GB" w:eastAsia="zh-CN"/>
        </w:rPr>
        <w:t>,</w:t>
      </w:r>
      <w:r w:rsidRPr="0050649F">
        <w:rPr>
          <w:rFonts w:ascii="Book Antiqua" w:eastAsia="宋体" w:hAnsi="Book Antiqua"/>
          <w:lang w:val="en-GB" w:eastAsia="zh-CN"/>
        </w:rPr>
        <w:t xml:space="preserve"> </w:t>
      </w:r>
      <w:r w:rsidRPr="0050649F">
        <w:rPr>
          <w:rFonts w:ascii="Book Antiqua" w:hAnsi="Book Antiqua"/>
          <w:lang w:val="en-GB"/>
        </w:rPr>
        <w:t>Clinical Unit for Chronic Bowel Disorders, Dep</w:t>
      </w:r>
      <w:r w:rsidRPr="0050649F">
        <w:rPr>
          <w:rFonts w:ascii="Book Antiqua" w:eastAsia="宋体" w:hAnsi="Book Antiqua"/>
          <w:lang w:val="en-GB" w:eastAsia="zh-CN"/>
        </w:rPr>
        <w:t>artmen</w:t>
      </w:r>
      <w:r w:rsidRPr="0050649F">
        <w:rPr>
          <w:rFonts w:ascii="Book Antiqua" w:hAnsi="Book Antiqua"/>
          <w:lang w:val="en-GB"/>
        </w:rPr>
        <w:t>t of Clinical and Experimental Medicine, University of Messina,</w:t>
      </w:r>
      <w:r w:rsidR="008B72C0" w:rsidRPr="0050649F">
        <w:rPr>
          <w:rFonts w:ascii="Book Antiqua" w:hAnsi="Book Antiqua" w:cs="Arial"/>
        </w:rPr>
        <w:t xml:space="preserve"> Piazza Pugliatti, 1,</w:t>
      </w:r>
      <w:r w:rsidR="008B72C0" w:rsidRPr="0050649F">
        <w:rPr>
          <w:rStyle w:val="apple-converted-space"/>
          <w:rFonts w:ascii="Book Antiqua" w:hAnsi="Book Antiqua" w:cs="Arial"/>
        </w:rPr>
        <w:t> </w:t>
      </w:r>
      <w:r w:rsidRPr="0050649F">
        <w:rPr>
          <w:rFonts w:ascii="Book Antiqua" w:hAnsi="Book Antiqua"/>
          <w:lang w:val="en-GB"/>
        </w:rPr>
        <w:t>98125</w:t>
      </w:r>
      <w:r w:rsidRPr="0050649F">
        <w:rPr>
          <w:rFonts w:ascii="Book Antiqua" w:eastAsia="宋体" w:hAnsi="Book Antiqua"/>
          <w:lang w:val="en-GB" w:eastAsia="zh-CN"/>
        </w:rPr>
        <w:t xml:space="preserve"> </w:t>
      </w:r>
      <w:r w:rsidRPr="0050649F">
        <w:rPr>
          <w:rFonts w:ascii="Book Antiqua" w:hAnsi="Book Antiqua"/>
          <w:lang w:val="en-GB"/>
        </w:rPr>
        <w:t>Messina</w:t>
      </w:r>
      <w:r w:rsidRPr="0050649F">
        <w:rPr>
          <w:rFonts w:ascii="Book Antiqua" w:eastAsia="宋体" w:hAnsi="Book Antiqua"/>
          <w:lang w:val="en-GB" w:eastAsia="zh-CN"/>
        </w:rPr>
        <w:t>,</w:t>
      </w:r>
      <w:r w:rsidRPr="0050649F">
        <w:rPr>
          <w:rFonts w:ascii="Book Antiqua" w:hAnsi="Book Antiqua"/>
          <w:lang w:val="en-GB"/>
        </w:rPr>
        <w:t xml:space="preserve"> Italy</w:t>
      </w:r>
      <w:r w:rsidRPr="0050649F">
        <w:rPr>
          <w:rFonts w:ascii="Book Antiqua" w:eastAsia="宋体" w:hAnsi="Book Antiqua"/>
          <w:lang w:val="en-GB" w:eastAsia="zh-CN"/>
        </w:rPr>
        <w:t>.</w:t>
      </w:r>
      <w:r w:rsidR="00A24C79" w:rsidRPr="0050649F">
        <w:rPr>
          <w:rFonts w:ascii="Book Antiqua" w:hAnsi="Book Antiqua"/>
          <w:lang w:val="en-GB"/>
        </w:rPr>
        <w:t xml:space="preserve"> fwalter@unime.it</w:t>
      </w:r>
    </w:p>
    <w:p w14:paraId="0466DBF7" w14:textId="407FDB21" w:rsidR="00A24C79" w:rsidRPr="0050649F" w:rsidRDefault="00A24C79" w:rsidP="00C97716">
      <w:pPr>
        <w:spacing w:line="360" w:lineRule="auto"/>
        <w:jc w:val="both"/>
        <w:rPr>
          <w:rFonts w:ascii="Book Antiqua" w:hAnsi="Book Antiqua"/>
          <w:lang w:val="en-GB"/>
        </w:rPr>
      </w:pPr>
      <w:r w:rsidRPr="0050649F">
        <w:rPr>
          <w:rFonts w:ascii="Book Antiqua" w:hAnsi="Book Antiqua"/>
          <w:b/>
          <w:lang w:val="en-GB"/>
        </w:rPr>
        <w:t>Fax</w:t>
      </w:r>
      <w:r w:rsidR="00442A1C" w:rsidRPr="0050649F">
        <w:rPr>
          <w:rFonts w:ascii="Book Antiqua" w:eastAsia="宋体" w:hAnsi="Book Antiqua"/>
          <w:b/>
          <w:lang w:val="en-GB" w:eastAsia="zh-CN"/>
        </w:rPr>
        <w:t>:</w:t>
      </w:r>
      <w:r w:rsidRPr="0050649F">
        <w:rPr>
          <w:rFonts w:ascii="Book Antiqua" w:hAnsi="Book Antiqua"/>
          <w:b/>
          <w:lang w:val="en-GB"/>
        </w:rPr>
        <w:t xml:space="preserve"> </w:t>
      </w:r>
      <w:r w:rsidRPr="0050649F">
        <w:rPr>
          <w:rFonts w:ascii="Book Antiqua" w:hAnsi="Book Antiqua"/>
          <w:lang w:val="en-GB"/>
        </w:rPr>
        <w:t>+39</w:t>
      </w:r>
      <w:r w:rsidR="00442A1C" w:rsidRPr="0050649F">
        <w:rPr>
          <w:rFonts w:ascii="Book Antiqua" w:eastAsia="宋体" w:hAnsi="Book Antiqua"/>
          <w:lang w:val="en-GB" w:eastAsia="zh-CN"/>
        </w:rPr>
        <w:t>-</w:t>
      </w:r>
      <w:r w:rsidRPr="0050649F">
        <w:rPr>
          <w:rFonts w:ascii="Book Antiqua" w:hAnsi="Book Antiqua"/>
          <w:lang w:val="en-GB"/>
        </w:rPr>
        <w:t>090</w:t>
      </w:r>
      <w:r w:rsidR="00442A1C" w:rsidRPr="0050649F">
        <w:rPr>
          <w:rFonts w:ascii="Book Antiqua" w:eastAsia="宋体" w:hAnsi="Book Antiqua"/>
          <w:lang w:val="en-GB" w:eastAsia="zh-CN"/>
        </w:rPr>
        <w:t>-</w:t>
      </w:r>
      <w:r w:rsidRPr="0050649F">
        <w:rPr>
          <w:rFonts w:ascii="Book Antiqua" w:hAnsi="Book Antiqua"/>
          <w:lang w:val="en-GB"/>
        </w:rPr>
        <w:t>2213538</w:t>
      </w:r>
    </w:p>
    <w:p w14:paraId="7911338C" w14:textId="77777777" w:rsidR="00A24C79" w:rsidRPr="0050649F" w:rsidRDefault="00A24C79" w:rsidP="00C97716">
      <w:pPr>
        <w:spacing w:line="360" w:lineRule="auto"/>
        <w:jc w:val="both"/>
        <w:rPr>
          <w:rFonts w:ascii="Book Antiqua" w:eastAsia="宋体" w:hAnsi="Book Antiqua"/>
          <w:lang w:val="en-GB" w:eastAsia="zh-CN"/>
        </w:rPr>
      </w:pPr>
      <w:r w:rsidRPr="0050649F">
        <w:rPr>
          <w:rFonts w:ascii="Book Antiqua" w:hAnsi="Book Antiqua"/>
          <w:lang w:val="en-GB"/>
        </w:rPr>
        <w:t xml:space="preserve"> </w:t>
      </w:r>
    </w:p>
    <w:p w14:paraId="59AC65B9" w14:textId="4BC80D0A" w:rsidR="008B72C0" w:rsidRPr="0050649F" w:rsidRDefault="008B72C0" w:rsidP="00C97716">
      <w:pPr>
        <w:spacing w:line="360" w:lineRule="auto"/>
        <w:jc w:val="both"/>
        <w:rPr>
          <w:rFonts w:ascii="Book Antiqua" w:hAnsi="Book Antiqua"/>
          <w:b/>
        </w:rPr>
      </w:pPr>
      <w:r w:rsidRPr="0050649F">
        <w:rPr>
          <w:rFonts w:ascii="Book Antiqua" w:hAnsi="Book Antiqua"/>
          <w:b/>
        </w:rPr>
        <w:t>Received:</w:t>
      </w:r>
      <w:r w:rsidR="00C97716" w:rsidRPr="0050649F">
        <w:rPr>
          <w:rFonts w:ascii="Book Antiqua" w:eastAsia="宋体" w:hAnsi="Book Antiqua"/>
          <w:b/>
          <w:lang w:eastAsia="zh-CN"/>
        </w:rPr>
        <w:t xml:space="preserve"> </w:t>
      </w:r>
      <w:r w:rsidR="00C97716" w:rsidRPr="0050649F">
        <w:rPr>
          <w:rFonts w:ascii="Book Antiqua" w:eastAsia="宋体" w:hAnsi="Book Antiqua"/>
          <w:lang w:eastAsia="zh-CN"/>
        </w:rPr>
        <w:t>July 29, 2015</w:t>
      </w:r>
      <w:r w:rsidRPr="0050649F">
        <w:rPr>
          <w:rFonts w:ascii="Book Antiqua" w:hAnsi="Book Antiqua"/>
        </w:rPr>
        <w:t xml:space="preserve">   </w:t>
      </w:r>
    </w:p>
    <w:p w14:paraId="45C74ED6" w14:textId="54A903EF" w:rsidR="008B72C0" w:rsidRPr="0050649F" w:rsidRDefault="008B72C0" w:rsidP="00C97716">
      <w:pPr>
        <w:spacing w:line="360" w:lineRule="auto"/>
        <w:jc w:val="both"/>
        <w:rPr>
          <w:rFonts w:ascii="Book Antiqua" w:eastAsia="宋体" w:hAnsi="Book Antiqua"/>
          <w:b/>
          <w:lang w:eastAsia="zh-CN"/>
        </w:rPr>
      </w:pPr>
      <w:r w:rsidRPr="0050649F">
        <w:rPr>
          <w:rFonts w:ascii="Book Antiqua" w:hAnsi="Book Antiqua"/>
          <w:b/>
        </w:rPr>
        <w:t>Peer-review started:</w:t>
      </w:r>
      <w:r w:rsidR="00C97716" w:rsidRPr="0050649F">
        <w:rPr>
          <w:rFonts w:ascii="Book Antiqua" w:eastAsia="宋体" w:hAnsi="Book Antiqua"/>
          <w:b/>
          <w:lang w:eastAsia="zh-CN"/>
        </w:rPr>
        <w:t xml:space="preserve"> </w:t>
      </w:r>
      <w:r w:rsidR="00C97716" w:rsidRPr="0050649F">
        <w:rPr>
          <w:rFonts w:ascii="Book Antiqua" w:eastAsia="宋体" w:hAnsi="Book Antiqua"/>
          <w:lang w:eastAsia="zh-CN"/>
        </w:rPr>
        <w:t>August 24, 2015</w:t>
      </w:r>
    </w:p>
    <w:p w14:paraId="0A283F69" w14:textId="35222417" w:rsidR="008B72C0" w:rsidRPr="0050649F" w:rsidRDefault="008B72C0" w:rsidP="00C97716">
      <w:pPr>
        <w:spacing w:line="360" w:lineRule="auto"/>
        <w:jc w:val="both"/>
        <w:rPr>
          <w:rFonts w:ascii="Book Antiqua" w:eastAsia="宋体" w:hAnsi="Book Antiqua"/>
          <w:b/>
          <w:lang w:eastAsia="zh-CN"/>
        </w:rPr>
      </w:pPr>
      <w:r w:rsidRPr="0050649F">
        <w:rPr>
          <w:rFonts w:ascii="Book Antiqua" w:hAnsi="Book Antiqua"/>
          <w:b/>
        </w:rPr>
        <w:t>First decision:</w:t>
      </w:r>
      <w:r w:rsidR="00C97716" w:rsidRPr="0050649F">
        <w:rPr>
          <w:rFonts w:ascii="Book Antiqua" w:eastAsia="宋体" w:hAnsi="Book Antiqua"/>
          <w:lang w:eastAsia="zh-CN"/>
        </w:rPr>
        <w:t xml:space="preserve"> October 13, 2015</w:t>
      </w:r>
    </w:p>
    <w:p w14:paraId="4515668D" w14:textId="79CF58B3" w:rsidR="008B72C0" w:rsidRPr="0050649F" w:rsidRDefault="008B72C0" w:rsidP="00C97716">
      <w:pPr>
        <w:spacing w:line="360" w:lineRule="auto"/>
        <w:jc w:val="both"/>
        <w:rPr>
          <w:rFonts w:ascii="Book Antiqua" w:hAnsi="Book Antiqua"/>
          <w:b/>
        </w:rPr>
      </w:pPr>
      <w:r w:rsidRPr="0050649F">
        <w:rPr>
          <w:rFonts w:ascii="Book Antiqua" w:hAnsi="Book Antiqua"/>
          <w:b/>
        </w:rPr>
        <w:t xml:space="preserve">Revised: </w:t>
      </w:r>
      <w:r w:rsidR="00C97716" w:rsidRPr="0050649F">
        <w:rPr>
          <w:rFonts w:ascii="Book Antiqua" w:eastAsia="宋体" w:hAnsi="Book Antiqua"/>
          <w:lang w:eastAsia="zh-CN"/>
        </w:rPr>
        <w:t>November 16, 2015</w:t>
      </w:r>
      <w:r w:rsidRPr="0050649F">
        <w:rPr>
          <w:rFonts w:ascii="Book Antiqua" w:hAnsi="Book Antiqua"/>
        </w:rPr>
        <w:t xml:space="preserve"> </w:t>
      </w:r>
    </w:p>
    <w:p w14:paraId="610C0D08" w14:textId="388AAE3E" w:rsidR="008B72C0" w:rsidRPr="00BE1800" w:rsidRDefault="00BE1800" w:rsidP="00BE1800">
      <w:pPr>
        <w:rPr>
          <w:rFonts w:ascii="Book Antiqua" w:hAnsi="Book Antiqua"/>
          <w:iCs/>
        </w:rPr>
      </w:pPr>
      <w:r>
        <w:rPr>
          <w:rFonts w:ascii="Book Antiqua" w:hAnsi="Book Antiqua"/>
          <w:b/>
        </w:rPr>
        <w:t>Accepted:</w:t>
      </w:r>
      <w:r w:rsidR="008B72C0" w:rsidRPr="0050649F">
        <w:rPr>
          <w:rFonts w:ascii="Book Antiqua" w:hAnsi="Book Antiqua"/>
          <w:b/>
        </w:rPr>
        <w:t xml:space="preserve"> </w:t>
      </w:r>
      <w:r>
        <w:rPr>
          <w:rStyle w:val="Emphasis"/>
        </w:rPr>
        <w:t xml:space="preserve">December </w:t>
      </w:r>
      <w:r>
        <w:rPr>
          <w:rStyle w:val="Emphasis"/>
          <w:rFonts w:ascii="宋体" w:hAnsi="宋体" w:cs="宋体" w:hint="eastAsia"/>
        </w:rPr>
        <w:t>7</w:t>
      </w:r>
      <w:r w:rsidRPr="00235CD4">
        <w:rPr>
          <w:rStyle w:val="Emphasis"/>
        </w:rPr>
        <w:t>, 2015</w:t>
      </w:r>
    </w:p>
    <w:p w14:paraId="265CD5A2" w14:textId="77777777" w:rsidR="008B72C0" w:rsidRPr="0050649F" w:rsidRDefault="008B72C0" w:rsidP="00C97716">
      <w:pPr>
        <w:spacing w:line="360" w:lineRule="auto"/>
        <w:jc w:val="both"/>
        <w:rPr>
          <w:rFonts w:ascii="Book Antiqua" w:hAnsi="Book Antiqua"/>
          <w:b/>
        </w:rPr>
      </w:pPr>
      <w:r w:rsidRPr="0050649F">
        <w:rPr>
          <w:rFonts w:ascii="Book Antiqua" w:hAnsi="Book Antiqua"/>
          <w:b/>
        </w:rPr>
        <w:t>Article in press:</w:t>
      </w:r>
      <w:r w:rsidRPr="0050649F">
        <w:rPr>
          <w:rFonts w:ascii="Book Antiqua" w:hAnsi="Book Antiqua"/>
        </w:rPr>
        <w:t xml:space="preserve">    </w:t>
      </w:r>
    </w:p>
    <w:p w14:paraId="5421255A" w14:textId="527C66A4" w:rsidR="008B72C0" w:rsidRPr="0050649F" w:rsidRDefault="008B72C0" w:rsidP="00C97716">
      <w:pPr>
        <w:spacing w:line="360" w:lineRule="auto"/>
        <w:jc w:val="both"/>
        <w:rPr>
          <w:rFonts w:ascii="Book Antiqua" w:eastAsia="宋体" w:hAnsi="Book Antiqua"/>
          <w:lang w:val="en-GB" w:eastAsia="zh-CN"/>
        </w:rPr>
      </w:pPr>
      <w:r w:rsidRPr="0050649F">
        <w:rPr>
          <w:rFonts w:ascii="Book Antiqua" w:hAnsi="Book Antiqua"/>
          <w:b/>
        </w:rPr>
        <w:t>Published online:</w:t>
      </w:r>
    </w:p>
    <w:p w14:paraId="23F37121" w14:textId="77777777" w:rsidR="00A24C79" w:rsidRPr="0050649F" w:rsidRDefault="00A24C79" w:rsidP="00C97716">
      <w:pPr>
        <w:spacing w:line="360" w:lineRule="auto"/>
        <w:jc w:val="both"/>
        <w:rPr>
          <w:rFonts w:ascii="Book Antiqua" w:hAnsi="Book Antiqua"/>
          <w:b/>
          <w:lang w:val="en-GB"/>
        </w:rPr>
      </w:pPr>
      <w:r w:rsidRPr="0050649F">
        <w:rPr>
          <w:rFonts w:ascii="Book Antiqua" w:hAnsi="Book Antiqua"/>
          <w:b/>
          <w:lang w:val="en-GB"/>
        </w:rPr>
        <w:br w:type="page"/>
      </w:r>
    </w:p>
    <w:p w14:paraId="4D47CEC9" w14:textId="77777777" w:rsidR="00A24C79" w:rsidRPr="0050649F" w:rsidRDefault="00A24C79" w:rsidP="00C97716">
      <w:pPr>
        <w:spacing w:line="360" w:lineRule="auto"/>
        <w:jc w:val="both"/>
        <w:rPr>
          <w:rFonts w:ascii="Book Antiqua" w:hAnsi="Book Antiqua"/>
          <w:b/>
          <w:lang w:val="en-GB"/>
        </w:rPr>
      </w:pPr>
      <w:r w:rsidRPr="0050649F">
        <w:rPr>
          <w:rFonts w:ascii="Book Antiqua" w:hAnsi="Book Antiqua"/>
          <w:b/>
          <w:lang w:val="en-GB"/>
        </w:rPr>
        <w:lastRenderedPageBreak/>
        <w:t xml:space="preserve">Abstract  </w:t>
      </w:r>
    </w:p>
    <w:p w14:paraId="3FA2E1FA" w14:textId="32735B66" w:rsidR="00A24C79" w:rsidRPr="0050649F" w:rsidRDefault="00A24C79" w:rsidP="00C97716">
      <w:pPr>
        <w:spacing w:line="360" w:lineRule="auto"/>
        <w:jc w:val="both"/>
        <w:rPr>
          <w:rFonts w:ascii="Book Antiqua" w:eastAsia="宋体" w:hAnsi="Book Antiqua"/>
          <w:lang w:val="en-GB" w:eastAsia="zh-CN"/>
        </w:rPr>
      </w:pPr>
      <w:r w:rsidRPr="0050649F">
        <w:rPr>
          <w:rFonts w:ascii="Book Antiqua" w:hAnsi="Book Antiqua"/>
          <w:lang w:val="en-GB"/>
        </w:rPr>
        <w:t>In the past decade, thanks to the introduction of biologic therapies, a new therapeutic goal, mucosal healing (MH), has been introduced. MH is the expression of an arrest of disease progression, resulting in minor hospitalizations, surgeries, and prolonged clinical remission. MH may be achieved with several therapeutic strategies reaching success rates up to 80% for both, ulcerative colitis</w:t>
      </w:r>
      <w:r w:rsidR="0050649F" w:rsidRPr="0050649F">
        <w:rPr>
          <w:rFonts w:ascii="Book Antiqua" w:hAnsi="Book Antiqua"/>
          <w:lang w:val="en-GB"/>
        </w:rPr>
        <w:t xml:space="preserve"> </w:t>
      </w:r>
      <w:r w:rsidR="0050649F">
        <w:rPr>
          <w:rFonts w:ascii="Book Antiqua" w:eastAsia="宋体" w:hAnsi="Book Antiqua" w:hint="eastAsia"/>
          <w:lang w:val="en-GB" w:eastAsia="zh-CN"/>
        </w:rPr>
        <w:t>(</w:t>
      </w:r>
      <w:r w:rsidR="0050649F" w:rsidRPr="0050649F">
        <w:rPr>
          <w:rFonts w:ascii="Book Antiqua" w:hAnsi="Book Antiqua"/>
          <w:lang w:val="en-GB"/>
        </w:rPr>
        <w:t>UC</w:t>
      </w:r>
      <w:r w:rsidR="0050649F">
        <w:rPr>
          <w:rFonts w:ascii="Book Antiqua" w:eastAsia="宋体" w:hAnsi="Book Antiqua" w:hint="eastAsia"/>
          <w:lang w:val="en-GB" w:eastAsia="zh-CN"/>
        </w:rPr>
        <w:t>)</w:t>
      </w:r>
      <w:r w:rsidRPr="0050649F">
        <w:rPr>
          <w:rFonts w:ascii="Book Antiqua" w:hAnsi="Book Antiqua"/>
          <w:lang w:val="en-GB"/>
        </w:rPr>
        <w:t xml:space="preserve"> and Crohn’s disease</w:t>
      </w:r>
      <w:r w:rsidR="0050649F">
        <w:rPr>
          <w:rFonts w:ascii="Book Antiqua" w:eastAsia="宋体" w:hAnsi="Book Antiqua" w:hint="eastAsia"/>
          <w:lang w:val="en-GB" w:eastAsia="zh-CN"/>
        </w:rPr>
        <w:t xml:space="preserve"> (</w:t>
      </w:r>
      <w:r w:rsidR="0050649F" w:rsidRPr="0050649F">
        <w:rPr>
          <w:rFonts w:ascii="Book Antiqua" w:hAnsi="Book Antiqua"/>
          <w:lang w:val="en-GB"/>
        </w:rPr>
        <w:t>CD</w:t>
      </w:r>
      <w:r w:rsidR="0050649F">
        <w:rPr>
          <w:rFonts w:ascii="Book Antiqua" w:eastAsia="宋体" w:hAnsi="Book Antiqua" w:hint="eastAsia"/>
          <w:lang w:val="en-GB" w:eastAsia="zh-CN"/>
        </w:rPr>
        <w:t>)</w:t>
      </w:r>
      <w:r w:rsidRPr="0050649F">
        <w:rPr>
          <w:rFonts w:ascii="Book Antiqua" w:hAnsi="Book Antiqua"/>
          <w:lang w:val="en-GB"/>
        </w:rPr>
        <w:t xml:space="preserve">. Various scoring systems for </w:t>
      </w:r>
      <w:r w:rsidR="0050649F" w:rsidRPr="0050649F">
        <w:rPr>
          <w:rFonts w:ascii="Book Antiqua" w:hAnsi="Book Antiqua"/>
          <w:lang w:val="en-GB"/>
        </w:rPr>
        <w:t>UC</w:t>
      </w:r>
      <w:r w:rsidRPr="0050649F">
        <w:rPr>
          <w:rFonts w:ascii="Book Antiqua" w:hAnsi="Book Antiqua"/>
          <w:lang w:val="en-GB"/>
        </w:rPr>
        <w:t xml:space="preserve"> and for the transmural </w:t>
      </w:r>
      <w:proofErr w:type="gramStart"/>
      <w:r w:rsidR="0050649F" w:rsidRPr="0050649F">
        <w:rPr>
          <w:rFonts w:ascii="Book Antiqua" w:hAnsi="Book Antiqua"/>
          <w:lang w:val="en-GB"/>
        </w:rPr>
        <w:t>CD</w:t>
      </w:r>
      <w:r w:rsidRPr="0050649F">
        <w:rPr>
          <w:rFonts w:ascii="Book Antiqua" w:hAnsi="Book Antiqua"/>
          <w:lang w:val="en-GB"/>
        </w:rPr>
        <w:t>,</w:t>
      </w:r>
      <w:proofErr w:type="gramEnd"/>
      <w:r w:rsidRPr="0050649F">
        <w:rPr>
          <w:rFonts w:ascii="Book Antiqua" w:hAnsi="Book Antiqua"/>
          <w:lang w:val="en-GB"/>
        </w:rPr>
        <w:t xml:space="preserve"> have been proposed to standardize the definition of MH. Several attempts have been undertaken to de-escalate therapy once MH is achieved, thus, reducing the risk of adverse events. In this review, we analysed the available studies regarding the achievement of MH and the subsequent treatment de-escalation according to disease type and administered therapy, together with non-invasive markers proposed as predictors for relapse.</w:t>
      </w:r>
      <w:r w:rsidR="004828F2" w:rsidRPr="0050649F">
        <w:rPr>
          <w:rFonts w:ascii="Book Antiqua" w:eastAsia="宋体" w:hAnsi="Book Antiqua"/>
          <w:lang w:val="en-GB" w:eastAsia="zh-CN"/>
        </w:rPr>
        <w:t xml:space="preserve"> </w:t>
      </w:r>
      <w:r w:rsidRPr="0050649F">
        <w:rPr>
          <w:rFonts w:ascii="Book Antiqua" w:hAnsi="Book Antiqua"/>
          <w:lang w:val="en-GB"/>
        </w:rPr>
        <w:t xml:space="preserve">The available data are not encouraging since de-escalation after the achievement of MH is followed by a high number of clinical relapses reaching up to 50% within one year. Unclear is also another question, in case of combination therapies, which drug is more appropriate to stop, in order to guarantee a durable remission. Predictors of unfavourable outcome such as disease extension, perianal disease, or early onset disease appear to be inadequate to foresee behaviour of disease. Further studies are warranted to investigate the role of histologic healing for the further course of disease. </w:t>
      </w:r>
    </w:p>
    <w:p w14:paraId="38F58885" w14:textId="77777777" w:rsidR="00C97716" w:rsidRPr="0050649F" w:rsidRDefault="00C97716" w:rsidP="00C97716">
      <w:pPr>
        <w:spacing w:line="360" w:lineRule="auto"/>
        <w:jc w:val="both"/>
        <w:rPr>
          <w:rFonts w:ascii="Book Antiqua" w:eastAsia="宋体" w:hAnsi="Book Antiqua"/>
          <w:lang w:val="en-GB" w:eastAsia="zh-CN"/>
        </w:rPr>
      </w:pPr>
    </w:p>
    <w:p w14:paraId="0CDACBDD" w14:textId="0CAE7D13" w:rsidR="004828F2" w:rsidRPr="0050649F" w:rsidRDefault="004828F2" w:rsidP="00C97716">
      <w:pPr>
        <w:spacing w:line="360" w:lineRule="auto"/>
        <w:jc w:val="both"/>
        <w:rPr>
          <w:rFonts w:ascii="Book Antiqua" w:eastAsia="宋体" w:hAnsi="Book Antiqua"/>
          <w:lang w:val="en-GB" w:eastAsia="zh-CN"/>
        </w:rPr>
      </w:pPr>
      <w:r w:rsidRPr="0050649F">
        <w:rPr>
          <w:rFonts w:ascii="Book Antiqua" w:hAnsi="Book Antiqua"/>
          <w:b/>
          <w:lang w:val="en-GB"/>
        </w:rPr>
        <w:t>Key words:</w:t>
      </w:r>
      <w:r w:rsidRPr="0050649F">
        <w:rPr>
          <w:rFonts w:ascii="Book Antiqua" w:hAnsi="Book Antiqua"/>
          <w:lang w:val="en-GB"/>
        </w:rPr>
        <w:t xml:space="preserve"> </w:t>
      </w:r>
      <w:r w:rsidR="00C97716" w:rsidRPr="0050649F">
        <w:rPr>
          <w:rFonts w:ascii="Book Antiqua" w:hAnsi="Book Antiqua"/>
          <w:lang w:val="en-GB"/>
        </w:rPr>
        <w:t>D</w:t>
      </w:r>
      <w:r w:rsidRPr="0050649F">
        <w:rPr>
          <w:rFonts w:ascii="Book Antiqua" w:hAnsi="Book Antiqua"/>
          <w:lang w:val="en-GB"/>
        </w:rPr>
        <w:t>eescalation</w:t>
      </w:r>
      <w:r w:rsidR="00C97716" w:rsidRPr="0050649F">
        <w:rPr>
          <w:rFonts w:ascii="Book Antiqua" w:eastAsia="宋体" w:hAnsi="Book Antiqua"/>
          <w:lang w:val="en-GB" w:eastAsia="zh-CN"/>
        </w:rPr>
        <w:t>;</w:t>
      </w:r>
      <w:r w:rsidRPr="0050649F">
        <w:rPr>
          <w:rFonts w:ascii="Book Antiqua" w:hAnsi="Book Antiqua"/>
          <w:lang w:val="en-GB"/>
        </w:rPr>
        <w:t xml:space="preserve"> </w:t>
      </w:r>
      <w:r w:rsidR="00C97716" w:rsidRPr="0050649F">
        <w:rPr>
          <w:rFonts w:ascii="Book Antiqua" w:hAnsi="Book Antiqua"/>
          <w:lang w:val="en-GB"/>
        </w:rPr>
        <w:t>D</w:t>
      </w:r>
      <w:r w:rsidRPr="0050649F">
        <w:rPr>
          <w:rFonts w:ascii="Book Antiqua" w:hAnsi="Book Antiqua"/>
          <w:lang w:val="en-GB"/>
        </w:rPr>
        <w:t>eep remission</w:t>
      </w:r>
      <w:r w:rsidR="00C97716" w:rsidRPr="0050649F">
        <w:rPr>
          <w:rFonts w:ascii="Book Antiqua" w:eastAsia="宋体" w:hAnsi="Book Antiqua"/>
          <w:lang w:val="en-GB" w:eastAsia="zh-CN"/>
        </w:rPr>
        <w:t>;</w:t>
      </w:r>
      <w:r w:rsidRPr="0050649F">
        <w:rPr>
          <w:rFonts w:ascii="Book Antiqua" w:hAnsi="Book Antiqua"/>
          <w:lang w:val="en-GB"/>
        </w:rPr>
        <w:t xml:space="preserve"> </w:t>
      </w:r>
      <w:r w:rsidR="00C97716" w:rsidRPr="0050649F">
        <w:rPr>
          <w:rFonts w:ascii="Book Antiqua" w:hAnsi="Book Antiqua"/>
          <w:lang w:val="en-GB"/>
        </w:rPr>
        <w:t>D</w:t>
      </w:r>
      <w:r w:rsidRPr="0050649F">
        <w:rPr>
          <w:rFonts w:ascii="Book Antiqua" w:hAnsi="Book Antiqua"/>
          <w:lang w:val="en-GB"/>
        </w:rPr>
        <w:t>iscontinuation</w:t>
      </w:r>
      <w:r w:rsidR="00C97716" w:rsidRPr="0050649F">
        <w:rPr>
          <w:rFonts w:ascii="Book Antiqua" w:eastAsia="宋体" w:hAnsi="Book Antiqua"/>
          <w:lang w:val="en-GB" w:eastAsia="zh-CN"/>
        </w:rPr>
        <w:t>;</w:t>
      </w:r>
      <w:r w:rsidRPr="0050649F">
        <w:rPr>
          <w:rFonts w:ascii="Book Antiqua" w:hAnsi="Book Antiqua"/>
          <w:lang w:val="en-GB"/>
        </w:rPr>
        <w:t xml:space="preserve"> </w:t>
      </w:r>
      <w:r w:rsidR="00C97716" w:rsidRPr="0050649F">
        <w:rPr>
          <w:rFonts w:ascii="Book Antiqua" w:hAnsi="Book Antiqua"/>
          <w:lang w:val="en-GB"/>
        </w:rPr>
        <w:t>M</w:t>
      </w:r>
      <w:r w:rsidRPr="0050649F">
        <w:rPr>
          <w:rFonts w:ascii="Book Antiqua" w:hAnsi="Book Antiqua"/>
          <w:lang w:val="en-GB"/>
        </w:rPr>
        <w:t>ucosal healing</w:t>
      </w:r>
      <w:r w:rsidR="00C97716" w:rsidRPr="0050649F">
        <w:rPr>
          <w:rFonts w:ascii="Book Antiqua" w:eastAsia="宋体" w:hAnsi="Book Antiqua"/>
          <w:lang w:val="en-GB" w:eastAsia="zh-CN"/>
        </w:rPr>
        <w:t>;</w:t>
      </w:r>
      <w:r w:rsidRPr="0050649F">
        <w:rPr>
          <w:rFonts w:ascii="Book Antiqua" w:hAnsi="Book Antiqua"/>
          <w:lang w:val="en-GB"/>
        </w:rPr>
        <w:t xml:space="preserve"> </w:t>
      </w:r>
      <w:r w:rsidR="00C97716" w:rsidRPr="0050649F">
        <w:rPr>
          <w:rFonts w:ascii="Book Antiqua" w:hAnsi="Book Antiqua"/>
          <w:lang w:val="en-GB"/>
        </w:rPr>
        <w:t>B</w:t>
      </w:r>
      <w:r w:rsidRPr="0050649F">
        <w:rPr>
          <w:rFonts w:ascii="Book Antiqua" w:hAnsi="Book Antiqua"/>
          <w:lang w:val="en-GB"/>
        </w:rPr>
        <w:t>iological therapy</w:t>
      </w:r>
      <w:r w:rsidR="00C97716" w:rsidRPr="0050649F">
        <w:rPr>
          <w:rFonts w:ascii="Book Antiqua" w:eastAsia="宋体" w:hAnsi="Book Antiqua"/>
          <w:lang w:val="en-GB" w:eastAsia="zh-CN"/>
        </w:rPr>
        <w:t>;</w:t>
      </w:r>
      <w:r w:rsidRPr="0050649F">
        <w:rPr>
          <w:rFonts w:ascii="Book Antiqua" w:hAnsi="Book Antiqua"/>
          <w:lang w:val="en-GB"/>
        </w:rPr>
        <w:t xml:space="preserve"> </w:t>
      </w:r>
      <w:r w:rsidR="00C97716" w:rsidRPr="0050649F">
        <w:rPr>
          <w:rFonts w:ascii="Book Antiqua" w:hAnsi="Book Antiqua"/>
          <w:lang w:val="en-GB"/>
        </w:rPr>
        <w:t>I</w:t>
      </w:r>
      <w:r w:rsidRPr="0050649F">
        <w:rPr>
          <w:rFonts w:ascii="Book Antiqua" w:hAnsi="Book Antiqua"/>
          <w:lang w:val="en-GB"/>
        </w:rPr>
        <w:t>mmunosuppressors</w:t>
      </w:r>
      <w:r w:rsidR="00C97716" w:rsidRPr="0050649F">
        <w:rPr>
          <w:rFonts w:ascii="Book Antiqua" w:eastAsia="宋体" w:hAnsi="Book Antiqua"/>
          <w:lang w:val="en-GB" w:eastAsia="zh-CN"/>
        </w:rPr>
        <w:t>;</w:t>
      </w:r>
      <w:r w:rsidRPr="0050649F">
        <w:rPr>
          <w:rFonts w:ascii="Book Antiqua" w:hAnsi="Book Antiqua"/>
          <w:lang w:val="en-GB"/>
        </w:rPr>
        <w:t xml:space="preserve"> </w:t>
      </w:r>
      <w:r w:rsidR="00C97716" w:rsidRPr="0050649F">
        <w:rPr>
          <w:rFonts w:ascii="Book Antiqua" w:hAnsi="Book Antiqua"/>
          <w:lang w:val="en-GB"/>
        </w:rPr>
        <w:t>U</w:t>
      </w:r>
      <w:r w:rsidRPr="0050649F">
        <w:rPr>
          <w:rFonts w:ascii="Book Antiqua" w:hAnsi="Book Antiqua"/>
          <w:lang w:val="en-GB"/>
        </w:rPr>
        <w:t>lcerative colitis</w:t>
      </w:r>
      <w:r w:rsidR="00C97716" w:rsidRPr="0050649F">
        <w:rPr>
          <w:rFonts w:ascii="Book Antiqua" w:eastAsia="宋体" w:hAnsi="Book Antiqua"/>
          <w:lang w:val="en-GB" w:eastAsia="zh-CN"/>
        </w:rPr>
        <w:t>;</w:t>
      </w:r>
      <w:r w:rsidR="00C97716" w:rsidRPr="0050649F">
        <w:rPr>
          <w:rFonts w:ascii="Book Antiqua" w:hAnsi="Book Antiqua"/>
          <w:lang w:val="en-GB"/>
        </w:rPr>
        <w:t xml:space="preserve"> Crohn’s disease</w:t>
      </w:r>
    </w:p>
    <w:p w14:paraId="66C41C91" w14:textId="77777777" w:rsidR="00A24C79" w:rsidRPr="0050649F" w:rsidRDefault="00A24C79" w:rsidP="00C97716">
      <w:pPr>
        <w:spacing w:line="360" w:lineRule="auto"/>
        <w:jc w:val="both"/>
        <w:rPr>
          <w:rFonts w:ascii="Book Antiqua" w:eastAsia="宋体" w:hAnsi="Book Antiqua"/>
          <w:lang w:val="en-GB" w:eastAsia="zh-CN"/>
        </w:rPr>
      </w:pPr>
    </w:p>
    <w:p w14:paraId="4E31942C" w14:textId="77777777" w:rsidR="00C97716" w:rsidRPr="0050649F" w:rsidRDefault="00C97716" w:rsidP="00C97716">
      <w:pPr>
        <w:spacing w:line="360" w:lineRule="auto"/>
        <w:jc w:val="both"/>
        <w:rPr>
          <w:rFonts w:ascii="Book Antiqua" w:hAnsi="Book Antiqua" w:cs="Arial"/>
        </w:rPr>
      </w:pPr>
      <w:r w:rsidRPr="0050649F">
        <w:rPr>
          <w:rFonts w:ascii="Book Antiqua" w:hAnsi="Book Antiqua"/>
          <w:b/>
        </w:rPr>
        <w:t xml:space="preserve">© </w:t>
      </w:r>
      <w:r w:rsidRPr="0050649F">
        <w:rPr>
          <w:rFonts w:ascii="Book Antiqua" w:hAnsi="Book Antiqua" w:cs="Arial"/>
          <w:b/>
        </w:rPr>
        <w:t>The Author(s) 2015.</w:t>
      </w:r>
      <w:r w:rsidRPr="0050649F">
        <w:rPr>
          <w:rFonts w:ascii="Book Antiqua" w:hAnsi="Book Antiqua" w:cs="Arial"/>
        </w:rPr>
        <w:t xml:space="preserve"> Published by Baishideng Publishing Group Inc. All rights reserved.</w:t>
      </w:r>
    </w:p>
    <w:p w14:paraId="1D00F77B" w14:textId="77777777" w:rsidR="00C97716" w:rsidRPr="0050649F" w:rsidRDefault="00C97716" w:rsidP="00C97716">
      <w:pPr>
        <w:spacing w:line="360" w:lineRule="auto"/>
        <w:jc w:val="both"/>
        <w:rPr>
          <w:rFonts w:ascii="Book Antiqua" w:eastAsia="宋体" w:hAnsi="Book Antiqua"/>
          <w:lang w:val="en-GB" w:eastAsia="zh-CN"/>
        </w:rPr>
      </w:pPr>
    </w:p>
    <w:p w14:paraId="744398B6" w14:textId="023D1A6E" w:rsidR="00A24C79" w:rsidRPr="0050649F" w:rsidRDefault="00A24C79" w:rsidP="00C97716">
      <w:pPr>
        <w:spacing w:line="360" w:lineRule="auto"/>
        <w:jc w:val="both"/>
        <w:rPr>
          <w:rFonts w:ascii="Book Antiqua" w:eastAsia="宋体" w:hAnsi="Book Antiqua"/>
          <w:lang w:val="en-GB" w:eastAsia="zh-CN"/>
        </w:rPr>
      </w:pPr>
      <w:r w:rsidRPr="0050649F">
        <w:rPr>
          <w:rFonts w:ascii="Book Antiqua" w:hAnsi="Book Antiqua"/>
          <w:b/>
          <w:lang w:val="en-GB"/>
        </w:rPr>
        <w:t xml:space="preserve">Core </w:t>
      </w:r>
      <w:r w:rsidR="004828F2" w:rsidRPr="0050649F">
        <w:rPr>
          <w:rFonts w:ascii="Book Antiqua" w:hAnsi="Book Antiqua"/>
          <w:b/>
          <w:lang w:val="en-GB"/>
        </w:rPr>
        <w:t>t</w:t>
      </w:r>
      <w:r w:rsidRPr="0050649F">
        <w:rPr>
          <w:rFonts w:ascii="Book Antiqua" w:hAnsi="Book Antiqua"/>
          <w:b/>
          <w:lang w:val="en-GB"/>
        </w:rPr>
        <w:t>ip</w:t>
      </w:r>
      <w:r w:rsidR="004828F2" w:rsidRPr="0050649F">
        <w:rPr>
          <w:rFonts w:ascii="Book Antiqua" w:eastAsia="宋体" w:hAnsi="Book Antiqua"/>
          <w:b/>
          <w:lang w:val="en-GB" w:eastAsia="zh-CN"/>
        </w:rPr>
        <w:t>:</w:t>
      </w:r>
      <w:r w:rsidR="00C97716" w:rsidRPr="0050649F">
        <w:rPr>
          <w:rFonts w:ascii="Book Antiqua" w:eastAsia="宋体" w:hAnsi="Book Antiqua"/>
          <w:b/>
          <w:lang w:val="en-GB" w:eastAsia="zh-CN"/>
        </w:rPr>
        <w:t xml:space="preserve"> </w:t>
      </w:r>
      <w:r w:rsidRPr="0050649F">
        <w:rPr>
          <w:rFonts w:ascii="Book Antiqua" w:hAnsi="Book Antiqua"/>
          <w:lang w:val="en-GB"/>
        </w:rPr>
        <w:t>Mucosal healing is achieved in a discrete number of patients with immunomodulators, biologics or combined therapies.</w:t>
      </w:r>
      <w:r w:rsidR="00C97716" w:rsidRPr="0050649F">
        <w:rPr>
          <w:rFonts w:ascii="Book Antiqua" w:eastAsia="宋体" w:hAnsi="Book Antiqua"/>
          <w:lang w:val="en-GB" w:eastAsia="zh-CN"/>
        </w:rPr>
        <w:t xml:space="preserve"> </w:t>
      </w:r>
      <w:r w:rsidRPr="0050649F">
        <w:rPr>
          <w:rFonts w:ascii="Book Antiqua" w:hAnsi="Book Antiqua"/>
          <w:lang w:val="en-GB"/>
        </w:rPr>
        <w:t>Attempts to de-escalate therapy, thus permitting a drug holiday, are disappointing. Clinical predictors to identify patients at risk for early relapse after drug withdrawal are still insufficient. Further investigations are needed to prospectively evaluate the validity of histologic healing and to validate an appropriate scoring system for histology in ulcerative colitis and in Crohn’s disease.</w:t>
      </w:r>
    </w:p>
    <w:p w14:paraId="6B64E40E" w14:textId="77777777" w:rsidR="00C97716" w:rsidRPr="0050649F" w:rsidRDefault="00C97716" w:rsidP="00C97716">
      <w:pPr>
        <w:spacing w:line="360" w:lineRule="auto"/>
        <w:jc w:val="both"/>
        <w:rPr>
          <w:rFonts w:ascii="Book Antiqua" w:eastAsia="宋体" w:hAnsi="Book Antiqua"/>
          <w:i/>
          <w:lang w:val="en-GB" w:eastAsia="zh-CN"/>
        </w:rPr>
      </w:pPr>
    </w:p>
    <w:p w14:paraId="4FF2FFA7" w14:textId="2C964302" w:rsidR="00C97716" w:rsidRPr="0050649F" w:rsidRDefault="00C97716" w:rsidP="00C97716">
      <w:pPr>
        <w:spacing w:line="360" w:lineRule="auto"/>
        <w:jc w:val="both"/>
        <w:rPr>
          <w:rFonts w:ascii="Book Antiqua" w:eastAsia="宋体" w:hAnsi="Book Antiqua"/>
          <w:lang w:val="en-GB" w:eastAsia="zh-CN"/>
        </w:rPr>
      </w:pPr>
      <w:r w:rsidRPr="0050649F">
        <w:rPr>
          <w:rFonts w:ascii="Book Antiqua" w:hAnsi="Book Antiqua"/>
        </w:rPr>
        <w:lastRenderedPageBreak/>
        <w:t>Cintolo</w:t>
      </w:r>
      <w:r w:rsidRPr="0050649F">
        <w:rPr>
          <w:rFonts w:ascii="Book Antiqua" w:eastAsia="宋体" w:hAnsi="Book Antiqua"/>
          <w:lang w:eastAsia="zh-CN"/>
        </w:rPr>
        <w:t xml:space="preserve"> M</w:t>
      </w:r>
      <w:r w:rsidRPr="0050649F">
        <w:rPr>
          <w:rFonts w:ascii="Book Antiqua" w:hAnsi="Book Antiqua"/>
        </w:rPr>
        <w:t>, Costantino</w:t>
      </w:r>
      <w:r w:rsidRPr="0050649F">
        <w:rPr>
          <w:rFonts w:ascii="Book Antiqua" w:eastAsia="宋体" w:hAnsi="Book Antiqua"/>
          <w:lang w:eastAsia="zh-CN"/>
        </w:rPr>
        <w:t xml:space="preserve"> G</w:t>
      </w:r>
      <w:r w:rsidRPr="0050649F">
        <w:rPr>
          <w:rFonts w:ascii="Book Antiqua" w:hAnsi="Book Antiqua"/>
        </w:rPr>
        <w:t>, Pallio</w:t>
      </w:r>
      <w:r w:rsidRPr="0050649F">
        <w:rPr>
          <w:rFonts w:ascii="Book Antiqua" w:eastAsia="宋体" w:hAnsi="Book Antiqua"/>
          <w:lang w:eastAsia="zh-CN"/>
        </w:rPr>
        <w:t xml:space="preserve"> S</w:t>
      </w:r>
      <w:r w:rsidRPr="0050649F">
        <w:rPr>
          <w:rFonts w:ascii="Book Antiqua" w:hAnsi="Book Antiqua"/>
        </w:rPr>
        <w:t>, Fries</w:t>
      </w:r>
      <w:r w:rsidRPr="0050649F">
        <w:rPr>
          <w:rFonts w:ascii="Book Antiqua" w:eastAsia="宋体" w:hAnsi="Book Antiqua"/>
          <w:lang w:eastAsia="zh-CN"/>
        </w:rPr>
        <w:t xml:space="preserve"> W.</w:t>
      </w:r>
      <w:r w:rsidRPr="0050649F">
        <w:rPr>
          <w:rFonts w:ascii="Book Antiqua" w:hAnsi="Book Antiqua"/>
          <w:lang w:val="en-GB"/>
        </w:rPr>
        <w:t xml:space="preserve"> Mucosal healing in inflammatory bowel disease: Maintain or de</w:t>
      </w:r>
      <w:r w:rsidRPr="0050649F">
        <w:rPr>
          <w:rFonts w:ascii="Book Antiqua" w:eastAsia="宋体" w:hAnsi="Book Antiqua"/>
          <w:lang w:val="en-GB" w:eastAsia="zh-CN"/>
        </w:rPr>
        <w:t>-</w:t>
      </w:r>
      <w:r w:rsidRPr="0050649F">
        <w:rPr>
          <w:rFonts w:ascii="Book Antiqua" w:hAnsi="Book Antiqua"/>
          <w:lang w:val="en-GB"/>
        </w:rPr>
        <w:t>escalate therapy</w:t>
      </w:r>
      <w:r w:rsidRPr="0050649F">
        <w:rPr>
          <w:rFonts w:ascii="Book Antiqua" w:eastAsia="宋体" w:hAnsi="Book Antiqua"/>
          <w:lang w:val="en-GB" w:eastAsia="zh-CN"/>
        </w:rPr>
        <w:t>.</w:t>
      </w:r>
      <w:r w:rsidRPr="0050649F">
        <w:rPr>
          <w:rFonts w:ascii="Book Antiqua" w:hAnsi="Book Antiqua"/>
          <w:i/>
          <w:iCs/>
        </w:rPr>
        <w:t xml:space="preserve"> World J Gastrointest Pathophysiol</w:t>
      </w:r>
      <w:r w:rsidRPr="0050649F">
        <w:rPr>
          <w:rFonts w:ascii="Book Antiqua" w:eastAsia="宋体" w:hAnsi="Book Antiqua"/>
          <w:i/>
          <w:iCs/>
          <w:lang w:eastAsia="zh-CN"/>
        </w:rPr>
        <w:t xml:space="preserve"> </w:t>
      </w:r>
      <w:r w:rsidRPr="0050649F">
        <w:rPr>
          <w:rFonts w:ascii="Book Antiqua" w:eastAsia="宋体" w:hAnsi="Book Antiqua"/>
          <w:iCs/>
          <w:lang w:eastAsia="zh-CN"/>
        </w:rPr>
        <w:t>2015; In press</w:t>
      </w:r>
    </w:p>
    <w:p w14:paraId="7D2B9EA9" w14:textId="77777777" w:rsidR="00C97716" w:rsidRPr="0050649F" w:rsidRDefault="00C97716" w:rsidP="00C97716">
      <w:pPr>
        <w:spacing w:line="360" w:lineRule="auto"/>
        <w:jc w:val="both"/>
        <w:rPr>
          <w:rFonts w:ascii="Book Antiqua" w:eastAsia="宋体" w:hAnsi="Book Antiqua"/>
          <w:b/>
          <w:lang w:eastAsia="zh-CN"/>
        </w:rPr>
      </w:pPr>
    </w:p>
    <w:p w14:paraId="545A0D50" w14:textId="77777777" w:rsidR="00C97716" w:rsidRDefault="00C97716" w:rsidP="00C97716">
      <w:pPr>
        <w:spacing w:line="360" w:lineRule="auto"/>
        <w:jc w:val="both"/>
        <w:rPr>
          <w:rFonts w:ascii="Book Antiqua" w:eastAsia="宋体" w:hAnsi="Book Antiqua"/>
          <w:b/>
          <w:lang w:val="en-GB" w:eastAsia="zh-CN"/>
        </w:rPr>
      </w:pPr>
      <w:r w:rsidRPr="0050649F">
        <w:rPr>
          <w:rFonts w:ascii="Book Antiqua" w:hAnsi="Book Antiqua"/>
          <w:b/>
          <w:lang w:val="en-GB"/>
        </w:rPr>
        <w:br w:type="page"/>
      </w:r>
    </w:p>
    <w:p w14:paraId="60467686" w14:textId="5E112F8D" w:rsidR="00A24C79" w:rsidRPr="0050649F" w:rsidRDefault="00C97716" w:rsidP="00C97716">
      <w:pPr>
        <w:pStyle w:val="Elencoacolori-Colore11"/>
        <w:spacing w:line="360" w:lineRule="auto"/>
        <w:ind w:left="0"/>
        <w:jc w:val="both"/>
        <w:rPr>
          <w:rFonts w:ascii="Book Antiqua" w:hAnsi="Book Antiqua"/>
          <w:lang w:val="en-GB"/>
        </w:rPr>
      </w:pPr>
      <w:r w:rsidRPr="0050649F">
        <w:rPr>
          <w:rFonts w:ascii="Book Antiqua" w:hAnsi="Book Antiqua"/>
          <w:b/>
          <w:lang w:val="en-GB"/>
        </w:rPr>
        <w:lastRenderedPageBreak/>
        <w:t>INTRODUCTION</w:t>
      </w:r>
    </w:p>
    <w:p w14:paraId="0A3DEEFD" w14:textId="31021909" w:rsidR="00A24C79" w:rsidRPr="0050649F" w:rsidRDefault="00A24C79" w:rsidP="00C97716">
      <w:pPr>
        <w:spacing w:line="360" w:lineRule="auto"/>
        <w:jc w:val="both"/>
        <w:rPr>
          <w:rFonts w:ascii="Book Antiqua" w:hAnsi="Book Antiqua"/>
          <w:b/>
          <w:lang w:val="en-GB"/>
        </w:rPr>
      </w:pPr>
      <w:r w:rsidRPr="0050649F">
        <w:rPr>
          <w:rFonts w:ascii="Book Antiqua" w:hAnsi="Book Antiqua"/>
          <w:lang w:val="en-GB"/>
        </w:rPr>
        <w:t xml:space="preserve">Inflammatory </w:t>
      </w:r>
      <w:r w:rsidR="0050649F" w:rsidRPr="0050649F">
        <w:rPr>
          <w:rFonts w:ascii="Book Antiqua" w:hAnsi="Book Antiqua"/>
          <w:lang w:val="en-GB"/>
        </w:rPr>
        <w:t>bowel dise</w:t>
      </w:r>
      <w:r w:rsidRPr="0050649F">
        <w:rPr>
          <w:rFonts w:ascii="Book Antiqua" w:hAnsi="Book Antiqua"/>
          <w:lang w:val="en-GB"/>
        </w:rPr>
        <w:t xml:space="preserve">ases (IBD) are a group of diseases of growing importance in the Western world, due to the steady increase in terms of incidence and </w:t>
      </w:r>
      <w:proofErr w:type="gramStart"/>
      <w:r w:rsidRPr="0050649F">
        <w:rPr>
          <w:rFonts w:ascii="Book Antiqua" w:hAnsi="Book Antiqua"/>
          <w:lang w:val="en-GB"/>
        </w:rPr>
        <w:t>prevalence</w:t>
      </w:r>
      <w:r w:rsidRPr="0050649F">
        <w:rPr>
          <w:rFonts w:ascii="Book Antiqua" w:hAnsi="Book Antiqua"/>
          <w:vertAlign w:val="superscript"/>
          <w:lang w:val="en-GB"/>
        </w:rPr>
        <w:t>[</w:t>
      </w:r>
      <w:proofErr w:type="gramEnd"/>
      <w:r w:rsidRPr="0050649F">
        <w:rPr>
          <w:rFonts w:ascii="Book Antiqua" w:hAnsi="Book Antiqua"/>
          <w:vertAlign w:val="superscript"/>
          <w:lang w:val="en-GB"/>
        </w:rPr>
        <w:t>1]</w:t>
      </w:r>
      <w:r w:rsidRPr="0050649F">
        <w:rPr>
          <w:rFonts w:ascii="Book Antiqua" w:hAnsi="Book Antiqua"/>
          <w:lang w:val="en-GB"/>
        </w:rPr>
        <w:t xml:space="preserve">. </w:t>
      </w:r>
      <w:r w:rsidR="0050649F" w:rsidRPr="0050649F">
        <w:rPr>
          <w:rFonts w:ascii="Book Antiqua" w:hAnsi="Book Antiqua"/>
          <w:lang w:val="en-GB"/>
        </w:rPr>
        <w:t>IBD</w:t>
      </w:r>
      <w:r w:rsidRPr="0050649F">
        <w:rPr>
          <w:rFonts w:ascii="Book Antiqua" w:hAnsi="Book Antiqua"/>
          <w:lang w:val="en-GB"/>
        </w:rPr>
        <w:t xml:space="preserve"> are characterized by gut mucosal inflammation and a chronic relapsing </w:t>
      </w:r>
      <w:proofErr w:type="gramStart"/>
      <w:r w:rsidRPr="0050649F">
        <w:rPr>
          <w:rFonts w:ascii="Book Antiqua" w:hAnsi="Book Antiqua"/>
          <w:lang w:val="en-GB"/>
        </w:rPr>
        <w:t>behaviour</w:t>
      </w:r>
      <w:r w:rsidRPr="0050649F">
        <w:rPr>
          <w:rFonts w:ascii="Book Antiqua" w:hAnsi="Book Antiqua"/>
          <w:vertAlign w:val="superscript"/>
          <w:lang w:val="en-GB"/>
        </w:rPr>
        <w:t>[</w:t>
      </w:r>
      <w:proofErr w:type="gramEnd"/>
      <w:r w:rsidRPr="0050649F">
        <w:rPr>
          <w:rFonts w:ascii="Book Antiqua" w:hAnsi="Book Antiqua"/>
          <w:vertAlign w:val="superscript"/>
          <w:lang w:val="en-GB"/>
        </w:rPr>
        <w:t>2]</w:t>
      </w:r>
      <w:r w:rsidRPr="0050649F">
        <w:rPr>
          <w:rFonts w:ascii="Book Antiqua" w:hAnsi="Book Antiqua"/>
          <w:lang w:val="en-GB"/>
        </w:rPr>
        <w:t>, therefore, it is necessary to ensure a long-term therapeutic strategy for patients, avoiding surgery, and achieving a good level of quality of life</w:t>
      </w:r>
      <w:r w:rsidRPr="0050649F">
        <w:rPr>
          <w:rFonts w:ascii="Book Antiqua" w:hAnsi="Book Antiqua"/>
          <w:vertAlign w:val="superscript"/>
          <w:lang w:val="en-GB"/>
        </w:rPr>
        <w:t>[3]</w:t>
      </w:r>
      <w:r w:rsidRPr="0050649F">
        <w:rPr>
          <w:rFonts w:ascii="Book Antiqua" w:hAnsi="Book Antiqua"/>
          <w:lang w:val="en-GB"/>
        </w:rPr>
        <w:t>.</w:t>
      </w:r>
    </w:p>
    <w:p w14:paraId="05062081" w14:textId="556FA580" w:rsidR="00A24C79" w:rsidRPr="0050649F" w:rsidRDefault="00A24C79" w:rsidP="0050649F">
      <w:pPr>
        <w:spacing w:line="360" w:lineRule="auto"/>
        <w:ind w:firstLineChars="100" w:firstLine="240"/>
        <w:jc w:val="both"/>
        <w:rPr>
          <w:rFonts w:ascii="Book Antiqua" w:hAnsi="Book Antiqua"/>
          <w:lang w:val="en-GB"/>
        </w:rPr>
      </w:pPr>
      <w:r w:rsidRPr="0050649F">
        <w:rPr>
          <w:rFonts w:ascii="Book Antiqua" w:hAnsi="Book Antiqua"/>
          <w:lang w:val="en-GB"/>
        </w:rPr>
        <w:t xml:space="preserve">In the last few years, the goals of therapy have changed: thanks to the introduction of anti-TNFα drugs, in monotherapy or in combination with immunomodulators, there are higher rates of response, also in more complicated cases of both ulcerative colitis (UC) and Crohn’s </w:t>
      </w:r>
      <w:r w:rsidR="0050649F" w:rsidRPr="0050649F">
        <w:rPr>
          <w:rFonts w:ascii="Book Antiqua" w:hAnsi="Book Antiqua"/>
          <w:lang w:val="en-GB"/>
        </w:rPr>
        <w:t>d</w:t>
      </w:r>
      <w:r w:rsidRPr="0050649F">
        <w:rPr>
          <w:rFonts w:ascii="Book Antiqua" w:hAnsi="Book Antiqua"/>
          <w:lang w:val="en-GB"/>
        </w:rPr>
        <w:t>isease (CD). Thus, the target of therapy has become not only clinical remission but also mucosal healing</w:t>
      </w:r>
      <w:r w:rsidR="00C97716" w:rsidRPr="0050649F">
        <w:rPr>
          <w:rFonts w:ascii="Book Antiqua" w:eastAsia="宋体" w:hAnsi="Book Antiqua"/>
          <w:lang w:val="en-GB" w:eastAsia="zh-CN"/>
        </w:rPr>
        <w:t xml:space="preserve"> (</w:t>
      </w:r>
      <w:r w:rsidR="00C97716" w:rsidRPr="0050649F">
        <w:rPr>
          <w:rFonts w:ascii="Book Antiqua" w:hAnsi="Book Antiqua"/>
          <w:lang w:val="en-GB"/>
        </w:rPr>
        <w:t>MH</w:t>
      </w:r>
      <w:r w:rsidR="00C97716" w:rsidRPr="0050649F">
        <w:rPr>
          <w:rFonts w:ascii="Book Antiqua" w:eastAsia="宋体" w:hAnsi="Book Antiqua"/>
          <w:lang w:val="en-GB" w:eastAsia="zh-CN"/>
        </w:rPr>
        <w:t>)</w:t>
      </w:r>
      <w:r w:rsidRPr="0050649F">
        <w:rPr>
          <w:rFonts w:ascii="Book Antiqua" w:hAnsi="Book Antiqua"/>
          <w:lang w:val="en-GB"/>
        </w:rPr>
        <w:t xml:space="preserve">, </w:t>
      </w:r>
      <w:r w:rsidRPr="009628C9">
        <w:rPr>
          <w:rFonts w:ascii="Book Antiqua" w:hAnsi="Book Antiqua"/>
          <w:i/>
          <w:lang w:val="en-GB"/>
        </w:rPr>
        <w:t>i.e.</w:t>
      </w:r>
      <w:r w:rsidR="009628C9">
        <w:rPr>
          <w:rFonts w:ascii="Book Antiqua" w:eastAsia="宋体" w:hAnsi="Book Antiqua" w:hint="eastAsia"/>
          <w:lang w:val="en-GB" w:eastAsia="zh-CN"/>
        </w:rPr>
        <w:t>,</w:t>
      </w:r>
      <w:r w:rsidRPr="0050649F">
        <w:rPr>
          <w:rFonts w:ascii="Book Antiqua" w:hAnsi="Book Antiqua"/>
          <w:lang w:val="en-GB"/>
        </w:rPr>
        <w:t xml:space="preserve"> “deep remission”. According to available evidence, deep remission is associated with less flares, lower surgery rates and less </w:t>
      </w:r>
      <w:proofErr w:type="gramStart"/>
      <w:r w:rsidRPr="0050649F">
        <w:rPr>
          <w:rFonts w:ascii="Book Antiqua" w:hAnsi="Book Antiqua"/>
          <w:lang w:val="en-GB"/>
        </w:rPr>
        <w:t>hospitalizations</w:t>
      </w:r>
      <w:r w:rsidRPr="0050649F">
        <w:rPr>
          <w:rFonts w:ascii="Book Antiqua" w:hAnsi="Book Antiqua"/>
          <w:vertAlign w:val="superscript"/>
          <w:lang w:val="en-GB"/>
        </w:rPr>
        <w:t>[</w:t>
      </w:r>
      <w:proofErr w:type="gramEnd"/>
      <w:r w:rsidRPr="0050649F">
        <w:rPr>
          <w:rFonts w:ascii="Book Antiqua" w:hAnsi="Book Antiqua"/>
          <w:vertAlign w:val="superscript"/>
          <w:lang w:val="en-GB"/>
        </w:rPr>
        <w:t>4]</w:t>
      </w:r>
      <w:r w:rsidRPr="0050649F">
        <w:rPr>
          <w:rFonts w:ascii="Book Antiqua" w:hAnsi="Book Antiqua"/>
          <w:lang w:val="en-GB"/>
        </w:rPr>
        <w:t xml:space="preserve">. </w:t>
      </w:r>
    </w:p>
    <w:p w14:paraId="57199801" w14:textId="372CFD03" w:rsidR="00A24C79" w:rsidRPr="0050649F" w:rsidRDefault="00A24C79" w:rsidP="009628C9">
      <w:pPr>
        <w:spacing w:line="360" w:lineRule="auto"/>
        <w:ind w:firstLineChars="100" w:firstLine="240"/>
        <w:jc w:val="both"/>
        <w:rPr>
          <w:rFonts w:ascii="Book Antiqua" w:hAnsi="Book Antiqua"/>
          <w:lang w:val="en-GB"/>
        </w:rPr>
      </w:pPr>
      <w:r w:rsidRPr="0050649F">
        <w:rPr>
          <w:rFonts w:ascii="Book Antiqua" w:hAnsi="Book Antiqua"/>
          <w:lang w:val="en-GB"/>
        </w:rPr>
        <w:t xml:space="preserve">Although the role of these drugs in achieving clinical remission and </w:t>
      </w:r>
      <w:r w:rsidR="00C97716" w:rsidRPr="0050649F">
        <w:rPr>
          <w:rFonts w:ascii="Book Antiqua" w:hAnsi="Book Antiqua"/>
          <w:lang w:val="en-GB"/>
        </w:rPr>
        <w:t>MH</w:t>
      </w:r>
      <w:r w:rsidRPr="0050649F">
        <w:rPr>
          <w:rFonts w:ascii="Book Antiqua" w:hAnsi="Book Antiqua"/>
          <w:lang w:val="en-GB"/>
        </w:rPr>
        <w:t xml:space="preserve"> has been recognized, their prolonged use, above all when in combination with immunomodulators, exposes the patient to a higher risk of infection and adverse events</w:t>
      </w:r>
      <w:r w:rsidRPr="0050649F">
        <w:rPr>
          <w:rFonts w:ascii="Book Antiqua" w:hAnsi="Book Antiqua"/>
          <w:vertAlign w:val="superscript"/>
          <w:lang w:val="en-GB"/>
        </w:rPr>
        <w:t>[</w:t>
      </w:r>
      <w:r w:rsidRPr="0050649F">
        <w:rPr>
          <w:rStyle w:val="EndnoteReference"/>
          <w:rFonts w:ascii="Book Antiqua" w:hAnsi="Book Antiqua"/>
          <w:lang w:val="en-GB"/>
        </w:rPr>
        <w:t>5</w:t>
      </w:r>
      <w:r w:rsidRPr="0050649F">
        <w:rPr>
          <w:rFonts w:ascii="Book Antiqua" w:hAnsi="Book Antiqua"/>
          <w:vertAlign w:val="superscript"/>
          <w:lang w:val="en-GB"/>
        </w:rPr>
        <w:t>]</w:t>
      </w:r>
      <w:r w:rsidRPr="0050649F">
        <w:rPr>
          <w:rFonts w:ascii="Book Antiqua" w:hAnsi="Book Antiqua"/>
          <w:lang w:val="en-GB"/>
        </w:rPr>
        <w:t xml:space="preserve"> especially with increasing patient’s age or in the presence of comorbidities</w:t>
      </w:r>
      <w:r w:rsidRPr="0050649F">
        <w:rPr>
          <w:rFonts w:ascii="Book Antiqua" w:hAnsi="Book Antiqua"/>
          <w:vertAlign w:val="superscript"/>
          <w:lang w:val="en-GB"/>
        </w:rPr>
        <w:t>[</w:t>
      </w:r>
      <w:r w:rsidRPr="0050649F">
        <w:rPr>
          <w:rStyle w:val="EndnoteReference"/>
          <w:rFonts w:ascii="Book Antiqua" w:hAnsi="Book Antiqua"/>
          <w:lang w:val="en-GB"/>
        </w:rPr>
        <w:t>6</w:t>
      </w:r>
      <w:r w:rsidRPr="0050649F">
        <w:rPr>
          <w:rFonts w:ascii="Book Antiqua" w:hAnsi="Book Antiqua"/>
          <w:vertAlign w:val="superscript"/>
          <w:lang w:val="en-GB"/>
        </w:rPr>
        <w:t>]</w:t>
      </w:r>
      <w:r w:rsidRPr="0050649F">
        <w:rPr>
          <w:rFonts w:ascii="Book Antiqua" w:hAnsi="Book Antiqua"/>
          <w:lang w:val="en-GB"/>
        </w:rPr>
        <w:t xml:space="preserve">. Since IBD are lifelong diseases, it becomes important to spare years of immunosuppressive therapy for patients, whenever possible, without the risk of undertreatment, thus minimizing the risk of infection or </w:t>
      </w:r>
      <w:proofErr w:type="gramStart"/>
      <w:r w:rsidRPr="0050649F">
        <w:rPr>
          <w:rFonts w:ascii="Book Antiqua" w:hAnsi="Book Antiqua"/>
          <w:lang w:val="en-GB"/>
        </w:rPr>
        <w:t>malignancies</w:t>
      </w:r>
      <w:r w:rsidRPr="0050649F">
        <w:rPr>
          <w:rFonts w:ascii="Book Antiqua" w:hAnsi="Book Antiqua"/>
          <w:vertAlign w:val="superscript"/>
          <w:lang w:val="en-GB"/>
        </w:rPr>
        <w:t>[</w:t>
      </w:r>
      <w:proofErr w:type="gramEnd"/>
      <w:r w:rsidRPr="0050649F">
        <w:rPr>
          <w:rStyle w:val="EndnoteReference"/>
          <w:rFonts w:ascii="Book Antiqua" w:hAnsi="Book Antiqua"/>
          <w:lang w:val="en-GB"/>
        </w:rPr>
        <w:t>7</w:t>
      </w:r>
      <w:r w:rsidRPr="0050649F">
        <w:rPr>
          <w:rFonts w:ascii="Book Antiqua" w:hAnsi="Book Antiqua"/>
          <w:vertAlign w:val="superscript"/>
          <w:lang w:val="en-GB"/>
        </w:rPr>
        <w:t>]</w:t>
      </w:r>
      <w:r w:rsidRPr="0050649F">
        <w:rPr>
          <w:rFonts w:ascii="Book Antiqua" w:hAnsi="Book Antiqua"/>
          <w:lang w:val="en-GB"/>
        </w:rPr>
        <w:t xml:space="preserve">. While on the one hand, the importance of reaching endoscopic remission is now generally accepted, on the other hand, there are no clear indications in current guidelines regarding how long to continue immunosuppressive therapies after reaching </w:t>
      </w:r>
      <w:r w:rsidR="00C97716" w:rsidRPr="0050649F">
        <w:rPr>
          <w:rFonts w:ascii="Book Antiqua" w:hAnsi="Book Antiqua"/>
          <w:lang w:val="en-GB"/>
        </w:rPr>
        <w:t>MH</w:t>
      </w:r>
      <w:r w:rsidRPr="0050649F">
        <w:rPr>
          <w:rFonts w:ascii="Book Antiqua" w:hAnsi="Book Antiqua"/>
          <w:lang w:val="en-GB"/>
        </w:rPr>
        <w:t xml:space="preserve"> and, in the case of therapy reduction, which drugs to use as maintenance therapy</w:t>
      </w:r>
      <w:r w:rsidRPr="0050649F">
        <w:rPr>
          <w:rFonts w:ascii="Book Antiqua" w:hAnsi="Book Antiqua"/>
          <w:vertAlign w:val="superscript"/>
          <w:lang w:val="en-GB"/>
        </w:rPr>
        <w:t>[</w:t>
      </w:r>
      <w:r w:rsidRPr="0050649F">
        <w:rPr>
          <w:rStyle w:val="EndnoteReference"/>
          <w:rFonts w:ascii="Book Antiqua" w:hAnsi="Book Antiqua"/>
          <w:lang w:val="en-GB"/>
        </w:rPr>
        <w:t>8</w:t>
      </w:r>
      <w:r w:rsidRPr="0050649F">
        <w:rPr>
          <w:rFonts w:ascii="Book Antiqua" w:hAnsi="Book Antiqua"/>
          <w:vertAlign w:val="superscript"/>
          <w:lang w:val="en-GB"/>
        </w:rPr>
        <w:t>,</w:t>
      </w:r>
      <w:r w:rsidRPr="0050649F">
        <w:rPr>
          <w:rStyle w:val="EndnoteReference"/>
          <w:rFonts w:ascii="Book Antiqua" w:hAnsi="Book Antiqua"/>
          <w:lang w:val="en-GB"/>
        </w:rPr>
        <w:t>9</w:t>
      </w:r>
      <w:r w:rsidRPr="0050649F">
        <w:rPr>
          <w:rFonts w:ascii="Book Antiqua" w:hAnsi="Book Antiqua"/>
          <w:vertAlign w:val="superscript"/>
          <w:lang w:val="en-GB"/>
        </w:rPr>
        <w:t>]</w:t>
      </w:r>
      <w:r w:rsidRPr="0050649F">
        <w:rPr>
          <w:rFonts w:ascii="Book Antiqua" w:hAnsi="Book Antiqua"/>
          <w:lang w:val="en-GB"/>
        </w:rPr>
        <w:t xml:space="preserve">. </w:t>
      </w:r>
    </w:p>
    <w:p w14:paraId="0BE93F79" w14:textId="77777777" w:rsidR="00A24C79" w:rsidRPr="0050649F" w:rsidRDefault="00A24C79" w:rsidP="00C97716">
      <w:pPr>
        <w:spacing w:line="360" w:lineRule="auto"/>
        <w:jc w:val="both"/>
        <w:rPr>
          <w:rFonts w:ascii="Book Antiqua" w:hAnsi="Book Antiqua"/>
          <w:b/>
          <w:lang w:val="en-GB"/>
        </w:rPr>
      </w:pPr>
    </w:p>
    <w:p w14:paraId="0E34C805" w14:textId="078718CF" w:rsidR="00A24C79" w:rsidRPr="0050649F" w:rsidRDefault="009628C9" w:rsidP="00C97716">
      <w:pPr>
        <w:spacing w:line="360" w:lineRule="auto"/>
        <w:jc w:val="both"/>
        <w:rPr>
          <w:rFonts w:ascii="Book Antiqua" w:hAnsi="Book Antiqua"/>
          <w:b/>
          <w:lang w:val="en-GB"/>
        </w:rPr>
      </w:pPr>
      <w:r w:rsidRPr="0050649F">
        <w:rPr>
          <w:rFonts w:ascii="Book Antiqua" w:hAnsi="Book Antiqua"/>
          <w:b/>
          <w:lang w:val="en-GB"/>
        </w:rPr>
        <w:t xml:space="preserve">ENDOSCOPIC SCORES AND DEFINITION OF </w:t>
      </w:r>
      <w:r w:rsidRPr="0050649F">
        <w:rPr>
          <w:rFonts w:ascii="Book Antiqua" w:hAnsi="Book Antiqua"/>
          <w:lang w:val="en-GB"/>
        </w:rPr>
        <w:t>MH</w:t>
      </w:r>
    </w:p>
    <w:p w14:paraId="19EA3119" w14:textId="1CCFA64C" w:rsidR="00A24C79" w:rsidRPr="0050649F" w:rsidRDefault="00A24C79" w:rsidP="00C97716">
      <w:pPr>
        <w:spacing w:line="360" w:lineRule="auto"/>
        <w:jc w:val="both"/>
        <w:rPr>
          <w:rFonts w:ascii="Book Antiqua" w:hAnsi="Book Antiqua"/>
          <w:lang w:val="en-GB"/>
        </w:rPr>
      </w:pPr>
      <w:r w:rsidRPr="0050649F">
        <w:rPr>
          <w:rFonts w:ascii="Book Antiqua" w:hAnsi="Book Antiqua"/>
          <w:lang w:val="en-GB"/>
        </w:rPr>
        <w:t>Several endoscopic scores are available to assess disease activity in UC and CD. For CD, the first endoscopic score was Crohn’s Disease Endoscopic Index of Severity (CDEIS), a score based on the evaluation of</w:t>
      </w:r>
      <w:r w:rsidR="009628C9">
        <w:rPr>
          <w:rFonts w:ascii="Book Antiqua" w:eastAsia="宋体" w:hAnsi="Book Antiqua" w:hint="eastAsia"/>
          <w:lang w:val="en-GB" w:eastAsia="zh-CN"/>
        </w:rPr>
        <w:t>:</w:t>
      </w:r>
      <w:r w:rsidRPr="0050649F">
        <w:rPr>
          <w:rFonts w:ascii="Book Antiqua" w:hAnsi="Book Antiqua"/>
          <w:lang w:val="en-GB"/>
        </w:rPr>
        <w:t xml:space="preserve"> </w:t>
      </w:r>
      <w:r w:rsidR="009628C9">
        <w:rPr>
          <w:rFonts w:ascii="Book Antiqua" w:eastAsia="宋体" w:hAnsi="Book Antiqua" w:hint="eastAsia"/>
          <w:lang w:val="en-GB" w:eastAsia="zh-CN"/>
        </w:rPr>
        <w:t>(1</w:t>
      </w:r>
      <w:r w:rsidRPr="0050649F">
        <w:rPr>
          <w:rFonts w:ascii="Book Antiqua" w:hAnsi="Book Antiqua"/>
          <w:lang w:val="en-GB"/>
        </w:rPr>
        <w:t>) presence and absence of ulcers (superficial or deep)</w:t>
      </w:r>
      <w:r w:rsidR="009628C9">
        <w:rPr>
          <w:rFonts w:ascii="Book Antiqua" w:eastAsia="宋体" w:hAnsi="Book Antiqua" w:hint="eastAsia"/>
          <w:lang w:val="en-GB" w:eastAsia="zh-CN"/>
        </w:rPr>
        <w:t>;</w:t>
      </w:r>
      <w:r w:rsidRPr="0050649F">
        <w:rPr>
          <w:rFonts w:ascii="Book Antiqua" w:hAnsi="Book Antiqua"/>
          <w:lang w:val="en-GB"/>
        </w:rPr>
        <w:t xml:space="preserve"> </w:t>
      </w:r>
      <w:r w:rsidR="009628C9">
        <w:rPr>
          <w:rFonts w:ascii="Book Antiqua" w:eastAsia="宋体" w:hAnsi="Book Antiqua" w:hint="eastAsia"/>
          <w:lang w:val="en-GB" w:eastAsia="zh-CN"/>
        </w:rPr>
        <w:t>(2</w:t>
      </w:r>
      <w:r w:rsidRPr="0050649F">
        <w:rPr>
          <w:rFonts w:ascii="Book Antiqua" w:hAnsi="Book Antiqua"/>
          <w:lang w:val="en-GB"/>
        </w:rPr>
        <w:t>) presence or absence of stenosis (ulcerated or non ulcerated)</w:t>
      </w:r>
      <w:r w:rsidR="009628C9">
        <w:rPr>
          <w:rFonts w:ascii="Book Antiqua" w:eastAsia="宋体" w:hAnsi="Book Antiqua" w:hint="eastAsia"/>
          <w:lang w:val="en-GB" w:eastAsia="zh-CN"/>
        </w:rPr>
        <w:t>;</w:t>
      </w:r>
      <w:r w:rsidRPr="0050649F">
        <w:rPr>
          <w:rFonts w:ascii="Book Antiqua" w:hAnsi="Book Antiqua"/>
          <w:lang w:val="en-GB"/>
        </w:rPr>
        <w:t xml:space="preserve"> and </w:t>
      </w:r>
      <w:r w:rsidR="009628C9">
        <w:rPr>
          <w:rFonts w:ascii="Book Antiqua" w:eastAsia="宋体" w:hAnsi="Book Antiqua" w:hint="eastAsia"/>
          <w:lang w:val="en-GB" w:eastAsia="zh-CN"/>
        </w:rPr>
        <w:t>(3</w:t>
      </w:r>
      <w:r w:rsidRPr="0050649F">
        <w:rPr>
          <w:rFonts w:ascii="Book Antiqua" w:hAnsi="Book Antiqua"/>
          <w:lang w:val="en-GB"/>
        </w:rPr>
        <w:t>) measurement of the surface extension of disease activity, evaluating five intestinal segments (terminal ileum, right, transverse, and left colon and rectum) with a final numerical rating between 0 and 44</w:t>
      </w:r>
      <w:r w:rsidRPr="0050649F">
        <w:rPr>
          <w:rFonts w:ascii="Book Antiqua" w:hAnsi="Book Antiqua"/>
          <w:vertAlign w:val="superscript"/>
          <w:lang w:val="en-GB"/>
        </w:rPr>
        <w:t>[</w:t>
      </w:r>
      <w:r w:rsidRPr="0050649F">
        <w:rPr>
          <w:rStyle w:val="EndnoteReference"/>
          <w:rFonts w:ascii="Book Antiqua" w:hAnsi="Book Antiqua"/>
          <w:lang w:val="en-GB"/>
        </w:rPr>
        <w:t>10</w:t>
      </w:r>
      <w:r w:rsidRPr="0050649F">
        <w:rPr>
          <w:rFonts w:ascii="Book Antiqua" w:hAnsi="Book Antiqua"/>
          <w:vertAlign w:val="superscript"/>
          <w:lang w:val="en-GB"/>
        </w:rPr>
        <w:t>]</w:t>
      </w:r>
      <w:r w:rsidRPr="0050649F">
        <w:rPr>
          <w:rFonts w:ascii="Book Antiqua" w:hAnsi="Book Antiqua"/>
          <w:lang w:val="en-GB"/>
        </w:rPr>
        <w:t xml:space="preserve">. The newer Simple Endoscopic Score-CD (SES-CD) was created subsequently by </w:t>
      </w:r>
      <w:r w:rsidRPr="0050649F">
        <w:rPr>
          <w:rFonts w:ascii="Book Antiqua" w:hAnsi="Book Antiqua"/>
          <w:lang w:val="en-GB"/>
        </w:rPr>
        <w:lastRenderedPageBreak/>
        <w:t xml:space="preserve">Daperno </w:t>
      </w:r>
      <w:r w:rsidRPr="00624143">
        <w:rPr>
          <w:rFonts w:ascii="Book Antiqua" w:hAnsi="Book Antiqua"/>
          <w:i/>
          <w:lang w:val="en-GB"/>
        </w:rPr>
        <w:t>et al</w:t>
      </w:r>
      <w:r w:rsidR="00624143" w:rsidRPr="0050649F">
        <w:rPr>
          <w:rFonts w:ascii="Book Antiqua" w:hAnsi="Book Antiqua"/>
          <w:vertAlign w:val="superscript"/>
          <w:lang w:val="en-GB"/>
        </w:rPr>
        <w:t>[</w:t>
      </w:r>
      <w:r w:rsidR="00624143" w:rsidRPr="0050649F">
        <w:rPr>
          <w:rStyle w:val="EndnoteReference"/>
          <w:rFonts w:ascii="Book Antiqua" w:hAnsi="Book Antiqua"/>
          <w:lang w:val="en-GB"/>
        </w:rPr>
        <w:t>11</w:t>
      </w:r>
      <w:r w:rsidR="00624143" w:rsidRPr="0050649F">
        <w:rPr>
          <w:rFonts w:ascii="Book Antiqua" w:hAnsi="Book Antiqua"/>
          <w:vertAlign w:val="superscript"/>
          <w:lang w:val="en-GB"/>
        </w:rPr>
        <w:t>]</w:t>
      </w:r>
      <w:r w:rsidRPr="0050649F">
        <w:rPr>
          <w:rFonts w:ascii="Book Antiqua" w:hAnsi="Book Antiqua"/>
          <w:lang w:val="en-GB"/>
        </w:rPr>
        <w:t>; this score is obtained by evaluating</w:t>
      </w:r>
      <w:r w:rsidR="009628C9">
        <w:rPr>
          <w:rFonts w:ascii="Book Antiqua" w:eastAsia="宋体" w:hAnsi="Book Antiqua" w:hint="eastAsia"/>
          <w:lang w:val="en-GB" w:eastAsia="zh-CN"/>
        </w:rPr>
        <w:t>:</w:t>
      </w:r>
      <w:r w:rsidRPr="0050649F">
        <w:rPr>
          <w:rFonts w:ascii="Book Antiqua" w:hAnsi="Book Antiqua"/>
          <w:lang w:val="en-GB"/>
        </w:rPr>
        <w:t xml:space="preserve">  </w:t>
      </w:r>
      <w:r w:rsidR="00624143">
        <w:rPr>
          <w:rFonts w:ascii="Book Antiqua" w:eastAsia="宋体" w:hAnsi="Book Antiqua" w:hint="eastAsia"/>
          <w:lang w:val="en-GB" w:eastAsia="zh-CN"/>
        </w:rPr>
        <w:t>(1</w:t>
      </w:r>
      <w:r w:rsidRPr="0050649F">
        <w:rPr>
          <w:rFonts w:ascii="Book Antiqua" w:hAnsi="Book Antiqua"/>
          <w:lang w:val="en-GB"/>
        </w:rPr>
        <w:t>) the surface affected by ulcers</w:t>
      </w:r>
      <w:r w:rsidR="00624143">
        <w:rPr>
          <w:rFonts w:ascii="Book Antiqua" w:eastAsia="宋体" w:hAnsi="Book Antiqua" w:hint="eastAsia"/>
          <w:lang w:val="en-GB" w:eastAsia="zh-CN"/>
        </w:rPr>
        <w:t>;</w:t>
      </w:r>
      <w:r w:rsidRPr="0050649F">
        <w:rPr>
          <w:rFonts w:ascii="Book Antiqua" w:hAnsi="Book Antiqua"/>
          <w:lang w:val="en-GB"/>
        </w:rPr>
        <w:t xml:space="preserve"> </w:t>
      </w:r>
      <w:r w:rsidR="00624143">
        <w:rPr>
          <w:rFonts w:ascii="Book Antiqua" w:eastAsia="宋体" w:hAnsi="Book Antiqua" w:hint="eastAsia"/>
          <w:lang w:val="en-GB" w:eastAsia="zh-CN"/>
        </w:rPr>
        <w:t>(2</w:t>
      </w:r>
      <w:r w:rsidRPr="0050649F">
        <w:rPr>
          <w:rFonts w:ascii="Book Antiqua" w:hAnsi="Book Antiqua"/>
          <w:lang w:val="en-GB"/>
        </w:rPr>
        <w:t>) the surface affected by other lesions</w:t>
      </w:r>
      <w:r w:rsidR="00624143">
        <w:rPr>
          <w:rFonts w:ascii="Book Antiqua" w:eastAsia="宋体" w:hAnsi="Book Antiqua" w:hint="eastAsia"/>
          <w:lang w:val="en-GB" w:eastAsia="zh-CN"/>
        </w:rPr>
        <w:t>;</w:t>
      </w:r>
      <w:r w:rsidRPr="0050649F">
        <w:rPr>
          <w:rFonts w:ascii="Book Antiqua" w:hAnsi="Book Antiqua"/>
          <w:lang w:val="en-GB"/>
        </w:rPr>
        <w:t xml:space="preserve"> </w:t>
      </w:r>
      <w:r w:rsidR="00624143">
        <w:rPr>
          <w:rFonts w:ascii="Book Antiqua" w:eastAsia="宋体" w:hAnsi="Book Antiqua" w:hint="eastAsia"/>
          <w:lang w:val="en-GB" w:eastAsia="zh-CN"/>
        </w:rPr>
        <w:t>(3</w:t>
      </w:r>
      <w:r w:rsidRPr="0050649F">
        <w:rPr>
          <w:rFonts w:ascii="Book Antiqua" w:hAnsi="Book Antiqua"/>
          <w:lang w:val="en-GB"/>
        </w:rPr>
        <w:t>) the presence of ulcers</w:t>
      </w:r>
      <w:r w:rsidR="00624143">
        <w:rPr>
          <w:rFonts w:ascii="Book Antiqua" w:eastAsia="宋体" w:hAnsi="Book Antiqua" w:hint="eastAsia"/>
          <w:lang w:val="en-GB" w:eastAsia="zh-CN"/>
        </w:rPr>
        <w:t>;</w:t>
      </w:r>
      <w:r w:rsidRPr="0050649F">
        <w:rPr>
          <w:rFonts w:ascii="Book Antiqua" w:hAnsi="Book Antiqua"/>
          <w:lang w:val="en-GB"/>
        </w:rPr>
        <w:t xml:space="preserve"> and </w:t>
      </w:r>
      <w:r w:rsidR="00624143">
        <w:rPr>
          <w:rFonts w:ascii="Book Antiqua" w:eastAsia="宋体" w:hAnsi="Book Antiqua" w:hint="eastAsia"/>
          <w:lang w:val="en-GB" w:eastAsia="zh-CN"/>
        </w:rPr>
        <w:t>(4</w:t>
      </w:r>
      <w:r w:rsidRPr="0050649F">
        <w:rPr>
          <w:rFonts w:ascii="Book Antiqua" w:hAnsi="Book Antiqua"/>
          <w:lang w:val="en-GB"/>
        </w:rPr>
        <w:t>) the presence of narrowing in five gut segments (terminal ileum, right colon, transverse, left colon and rectum). Each variable can be quantified with a score from 0 to 3, reaching a final score between 0 and 60. Finally, for the assessment of recurrence of disease after resec</w:t>
      </w:r>
      <w:bookmarkStart w:id="4" w:name="_GoBack"/>
      <w:bookmarkEnd w:id="4"/>
      <w:r w:rsidRPr="0050649F">
        <w:rPr>
          <w:rFonts w:ascii="Book Antiqua" w:hAnsi="Book Antiqua"/>
          <w:lang w:val="en-GB"/>
        </w:rPr>
        <w:t>tive surgery, the Rutgeerts score is used; this score is based on a rating between 0 and 4; i0: no recurrence, i1: &lt;</w:t>
      </w:r>
      <w:r w:rsidR="00624143">
        <w:rPr>
          <w:rFonts w:ascii="Book Antiqua" w:eastAsia="宋体" w:hAnsi="Book Antiqua" w:hint="eastAsia"/>
          <w:lang w:val="en-GB" w:eastAsia="zh-CN"/>
        </w:rPr>
        <w:t xml:space="preserve"> </w:t>
      </w:r>
      <w:r w:rsidRPr="0050649F">
        <w:rPr>
          <w:rFonts w:ascii="Book Antiqua" w:hAnsi="Book Antiqua"/>
          <w:lang w:val="en-GB"/>
        </w:rPr>
        <w:t>5 aphtous lesions, i2: &gt;</w:t>
      </w:r>
      <w:r w:rsidR="00624143">
        <w:rPr>
          <w:rFonts w:ascii="Book Antiqua" w:eastAsia="宋体" w:hAnsi="Book Antiqua" w:hint="eastAsia"/>
          <w:lang w:val="en-GB" w:eastAsia="zh-CN"/>
        </w:rPr>
        <w:t xml:space="preserve"> </w:t>
      </w:r>
      <w:r w:rsidRPr="0050649F">
        <w:rPr>
          <w:rFonts w:ascii="Book Antiqua" w:hAnsi="Book Antiqua"/>
          <w:lang w:val="en-GB"/>
        </w:rPr>
        <w:t xml:space="preserve">5 severe aphtous lesions, i3: diffuse inflammation with diffuse ulcers, i4: nodules and/or </w:t>
      </w:r>
      <w:proofErr w:type="gramStart"/>
      <w:r w:rsidRPr="0050649F">
        <w:rPr>
          <w:rFonts w:ascii="Book Antiqua" w:hAnsi="Book Antiqua"/>
          <w:lang w:val="en-GB"/>
        </w:rPr>
        <w:t>narrowing</w:t>
      </w:r>
      <w:r w:rsidRPr="0050649F">
        <w:rPr>
          <w:rFonts w:ascii="Book Antiqua" w:hAnsi="Book Antiqua"/>
          <w:vertAlign w:val="superscript"/>
          <w:lang w:val="en-GB"/>
        </w:rPr>
        <w:t>[</w:t>
      </w:r>
      <w:proofErr w:type="gramEnd"/>
      <w:r w:rsidRPr="0050649F">
        <w:rPr>
          <w:rStyle w:val="EndnoteReference"/>
          <w:rFonts w:ascii="Book Antiqua" w:hAnsi="Book Antiqua"/>
          <w:lang w:val="en-GB"/>
        </w:rPr>
        <w:t>12</w:t>
      </w:r>
      <w:r w:rsidRPr="0050649F">
        <w:rPr>
          <w:rFonts w:ascii="Book Antiqua" w:hAnsi="Book Antiqua"/>
          <w:vertAlign w:val="superscript"/>
          <w:lang w:val="en-GB"/>
        </w:rPr>
        <w:t>]</w:t>
      </w:r>
      <w:r w:rsidRPr="0050649F">
        <w:rPr>
          <w:rFonts w:ascii="Book Antiqua" w:hAnsi="Book Antiqua"/>
          <w:lang w:val="en-GB"/>
        </w:rPr>
        <w:t xml:space="preserve">.   </w:t>
      </w:r>
    </w:p>
    <w:p w14:paraId="486A5849" w14:textId="77777777" w:rsidR="00A24C79" w:rsidRPr="0050649F" w:rsidRDefault="00A24C79" w:rsidP="00624143">
      <w:pPr>
        <w:spacing w:line="360" w:lineRule="auto"/>
        <w:ind w:firstLineChars="100" w:firstLine="240"/>
        <w:jc w:val="both"/>
        <w:rPr>
          <w:rFonts w:ascii="Book Antiqua" w:hAnsi="Book Antiqua"/>
          <w:lang w:val="en-GB"/>
        </w:rPr>
      </w:pPr>
      <w:r w:rsidRPr="0050649F">
        <w:rPr>
          <w:rFonts w:ascii="Book Antiqua" w:hAnsi="Book Antiqua"/>
          <w:lang w:val="en-GB"/>
        </w:rPr>
        <w:t xml:space="preserve">In UC, several scores have been proposed; the Truelove and Witts score evaluated just hyperemia and </w:t>
      </w:r>
      <w:proofErr w:type="gramStart"/>
      <w:r w:rsidRPr="0050649F">
        <w:rPr>
          <w:rFonts w:ascii="Book Antiqua" w:hAnsi="Book Antiqua"/>
          <w:lang w:val="en-GB"/>
        </w:rPr>
        <w:t>granularity</w:t>
      </w:r>
      <w:r w:rsidRPr="0050649F">
        <w:rPr>
          <w:rFonts w:ascii="Book Antiqua" w:hAnsi="Book Antiqua"/>
          <w:vertAlign w:val="superscript"/>
          <w:lang w:val="en-GB"/>
        </w:rPr>
        <w:t>[</w:t>
      </w:r>
      <w:proofErr w:type="gramEnd"/>
      <w:r w:rsidRPr="0050649F">
        <w:rPr>
          <w:rStyle w:val="EndnoteReference"/>
          <w:rFonts w:ascii="Book Antiqua" w:hAnsi="Book Antiqua"/>
          <w:lang w:val="en-GB"/>
        </w:rPr>
        <w:t>13</w:t>
      </w:r>
      <w:r w:rsidRPr="0050649F">
        <w:rPr>
          <w:rFonts w:ascii="Book Antiqua" w:hAnsi="Book Antiqua"/>
          <w:vertAlign w:val="superscript"/>
          <w:lang w:val="en-GB"/>
        </w:rPr>
        <w:t>]</w:t>
      </w:r>
      <w:r w:rsidRPr="0050649F">
        <w:rPr>
          <w:rFonts w:ascii="Book Antiqua" w:hAnsi="Book Antiqua"/>
          <w:lang w:val="en-GB"/>
        </w:rPr>
        <w:t xml:space="preserve">. Subsequently, the Baron score, based on bleeding and friability, with a range from 0 to 4, was </w:t>
      </w:r>
      <w:proofErr w:type="gramStart"/>
      <w:r w:rsidRPr="0050649F">
        <w:rPr>
          <w:rFonts w:ascii="Book Antiqua" w:hAnsi="Book Antiqua"/>
          <w:lang w:val="en-GB"/>
        </w:rPr>
        <w:t>developed</w:t>
      </w:r>
      <w:r w:rsidRPr="0050649F">
        <w:rPr>
          <w:rFonts w:ascii="Book Antiqua" w:hAnsi="Book Antiqua"/>
          <w:vertAlign w:val="superscript"/>
          <w:lang w:val="en-GB"/>
        </w:rPr>
        <w:t>[</w:t>
      </w:r>
      <w:proofErr w:type="gramEnd"/>
      <w:r w:rsidRPr="0050649F">
        <w:rPr>
          <w:rStyle w:val="EndnoteReference"/>
          <w:rFonts w:ascii="Book Antiqua" w:hAnsi="Book Antiqua"/>
          <w:lang w:val="en-GB"/>
        </w:rPr>
        <w:t>14</w:t>
      </w:r>
      <w:r w:rsidRPr="0050649F">
        <w:rPr>
          <w:rFonts w:ascii="Book Antiqua" w:hAnsi="Book Antiqua"/>
          <w:vertAlign w:val="superscript"/>
          <w:lang w:val="en-GB"/>
        </w:rPr>
        <w:t>]</w:t>
      </w:r>
      <w:r w:rsidRPr="0050649F">
        <w:rPr>
          <w:rFonts w:ascii="Book Antiqua" w:hAnsi="Book Antiqua"/>
          <w:lang w:val="en-GB"/>
        </w:rPr>
        <w:t xml:space="preserve">. The Sutherland score and the Powell-Tuck score are both sigmoidoscopic scores and consider only bleeding </w:t>
      </w:r>
      <w:proofErr w:type="gramStart"/>
      <w:r w:rsidRPr="0050649F">
        <w:rPr>
          <w:rFonts w:ascii="Book Antiqua" w:hAnsi="Book Antiqua"/>
          <w:lang w:val="en-GB"/>
        </w:rPr>
        <w:t>features</w:t>
      </w:r>
      <w:r w:rsidRPr="0050649F">
        <w:rPr>
          <w:rFonts w:ascii="Book Antiqua" w:hAnsi="Book Antiqua"/>
          <w:vertAlign w:val="superscript"/>
          <w:lang w:val="en-GB"/>
        </w:rPr>
        <w:t>[</w:t>
      </w:r>
      <w:proofErr w:type="gramEnd"/>
      <w:r w:rsidRPr="0050649F">
        <w:rPr>
          <w:rStyle w:val="EndnoteReference"/>
          <w:rFonts w:ascii="Book Antiqua" w:hAnsi="Book Antiqua"/>
          <w:lang w:val="en-GB"/>
        </w:rPr>
        <w:t>15</w:t>
      </w:r>
      <w:r w:rsidRPr="0050649F">
        <w:rPr>
          <w:rFonts w:ascii="Book Antiqua" w:hAnsi="Book Antiqua"/>
          <w:vertAlign w:val="superscript"/>
          <w:lang w:val="en-GB"/>
        </w:rPr>
        <w:t>,16]</w:t>
      </w:r>
      <w:r w:rsidRPr="0050649F">
        <w:rPr>
          <w:rFonts w:ascii="Book Antiqua" w:hAnsi="Book Antiqua"/>
          <w:lang w:val="en-GB"/>
        </w:rPr>
        <w:t xml:space="preserve">. The first score to assess not only bleeding and hyperaemia but also ulcers, granularity and erosions was the Rachmilewitz Endoscopic score, based on the evaluation of bleeding (by contact or spontaneous), mucosal disease (ulcers, erosions and presence of mucus), granularity and vascular </w:t>
      </w:r>
      <w:proofErr w:type="gramStart"/>
      <w:r w:rsidRPr="0050649F">
        <w:rPr>
          <w:rFonts w:ascii="Book Antiqua" w:hAnsi="Book Antiqua"/>
          <w:lang w:val="en-GB"/>
        </w:rPr>
        <w:t>pattern</w:t>
      </w:r>
      <w:r w:rsidRPr="0050649F">
        <w:rPr>
          <w:rFonts w:ascii="Book Antiqua" w:hAnsi="Book Antiqua"/>
          <w:vertAlign w:val="superscript"/>
          <w:lang w:val="en-GB"/>
        </w:rPr>
        <w:t>[</w:t>
      </w:r>
      <w:proofErr w:type="gramEnd"/>
      <w:r w:rsidRPr="0050649F">
        <w:rPr>
          <w:rFonts w:ascii="Book Antiqua" w:hAnsi="Book Antiqua"/>
          <w:vertAlign w:val="superscript"/>
          <w:lang w:val="en-GB"/>
        </w:rPr>
        <w:t>17]</w:t>
      </w:r>
      <w:r w:rsidRPr="0050649F">
        <w:rPr>
          <w:rFonts w:ascii="Book Antiqua" w:hAnsi="Book Antiqua"/>
          <w:lang w:val="en-GB"/>
        </w:rPr>
        <w:t>.  Severity is assessed with a range from 0 to 12.</w:t>
      </w:r>
    </w:p>
    <w:p w14:paraId="32C9B7F2" w14:textId="6C69F7EC" w:rsidR="00A24C79" w:rsidRPr="0050649F" w:rsidRDefault="00A24C79" w:rsidP="00C97716">
      <w:pPr>
        <w:spacing w:line="360" w:lineRule="auto"/>
        <w:jc w:val="both"/>
        <w:rPr>
          <w:rFonts w:ascii="Book Antiqua" w:hAnsi="Book Antiqua"/>
          <w:vertAlign w:val="superscript"/>
          <w:lang w:val="en-GB"/>
        </w:rPr>
      </w:pPr>
      <w:r w:rsidRPr="0050649F">
        <w:rPr>
          <w:rFonts w:ascii="Book Antiqua" w:hAnsi="Book Antiqua"/>
          <w:lang w:val="en-GB"/>
        </w:rPr>
        <w:t xml:space="preserve">The Mayo score is currently the most used score to evaluate clinical activity in UC, and consists of four subscores: </w:t>
      </w:r>
      <w:r w:rsidR="0091685C">
        <w:rPr>
          <w:rFonts w:ascii="Book Antiqua" w:eastAsia="宋体" w:hAnsi="Book Antiqua" w:hint="eastAsia"/>
          <w:lang w:val="en-GB" w:eastAsia="zh-CN"/>
        </w:rPr>
        <w:t>(1</w:t>
      </w:r>
      <w:r w:rsidRPr="0050649F">
        <w:rPr>
          <w:rFonts w:ascii="Book Antiqua" w:hAnsi="Book Antiqua"/>
          <w:lang w:val="en-GB"/>
        </w:rPr>
        <w:t>) stool frequency</w:t>
      </w:r>
      <w:r w:rsidR="0091685C">
        <w:rPr>
          <w:rFonts w:ascii="Book Antiqua" w:eastAsia="宋体" w:hAnsi="Book Antiqua" w:hint="eastAsia"/>
          <w:lang w:val="en-GB" w:eastAsia="zh-CN"/>
        </w:rPr>
        <w:t>;</w:t>
      </w:r>
      <w:r w:rsidRPr="0050649F">
        <w:rPr>
          <w:rFonts w:ascii="Book Antiqua" w:hAnsi="Book Antiqua"/>
          <w:lang w:val="en-GB"/>
        </w:rPr>
        <w:t xml:space="preserve"> </w:t>
      </w:r>
      <w:r w:rsidR="0091685C">
        <w:rPr>
          <w:rFonts w:ascii="Book Antiqua" w:eastAsia="宋体" w:hAnsi="Book Antiqua" w:hint="eastAsia"/>
          <w:lang w:val="en-GB" w:eastAsia="zh-CN"/>
        </w:rPr>
        <w:t>(2</w:t>
      </w:r>
      <w:r w:rsidRPr="0050649F">
        <w:rPr>
          <w:rFonts w:ascii="Book Antiqua" w:hAnsi="Book Antiqua"/>
          <w:lang w:val="en-GB"/>
        </w:rPr>
        <w:t>) rectal bleeding</w:t>
      </w:r>
      <w:r w:rsidR="0091685C">
        <w:rPr>
          <w:rFonts w:ascii="Book Antiqua" w:eastAsia="宋体" w:hAnsi="Book Antiqua" w:hint="eastAsia"/>
          <w:lang w:val="en-GB" w:eastAsia="zh-CN"/>
        </w:rPr>
        <w:t>;</w:t>
      </w:r>
      <w:r w:rsidRPr="0050649F">
        <w:rPr>
          <w:rFonts w:ascii="Book Antiqua" w:hAnsi="Book Antiqua"/>
          <w:lang w:val="en-GB"/>
        </w:rPr>
        <w:t xml:space="preserve"> </w:t>
      </w:r>
      <w:r w:rsidR="0091685C">
        <w:rPr>
          <w:rFonts w:ascii="Book Antiqua" w:eastAsia="宋体" w:hAnsi="Book Antiqua" w:hint="eastAsia"/>
          <w:lang w:val="en-GB" w:eastAsia="zh-CN"/>
        </w:rPr>
        <w:t>(3</w:t>
      </w:r>
      <w:r w:rsidRPr="0050649F">
        <w:rPr>
          <w:rFonts w:ascii="Book Antiqua" w:hAnsi="Book Antiqua"/>
          <w:lang w:val="en-GB"/>
        </w:rPr>
        <w:t>) endoscopic findings</w:t>
      </w:r>
      <w:r w:rsidR="0091685C">
        <w:rPr>
          <w:rFonts w:ascii="Book Antiqua" w:eastAsia="宋体" w:hAnsi="Book Antiqua" w:hint="eastAsia"/>
          <w:lang w:val="en-GB" w:eastAsia="zh-CN"/>
        </w:rPr>
        <w:t>;</w:t>
      </w:r>
      <w:r w:rsidRPr="0050649F">
        <w:rPr>
          <w:rFonts w:ascii="Book Antiqua" w:hAnsi="Book Antiqua"/>
          <w:lang w:val="en-GB"/>
        </w:rPr>
        <w:t xml:space="preserve"> and </w:t>
      </w:r>
      <w:r w:rsidR="0091685C">
        <w:rPr>
          <w:rFonts w:ascii="Book Antiqua" w:eastAsia="宋体" w:hAnsi="Book Antiqua" w:hint="eastAsia"/>
          <w:lang w:val="en-GB" w:eastAsia="zh-CN"/>
        </w:rPr>
        <w:t>(4</w:t>
      </w:r>
      <w:r w:rsidRPr="0050649F">
        <w:rPr>
          <w:rFonts w:ascii="Book Antiqua" w:hAnsi="Book Antiqua"/>
          <w:lang w:val="en-GB"/>
        </w:rPr>
        <w:t>) physician’s global assessment. Each one of these subscores ranges from 0 to 3, arriving at a final score between 0 and 12 (≤</w:t>
      </w:r>
      <w:r w:rsidR="0091685C">
        <w:rPr>
          <w:rFonts w:ascii="Book Antiqua" w:eastAsia="宋体" w:hAnsi="Book Antiqua" w:hint="eastAsia"/>
          <w:lang w:val="en-GB" w:eastAsia="zh-CN"/>
        </w:rPr>
        <w:t xml:space="preserve"> </w:t>
      </w:r>
      <w:r w:rsidRPr="0050649F">
        <w:rPr>
          <w:rFonts w:ascii="Book Antiqua" w:hAnsi="Book Antiqua"/>
          <w:lang w:val="en-GB"/>
        </w:rPr>
        <w:t>2 remission, 3-5 mild disease, 6-10 moderate disease, 11-12 severe disease)</w:t>
      </w:r>
      <w:r w:rsidRPr="0050649F">
        <w:rPr>
          <w:rFonts w:ascii="Book Antiqua" w:hAnsi="Book Antiqua"/>
          <w:vertAlign w:val="superscript"/>
          <w:lang w:val="en-GB"/>
        </w:rPr>
        <w:t>[18]</w:t>
      </w:r>
      <w:r w:rsidRPr="0050649F">
        <w:rPr>
          <w:rFonts w:ascii="Book Antiqua" w:hAnsi="Book Antiqua"/>
          <w:lang w:val="en-GB"/>
        </w:rPr>
        <w:t>. The endoscopic subscore divides the endoscopic findings i</w:t>
      </w:r>
      <w:r w:rsidR="0091685C">
        <w:rPr>
          <w:rFonts w:ascii="Book Antiqua" w:hAnsi="Book Antiqua"/>
          <w:lang w:val="en-GB"/>
        </w:rPr>
        <w:t>nto four degrees of severity: 0 remission; 1</w:t>
      </w:r>
      <w:r w:rsidRPr="0050649F">
        <w:rPr>
          <w:rFonts w:ascii="Book Antiqua" w:hAnsi="Book Antiqua"/>
          <w:lang w:val="en-GB"/>
        </w:rPr>
        <w:t xml:space="preserve"> mild disease with </w:t>
      </w:r>
      <w:r w:rsidR="0091685C">
        <w:rPr>
          <w:rFonts w:ascii="Book Antiqua" w:hAnsi="Book Antiqua"/>
          <w:lang w:val="en-GB"/>
        </w:rPr>
        <w:t>erythema and mild friability; 2</w:t>
      </w:r>
      <w:r w:rsidRPr="0050649F">
        <w:rPr>
          <w:rFonts w:ascii="Book Antiqua" w:hAnsi="Book Antiqua"/>
          <w:lang w:val="en-GB"/>
        </w:rPr>
        <w:t xml:space="preserve"> moderate disease with presence of marked erythema, friability, erosions and</w:t>
      </w:r>
      <w:r w:rsidR="0091685C">
        <w:rPr>
          <w:rFonts w:ascii="Book Antiqua" w:hAnsi="Book Antiqua"/>
          <w:lang w:val="en-GB"/>
        </w:rPr>
        <w:t xml:space="preserve"> absence of vascular pattern; 3</w:t>
      </w:r>
      <w:r w:rsidRPr="0050649F">
        <w:rPr>
          <w:rFonts w:ascii="Book Antiqua" w:hAnsi="Book Antiqua"/>
          <w:lang w:val="en-GB"/>
        </w:rPr>
        <w:t xml:space="preserve"> severe disease with spontaneous bleeding and diffuse ulcerations. A recent endoscopic score, is the Ulcerative Colitis Endoscopic Index of Severity (UCEIS); this score evaluates three variables: vascular pattern, ranged with a score between 0 and 3 points, while bleeding and presence of erosions/ulcers (divided into superficial and deep) are evaluated in a range between 0 and 4 points. Compared with the Mayo score, this score better evaluates the depth of the ulcers, but it is not yet widely </w:t>
      </w:r>
      <w:proofErr w:type="gramStart"/>
      <w:r w:rsidRPr="0050649F">
        <w:rPr>
          <w:rFonts w:ascii="Book Antiqua" w:hAnsi="Book Antiqua"/>
          <w:lang w:val="en-GB"/>
        </w:rPr>
        <w:t>used</w:t>
      </w:r>
      <w:r w:rsidRPr="0050649F">
        <w:rPr>
          <w:rFonts w:ascii="Book Antiqua" w:hAnsi="Book Antiqua"/>
          <w:vertAlign w:val="superscript"/>
          <w:lang w:val="en-GB"/>
        </w:rPr>
        <w:t>[</w:t>
      </w:r>
      <w:proofErr w:type="gramEnd"/>
      <w:r w:rsidRPr="0050649F">
        <w:rPr>
          <w:rFonts w:ascii="Book Antiqua" w:hAnsi="Book Antiqua"/>
          <w:vertAlign w:val="superscript"/>
          <w:lang w:val="en-GB"/>
        </w:rPr>
        <w:t>19]</w:t>
      </w:r>
      <w:r w:rsidRPr="0050649F">
        <w:rPr>
          <w:rFonts w:ascii="Book Antiqua" w:hAnsi="Book Antiqua"/>
          <w:lang w:val="en-GB"/>
        </w:rPr>
        <w:t xml:space="preserve">.  </w:t>
      </w:r>
    </w:p>
    <w:p w14:paraId="7FA28711" w14:textId="77777777" w:rsidR="00A24C79" w:rsidRPr="0050649F" w:rsidRDefault="00A24C79" w:rsidP="0091685C">
      <w:pPr>
        <w:spacing w:line="360" w:lineRule="auto"/>
        <w:ind w:firstLineChars="100" w:firstLine="240"/>
        <w:jc w:val="both"/>
        <w:rPr>
          <w:rFonts w:ascii="Book Antiqua" w:hAnsi="Book Antiqua"/>
          <w:lang w:val="en-GB"/>
        </w:rPr>
      </w:pPr>
      <w:r w:rsidRPr="0050649F">
        <w:rPr>
          <w:rFonts w:ascii="Book Antiqua" w:hAnsi="Book Antiqua"/>
          <w:lang w:val="en-GB"/>
        </w:rPr>
        <w:t xml:space="preserve">In 2013, a new score, the Ulcerative Colitis Colonoscopy Index of Severity (UCCIS) was validated; it is calculated on four variables: vascular pattern, granularity, ulceration, bleeding/friability and severity of damage in each colon segment. The evaluation of damage is based on a four-points scale and on a 10 cm-visual </w:t>
      </w:r>
      <w:proofErr w:type="gramStart"/>
      <w:r w:rsidRPr="0050649F">
        <w:rPr>
          <w:rFonts w:ascii="Book Antiqua" w:hAnsi="Book Antiqua"/>
          <w:lang w:val="en-GB"/>
        </w:rPr>
        <w:t>scale</w:t>
      </w:r>
      <w:r w:rsidRPr="0050649F">
        <w:rPr>
          <w:rFonts w:ascii="Book Antiqua" w:hAnsi="Book Antiqua"/>
          <w:vertAlign w:val="superscript"/>
          <w:lang w:val="en-GB"/>
        </w:rPr>
        <w:t>[</w:t>
      </w:r>
      <w:proofErr w:type="gramEnd"/>
      <w:r w:rsidRPr="0050649F">
        <w:rPr>
          <w:rFonts w:ascii="Book Antiqua" w:hAnsi="Book Antiqua"/>
          <w:vertAlign w:val="superscript"/>
          <w:lang w:val="en-GB"/>
        </w:rPr>
        <w:t>20]</w:t>
      </w:r>
      <w:r w:rsidRPr="0050649F">
        <w:rPr>
          <w:rFonts w:ascii="Book Antiqua" w:hAnsi="Book Antiqua"/>
          <w:lang w:val="en-GB"/>
        </w:rPr>
        <w:t xml:space="preserve">. </w:t>
      </w:r>
    </w:p>
    <w:p w14:paraId="1924944F" w14:textId="18235DDC" w:rsidR="00A24C79" w:rsidRPr="0050649F" w:rsidRDefault="00A24C79" w:rsidP="0091685C">
      <w:pPr>
        <w:spacing w:line="360" w:lineRule="auto"/>
        <w:ind w:firstLineChars="100" w:firstLine="240"/>
        <w:jc w:val="both"/>
        <w:rPr>
          <w:rFonts w:ascii="Book Antiqua" w:hAnsi="Book Antiqua"/>
          <w:lang w:val="en-GB"/>
        </w:rPr>
      </w:pPr>
      <w:r w:rsidRPr="0050649F">
        <w:rPr>
          <w:rFonts w:ascii="Book Antiqua" w:hAnsi="Book Antiqua"/>
          <w:lang w:val="en-GB"/>
        </w:rPr>
        <w:lastRenderedPageBreak/>
        <w:t xml:space="preserve">The major drawback of all UC scores is that they do not consider the extension of disease since they are all based on the worst appearing segment explored by endoscopy and only the most recent modified Mayo endoscopic score (MMES) seems to overcome this issue. In CD, endoscopic scores are limited to the appearance of gut mucosa </w:t>
      </w:r>
      <w:r w:rsidR="0091685C">
        <w:rPr>
          <w:rFonts w:ascii="Book Antiqua" w:hAnsi="Book Antiqua"/>
          <w:lang w:val="en-GB"/>
        </w:rPr>
        <w:t xml:space="preserve">in a transmural </w:t>
      </w:r>
      <w:proofErr w:type="gramStart"/>
      <w:r w:rsidR="0091685C">
        <w:rPr>
          <w:rFonts w:ascii="Book Antiqua" w:hAnsi="Book Antiqua"/>
          <w:lang w:val="en-GB"/>
        </w:rPr>
        <w:t>disease</w:t>
      </w:r>
      <w:r w:rsidRPr="0050649F">
        <w:rPr>
          <w:rFonts w:ascii="Book Antiqua" w:hAnsi="Book Antiqua"/>
          <w:vertAlign w:val="superscript"/>
          <w:lang w:val="en-GB"/>
        </w:rPr>
        <w:t>[</w:t>
      </w:r>
      <w:proofErr w:type="gramEnd"/>
      <w:r w:rsidRPr="0050649F">
        <w:rPr>
          <w:rFonts w:ascii="Book Antiqua" w:hAnsi="Book Antiqua"/>
          <w:vertAlign w:val="superscript"/>
          <w:lang w:val="en-GB"/>
        </w:rPr>
        <w:t>21]</w:t>
      </w:r>
      <w:r w:rsidRPr="0050649F">
        <w:rPr>
          <w:rFonts w:ascii="Book Antiqua" w:hAnsi="Book Antiqua"/>
          <w:lang w:val="en-GB"/>
        </w:rPr>
        <w:t xml:space="preserve">. </w:t>
      </w:r>
    </w:p>
    <w:p w14:paraId="2B5A5B5D" w14:textId="77777777" w:rsidR="00A24C79" w:rsidRPr="0050649F" w:rsidRDefault="00A24C79" w:rsidP="00C97716">
      <w:pPr>
        <w:spacing w:line="360" w:lineRule="auto"/>
        <w:jc w:val="both"/>
        <w:rPr>
          <w:rFonts w:ascii="Book Antiqua" w:hAnsi="Book Antiqua"/>
          <w:lang w:val="en-GB"/>
        </w:rPr>
      </w:pPr>
    </w:p>
    <w:p w14:paraId="446FCF42" w14:textId="5E490D04" w:rsidR="00A24C79" w:rsidRPr="0091685C" w:rsidRDefault="0091685C" w:rsidP="00C97716">
      <w:pPr>
        <w:spacing w:line="360" w:lineRule="auto"/>
        <w:jc w:val="both"/>
        <w:rPr>
          <w:rFonts w:ascii="Book Antiqua" w:hAnsi="Book Antiqua"/>
          <w:b/>
          <w:lang w:val="en-GB"/>
        </w:rPr>
      </w:pPr>
      <w:r w:rsidRPr="0091685C">
        <w:rPr>
          <w:rFonts w:ascii="Book Antiqua" w:hAnsi="Book Antiqua"/>
          <w:b/>
          <w:lang w:val="en-GB"/>
        </w:rPr>
        <w:t>DEFINITION OF MH</w:t>
      </w:r>
    </w:p>
    <w:p w14:paraId="106EF3F7" w14:textId="721969C5" w:rsidR="00A24C79" w:rsidRPr="0050649F" w:rsidRDefault="00C97716" w:rsidP="00C97716">
      <w:pPr>
        <w:spacing w:line="360" w:lineRule="auto"/>
        <w:jc w:val="both"/>
        <w:rPr>
          <w:rFonts w:ascii="Book Antiqua" w:hAnsi="Book Antiqua"/>
          <w:lang w:val="en-GB"/>
        </w:rPr>
      </w:pPr>
      <w:r w:rsidRPr="0050649F">
        <w:rPr>
          <w:rFonts w:ascii="Book Antiqua" w:hAnsi="Book Antiqua"/>
          <w:lang w:val="en-GB"/>
        </w:rPr>
        <w:t>MH</w:t>
      </w:r>
      <w:r w:rsidR="00A24C79" w:rsidRPr="0050649F">
        <w:rPr>
          <w:rFonts w:ascii="Book Antiqua" w:hAnsi="Book Antiqua"/>
          <w:lang w:val="en-GB"/>
        </w:rPr>
        <w:t xml:space="preserve"> is now defined, in most of the more recent UC and CD trials, as the complete absence of ulcers and inflammatory lesions (Mayo score 0, SES-CD 0, CDEIS 0). Nevertheless, in many UC trials, the definition of MH includes the presence of friability and hyperaemia at endoscopic examination, without ulcers and erosions (Mayo score 1). </w:t>
      </w:r>
    </w:p>
    <w:p w14:paraId="0B920E2B" w14:textId="60A22950" w:rsidR="00A24C79" w:rsidRPr="0050649F" w:rsidRDefault="00A24C79" w:rsidP="0091685C">
      <w:pPr>
        <w:spacing w:line="360" w:lineRule="auto"/>
        <w:ind w:firstLineChars="100" w:firstLine="240"/>
        <w:jc w:val="both"/>
        <w:rPr>
          <w:rFonts w:ascii="Book Antiqua" w:hAnsi="Book Antiqua"/>
          <w:lang w:val="en-GB"/>
        </w:rPr>
      </w:pPr>
      <w:r w:rsidRPr="0050649F">
        <w:rPr>
          <w:rFonts w:ascii="Book Antiqua" w:hAnsi="Book Antiqua"/>
          <w:lang w:val="en-GB"/>
        </w:rPr>
        <w:t>The most important controversies about MH regard the weight of mucosal remission assessed by endoscopic examination in CD; many authors consider this an inadequate parameter to evaluate a progressive, full thickness disease of the bowel wall, characterized during its natural history by the presence of fistulas, strictures, abscesses and surgical resections. These features are well evaluated by the Lémann score, recently created to combine the characteristics already considered by previous endoscopic scores, with the new concept of “cumulative bowel damage”</w:t>
      </w:r>
      <w:r w:rsidRPr="0050649F">
        <w:rPr>
          <w:rFonts w:ascii="Book Antiqua" w:hAnsi="Book Antiqua"/>
          <w:vertAlign w:val="superscript"/>
          <w:lang w:val="en-GB"/>
        </w:rPr>
        <w:t>[22]</w:t>
      </w:r>
      <w:r w:rsidRPr="0050649F">
        <w:rPr>
          <w:rFonts w:ascii="Book Antiqua" w:hAnsi="Book Antiqua"/>
          <w:lang w:val="en-GB"/>
        </w:rPr>
        <w:t xml:space="preserve">. The Lémann score combines upper endoscopy and ileocolonoscopy findings with the radiological findings obtained by </w:t>
      </w:r>
      <w:r w:rsidR="0091685C" w:rsidRPr="0050649F">
        <w:rPr>
          <w:rFonts w:ascii="Book Antiqua" w:hAnsi="Book Antiqua"/>
          <w:lang w:val="en-GB"/>
        </w:rPr>
        <w:t>computed tomography ent</w:t>
      </w:r>
      <w:r w:rsidRPr="0050649F">
        <w:rPr>
          <w:rFonts w:ascii="Book Antiqua" w:hAnsi="Book Antiqua"/>
          <w:lang w:val="en-GB"/>
        </w:rPr>
        <w:t xml:space="preserve">erography (CTE) and </w:t>
      </w:r>
      <w:r w:rsidR="0091685C" w:rsidRPr="0050649F">
        <w:rPr>
          <w:rFonts w:ascii="Book Antiqua" w:hAnsi="Book Antiqua"/>
          <w:lang w:val="en-GB"/>
        </w:rPr>
        <w:t>magnetic resonance entero</w:t>
      </w:r>
      <w:r w:rsidRPr="0050649F">
        <w:rPr>
          <w:rFonts w:ascii="Book Antiqua" w:hAnsi="Book Antiqua"/>
          <w:lang w:val="en-GB"/>
        </w:rPr>
        <w:t xml:space="preserve">graphy (MRE). This score, for each gastrointestinal segment (divided into upper digestive tract, small bowel, colon or rectum and anal or perianal), ranges between 0 and 3 according to severity of the </w:t>
      </w:r>
      <w:proofErr w:type="gramStart"/>
      <w:r w:rsidRPr="0050649F">
        <w:rPr>
          <w:rFonts w:ascii="Book Antiqua" w:hAnsi="Book Antiqua"/>
          <w:lang w:val="en-GB"/>
        </w:rPr>
        <w:t>disease</w:t>
      </w:r>
      <w:r w:rsidRPr="0050649F">
        <w:rPr>
          <w:rFonts w:ascii="Book Antiqua" w:hAnsi="Book Antiqua"/>
          <w:vertAlign w:val="superscript"/>
          <w:lang w:val="en-GB"/>
        </w:rPr>
        <w:t>[</w:t>
      </w:r>
      <w:proofErr w:type="gramEnd"/>
      <w:r w:rsidRPr="0050649F">
        <w:rPr>
          <w:rFonts w:ascii="Book Antiqua" w:hAnsi="Book Antiqua"/>
          <w:vertAlign w:val="superscript"/>
          <w:lang w:val="en-GB"/>
        </w:rPr>
        <w:t>23]</w:t>
      </w:r>
      <w:r w:rsidRPr="0050649F">
        <w:rPr>
          <w:rFonts w:ascii="Book Antiqua" w:hAnsi="Book Antiqua"/>
          <w:lang w:val="en-GB"/>
        </w:rPr>
        <w:t>. The overall score is obtained by adding the above subscores up to 10 points. The Lémann score, however, is still rarely used, for its complexity and poor practicality.</w:t>
      </w:r>
    </w:p>
    <w:p w14:paraId="7D364D60" w14:textId="20413A5C" w:rsidR="00A24C79" w:rsidRPr="0050649F" w:rsidRDefault="00A24C79" w:rsidP="0091685C">
      <w:pPr>
        <w:spacing w:line="360" w:lineRule="auto"/>
        <w:ind w:firstLineChars="100" w:firstLine="240"/>
        <w:jc w:val="both"/>
        <w:rPr>
          <w:rFonts w:ascii="Book Antiqua" w:hAnsi="Book Antiqua"/>
          <w:lang w:val="en-GB"/>
        </w:rPr>
      </w:pPr>
      <w:r w:rsidRPr="0050649F">
        <w:rPr>
          <w:rFonts w:ascii="Book Antiqua" w:hAnsi="Book Antiqua"/>
          <w:lang w:val="en-GB"/>
        </w:rPr>
        <w:t xml:space="preserve">MRE today represents the gold standard technique to study the small bowel; it assesses wall thickness, presence of edema, deep ulcers and/or strictures, together with the evaluation of surrounding tissues, with high accuracy. In 2011, the Magnetic Resonance Index of Activity (MaRia) score was proposed; this score measures all the above parameters and is calculated according to the formula MaRia = [1.5 </w:t>
      </w:r>
      <w:r w:rsidR="0091685C" w:rsidRPr="009D014F">
        <w:rPr>
          <w:rFonts w:ascii="Book Antiqua" w:hAnsi="Book Antiqua"/>
          <w:color w:val="000000"/>
        </w:rPr>
        <w:t>×</w:t>
      </w:r>
      <w:r w:rsidRPr="0050649F">
        <w:rPr>
          <w:rFonts w:ascii="Book Antiqua" w:hAnsi="Book Antiqua"/>
          <w:lang w:val="en-GB"/>
        </w:rPr>
        <w:t xml:space="preserve"> wall thickness (mm)] + </w:t>
      </w:r>
      <w:r w:rsidR="000F2E17">
        <w:rPr>
          <w:rFonts w:ascii="Book Antiqua" w:eastAsia="宋体" w:hAnsi="Book Antiqua" w:hint="eastAsia"/>
          <w:lang w:val="en-GB" w:eastAsia="zh-CN"/>
        </w:rPr>
        <w:t>(</w:t>
      </w:r>
      <w:r w:rsidRPr="0050649F">
        <w:rPr>
          <w:rFonts w:ascii="Book Antiqua" w:hAnsi="Book Antiqua"/>
          <w:lang w:val="en-GB"/>
        </w:rPr>
        <w:t xml:space="preserve">0.02 </w:t>
      </w:r>
      <w:r w:rsidR="0091685C" w:rsidRPr="009D014F">
        <w:rPr>
          <w:rFonts w:ascii="Book Antiqua" w:hAnsi="Book Antiqua"/>
          <w:color w:val="000000"/>
        </w:rPr>
        <w:t>×</w:t>
      </w:r>
      <w:r w:rsidRPr="0050649F">
        <w:rPr>
          <w:rFonts w:ascii="Book Antiqua" w:hAnsi="Book Antiqua"/>
          <w:lang w:val="en-GB"/>
        </w:rPr>
        <w:t xml:space="preserve"> relative contrast enhancement</w:t>
      </w:r>
      <w:r w:rsidR="000F2E17">
        <w:rPr>
          <w:rFonts w:ascii="Book Antiqua" w:eastAsia="宋体" w:hAnsi="Book Antiqua" w:hint="eastAsia"/>
          <w:lang w:val="en-GB" w:eastAsia="zh-CN"/>
        </w:rPr>
        <w:t>)</w:t>
      </w:r>
      <w:r w:rsidRPr="0050649F">
        <w:rPr>
          <w:rFonts w:ascii="Book Antiqua" w:hAnsi="Book Antiqua"/>
          <w:lang w:val="en-GB"/>
        </w:rPr>
        <w:t xml:space="preserve"> + </w:t>
      </w:r>
      <w:r w:rsidR="000F2E17">
        <w:rPr>
          <w:rFonts w:ascii="Book Antiqua" w:eastAsia="宋体" w:hAnsi="Book Antiqua" w:hint="eastAsia"/>
          <w:lang w:val="en-GB" w:eastAsia="zh-CN"/>
        </w:rPr>
        <w:t>(</w:t>
      </w:r>
      <w:r w:rsidRPr="0050649F">
        <w:rPr>
          <w:rFonts w:ascii="Book Antiqua" w:hAnsi="Book Antiqua"/>
          <w:lang w:val="en-GB"/>
        </w:rPr>
        <w:t xml:space="preserve">5 </w:t>
      </w:r>
      <w:r w:rsidR="0091685C" w:rsidRPr="009D014F">
        <w:rPr>
          <w:rFonts w:ascii="Book Antiqua" w:hAnsi="Book Antiqua"/>
          <w:color w:val="000000"/>
        </w:rPr>
        <w:t>×</w:t>
      </w:r>
      <w:r w:rsidRPr="0050649F">
        <w:rPr>
          <w:rFonts w:ascii="Book Antiqua" w:hAnsi="Book Antiqua"/>
          <w:lang w:val="en-GB"/>
        </w:rPr>
        <w:t xml:space="preserve"> edema</w:t>
      </w:r>
      <w:r w:rsidR="000F2E17">
        <w:rPr>
          <w:rFonts w:ascii="Book Antiqua" w:eastAsia="宋体" w:hAnsi="Book Antiqua" w:hint="eastAsia"/>
          <w:lang w:val="en-GB" w:eastAsia="zh-CN"/>
        </w:rPr>
        <w:t>)</w:t>
      </w:r>
      <w:r w:rsidRPr="0050649F">
        <w:rPr>
          <w:rFonts w:ascii="Book Antiqua" w:hAnsi="Book Antiqua"/>
          <w:lang w:val="en-GB"/>
        </w:rPr>
        <w:t xml:space="preserve"> + </w:t>
      </w:r>
      <w:r w:rsidR="000F2E17">
        <w:rPr>
          <w:rFonts w:ascii="Book Antiqua" w:eastAsia="宋体" w:hAnsi="Book Antiqua" w:hint="eastAsia"/>
          <w:lang w:val="en-GB" w:eastAsia="zh-CN"/>
        </w:rPr>
        <w:t>(</w:t>
      </w:r>
      <w:r w:rsidRPr="0050649F">
        <w:rPr>
          <w:rFonts w:ascii="Book Antiqua" w:hAnsi="Book Antiqua"/>
          <w:lang w:val="en-GB"/>
        </w:rPr>
        <w:t xml:space="preserve">10 </w:t>
      </w:r>
      <w:r w:rsidR="0091685C" w:rsidRPr="009D014F">
        <w:rPr>
          <w:rFonts w:ascii="Book Antiqua" w:hAnsi="Book Antiqua"/>
          <w:color w:val="000000"/>
        </w:rPr>
        <w:t>×</w:t>
      </w:r>
      <w:r w:rsidRPr="0050649F">
        <w:rPr>
          <w:rFonts w:ascii="Book Antiqua" w:hAnsi="Book Antiqua"/>
          <w:lang w:val="en-GB"/>
        </w:rPr>
        <w:t xml:space="preserve"> ulcer</w:t>
      </w:r>
      <w:r w:rsidR="000F2E17">
        <w:rPr>
          <w:rFonts w:ascii="Book Antiqua" w:eastAsia="宋体" w:hAnsi="Book Antiqua" w:hint="eastAsia"/>
          <w:lang w:val="en-GB" w:eastAsia="zh-CN"/>
        </w:rPr>
        <w:t>)</w:t>
      </w:r>
      <w:r w:rsidRPr="0050649F">
        <w:rPr>
          <w:rFonts w:ascii="Book Antiqua" w:hAnsi="Book Antiqua"/>
          <w:lang w:val="en-GB"/>
        </w:rPr>
        <w:t>. In a prospective, multicentre stu</w:t>
      </w:r>
      <w:r w:rsidR="0091685C">
        <w:rPr>
          <w:rFonts w:ascii="Book Antiqua" w:hAnsi="Book Antiqua"/>
          <w:lang w:val="en-GB"/>
        </w:rPr>
        <w:t xml:space="preserve">dy, Ordás </w:t>
      </w:r>
      <w:r w:rsidR="0091685C" w:rsidRPr="0091685C">
        <w:rPr>
          <w:rFonts w:ascii="Book Antiqua" w:hAnsi="Book Antiqua"/>
          <w:i/>
          <w:lang w:val="en-GB"/>
        </w:rPr>
        <w:t xml:space="preserve">et </w:t>
      </w:r>
      <w:proofErr w:type="gramStart"/>
      <w:r w:rsidR="0091685C" w:rsidRPr="0091685C">
        <w:rPr>
          <w:rFonts w:ascii="Book Antiqua" w:hAnsi="Book Antiqua"/>
          <w:i/>
          <w:lang w:val="en-GB"/>
        </w:rPr>
        <w:t>al</w:t>
      </w:r>
      <w:r w:rsidR="0091685C" w:rsidRPr="0050649F">
        <w:rPr>
          <w:rFonts w:ascii="Book Antiqua" w:hAnsi="Book Antiqua"/>
          <w:vertAlign w:val="superscript"/>
          <w:lang w:val="en-GB"/>
        </w:rPr>
        <w:t>[</w:t>
      </w:r>
      <w:proofErr w:type="gramEnd"/>
      <w:r w:rsidR="0091685C" w:rsidRPr="0050649F">
        <w:rPr>
          <w:rFonts w:ascii="Book Antiqua" w:hAnsi="Book Antiqua"/>
          <w:vertAlign w:val="superscript"/>
          <w:lang w:val="en-GB"/>
        </w:rPr>
        <w:t>24]</w:t>
      </w:r>
      <w:r w:rsidRPr="0050649F">
        <w:rPr>
          <w:rFonts w:ascii="Book Antiqua" w:hAnsi="Book Antiqua"/>
          <w:lang w:val="en-GB"/>
        </w:rPr>
        <w:t xml:space="preserve"> demonstrated that the MaRia score well correlates with </w:t>
      </w:r>
      <w:r w:rsidRPr="0050649F">
        <w:rPr>
          <w:rFonts w:ascii="Book Antiqua" w:hAnsi="Book Antiqua"/>
          <w:lang w:val="en-GB"/>
        </w:rPr>
        <w:lastRenderedPageBreak/>
        <w:t xml:space="preserve">CDEIS and with endoscopic findings. MRE is a useful tool to assess disease activity in CD and may be a good alternative to endoscopy in clinical practice and trials. </w:t>
      </w:r>
    </w:p>
    <w:p w14:paraId="27436033" w14:textId="77777777" w:rsidR="00A24C79" w:rsidRPr="0050649F" w:rsidRDefault="00A24C79" w:rsidP="00C97716">
      <w:pPr>
        <w:spacing w:line="360" w:lineRule="auto"/>
        <w:jc w:val="both"/>
        <w:rPr>
          <w:rFonts w:ascii="Book Antiqua" w:hAnsi="Book Antiqua"/>
          <w:lang w:val="en-GB"/>
        </w:rPr>
      </w:pPr>
    </w:p>
    <w:p w14:paraId="5ECE55F9" w14:textId="36FDD19E" w:rsidR="00A24C79" w:rsidRPr="0050649F" w:rsidRDefault="0091685C" w:rsidP="00C97716">
      <w:pPr>
        <w:spacing w:line="360" w:lineRule="auto"/>
        <w:jc w:val="both"/>
        <w:rPr>
          <w:rFonts w:ascii="Book Antiqua" w:hAnsi="Book Antiqua"/>
          <w:b/>
          <w:lang w:val="en-GB"/>
        </w:rPr>
      </w:pPr>
      <w:r w:rsidRPr="0050649F">
        <w:rPr>
          <w:rFonts w:ascii="Book Antiqua" w:hAnsi="Book Antiqua"/>
          <w:b/>
          <w:lang w:val="en-GB"/>
        </w:rPr>
        <w:t>NON-INVASIVE BIOMARKERS OF INFLAMMATION</w:t>
      </w:r>
    </w:p>
    <w:p w14:paraId="2CC51C4E" w14:textId="57D22FEF" w:rsidR="00A24C79" w:rsidRPr="00022BDE" w:rsidRDefault="00A24C79" w:rsidP="00C97716">
      <w:pPr>
        <w:spacing w:line="360" w:lineRule="auto"/>
        <w:jc w:val="both"/>
        <w:rPr>
          <w:rFonts w:ascii="Book Antiqua" w:hAnsi="Book Antiqua"/>
          <w:i/>
          <w:lang w:val="en-GB"/>
        </w:rPr>
      </w:pPr>
      <w:r w:rsidRPr="0050649F">
        <w:rPr>
          <w:rFonts w:ascii="Book Antiqua" w:hAnsi="Book Antiqua"/>
          <w:lang w:val="en-GB"/>
        </w:rPr>
        <w:t xml:space="preserve">Several biomarkers have been studied in the last few years, to find an inexpensive and non-invasive way to assess the presence or absence of gut mucosal inflammation and, thus for the follow-up in IBD patients. A Norwegian group recently reported a significantly higher mucosal gene expression of TNF, IL17A and FOXP3 in CD patients who relapsed within six months after anti-TNF </w:t>
      </w:r>
      <w:proofErr w:type="gramStart"/>
      <w:r w:rsidRPr="0050649F">
        <w:rPr>
          <w:rFonts w:ascii="Book Antiqua" w:hAnsi="Book Antiqua"/>
          <w:lang w:val="en-GB"/>
        </w:rPr>
        <w:t>withdrawal</w:t>
      </w:r>
      <w:r w:rsidRPr="0050649F">
        <w:rPr>
          <w:rFonts w:ascii="Book Antiqua" w:hAnsi="Book Antiqua"/>
          <w:vertAlign w:val="superscript"/>
          <w:lang w:val="en-US"/>
        </w:rPr>
        <w:t>[</w:t>
      </w:r>
      <w:proofErr w:type="gramEnd"/>
      <w:r w:rsidRPr="0050649F">
        <w:rPr>
          <w:rFonts w:ascii="Book Antiqua" w:hAnsi="Book Antiqua"/>
          <w:vertAlign w:val="superscript"/>
          <w:lang w:val="en-US"/>
        </w:rPr>
        <w:t>25]</w:t>
      </w:r>
      <w:r w:rsidRPr="0050649F">
        <w:rPr>
          <w:rFonts w:ascii="Book Antiqua" w:hAnsi="Book Antiqua"/>
          <w:lang w:val="en-GB"/>
        </w:rPr>
        <w:t xml:space="preserve">. The dimeric isoform of pyruvate kinase (M2-PK) was elevated in IBD patients, both in active and in inactive </w:t>
      </w:r>
      <w:proofErr w:type="gramStart"/>
      <w:r w:rsidRPr="0050649F">
        <w:rPr>
          <w:rFonts w:ascii="Book Antiqua" w:hAnsi="Book Antiqua"/>
          <w:lang w:val="en-GB"/>
        </w:rPr>
        <w:t>disease</w:t>
      </w:r>
      <w:r w:rsidRPr="0050649F">
        <w:rPr>
          <w:rFonts w:ascii="Book Antiqua" w:hAnsi="Book Antiqua"/>
          <w:vertAlign w:val="superscript"/>
          <w:lang w:val="en-US"/>
        </w:rPr>
        <w:t>[</w:t>
      </w:r>
      <w:proofErr w:type="gramEnd"/>
      <w:r w:rsidRPr="0050649F">
        <w:rPr>
          <w:rFonts w:ascii="Book Antiqua" w:hAnsi="Book Antiqua"/>
          <w:vertAlign w:val="superscript"/>
          <w:lang w:val="en-US"/>
        </w:rPr>
        <w:t>26]</w:t>
      </w:r>
      <w:r w:rsidRPr="0050649F">
        <w:rPr>
          <w:rFonts w:ascii="Book Antiqua" w:hAnsi="Book Antiqua"/>
          <w:lang w:val="en-GB"/>
        </w:rPr>
        <w:t xml:space="preserve">. This latter marker was even higher in faeces of pediatric IBD patients with a good response to </w:t>
      </w:r>
      <w:proofErr w:type="gramStart"/>
      <w:r w:rsidRPr="0050649F">
        <w:rPr>
          <w:rFonts w:ascii="Book Antiqua" w:hAnsi="Book Antiqua"/>
          <w:lang w:val="en-GB"/>
        </w:rPr>
        <w:t>corticosteroids</w:t>
      </w:r>
      <w:r w:rsidRPr="0050649F">
        <w:rPr>
          <w:rFonts w:ascii="Book Antiqua" w:hAnsi="Book Antiqua"/>
          <w:vertAlign w:val="superscript"/>
          <w:lang w:val="en-US"/>
        </w:rPr>
        <w:t>[</w:t>
      </w:r>
      <w:proofErr w:type="gramEnd"/>
      <w:r w:rsidRPr="0050649F">
        <w:rPr>
          <w:rFonts w:ascii="Book Antiqua" w:hAnsi="Book Antiqua"/>
          <w:vertAlign w:val="superscript"/>
          <w:lang w:val="en-US"/>
        </w:rPr>
        <w:t>27]</w:t>
      </w:r>
      <w:r w:rsidRPr="0050649F">
        <w:rPr>
          <w:rFonts w:ascii="Book Antiqua" w:hAnsi="Book Antiqua"/>
          <w:lang w:val="en-GB"/>
        </w:rPr>
        <w:t>, and elevated serum and mucosal levels of the long pentraxin (PTX3) were found in patients with active UC</w:t>
      </w:r>
      <w:r w:rsidRPr="0050649F">
        <w:rPr>
          <w:rFonts w:ascii="Book Antiqua" w:hAnsi="Book Antiqua"/>
          <w:vertAlign w:val="superscript"/>
          <w:lang w:val="en-US"/>
        </w:rPr>
        <w:t>[28]</w:t>
      </w:r>
      <w:r w:rsidRPr="0050649F">
        <w:rPr>
          <w:rFonts w:ascii="Book Antiqua" w:hAnsi="Book Antiqua"/>
          <w:lang w:val="en-GB"/>
        </w:rPr>
        <w:t xml:space="preserve">. A complete revision of every marker investigated at this moment is however beyond the scope of this editorial (for review </w:t>
      </w:r>
      <w:proofErr w:type="gramStart"/>
      <w:r w:rsidRPr="0050649F">
        <w:rPr>
          <w:rFonts w:ascii="Book Antiqua" w:hAnsi="Book Antiqua"/>
          <w:lang w:val="en-GB"/>
        </w:rPr>
        <w:t>see</w:t>
      </w:r>
      <w:r w:rsidRPr="0050649F">
        <w:rPr>
          <w:rFonts w:ascii="Book Antiqua" w:hAnsi="Book Antiqua"/>
          <w:vertAlign w:val="superscript"/>
          <w:lang w:val="en-GB"/>
        </w:rPr>
        <w:t>[</w:t>
      </w:r>
      <w:proofErr w:type="gramEnd"/>
      <w:r w:rsidRPr="0050649F">
        <w:rPr>
          <w:rFonts w:ascii="Book Antiqua" w:hAnsi="Book Antiqua"/>
          <w:vertAlign w:val="superscript"/>
          <w:lang w:val="en-GB"/>
        </w:rPr>
        <w:t>29,30]</w:t>
      </w:r>
      <w:r w:rsidRPr="0050649F">
        <w:rPr>
          <w:rFonts w:ascii="Book Antiqua" w:hAnsi="Book Antiqua"/>
          <w:lang w:val="en-GB"/>
        </w:rPr>
        <w:t xml:space="preserve">). In the present review we focused on two well-known and largely used biomarkers, </w:t>
      </w:r>
      <w:r w:rsidR="00022BDE" w:rsidRPr="00022BDE">
        <w:rPr>
          <w:rFonts w:ascii="Book Antiqua" w:hAnsi="Book Antiqua"/>
          <w:lang w:val="en-GB"/>
        </w:rPr>
        <w:t>C-reactive protein (CRP)</w:t>
      </w:r>
      <w:r w:rsidR="00022BDE">
        <w:rPr>
          <w:rFonts w:ascii="Book Antiqua" w:eastAsia="宋体" w:hAnsi="Book Antiqua" w:hint="eastAsia"/>
          <w:i/>
          <w:lang w:val="en-GB" w:eastAsia="zh-CN"/>
        </w:rPr>
        <w:t xml:space="preserve"> </w:t>
      </w:r>
      <w:r w:rsidRPr="0050649F">
        <w:rPr>
          <w:rFonts w:ascii="Book Antiqua" w:hAnsi="Book Antiqua"/>
          <w:lang w:val="en-GB"/>
        </w:rPr>
        <w:t xml:space="preserve">and fecal calprotectin, and on the </w:t>
      </w:r>
      <w:r w:rsidR="00DD6543" w:rsidRPr="00DD6543">
        <w:rPr>
          <w:rFonts w:ascii="Book Antiqua" w:hAnsi="Book Antiqua"/>
          <w:lang w:val="en-GB"/>
        </w:rPr>
        <w:t>neutrophil gelatinase-associated lipocalin and matrix metalloproteinase 9 (NGAL-MMP-9)</w:t>
      </w:r>
      <w:r w:rsidRPr="0050649F">
        <w:rPr>
          <w:rFonts w:ascii="Book Antiqua" w:hAnsi="Book Antiqua"/>
          <w:lang w:val="en-GB"/>
        </w:rPr>
        <w:t xml:space="preserve"> complex, a novel marker of mucosal inflammation, recently investigated in CD and UC. </w:t>
      </w:r>
    </w:p>
    <w:p w14:paraId="7328F21C" w14:textId="77777777" w:rsidR="00A24C79" w:rsidRPr="00022BDE" w:rsidRDefault="00A24C79" w:rsidP="00C97716">
      <w:pPr>
        <w:spacing w:line="360" w:lineRule="auto"/>
        <w:jc w:val="both"/>
        <w:rPr>
          <w:rFonts w:ascii="Book Antiqua" w:eastAsia="宋体" w:hAnsi="Book Antiqua"/>
          <w:i/>
          <w:lang w:val="en-GB" w:eastAsia="zh-CN"/>
        </w:rPr>
      </w:pPr>
    </w:p>
    <w:p w14:paraId="04DD1483" w14:textId="729157D9" w:rsidR="00A24C79" w:rsidRPr="00022BDE" w:rsidRDefault="00022BDE" w:rsidP="00C97716">
      <w:pPr>
        <w:spacing w:line="360" w:lineRule="auto"/>
        <w:jc w:val="both"/>
        <w:rPr>
          <w:rFonts w:ascii="Book Antiqua" w:eastAsia="宋体" w:hAnsi="Book Antiqua"/>
          <w:b/>
          <w:i/>
          <w:lang w:val="en-GB" w:eastAsia="zh-CN"/>
        </w:rPr>
      </w:pPr>
      <w:r w:rsidRPr="00022BDE">
        <w:rPr>
          <w:rFonts w:ascii="Book Antiqua" w:hAnsi="Book Antiqua"/>
          <w:b/>
          <w:i/>
          <w:lang w:val="en-GB"/>
        </w:rPr>
        <w:t>CRP</w:t>
      </w:r>
    </w:p>
    <w:p w14:paraId="30688E47" w14:textId="77777777" w:rsidR="00A24C79" w:rsidRPr="0050649F" w:rsidRDefault="00A24C79" w:rsidP="00C97716">
      <w:pPr>
        <w:spacing w:line="360" w:lineRule="auto"/>
        <w:jc w:val="both"/>
        <w:rPr>
          <w:rFonts w:ascii="Book Antiqua" w:hAnsi="Book Antiqua"/>
          <w:lang w:val="en-GB"/>
        </w:rPr>
      </w:pPr>
      <w:r w:rsidRPr="0050649F">
        <w:rPr>
          <w:rFonts w:ascii="Book Antiqua" w:hAnsi="Book Antiqua"/>
          <w:lang w:val="en-GB"/>
        </w:rPr>
        <w:t xml:space="preserve">CRP is an acute-phase protein with a circular, pentameric conformation synthesized by the liver; its serum levels increase in response to inflammation and in particular to IL-6 secretion; its physiological role is to bind lysophosphatidylcholine (LCP) present on the surface of dying cells or bacteria, to activate the complement </w:t>
      </w:r>
      <w:proofErr w:type="gramStart"/>
      <w:r w:rsidRPr="0050649F">
        <w:rPr>
          <w:rFonts w:ascii="Book Antiqua" w:hAnsi="Book Antiqua"/>
          <w:lang w:val="en-GB"/>
        </w:rPr>
        <w:t>system</w:t>
      </w:r>
      <w:r w:rsidRPr="0050649F">
        <w:rPr>
          <w:rFonts w:ascii="Book Antiqua" w:hAnsi="Book Antiqua"/>
          <w:vertAlign w:val="superscript"/>
          <w:lang w:val="en-GB"/>
        </w:rPr>
        <w:t>[</w:t>
      </w:r>
      <w:proofErr w:type="gramEnd"/>
      <w:r w:rsidRPr="0050649F">
        <w:rPr>
          <w:rFonts w:ascii="Book Antiqua" w:hAnsi="Book Antiqua"/>
          <w:vertAlign w:val="superscript"/>
          <w:lang w:val="en-GB"/>
        </w:rPr>
        <w:t>31]</w:t>
      </w:r>
      <w:r w:rsidRPr="0050649F">
        <w:rPr>
          <w:rFonts w:ascii="Book Antiqua" w:hAnsi="Book Antiqua"/>
          <w:lang w:val="en-GB"/>
        </w:rPr>
        <w:t xml:space="preserve">. Blood CRP levels rise in several cases like infections, sepsis, inflammation, neoplastic processes, cardiovascular diseases and infarction. </w:t>
      </w:r>
    </w:p>
    <w:p w14:paraId="36270579" w14:textId="77777777" w:rsidR="00A24C79" w:rsidRPr="0050649F" w:rsidRDefault="00A24C79" w:rsidP="002636C5">
      <w:pPr>
        <w:spacing w:line="360" w:lineRule="auto"/>
        <w:ind w:firstLineChars="100" w:firstLine="240"/>
        <w:jc w:val="both"/>
        <w:rPr>
          <w:rFonts w:ascii="Book Antiqua" w:hAnsi="Book Antiqua"/>
          <w:lang w:val="en-GB"/>
        </w:rPr>
      </w:pPr>
      <w:r w:rsidRPr="0050649F">
        <w:rPr>
          <w:rFonts w:ascii="Book Antiqua" w:hAnsi="Book Antiqua"/>
          <w:lang w:val="en-GB"/>
        </w:rPr>
        <w:t>The role of CRP in the diagnosis and follow-up of IBD is well known. Determination is non-invasive and cheap, yet few studies have confirmed its reliability in the assessment of mucosal inflammation, mainly because of its poor specificity and the fact that a percentage of around 25% of patients with CD, and up to 80% with distal UC, do not have a CRP-positive inflammatory response</w:t>
      </w:r>
      <w:r w:rsidRPr="0050649F">
        <w:rPr>
          <w:rFonts w:ascii="Book Antiqua" w:hAnsi="Book Antiqua"/>
          <w:vertAlign w:val="superscript"/>
          <w:lang w:val="en-GB"/>
        </w:rPr>
        <w:t>[</w:t>
      </w:r>
      <w:r w:rsidRPr="0050649F">
        <w:rPr>
          <w:rStyle w:val="EndnoteReference"/>
          <w:rFonts w:ascii="Book Antiqua" w:hAnsi="Book Antiqua"/>
          <w:lang w:val="en-GB"/>
        </w:rPr>
        <w:t>32</w:t>
      </w:r>
      <w:r w:rsidRPr="0050649F">
        <w:rPr>
          <w:rFonts w:ascii="Book Antiqua" w:hAnsi="Book Antiqua"/>
          <w:vertAlign w:val="superscript"/>
          <w:lang w:val="en-GB"/>
        </w:rPr>
        <w:t>,</w:t>
      </w:r>
      <w:r w:rsidRPr="0050649F">
        <w:rPr>
          <w:rStyle w:val="EndnoteReference"/>
          <w:rFonts w:ascii="Book Antiqua" w:hAnsi="Book Antiqua"/>
          <w:lang w:val="en-GB"/>
        </w:rPr>
        <w:t>33</w:t>
      </w:r>
      <w:r w:rsidRPr="0050649F">
        <w:rPr>
          <w:rFonts w:ascii="Book Antiqua" w:hAnsi="Book Antiqua"/>
          <w:vertAlign w:val="superscript"/>
          <w:lang w:val="en-GB"/>
        </w:rPr>
        <w:t>]</w:t>
      </w:r>
      <w:r w:rsidRPr="0050649F">
        <w:rPr>
          <w:rFonts w:ascii="Book Antiqua" w:hAnsi="Book Antiqua"/>
          <w:lang w:val="en-GB"/>
        </w:rPr>
        <w:t xml:space="preserve">. CRP seems to be less reliable in reflecting endoscopic inflammation, compared to stool markers, like calprotectin or lactoferrin, while the </w:t>
      </w:r>
      <w:r w:rsidRPr="0050649F">
        <w:rPr>
          <w:rFonts w:ascii="Book Antiqua" w:hAnsi="Book Antiqua"/>
          <w:lang w:val="en-GB"/>
        </w:rPr>
        <w:lastRenderedPageBreak/>
        <w:t>combination of stool markers, CRP and the clinical scores, can improve the diagnostic accuracy, especially in UC</w:t>
      </w:r>
      <w:r w:rsidRPr="0050649F">
        <w:rPr>
          <w:rFonts w:ascii="Book Antiqua" w:hAnsi="Book Antiqua"/>
          <w:vertAlign w:val="superscript"/>
          <w:lang w:val="en-GB"/>
        </w:rPr>
        <w:t>[</w:t>
      </w:r>
      <w:bookmarkStart w:id="5" w:name="_Ref299373494"/>
      <w:r w:rsidRPr="0050649F">
        <w:rPr>
          <w:rFonts w:ascii="Book Antiqua" w:hAnsi="Book Antiqua"/>
          <w:vertAlign w:val="superscript"/>
          <w:lang w:val="en-GB"/>
        </w:rPr>
        <w:t>34,</w:t>
      </w:r>
      <w:bookmarkEnd w:id="5"/>
      <w:r w:rsidRPr="0050649F">
        <w:rPr>
          <w:rStyle w:val="EndnoteReference"/>
          <w:rFonts w:ascii="Book Antiqua" w:hAnsi="Book Antiqua"/>
          <w:lang w:val="en-GB"/>
        </w:rPr>
        <w:t>35</w:t>
      </w:r>
      <w:r w:rsidRPr="0050649F">
        <w:rPr>
          <w:rFonts w:ascii="Book Antiqua" w:hAnsi="Book Antiqua"/>
          <w:vertAlign w:val="superscript"/>
          <w:lang w:val="en-GB"/>
        </w:rPr>
        <w:t>]</w:t>
      </w:r>
      <w:r w:rsidRPr="0050649F">
        <w:rPr>
          <w:rFonts w:ascii="Book Antiqua" w:hAnsi="Book Antiqua"/>
          <w:lang w:val="en-GB"/>
        </w:rPr>
        <w:t xml:space="preserve">. </w:t>
      </w:r>
    </w:p>
    <w:p w14:paraId="1209B7F8" w14:textId="77777777" w:rsidR="00A24C79" w:rsidRPr="0050649F" w:rsidRDefault="00A24C79" w:rsidP="00C97716">
      <w:pPr>
        <w:spacing w:line="360" w:lineRule="auto"/>
        <w:jc w:val="both"/>
        <w:rPr>
          <w:rFonts w:ascii="Book Antiqua" w:hAnsi="Book Antiqua"/>
          <w:i/>
          <w:lang w:val="en-GB"/>
        </w:rPr>
      </w:pPr>
    </w:p>
    <w:p w14:paraId="19E363BD" w14:textId="79CCE672" w:rsidR="00A24C79" w:rsidRPr="002636C5" w:rsidRDefault="00A24C79" w:rsidP="00C97716">
      <w:pPr>
        <w:spacing w:line="360" w:lineRule="auto"/>
        <w:jc w:val="both"/>
        <w:rPr>
          <w:rFonts w:ascii="Book Antiqua" w:hAnsi="Book Antiqua"/>
          <w:b/>
          <w:i/>
          <w:lang w:val="en-GB"/>
        </w:rPr>
      </w:pPr>
      <w:r w:rsidRPr="002636C5">
        <w:rPr>
          <w:rFonts w:ascii="Book Antiqua" w:hAnsi="Book Antiqua"/>
          <w:b/>
          <w:i/>
          <w:lang w:val="en-GB"/>
        </w:rPr>
        <w:t xml:space="preserve">Fecal calprotectin </w:t>
      </w:r>
    </w:p>
    <w:p w14:paraId="4375F771" w14:textId="35397F14" w:rsidR="00A24C79" w:rsidRPr="0050649F" w:rsidRDefault="002636C5" w:rsidP="00C97716">
      <w:pPr>
        <w:spacing w:line="360" w:lineRule="auto"/>
        <w:jc w:val="both"/>
        <w:rPr>
          <w:rFonts w:ascii="Book Antiqua" w:hAnsi="Book Antiqua"/>
          <w:lang w:val="en-GB"/>
        </w:rPr>
      </w:pPr>
      <w:r w:rsidRPr="002636C5">
        <w:rPr>
          <w:rFonts w:ascii="Book Antiqua" w:hAnsi="Book Antiqua"/>
          <w:lang w:val="en-GB"/>
        </w:rPr>
        <w:t>Fecal calprotecti</w:t>
      </w:r>
      <w:r>
        <w:rPr>
          <w:rFonts w:ascii="Book Antiqua" w:hAnsi="Book Antiqua"/>
          <w:lang w:val="en-GB"/>
        </w:rPr>
        <w:t>n (FC)</w:t>
      </w:r>
      <w:r w:rsidR="00A24C79" w:rsidRPr="0050649F">
        <w:rPr>
          <w:rFonts w:ascii="Book Antiqua" w:hAnsi="Book Antiqua"/>
          <w:lang w:val="en-GB"/>
        </w:rPr>
        <w:t xml:space="preserve"> is a heterodimer composed of two subunits, S100A8 and S100A9, representing almost 60% of neutrophilic cytosolic soluble proteins; it can bind calcium and </w:t>
      </w:r>
      <w:r w:rsidR="00A24C79" w:rsidRPr="0050649F">
        <w:rPr>
          <w:rFonts w:ascii="Book Antiqua" w:hAnsi="Book Antiqua"/>
          <w:i/>
          <w:lang w:val="en-GB"/>
        </w:rPr>
        <w:t>in vitro</w:t>
      </w:r>
      <w:r w:rsidR="00A24C79" w:rsidRPr="0050649F">
        <w:rPr>
          <w:rFonts w:ascii="Book Antiqua" w:hAnsi="Book Antiqua"/>
          <w:lang w:val="en-GB"/>
        </w:rPr>
        <w:t xml:space="preserve"> it showed mild antifungal and bacteriostatic activity. It is released by neutrophils during their activation or death and, being highly represented in the luminal side of the enterocytes, it is easily measurable in faeces. Measurement correlates with gut inflammatory activity with good accuracy, and several studies have shown a significantly higher level of fecal calprotectin in subjects with IBD compared to normal </w:t>
      </w:r>
      <w:proofErr w:type="gramStart"/>
      <w:r w:rsidR="00A24C79" w:rsidRPr="0050649F">
        <w:rPr>
          <w:rFonts w:ascii="Book Antiqua" w:hAnsi="Book Antiqua"/>
          <w:lang w:val="en-GB"/>
        </w:rPr>
        <w:t>controls</w:t>
      </w:r>
      <w:r w:rsidR="00A24C79" w:rsidRPr="0050649F">
        <w:rPr>
          <w:rFonts w:ascii="Book Antiqua" w:hAnsi="Book Antiqua"/>
          <w:vertAlign w:val="superscript"/>
          <w:lang w:val="en-GB"/>
        </w:rPr>
        <w:t>[</w:t>
      </w:r>
      <w:proofErr w:type="gramEnd"/>
      <w:r w:rsidR="00A24C79" w:rsidRPr="0050649F">
        <w:rPr>
          <w:rFonts w:ascii="Book Antiqua" w:hAnsi="Book Antiqua"/>
          <w:vertAlign w:val="superscript"/>
          <w:lang w:val="en-GB"/>
        </w:rPr>
        <w:t>36]</w:t>
      </w:r>
      <w:r w:rsidR="00A24C79" w:rsidRPr="0050649F">
        <w:rPr>
          <w:rFonts w:ascii="Book Antiqua" w:hAnsi="Book Antiqua"/>
          <w:lang w:val="en-GB"/>
        </w:rPr>
        <w:t xml:space="preserve">. </w:t>
      </w:r>
    </w:p>
    <w:p w14:paraId="1FA28338" w14:textId="1A247970" w:rsidR="00A24C79" w:rsidRPr="0050649F" w:rsidRDefault="00A24C79" w:rsidP="00DD6543">
      <w:pPr>
        <w:spacing w:line="360" w:lineRule="auto"/>
        <w:ind w:firstLineChars="100" w:firstLine="240"/>
        <w:jc w:val="both"/>
        <w:rPr>
          <w:rFonts w:ascii="Book Antiqua" w:hAnsi="Book Antiqua"/>
          <w:lang w:val="en-GB"/>
        </w:rPr>
      </w:pPr>
      <w:r w:rsidRPr="0050649F">
        <w:rPr>
          <w:rFonts w:ascii="Book Antiqua" w:hAnsi="Book Antiqua"/>
          <w:lang w:val="en-GB"/>
        </w:rPr>
        <w:t>To date, FC is considered a useful tool in the IBD diagnostic work-up, with a sensitivity of 95</w:t>
      </w:r>
      <w:r w:rsidR="00DD6543">
        <w:rPr>
          <w:rFonts w:ascii="Book Antiqua" w:eastAsia="宋体" w:hAnsi="Book Antiqua" w:hint="eastAsia"/>
          <w:lang w:val="en-GB" w:eastAsia="zh-CN"/>
        </w:rPr>
        <w:t>%</w:t>
      </w:r>
      <w:r w:rsidRPr="0050649F">
        <w:rPr>
          <w:rFonts w:ascii="Book Antiqua" w:hAnsi="Book Antiqua"/>
          <w:lang w:val="en-GB"/>
        </w:rPr>
        <w:t>-100% and a specificity of 35</w:t>
      </w:r>
      <w:r w:rsidR="00DD6543">
        <w:rPr>
          <w:rFonts w:ascii="Book Antiqua" w:eastAsia="宋体" w:hAnsi="Book Antiqua" w:hint="eastAsia"/>
          <w:lang w:val="en-GB" w:eastAsia="zh-CN"/>
        </w:rPr>
        <w:t>%</w:t>
      </w:r>
      <w:r w:rsidRPr="0050649F">
        <w:rPr>
          <w:rFonts w:ascii="Book Antiqua" w:hAnsi="Book Antiqua"/>
          <w:lang w:val="en-GB"/>
        </w:rPr>
        <w:t xml:space="preserve">-50%, according to different </w:t>
      </w:r>
      <w:proofErr w:type="gramStart"/>
      <w:r w:rsidRPr="0050649F">
        <w:rPr>
          <w:rFonts w:ascii="Book Antiqua" w:hAnsi="Book Antiqua"/>
          <w:lang w:val="en-GB"/>
        </w:rPr>
        <w:t>studies</w:t>
      </w:r>
      <w:r w:rsidRPr="0050649F">
        <w:rPr>
          <w:rFonts w:ascii="Book Antiqua" w:hAnsi="Book Antiqua"/>
          <w:vertAlign w:val="superscript"/>
          <w:lang w:val="en-GB"/>
        </w:rPr>
        <w:t>[</w:t>
      </w:r>
      <w:bookmarkStart w:id="6" w:name="_Ref299373627"/>
      <w:proofErr w:type="gramEnd"/>
      <w:r w:rsidRPr="0050649F">
        <w:rPr>
          <w:rFonts w:ascii="Book Antiqua" w:hAnsi="Book Antiqua"/>
          <w:vertAlign w:val="superscript"/>
          <w:lang w:val="en-GB"/>
        </w:rPr>
        <w:t>35,</w:t>
      </w:r>
      <w:bookmarkEnd w:id="6"/>
      <w:r w:rsidRPr="0050649F">
        <w:rPr>
          <w:rFonts w:ascii="Book Antiqua" w:hAnsi="Book Antiqua"/>
          <w:vertAlign w:val="superscript"/>
          <w:lang w:val="en-GB"/>
        </w:rPr>
        <w:t>37]</w:t>
      </w:r>
      <w:r w:rsidRPr="0050649F">
        <w:rPr>
          <w:rFonts w:ascii="Book Antiqua" w:hAnsi="Book Antiqua"/>
          <w:lang w:val="en-GB"/>
        </w:rPr>
        <w:t>. However, considering adjusted cut-offs, FC specificity increased, especially compared to other non-invasive markers, like polymorphonuclear-elastase (PMN-e) or lactoferrin, though the latter has been proven to have slightly higher sensibility in UC</w:t>
      </w:r>
      <w:r w:rsidRPr="0050649F">
        <w:rPr>
          <w:rFonts w:ascii="Book Antiqua" w:hAnsi="Book Antiqua"/>
          <w:vertAlign w:val="superscript"/>
          <w:lang w:val="en-GB"/>
        </w:rPr>
        <w:t>[35]</w:t>
      </w:r>
      <w:r w:rsidRPr="0050649F">
        <w:rPr>
          <w:rFonts w:ascii="Book Antiqua" w:hAnsi="Book Antiqua"/>
          <w:lang w:val="en-GB"/>
        </w:rPr>
        <w:t xml:space="preserve">. In clinical practice, FC is increasingly used also in the follow-up of IBDs, to guide clinical and therapeutic choices, such as optimization or discontinuation of </w:t>
      </w:r>
      <w:proofErr w:type="gramStart"/>
      <w:r w:rsidRPr="0050649F">
        <w:rPr>
          <w:rFonts w:ascii="Book Antiqua" w:hAnsi="Book Antiqua"/>
          <w:lang w:val="en-GB"/>
        </w:rPr>
        <w:t>treatment</w:t>
      </w:r>
      <w:r w:rsidRPr="0050649F">
        <w:rPr>
          <w:rFonts w:ascii="Book Antiqua" w:hAnsi="Book Antiqua"/>
          <w:vertAlign w:val="superscript"/>
          <w:lang w:val="en-GB"/>
        </w:rPr>
        <w:t>[</w:t>
      </w:r>
      <w:proofErr w:type="gramEnd"/>
      <w:r w:rsidRPr="0050649F">
        <w:rPr>
          <w:rFonts w:ascii="Book Antiqua" w:hAnsi="Book Antiqua"/>
          <w:vertAlign w:val="superscript"/>
          <w:lang w:val="en-GB"/>
        </w:rPr>
        <w:t>37]</w:t>
      </w:r>
      <w:r w:rsidRPr="0050649F">
        <w:rPr>
          <w:rFonts w:ascii="Book Antiqua" w:hAnsi="Book Antiqua"/>
          <w:lang w:val="en-GB"/>
        </w:rPr>
        <w:t>.</w:t>
      </w:r>
    </w:p>
    <w:p w14:paraId="3890B4AA" w14:textId="77777777" w:rsidR="00A24C79" w:rsidRPr="0050649F" w:rsidRDefault="00A24C79" w:rsidP="00DD6543">
      <w:pPr>
        <w:spacing w:line="360" w:lineRule="auto"/>
        <w:ind w:firstLineChars="100" w:firstLine="240"/>
        <w:jc w:val="both"/>
        <w:rPr>
          <w:rFonts w:ascii="Book Antiqua" w:hAnsi="Book Antiqua"/>
          <w:lang w:val="en-GB"/>
        </w:rPr>
      </w:pPr>
      <w:r w:rsidRPr="0050649F">
        <w:rPr>
          <w:rFonts w:ascii="Book Antiqua" w:hAnsi="Book Antiqua"/>
          <w:lang w:val="en-GB"/>
        </w:rPr>
        <w:t>In former studies, FC has proven to have a good correlation with endoscopic findings and scores, both in UC</w:t>
      </w:r>
      <w:r w:rsidRPr="0050649F">
        <w:rPr>
          <w:rFonts w:ascii="Book Antiqua" w:hAnsi="Book Antiqua"/>
          <w:vertAlign w:val="superscript"/>
          <w:lang w:val="en-GB"/>
        </w:rPr>
        <w:t xml:space="preserve">[35] </w:t>
      </w:r>
      <w:r w:rsidRPr="0050649F">
        <w:rPr>
          <w:rFonts w:ascii="Book Antiqua" w:hAnsi="Book Antiqua"/>
          <w:lang w:val="en-GB"/>
        </w:rPr>
        <w:t>and CD</w:t>
      </w:r>
      <w:r w:rsidRPr="0050649F">
        <w:rPr>
          <w:rFonts w:ascii="Book Antiqua" w:hAnsi="Book Antiqua"/>
          <w:vertAlign w:val="superscript"/>
          <w:lang w:val="en-GB"/>
        </w:rPr>
        <w:t>[</w:t>
      </w:r>
      <w:r w:rsidRPr="0050649F">
        <w:rPr>
          <w:rStyle w:val="EndnoteReference"/>
          <w:rFonts w:ascii="Book Antiqua" w:hAnsi="Book Antiqua"/>
          <w:lang w:val="en-GB"/>
        </w:rPr>
        <w:t>38</w:t>
      </w:r>
      <w:r w:rsidRPr="0050649F">
        <w:rPr>
          <w:rFonts w:ascii="Book Antiqua" w:hAnsi="Book Antiqua"/>
          <w:vertAlign w:val="superscript"/>
          <w:lang w:val="en-GB"/>
        </w:rPr>
        <w:t>]</w:t>
      </w:r>
      <w:r w:rsidRPr="0050649F">
        <w:rPr>
          <w:rFonts w:ascii="Book Antiqua" w:hAnsi="Book Antiqua"/>
          <w:lang w:val="en-GB"/>
        </w:rPr>
        <w:t xml:space="preserve">, and in a very recent paper, a cut-off level of 192 mg/kg of FC identified patients with MH assessed by the Mayo endoscopic subscore and UCEIS with negative predictive values of 0.90 and 0.93, respectively. Moreover, a cut-off level of 171 mg/kg identified patients with histological </w:t>
      </w:r>
      <w:proofErr w:type="gramStart"/>
      <w:r w:rsidRPr="0050649F">
        <w:rPr>
          <w:rFonts w:ascii="Book Antiqua" w:hAnsi="Book Antiqua"/>
          <w:lang w:val="en-GB"/>
        </w:rPr>
        <w:t>healing</w:t>
      </w:r>
      <w:r w:rsidRPr="0050649F">
        <w:rPr>
          <w:rFonts w:ascii="Book Antiqua" w:hAnsi="Book Antiqua"/>
          <w:vertAlign w:val="superscript"/>
          <w:lang w:val="en-GB"/>
        </w:rPr>
        <w:t>[</w:t>
      </w:r>
      <w:proofErr w:type="gramEnd"/>
      <w:r w:rsidRPr="0050649F">
        <w:rPr>
          <w:rFonts w:ascii="Book Antiqua" w:hAnsi="Book Antiqua"/>
          <w:vertAlign w:val="superscript"/>
          <w:lang w:val="en-GB"/>
        </w:rPr>
        <w:t>39]</w:t>
      </w:r>
      <w:r w:rsidRPr="0050649F">
        <w:rPr>
          <w:rFonts w:ascii="Book Antiqua" w:hAnsi="Book Antiqua"/>
          <w:lang w:val="en-GB"/>
        </w:rPr>
        <w:t>.</w:t>
      </w:r>
    </w:p>
    <w:p w14:paraId="226FB5E0" w14:textId="77777777" w:rsidR="00A24C79" w:rsidRPr="0050649F" w:rsidRDefault="00A24C79" w:rsidP="00C97716">
      <w:pPr>
        <w:spacing w:line="360" w:lineRule="auto"/>
        <w:jc w:val="both"/>
        <w:rPr>
          <w:rFonts w:ascii="Book Antiqua" w:hAnsi="Book Antiqua"/>
          <w:i/>
          <w:lang w:val="en-GB"/>
        </w:rPr>
      </w:pPr>
    </w:p>
    <w:p w14:paraId="32A11D3B" w14:textId="680B6579" w:rsidR="00A24C79" w:rsidRPr="00DD6543" w:rsidRDefault="00DD6543" w:rsidP="00C97716">
      <w:pPr>
        <w:spacing w:line="360" w:lineRule="auto"/>
        <w:jc w:val="both"/>
        <w:rPr>
          <w:rFonts w:ascii="Book Antiqua" w:hAnsi="Book Antiqua"/>
          <w:b/>
          <w:i/>
          <w:lang w:val="en-GB"/>
        </w:rPr>
      </w:pPr>
      <w:r w:rsidRPr="00DD6543">
        <w:rPr>
          <w:rFonts w:ascii="Book Antiqua" w:hAnsi="Book Antiqua"/>
          <w:b/>
          <w:i/>
          <w:lang w:val="en-GB"/>
        </w:rPr>
        <w:t>NGAL-MMP-9</w:t>
      </w:r>
      <w:r w:rsidR="00A24C79" w:rsidRPr="00DD6543">
        <w:rPr>
          <w:rFonts w:ascii="Book Antiqua" w:hAnsi="Book Antiqua"/>
          <w:b/>
          <w:i/>
          <w:lang w:val="en-GB"/>
        </w:rPr>
        <w:t xml:space="preserve"> complex</w:t>
      </w:r>
    </w:p>
    <w:p w14:paraId="69EB2584" w14:textId="5F9B8D72" w:rsidR="00A24C79" w:rsidRPr="0050649F" w:rsidRDefault="00A24C79" w:rsidP="00C97716">
      <w:pPr>
        <w:spacing w:line="360" w:lineRule="auto"/>
        <w:jc w:val="both"/>
        <w:rPr>
          <w:rFonts w:ascii="Book Antiqua" w:hAnsi="Book Antiqua"/>
          <w:lang w:val="en-GB"/>
        </w:rPr>
      </w:pPr>
      <w:r w:rsidRPr="0050649F">
        <w:rPr>
          <w:rFonts w:ascii="Book Antiqua" w:hAnsi="Book Antiqua"/>
          <w:lang w:val="en-GB"/>
        </w:rPr>
        <w:t xml:space="preserve">MMP-9 is a zinc-dependent peptidase, belonging to the bigger family of MMPs, involved in the degradation of extracellular matrix, in angiogenesis, in remodelling of tissues, and wound healing. MMP activity is regulated by tissue inhibitors of metalloproteinases (TIMPs) that bind MMPs in order to balance the process of matrix degradation and synthesis. Another protein involved in this process is neutrophil gelatinase-associated lipocalin (NGAL), mostly contained in secondary granules of neutrophils. This marker, measured in the urine, has been shown to promptly respond to Infliximab (IFX) </w:t>
      </w:r>
      <w:proofErr w:type="gramStart"/>
      <w:r w:rsidRPr="0050649F">
        <w:rPr>
          <w:rFonts w:ascii="Book Antiqua" w:hAnsi="Book Antiqua"/>
          <w:lang w:val="en-GB"/>
        </w:rPr>
        <w:t>infusion</w:t>
      </w:r>
      <w:r w:rsidRPr="0050649F">
        <w:rPr>
          <w:rFonts w:ascii="Book Antiqua" w:hAnsi="Book Antiqua"/>
          <w:vertAlign w:val="superscript"/>
          <w:lang w:val="en-GB"/>
        </w:rPr>
        <w:t>[</w:t>
      </w:r>
      <w:proofErr w:type="gramEnd"/>
      <w:r w:rsidRPr="0050649F">
        <w:rPr>
          <w:rFonts w:ascii="Book Antiqua" w:hAnsi="Book Antiqua"/>
          <w:vertAlign w:val="superscript"/>
          <w:lang w:val="en-GB"/>
        </w:rPr>
        <w:t>40]</w:t>
      </w:r>
      <w:r w:rsidRPr="0050649F">
        <w:rPr>
          <w:rFonts w:ascii="Book Antiqua" w:hAnsi="Book Antiqua"/>
          <w:lang w:val="en-GB"/>
        </w:rPr>
        <w:t xml:space="preserve">. MMP-9 and NGAL blood levels are both increased in active IBDs. Recent </w:t>
      </w:r>
      <w:r w:rsidRPr="0050649F">
        <w:rPr>
          <w:rFonts w:ascii="Book Antiqua" w:hAnsi="Book Antiqua"/>
          <w:lang w:val="en-GB"/>
        </w:rPr>
        <w:lastRenderedPageBreak/>
        <w:t xml:space="preserve">studies have assessed that NGAL binds MMP-9 to avoid degradation of the latter. A dosage of NGAL-MMP-9 complex has been reported to be a sensitive marker of </w:t>
      </w:r>
      <w:r w:rsidR="00C97716" w:rsidRPr="0050649F">
        <w:rPr>
          <w:rFonts w:ascii="Book Antiqua" w:hAnsi="Book Antiqua"/>
          <w:lang w:val="en-GB"/>
        </w:rPr>
        <w:t>MH</w:t>
      </w:r>
      <w:r w:rsidRPr="0050649F">
        <w:rPr>
          <w:rFonts w:ascii="Book Antiqua" w:hAnsi="Book Antiqua"/>
          <w:lang w:val="en-GB"/>
        </w:rPr>
        <w:t>. In a recent study, serum NGAL-MMP-9 complex was measured in UC patients before and after treatment with IFX; at the endoscopic check, MH was defined as Mayo 1 or Mayo 0 endoscopic subscore. The serum NGAL-MMP-9 complex was higher in UC patients in comparison to healthy controls; a cut-off level of 97.7 ng/m</w:t>
      </w:r>
      <w:r w:rsidR="00837A83" w:rsidRPr="0050649F">
        <w:rPr>
          <w:rFonts w:ascii="Book Antiqua" w:hAnsi="Book Antiqua"/>
          <w:lang w:val="en-GB"/>
        </w:rPr>
        <w:t>L</w:t>
      </w:r>
      <w:r w:rsidRPr="0050649F">
        <w:rPr>
          <w:rFonts w:ascii="Book Antiqua" w:hAnsi="Book Antiqua"/>
          <w:lang w:val="en-GB"/>
        </w:rPr>
        <w:t xml:space="preserve"> identified patients with </w:t>
      </w:r>
      <w:r w:rsidR="00C97716" w:rsidRPr="0050649F">
        <w:rPr>
          <w:rFonts w:ascii="Book Antiqua" w:hAnsi="Book Antiqua"/>
          <w:lang w:val="en-GB"/>
        </w:rPr>
        <w:t>MH</w:t>
      </w:r>
      <w:r w:rsidRPr="0050649F">
        <w:rPr>
          <w:rFonts w:ascii="Book Antiqua" w:hAnsi="Book Antiqua"/>
          <w:lang w:val="en-GB"/>
        </w:rPr>
        <w:t xml:space="preserve"> at </w:t>
      </w:r>
      <w:proofErr w:type="gramStart"/>
      <w:r w:rsidRPr="0050649F">
        <w:rPr>
          <w:rFonts w:ascii="Book Antiqua" w:hAnsi="Book Antiqua"/>
          <w:lang w:val="en-GB"/>
        </w:rPr>
        <w:t>endoscopy</w:t>
      </w:r>
      <w:r w:rsidRPr="0050649F">
        <w:rPr>
          <w:rFonts w:ascii="Book Antiqua" w:hAnsi="Book Antiqua"/>
          <w:vertAlign w:val="superscript"/>
          <w:lang w:val="en-GB"/>
        </w:rPr>
        <w:t>[</w:t>
      </w:r>
      <w:proofErr w:type="gramEnd"/>
      <w:r w:rsidRPr="0050649F">
        <w:rPr>
          <w:rFonts w:ascii="Book Antiqua" w:hAnsi="Book Antiqua"/>
          <w:vertAlign w:val="superscript"/>
          <w:lang w:val="en-GB"/>
        </w:rPr>
        <w:t>41]</w:t>
      </w:r>
      <w:r w:rsidRPr="0050649F">
        <w:rPr>
          <w:rFonts w:ascii="Book Antiqua" w:hAnsi="Book Antiqua"/>
          <w:lang w:val="en-GB"/>
        </w:rPr>
        <w:t xml:space="preserve">. Similar findings have now been reported also </w:t>
      </w:r>
      <w:r w:rsidRPr="0050649F">
        <w:rPr>
          <w:rFonts w:ascii="Book Antiqua" w:hAnsi="Book Antiqua"/>
          <w:lang w:val="en-US"/>
        </w:rPr>
        <w:t xml:space="preserve">in </w:t>
      </w:r>
      <w:proofErr w:type="gramStart"/>
      <w:r w:rsidRPr="0050649F">
        <w:rPr>
          <w:rFonts w:ascii="Book Antiqua" w:hAnsi="Book Antiqua"/>
          <w:lang w:val="en-US"/>
        </w:rPr>
        <w:t>CD</w:t>
      </w:r>
      <w:r w:rsidRPr="0050649F">
        <w:rPr>
          <w:rFonts w:ascii="Book Antiqua" w:hAnsi="Book Antiqua"/>
          <w:vertAlign w:val="superscript"/>
          <w:lang w:val="en-US"/>
        </w:rPr>
        <w:t>[</w:t>
      </w:r>
      <w:proofErr w:type="gramEnd"/>
      <w:r w:rsidRPr="0050649F">
        <w:rPr>
          <w:rStyle w:val="EndnoteReference"/>
          <w:rFonts w:ascii="Book Antiqua" w:hAnsi="Book Antiqua"/>
          <w:lang w:val="en-US"/>
        </w:rPr>
        <w:t>42</w:t>
      </w:r>
      <w:r w:rsidRPr="0050649F">
        <w:rPr>
          <w:rFonts w:ascii="Book Antiqua" w:hAnsi="Book Antiqua"/>
          <w:vertAlign w:val="superscript"/>
          <w:lang w:val="en-US"/>
        </w:rPr>
        <w:t>]</w:t>
      </w:r>
      <w:r w:rsidRPr="0050649F">
        <w:rPr>
          <w:rFonts w:ascii="Book Antiqua" w:hAnsi="Book Antiqua"/>
          <w:lang w:val="en-US"/>
        </w:rPr>
        <w:t>.</w:t>
      </w:r>
    </w:p>
    <w:p w14:paraId="7D0B24EC" w14:textId="77777777" w:rsidR="00A24C79" w:rsidRPr="0050649F" w:rsidRDefault="00A24C79" w:rsidP="00C97716">
      <w:pPr>
        <w:spacing w:line="360" w:lineRule="auto"/>
        <w:jc w:val="both"/>
        <w:rPr>
          <w:rFonts w:ascii="Book Antiqua" w:hAnsi="Book Antiqua"/>
          <w:lang w:val="en-GB"/>
        </w:rPr>
      </w:pPr>
    </w:p>
    <w:p w14:paraId="2F94681F" w14:textId="053CB761" w:rsidR="00A24C79" w:rsidRPr="00837A83" w:rsidRDefault="00837A83" w:rsidP="00C97716">
      <w:pPr>
        <w:spacing w:line="360" w:lineRule="auto"/>
        <w:jc w:val="both"/>
        <w:rPr>
          <w:rFonts w:ascii="Book Antiqua" w:hAnsi="Book Antiqua"/>
          <w:b/>
          <w:lang w:val="en-GB"/>
        </w:rPr>
      </w:pPr>
      <w:r w:rsidRPr="00837A83">
        <w:rPr>
          <w:rFonts w:ascii="Book Antiqua" w:hAnsi="Book Antiqua"/>
          <w:b/>
          <w:lang w:val="en-GB"/>
        </w:rPr>
        <w:t>HOW TO ACHIEVE MH</w:t>
      </w:r>
    </w:p>
    <w:p w14:paraId="6B6B46CC" w14:textId="77777777" w:rsidR="00A24C79" w:rsidRPr="0050649F" w:rsidRDefault="00A24C79" w:rsidP="00C97716">
      <w:pPr>
        <w:spacing w:line="360" w:lineRule="auto"/>
        <w:jc w:val="both"/>
        <w:rPr>
          <w:rFonts w:ascii="Book Antiqua" w:hAnsi="Book Antiqua"/>
          <w:lang w:val="en-GB"/>
        </w:rPr>
      </w:pPr>
      <w:r w:rsidRPr="0050649F">
        <w:rPr>
          <w:rFonts w:ascii="Book Antiqua" w:hAnsi="Book Antiqua"/>
          <w:lang w:val="en-GB"/>
        </w:rPr>
        <w:t>Almost every kind of therapy has been described to achieve MH and the choice of treatment depends on the severity of the disease.</w:t>
      </w:r>
      <w:r w:rsidRPr="0050649F">
        <w:rPr>
          <w:rFonts w:ascii="Book Antiqua" w:hAnsi="Book Antiqua"/>
          <w:b/>
          <w:i/>
          <w:lang w:val="en-GB"/>
        </w:rPr>
        <w:t xml:space="preserve"> </w:t>
      </w:r>
      <w:r w:rsidRPr="0050649F">
        <w:rPr>
          <w:rFonts w:ascii="Book Antiqua" w:hAnsi="Book Antiqua"/>
          <w:lang w:val="en-GB"/>
        </w:rPr>
        <w:t xml:space="preserve">In the classical step-up model of therapy, the first choice is mesalazine (limited to UC) followed by low bioavailability steroids, systemic steroids, immunomodulators and, finally, biologics. We hereafter briefly review the available data on treatment success in terms of MH with the different therapies in UC and in CD. </w:t>
      </w:r>
    </w:p>
    <w:p w14:paraId="0D8802A3" w14:textId="77777777" w:rsidR="00A24C79" w:rsidRPr="0050649F" w:rsidRDefault="00A24C79" w:rsidP="00C97716">
      <w:pPr>
        <w:spacing w:line="360" w:lineRule="auto"/>
        <w:jc w:val="both"/>
        <w:rPr>
          <w:rFonts w:ascii="Book Antiqua" w:hAnsi="Book Antiqua"/>
          <w:lang w:val="en-GB"/>
        </w:rPr>
      </w:pPr>
    </w:p>
    <w:p w14:paraId="35D9EAE0" w14:textId="2E8B7F1C" w:rsidR="00A24C79" w:rsidRPr="0050649F" w:rsidRDefault="0050649F" w:rsidP="00C97716">
      <w:pPr>
        <w:spacing w:line="360" w:lineRule="auto"/>
        <w:jc w:val="both"/>
        <w:rPr>
          <w:rFonts w:ascii="Book Antiqua" w:hAnsi="Book Antiqua"/>
          <w:b/>
          <w:lang w:val="en-GB"/>
        </w:rPr>
      </w:pPr>
      <w:r w:rsidRPr="0050649F">
        <w:rPr>
          <w:rFonts w:ascii="Book Antiqua" w:hAnsi="Book Antiqua"/>
          <w:b/>
          <w:lang w:val="en-GB"/>
        </w:rPr>
        <w:t>UC</w:t>
      </w:r>
    </w:p>
    <w:p w14:paraId="04146E0B" w14:textId="77777777" w:rsidR="00A24C79" w:rsidRPr="00AB12FF" w:rsidRDefault="00A24C79" w:rsidP="00C97716">
      <w:pPr>
        <w:spacing w:line="360" w:lineRule="auto"/>
        <w:jc w:val="both"/>
        <w:rPr>
          <w:rFonts w:ascii="Book Antiqua" w:hAnsi="Book Antiqua"/>
          <w:b/>
          <w:i/>
          <w:lang w:val="en-GB"/>
        </w:rPr>
      </w:pPr>
      <w:r w:rsidRPr="00AB12FF">
        <w:rPr>
          <w:rFonts w:ascii="Book Antiqua" w:hAnsi="Book Antiqua"/>
          <w:b/>
          <w:i/>
          <w:lang w:val="en-GB"/>
        </w:rPr>
        <w:t>Salicylates</w:t>
      </w:r>
    </w:p>
    <w:p w14:paraId="1ECE473B" w14:textId="1B3B2535" w:rsidR="00A24C79" w:rsidRPr="0050649F" w:rsidRDefault="00A24C79" w:rsidP="00C97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n-GB"/>
        </w:rPr>
      </w:pPr>
      <w:r w:rsidRPr="0050649F">
        <w:rPr>
          <w:rFonts w:ascii="Book Antiqua" w:hAnsi="Book Antiqua"/>
          <w:lang w:val="en-GB"/>
        </w:rPr>
        <w:t>Although most studies concerning mesalamine (5-ASA) had been carried out before the introduction of the new paradigm of MH, there are several studies that evaluated efficacy of 5-ASA or newer formulat</w:t>
      </w:r>
      <w:r w:rsidR="00E70439">
        <w:rPr>
          <w:rFonts w:ascii="Book Antiqua" w:hAnsi="Book Antiqua"/>
          <w:lang w:val="en-GB"/>
        </w:rPr>
        <w:t xml:space="preserve">ions to induce MH. Vecchi </w:t>
      </w:r>
      <w:r w:rsidR="00E70439" w:rsidRPr="00E70439">
        <w:rPr>
          <w:rFonts w:ascii="Book Antiqua" w:hAnsi="Book Antiqua"/>
          <w:i/>
          <w:lang w:val="en-GB"/>
        </w:rPr>
        <w:t>et al</w:t>
      </w:r>
      <w:r w:rsidRPr="0050649F">
        <w:rPr>
          <w:rFonts w:ascii="Book Antiqua" w:hAnsi="Book Antiqua"/>
          <w:vertAlign w:val="superscript"/>
          <w:lang w:val="en-GB"/>
        </w:rPr>
        <w:t>[43]</w:t>
      </w:r>
      <w:r w:rsidRPr="0050649F">
        <w:rPr>
          <w:rFonts w:ascii="Book Antiqua" w:hAnsi="Book Antiqua"/>
          <w:lang w:val="en-GB"/>
        </w:rPr>
        <w:t xml:space="preserve">, comparing oral 5-ASA 4 g daily </w:t>
      </w:r>
      <w:r w:rsidRPr="0060236E">
        <w:rPr>
          <w:rFonts w:ascii="Book Antiqua" w:hAnsi="Book Antiqua"/>
          <w:i/>
          <w:lang w:val="en-GB"/>
        </w:rPr>
        <w:t>vs</w:t>
      </w:r>
      <w:r w:rsidRPr="0050649F">
        <w:rPr>
          <w:rFonts w:ascii="Book Antiqua" w:hAnsi="Book Antiqua"/>
          <w:lang w:val="en-GB"/>
        </w:rPr>
        <w:t xml:space="preserve"> oral 5-ASA 2 g + 2 g daily + enema in UC patients, demonstrated the achievement of MH, respectively in 58% and 71% of patients at week 6, assessed by the Rachmilewitz score (</w:t>
      </w:r>
      <w:r w:rsidRPr="00E70439">
        <w:rPr>
          <w:rFonts w:ascii="Book Antiqua" w:hAnsi="Book Antiqua"/>
          <w:lang w:val="en-GB"/>
        </w:rPr>
        <w:t>Tab</w:t>
      </w:r>
      <w:r w:rsidR="00E70439" w:rsidRPr="00E70439">
        <w:rPr>
          <w:rFonts w:ascii="Book Antiqua" w:eastAsia="宋体" w:hAnsi="Book Antiqua" w:hint="eastAsia"/>
          <w:lang w:val="en-GB" w:eastAsia="zh-CN"/>
        </w:rPr>
        <w:t>le</w:t>
      </w:r>
      <w:r w:rsidRPr="00E70439">
        <w:rPr>
          <w:rFonts w:ascii="Book Antiqua" w:hAnsi="Book Antiqua"/>
          <w:lang w:val="en-GB"/>
        </w:rPr>
        <w:t xml:space="preserve"> 1</w:t>
      </w:r>
      <w:r w:rsidR="00E70439">
        <w:rPr>
          <w:rFonts w:ascii="Book Antiqua" w:hAnsi="Book Antiqua"/>
          <w:lang w:val="en-GB"/>
        </w:rPr>
        <w:t xml:space="preserve">). Mansfield </w:t>
      </w:r>
      <w:r w:rsidR="00E70439" w:rsidRPr="00E70439">
        <w:rPr>
          <w:rFonts w:ascii="Book Antiqua" w:hAnsi="Book Antiqua"/>
          <w:i/>
          <w:lang w:val="en-GB"/>
        </w:rPr>
        <w:t xml:space="preserve">et </w:t>
      </w:r>
      <w:proofErr w:type="gramStart"/>
      <w:r w:rsidR="00E70439" w:rsidRPr="00E70439">
        <w:rPr>
          <w:rFonts w:ascii="Book Antiqua" w:hAnsi="Book Antiqua"/>
          <w:i/>
          <w:lang w:val="en-GB"/>
        </w:rPr>
        <w:t>al</w:t>
      </w:r>
      <w:r w:rsidR="00E70439" w:rsidRPr="0050649F">
        <w:rPr>
          <w:rFonts w:ascii="Book Antiqua" w:hAnsi="Book Antiqua"/>
          <w:vertAlign w:val="superscript"/>
          <w:lang w:val="en-GB"/>
        </w:rPr>
        <w:t>[</w:t>
      </w:r>
      <w:proofErr w:type="gramEnd"/>
      <w:r w:rsidR="00E70439" w:rsidRPr="0050649F">
        <w:rPr>
          <w:rFonts w:ascii="Book Antiqua" w:hAnsi="Book Antiqua"/>
          <w:vertAlign w:val="superscript"/>
          <w:lang w:val="en-GB"/>
        </w:rPr>
        <w:t>44]</w:t>
      </w:r>
      <w:r w:rsidRPr="0050649F">
        <w:rPr>
          <w:rFonts w:ascii="Book Antiqua" w:hAnsi="Book Antiqua"/>
          <w:lang w:val="en-GB"/>
        </w:rPr>
        <w:t xml:space="preserve"> compared Balsalazide 6.75 g/</w:t>
      </w:r>
      <w:r w:rsidR="00E70439">
        <w:rPr>
          <w:rFonts w:ascii="Book Antiqua" w:hAnsi="Book Antiqua"/>
          <w:lang w:val="en-GB"/>
        </w:rPr>
        <w:t xml:space="preserve">d </w:t>
      </w:r>
      <w:r w:rsidR="0060236E" w:rsidRPr="0060236E">
        <w:rPr>
          <w:rFonts w:ascii="Book Antiqua" w:hAnsi="Book Antiqua"/>
          <w:i/>
          <w:lang w:val="en-GB"/>
        </w:rPr>
        <w:t>vs</w:t>
      </w:r>
      <w:r w:rsidR="00E70439">
        <w:rPr>
          <w:rFonts w:ascii="Book Antiqua" w:hAnsi="Book Antiqua"/>
          <w:lang w:val="en-GB"/>
        </w:rPr>
        <w:t xml:space="preserve"> Sulfasalazine 3 g/d</w:t>
      </w:r>
      <w:r w:rsidRPr="0050649F">
        <w:rPr>
          <w:rFonts w:ascii="Book Antiqua" w:hAnsi="Book Antiqua"/>
          <w:lang w:val="en-GB"/>
        </w:rPr>
        <w:t xml:space="preserve">; at week 8, MH rate was similar in both groups of UC patients, 27% and 25%. </w:t>
      </w:r>
    </w:p>
    <w:p w14:paraId="6A8F74DA" w14:textId="294E5245" w:rsidR="00A24C79" w:rsidRPr="0050649F" w:rsidRDefault="00A24C79" w:rsidP="00E70439">
      <w:pPr>
        <w:spacing w:line="360" w:lineRule="auto"/>
        <w:ind w:firstLineChars="100" w:firstLine="240"/>
        <w:jc w:val="both"/>
        <w:rPr>
          <w:rFonts w:ascii="Book Antiqua" w:hAnsi="Book Antiqua"/>
          <w:lang w:val="en-GB"/>
        </w:rPr>
      </w:pPr>
      <w:r w:rsidRPr="0050649F">
        <w:rPr>
          <w:rFonts w:ascii="Book Antiqua" w:hAnsi="Book Antiqua"/>
          <w:lang w:val="en-GB"/>
        </w:rPr>
        <w:t>In 2003, Kruis</w:t>
      </w:r>
      <w:r w:rsidR="00E70439">
        <w:rPr>
          <w:rFonts w:ascii="Book Antiqua" w:hAnsi="Book Antiqua"/>
          <w:lang w:val="en-GB"/>
        </w:rPr>
        <w:t xml:space="preserve"> </w:t>
      </w:r>
      <w:r w:rsidR="00E70439" w:rsidRPr="00E70439">
        <w:rPr>
          <w:rFonts w:ascii="Book Antiqua" w:hAnsi="Book Antiqua"/>
          <w:i/>
          <w:lang w:val="en-GB"/>
        </w:rPr>
        <w:t xml:space="preserve">et </w:t>
      </w:r>
      <w:proofErr w:type="gramStart"/>
      <w:r w:rsidR="00E70439" w:rsidRPr="00E70439">
        <w:rPr>
          <w:rFonts w:ascii="Book Antiqua" w:hAnsi="Book Antiqua"/>
          <w:i/>
          <w:lang w:val="en-GB"/>
        </w:rPr>
        <w:t>al</w:t>
      </w:r>
      <w:r w:rsidR="00E70439" w:rsidRPr="0050649F">
        <w:rPr>
          <w:rFonts w:ascii="Book Antiqua" w:hAnsi="Book Antiqua"/>
          <w:vertAlign w:val="superscript"/>
          <w:lang w:val="en-GB"/>
        </w:rPr>
        <w:t>[</w:t>
      </w:r>
      <w:proofErr w:type="gramEnd"/>
      <w:r w:rsidR="00E70439" w:rsidRPr="0050649F">
        <w:rPr>
          <w:rFonts w:ascii="Book Antiqua" w:hAnsi="Book Antiqua"/>
          <w:vertAlign w:val="superscript"/>
          <w:lang w:val="en-GB"/>
        </w:rPr>
        <w:t>45]</w:t>
      </w:r>
      <w:r w:rsidRPr="0050649F">
        <w:rPr>
          <w:rFonts w:ascii="Book Antiqua" w:hAnsi="Book Antiqua"/>
          <w:lang w:val="en-GB"/>
        </w:rPr>
        <w:t xml:space="preserve"> compared the efficacy in UC of three different doses of oral 5-ASA: 0.5 g t.i.d., 1 g t.i.d. and 1.5 g t.i.d.; MH was achieved respectively in 53%, 84% and 70% of patients, assessed at week 8 by the Rachmilewitz score and considering as MH an improvement of the Histological Activity Index (HAI; a score that assesses the degree of mucosal inflammation, ranged between 0 and 3) of at least one point. In 2009, the same author investigated the use of fractionated doses of oral 5-ASA (1 g t.i.d.), with the administration of a single dose (3 g once/day), finding no difference in terms of MH between the two groups of patients (respectively 71%</w:t>
      </w:r>
      <w:r w:rsidRPr="00F84F28">
        <w:rPr>
          <w:rFonts w:ascii="Book Antiqua" w:hAnsi="Book Antiqua"/>
          <w:i/>
          <w:lang w:val="en-GB"/>
        </w:rPr>
        <w:t xml:space="preserve"> </w:t>
      </w:r>
      <w:r w:rsidR="008D57EC" w:rsidRPr="008D57EC">
        <w:rPr>
          <w:rFonts w:ascii="Book Antiqua" w:hAnsi="Book Antiqua"/>
          <w:i/>
          <w:lang w:val="en-US"/>
        </w:rPr>
        <w:t>vs</w:t>
      </w:r>
      <w:r w:rsidRPr="0050649F">
        <w:rPr>
          <w:rFonts w:ascii="Book Antiqua" w:hAnsi="Book Antiqua"/>
          <w:lang w:val="en-GB"/>
        </w:rPr>
        <w:t xml:space="preserve"> 70%)</w:t>
      </w:r>
      <w:r w:rsidRPr="0050649F">
        <w:rPr>
          <w:rFonts w:ascii="Book Antiqua" w:hAnsi="Book Antiqua"/>
          <w:vertAlign w:val="superscript"/>
          <w:lang w:val="en-GB"/>
        </w:rPr>
        <w:t>[46]</w:t>
      </w:r>
      <w:r w:rsidRPr="0050649F">
        <w:rPr>
          <w:rFonts w:ascii="Book Antiqua" w:hAnsi="Book Antiqua"/>
          <w:lang w:val="en-GB"/>
        </w:rPr>
        <w:t xml:space="preserve">. In the ASCEND I study, </w:t>
      </w:r>
      <w:r w:rsidRPr="0050649F">
        <w:rPr>
          <w:rFonts w:ascii="Book Antiqua" w:hAnsi="Book Antiqua"/>
          <w:lang w:val="en-GB"/>
        </w:rPr>
        <w:lastRenderedPageBreak/>
        <w:t xml:space="preserve">Hanauer </w:t>
      </w:r>
      <w:r w:rsidRPr="00F84F28">
        <w:rPr>
          <w:rFonts w:ascii="Book Antiqua" w:hAnsi="Book Antiqua"/>
          <w:i/>
          <w:lang w:val="en-GB"/>
        </w:rPr>
        <w:t xml:space="preserve">et </w:t>
      </w:r>
      <w:proofErr w:type="gramStart"/>
      <w:r w:rsidRPr="00F84F28">
        <w:rPr>
          <w:rFonts w:ascii="Book Antiqua" w:hAnsi="Book Antiqua"/>
          <w:i/>
          <w:lang w:val="en-GB"/>
        </w:rPr>
        <w:t>al</w:t>
      </w:r>
      <w:r w:rsidR="00F84F28" w:rsidRPr="0050649F">
        <w:rPr>
          <w:rFonts w:ascii="Book Antiqua" w:hAnsi="Book Antiqua"/>
          <w:vertAlign w:val="superscript"/>
          <w:lang w:val="en-GB"/>
        </w:rPr>
        <w:t>[</w:t>
      </w:r>
      <w:proofErr w:type="gramEnd"/>
      <w:r w:rsidR="00F84F28" w:rsidRPr="0050649F">
        <w:rPr>
          <w:rFonts w:ascii="Book Antiqua" w:hAnsi="Book Antiqua"/>
          <w:vertAlign w:val="superscript"/>
          <w:lang w:val="en-GB"/>
        </w:rPr>
        <w:t>47]</w:t>
      </w:r>
      <w:r w:rsidRPr="0050649F">
        <w:rPr>
          <w:rFonts w:ascii="Book Antiqua" w:hAnsi="Book Antiqua"/>
          <w:lang w:val="en-GB"/>
        </w:rPr>
        <w:t xml:space="preserve"> evaluated two doses of oral delayed-release 5-ASA in mild to moderate UC</w:t>
      </w:r>
      <w:r w:rsidR="00F84F28">
        <w:rPr>
          <w:rFonts w:ascii="Book Antiqua" w:hAnsi="Book Antiqua"/>
          <w:lang w:val="en-GB"/>
        </w:rPr>
        <w:t xml:space="preserve">: 4.8 g/d </w:t>
      </w:r>
      <w:r w:rsidR="0060236E" w:rsidRPr="0060236E">
        <w:rPr>
          <w:rFonts w:ascii="Book Antiqua" w:hAnsi="Book Antiqua"/>
          <w:i/>
          <w:lang w:val="en-GB"/>
        </w:rPr>
        <w:t>vs</w:t>
      </w:r>
      <w:r w:rsidR="00F84F28">
        <w:rPr>
          <w:rFonts w:ascii="Book Antiqua" w:hAnsi="Book Antiqua"/>
          <w:lang w:val="en-GB"/>
        </w:rPr>
        <w:t xml:space="preserve"> 2.4 g/d</w:t>
      </w:r>
      <w:r w:rsidRPr="0050649F">
        <w:rPr>
          <w:rFonts w:ascii="Book Antiqua" w:hAnsi="Book Antiqua"/>
          <w:lang w:val="en-GB"/>
        </w:rPr>
        <w:t>. Efficacy was assessed by Inflammatory Bowel Disease Questionnaire (IBDQ) and by patient’s global assessment (PGA) a four-point score, based on stool frequency, rectal bleeding, endoscopic findings, patient’s functional assessment (PFA) and the investigator’s clinical assessment. At sigmoidoscopy performed at week 3 and 6, no differences were found between the two groups in terms of MH. Nevertheless, considering only the subgroup of patients with moderate disease, PGA and sigmoidoscopy scores improved significantly in the group on 4</w:t>
      </w:r>
      <w:r w:rsidR="00F84F28">
        <w:rPr>
          <w:rFonts w:ascii="Book Antiqua" w:hAnsi="Book Antiqua"/>
          <w:lang w:val="en-GB"/>
        </w:rPr>
        <w:t>.8 g/d compared with 2.4 g/d</w:t>
      </w:r>
      <w:r w:rsidRPr="0050649F">
        <w:rPr>
          <w:rFonts w:ascii="Book Antiqua" w:hAnsi="Book Antiqua"/>
          <w:lang w:val="en-GB"/>
        </w:rPr>
        <w:t xml:space="preserve"> (84% </w:t>
      </w:r>
      <w:r w:rsidRPr="00F84F28">
        <w:rPr>
          <w:rFonts w:ascii="Book Antiqua" w:hAnsi="Book Antiqua"/>
          <w:i/>
          <w:lang w:val="en-GB"/>
        </w:rPr>
        <w:t>vs</w:t>
      </w:r>
      <w:r w:rsidRPr="0050649F">
        <w:rPr>
          <w:rFonts w:ascii="Book Antiqua" w:hAnsi="Book Antiqua"/>
          <w:lang w:val="en-GB"/>
        </w:rPr>
        <w:t xml:space="preserve"> 67%). In another t</w:t>
      </w:r>
      <w:r w:rsidR="00F84F28">
        <w:rPr>
          <w:rFonts w:ascii="Book Antiqua" w:hAnsi="Book Antiqua"/>
          <w:lang w:val="en-GB"/>
        </w:rPr>
        <w:t>rial with 5-ASA MMX, Kamm</w:t>
      </w:r>
      <w:r w:rsidR="00F84F28" w:rsidRPr="00F84F28">
        <w:rPr>
          <w:rFonts w:ascii="Book Antiqua" w:hAnsi="Book Antiqua"/>
          <w:i/>
          <w:lang w:val="en-GB"/>
        </w:rPr>
        <w:t xml:space="preserve"> et </w:t>
      </w:r>
      <w:proofErr w:type="gramStart"/>
      <w:r w:rsidR="00F84F28" w:rsidRPr="00F84F28">
        <w:rPr>
          <w:rFonts w:ascii="Book Antiqua" w:hAnsi="Book Antiqua"/>
          <w:i/>
          <w:lang w:val="en-GB"/>
        </w:rPr>
        <w:t>al</w:t>
      </w:r>
      <w:r w:rsidRPr="0050649F">
        <w:rPr>
          <w:rFonts w:ascii="Book Antiqua" w:hAnsi="Book Antiqua"/>
          <w:vertAlign w:val="superscript"/>
          <w:lang w:val="en-GB"/>
        </w:rPr>
        <w:t>[</w:t>
      </w:r>
      <w:proofErr w:type="gramEnd"/>
      <w:r w:rsidRPr="0050649F">
        <w:rPr>
          <w:rFonts w:ascii="Book Antiqua" w:hAnsi="Book Antiqua"/>
          <w:vertAlign w:val="superscript"/>
          <w:lang w:val="en-GB"/>
        </w:rPr>
        <w:t>48]</w:t>
      </w:r>
      <w:r w:rsidRPr="0050649F">
        <w:rPr>
          <w:rFonts w:ascii="Book Antiqua" w:hAnsi="Book Antiqua"/>
          <w:lang w:val="en-GB"/>
        </w:rPr>
        <w:t xml:space="preserve"> compare</w:t>
      </w:r>
      <w:r w:rsidR="00F84F28">
        <w:rPr>
          <w:rFonts w:ascii="Book Antiqua" w:hAnsi="Book Antiqua"/>
          <w:lang w:val="en-GB"/>
        </w:rPr>
        <w:t>d 5-ASA MMX 4.8 g/d, 2.4 g/d</w:t>
      </w:r>
      <w:r w:rsidRPr="0050649F">
        <w:rPr>
          <w:rFonts w:ascii="Book Antiqua" w:hAnsi="Book Antiqua"/>
          <w:lang w:val="en-GB"/>
        </w:rPr>
        <w:t xml:space="preserve"> and placebo; an endoscopic follow-up, scheduled at week 8, showed the achievement of </w:t>
      </w:r>
      <w:r w:rsidR="00C97716" w:rsidRPr="0050649F">
        <w:rPr>
          <w:rFonts w:ascii="Book Antiqua" w:hAnsi="Book Antiqua"/>
          <w:lang w:val="en-GB"/>
        </w:rPr>
        <w:t>MH</w:t>
      </w:r>
      <w:r w:rsidRPr="0050649F">
        <w:rPr>
          <w:rFonts w:ascii="Book Antiqua" w:hAnsi="Book Antiqua"/>
          <w:lang w:val="en-GB"/>
        </w:rPr>
        <w:t>, defined by a modified Sutherland score &lt;</w:t>
      </w:r>
      <w:r w:rsidR="00F84F28">
        <w:rPr>
          <w:rFonts w:ascii="Book Antiqua" w:eastAsia="宋体" w:hAnsi="Book Antiqua" w:hint="eastAsia"/>
          <w:lang w:val="en-GB" w:eastAsia="zh-CN"/>
        </w:rPr>
        <w:t xml:space="preserve"> </w:t>
      </w:r>
      <w:r w:rsidRPr="0050649F">
        <w:rPr>
          <w:rFonts w:ascii="Book Antiqua" w:hAnsi="Book Antiqua"/>
          <w:lang w:val="en-GB"/>
        </w:rPr>
        <w:t xml:space="preserve">1, in 77%, 69% and 46% of the patients, respectively. </w:t>
      </w:r>
    </w:p>
    <w:p w14:paraId="603BDAA8" w14:textId="77777777" w:rsidR="003D1CCB" w:rsidRPr="00F84F28" w:rsidRDefault="003D1CCB" w:rsidP="00C97716">
      <w:pPr>
        <w:spacing w:line="360" w:lineRule="auto"/>
        <w:jc w:val="both"/>
        <w:rPr>
          <w:rFonts w:ascii="Book Antiqua" w:eastAsia="宋体" w:hAnsi="Book Antiqua"/>
          <w:i/>
          <w:lang w:val="en-GB" w:eastAsia="zh-CN"/>
        </w:rPr>
      </w:pPr>
    </w:p>
    <w:p w14:paraId="734054E4" w14:textId="77777777" w:rsidR="00A24C79" w:rsidRPr="00F84F28" w:rsidRDefault="00A24C79" w:rsidP="00C97716">
      <w:pPr>
        <w:spacing w:line="360" w:lineRule="auto"/>
        <w:jc w:val="both"/>
        <w:rPr>
          <w:rFonts w:ascii="Book Antiqua" w:hAnsi="Book Antiqua"/>
          <w:b/>
          <w:i/>
          <w:lang w:val="en-GB"/>
        </w:rPr>
      </w:pPr>
      <w:r w:rsidRPr="00F84F28">
        <w:rPr>
          <w:rFonts w:ascii="Book Antiqua" w:hAnsi="Book Antiqua"/>
          <w:b/>
          <w:i/>
          <w:lang w:val="en-GB"/>
        </w:rPr>
        <w:t>Steroids</w:t>
      </w:r>
    </w:p>
    <w:p w14:paraId="0605A45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GB"/>
        </w:rPr>
        <w:t xml:space="preserve">Most trials using corticosteroids steroids have clinical outcomes; this is </w:t>
      </w:r>
      <w:r w:rsidRPr="0050649F">
        <w:rPr>
          <w:rFonts w:ascii="Book Antiqua" w:hAnsi="Book Antiqua"/>
          <w:lang w:val="en-US"/>
        </w:rPr>
        <w:t xml:space="preserve">due to the fact that only recently greater emphasis has been put on mucosal and histological healing. </w:t>
      </w:r>
    </w:p>
    <w:p w14:paraId="217D8A13" w14:textId="40CC6AB1" w:rsidR="00A24C79" w:rsidRPr="0050649F" w:rsidRDefault="00A24C79" w:rsidP="009479BD">
      <w:pPr>
        <w:spacing w:line="360" w:lineRule="auto"/>
        <w:ind w:firstLineChars="100" w:firstLine="240"/>
        <w:jc w:val="both"/>
        <w:rPr>
          <w:rFonts w:ascii="Book Antiqua" w:hAnsi="Book Antiqua"/>
          <w:lang w:val="en-US"/>
        </w:rPr>
      </w:pPr>
      <w:r w:rsidRPr="0050649F">
        <w:rPr>
          <w:rFonts w:ascii="Book Antiqua" w:hAnsi="Book Antiqua"/>
          <w:lang w:val="en-US"/>
        </w:rPr>
        <w:t xml:space="preserve">In 2011, Ardizzone </w:t>
      </w:r>
      <w:r w:rsidRPr="009479BD">
        <w:rPr>
          <w:rFonts w:ascii="Book Antiqua" w:hAnsi="Book Antiqua"/>
          <w:i/>
          <w:lang w:val="en-US"/>
        </w:rPr>
        <w:t xml:space="preserve">et </w:t>
      </w:r>
      <w:proofErr w:type="gramStart"/>
      <w:r w:rsidRPr="009479BD">
        <w:rPr>
          <w:rFonts w:ascii="Book Antiqua" w:hAnsi="Book Antiqua"/>
          <w:i/>
          <w:lang w:val="en-US"/>
        </w:rPr>
        <w:t>al</w:t>
      </w:r>
      <w:r w:rsidR="009479BD" w:rsidRPr="0050649F">
        <w:rPr>
          <w:rFonts w:ascii="Book Antiqua" w:hAnsi="Book Antiqua"/>
          <w:vertAlign w:val="superscript"/>
          <w:lang w:val="en-US"/>
        </w:rPr>
        <w:t>[</w:t>
      </w:r>
      <w:proofErr w:type="gramEnd"/>
      <w:r w:rsidR="009479BD" w:rsidRPr="0050649F">
        <w:rPr>
          <w:rFonts w:ascii="Book Antiqua" w:hAnsi="Book Antiqua"/>
          <w:vertAlign w:val="superscript"/>
          <w:lang w:val="en-US"/>
        </w:rPr>
        <w:t>49]</w:t>
      </w:r>
      <w:r w:rsidRPr="0050649F">
        <w:rPr>
          <w:rFonts w:ascii="Book Antiqua" w:hAnsi="Book Antiqua"/>
          <w:lang w:val="en-US"/>
        </w:rPr>
        <w:t xml:space="preserve"> published a prospective study, based on the observation of 157 patients with moderate to severe UC, needing their first systemic steroid course (40 mg to 60 mg of oral prednisone or parenteral methylprednisolone) within 12 mo from diagnosis. The endoscopic check, scheduled at month 3, showed MH in 38% of patients assessed by the modified Baron score.</w:t>
      </w:r>
    </w:p>
    <w:p w14:paraId="6826BBCA" w14:textId="0AECA97F" w:rsidR="00A24C79" w:rsidRPr="0050649F" w:rsidRDefault="00A24C79" w:rsidP="009479BD">
      <w:pPr>
        <w:spacing w:line="360" w:lineRule="auto"/>
        <w:ind w:firstLineChars="100" w:firstLine="240"/>
        <w:jc w:val="both"/>
        <w:rPr>
          <w:rFonts w:ascii="Book Antiqua" w:hAnsi="Book Antiqua"/>
          <w:lang w:val="en-US"/>
        </w:rPr>
      </w:pPr>
      <w:r w:rsidRPr="0050649F">
        <w:rPr>
          <w:rFonts w:ascii="Book Antiqua" w:hAnsi="Book Antiqua"/>
          <w:lang w:val="en-US"/>
        </w:rPr>
        <w:t>Sandborn</w:t>
      </w:r>
      <w:r w:rsidRPr="009479BD">
        <w:rPr>
          <w:rFonts w:ascii="Book Antiqua" w:hAnsi="Book Antiqua"/>
          <w:i/>
          <w:lang w:val="en-US"/>
        </w:rPr>
        <w:t xml:space="preserve"> et al</w:t>
      </w:r>
      <w:r w:rsidR="009479BD" w:rsidRPr="0050649F">
        <w:rPr>
          <w:rFonts w:ascii="Book Antiqua" w:hAnsi="Book Antiqua"/>
          <w:vertAlign w:val="superscript"/>
          <w:lang w:val="en-US"/>
        </w:rPr>
        <w:t>[</w:t>
      </w:r>
      <w:r w:rsidR="009479BD" w:rsidRPr="0050649F">
        <w:rPr>
          <w:rStyle w:val="EndnoteReference"/>
          <w:rFonts w:ascii="Book Antiqua" w:hAnsi="Book Antiqua"/>
          <w:lang w:val="en-US"/>
        </w:rPr>
        <w:t>50</w:t>
      </w:r>
      <w:r w:rsidR="009479BD" w:rsidRPr="0050649F">
        <w:rPr>
          <w:rFonts w:ascii="Book Antiqua" w:hAnsi="Book Antiqua"/>
          <w:vertAlign w:val="superscript"/>
          <w:lang w:val="en-US"/>
        </w:rPr>
        <w:t>]</w:t>
      </w:r>
      <w:r w:rsidRPr="0050649F">
        <w:rPr>
          <w:rFonts w:ascii="Book Antiqua" w:hAnsi="Book Antiqua"/>
          <w:lang w:val="en-US"/>
        </w:rPr>
        <w:t xml:space="preserve"> compared the use of Budesonide MMX 9 </w:t>
      </w:r>
      <w:r w:rsidR="009479BD">
        <w:rPr>
          <w:rFonts w:ascii="Book Antiqua" w:hAnsi="Book Antiqua"/>
          <w:lang w:val="en-US"/>
        </w:rPr>
        <w:t>mg/d, 6 mg/d</w:t>
      </w:r>
      <w:r w:rsidRPr="0050649F">
        <w:rPr>
          <w:rFonts w:ascii="Book Antiqua" w:hAnsi="Book Antiqua"/>
          <w:lang w:val="en-US"/>
        </w:rPr>
        <w:t xml:space="preserve"> and placebo in 672 UC patients; at week 8, considering a UCDAI score of 0 for MH, 27% of patients achieved</w:t>
      </w:r>
      <w:r w:rsidR="009479BD">
        <w:rPr>
          <w:rFonts w:ascii="Book Antiqua" w:hAnsi="Book Antiqua"/>
          <w:lang w:val="en-US"/>
        </w:rPr>
        <w:t xml:space="preserve"> MH with Budesonide MMX 9 mg/d</w:t>
      </w:r>
      <w:r w:rsidRPr="0050649F">
        <w:rPr>
          <w:rFonts w:ascii="Book Antiqua" w:hAnsi="Book Antiqua"/>
          <w:lang w:val="en-US"/>
        </w:rPr>
        <w:t xml:space="preserve">. No differences were found between patients on Budesonide MMX 6 mg/d and </w:t>
      </w:r>
      <w:proofErr w:type="gramStart"/>
      <w:r w:rsidRPr="0050649F">
        <w:rPr>
          <w:rFonts w:ascii="Book Antiqua" w:hAnsi="Book Antiqua"/>
          <w:lang w:val="en-US"/>
        </w:rPr>
        <w:t>placebo</w:t>
      </w:r>
      <w:r w:rsidRPr="0050649F">
        <w:rPr>
          <w:rFonts w:ascii="Book Antiqua" w:hAnsi="Book Antiqua"/>
          <w:vertAlign w:val="superscript"/>
          <w:lang w:val="en-US"/>
        </w:rPr>
        <w:t>[</w:t>
      </w:r>
      <w:proofErr w:type="gramEnd"/>
      <w:r w:rsidRPr="0050649F">
        <w:rPr>
          <w:rStyle w:val="EndnoteReference"/>
          <w:rFonts w:ascii="Book Antiqua" w:hAnsi="Book Antiqua"/>
          <w:lang w:val="en-US"/>
        </w:rPr>
        <w:t>50</w:t>
      </w:r>
      <w:r w:rsidRPr="0050649F">
        <w:rPr>
          <w:rFonts w:ascii="Book Antiqua" w:hAnsi="Book Antiqua"/>
          <w:vertAlign w:val="superscript"/>
          <w:lang w:val="en-US"/>
        </w:rPr>
        <w:t>]</w:t>
      </w:r>
      <w:r w:rsidRPr="0050649F">
        <w:rPr>
          <w:rFonts w:ascii="Book Antiqua" w:hAnsi="Book Antiqua"/>
          <w:lang w:val="en-US"/>
        </w:rPr>
        <w:t>.</w:t>
      </w:r>
    </w:p>
    <w:p w14:paraId="30FF19C3" w14:textId="5730D387" w:rsidR="00A24C79" w:rsidRPr="0050649F" w:rsidRDefault="00A24C79" w:rsidP="009479BD">
      <w:pPr>
        <w:spacing w:line="360" w:lineRule="auto"/>
        <w:ind w:firstLineChars="100" w:firstLine="240"/>
        <w:jc w:val="both"/>
        <w:rPr>
          <w:rFonts w:ascii="Book Antiqua" w:hAnsi="Book Antiqua"/>
          <w:lang w:val="en-US"/>
        </w:rPr>
      </w:pPr>
      <w:r w:rsidRPr="0050649F">
        <w:rPr>
          <w:rFonts w:ascii="Book Antiqua" w:hAnsi="Book Antiqua"/>
          <w:lang w:val="en-US"/>
        </w:rPr>
        <w:t xml:space="preserve">Van Assche </w:t>
      </w:r>
      <w:r w:rsidRPr="009479BD">
        <w:rPr>
          <w:rFonts w:ascii="Book Antiqua" w:hAnsi="Book Antiqua"/>
          <w:i/>
          <w:lang w:val="en-US"/>
        </w:rPr>
        <w:t>e</w:t>
      </w:r>
      <w:r w:rsidR="009479BD" w:rsidRPr="009479BD">
        <w:rPr>
          <w:rFonts w:ascii="Book Antiqua" w:hAnsi="Book Antiqua"/>
          <w:i/>
          <w:lang w:val="en-US"/>
        </w:rPr>
        <w:t xml:space="preserve">t </w:t>
      </w:r>
      <w:proofErr w:type="gramStart"/>
      <w:r w:rsidR="009479BD" w:rsidRPr="009479BD">
        <w:rPr>
          <w:rFonts w:ascii="Book Antiqua" w:hAnsi="Book Antiqua"/>
          <w:i/>
          <w:lang w:val="en-US"/>
        </w:rPr>
        <w:t>al</w:t>
      </w:r>
      <w:r w:rsidR="009479BD" w:rsidRPr="0050649F">
        <w:rPr>
          <w:rFonts w:ascii="Book Antiqua" w:hAnsi="Book Antiqua"/>
          <w:vertAlign w:val="superscript"/>
          <w:lang w:val="en-US"/>
        </w:rPr>
        <w:t>[</w:t>
      </w:r>
      <w:proofErr w:type="gramEnd"/>
      <w:r w:rsidR="009479BD" w:rsidRPr="0050649F">
        <w:rPr>
          <w:rFonts w:ascii="Book Antiqua" w:hAnsi="Book Antiqua"/>
          <w:vertAlign w:val="superscript"/>
          <w:lang w:val="en-US"/>
        </w:rPr>
        <w:t>51]</w:t>
      </w:r>
      <w:r w:rsidRPr="0050649F">
        <w:rPr>
          <w:rFonts w:ascii="Book Antiqua" w:hAnsi="Book Antiqua"/>
          <w:lang w:val="en-US"/>
        </w:rPr>
        <w:t xml:space="preserve"> have recently realized a trial, randomizing 282 UC patients, to receive beclomethasone dipropionate (BDP)-prolonged release tab</w:t>
      </w:r>
      <w:r w:rsidR="009479BD">
        <w:rPr>
          <w:rFonts w:ascii="Book Antiqua" w:hAnsi="Book Antiqua"/>
          <w:lang w:val="en-US"/>
        </w:rPr>
        <w:t>lets 5 mg once daily for 4 wk</w:t>
      </w:r>
      <w:r w:rsidRPr="0050649F">
        <w:rPr>
          <w:rFonts w:ascii="Book Antiqua" w:hAnsi="Book Antiqua"/>
          <w:lang w:val="en-US"/>
        </w:rPr>
        <w:t>, and then on alternat</w:t>
      </w:r>
      <w:r w:rsidR="0060236E">
        <w:rPr>
          <w:rFonts w:ascii="Book Antiqua" w:hAnsi="Book Antiqua"/>
          <w:lang w:val="en-US"/>
        </w:rPr>
        <w:t>e days for an additional 4 wk</w:t>
      </w:r>
      <w:r w:rsidRPr="0050649F">
        <w:rPr>
          <w:rFonts w:ascii="Book Antiqua" w:hAnsi="Book Antiqua"/>
          <w:lang w:val="en-US"/>
        </w:rPr>
        <w:t>, or oral prednisone (PD) 40 mg once daily tapered by 10 mg ev</w:t>
      </w:r>
      <w:r w:rsidR="009479BD">
        <w:rPr>
          <w:rFonts w:ascii="Book Antiqua" w:hAnsi="Book Antiqua"/>
          <w:lang w:val="en-US"/>
        </w:rPr>
        <w:t>ery two weeks during the 8 wk</w:t>
      </w:r>
      <w:r w:rsidRPr="0050649F">
        <w:rPr>
          <w:rFonts w:ascii="Book Antiqua" w:hAnsi="Book Antiqua"/>
          <w:lang w:val="en-US"/>
        </w:rPr>
        <w:t xml:space="preserve"> of observation. After four weeks of treatment, the two cohorts of patients, BDP and PD, shows similar rates of endoscopic remission, respectively of 23% and 21%, while 45% and 60% showed mild mucosal activity. No statistical differences were reported between the two groups in terms of </w:t>
      </w:r>
      <w:proofErr w:type="gramStart"/>
      <w:r w:rsidRPr="0050649F">
        <w:rPr>
          <w:rFonts w:ascii="Book Antiqua" w:hAnsi="Book Antiqua"/>
          <w:lang w:val="en-US"/>
        </w:rPr>
        <w:t>MH</w:t>
      </w:r>
      <w:r w:rsidRPr="0050649F">
        <w:rPr>
          <w:rFonts w:ascii="Book Antiqua" w:hAnsi="Book Antiqua"/>
          <w:vertAlign w:val="superscript"/>
          <w:lang w:val="en-US"/>
        </w:rPr>
        <w:t>[</w:t>
      </w:r>
      <w:proofErr w:type="gramEnd"/>
      <w:r w:rsidRPr="0050649F">
        <w:rPr>
          <w:rFonts w:ascii="Book Antiqua" w:hAnsi="Book Antiqua"/>
          <w:vertAlign w:val="superscript"/>
          <w:lang w:val="en-US"/>
        </w:rPr>
        <w:t>51]</w:t>
      </w:r>
      <w:r w:rsidRPr="0050649F">
        <w:rPr>
          <w:rFonts w:ascii="Book Antiqua" w:hAnsi="Book Antiqua"/>
          <w:lang w:val="en-US"/>
        </w:rPr>
        <w:t>.</w:t>
      </w:r>
    </w:p>
    <w:p w14:paraId="458C1E76" w14:textId="77777777" w:rsidR="00A24C79" w:rsidRPr="0050649F" w:rsidRDefault="00A24C79" w:rsidP="00C97716">
      <w:pPr>
        <w:spacing w:line="360" w:lineRule="auto"/>
        <w:jc w:val="both"/>
        <w:rPr>
          <w:rFonts w:ascii="Book Antiqua" w:hAnsi="Book Antiqua"/>
          <w:i/>
          <w:lang w:val="en-US"/>
        </w:rPr>
      </w:pPr>
    </w:p>
    <w:p w14:paraId="2B797FCB" w14:textId="77777777" w:rsidR="00A24C79" w:rsidRPr="009479BD" w:rsidRDefault="00A24C79" w:rsidP="00C97716">
      <w:pPr>
        <w:spacing w:line="360" w:lineRule="auto"/>
        <w:jc w:val="both"/>
        <w:rPr>
          <w:rFonts w:ascii="Book Antiqua" w:hAnsi="Book Antiqua"/>
          <w:b/>
          <w:i/>
          <w:lang w:val="en-US"/>
        </w:rPr>
      </w:pPr>
      <w:r w:rsidRPr="009479BD">
        <w:rPr>
          <w:rFonts w:ascii="Book Antiqua" w:hAnsi="Book Antiqua"/>
          <w:b/>
          <w:i/>
          <w:lang w:val="en-US"/>
        </w:rPr>
        <w:t>Immunomodulators</w:t>
      </w:r>
    </w:p>
    <w:p w14:paraId="6F2849F0" w14:textId="512F1A30" w:rsidR="00A24C79" w:rsidRPr="0050649F" w:rsidRDefault="00DD3898" w:rsidP="00C97716">
      <w:pPr>
        <w:spacing w:line="360" w:lineRule="auto"/>
        <w:jc w:val="both"/>
        <w:rPr>
          <w:rFonts w:ascii="Book Antiqua" w:hAnsi="Book Antiqua"/>
          <w:lang w:val="en-US"/>
        </w:rPr>
      </w:pPr>
      <w:r>
        <w:rPr>
          <w:rFonts w:ascii="Book Antiqua" w:hAnsi="Book Antiqua"/>
          <w:lang w:val="en-US"/>
        </w:rPr>
        <w:t xml:space="preserve">Ardizzone </w:t>
      </w:r>
      <w:r w:rsidRPr="00DD3898">
        <w:rPr>
          <w:rFonts w:ascii="Book Antiqua" w:hAnsi="Book Antiqua"/>
          <w:i/>
          <w:lang w:val="en-US"/>
        </w:rPr>
        <w:t xml:space="preserve">et </w:t>
      </w:r>
      <w:proofErr w:type="gramStart"/>
      <w:r w:rsidRPr="00DD3898">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52]</w:t>
      </w:r>
      <w:r w:rsidR="00A24C79" w:rsidRPr="0050649F">
        <w:rPr>
          <w:rFonts w:ascii="Book Antiqua" w:hAnsi="Book Antiqua"/>
          <w:lang w:val="en-US"/>
        </w:rPr>
        <w:t xml:space="preserve"> compared the use of 5-ASA </w:t>
      </w:r>
      <w:r w:rsidR="0060236E" w:rsidRPr="0060236E">
        <w:rPr>
          <w:rFonts w:ascii="Book Antiqua" w:hAnsi="Book Antiqua"/>
          <w:i/>
          <w:lang w:val="en-GB"/>
        </w:rPr>
        <w:t>vs</w:t>
      </w:r>
      <w:r w:rsidR="00A24C79" w:rsidRPr="0050649F">
        <w:rPr>
          <w:rFonts w:ascii="Book Antiqua" w:hAnsi="Book Antiqua"/>
          <w:lang w:val="en-US"/>
        </w:rPr>
        <w:t xml:space="preserve"> azathioprine (AZA) in 72 steroid-dependent UC patients, with a follow-up at 3 and 6 mo. They showed a highly significant superior mean Baron index in patients treated with 5-ASA compared to those o</w:t>
      </w:r>
      <w:r>
        <w:rPr>
          <w:rFonts w:ascii="Book Antiqua" w:hAnsi="Book Antiqua"/>
          <w:lang w:val="en-US"/>
        </w:rPr>
        <w:t>n azathioprine, both at month 3</w:t>
      </w:r>
      <w:r w:rsidR="00A24C79" w:rsidRPr="0050649F">
        <w:rPr>
          <w:rFonts w:ascii="Book Antiqua" w:hAnsi="Book Antiqua"/>
          <w:lang w:val="en-US"/>
        </w:rPr>
        <w:t xml:space="preserve"> (2.3 </w:t>
      </w:r>
      <w:r w:rsidR="00A24C79" w:rsidRPr="00DD3898">
        <w:rPr>
          <w:rFonts w:ascii="Book Antiqua" w:hAnsi="Book Antiqua"/>
          <w:i/>
          <w:lang w:val="en-US"/>
        </w:rPr>
        <w:t>vs</w:t>
      </w:r>
      <w:r w:rsidR="00A24C79" w:rsidRPr="0050649F">
        <w:rPr>
          <w:rFonts w:ascii="Book Antiqua" w:hAnsi="Book Antiqua"/>
          <w:lang w:val="en-US"/>
        </w:rPr>
        <w:t xml:space="preserve"> 1.1) and at month 6 (2.2 </w:t>
      </w:r>
      <w:r w:rsidR="00A24C79" w:rsidRPr="00DD3898">
        <w:rPr>
          <w:rFonts w:ascii="Book Antiqua" w:hAnsi="Book Antiqua"/>
          <w:i/>
          <w:lang w:val="en-US"/>
        </w:rPr>
        <w:t>vs</w:t>
      </w:r>
      <w:r w:rsidR="00A24C79" w:rsidRPr="0050649F">
        <w:rPr>
          <w:rFonts w:ascii="Book Antiqua" w:hAnsi="Book Antiqua"/>
          <w:lang w:val="en-US"/>
        </w:rPr>
        <w:t xml:space="preserve"> 0.9)</w:t>
      </w:r>
      <w:r w:rsidR="00A24C79" w:rsidRPr="0050649F">
        <w:rPr>
          <w:rFonts w:ascii="Book Antiqua" w:hAnsi="Book Antiqua"/>
          <w:vertAlign w:val="superscript"/>
          <w:lang w:val="en-US"/>
        </w:rPr>
        <w:t>[52]</w:t>
      </w:r>
      <w:r w:rsidR="00A24C79" w:rsidRPr="0050649F">
        <w:rPr>
          <w:rFonts w:ascii="Book Antiqua" w:hAnsi="Book Antiqua"/>
          <w:lang w:val="en-US"/>
        </w:rPr>
        <w:t xml:space="preserve">.  </w:t>
      </w:r>
    </w:p>
    <w:p w14:paraId="77A9690E" w14:textId="13AD33BF" w:rsidR="00A24C79" w:rsidRPr="0050649F" w:rsidRDefault="00A24C79" w:rsidP="00DD3898">
      <w:pPr>
        <w:spacing w:line="360" w:lineRule="auto"/>
        <w:ind w:firstLineChars="100" w:firstLine="240"/>
        <w:jc w:val="both"/>
        <w:rPr>
          <w:rFonts w:ascii="Book Antiqua" w:hAnsi="Book Antiqua"/>
          <w:lang w:val="en-US"/>
        </w:rPr>
      </w:pPr>
      <w:r w:rsidRPr="0050649F">
        <w:rPr>
          <w:rFonts w:ascii="Book Antiqua" w:hAnsi="Book Antiqua"/>
          <w:lang w:val="en-US"/>
        </w:rPr>
        <w:t>In a recent Italian study, analyzing prospective data from 205 steroid-dependent IBD patients who received a 2-year maintenance treatment with thiopurines (AZA or 6-mercaptopurine, 6-MP), good MH rates were seen, particularly in UC compared to CD: 36%</w:t>
      </w:r>
      <w:r w:rsidRPr="00DD3898">
        <w:rPr>
          <w:rFonts w:ascii="Book Antiqua" w:hAnsi="Book Antiqua"/>
          <w:i/>
          <w:lang w:val="en-US"/>
        </w:rPr>
        <w:t xml:space="preserve"> vs </w:t>
      </w:r>
      <w:r w:rsidRPr="0050649F">
        <w:rPr>
          <w:rFonts w:ascii="Book Antiqua" w:hAnsi="Book Antiqua"/>
          <w:lang w:val="en-US"/>
        </w:rPr>
        <w:t>16%</w:t>
      </w:r>
      <w:r w:rsidR="00765262">
        <w:rPr>
          <w:rFonts w:ascii="Book Antiqua" w:hAnsi="Book Antiqua"/>
          <w:vertAlign w:val="superscript"/>
          <w:lang w:val="en-US"/>
        </w:rPr>
        <w:t>[53]</w:t>
      </w:r>
      <w:r w:rsidRPr="0050649F">
        <w:rPr>
          <w:rFonts w:ascii="Book Antiqua" w:hAnsi="Book Antiqua"/>
          <w:lang w:val="en-US"/>
        </w:rPr>
        <w:t>.</w:t>
      </w:r>
    </w:p>
    <w:p w14:paraId="39303B71" w14:textId="77777777" w:rsidR="00A24C79" w:rsidRPr="0050649F" w:rsidRDefault="00A24C79" w:rsidP="00C97716">
      <w:pPr>
        <w:spacing w:line="360" w:lineRule="auto"/>
        <w:jc w:val="both"/>
        <w:rPr>
          <w:rFonts w:ascii="Book Antiqua" w:hAnsi="Book Antiqua"/>
          <w:lang w:val="en-US"/>
        </w:rPr>
      </w:pPr>
    </w:p>
    <w:p w14:paraId="0A65338C" w14:textId="77777777" w:rsidR="00A24C79" w:rsidRPr="00DD3898" w:rsidRDefault="00A24C79" w:rsidP="00C97716">
      <w:pPr>
        <w:spacing w:line="360" w:lineRule="auto"/>
        <w:jc w:val="both"/>
        <w:rPr>
          <w:rFonts w:ascii="Book Antiqua" w:hAnsi="Book Antiqua"/>
          <w:b/>
          <w:i/>
          <w:lang w:val="en-US"/>
        </w:rPr>
      </w:pPr>
      <w:r w:rsidRPr="00DD3898">
        <w:rPr>
          <w:rFonts w:ascii="Book Antiqua" w:hAnsi="Book Antiqua"/>
          <w:b/>
          <w:i/>
          <w:lang w:val="en-US"/>
        </w:rPr>
        <w:t>Biological treatments</w:t>
      </w:r>
    </w:p>
    <w:p w14:paraId="67773F0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At the beginning of this decade, many trials regarding the use of biological drugs, both in UC and CD, were published and most of them had MH as primary outcome in accordance with the latest knowledge on the importance of achieving this aim, in terms of maintenance of clinical remission, reduction of hospitalization and improvement of quality of life. </w:t>
      </w:r>
    </w:p>
    <w:p w14:paraId="64B8C53B" w14:textId="54244BAB" w:rsidR="00A24C79" w:rsidRPr="0050649F" w:rsidRDefault="00A24C79" w:rsidP="009D3956">
      <w:pPr>
        <w:spacing w:line="360" w:lineRule="auto"/>
        <w:ind w:firstLineChars="100" w:firstLine="240"/>
        <w:jc w:val="both"/>
        <w:rPr>
          <w:rFonts w:ascii="Book Antiqua" w:hAnsi="Book Antiqua"/>
          <w:lang w:val="en-US"/>
        </w:rPr>
      </w:pPr>
      <w:r w:rsidRPr="0050649F">
        <w:rPr>
          <w:rFonts w:ascii="Book Antiqua" w:hAnsi="Book Antiqua"/>
          <w:lang w:val="en-US"/>
        </w:rPr>
        <w:t>In 2011, a large trial, ULTRA 1, was published on the use of Adalimumab (ADA) in UC</w:t>
      </w:r>
      <w:r w:rsidR="009D3956">
        <w:rPr>
          <w:rFonts w:ascii="Book Antiqua" w:hAnsi="Book Antiqua"/>
          <w:lang w:val="en-US"/>
        </w:rPr>
        <w:t xml:space="preserve">. In this study, Reinisch </w:t>
      </w:r>
      <w:r w:rsidR="009D3956" w:rsidRPr="009D3956">
        <w:rPr>
          <w:rFonts w:ascii="Book Antiqua" w:hAnsi="Book Antiqua"/>
          <w:i/>
          <w:lang w:val="en-US"/>
        </w:rPr>
        <w:t xml:space="preserve">et </w:t>
      </w:r>
      <w:proofErr w:type="gramStart"/>
      <w:r w:rsidR="009D3956" w:rsidRPr="009D3956">
        <w:rPr>
          <w:rFonts w:ascii="Book Antiqua" w:hAnsi="Book Antiqua"/>
          <w:i/>
          <w:lang w:val="en-US"/>
        </w:rPr>
        <w:t>al</w:t>
      </w:r>
      <w:r w:rsidRPr="0050649F">
        <w:rPr>
          <w:rFonts w:ascii="Book Antiqua" w:hAnsi="Book Antiqua"/>
          <w:vertAlign w:val="superscript"/>
          <w:lang w:val="en-US"/>
        </w:rPr>
        <w:t>[</w:t>
      </w:r>
      <w:proofErr w:type="gramEnd"/>
      <w:r w:rsidRPr="0050649F">
        <w:rPr>
          <w:rStyle w:val="EndnoteReference"/>
          <w:rFonts w:ascii="Book Antiqua" w:hAnsi="Book Antiqua"/>
          <w:lang w:val="en-US"/>
        </w:rPr>
        <w:t>54</w:t>
      </w:r>
      <w:r w:rsidRPr="0050649F">
        <w:rPr>
          <w:rFonts w:ascii="Book Antiqua" w:hAnsi="Book Antiqua"/>
          <w:vertAlign w:val="superscript"/>
          <w:lang w:val="en-US"/>
        </w:rPr>
        <w:t>]</w:t>
      </w:r>
      <w:r w:rsidRPr="0050649F">
        <w:rPr>
          <w:rFonts w:ascii="Book Antiqua" w:hAnsi="Book Antiqua"/>
          <w:lang w:val="en-US"/>
        </w:rPr>
        <w:t xml:space="preserve"> compared three different schedules of induction: the first group of patients received ADA 160 mg/80/40 mg at weeks 0, 2, 4 and 6. The second group of patients was randomized to a second induction protocol with subcutaneous ADA 80/40 mg at weeks 0, 2 and thereafter every two weeks. The last group of patients was randomized to placebo. At week 8, a colonoscopy was performed: MH (defined by a Mayo score of 0-1) was achieved in almost 47% of the first group of patients, compared to 37% of the second group, and 41% of the placebo group. This unusual data was not statistically </w:t>
      </w:r>
      <w:proofErr w:type="gramStart"/>
      <w:r w:rsidRPr="0050649F">
        <w:rPr>
          <w:rFonts w:ascii="Book Antiqua" w:hAnsi="Book Antiqua"/>
          <w:lang w:val="en-US"/>
        </w:rPr>
        <w:t>nor</w:t>
      </w:r>
      <w:proofErr w:type="gramEnd"/>
      <w:r w:rsidRPr="0050649F">
        <w:rPr>
          <w:rFonts w:ascii="Book Antiqua" w:hAnsi="Book Antiqua"/>
          <w:lang w:val="en-US"/>
        </w:rPr>
        <w:t xml:space="preserve"> clinically significant.</w:t>
      </w:r>
      <w:r w:rsidR="009D3956">
        <w:rPr>
          <w:rFonts w:ascii="Book Antiqua" w:hAnsi="Book Antiqua"/>
          <w:lang w:val="en-US"/>
        </w:rPr>
        <w:t xml:space="preserve"> One year later, Sandborn </w:t>
      </w:r>
      <w:r w:rsidR="009D3956" w:rsidRPr="009D3956">
        <w:rPr>
          <w:rFonts w:ascii="Book Antiqua" w:hAnsi="Book Antiqua"/>
          <w:i/>
          <w:lang w:val="en-US"/>
        </w:rPr>
        <w:t>et al</w:t>
      </w:r>
      <w:r w:rsidR="009D3956">
        <w:rPr>
          <w:rFonts w:ascii="Book Antiqua" w:eastAsia="宋体" w:hAnsi="Book Antiqua" w:hint="eastAsia"/>
          <w:vertAlign w:val="superscript"/>
          <w:lang w:val="en-US" w:eastAsia="zh-CN"/>
        </w:rPr>
        <w:t>[55]</w:t>
      </w:r>
      <w:r w:rsidRPr="0050649F">
        <w:rPr>
          <w:rFonts w:ascii="Book Antiqua" w:hAnsi="Book Antiqua"/>
          <w:lang w:val="en-US"/>
        </w:rPr>
        <w:t>, in the ULTRA 2 trial, randomized 518 UC patients to subc</w:t>
      </w:r>
      <w:r w:rsidR="0060236E">
        <w:rPr>
          <w:rFonts w:ascii="Book Antiqua" w:hAnsi="Book Antiqua"/>
          <w:lang w:val="en-US"/>
        </w:rPr>
        <w:t>utaneous ADA 40 mg/every 2 wk</w:t>
      </w:r>
      <w:r w:rsidRPr="0050649F">
        <w:rPr>
          <w:rFonts w:ascii="Book Antiqua" w:hAnsi="Book Antiqua"/>
          <w:lang w:val="en-US"/>
        </w:rPr>
        <w:t xml:space="preserve"> (induction with 160/80/40 mg) and to placebo. Endoscopy control was performed at week 8, 32 and 52. The percentage of patients who maintained a sustained MH (Mayo 0-1) at all endoscopic checks was about 18% compared to 10% for the placebo group.</w:t>
      </w:r>
    </w:p>
    <w:p w14:paraId="1F73474C" w14:textId="568717B5" w:rsidR="00A24C79" w:rsidRPr="0050649F" w:rsidRDefault="00A24C79" w:rsidP="009D3956">
      <w:pPr>
        <w:spacing w:line="360" w:lineRule="auto"/>
        <w:ind w:firstLineChars="100" w:firstLine="240"/>
        <w:jc w:val="both"/>
        <w:rPr>
          <w:rFonts w:ascii="Book Antiqua" w:hAnsi="Book Antiqua"/>
          <w:lang w:val="en-US"/>
        </w:rPr>
      </w:pPr>
      <w:r w:rsidRPr="0050649F">
        <w:rPr>
          <w:rFonts w:ascii="Book Antiqua" w:hAnsi="Book Antiqua"/>
          <w:lang w:val="en-US"/>
        </w:rPr>
        <w:t xml:space="preserve">In 2012, Feagan </w:t>
      </w:r>
      <w:r w:rsidRPr="009D3956">
        <w:rPr>
          <w:rFonts w:ascii="Book Antiqua" w:hAnsi="Book Antiqua"/>
          <w:i/>
          <w:lang w:val="en-US"/>
        </w:rPr>
        <w:t xml:space="preserve">et </w:t>
      </w:r>
      <w:proofErr w:type="gramStart"/>
      <w:r w:rsidRPr="009D3956">
        <w:rPr>
          <w:rFonts w:ascii="Book Antiqua" w:hAnsi="Book Antiqua"/>
          <w:i/>
          <w:lang w:val="en-US"/>
        </w:rPr>
        <w:t>al</w:t>
      </w:r>
      <w:r w:rsidR="009D3956" w:rsidRPr="0050649F">
        <w:rPr>
          <w:rFonts w:ascii="Book Antiqua" w:hAnsi="Book Antiqua"/>
          <w:vertAlign w:val="superscript"/>
          <w:lang w:val="en-US"/>
        </w:rPr>
        <w:t>[</w:t>
      </w:r>
      <w:proofErr w:type="gramEnd"/>
      <w:r w:rsidR="009D3956" w:rsidRPr="0050649F">
        <w:rPr>
          <w:rFonts w:ascii="Book Antiqua" w:hAnsi="Book Antiqua"/>
          <w:vertAlign w:val="superscript"/>
          <w:lang w:val="en-US"/>
        </w:rPr>
        <w:t>56]</w:t>
      </w:r>
      <w:r w:rsidRPr="0050649F">
        <w:rPr>
          <w:rFonts w:ascii="Book Antiqua" w:hAnsi="Book Antiqua"/>
          <w:lang w:val="en-US"/>
        </w:rPr>
        <w:t xml:space="preserve"> published the results of the GEMINI 1 trial, a very large study involving 746 UC patients. During the induction phase, 225 patients received Vedolizumab at a dose of 300 mg, or placebo, intravenously at weeks 0 and 2; 521 patients </w:t>
      </w:r>
      <w:r w:rsidRPr="0050649F">
        <w:rPr>
          <w:rFonts w:ascii="Book Antiqua" w:hAnsi="Book Antiqua"/>
          <w:lang w:val="en-US"/>
        </w:rPr>
        <w:lastRenderedPageBreak/>
        <w:t xml:space="preserve">received open-label Vedolizumab at weeks 0 and 2. In the maintenance phase, Vedolizumab was administered every </w:t>
      </w:r>
      <w:r w:rsidR="009D3956">
        <w:rPr>
          <w:rFonts w:ascii="Book Antiqua" w:hAnsi="Book Antiqua"/>
          <w:lang w:val="en-US"/>
        </w:rPr>
        <w:t>8 or every 4 wk</w:t>
      </w:r>
      <w:r w:rsidRPr="0050649F">
        <w:rPr>
          <w:rFonts w:ascii="Book Antiqua" w:hAnsi="Book Antiqua"/>
          <w:lang w:val="en-US"/>
        </w:rPr>
        <w:t>. MH was achieved at week 6 in 41% of patients who received Vedolizumab compared to 24% of patients who received placebo. At week 52, MH was achieved in 56% of patients who re</w:t>
      </w:r>
      <w:r w:rsidR="009D3956">
        <w:rPr>
          <w:rFonts w:ascii="Book Antiqua" w:hAnsi="Book Antiqua"/>
          <w:lang w:val="en-US"/>
        </w:rPr>
        <w:t>ceived Vedolizumab every 4 wk</w:t>
      </w:r>
      <w:r w:rsidRPr="0050649F">
        <w:rPr>
          <w:rFonts w:ascii="Book Antiqua" w:hAnsi="Book Antiqua"/>
          <w:lang w:val="en-US"/>
        </w:rPr>
        <w:t xml:space="preserve">, in 51% of patients who received Vedolizumab every 8 weeks, and in only 20% of patients who received placebo. </w:t>
      </w:r>
    </w:p>
    <w:p w14:paraId="2482E070" w14:textId="77777777" w:rsidR="00A24C79" w:rsidRPr="0050649F" w:rsidRDefault="00A24C79" w:rsidP="009D3956">
      <w:pPr>
        <w:spacing w:line="360" w:lineRule="auto"/>
        <w:ind w:firstLineChars="100" w:firstLine="240"/>
        <w:jc w:val="both"/>
        <w:rPr>
          <w:rFonts w:ascii="Book Antiqua" w:hAnsi="Book Antiqua"/>
          <w:lang w:val="en-US"/>
        </w:rPr>
      </w:pPr>
      <w:r w:rsidRPr="0050649F">
        <w:rPr>
          <w:rFonts w:ascii="Book Antiqua" w:hAnsi="Book Antiqua"/>
          <w:lang w:val="en-US"/>
        </w:rPr>
        <w:t xml:space="preserve">The same study for CD patients (GEMINI 2) considered only clinical outcome and did not include endoscopic </w:t>
      </w:r>
      <w:proofErr w:type="gramStart"/>
      <w:r w:rsidRPr="0050649F">
        <w:rPr>
          <w:rFonts w:ascii="Book Antiqua" w:hAnsi="Book Antiqua"/>
          <w:lang w:val="en-US"/>
        </w:rPr>
        <w:t>assessment</w:t>
      </w:r>
      <w:r w:rsidRPr="009D3956">
        <w:rPr>
          <w:rFonts w:ascii="Book Antiqua" w:hAnsi="Book Antiqua"/>
          <w:vertAlign w:val="superscript"/>
          <w:lang w:val="en-US"/>
        </w:rPr>
        <w:t>[</w:t>
      </w:r>
      <w:proofErr w:type="gramEnd"/>
      <w:r w:rsidRPr="009D3956">
        <w:rPr>
          <w:rFonts w:ascii="Book Antiqua" w:hAnsi="Book Antiqua"/>
          <w:vertAlign w:val="superscript"/>
          <w:lang w:val="en-US"/>
        </w:rPr>
        <w:t>57]</w:t>
      </w:r>
      <w:r w:rsidRPr="0050649F">
        <w:rPr>
          <w:rFonts w:ascii="Book Antiqua" w:hAnsi="Book Antiqua"/>
          <w:lang w:val="en-US"/>
        </w:rPr>
        <w:t>.</w:t>
      </w:r>
    </w:p>
    <w:p w14:paraId="4BE8FA82" w14:textId="2FAE5A37" w:rsidR="00A24C79" w:rsidRPr="0050649F" w:rsidRDefault="00A24C79" w:rsidP="009D3956">
      <w:pPr>
        <w:spacing w:line="360" w:lineRule="auto"/>
        <w:ind w:firstLineChars="100" w:firstLine="240"/>
        <w:jc w:val="both"/>
        <w:rPr>
          <w:rFonts w:ascii="Book Antiqua" w:hAnsi="Book Antiqua"/>
          <w:lang w:val="en-US"/>
        </w:rPr>
      </w:pPr>
      <w:r w:rsidRPr="0050649F">
        <w:rPr>
          <w:rFonts w:ascii="Book Antiqua" w:hAnsi="Book Antiqua"/>
          <w:lang w:val="en-US"/>
        </w:rPr>
        <w:t>A small French study on UC patients reported an MH rate of 48% in subjects treated with IFX, with an endoscopic check ca</w:t>
      </w:r>
      <w:r w:rsidR="009D3956">
        <w:rPr>
          <w:rFonts w:ascii="Book Antiqua" w:hAnsi="Book Antiqua"/>
          <w:lang w:val="en-US"/>
        </w:rPr>
        <w:t>rried out between 6 and 52 wk</w:t>
      </w:r>
      <w:r w:rsidRPr="0050649F">
        <w:rPr>
          <w:rFonts w:ascii="Book Antiqua" w:hAnsi="Book Antiqua"/>
          <w:lang w:val="en-US"/>
        </w:rPr>
        <w:t xml:space="preserve"> after treatment </w:t>
      </w:r>
      <w:proofErr w:type="gramStart"/>
      <w:r w:rsidRPr="0050649F">
        <w:rPr>
          <w:rFonts w:ascii="Book Antiqua" w:hAnsi="Book Antiqua"/>
          <w:lang w:val="en-US"/>
        </w:rPr>
        <w:t>start</w:t>
      </w:r>
      <w:r w:rsidRPr="0050649F">
        <w:rPr>
          <w:rFonts w:ascii="Book Antiqua" w:hAnsi="Book Antiqua"/>
          <w:vertAlign w:val="superscript"/>
          <w:lang w:val="en-US"/>
        </w:rPr>
        <w:t>[</w:t>
      </w:r>
      <w:proofErr w:type="gramEnd"/>
      <w:r w:rsidRPr="0050649F">
        <w:rPr>
          <w:rFonts w:ascii="Book Antiqua" w:hAnsi="Book Antiqua"/>
          <w:vertAlign w:val="superscript"/>
          <w:lang w:val="en-US"/>
        </w:rPr>
        <w:t>58]</w:t>
      </w:r>
      <w:r w:rsidRPr="0050649F">
        <w:rPr>
          <w:rFonts w:ascii="Book Antiqua" w:hAnsi="Book Antiqua"/>
          <w:lang w:val="en-US"/>
        </w:rPr>
        <w:t>.</w:t>
      </w:r>
    </w:p>
    <w:p w14:paraId="43DF348E" w14:textId="075E94E4" w:rsidR="00A24C79" w:rsidRPr="0050649F" w:rsidRDefault="009D3956" w:rsidP="009D3956">
      <w:pPr>
        <w:spacing w:line="360" w:lineRule="auto"/>
        <w:ind w:firstLineChars="100" w:firstLine="240"/>
        <w:jc w:val="both"/>
        <w:rPr>
          <w:rFonts w:ascii="Book Antiqua" w:hAnsi="Book Antiqua"/>
          <w:lang w:val="en-US"/>
        </w:rPr>
      </w:pPr>
      <w:r>
        <w:rPr>
          <w:rFonts w:ascii="Book Antiqua" w:hAnsi="Book Antiqua"/>
          <w:lang w:val="en-US"/>
        </w:rPr>
        <w:t xml:space="preserve">Sandborn </w:t>
      </w:r>
      <w:r w:rsidRPr="009D3956">
        <w:rPr>
          <w:rFonts w:ascii="Book Antiqua" w:hAnsi="Book Antiqua"/>
          <w:i/>
          <w:lang w:val="en-US"/>
        </w:rPr>
        <w:t xml:space="preserve">et </w:t>
      </w:r>
      <w:proofErr w:type="gramStart"/>
      <w:r w:rsidRPr="009D3956">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59]</w:t>
      </w:r>
      <w:r w:rsidR="00A24C79" w:rsidRPr="0050649F">
        <w:rPr>
          <w:rFonts w:ascii="Book Antiqua" w:hAnsi="Book Antiqua"/>
          <w:lang w:val="en-US"/>
        </w:rPr>
        <w:t>, in the PURSUIT trial, investigated the efficacy of Golimumab with</w:t>
      </w:r>
      <w:r w:rsidR="00A24C79" w:rsidRPr="0050649F" w:rsidDel="002B7936">
        <w:rPr>
          <w:rFonts w:ascii="Book Antiqua" w:hAnsi="Book Antiqua"/>
          <w:lang w:val="en-US"/>
        </w:rPr>
        <w:t xml:space="preserve"> </w:t>
      </w:r>
      <w:r w:rsidR="00A24C79" w:rsidRPr="0050649F">
        <w:rPr>
          <w:rFonts w:ascii="Book Antiqua" w:hAnsi="Book Antiqua"/>
          <w:lang w:val="en-US"/>
        </w:rPr>
        <w:t>three different induction protocols in 774 patients with moderate-to-severe UC. At week 0 and 2, the first cohort received placebo, the second cohort received subcutaneous Golimumab at a dose of 200 mg/100 mg, and the third received subcutaneous Golimumab at a dose of 400 mg/200 mg; at the 6</w:t>
      </w:r>
      <w:r w:rsidR="00A24C79" w:rsidRPr="0050649F">
        <w:rPr>
          <w:rFonts w:ascii="Book Antiqua" w:hAnsi="Book Antiqua"/>
          <w:vertAlign w:val="superscript"/>
          <w:lang w:val="en-US"/>
        </w:rPr>
        <w:t>th</w:t>
      </w:r>
      <w:r w:rsidR="00A24C79" w:rsidRPr="0050649F">
        <w:rPr>
          <w:rFonts w:ascii="Book Antiqua" w:hAnsi="Book Antiqua"/>
          <w:lang w:val="en-US"/>
        </w:rPr>
        <w:t xml:space="preserve"> week, MH, defined by the endoscopic Mayo subscore of 0-1, was achieved respectively in 6%, 17.8% and 17.9% of </w:t>
      </w:r>
      <w:proofErr w:type="gramStart"/>
      <w:r w:rsidR="00A24C79" w:rsidRPr="0050649F">
        <w:rPr>
          <w:rFonts w:ascii="Book Antiqua" w:hAnsi="Book Antiqua"/>
          <w:lang w:val="en-US"/>
        </w:rPr>
        <w:t>patients</w:t>
      </w:r>
      <w:r w:rsidR="00A24C79" w:rsidRPr="0050649F">
        <w:rPr>
          <w:rFonts w:ascii="Book Antiqua" w:hAnsi="Book Antiqua"/>
          <w:vertAlign w:val="superscript"/>
          <w:lang w:val="en-US"/>
        </w:rPr>
        <w:t>[</w:t>
      </w:r>
      <w:proofErr w:type="gramEnd"/>
      <w:r w:rsidR="00A24C79" w:rsidRPr="0050649F">
        <w:rPr>
          <w:rFonts w:ascii="Book Antiqua" w:hAnsi="Book Antiqua"/>
          <w:vertAlign w:val="superscript"/>
          <w:lang w:val="en-US"/>
        </w:rPr>
        <w:t>59]</w:t>
      </w:r>
      <w:r w:rsidR="00A24C79" w:rsidRPr="0050649F">
        <w:rPr>
          <w:rFonts w:ascii="Book Antiqua" w:hAnsi="Book Antiqua"/>
          <w:lang w:val="en-US"/>
        </w:rPr>
        <w:t>.</w:t>
      </w:r>
    </w:p>
    <w:p w14:paraId="64EFF191" w14:textId="77777777" w:rsidR="00A24C79" w:rsidRPr="0050649F" w:rsidRDefault="00A24C79" w:rsidP="00C97716">
      <w:pPr>
        <w:spacing w:line="360" w:lineRule="auto"/>
        <w:jc w:val="both"/>
        <w:rPr>
          <w:rFonts w:ascii="Book Antiqua" w:hAnsi="Book Antiqua"/>
          <w:lang w:val="en-US"/>
        </w:rPr>
      </w:pPr>
    </w:p>
    <w:p w14:paraId="64133A8A" w14:textId="4CE4737C" w:rsidR="00A24C79" w:rsidRPr="0050649F" w:rsidRDefault="0050649F" w:rsidP="00C97716">
      <w:pPr>
        <w:spacing w:line="360" w:lineRule="auto"/>
        <w:jc w:val="both"/>
        <w:rPr>
          <w:rFonts w:ascii="Book Antiqua" w:hAnsi="Book Antiqua"/>
          <w:b/>
          <w:lang w:val="en-US"/>
        </w:rPr>
      </w:pPr>
      <w:r w:rsidRPr="0050649F">
        <w:rPr>
          <w:rFonts w:ascii="Book Antiqua" w:hAnsi="Book Antiqua"/>
          <w:b/>
          <w:lang w:val="en-GB"/>
        </w:rPr>
        <w:t>CD</w:t>
      </w:r>
    </w:p>
    <w:p w14:paraId="50B9AB6E" w14:textId="77777777" w:rsidR="00A24C79" w:rsidRPr="009D3956" w:rsidRDefault="00A24C79" w:rsidP="00C97716">
      <w:pPr>
        <w:spacing w:line="360" w:lineRule="auto"/>
        <w:jc w:val="both"/>
        <w:rPr>
          <w:rFonts w:ascii="Book Antiqua" w:hAnsi="Book Antiqua"/>
          <w:b/>
          <w:i/>
          <w:lang w:val="en-US"/>
        </w:rPr>
      </w:pPr>
      <w:r w:rsidRPr="009D3956">
        <w:rPr>
          <w:rFonts w:ascii="Book Antiqua" w:hAnsi="Book Antiqua"/>
          <w:b/>
          <w:i/>
          <w:lang w:val="en-US"/>
        </w:rPr>
        <w:t>Immunomodulators</w:t>
      </w:r>
    </w:p>
    <w:p w14:paraId="7DF278FE" w14:textId="5EB969EC" w:rsidR="00A24C79" w:rsidRPr="0050649F" w:rsidRDefault="009957EF" w:rsidP="00C97716">
      <w:pPr>
        <w:spacing w:line="360" w:lineRule="auto"/>
        <w:jc w:val="both"/>
        <w:rPr>
          <w:rFonts w:ascii="Book Antiqua" w:hAnsi="Book Antiqua"/>
          <w:lang w:val="en-US"/>
        </w:rPr>
      </w:pPr>
      <w:r>
        <w:rPr>
          <w:rFonts w:ascii="Book Antiqua" w:hAnsi="Book Antiqua"/>
          <w:lang w:val="en-US"/>
        </w:rPr>
        <w:t xml:space="preserve">In 1997, D’Haens </w:t>
      </w:r>
      <w:r w:rsidRPr="009957EF">
        <w:rPr>
          <w:rFonts w:ascii="Book Antiqua" w:hAnsi="Book Antiqua"/>
          <w:i/>
          <w:lang w:val="en-US"/>
        </w:rPr>
        <w:t>et al</w:t>
      </w:r>
      <w:r w:rsidRPr="0050649F">
        <w:rPr>
          <w:rFonts w:ascii="Book Antiqua" w:hAnsi="Book Antiqua"/>
          <w:vertAlign w:val="superscript"/>
          <w:lang w:val="en-US"/>
        </w:rPr>
        <w:t>[60]</w:t>
      </w:r>
      <w:r w:rsidR="00A24C79" w:rsidRPr="0050649F">
        <w:rPr>
          <w:rFonts w:ascii="Book Antiqua" w:hAnsi="Book Antiqua"/>
          <w:lang w:val="en-US"/>
        </w:rPr>
        <w:t xml:space="preserve"> evaluated the use of Azathioprine (at a dose of 2 mg/kg</w:t>
      </w:r>
      <w:r>
        <w:rPr>
          <w:rFonts w:ascii="Book Antiqua" w:eastAsia="宋体" w:hAnsi="Book Antiqua" w:hint="eastAsia"/>
          <w:lang w:val="en-US" w:eastAsia="zh-CN"/>
        </w:rPr>
        <w:t xml:space="preserve"> per </w:t>
      </w:r>
      <w:r w:rsidR="00A24C79" w:rsidRPr="0050649F">
        <w:rPr>
          <w:rFonts w:ascii="Book Antiqua" w:hAnsi="Book Antiqua"/>
          <w:lang w:val="en-US"/>
        </w:rPr>
        <w:t xml:space="preserve">day) in CD patients who underwent surgery and subsequently developed severe recurrences; at endoscopy, scheduled at week 26, they showed </w:t>
      </w:r>
      <w:r w:rsidR="00C97716" w:rsidRPr="0050649F">
        <w:rPr>
          <w:rFonts w:ascii="Book Antiqua" w:hAnsi="Book Antiqua"/>
          <w:lang w:val="en-GB"/>
        </w:rPr>
        <w:t>MH</w:t>
      </w:r>
      <w:r w:rsidR="00A24C79" w:rsidRPr="0050649F">
        <w:rPr>
          <w:rFonts w:ascii="Book Antiqua" w:hAnsi="Book Antiqua"/>
          <w:lang w:val="en-US"/>
        </w:rPr>
        <w:t xml:space="preserve"> in 40% of cases, rated by the Rutgeerts score equal to i0. </w:t>
      </w:r>
    </w:p>
    <w:p w14:paraId="5A18A6E7" w14:textId="0225EF3E" w:rsidR="00A24C79" w:rsidRPr="0050649F" w:rsidRDefault="009957EF" w:rsidP="009957EF">
      <w:pPr>
        <w:spacing w:line="360" w:lineRule="auto"/>
        <w:ind w:firstLineChars="100" w:firstLine="240"/>
        <w:jc w:val="both"/>
        <w:rPr>
          <w:rFonts w:ascii="Book Antiqua" w:hAnsi="Book Antiqua"/>
          <w:lang w:val="en-US"/>
        </w:rPr>
      </w:pPr>
      <w:r>
        <w:rPr>
          <w:rFonts w:ascii="Book Antiqua" w:hAnsi="Book Antiqua"/>
          <w:lang w:val="en-US"/>
        </w:rPr>
        <w:t xml:space="preserve">Mantzaris </w:t>
      </w:r>
      <w:r w:rsidRPr="009957EF">
        <w:rPr>
          <w:rFonts w:ascii="Book Antiqua" w:hAnsi="Book Antiqua"/>
          <w:i/>
          <w:lang w:val="en-US"/>
        </w:rPr>
        <w:t xml:space="preserve">et </w:t>
      </w:r>
      <w:proofErr w:type="gramStart"/>
      <w:r w:rsidRPr="009957EF">
        <w:rPr>
          <w:rFonts w:ascii="Book Antiqua" w:hAnsi="Book Antiqua"/>
          <w:i/>
          <w:lang w:val="en-US"/>
        </w:rPr>
        <w:t>al</w:t>
      </w:r>
      <w:r w:rsidR="00A24C79" w:rsidRPr="0050649F">
        <w:rPr>
          <w:rFonts w:ascii="Book Antiqua" w:hAnsi="Book Antiqua"/>
          <w:vertAlign w:val="superscript"/>
          <w:lang w:val="en-US"/>
        </w:rPr>
        <w:t>[</w:t>
      </w:r>
      <w:proofErr w:type="gramEnd"/>
      <w:r w:rsidR="00A24C79" w:rsidRPr="0050649F">
        <w:rPr>
          <w:rFonts w:ascii="Book Antiqua" w:hAnsi="Book Antiqua"/>
          <w:vertAlign w:val="superscript"/>
          <w:lang w:val="en-US"/>
        </w:rPr>
        <w:t>61]</w:t>
      </w:r>
      <w:r w:rsidR="00A24C79" w:rsidRPr="0050649F">
        <w:rPr>
          <w:rFonts w:ascii="Book Antiqua" w:hAnsi="Book Antiqua"/>
          <w:lang w:val="en-US"/>
        </w:rPr>
        <w:t xml:space="preserve"> compared the use of AZA 2-2.5 mg/kg</w:t>
      </w:r>
      <w:r>
        <w:rPr>
          <w:rFonts w:ascii="Book Antiqua" w:eastAsia="宋体" w:hAnsi="Book Antiqua" w:hint="eastAsia"/>
          <w:lang w:val="en-US" w:eastAsia="zh-CN"/>
        </w:rPr>
        <w:t xml:space="preserve"> per </w:t>
      </w:r>
      <w:r w:rsidR="0060236E">
        <w:rPr>
          <w:rFonts w:ascii="Book Antiqua" w:hAnsi="Book Antiqua"/>
          <w:lang w:val="en-US"/>
        </w:rPr>
        <w:t>day to Budesonide 6-9 mg/d</w:t>
      </w:r>
      <w:r w:rsidR="00A24C79" w:rsidRPr="0050649F">
        <w:rPr>
          <w:rFonts w:ascii="Book Antiqua" w:hAnsi="Book Antiqua"/>
          <w:lang w:val="en-US"/>
        </w:rPr>
        <w:t xml:space="preserve"> in CD patients; at endoscopic check at week 52, 83% of patients on AZA achieved MH compared with 24% of patients on Budesonide. MH was defined by a CDEIS score &lt;</w:t>
      </w:r>
      <w:r>
        <w:rPr>
          <w:rFonts w:ascii="Book Antiqua" w:eastAsia="宋体" w:hAnsi="Book Antiqua" w:hint="eastAsia"/>
          <w:lang w:val="en-US" w:eastAsia="zh-CN"/>
        </w:rPr>
        <w:t xml:space="preserve"> </w:t>
      </w:r>
      <w:r w:rsidR="00A24C79" w:rsidRPr="0050649F">
        <w:rPr>
          <w:rFonts w:ascii="Book Antiqua" w:hAnsi="Book Antiqua"/>
          <w:lang w:val="en-US"/>
        </w:rPr>
        <w:t xml:space="preserve">4. </w:t>
      </w:r>
    </w:p>
    <w:p w14:paraId="7EC7C4DB" w14:textId="51056FB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In anot</w:t>
      </w:r>
      <w:r w:rsidR="009957EF">
        <w:rPr>
          <w:rFonts w:ascii="Book Antiqua" w:hAnsi="Book Antiqua"/>
          <w:lang w:val="en-US"/>
        </w:rPr>
        <w:t xml:space="preserve">her recent trial, Laharie </w:t>
      </w:r>
      <w:r w:rsidR="009957EF" w:rsidRPr="009957EF">
        <w:rPr>
          <w:rFonts w:ascii="Book Antiqua" w:hAnsi="Book Antiqua"/>
          <w:i/>
          <w:lang w:val="en-US"/>
        </w:rPr>
        <w:t xml:space="preserve">et </w:t>
      </w:r>
      <w:proofErr w:type="gramStart"/>
      <w:r w:rsidR="009957EF" w:rsidRPr="009957EF">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62]</w:t>
      </w:r>
      <w:r w:rsidRPr="0050649F">
        <w:rPr>
          <w:rFonts w:ascii="Book Antiqua" w:hAnsi="Book Antiqua"/>
          <w:lang w:val="en-US"/>
        </w:rPr>
        <w:t xml:space="preserve"> evaluated</w:t>
      </w:r>
      <w:r w:rsidR="009957EF">
        <w:rPr>
          <w:rFonts w:ascii="Book Antiqua" w:hAnsi="Book Antiqua"/>
          <w:lang w:val="en-US"/>
        </w:rPr>
        <w:t xml:space="preserve"> methotrexate (MTX) 15-25 mg/w</w:t>
      </w:r>
      <w:r w:rsidRPr="0050649F">
        <w:rPr>
          <w:rFonts w:ascii="Book Antiqua" w:hAnsi="Book Antiqua"/>
          <w:lang w:val="en-US"/>
        </w:rPr>
        <w:t>k, azathioprine 2-3 mg/kg</w:t>
      </w:r>
      <w:r w:rsidR="009957EF">
        <w:rPr>
          <w:rFonts w:ascii="Book Antiqua" w:eastAsia="宋体" w:hAnsi="Book Antiqua" w:hint="eastAsia"/>
          <w:lang w:val="en-US" w:eastAsia="zh-CN"/>
        </w:rPr>
        <w:t xml:space="preserve"> per </w:t>
      </w:r>
      <w:r w:rsidRPr="0050649F">
        <w:rPr>
          <w:rFonts w:ascii="Book Antiqua" w:hAnsi="Book Antiqua"/>
          <w:lang w:val="en-US"/>
        </w:rPr>
        <w:t>day, and IFX 5 mg/kg. The endoscopic control, performed according to clinical needs (median follow-up 13.2 mo), showed achievement of MH in 11%, 50% and 60% of patients respectively; MH corresponded to a CDAI score of less than 4.</w:t>
      </w:r>
    </w:p>
    <w:p w14:paraId="50D7F6B3" w14:textId="77777777" w:rsidR="00A24C79" w:rsidRPr="0050649F" w:rsidRDefault="00A24C79" w:rsidP="00C97716">
      <w:pPr>
        <w:spacing w:line="360" w:lineRule="auto"/>
        <w:jc w:val="both"/>
        <w:rPr>
          <w:rFonts w:ascii="Book Antiqua" w:hAnsi="Book Antiqua"/>
          <w:i/>
          <w:lang w:val="en-US"/>
        </w:rPr>
      </w:pPr>
    </w:p>
    <w:p w14:paraId="082015A9" w14:textId="77777777" w:rsidR="00A24C79" w:rsidRPr="009957EF" w:rsidRDefault="00A24C79" w:rsidP="00C97716">
      <w:pPr>
        <w:spacing w:line="360" w:lineRule="auto"/>
        <w:jc w:val="both"/>
        <w:rPr>
          <w:rFonts w:ascii="Book Antiqua" w:hAnsi="Book Antiqua"/>
          <w:b/>
          <w:i/>
          <w:lang w:val="en-US"/>
        </w:rPr>
      </w:pPr>
      <w:r w:rsidRPr="009957EF">
        <w:rPr>
          <w:rFonts w:ascii="Book Antiqua" w:hAnsi="Book Antiqua"/>
          <w:b/>
          <w:i/>
          <w:lang w:val="en-US"/>
        </w:rPr>
        <w:lastRenderedPageBreak/>
        <w:t>Biological treatment</w:t>
      </w:r>
    </w:p>
    <w:p w14:paraId="51EBA5B2" w14:textId="311E1CC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In 2010, the SONIC </w:t>
      </w:r>
      <w:proofErr w:type="gramStart"/>
      <w:r w:rsidRPr="0050649F">
        <w:rPr>
          <w:rFonts w:ascii="Book Antiqua" w:hAnsi="Book Antiqua"/>
          <w:lang w:val="en-US"/>
        </w:rPr>
        <w:t>trial</w:t>
      </w:r>
      <w:r w:rsidRPr="0050649F">
        <w:rPr>
          <w:rFonts w:ascii="Book Antiqua" w:hAnsi="Book Antiqua"/>
          <w:vertAlign w:val="superscript"/>
          <w:lang w:val="en-US"/>
        </w:rPr>
        <w:t>[</w:t>
      </w:r>
      <w:proofErr w:type="gramEnd"/>
      <w:r w:rsidRPr="0050649F">
        <w:rPr>
          <w:rFonts w:ascii="Book Antiqua" w:hAnsi="Book Antiqua"/>
          <w:vertAlign w:val="superscript"/>
          <w:lang w:val="en-US"/>
        </w:rPr>
        <w:t>63]</w:t>
      </w:r>
      <w:r w:rsidRPr="0050649F">
        <w:rPr>
          <w:rFonts w:ascii="Book Antiqua" w:hAnsi="Book Antiqua"/>
          <w:lang w:val="en-US"/>
        </w:rPr>
        <w:t xml:space="preserve"> compared treatment with AZA, IFX and combination therapy (IFX plus AZA) in 508 patients with CD, na</w:t>
      </w:r>
      <w:r w:rsidR="000F2E17">
        <w:rPr>
          <w:rFonts w:ascii="Book Antiqua" w:eastAsia="宋体" w:hAnsi="Book Antiqua" w:hint="eastAsia"/>
          <w:lang w:val="en-US" w:eastAsia="zh-CN"/>
        </w:rPr>
        <w:t>i</w:t>
      </w:r>
      <w:r w:rsidRPr="0050649F">
        <w:rPr>
          <w:rFonts w:ascii="Book Antiqua" w:hAnsi="Book Antiqua"/>
          <w:lang w:val="en-US"/>
        </w:rPr>
        <w:t>ve both to biologics and immunomodulators. The first group of patients was randomized to AZA 2.5 mg/kg</w:t>
      </w:r>
      <w:r w:rsidR="004D4AFA">
        <w:rPr>
          <w:rFonts w:ascii="Book Antiqua" w:eastAsia="宋体" w:hAnsi="Book Antiqua" w:hint="eastAsia"/>
          <w:lang w:val="en-US" w:eastAsia="zh-CN"/>
        </w:rPr>
        <w:t xml:space="preserve"> per </w:t>
      </w:r>
      <w:r w:rsidRPr="0050649F">
        <w:rPr>
          <w:rFonts w:ascii="Book Antiqua" w:hAnsi="Book Antiqua"/>
          <w:lang w:val="en-US"/>
        </w:rPr>
        <w:t>day, the second group to intravenous IFX 5 mg/kg</w:t>
      </w:r>
      <w:r w:rsidR="004D4AFA">
        <w:rPr>
          <w:rFonts w:ascii="Book Antiqua" w:eastAsia="宋体" w:hAnsi="Book Antiqua" w:hint="eastAsia"/>
          <w:lang w:val="en-US" w:eastAsia="zh-CN"/>
        </w:rPr>
        <w:t xml:space="preserve"> per </w:t>
      </w:r>
      <w:r w:rsidRPr="0050649F">
        <w:rPr>
          <w:rFonts w:ascii="Book Antiqua" w:hAnsi="Book Antiqua"/>
          <w:lang w:val="en-US"/>
        </w:rPr>
        <w:t xml:space="preserve">day and the third group to a combination therapy with intravenous IFX 5 mg/kg and AZA 2.5 mg/kg. The results in terms of MH were clear: </w:t>
      </w:r>
      <w:r w:rsidR="000F2E17" w:rsidRPr="0050649F">
        <w:rPr>
          <w:rFonts w:ascii="Book Antiqua" w:hAnsi="Book Antiqua"/>
          <w:lang w:val="en-US"/>
        </w:rPr>
        <w:t>T</w:t>
      </w:r>
      <w:r w:rsidRPr="0050649F">
        <w:rPr>
          <w:rFonts w:ascii="Book Antiqua" w:hAnsi="Book Antiqua"/>
          <w:lang w:val="en-US"/>
        </w:rPr>
        <w:t>he combination therapy was more effective than others in inducing MH (defined by the absence of mucosal ulceration), achieving it in 44% of patients at the 26</w:t>
      </w:r>
      <w:r w:rsidRPr="0050649F">
        <w:rPr>
          <w:rFonts w:ascii="Book Antiqua" w:hAnsi="Book Antiqua"/>
          <w:vertAlign w:val="superscript"/>
          <w:lang w:val="en-US"/>
        </w:rPr>
        <w:t>th</w:t>
      </w:r>
      <w:r w:rsidRPr="0050649F">
        <w:rPr>
          <w:rFonts w:ascii="Book Antiqua" w:hAnsi="Book Antiqua"/>
          <w:lang w:val="en-US"/>
        </w:rPr>
        <w:t xml:space="preserve"> week, compared to 30% of patients treated with only IFX and 16% of patients treated with only immunosuppressor. In 2012, the results from the EXTEND </w:t>
      </w:r>
      <w:proofErr w:type="gramStart"/>
      <w:r w:rsidRPr="0050649F">
        <w:rPr>
          <w:rFonts w:ascii="Book Antiqua" w:hAnsi="Book Antiqua"/>
          <w:lang w:val="en-US"/>
        </w:rPr>
        <w:t>trial</w:t>
      </w:r>
      <w:r w:rsidRPr="0050649F">
        <w:rPr>
          <w:rFonts w:ascii="Book Antiqua" w:hAnsi="Book Antiqua"/>
          <w:vertAlign w:val="superscript"/>
          <w:lang w:val="en-US"/>
        </w:rPr>
        <w:t>[</w:t>
      </w:r>
      <w:proofErr w:type="gramEnd"/>
      <w:r w:rsidRPr="0050649F">
        <w:rPr>
          <w:rFonts w:ascii="Book Antiqua" w:hAnsi="Book Antiqua"/>
          <w:vertAlign w:val="superscript"/>
          <w:lang w:val="en-US"/>
        </w:rPr>
        <w:t>64]</w:t>
      </w:r>
      <w:r w:rsidRPr="0050649F">
        <w:rPr>
          <w:rFonts w:ascii="Book Antiqua" w:hAnsi="Book Antiqua"/>
          <w:lang w:val="en-US"/>
        </w:rPr>
        <w:t xml:space="preserve"> were published; in this study, 129 patients with CD were divided into two groups: </w:t>
      </w:r>
      <w:r w:rsidR="000F2E17" w:rsidRPr="0050649F">
        <w:rPr>
          <w:rFonts w:ascii="Book Antiqua" w:hAnsi="Book Antiqua"/>
          <w:lang w:val="en-US"/>
        </w:rPr>
        <w:t>T</w:t>
      </w:r>
      <w:r w:rsidRPr="0050649F">
        <w:rPr>
          <w:rFonts w:ascii="Book Antiqua" w:hAnsi="Book Antiqua"/>
          <w:lang w:val="en-US"/>
        </w:rPr>
        <w:t>he first group was randomized to subcutaneous ADA only during induction and placebo for maintenance, the second group to a maintenance treatment with ADA. Endoscopic checks were performed at baseline and at week 12 and 52. The results were stratified according to the baseline CDEIS in two groups: patients with baseline CDEIS ≤ 9 and patients with baseline CDEIS &gt;</w:t>
      </w:r>
      <w:r w:rsidR="004D4AFA">
        <w:rPr>
          <w:rFonts w:ascii="Book Antiqua" w:eastAsia="宋体" w:hAnsi="Book Antiqua" w:hint="eastAsia"/>
          <w:lang w:val="en-US" w:eastAsia="zh-CN"/>
        </w:rPr>
        <w:t xml:space="preserve"> </w:t>
      </w:r>
      <w:r w:rsidRPr="0050649F">
        <w:rPr>
          <w:rFonts w:ascii="Book Antiqua" w:hAnsi="Book Antiqua"/>
          <w:lang w:val="en-US"/>
        </w:rPr>
        <w:t xml:space="preserve">9. Patients with ADA maintenance achieved </w:t>
      </w:r>
      <w:r w:rsidR="00C97716" w:rsidRPr="0050649F">
        <w:rPr>
          <w:rFonts w:ascii="Book Antiqua" w:hAnsi="Book Antiqua"/>
          <w:lang w:val="en-GB"/>
        </w:rPr>
        <w:t>MH</w:t>
      </w:r>
      <w:r w:rsidRPr="0050649F">
        <w:rPr>
          <w:rFonts w:ascii="Book Antiqua" w:hAnsi="Book Antiqua"/>
          <w:lang w:val="en-US"/>
        </w:rPr>
        <w:t xml:space="preserve"> (considered as CDEIS 0) at week 12 in 40% (CDEIS ≤</w:t>
      </w:r>
      <w:r w:rsidR="004D4AFA">
        <w:rPr>
          <w:rFonts w:ascii="Book Antiqua" w:eastAsia="宋体" w:hAnsi="Book Antiqua" w:hint="eastAsia"/>
          <w:lang w:val="en-US" w:eastAsia="zh-CN"/>
        </w:rPr>
        <w:t xml:space="preserve"> </w:t>
      </w:r>
      <w:r w:rsidRPr="0050649F">
        <w:rPr>
          <w:rFonts w:ascii="Book Antiqua" w:hAnsi="Book Antiqua"/>
          <w:lang w:val="en-US"/>
        </w:rPr>
        <w:t>9) and 16% (CDEIS &gt;</w:t>
      </w:r>
      <w:r w:rsidR="004D4AFA">
        <w:rPr>
          <w:rFonts w:ascii="Book Antiqua" w:eastAsia="宋体" w:hAnsi="Book Antiqua" w:hint="eastAsia"/>
          <w:lang w:val="en-US" w:eastAsia="zh-CN"/>
        </w:rPr>
        <w:t xml:space="preserve"> </w:t>
      </w:r>
      <w:r w:rsidRPr="0050649F">
        <w:rPr>
          <w:rFonts w:ascii="Book Antiqua" w:hAnsi="Book Antiqua"/>
          <w:lang w:val="en-US"/>
        </w:rPr>
        <w:t>9); the MH rate dropped to 30% (CDEIS ≤</w:t>
      </w:r>
      <w:r w:rsidR="004D4AFA">
        <w:rPr>
          <w:rFonts w:ascii="Book Antiqua" w:eastAsia="宋体" w:hAnsi="Book Antiqua" w:hint="eastAsia"/>
          <w:lang w:val="en-US" w:eastAsia="zh-CN"/>
        </w:rPr>
        <w:t xml:space="preserve"> </w:t>
      </w:r>
      <w:r w:rsidRPr="0050649F">
        <w:rPr>
          <w:rFonts w:ascii="Book Antiqua" w:hAnsi="Book Antiqua"/>
          <w:lang w:val="en-US"/>
        </w:rPr>
        <w:t>9) and 19% (CDEIS &gt;</w:t>
      </w:r>
      <w:r w:rsidR="004D4AFA">
        <w:rPr>
          <w:rFonts w:ascii="Book Antiqua" w:eastAsia="宋体" w:hAnsi="Book Antiqua" w:hint="eastAsia"/>
          <w:lang w:val="en-US" w:eastAsia="zh-CN"/>
        </w:rPr>
        <w:t xml:space="preserve"> </w:t>
      </w:r>
      <w:r w:rsidRPr="0050649F">
        <w:rPr>
          <w:rFonts w:ascii="Book Antiqua" w:hAnsi="Book Antiqua"/>
          <w:lang w:val="en-US"/>
        </w:rPr>
        <w:t>9) at week 52. The second group of patients (ADA induction only) achieved MH at the 12</w:t>
      </w:r>
      <w:r w:rsidRPr="004D4AFA">
        <w:rPr>
          <w:rFonts w:ascii="Book Antiqua" w:hAnsi="Book Antiqua"/>
          <w:vertAlign w:val="superscript"/>
          <w:lang w:val="en-US"/>
        </w:rPr>
        <w:t>th</w:t>
      </w:r>
      <w:r w:rsidRPr="0050649F">
        <w:rPr>
          <w:rFonts w:ascii="Book Antiqua" w:hAnsi="Book Antiqua"/>
          <w:lang w:val="en-US"/>
        </w:rPr>
        <w:t xml:space="preserve"> week in 13% (CDEIS ≤9) and 14% (CDEIS &gt;</w:t>
      </w:r>
      <w:r w:rsidR="004D4AFA">
        <w:rPr>
          <w:rFonts w:ascii="Book Antiqua" w:eastAsia="宋体" w:hAnsi="Book Antiqua" w:hint="eastAsia"/>
          <w:lang w:val="en-US" w:eastAsia="zh-CN"/>
        </w:rPr>
        <w:t xml:space="preserve"> </w:t>
      </w:r>
      <w:r w:rsidRPr="0050649F">
        <w:rPr>
          <w:rFonts w:ascii="Book Antiqua" w:hAnsi="Book Antiqua"/>
          <w:lang w:val="en-US"/>
        </w:rPr>
        <w:t>9); at the 52</w:t>
      </w:r>
      <w:r w:rsidRPr="0060236E">
        <w:rPr>
          <w:rFonts w:ascii="Book Antiqua" w:hAnsi="Book Antiqua"/>
          <w:vertAlign w:val="superscript"/>
          <w:lang w:val="en-US"/>
        </w:rPr>
        <w:t>nd</w:t>
      </w:r>
      <w:r w:rsidRPr="0050649F">
        <w:rPr>
          <w:rFonts w:ascii="Book Antiqua" w:hAnsi="Book Antiqua"/>
          <w:lang w:val="en-US"/>
        </w:rPr>
        <w:t xml:space="preserve"> week no patient maintained MH.</w:t>
      </w:r>
    </w:p>
    <w:p w14:paraId="58408B6F" w14:textId="77777777" w:rsidR="00A24C79" w:rsidRPr="0050649F" w:rsidRDefault="00A24C79" w:rsidP="00C97716">
      <w:pPr>
        <w:spacing w:line="360" w:lineRule="auto"/>
        <w:jc w:val="both"/>
        <w:rPr>
          <w:rFonts w:ascii="Book Antiqua" w:hAnsi="Book Antiqua"/>
          <w:b/>
          <w:lang w:val="en-US"/>
        </w:rPr>
      </w:pPr>
    </w:p>
    <w:p w14:paraId="3F31FF23" w14:textId="61EF2C33" w:rsidR="00A24C79" w:rsidRPr="0050649F" w:rsidRDefault="004D4AFA" w:rsidP="00C97716">
      <w:pPr>
        <w:spacing w:line="360" w:lineRule="auto"/>
        <w:jc w:val="both"/>
        <w:rPr>
          <w:rFonts w:ascii="Book Antiqua" w:hAnsi="Book Antiqua"/>
          <w:b/>
          <w:lang w:val="en-US"/>
        </w:rPr>
      </w:pPr>
      <w:r w:rsidRPr="0050649F">
        <w:rPr>
          <w:rFonts w:ascii="Book Antiqua" w:hAnsi="Book Antiqua"/>
          <w:b/>
          <w:lang w:val="en-US"/>
        </w:rPr>
        <w:t xml:space="preserve">WHAT TO DO AFTER ACHIEVING CLINICAL REMISSION OR MH? </w:t>
      </w:r>
    </w:p>
    <w:p w14:paraId="7C15A51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No clear indications are available regarding the correct timing of drug withdrawal in IBD. Excluding studies on clinical remission achieved by 5-ASA monotherapy and subsequent dose reduction or withdrawal, the following studies investigated the relapse rate starting from patients in clinical remission, with or without endoscopic assessment.</w:t>
      </w:r>
    </w:p>
    <w:p w14:paraId="48CA8E51" w14:textId="77777777" w:rsidR="00A24C79" w:rsidRPr="004D4AFA" w:rsidRDefault="00A24C79" w:rsidP="00C97716">
      <w:pPr>
        <w:spacing w:line="360" w:lineRule="auto"/>
        <w:jc w:val="both"/>
        <w:rPr>
          <w:rFonts w:ascii="Book Antiqua" w:eastAsia="宋体" w:hAnsi="Book Antiqua"/>
          <w:lang w:val="en-US" w:eastAsia="zh-CN"/>
        </w:rPr>
      </w:pPr>
    </w:p>
    <w:p w14:paraId="1DC2984A" w14:textId="48A018A8" w:rsidR="00A24C79" w:rsidRPr="0050649F" w:rsidRDefault="004D4AFA" w:rsidP="00C97716">
      <w:pPr>
        <w:spacing w:line="360" w:lineRule="auto"/>
        <w:jc w:val="both"/>
        <w:rPr>
          <w:rFonts w:ascii="Book Antiqua" w:hAnsi="Book Antiqua"/>
          <w:b/>
          <w:bCs/>
          <w:lang w:val="en-US"/>
        </w:rPr>
      </w:pPr>
      <w:r w:rsidRPr="0050649F">
        <w:rPr>
          <w:rFonts w:ascii="Book Antiqua" w:hAnsi="Book Antiqua"/>
          <w:b/>
          <w:bCs/>
          <w:lang w:val="en-US"/>
        </w:rPr>
        <w:t>THIOPURINE DISCONTINUATION</w:t>
      </w:r>
    </w:p>
    <w:p w14:paraId="4D5900B6" w14:textId="6C2EC7EA"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In 2002, a large </w:t>
      </w:r>
      <w:r w:rsidR="004D4AFA">
        <w:rPr>
          <w:rFonts w:ascii="Book Antiqua" w:hAnsi="Book Antiqua"/>
          <w:lang w:val="en-US"/>
        </w:rPr>
        <w:t xml:space="preserve">retrospective study, (Fraser </w:t>
      </w:r>
      <w:r w:rsidR="004D4AFA" w:rsidRPr="004D4AFA">
        <w:rPr>
          <w:rFonts w:ascii="Book Antiqua" w:hAnsi="Book Antiqua"/>
          <w:i/>
          <w:lang w:val="en-US"/>
        </w:rPr>
        <w:t xml:space="preserve">et </w:t>
      </w:r>
      <w:proofErr w:type="gramStart"/>
      <w:r w:rsidR="004D4AFA" w:rsidRPr="004D4AFA">
        <w:rPr>
          <w:rFonts w:ascii="Book Antiqua" w:hAnsi="Book Antiqua"/>
          <w:i/>
          <w:lang w:val="en-US"/>
        </w:rPr>
        <w:t>al</w:t>
      </w:r>
      <w:r w:rsidR="004D4AFA" w:rsidRPr="0050649F">
        <w:rPr>
          <w:rFonts w:ascii="Book Antiqua" w:hAnsi="Book Antiqua"/>
          <w:vertAlign w:val="superscript"/>
          <w:lang w:val="en-US"/>
        </w:rPr>
        <w:t>[</w:t>
      </w:r>
      <w:proofErr w:type="gramEnd"/>
      <w:r w:rsidR="004D4AFA" w:rsidRPr="0050649F">
        <w:rPr>
          <w:rFonts w:ascii="Book Antiqua" w:hAnsi="Book Antiqua"/>
          <w:vertAlign w:val="superscript"/>
          <w:lang w:val="en-US"/>
        </w:rPr>
        <w:t>65]</w:t>
      </w:r>
      <w:r w:rsidRPr="0050649F">
        <w:rPr>
          <w:rFonts w:ascii="Book Antiqua" w:hAnsi="Book Antiqua"/>
          <w:lang w:val="en-US"/>
        </w:rPr>
        <w:t>), analyzed 346 UC patients and 272 CD patients in treatment with AZA; during the observation period, 517 of these patients needed to stop AZA for several reasons (clinical remission or side effects)</w:t>
      </w:r>
      <w:r w:rsidR="007B7749">
        <w:rPr>
          <w:rFonts w:ascii="Book Antiqua" w:eastAsia="宋体" w:hAnsi="Book Antiqua" w:hint="eastAsia"/>
          <w:lang w:val="en-US" w:eastAsia="zh-CN"/>
        </w:rPr>
        <w:t xml:space="preserve"> </w:t>
      </w:r>
      <w:r w:rsidRPr="0050649F">
        <w:rPr>
          <w:rFonts w:ascii="Book Antiqua" w:hAnsi="Book Antiqua"/>
          <w:lang w:val="en-US"/>
        </w:rPr>
        <w:t>(</w:t>
      </w:r>
      <w:r w:rsidRPr="004D4AFA">
        <w:rPr>
          <w:rFonts w:ascii="Book Antiqua" w:hAnsi="Book Antiqua"/>
          <w:lang w:val="en-US"/>
        </w:rPr>
        <w:t>Tab</w:t>
      </w:r>
      <w:r w:rsidR="004D4AFA" w:rsidRPr="004D4AFA">
        <w:rPr>
          <w:rFonts w:ascii="Book Antiqua" w:eastAsia="宋体" w:hAnsi="Book Antiqua" w:hint="eastAsia"/>
          <w:lang w:val="en-US" w:eastAsia="zh-CN"/>
        </w:rPr>
        <w:t>le</w:t>
      </w:r>
      <w:r w:rsidRPr="004D4AFA">
        <w:rPr>
          <w:rFonts w:ascii="Book Antiqua" w:hAnsi="Book Antiqua"/>
          <w:lang w:val="en-US"/>
        </w:rPr>
        <w:t xml:space="preserve"> 2</w:t>
      </w:r>
      <w:r w:rsidRPr="0050649F">
        <w:rPr>
          <w:rFonts w:ascii="Book Antiqua" w:hAnsi="Book Antiqua"/>
          <w:lang w:val="en-US"/>
        </w:rPr>
        <w:t xml:space="preserve">). Authors compared the cumulative remission rate over the years in those who continued and in those who discontinued: at the first year, 95% who continued remained in clinical </w:t>
      </w:r>
      <w:r w:rsidRPr="0050649F">
        <w:rPr>
          <w:rFonts w:ascii="Book Antiqua" w:hAnsi="Book Antiqua"/>
          <w:lang w:val="en-US"/>
        </w:rPr>
        <w:lastRenderedPageBreak/>
        <w:t>remission (defined as Harvey Bradshaw Index, HBI &lt;</w:t>
      </w:r>
      <w:r w:rsidR="004D4AFA">
        <w:rPr>
          <w:rFonts w:ascii="Book Antiqua" w:eastAsia="宋体" w:hAnsi="Book Antiqua" w:hint="eastAsia"/>
          <w:lang w:val="en-US" w:eastAsia="zh-CN"/>
        </w:rPr>
        <w:t xml:space="preserve"> </w:t>
      </w:r>
      <w:r w:rsidRPr="0050649F">
        <w:rPr>
          <w:rFonts w:ascii="Book Antiqua" w:hAnsi="Book Antiqua"/>
          <w:lang w:val="en-US"/>
        </w:rPr>
        <w:t xml:space="preserve">4) </w:t>
      </w:r>
      <w:r w:rsidRPr="004D4AFA">
        <w:rPr>
          <w:rFonts w:ascii="Book Antiqua" w:hAnsi="Book Antiqua"/>
          <w:i/>
          <w:lang w:val="en-US"/>
        </w:rPr>
        <w:t xml:space="preserve">vs </w:t>
      </w:r>
      <w:r w:rsidRPr="0050649F">
        <w:rPr>
          <w:rFonts w:ascii="Book Antiqua" w:hAnsi="Book Antiqua"/>
          <w:lang w:val="en-US"/>
        </w:rPr>
        <w:t>63% of patients who stopped AZA; at the second year, the remission rate was respect</w:t>
      </w:r>
      <w:r w:rsidR="004D4AFA">
        <w:rPr>
          <w:rFonts w:ascii="Book Antiqua" w:hAnsi="Book Antiqua"/>
          <w:lang w:val="en-US"/>
        </w:rPr>
        <w:t>ively 90%</w:t>
      </w:r>
      <w:r w:rsidR="004D4AFA" w:rsidRPr="004D4AFA">
        <w:rPr>
          <w:rFonts w:ascii="Book Antiqua" w:hAnsi="Book Antiqua"/>
          <w:i/>
          <w:lang w:val="en-US"/>
        </w:rPr>
        <w:t xml:space="preserve"> vs</w:t>
      </w:r>
      <w:r w:rsidRPr="0050649F">
        <w:rPr>
          <w:rFonts w:ascii="Book Antiqua" w:hAnsi="Book Antiqua"/>
          <w:lang w:val="en-US"/>
        </w:rPr>
        <w:t xml:space="preserve"> 44%, at t</w:t>
      </w:r>
      <w:r w:rsidR="004D4AFA">
        <w:rPr>
          <w:rFonts w:ascii="Book Antiqua" w:hAnsi="Book Antiqua"/>
          <w:lang w:val="en-US"/>
        </w:rPr>
        <w:t xml:space="preserve">he third 69% </w:t>
      </w:r>
      <w:r w:rsidR="004D4AFA" w:rsidRPr="004D4AFA">
        <w:rPr>
          <w:rFonts w:ascii="Book Antiqua" w:hAnsi="Book Antiqua"/>
          <w:i/>
          <w:lang w:val="en-US"/>
        </w:rPr>
        <w:t>vs</w:t>
      </w:r>
      <w:r w:rsidR="004D4AFA">
        <w:rPr>
          <w:rFonts w:ascii="Book Antiqua" w:hAnsi="Book Antiqua"/>
          <w:lang w:val="en-US"/>
        </w:rPr>
        <w:t xml:space="preserve"> 34% and 62% </w:t>
      </w:r>
      <w:r w:rsidR="004D4AFA" w:rsidRPr="004D4AFA">
        <w:rPr>
          <w:rFonts w:ascii="Book Antiqua" w:hAnsi="Book Antiqua"/>
          <w:i/>
          <w:lang w:val="en-US"/>
        </w:rPr>
        <w:t>vs</w:t>
      </w:r>
      <w:r w:rsidRPr="0050649F">
        <w:rPr>
          <w:rFonts w:ascii="Book Antiqua" w:hAnsi="Book Antiqua"/>
          <w:lang w:val="en-US"/>
        </w:rPr>
        <w:t xml:space="preserve"> 25%, at the fifth year. Predictors for a lower risk of relapse, while the patients were still on treatment, were a minimum leucocyte count less than 5000 el/mmc, an age of more than 36 years at start of treatment and male gender, the latter only for CD. There was no difference in terms of maintenance of remission, according to the duration of previous treatment with AZA. Similar results have been reported examining 61 UC patients taking 6-MP; among these patients, 22 persons discontinued 6-MP. The med</w:t>
      </w:r>
      <w:r w:rsidR="004D4AFA">
        <w:rPr>
          <w:rFonts w:ascii="Book Antiqua" w:hAnsi="Book Antiqua"/>
          <w:lang w:val="en-US"/>
        </w:rPr>
        <w:t>ian time to relapse was 58 wk</w:t>
      </w:r>
      <w:r w:rsidRPr="0050649F">
        <w:rPr>
          <w:rFonts w:ascii="Book Antiqua" w:hAnsi="Book Antiqua"/>
          <w:lang w:val="en-US"/>
        </w:rPr>
        <w:t xml:space="preserve"> in patients that</w:t>
      </w:r>
      <w:r w:rsidR="004D4AFA">
        <w:rPr>
          <w:rFonts w:ascii="Book Antiqua" w:hAnsi="Book Antiqua"/>
          <w:lang w:val="en-US"/>
        </w:rPr>
        <w:t xml:space="preserve"> continued therapy, and 24 wk</w:t>
      </w:r>
      <w:r w:rsidRPr="0050649F">
        <w:rPr>
          <w:rFonts w:ascii="Book Antiqua" w:hAnsi="Book Antiqua"/>
          <w:lang w:val="en-US"/>
        </w:rPr>
        <w:t xml:space="preserve"> in those who discontinued. On multivariate analysis, the authors did not find any significant differences between the two groups in terms of age, gender, extent/duration of disease and duration of treatment with 6-MP before achieving remission</w:t>
      </w:r>
      <w:r w:rsidRPr="0050649F">
        <w:rPr>
          <w:rFonts w:ascii="Book Antiqua" w:hAnsi="Book Antiqua"/>
          <w:vertAlign w:val="superscript"/>
          <w:lang w:val="en-US"/>
        </w:rPr>
        <w:t>[66]</w:t>
      </w:r>
      <w:r w:rsidRPr="0050649F">
        <w:rPr>
          <w:rFonts w:ascii="Book Antiqua" w:hAnsi="Book Antiqua"/>
          <w:lang w:val="en-US"/>
        </w:rPr>
        <w:t xml:space="preserve">. </w:t>
      </w:r>
    </w:p>
    <w:p w14:paraId="6A7D17F0" w14:textId="5BFEC358" w:rsidR="00A24C79" w:rsidRPr="0050649F" w:rsidRDefault="00A24C79" w:rsidP="004D4AFA">
      <w:pPr>
        <w:spacing w:line="360" w:lineRule="auto"/>
        <w:ind w:firstLineChars="100" w:firstLine="240"/>
        <w:jc w:val="both"/>
        <w:rPr>
          <w:rFonts w:ascii="Book Antiqua" w:hAnsi="Book Antiqua"/>
          <w:lang w:val="en-US"/>
        </w:rPr>
      </w:pPr>
      <w:r w:rsidRPr="0050649F">
        <w:rPr>
          <w:rFonts w:ascii="Book Antiqua" w:hAnsi="Book Antiqua"/>
          <w:lang w:val="en-US"/>
        </w:rPr>
        <w:t xml:space="preserve">In a French study, the cumulative recurrence rate after an 18 mo follow-up was higher in CD patients in clinical remission who had stopped AZA (21%), compared to patients who had continued (8%), although according to their results it did not reach statistical </w:t>
      </w:r>
      <w:proofErr w:type="gramStart"/>
      <w:r w:rsidRPr="0050649F">
        <w:rPr>
          <w:rFonts w:ascii="Book Antiqua" w:hAnsi="Book Antiqua"/>
          <w:lang w:val="en-US"/>
        </w:rPr>
        <w:t>significance</w:t>
      </w:r>
      <w:r w:rsidRPr="0050649F">
        <w:rPr>
          <w:rFonts w:ascii="Book Antiqua" w:hAnsi="Book Antiqua"/>
          <w:vertAlign w:val="superscript"/>
          <w:lang w:val="en-US"/>
        </w:rPr>
        <w:t>[</w:t>
      </w:r>
      <w:proofErr w:type="gramEnd"/>
      <w:r w:rsidRPr="0050649F">
        <w:rPr>
          <w:rFonts w:ascii="Book Antiqua" w:hAnsi="Book Antiqua"/>
          <w:vertAlign w:val="superscript"/>
          <w:lang w:val="en-US"/>
        </w:rPr>
        <w:t>67]</w:t>
      </w:r>
      <w:r w:rsidRPr="0050649F">
        <w:rPr>
          <w:rFonts w:ascii="Book Antiqua" w:hAnsi="Book Antiqua"/>
          <w:lang w:val="en-US"/>
        </w:rPr>
        <w:t xml:space="preserve">. </w:t>
      </w:r>
      <w:r w:rsidR="00022BDE">
        <w:rPr>
          <w:rFonts w:ascii="Book Antiqua" w:hAnsi="Book Antiqua"/>
          <w:lang w:val="en-US"/>
        </w:rPr>
        <w:t>CRP</w:t>
      </w:r>
      <w:r w:rsidRPr="0050649F">
        <w:rPr>
          <w:rFonts w:ascii="Book Antiqua" w:hAnsi="Book Antiqua"/>
          <w:lang w:val="en-US"/>
        </w:rPr>
        <w:t xml:space="preserve"> levels &gt;</w:t>
      </w:r>
      <w:r w:rsidR="004D4AFA">
        <w:rPr>
          <w:rFonts w:ascii="Book Antiqua" w:eastAsia="宋体" w:hAnsi="Book Antiqua" w:hint="eastAsia"/>
          <w:lang w:val="en-US" w:eastAsia="zh-CN"/>
        </w:rPr>
        <w:t xml:space="preserve"> </w:t>
      </w:r>
      <w:r w:rsidRPr="0050649F">
        <w:rPr>
          <w:rFonts w:ascii="Book Antiqua" w:hAnsi="Book Antiqua"/>
          <w:lang w:val="en-US"/>
        </w:rPr>
        <w:t>20 mg/L, time steroid-free &lt;</w:t>
      </w:r>
      <w:r w:rsidR="004D4AFA">
        <w:rPr>
          <w:rFonts w:ascii="Book Antiqua" w:eastAsia="宋体" w:hAnsi="Book Antiqua" w:hint="eastAsia"/>
          <w:lang w:val="en-US" w:eastAsia="zh-CN"/>
        </w:rPr>
        <w:t xml:space="preserve"> </w:t>
      </w:r>
      <w:r w:rsidRPr="0050649F">
        <w:rPr>
          <w:rFonts w:ascii="Book Antiqua" w:hAnsi="Book Antiqua"/>
          <w:lang w:val="en-US"/>
        </w:rPr>
        <w:t>50 mo and a hemoglobin level &lt;</w:t>
      </w:r>
      <w:r w:rsidR="004D4AFA">
        <w:rPr>
          <w:rFonts w:ascii="Book Antiqua" w:eastAsia="宋体" w:hAnsi="Book Antiqua" w:hint="eastAsia"/>
          <w:lang w:val="en-US" w:eastAsia="zh-CN"/>
        </w:rPr>
        <w:t xml:space="preserve"> </w:t>
      </w:r>
      <w:r w:rsidRPr="0050649F">
        <w:rPr>
          <w:rFonts w:ascii="Book Antiqua" w:hAnsi="Book Antiqua"/>
          <w:lang w:val="en-US"/>
        </w:rPr>
        <w:t xml:space="preserve">12 g/dL, on multivariate analysis, were all risk factors for relapse.  </w:t>
      </w:r>
    </w:p>
    <w:p w14:paraId="5C0C3983" w14:textId="501F8FCE" w:rsidR="00A24C79" w:rsidRPr="0050649F" w:rsidRDefault="00A24C79" w:rsidP="004D4AFA">
      <w:pPr>
        <w:spacing w:line="360" w:lineRule="auto"/>
        <w:ind w:firstLineChars="100" w:firstLine="240"/>
        <w:jc w:val="both"/>
        <w:rPr>
          <w:rFonts w:ascii="Book Antiqua" w:hAnsi="Book Antiqua"/>
          <w:lang w:val="en-US"/>
        </w:rPr>
      </w:pPr>
      <w:r w:rsidRPr="0050649F">
        <w:rPr>
          <w:rFonts w:ascii="Book Antiqua" w:hAnsi="Book Antiqua"/>
          <w:lang w:val="en-US"/>
        </w:rPr>
        <w:t xml:space="preserve">In 2009, Cassinotti </w:t>
      </w:r>
      <w:r w:rsidRPr="009B70F8">
        <w:rPr>
          <w:rFonts w:ascii="Book Antiqua" w:hAnsi="Book Antiqua"/>
          <w:i/>
          <w:lang w:val="en-US"/>
        </w:rPr>
        <w:t xml:space="preserve">et </w:t>
      </w:r>
      <w:proofErr w:type="gramStart"/>
      <w:r w:rsidRPr="009B70F8">
        <w:rPr>
          <w:rFonts w:ascii="Book Antiqua" w:hAnsi="Book Antiqua"/>
          <w:i/>
          <w:lang w:val="en-US"/>
        </w:rPr>
        <w:t>al</w:t>
      </w:r>
      <w:r w:rsidR="009B70F8" w:rsidRPr="0050649F">
        <w:rPr>
          <w:rFonts w:ascii="Book Antiqua" w:hAnsi="Book Antiqua"/>
          <w:vertAlign w:val="superscript"/>
          <w:lang w:val="en-US"/>
        </w:rPr>
        <w:t>[</w:t>
      </w:r>
      <w:proofErr w:type="gramEnd"/>
      <w:r w:rsidR="009B70F8" w:rsidRPr="0050649F">
        <w:rPr>
          <w:rFonts w:ascii="Book Antiqua" w:hAnsi="Book Antiqua"/>
          <w:vertAlign w:val="superscript"/>
          <w:lang w:val="en-US"/>
        </w:rPr>
        <w:t>68]</w:t>
      </w:r>
      <w:r w:rsidRPr="0050649F">
        <w:rPr>
          <w:rFonts w:ascii="Book Antiqua" w:hAnsi="Book Antiqua"/>
          <w:lang w:val="en-US"/>
        </w:rPr>
        <w:t xml:space="preserve">, retrospectively analyzed data from 127 UC patients in therapy with AZA for at least 3 mo and in steroid-free remission. Patients who continued therapy with AZA were included in the first group, while in the second group, patients who discontinued it electively, mainly for adverse events, were included. In the withdrawal group, the cumulative relapse-free survival was 65% in the first year, 51% in the second, 41% in the third, 39% and 35%, respectively in the fourth and fifth year. Stratifying patients for the duration of AZA treatment, authors observed a higher relapse-free survival in patients with longer treatment duration before </w:t>
      </w:r>
      <w:proofErr w:type="gramStart"/>
      <w:r w:rsidRPr="0050649F">
        <w:rPr>
          <w:rFonts w:ascii="Book Antiqua" w:hAnsi="Book Antiqua"/>
          <w:lang w:val="en-US"/>
        </w:rPr>
        <w:t>discontinuation</w:t>
      </w:r>
      <w:r w:rsidRPr="0050649F">
        <w:rPr>
          <w:rFonts w:ascii="Book Antiqua" w:hAnsi="Book Antiqua"/>
          <w:vertAlign w:val="superscript"/>
          <w:lang w:val="en-US"/>
        </w:rPr>
        <w:t>[</w:t>
      </w:r>
      <w:proofErr w:type="gramEnd"/>
      <w:r w:rsidRPr="0050649F">
        <w:rPr>
          <w:rFonts w:ascii="Book Antiqua" w:hAnsi="Book Antiqua"/>
          <w:vertAlign w:val="superscript"/>
          <w:lang w:val="en-US"/>
        </w:rPr>
        <w:t>68]</w:t>
      </w:r>
      <w:r w:rsidRPr="0050649F">
        <w:rPr>
          <w:rFonts w:ascii="Book Antiqua" w:hAnsi="Book Antiqua"/>
          <w:lang w:val="en-US"/>
        </w:rPr>
        <w:t xml:space="preserve">. </w:t>
      </w:r>
    </w:p>
    <w:p w14:paraId="5C0742EF" w14:textId="6B4358C8" w:rsidR="00A24C79" w:rsidRPr="0050649F" w:rsidRDefault="00A24C79" w:rsidP="009B70F8">
      <w:pPr>
        <w:spacing w:line="360" w:lineRule="auto"/>
        <w:ind w:firstLineChars="100" w:firstLine="240"/>
        <w:jc w:val="both"/>
        <w:rPr>
          <w:rFonts w:ascii="Book Antiqua" w:hAnsi="Book Antiqua"/>
          <w:lang w:val="en-US"/>
        </w:rPr>
      </w:pPr>
      <w:r w:rsidRPr="0050649F">
        <w:rPr>
          <w:rFonts w:ascii="Book Antiqua" w:hAnsi="Book Antiqua"/>
          <w:lang w:val="en-US"/>
        </w:rPr>
        <w:t>A similar study has</w:t>
      </w:r>
      <w:r w:rsidR="009B70F8">
        <w:rPr>
          <w:rFonts w:ascii="Book Antiqua" w:hAnsi="Book Antiqua"/>
          <w:lang w:val="en-US"/>
        </w:rPr>
        <w:t xml:space="preserve"> been published by Treton</w:t>
      </w:r>
      <w:r w:rsidR="009B70F8" w:rsidRPr="009B70F8">
        <w:rPr>
          <w:rFonts w:ascii="Book Antiqua" w:hAnsi="Book Antiqua"/>
          <w:i/>
          <w:lang w:val="en-US"/>
        </w:rPr>
        <w:t xml:space="preserve"> et </w:t>
      </w:r>
      <w:proofErr w:type="gramStart"/>
      <w:r w:rsidR="009B70F8" w:rsidRPr="009B70F8">
        <w:rPr>
          <w:rFonts w:ascii="Book Antiqua" w:hAnsi="Book Antiqua"/>
          <w:i/>
          <w:lang w:val="en-US"/>
        </w:rPr>
        <w:t>al</w:t>
      </w:r>
      <w:r w:rsidR="009B70F8" w:rsidRPr="0050649F">
        <w:rPr>
          <w:rFonts w:ascii="Book Antiqua" w:hAnsi="Book Antiqua"/>
          <w:vertAlign w:val="superscript"/>
          <w:lang w:val="en-US"/>
        </w:rPr>
        <w:t>[</w:t>
      </w:r>
      <w:proofErr w:type="gramEnd"/>
      <w:r w:rsidR="009B70F8" w:rsidRPr="0050649F">
        <w:rPr>
          <w:rFonts w:ascii="Book Antiqua" w:hAnsi="Book Antiqua"/>
          <w:vertAlign w:val="superscript"/>
          <w:lang w:val="en-US"/>
        </w:rPr>
        <w:t>69]</w:t>
      </w:r>
      <w:r w:rsidRPr="0050649F">
        <w:rPr>
          <w:rFonts w:ascii="Book Antiqua" w:hAnsi="Book Antiqua"/>
          <w:lang w:val="en-US"/>
        </w:rPr>
        <w:t xml:space="preserve"> on 66 CD patients with long standing remission while on AZA. Cumulative relapse rates after AZA withdrawal were 14% in the first year, 52% in the third and 62% in the fifth. According to their data, a CRP level ≥</w:t>
      </w:r>
      <w:r w:rsidR="000F2E17">
        <w:rPr>
          <w:rFonts w:ascii="Book Antiqua" w:eastAsia="宋体" w:hAnsi="Book Antiqua" w:hint="eastAsia"/>
          <w:lang w:val="en-US" w:eastAsia="zh-CN"/>
        </w:rPr>
        <w:t xml:space="preserve"> </w:t>
      </w:r>
      <w:r w:rsidRPr="0050649F">
        <w:rPr>
          <w:rFonts w:ascii="Book Antiqua" w:hAnsi="Book Antiqua"/>
          <w:lang w:val="en-US"/>
        </w:rPr>
        <w:t>20 mg/L, neutrophil count ≥</w:t>
      </w:r>
      <w:r w:rsidR="009B70F8">
        <w:rPr>
          <w:rFonts w:ascii="Book Antiqua" w:eastAsia="宋体" w:hAnsi="Book Antiqua" w:hint="eastAsia"/>
          <w:lang w:val="en-US" w:eastAsia="zh-CN"/>
        </w:rPr>
        <w:t xml:space="preserve"> </w:t>
      </w:r>
      <w:r w:rsidRPr="0050649F">
        <w:rPr>
          <w:rFonts w:ascii="Book Antiqua" w:hAnsi="Book Antiqua"/>
          <w:lang w:val="en-US"/>
        </w:rPr>
        <w:t>4000/mmc, hemoglobin level &lt;</w:t>
      </w:r>
      <w:r w:rsidR="009B70F8">
        <w:rPr>
          <w:rFonts w:ascii="Book Antiqua" w:eastAsia="宋体" w:hAnsi="Book Antiqua" w:hint="eastAsia"/>
          <w:lang w:val="en-US" w:eastAsia="zh-CN"/>
        </w:rPr>
        <w:t xml:space="preserve"> </w:t>
      </w:r>
      <w:r w:rsidRPr="0050649F">
        <w:rPr>
          <w:rFonts w:ascii="Book Antiqua" w:hAnsi="Book Antiqua"/>
          <w:lang w:val="en-US"/>
        </w:rPr>
        <w:t xml:space="preserve">12 g/dL were risk factors associated with a higher probability of </w:t>
      </w:r>
      <w:proofErr w:type="gramStart"/>
      <w:r w:rsidRPr="0050649F">
        <w:rPr>
          <w:rFonts w:ascii="Book Antiqua" w:hAnsi="Book Antiqua"/>
          <w:lang w:val="en-US"/>
        </w:rPr>
        <w:t>relapse</w:t>
      </w:r>
      <w:r w:rsidRPr="0050649F">
        <w:rPr>
          <w:rFonts w:ascii="Book Antiqua" w:hAnsi="Book Antiqua"/>
          <w:vertAlign w:val="superscript"/>
          <w:lang w:val="en-US"/>
        </w:rPr>
        <w:t>[</w:t>
      </w:r>
      <w:proofErr w:type="gramEnd"/>
      <w:r w:rsidRPr="0050649F">
        <w:rPr>
          <w:rFonts w:ascii="Book Antiqua" w:hAnsi="Book Antiqua"/>
          <w:vertAlign w:val="superscript"/>
          <w:lang w:val="en-US"/>
        </w:rPr>
        <w:t>69]</w:t>
      </w:r>
      <w:r w:rsidRPr="0050649F">
        <w:rPr>
          <w:rFonts w:ascii="Book Antiqua" w:hAnsi="Book Antiqua"/>
          <w:lang w:val="en-US"/>
        </w:rPr>
        <w:t xml:space="preserve">. </w:t>
      </w:r>
    </w:p>
    <w:p w14:paraId="1D9FBDB1" w14:textId="6E0CA2C4" w:rsidR="00A24C79" w:rsidRPr="0050649F" w:rsidRDefault="00A24C79" w:rsidP="009B70F8">
      <w:pPr>
        <w:spacing w:line="360" w:lineRule="auto"/>
        <w:ind w:firstLineChars="100" w:firstLine="240"/>
        <w:jc w:val="both"/>
        <w:rPr>
          <w:rFonts w:ascii="Book Antiqua" w:hAnsi="Book Antiqua"/>
          <w:lang w:val="en-US"/>
        </w:rPr>
      </w:pPr>
      <w:r w:rsidRPr="0050649F">
        <w:rPr>
          <w:rFonts w:ascii="Book Antiqua" w:hAnsi="Book Antiqua"/>
          <w:lang w:val="en-US"/>
        </w:rPr>
        <w:t>More recently, Ken</w:t>
      </w:r>
      <w:r w:rsidR="009B70F8">
        <w:rPr>
          <w:rFonts w:ascii="Book Antiqua" w:hAnsi="Book Antiqua"/>
          <w:lang w:val="en-US"/>
        </w:rPr>
        <w:t xml:space="preserve">nedy </w:t>
      </w:r>
      <w:r w:rsidR="009B70F8" w:rsidRPr="009B70F8">
        <w:rPr>
          <w:rFonts w:ascii="Book Antiqua" w:hAnsi="Book Antiqua"/>
          <w:i/>
          <w:lang w:val="en-US"/>
        </w:rPr>
        <w:t xml:space="preserve">et </w:t>
      </w:r>
      <w:proofErr w:type="gramStart"/>
      <w:r w:rsidR="009B70F8" w:rsidRPr="009B70F8">
        <w:rPr>
          <w:rFonts w:ascii="Book Antiqua" w:hAnsi="Book Antiqua"/>
          <w:i/>
          <w:lang w:val="en-US"/>
        </w:rPr>
        <w:t>al</w:t>
      </w:r>
      <w:r w:rsidR="009B70F8" w:rsidRPr="0050649F">
        <w:rPr>
          <w:rFonts w:ascii="Book Antiqua" w:hAnsi="Book Antiqua"/>
          <w:vertAlign w:val="superscript"/>
          <w:lang w:val="en-US"/>
        </w:rPr>
        <w:t>[</w:t>
      </w:r>
      <w:proofErr w:type="gramEnd"/>
      <w:r w:rsidR="009B70F8" w:rsidRPr="0050649F">
        <w:rPr>
          <w:rFonts w:ascii="Book Antiqua" w:hAnsi="Book Antiqua"/>
          <w:vertAlign w:val="superscript"/>
          <w:lang w:val="en-US"/>
        </w:rPr>
        <w:t>70]</w:t>
      </w:r>
      <w:r w:rsidRPr="0050649F">
        <w:rPr>
          <w:rFonts w:ascii="Book Antiqua" w:hAnsi="Book Antiqua"/>
          <w:lang w:val="en-US"/>
        </w:rPr>
        <w:t xml:space="preserve"> have studied a large cohort of IBD patients (129 CD, 108 UC) in deep remission with thiopurines after drug withdrawal. In the first 12 mo, 22% of CD patients had a</w:t>
      </w:r>
      <w:r w:rsidR="009B70F8">
        <w:rPr>
          <w:rFonts w:ascii="Book Antiqua" w:hAnsi="Book Antiqua"/>
          <w:lang w:val="en-US"/>
        </w:rPr>
        <w:t xml:space="preserve"> moderate to severe relapse, </w:t>
      </w:r>
      <w:r w:rsidR="009B70F8" w:rsidRPr="009B70F8">
        <w:rPr>
          <w:rFonts w:ascii="Book Antiqua" w:hAnsi="Book Antiqua"/>
          <w:i/>
          <w:lang w:val="en-US"/>
        </w:rPr>
        <w:t>vs</w:t>
      </w:r>
      <w:r w:rsidRPr="009B70F8">
        <w:rPr>
          <w:rFonts w:ascii="Book Antiqua" w:hAnsi="Book Antiqua"/>
          <w:i/>
          <w:lang w:val="en-US"/>
        </w:rPr>
        <w:t xml:space="preserve"> </w:t>
      </w:r>
      <w:r w:rsidRPr="0050649F">
        <w:rPr>
          <w:rFonts w:ascii="Book Antiqua" w:hAnsi="Book Antiqua"/>
          <w:lang w:val="en-US"/>
        </w:rPr>
        <w:t xml:space="preserve">12% in UC patients (only moderate, none </w:t>
      </w:r>
      <w:r w:rsidRPr="0050649F">
        <w:rPr>
          <w:rFonts w:ascii="Book Antiqua" w:hAnsi="Book Antiqua"/>
          <w:lang w:val="en-US"/>
        </w:rPr>
        <w:lastRenderedPageBreak/>
        <w:t xml:space="preserve">severe). At 2 years, the relapse rate grew to 39% in CD and 25% in UC. Elevated CRP levels at thiopurine withdrawal were associated with higher relapse rates at 12 mo in CD, while elevated WBC counts were predictive for relapse in </w:t>
      </w:r>
      <w:proofErr w:type="gramStart"/>
      <w:r w:rsidRPr="0050649F">
        <w:rPr>
          <w:rFonts w:ascii="Book Antiqua" w:hAnsi="Book Antiqua"/>
          <w:lang w:val="en-US"/>
        </w:rPr>
        <w:t>UC</w:t>
      </w:r>
      <w:r w:rsidRPr="0050649F">
        <w:rPr>
          <w:rFonts w:ascii="Book Antiqua" w:hAnsi="Book Antiqua"/>
          <w:vertAlign w:val="superscript"/>
          <w:lang w:val="en-US"/>
        </w:rPr>
        <w:t>[</w:t>
      </w:r>
      <w:proofErr w:type="gramEnd"/>
      <w:r w:rsidRPr="0050649F">
        <w:rPr>
          <w:rFonts w:ascii="Book Antiqua" w:hAnsi="Book Antiqua"/>
          <w:vertAlign w:val="superscript"/>
          <w:lang w:val="en-US"/>
        </w:rPr>
        <w:t>70]</w:t>
      </w:r>
      <w:r w:rsidRPr="0050649F">
        <w:rPr>
          <w:rFonts w:ascii="Book Antiqua" w:hAnsi="Book Antiqua"/>
          <w:lang w:val="en-US"/>
        </w:rPr>
        <w:t xml:space="preserve">. A Spanish group studied the withdrawal of thiopurines after </w:t>
      </w:r>
      <w:proofErr w:type="gramStart"/>
      <w:r w:rsidRPr="0050649F">
        <w:rPr>
          <w:rFonts w:ascii="Book Antiqua" w:hAnsi="Book Antiqua"/>
          <w:lang w:val="en-US"/>
        </w:rPr>
        <w:t>a treatment</w:t>
      </w:r>
      <w:proofErr w:type="gramEnd"/>
      <w:r w:rsidRPr="0050649F">
        <w:rPr>
          <w:rFonts w:ascii="Book Antiqua" w:hAnsi="Book Antiqua"/>
          <w:lang w:val="en-US"/>
        </w:rPr>
        <w:t xml:space="preserve"> duration of at least 6 mo and a sustained steroid-free remission of at least 6 mo. After a median follow-up of 27 mo (IQR, 9</w:t>
      </w:r>
      <w:r w:rsidR="009B70F8">
        <w:rPr>
          <w:rFonts w:ascii="Book Antiqua" w:eastAsia="宋体" w:hAnsi="Book Antiqua" w:hint="eastAsia"/>
          <w:lang w:val="en-US" w:eastAsia="zh-CN"/>
        </w:rPr>
        <w:t>-</w:t>
      </w:r>
      <w:r w:rsidRPr="0050649F">
        <w:rPr>
          <w:rFonts w:ascii="Book Antiqua" w:hAnsi="Book Antiqua"/>
          <w:lang w:val="en-US"/>
        </w:rPr>
        <w:t>75), the cumulative percentages of clinical relapse were 18.8% after one year, 36.5% at year 3, and 43% at the fifth year. Predictive factors for relapse were biological remission, thiopurine treatment duration, pancolitis, time from diagnosis until start of thiopurines, number of relapses before the withdrawal</w:t>
      </w:r>
      <w:r w:rsidRPr="0050649F">
        <w:rPr>
          <w:rFonts w:ascii="Book Antiqua" w:hAnsi="Book Antiqua"/>
          <w:vertAlign w:val="superscript"/>
          <w:lang w:val="en-US"/>
        </w:rPr>
        <w:t>[</w:t>
      </w:r>
      <w:r w:rsidRPr="0050649F">
        <w:rPr>
          <w:rStyle w:val="EndnoteReference"/>
          <w:rFonts w:ascii="Book Antiqua" w:hAnsi="Book Antiqua"/>
          <w:lang w:val="en-US"/>
        </w:rPr>
        <w:t>71</w:t>
      </w:r>
      <w:r w:rsidRPr="0050649F">
        <w:rPr>
          <w:rFonts w:ascii="Book Antiqua" w:hAnsi="Book Antiqua"/>
          <w:vertAlign w:val="superscript"/>
          <w:lang w:val="en-US"/>
        </w:rPr>
        <w:t>]</w:t>
      </w:r>
      <w:r w:rsidRPr="0050649F">
        <w:rPr>
          <w:rFonts w:ascii="Book Antiqua" w:hAnsi="Book Antiqua"/>
          <w:lang w:val="en-US"/>
        </w:rPr>
        <w:t>. Ve</w:t>
      </w:r>
      <w:r w:rsidR="009B70F8">
        <w:rPr>
          <w:rFonts w:ascii="Book Antiqua" w:hAnsi="Book Antiqua"/>
          <w:lang w:val="en-US"/>
        </w:rPr>
        <w:t>ry recently, Qiu</w:t>
      </w:r>
      <w:r w:rsidR="009B70F8" w:rsidRPr="009B70F8">
        <w:rPr>
          <w:rFonts w:ascii="Book Antiqua" w:hAnsi="Book Antiqua"/>
          <w:i/>
          <w:lang w:val="en-US"/>
        </w:rPr>
        <w:t xml:space="preserve"> et al</w:t>
      </w:r>
      <w:r w:rsidR="009B70F8" w:rsidRPr="0050649F">
        <w:rPr>
          <w:rFonts w:ascii="Book Antiqua" w:hAnsi="Book Antiqua"/>
          <w:vertAlign w:val="superscript"/>
          <w:lang w:val="en-US"/>
        </w:rPr>
        <w:t>[72]</w:t>
      </w:r>
      <w:r w:rsidRPr="0050649F">
        <w:rPr>
          <w:rFonts w:ascii="Book Antiqua" w:hAnsi="Book Antiqua"/>
          <w:lang w:val="en-US"/>
        </w:rPr>
        <w:t xml:space="preserve"> have reported on 109 CD patients after discontinuation of thiopurines with a median follow-up of 46 mo. Endoscopic flares occurred in 45% of patients during follow-up, clinical flares in 37%, surgery was necessary in 16%, and hospitalizations in 23%. Independent risk factors for flare were prior bowel complication (HR 1.74), perianal disease at diagnosis (HR 2.24) and CRP &gt; 3 mg/L (HR 4.05)</w:t>
      </w:r>
      <w:r w:rsidRPr="0050649F">
        <w:rPr>
          <w:rFonts w:ascii="Book Antiqua" w:hAnsi="Book Antiqua"/>
          <w:vertAlign w:val="superscript"/>
          <w:lang w:val="en-US"/>
        </w:rPr>
        <w:t>[72]</w:t>
      </w:r>
      <w:r w:rsidRPr="0050649F">
        <w:rPr>
          <w:rFonts w:ascii="Book Antiqua" w:hAnsi="Book Antiqua"/>
          <w:lang w:val="en-US"/>
        </w:rPr>
        <w:t>.</w:t>
      </w:r>
    </w:p>
    <w:p w14:paraId="143CF43D" w14:textId="77777777" w:rsidR="00A24C79" w:rsidRPr="0050649F" w:rsidRDefault="00A24C79" w:rsidP="00C97716">
      <w:pPr>
        <w:spacing w:line="360" w:lineRule="auto"/>
        <w:jc w:val="both"/>
        <w:rPr>
          <w:rFonts w:ascii="Book Antiqua" w:hAnsi="Book Antiqua"/>
          <w:lang w:val="en-US"/>
        </w:rPr>
      </w:pPr>
    </w:p>
    <w:p w14:paraId="01727FD6" w14:textId="5C990288" w:rsidR="00A24C79" w:rsidRPr="0050649F" w:rsidRDefault="009B70F8" w:rsidP="00C97716">
      <w:pPr>
        <w:spacing w:line="360" w:lineRule="auto"/>
        <w:jc w:val="both"/>
        <w:rPr>
          <w:rFonts w:ascii="Book Antiqua" w:hAnsi="Book Antiqua"/>
          <w:b/>
          <w:bCs/>
          <w:lang w:val="en-US"/>
        </w:rPr>
      </w:pPr>
      <w:r w:rsidRPr="0050649F">
        <w:rPr>
          <w:rFonts w:ascii="Book Antiqua" w:hAnsi="Book Antiqua"/>
          <w:b/>
          <w:bCs/>
          <w:lang w:val="en-US"/>
        </w:rPr>
        <w:t>ANTI-TNF DISCONTINUATION</w:t>
      </w:r>
    </w:p>
    <w:p w14:paraId="209EE6A6" w14:textId="39CD100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Van Assche </w:t>
      </w:r>
      <w:r w:rsidRPr="009D4409">
        <w:rPr>
          <w:rFonts w:ascii="Book Antiqua" w:hAnsi="Book Antiqua"/>
          <w:i/>
          <w:lang w:val="en-US"/>
        </w:rPr>
        <w:t xml:space="preserve">et </w:t>
      </w:r>
      <w:proofErr w:type="gramStart"/>
      <w:r w:rsidRPr="009D4409">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73]</w:t>
      </w:r>
      <w:r w:rsidRPr="0050649F">
        <w:rPr>
          <w:rFonts w:ascii="Book Antiqua" w:hAnsi="Book Antiqua"/>
          <w:lang w:val="en-US"/>
        </w:rPr>
        <w:t xml:space="preserve"> randomized 80 CD patients to receive a combined treatment, for more than 6 mo, with IFX and an immunosuppressant (AZA, 6-MP or MTX) (Con), or to stop immu</w:t>
      </w:r>
      <w:r w:rsidR="00317079">
        <w:rPr>
          <w:rFonts w:ascii="Book Antiqua" w:hAnsi="Book Antiqua"/>
          <w:lang w:val="en-US"/>
        </w:rPr>
        <w:t xml:space="preserve">nosuppressants receiving only </w:t>
      </w:r>
      <w:r w:rsidR="00317079" w:rsidRPr="00317079">
        <w:rPr>
          <w:rFonts w:ascii="Book Antiqua" w:hAnsi="Book Antiqua"/>
          <w:i/>
          <w:lang w:val="en-US"/>
        </w:rPr>
        <w:t>i</w:t>
      </w:r>
      <w:r w:rsidRPr="00317079">
        <w:rPr>
          <w:rFonts w:ascii="Book Antiqua" w:hAnsi="Book Antiqua"/>
          <w:i/>
          <w:lang w:val="en-US"/>
        </w:rPr>
        <w:t>v</w:t>
      </w:r>
      <w:r w:rsidRPr="0050649F">
        <w:rPr>
          <w:rFonts w:ascii="Book Antiqua" w:hAnsi="Book Antiqua"/>
          <w:lang w:val="en-US"/>
        </w:rPr>
        <w:t xml:space="preserve"> IFX maintenance (Dis) (</w:t>
      </w:r>
      <w:r w:rsidR="009D4409" w:rsidRPr="009D4409">
        <w:rPr>
          <w:rFonts w:ascii="Book Antiqua" w:hAnsi="Book Antiqua"/>
          <w:lang w:val="en-US"/>
        </w:rPr>
        <w:t>T</w:t>
      </w:r>
      <w:r w:rsidRPr="009D4409">
        <w:rPr>
          <w:rFonts w:ascii="Book Antiqua" w:hAnsi="Book Antiqua"/>
          <w:lang w:val="en-US"/>
        </w:rPr>
        <w:t>ab</w:t>
      </w:r>
      <w:r w:rsidR="009D4409" w:rsidRPr="009D4409">
        <w:rPr>
          <w:rFonts w:ascii="Book Antiqua" w:eastAsia="宋体" w:hAnsi="Book Antiqua" w:hint="eastAsia"/>
          <w:lang w:val="en-US" w:eastAsia="zh-CN"/>
        </w:rPr>
        <w:t>le</w:t>
      </w:r>
      <w:r w:rsidRPr="009D4409">
        <w:rPr>
          <w:rFonts w:ascii="Book Antiqua" w:hAnsi="Book Antiqua"/>
          <w:lang w:val="en-US"/>
        </w:rPr>
        <w:t xml:space="preserve"> 3</w:t>
      </w:r>
      <w:r w:rsidRPr="0050649F">
        <w:rPr>
          <w:rFonts w:ascii="Book Antiqua" w:hAnsi="Book Antiqua"/>
          <w:lang w:val="en-US"/>
        </w:rPr>
        <w:t xml:space="preserve">). They considered several clinical and endoscopic outcomes during a scheduled follow-up of 104 </w:t>
      </w:r>
      <w:r w:rsidR="0060236E">
        <w:rPr>
          <w:rFonts w:ascii="Book Antiqua" w:hAnsi="Book Antiqua"/>
          <w:lang w:val="en-US"/>
        </w:rPr>
        <w:t>wk</w:t>
      </w:r>
      <w:r w:rsidRPr="0050649F">
        <w:rPr>
          <w:rFonts w:ascii="Book Antiqua" w:hAnsi="Book Antiqua"/>
          <w:lang w:val="en-US"/>
        </w:rPr>
        <w:t>; the need to change or to stop Infliximab dosing (primary endpoint) was seen in 60% in the continuation group and in 55% of the discontinuation group (</w:t>
      </w:r>
      <w:r w:rsidR="005865AF" w:rsidRPr="005865AF">
        <w:rPr>
          <w:rFonts w:ascii="Book Antiqua" w:hAnsi="Book Antiqua"/>
          <w:i/>
          <w:lang w:val="en-US"/>
        </w:rPr>
        <w:t>P</w:t>
      </w:r>
      <w:r w:rsidR="005865AF">
        <w:rPr>
          <w:rFonts w:ascii="Book Antiqua" w:eastAsia="宋体" w:hAnsi="Book Antiqua" w:hint="eastAsia"/>
          <w:lang w:val="en-US" w:eastAsia="zh-CN"/>
        </w:rPr>
        <w:t xml:space="preserve"> </w:t>
      </w:r>
      <w:r w:rsidRPr="0050649F">
        <w:rPr>
          <w:rFonts w:ascii="Book Antiqua" w:hAnsi="Book Antiqua"/>
          <w:lang w:val="en-US"/>
        </w:rPr>
        <w:t>= 0.65). As secondary endpoints, median CRP levels were lower in the first group (Con), whereas the median IFX trough levels (TL) were higher compared with the discontinuation group. Median SES-CD was 1 (range 0-14) in patients who continued combination therapy and 2.5 (range 0-13) in patients who discontinued immunosuppressants. Endoscopic healing was reache</w:t>
      </w:r>
      <w:r w:rsidR="008D57EC">
        <w:rPr>
          <w:rFonts w:ascii="Book Antiqua" w:hAnsi="Book Antiqua"/>
          <w:lang w:val="en-US"/>
        </w:rPr>
        <w:t xml:space="preserve">d in 64% in the first cohort </w:t>
      </w:r>
      <w:r w:rsidR="008D57EC" w:rsidRPr="008D57EC">
        <w:rPr>
          <w:rFonts w:ascii="Book Antiqua" w:hAnsi="Book Antiqua"/>
          <w:i/>
          <w:lang w:val="en-US"/>
        </w:rPr>
        <w:t>vs</w:t>
      </w:r>
      <w:r w:rsidRPr="0050649F">
        <w:rPr>
          <w:rFonts w:ascii="Book Antiqua" w:hAnsi="Book Antiqua"/>
          <w:lang w:val="en-US"/>
        </w:rPr>
        <w:t xml:space="preserve"> 61% in the second one; there was no difference in t</w:t>
      </w:r>
      <w:r w:rsidR="005865AF">
        <w:rPr>
          <w:rFonts w:ascii="Book Antiqua" w:hAnsi="Book Antiqua"/>
          <w:lang w:val="en-US"/>
        </w:rPr>
        <w:t xml:space="preserve">erms of adverse events (7.5% </w:t>
      </w:r>
      <w:r w:rsidR="005865AF" w:rsidRPr="005865AF">
        <w:rPr>
          <w:rFonts w:ascii="Book Antiqua" w:hAnsi="Book Antiqua"/>
          <w:i/>
          <w:lang w:val="en-US"/>
        </w:rPr>
        <w:t>vs</w:t>
      </w:r>
      <w:r w:rsidRPr="0050649F">
        <w:rPr>
          <w:rFonts w:ascii="Book Antiqua" w:hAnsi="Book Antiqua"/>
          <w:lang w:val="en-US"/>
        </w:rPr>
        <w:t xml:space="preserve"> 7.5%). Authors concluded affirming that combined therapy (IFX plus immunosuppressants) was not superior to IFX monotherapy, despite the increased median levels of CRP and lower TL of patients treated with only IFX. The higher CRP level and the decrease of TL, after immunosuppressant withdrawal, could be useful as early predictors of loss of response.</w:t>
      </w:r>
    </w:p>
    <w:p w14:paraId="0B0320BC" w14:textId="05498E92"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lastRenderedPageBreak/>
        <w:t>In 2010, W</w:t>
      </w:r>
      <w:r w:rsidR="005865AF">
        <w:rPr>
          <w:rFonts w:ascii="Book Antiqua" w:hAnsi="Book Antiqua"/>
          <w:lang w:val="en-US"/>
        </w:rPr>
        <w:t xml:space="preserve">augh </w:t>
      </w:r>
      <w:r w:rsidR="005865AF" w:rsidRPr="005865AF">
        <w:rPr>
          <w:rFonts w:ascii="Book Antiqua" w:hAnsi="Book Antiqua"/>
          <w:i/>
          <w:lang w:val="en-US"/>
        </w:rPr>
        <w:t xml:space="preserve">et </w:t>
      </w:r>
      <w:proofErr w:type="gramStart"/>
      <w:r w:rsidR="005865AF" w:rsidRPr="005865AF">
        <w:rPr>
          <w:rFonts w:ascii="Book Antiqua" w:hAnsi="Book Antiqua"/>
          <w:i/>
          <w:lang w:val="en-US"/>
        </w:rPr>
        <w:t>al</w:t>
      </w:r>
      <w:r w:rsidR="005865AF" w:rsidRPr="0050649F">
        <w:rPr>
          <w:rFonts w:ascii="Book Antiqua" w:hAnsi="Book Antiqua"/>
          <w:vertAlign w:val="superscript"/>
          <w:lang w:val="en-US"/>
        </w:rPr>
        <w:t>[</w:t>
      </w:r>
      <w:proofErr w:type="gramEnd"/>
      <w:r w:rsidR="005865AF" w:rsidRPr="0050649F">
        <w:rPr>
          <w:rStyle w:val="EndnoteReference"/>
          <w:rFonts w:ascii="Book Antiqua" w:hAnsi="Book Antiqua"/>
          <w:lang w:val="en-US"/>
        </w:rPr>
        <w:t>74</w:t>
      </w:r>
      <w:r w:rsidR="005865AF" w:rsidRPr="0050649F">
        <w:rPr>
          <w:rFonts w:ascii="Book Antiqua" w:hAnsi="Book Antiqua"/>
          <w:vertAlign w:val="superscript"/>
          <w:lang w:val="en-US"/>
        </w:rPr>
        <w:t>]</w:t>
      </w:r>
      <w:r w:rsidRPr="0050649F">
        <w:rPr>
          <w:rFonts w:ascii="Book Antiqua" w:hAnsi="Book Antiqua"/>
          <w:lang w:val="en-US"/>
        </w:rPr>
        <w:t xml:space="preserve"> observed 48 CD patients in clinical remission in maintenanc</w:t>
      </w:r>
      <w:r w:rsidR="005865AF">
        <w:rPr>
          <w:rFonts w:ascii="Book Antiqua" w:hAnsi="Book Antiqua"/>
          <w:lang w:val="en-US"/>
        </w:rPr>
        <w:t>e therapy with IFX every 8 wk</w:t>
      </w:r>
      <w:r w:rsidRPr="0050649F">
        <w:rPr>
          <w:rFonts w:ascii="Book Antiqua" w:hAnsi="Book Antiqua"/>
          <w:lang w:val="en-US"/>
        </w:rPr>
        <w:t xml:space="preserve">. These patients discontinued therapy for reasons other than loss of response or an inadequate follow-up. Fifty percent of relapse was reached </w:t>
      </w:r>
      <w:r w:rsidR="0060236E">
        <w:rPr>
          <w:rFonts w:ascii="Book Antiqua" w:hAnsi="Book Antiqua"/>
          <w:lang w:val="en-US"/>
        </w:rPr>
        <w:t>at a median interval of 477 d</w:t>
      </w:r>
      <w:r w:rsidRPr="0050649F">
        <w:rPr>
          <w:rFonts w:ascii="Book Antiqua" w:hAnsi="Book Antiqua"/>
          <w:lang w:val="en-US"/>
        </w:rPr>
        <w:t xml:space="preserve"> from discontinuation; interestingly, 35% of patients remained in long-term remission beyond follow-up (median follow-up 4.1 years, IQR 0.5-6.7)</w:t>
      </w:r>
      <w:r w:rsidRPr="0050649F">
        <w:rPr>
          <w:rFonts w:ascii="Book Antiqua" w:hAnsi="Book Antiqua"/>
          <w:vertAlign w:val="superscript"/>
          <w:lang w:val="en-US"/>
        </w:rPr>
        <w:t>[</w:t>
      </w:r>
      <w:r w:rsidRPr="0050649F">
        <w:rPr>
          <w:rStyle w:val="EndnoteReference"/>
          <w:rFonts w:ascii="Book Antiqua" w:hAnsi="Book Antiqua"/>
          <w:lang w:val="en-US"/>
        </w:rPr>
        <w:t>74</w:t>
      </w:r>
      <w:r w:rsidRPr="0050649F">
        <w:rPr>
          <w:rFonts w:ascii="Book Antiqua" w:hAnsi="Book Antiqua"/>
          <w:vertAlign w:val="superscript"/>
          <w:lang w:val="en-US"/>
        </w:rPr>
        <w:t>]</w:t>
      </w:r>
      <w:r w:rsidRPr="0050649F">
        <w:rPr>
          <w:rFonts w:ascii="Book Antiqua" w:hAnsi="Book Antiqua"/>
          <w:lang w:val="en-US"/>
        </w:rPr>
        <w:t xml:space="preserve">; authors concluded that patients still in remission 5 years later might have a genetically different type of CD. </w:t>
      </w:r>
    </w:p>
    <w:p w14:paraId="120B94A5" w14:textId="5199FD48"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t>In 2012, an observational study on 115 CD patients in combined therapy with IFX and an antimetabolite (AZA, 6-MP or MTX), reported cumulative relapse rates after IFX discontinuation as high as 44% in the first year and 52% in the second year, with a median follow-up of 28</w:t>
      </w:r>
      <w:r w:rsidR="005865AF">
        <w:rPr>
          <w:rFonts w:ascii="Book Antiqua" w:eastAsia="宋体" w:hAnsi="Book Antiqua" w:hint="eastAsia"/>
          <w:lang w:val="en-US" w:eastAsia="zh-CN"/>
        </w:rPr>
        <w:t xml:space="preserve"> </w:t>
      </w:r>
      <w:r w:rsidRPr="0050649F">
        <w:rPr>
          <w:rFonts w:ascii="Book Antiqua" w:hAnsi="Book Antiqua"/>
          <w:lang w:val="en-US"/>
        </w:rPr>
        <w:t>±</w:t>
      </w:r>
      <w:r w:rsidR="005865AF">
        <w:rPr>
          <w:rFonts w:ascii="Book Antiqua" w:eastAsia="宋体" w:hAnsi="Book Antiqua" w:hint="eastAsia"/>
          <w:lang w:val="en-US" w:eastAsia="zh-CN"/>
        </w:rPr>
        <w:t xml:space="preserve"> </w:t>
      </w:r>
      <w:r w:rsidRPr="0050649F">
        <w:rPr>
          <w:rFonts w:ascii="Book Antiqua" w:hAnsi="Book Antiqua"/>
          <w:lang w:val="en-US"/>
        </w:rPr>
        <w:t>2 mo. At multivariate analysis, relapse increased with an increasing number of unfavorable factors, such as male sex, absence of surgical resections, CDEIS &gt;</w:t>
      </w:r>
      <w:r w:rsidR="005865AF">
        <w:rPr>
          <w:rFonts w:ascii="Book Antiqua" w:eastAsia="宋体" w:hAnsi="Book Antiqua" w:hint="eastAsia"/>
          <w:lang w:val="en-US" w:eastAsia="zh-CN"/>
        </w:rPr>
        <w:t xml:space="preserve"> </w:t>
      </w:r>
      <w:r w:rsidRPr="0050649F">
        <w:rPr>
          <w:rFonts w:ascii="Book Antiqua" w:hAnsi="Book Antiqua"/>
          <w:lang w:val="en-US"/>
        </w:rPr>
        <w:t xml:space="preserve">0, </w:t>
      </w:r>
      <w:r w:rsidRPr="0050649F">
        <w:rPr>
          <w:rFonts w:ascii="Book Antiqua" w:hAnsi="Book Antiqua"/>
          <w:lang w:val="en-GB"/>
        </w:rPr>
        <w:t>Infliximab trough level &gt;</w:t>
      </w:r>
      <w:r w:rsidR="005865AF">
        <w:rPr>
          <w:rFonts w:ascii="Book Antiqua" w:eastAsia="宋体" w:hAnsi="Book Antiqua" w:hint="eastAsia"/>
          <w:lang w:val="en-GB" w:eastAsia="zh-CN"/>
        </w:rPr>
        <w:t xml:space="preserve"> </w:t>
      </w:r>
      <w:r w:rsidRPr="0050649F">
        <w:rPr>
          <w:rFonts w:ascii="Book Antiqua" w:hAnsi="Book Antiqua"/>
          <w:lang w:val="en-GB"/>
        </w:rPr>
        <w:t xml:space="preserve">2 mg/L, corticosteroid use between 6 and 12 mo before baseline, </w:t>
      </w:r>
      <w:r w:rsidRPr="0050649F">
        <w:rPr>
          <w:rFonts w:ascii="Book Antiqua" w:hAnsi="Book Antiqua"/>
          <w:lang w:val="en-US"/>
        </w:rPr>
        <w:t>WBC count &gt;</w:t>
      </w:r>
      <w:r w:rsidR="005865AF">
        <w:rPr>
          <w:rFonts w:ascii="Book Antiqua" w:eastAsia="宋体" w:hAnsi="Book Antiqua" w:hint="eastAsia"/>
          <w:lang w:val="en-US" w:eastAsia="zh-CN"/>
        </w:rPr>
        <w:t xml:space="preserve"> </w:t>
      </w:r>
      <w:r w:rsidRPr="0050649F">
        <w:rPr>
          <w:rFonts w:ascii="Book Antiqua" w:hAnsi="Book Antiqua"/>
          <w:lang w:val="en-US"/>
        </w:rPr>
        <w:t>6000/mmc, Hb ≤</w:t>
      </w:r>
      <w:r w:rsidR="005865AF">
        <w:rPr>
          <w:rFonts w:ascii="Book Antiqua" w:eastAsia="宋体" w:hAnsi="Book Antiqua" w:hint="eastAsia"/>
          <w:lang w:val="en-US" w:eastAsia="zh-CN"/>
        </w:rPr>
        <w:t xml:space="preserve"> </w:t>
      </w:r>
      <w:r w:rsidRPr="0050649F">
        <w:rPr>
          <w:rFonts w:ascii="Book Antiqua" w:hAnsi="Book Antiqua"/>
          <w:lang w:val="en-US"/>
        </w:rPr>
        <w:t>14.5 g/dL, CRP ≥</w:t>
      </w:r>
      <w:r w:rsidR="005865AF">
        <w:rPr>
          <w:rFonts w:ascii="Book Antiqua" w:eastAsia="宋体" w:hAnsi="Book Antiqua" w:hint="eastAsia"/>
          <w:lang w:val="en-US" w:eastAsia="zh-CN"/>
        </w:rPr>
        <w:t xml:space="preserve"> </w:t>
      </w:r>
      <w:r w:rsidRPr="0050649F">
        <w:rPr>
          <w:rFonts w:ascii="Book Antiqua" w:hAnsi="Book Antiqua"/>
          <w:lang w:val="en-US"/>
        </w:rPr>
        <w:t>5 mg/L and fecal calprotectin ≥</w:t>
      </w:r>
      <w:r w:rsidR="005865AF">
        <w:rPr>
          <w:rFonts w:ascii="Book Antiqua" w:eastAsia="宋体" w:hAnsi="Book Antiqua" w:hint="eastAsia"/>
          <w:lang w:val="en-US" w:eastAsia="zh-CN"/>
        </w:rPr>
        <w:t xml:space="preserve"> </w:t>
      </w:r>
      <w:r w:rsidRPr="0050649F">
        <w:rPr>
          <w:rFonts w:ascii="Book Antiqua" w:hAnsi="Book Antiqua"/>
          <w:lang w:val="en-US"/>
        </w:rPr>
        <w:t xml:space="preserve">300 </w:t>
      </w:r>
      <w:r w:rsidRPr="0050649F">
        <w:rPr>
          <w:rFonts w:ascii="Book Antiqua" w:hAnsi="Book Antiqua"/>
          <w:lang w:val="en-US"/>
        </w:rPr>
        <w:sym w:font="Symbol" w:char="F06D"/>
      </w:r>
      <w:r w:rsidRPr="0050649F">
        <w:rPr>
          <w:rFonts w:ascii="Book Antiqua" w:hAnsi="Book Antiqua"/>
          <w:lang w:val="en-US"/>
        </w:rPr>
        <w:t>g/g</w:t>
      </w:r>
      <w:r w:rsidRPr="0050649F">
        <w:rPr>
          <w:rFonts w:ascii="Book Antiqua" w:hAnsi="Book Antiqua"/>
          <w:vertAlign w:val="superscript"/>
          <w:lang w:val="en-US"/>
        </w:rPr>
        <w:t>[75]</w:t>
      </w:r>
      <w:r w:rsidRPr="0050649F">
        <w:rPr>
          <w:rFonts w:ascii="Book Antiqua" w:hAnsi="Book Antiqua"/>
          <w:lang w:val="en-US"/>
        </w:rPr>
        <w:t xml:space="preserve">. </w:t>
      </w:r>
    </w:p>
    <w:p w14:paraId="61522C95" w14:textId="77777777"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t xml:space="preserve">A retrospective study evaluated the cumulative remission rate in 81 IBD patients, with a primary response to IFX and in steroid-free remission, following IFX discontinuation; in the first year, 61% and 75%, respectively in CD and UC, were still in remission; at the second year, the percentage dropped to 20% and 40%. Long disease duration was the unique risk factor for relapse only in CD </w:t>
      </w:r>
      <w:proofErr w:type="gramStart"/>
      <w:r w:rsidRPr="0050649F">
        <w:rPr>
          <w:rFonts w:ascii="Book Antiqua" w:hAnsi="Book Antiqua"/>
          <w:lang w:val="en-US"/>
        </w:rPr>
        <w:t>patients</w:t>
      </w:r>
      <w:r w:rsidRPr="0050649F">
        <w:rPr>
          <w:rFonts w:ascii="Book Antiqua" w:hAnsi="Book Antiqua"/>
          <w:vertAlign w:val="superscript"/>
          <w:lang w:val="en-US"/>
        </w:rPr>
        <w:t>[</w:t>
      </w:r>
      <w:proofErr w:type="gramEnd"/>
      <w:r w:rsidRPr="0050649F">
        <w:rPr>
          <w:rFonts w:ascii="Book Antiqua" w:hAnsi="Book Antiqua"/>
          <w:vertAlign w:val="superscript"/>
          <w:lang w:val="en-US"/>
        </w:rPr>
        <w:t>76]</w:t>
      </w:r>
      <w:r w:rsidRPr="0050649F">
        <w:rPr>
          <w:rFonts w:ascii="Book Antiqua" w:hAnsi="Book Antiqua"/>
          <w:lang w:val="en-US"/>
        </w:rPr>
        <w:t>.</w:t>
      </w:r>
    </w:p>
    <w:p w14:paraId="28853FE3" w14:textId="77777777"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t xml:space="preserve">In a prospective study, 121 CD patients who had achieved clinical remission after one year of anti-TNF therapy were followed after withdrawal of biologics. In 45% of patients, a restart of biological therapy was necessary within one year because of clinical relapse. On univariate analysis, smoking, the use of corticosteroids at the start of anti-TNF therapy, previous biological therapies, elevated serum CRP levels at start of anti-TNF therapy and a dose intensification in the first year of biological treatment were all significantly associated with the need to restart anti-TNF. At multivariate analysis, only male gender and a previous biological treatment were independently associated with </w:t>
      </w:r>
      <w:proofErr w:type="gramStart"/>
      <w:r w:rsidRPr="0050649F">
        <w:rPr>
          <w:rFonts w:ascii="Book Antiqua" w:hAnsi="Book Antiqua"/>
          <w:lang w:val="en-US"/>
        </w:rPr>
        <w:t>relapse</w:t>
      </w:r>
      <w:r w:rsidRPr="0050649F">
        <w:rPr>
          <w:rFonts w:ascii="Book Antiqua" w:hAnsi="Book Antiqua"/>
          <w:vertAlign w:val="superscript"/>
          <w:lang w:val="en-US"/>
        </w:rPr>
        <w:t>[</w:t>
      </w:r>
      <w:proofErr w:type="gramEnd"/>
      <w:r w:rsidRPr="0050649F">
        <w:rPr>
          <w:rFonts w:ascii="Book Antiqua" w:hAnsi="Book Antiqua"/>
          <w:vertAlign w:val="superscript"/>
          <w:lang w:val="en-US"/>
        </w:rPr>
        <w:t>77]</w:t>
      </w:r>
      <w:r w:rsidRPr="0050649F">
        <w:rPr>
          <w:rFonts w:ascii="Book Antiqua" w:hAnsi="Book Antiqua"/>
          <w:lang w:val="en-US"/>
        </w:rPr>
        <w:t>.</w:t>
      </w:r>
    </w:p>
    <w:p w14:paraId="1AF0AAE7" w14:textId="77777777"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t xml:space="preserve">In another prospective trial that involved several IBD centers in Hungary, 51 UC patients who stopped IFX while in clinical remission were analyzed. At follow-up, 35% of patients needed to restart biologic therapy within the first year. Only previous biological therapy was associated to the need to restart </w:t>
      </w:r>
      <w:proofErr w:type="gramStart"/>
      <w:r w:rsidRPr="0050649F">
        <w:rPr>
          <w:rFonts w:ascii="Book Antiqua" w:hAnsi="Book Antiqua"/>
          <w:lang w:val="en-US"/>
        </w:rPr>
        <w:t>biologics</w:t>
      </w:r>
      <w:r w:rsidRPr="0050649F">
        <w:rPr>
          <w:rFonts w:ascii="Book Antiqua" w:hAnsi="Book Antiqua"/>
          <w:vertAlign w:val="superscript"/>
          <w:lang w:val="en-US"/>
        </w:rPr>
        <w:t>[</w:t>
      </w:r>
      <w:proofErr w:type="gramEnd"/>
      <w:r w:rsidRPr="0050649F">
        <w:rPr>
          <w:rFonts w:ascii="Book Antiqua" w:hAnsi="Book Antiqua"/>
          <w:vertAlign w:val="superscript"/>
          <w:lang w:val="en-US"/>
        </w:rPr>
        <w:t>78]</w:t>
      </w:r>
      <w:r w:rsidRPr="0050649F">
        <w:rPr>
          <w:rFonts w:ascii="Book Antiqua" w:hAnsi="Book Antiqua"/>
          <w:lang w:val="en-US"/>
        </w:rPr>
        <w:t>.</w:t>
      </w:r>
    </w:p>
    <w:p w14:paraId="1DD925AE" w14:textId="5A932504"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lastRenderedPageBreak/>
        <w:t xml:space="preserve">Rismo </w:t>
      </w:r>
      <w:r w:rsidRPr="005865AF">
        <w:rPr>
          <w:rFonts w:ascii="Book Antiqua" w:hAnsi="Book Antiqua"/>
          <w:i/>
          <w:lang w:val="en-US"/>
        </w:rPr>
        <w:t xml:space="preserve">et </w:t>
      </w:r>
      <w:proofErr w:type="gramStart"/>
      <w:r w:rsidRPr="005865AF">
        <w:rPr>
          <w:rFonts w:ascii="Book Antiqua" w:hAnsi="Book Antiqua"/>
          <w:i/>
          <w:lang w:val="en-US"/>
        </w:rPr>
        <w:t>al</w:t>
      </w:r>
      <w:r w:rsidR="005865AF" w:rsidRPr="0050649F">
        <w:rPr>
          <w:rFonts w:ascii="Book Antiqua" w:hAnsi="Book Antiqua"/>
          <w:vertAlign w:val="superscript"/>
          <w:lang w:val="en-US"/>
        </w:rPr>
        <w:t>[</w:t>
      </w:r>
      <w:proofErr w:type="gramEnd"/>
      <w:r w:rsidR="005865AF" w:rsidRPr="0050649F">
        <w:rPr>
          <w:rFonts w:ascii="Book Antiqua" w:hAnsi="Book Antiqua"/>
          <w:vertAlign w:val="superscript"/>
          <w:lang w:val="en-US"/>
        </w:rPr>
        <w:t>25]</w:t>
      </w:r>
      <w:r w:rsidRPr="0050649F">
        <w:rPr>
          <w:rFonts w:ascii="Book Antiqua" w:hAnsi="Book Antiqua"/>
          <w:lang w:val="en-US"/>
        </w:rPr>
        <w:t xml:space="preserve"> observed 37 CD patients who stopped the anti-TNF drugs after achieving MH; before discontinuation, biopsies from the healed mucosa were taken in order to evaluate mucosal gene expression of inflammatory cytokines. According to data, at the end of follow-up (range 1-44 mo), 74% of patients experienced a relapse. Gene expression of TNF, IL17A and FOXP3 were significantly higher in patients who relapsed before six months. Normalization of the latter was associated with long-term </w:t>
      </w:r>
      <w:proofErr w:type="gramStart"/>
      <w:r w:rsidRPr="0050649F">
        <w:rPr>
          <w:rFonts w:ascii="Book Antiqua" w:hAnsi="Book Antiqua"/>
          <w:lang w:val="en-US"/>
        </w:rPr>
        <w:t>remission</w:t>
      </w:r>
      <w:r w:rsidRPr="0050649F">
        <w:rPr>
          <w:rFonts w:ascii="Book Antiqua" w:hAnsi="Book Antiqua"/>
          <w:vertAlign w:val="superscript"/>
          <w:lang w:val="en-US"/>
        </w:rPr>
        <w:t>[</w:t>
      </w:r>
      <w:proofErr w:type="gramEnd"/>
      <w:r w:rsidRPr="0050649F">
        <w:rPr>
          <w:rFonts w:ascii="Book Antiqua" w:hAnsi="Book Antiqua"/>
          <w:vertAlign w:val="superscript"/>
          <w:lang w:val="en-US"/>
        </w:rPr>
        <w:t>25]</w:t>
      </w:r>
      <w:r w:rsidRPr="0050649F">
        <w:rPr>
          <w:rFonts w:ascii="Book Antiqua" w:hAnsi="Book Antiqua"/>
          <w:lang w:val="en-US"/>
        </w:rPr>
        <w:t>.</w:t>
      </w:r>
    </w:p>
    <w:p w14:paraId="2E873BCF" w14:textId="4A1A92C7"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t xml:space="preserve">In the same year, Molander </w:t>
      </w:r>
      <w:r w:rsidRPr="005865AF">
        <w:rPr>
          <w:rFonts w:ascii="Book Antiqua" w:hAnsi="Book Antiqua"/>
          <w:i/>
          <w:lang w:val="en-US"/>
        </w:rPr>
        <w:t xml:space="preserve">et </w:t>
      </w:r>
      <w:proofErr w:type="gramStart"/>
      <w:r w:rsidRPr="005865AF">
        <w:rPr>
          <w:rFonts w:ascii="Book Antiqua" w:hAnsi="Book Antiqua"/>
          <w:i/>
          <w:lang w:val="en-US"/>
        </w:rPr>
        <w:t>al</w:t>
      </w:r>
      <w:r w:rsidR="005865AF" w:rsidRPr="0050649F">
        <w:rPr>
          <w:rFonts w:ascii="Book Antiqua" w:hAnsi="Book Antiqua"/>
          <w:vertAlign w:val="superscript"/>
          <w:lang w:val="en-US"/>
        </w:rPr>
        <w:t>[</w:t>
      </w:r>
      <w:proofErr w:type="gramEnd"/>
      <w:r w:rsidR="005865AF" w:rsidRPr="0050649F">
        <w:rPr>
          <w:rFonts w:ascii="Book Antiqua" w:hAnsi="Book Antiqua"/>
          <w:vertAlign w:val="superscript"/>
          <w:lang w:val="en-US"/>
        </w:rPr>
        <w:t>79]</w:t>
      </w:r>
      <w:r w:rsidRPr="0050649F">
        <w:rPr>
          <w:rFonts w:ascii="Book Antiqua" w:hAnsi="Book Antiqua"/>
          <w:lang w:val="en-US"/>
        </w:rPr>
        <w:t xml:space="preserve"> included 52 IBD patients who had achieved clinical and endoscopic remission and suspended the anti-TNF treatment in a retrospective study; in the first year after withdrawal, 65% of the patients maintained clinical remission and 85% of these were still in endoscopic remission. No significant risk factors predictive for relapse were </w:t>
      </w:r>
      <w:proofErr w:type="gramStart"/>
      <w:r w:rsidRPr="0050649F">
        <w:rPr>
          <w:rFonts w:ascii="Book Antiqua" w:hAnsi="Book Antiqua"/>
          <w:lang w:val="en-US"/>
        </w:rPr>
        <w:t>found</w:t>
      </w:r>
      <w:r w:rsidRPr="0050649F">
        <w:rPr>
          <w:rFonts w:ascii="Book Antiqua" w:hAnsi="Book Antiqua"/>
          <w:vertAlign w:val="superscript"/>
          <w:lang w:val="en-US"/>
        </w:rPr>
        <w:t>[</w:t>
      </w:r>
      <w:proofErr w:type="gramEnd"/>
      <w:r w:rsidRPr="0050649F">
        <w:rPr>
          <w:rFonts w:ascii="Book Antiqua" w:hAnsi="Book Antiqua"/>
          <w:vertAlign w:val="superscript"/>
          <w:lang w:val="en-US"/>
        </w:rPr>
        <w:t>79]</w:t>
      </w:r>
      <w:r w:rsidRPr="0050649F">
        <w:rPr>
          <w:rFonts w:ascii="Book Antiqua" w:hAnsi="Book Antiqua"/>
          <w:lang w:val="en-US"/>
        </w:rPr>
        <w:t xml:space="preserve">. </w:t>
      </w:r>
    </w:p>
    <w:p w14:paraId="150E4580" w14:textId="2A611AF1" w:rsidR="00A24C79" w:rsidRPr="0050649F" w:rsidRDefault="00A24C79" w:rsidP="005865AF">
      <w:pPr>
        <w:spacing w:line="360" w:lineRule="auto"/>
        <w:ind w:firstLineChars="100" w:firstLine="240"/>
        <w:jc w:val="both"/>
        <w:rPr>
          <w:rFonts w:ascii="Book Antiqua" w:hAnsi="Book Antiqua"/>
          <w:lang w:val="en-US"/>
        </w:rPr>
      </w:pPr>
      <w:r w:rsidRPr="0050649F">
        <w:rPr>
          <w:rFonts w:ascii="Book Antiqua" w:hAnsi="Book Antiqua"/>
          <w:lang w:val="en-US"/>
        </w:rPr>
        <w:t xml:space="preserve">In 2014, Brooks </w:t>
      </w:r>
      <w:r w:rsidRPr="005865AF">
        <w:rPr>
          <w:rFonts w:ascii="Book Antiqua" w:hAnsi="Book Antiqua"/>
          <w:i/>
          <w:lang w:val="en-US"/>
        </w:rPr>
        <w:t xml:space="preserve">et </w:t>
      </w:r>
      <w:proofErr w:type="gramStart"/>
      <w:r w:rsidRPr="005865AF">
        <w:rPr>
          <w:rFonts w:ascii="Book Antiqua" w:hAnsi="Book Antiqua"/>
          <w:i/>
          <w:lang w:val="en-US"/>
        </w:rPr>
        <w:t>al</w:t>
      </w:r>
      <w:r w:rsidR="005865AF" w:rsidRPr="0050649F">
        <w:rPr>
          <w:rFonts w:ascii="Book Antiqua" w:hAnsi="Book Antiqua"/>
          <w:vertAlign w:val="superscript"/>
          <w:lang w:val="en-US"/>
        </w:rPr>
        <w:t>[</w:t>
      </w:r>
      <w:proofErr w:type="gramEnd"/>
      <w:r w:rsidR="005865AF" w:rsidRPr="0050649F">
        <w:rPr>
          <w:rStyle w:val="EndnoteReference"/>
          <w:rFonts w:ascii="Book Antiqua" w:hAnsi="Book Antiqua"/>
          <w:lang w:val="en-US"/>
        </w:rPr>
        <w:t>80</w:t>
      </w:r>
      <w:r w:rsidR="005865AF" w:rsidRPr="0050649F">
        <w:rPr>
          <w:rFonts w:ascii="Book Antiqua" w:hAnsi="Book Antiqua"/>
          <w:vertAlign w:val="superscript"/>
          <w:lang w:val="en-US"/>
        </w:rPr>
        <w:t>]</w:t>
      </w:r>
      <w:r w:rsidR="005865AF">
        <w:rPr>
          <w:rFonts w:ascii="Book Antiqua" w:eastAsia="宋体" w:hAnsi="Book Antiqua" w:hint="eastAsia"/>
          <w:vertAlign w:val="superscript"/>
          <w:lang w:val="en-US" w:eastAsia="zh-CN"/>
        </w:rPr>
        <w:t xml:space="preserve"> </w:t>
      </w:r>
      <w:r w:rsidRPr="0050649F">
        <w:rPr>
          <w:rFonts w:ascii="Book Antiqua" w:hAnsi="Book Antiqua"/>
          <w:lang w:val="en-US"/>
        </w:rPr>
        <w:t>published a well-designed, prospective trial on 86 CD patients in clinical and/or endoscopic remission with anti-TNF drugs. They evaluated clinical, endoscopic and radiologic relapse after anti-TNF discontinuation. The follow-up was s</w:t>
      </w:r>
      <w:r w:rsidR="00252253">
        <w:rPr>
          <w:rFonts w:ascii="Book Antiqua" w:hAnsi="Book Antiqua"/>
          <w:lang w:val="en-US"/>
        </w:rPr>
        <w:t>cheduled at 90, 180 and 365 d</w:t>
      </w:r>
      <w:r w:rsidRPr="0050649F">
        <w:rPr>
          <w:rFonts w:ascii="Book Antiqua" w:hAnsi="Book Antiqua"/>
          <w:lang w:val="en-US"/>
        </w:rPr>
        <w:t>:  in the whole cohort, relapse rates were respectively 4% (at 90 d), 18% (at 180 d) and 36% (at 365 d); in patients assessed endoscopically, the rates were 6%, 12%, and 31%, respectively. Ileocolonic localization at diagnosis (OR 3.1) and previous anti-TNF therapy (OR 8.9) were found to predict relapse at any point of follow-</w:t>
      </w:r>
      <w:proofErr w:type="gramStart"/>
      <w:r w:rsidRPr="0050649F">
        <w:rPr>
          <w:rFonts w:ascii="Book Antiqua" w:hAnsi="Book Antiqua"/>
          <w:lang w:val="en-US"/>
        </w:rPr>
        <w:t>up</w:t>
      </w:r>
      <w:r w:rsidRPr="0050649F">
        <w:rPr>
          <w:rFonts w:ascii="Book Antiqua" w:hAnsi="Book Antiqua"/>
          <w:vertAlign w:val="superscript"/>
          <w:lang w:val="en-US"/>
        </w:rPr>
        <w:t>[</w:t>
      </w:r>
      <w:proofErr w:type="gramEnd"/>
      <w:r w:rsidRPr="0050649F">
        <w:rPr>
          <w:rStyle w:val="EndnoteReference"/>
          <w:rFonts w:ascii="Book Antiqua" w:hAnsi="Book Antiqua"/>
          <w:lang w:val="en-US"/>
        </w:rPr>
        <w:t>80</w:t>
      </w:r>
      <w:r w:rsidRPr="0050649F">
        <w:rPr>
          <w:rFonts w:ascii="Book Antiqua" w:hAnsi="Book Antiqua"/>
          <w:vertAlign w:val="superscript"/>
          <w:lang w:val="en-US"/>
        </w:rPr>
        <w:t>]</w:t>
      </w:r>
      <w:r w:rsidRPr="0050649F">
        <w:rPr>
          <w:rFonts w:ascii="Book Antiqua" w:hAnsi="Book Antiqua"/>
          <w:lang w:val="en-US"/>
        </w:rPr>
        <w:t>.</w:t>
      </w:r>
    </w:p>
    <w:p w14:paraId="5F8CF60C" w14:textId="4C6E480F" w:rsidR="00A24C79" w:rsidRPr="0050649F" w:rsidRDefault="00A24C79" w:rsidP="00252253">
      <w:pPr>
        <w:spacing w:line="360" w:lineRule="auto"/>
        <w:ind w:firstLineChars="100" w:firstLine="240"/>
        <w:jc w:val="both"/>
        <w:rPr>
          <w:rFonts w:ascii="Book Antiqua" w:hAnsi="Book Antiqua"/>
          <w:lang w:val="en-US"/>
        </w:rPr>
      </w:pPr>
      <w:r w:rsidRPr="0050649F">
        <w:rPr>
          <w:rFonts w:ascii="Book Antiqua" w:hAnsi="Book Antiqua"/>
          <w:lang w:val="en-US"/>
        </w:rPr>
        <w:t xml:space="preserve">In a retrospective analysis, 92 CD patients were investigated after stopping IFX coming from a combined therapy with an immunomodulator (thiopurines or MTX) and IFX. After a median follow-up of 47 </w:t>
      </w:r>
      <w:proofErr w:type="gramStart"/>
      <w:r w:rsidRPr="0050649F">
        <w:rPr>
          <w:rFonts w:ascii="Book Antiqua" w:hAnsi="Book Antiqua"/>
          <w:lang w:val="en-US"/>
        </w:rPr>
        <w:t>mo</w:t>
      </w:r>
      <w:proofErr w:type="gramEnd"/>
      <w:r w:rsidRPr="0050649F">
        <w:rPr>
          <w:rFonts w:ascii="Book Antiqua" w:hAnsi="Book Antiqua"/>
          <w:lang w:val="en-US"/>
        </w:rPr>
        <w:t xml:space="preserve">, the cumulative relapse rate was 72%. In the first year, 30% of the patients relapsed, while 48% of patients had a relapse in the second year. Based on multivariate analysis, the risk factors for relapse were active smoking, previous antimetabolite failure and perianal </w:t>
      </w:r>
      <w:proofErr w:type="gramStart"/>
      <w:r w:rsidRPr="0050649F">
        <w:rPr>
          <w:rFonts w:ascii="Book Antiqua" w:hAnsi="Book Antiqua"/>
          <w:lang w:val="en-US"/>
        </w:rPr>
        <w:t>disease</w:t>
      </w:r>
      <w:r w:rsidRPr="0050649F">
        <w:rPr>
          <w:rFonts w:ascii="Book Antiqua" w:hAnsi="Book Antiqua"/>
          <w:vertAlign w:val="superscript"/>
          <w:lang w:val="en-US"/>
        </w:rPr>
        <w:t>[</w:t>
      </w:r>
      <w:proofErr w:type="gramEnd"/>
      <w:r w:rsidRPr="0050649F">
        <w:rPr>
          <w:rFonts w:ascii="Book Antiqua" w:hAnsi="Book Antiqua"/>
          <w:vertAlign w:val="superscript"/>
          <w:lang w:val="en-US"/>
        </w:rPr>
        <w:t>81]</w:t>
      </w:r>
      <w:r w:rsidRPr="0050649F">
        <w:rPr>
          <w:rFonts w:ascii="Book Antiqua" w:hAnsi="Book Antiqua"/>
          <w:lang w:val="en-US"/>
        </w:rPr>
        <w:t>.</w:t>
      </w:r>
    </w:p>
    <w:p w14:paraId="3DC80D31" w14:textId="4A0AB784" w:rsidR="00A24C79" w:rsidRPr="0050649F" w:rsidRDefault="00EF6F47" w:rsidP="00EF6F47">
      <w:pPr>
        <w:spacing w:line="360" w:lineRule="auto"/>
        <w:ind w:firstLineChars="100" w:firstLine="240"/>
        <w:jc w:val="both"/>
        <w:rPr>
          <w:rFonts w:ascii="Book Antiqua" w:hAnsi="Book Antiqua"/>
          <w:lang w:val="en-US"/>
        </w:rPr>
      </w:pPr>
      <w:r>
        <w:rPr>
          <w:rFonts w:ascii="Book Antiqua" w:hAnsi="Book Antiqua"/>
          <w:lang w:val="en-US"/>
        </w:rPr>
        <w:t xml:space="preserve">In a large trial, Dai </w:t>
      </w:r>
      <w:r w:rsidRPr="00EF6F47">
        <w:rPr>
          <w:rFonts w:ascii="Book Antiqua" w:hAnsi="Book Antiqua"/>
          <w:i/>
          <w:lang w:val="en-US"/>
        </w:rPr>
        <w:t xml:space="preserve">et </w:t>
      </w:r>
      <w:proofErr w:type="gramStart"/>
      <w:r w:rsidRPr="00EF6F47">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82]</w:t>
      </w:r>
      <w:r w:rsidR="00A24C79" w:rsidRPr="0050649F">
        <w:rPr>
          <w:rFonts w:ascii="Book Antiqua" w:hAnsi="Book Antiqua"/>
          <w:lang w:val="en-US"/>
        </w:rPr>
        <w:t xml:space="preserve"> investigated relapse rates, defined as the need to restart IFX, in 109 CD patients and in 107 UC patients after discontinuation of IFX, after 1 year of continuous therapy. Need to restart IFX was observed in 13.9% of patients in clinical remission and in 6.5% of patients in deep remission. The Kaplan-Maier analysis did not show differences between clinical remission and </w:t>
      </w:r>
      <w:r w:rsidR="00C97716" w:rsidRPr="0050649F">
        <w:rPr>
          <w:rFonts w:ascii="Book Antiqua" w:hAnsi="Book Antiqua"/>
          <w:lang w:val="en-GB"/>
        </w:rPr>
        <w:t>MH</w:t>
      </w:r>
      <w:r w:rsidR="00A24C79" w:rsidRPr="0050649F">
        <w:rPr>
          <w:rFonts w:ascii="Book Antiqua" w:hAnsi="Book Antiqua"/>
          <w:lang w:val="en-US"/>
        </w:rPr>
        <w:t xml:space="preserve"> concerning time to restart IFX (flare), in neither CD nor in </w:t>
      </w:r>
      <w:proofErr w:type="gramStart"/>
      <w:r w:rsidR="00A24C79" w:rsidRPr="0050649F">
        <w:rPr>
          <w:rFonts w:ascii="Book Antiqua" w:hAnsi="Book Antiqua"/>
          <w:lang w:val="en-US"/>
        </w:rPr>
        <w:t>UC</w:t>
      </w:r>
      <w:r w:rsidR="00A24C79" w:rsidRPr="0050649F">
        <w:rPr>
          <w:rFonts w:ascii="Book Antiqua" w:hAnsi="Book Antiqua"/>
          <w:vertAlign w:val="superscript"/>
          <w:lang w:val="en-US"/>
        </w:rPr>
        <w:t>[</w:t>
      </w:r>
      <w:proofErr w:type="gramEnd"/>
      <w:r w:rsidR="00A24C79" w:rsidRPr="0050649F">
        <w:rPr>
          <w:rFonts w:ascii="Book Antiqua" w:hAnsi="Book Antiqua"/>
          <w:vertAlign w:val="superscript"/>
          <w:lang w:val="en-US"/>
        </w:rPr>
        <w:t>82]</w:t>
      </w:r>
      <w:r w:rsidR="00A24C79" w:rsidRPr="0050649F">
        <w:rPr>
          <w:rFonts w:ascii="Book Antiqua" w:hAnsi="Book Antiqua"/>
          <w:lang w:val="en-US"/>
        </w:rPr>
        <w:t>. A good response rate to retreatments with IFX was reported (78% in CD and 66% in UC). An interesting result came from a stu</w:t>
      </w:r>
      <w:r>
        <w:rPr>
          <w:rFonts w:ascii="Book Antiqua" w:hAnsi="Book Antiqua"/>
          <w:lang w:val="en-US"/>
        </w:rPr>
        <w:t xml:space="preserve">dy conducted by Ben-Horin </w:t>
      </w:r>
      <w:r w:rsidRPr="00EF6F47">
        <w:rPr>
          <w:rFonts w:ascii="Book Antiqua" w:hAnsi="Book Antiqua"/>
          <w:i/>
          <w:lang w:val="en-US"/>
        </w:rPr>
        <w:t>et al</w:t>
      </w:r>
      <w:r w:rsidRPr="0050649F">
        <w:rPr>
          <w:rFonts w:ascii="Book Antiqua" w:hAnsi="Book Antiqua"/>
          <w:vertAlign w:val="superscript"/>
          <w:lang w:val="en-US"/>
        </w:rPr>
        <w:t>[</w:t>
      </w:r>
      <w:r w:rsidRPr="0050649F">
        <w:rPr>
          <w:rStyle w:val="EndnoteReference"/>
          <w:rFonts w:ascii="Book Antiqua" w:hAnsi="Book Antiqua"/>
          <w:lang w:val="en-US"/>
        </w:rPr>
        <w:t>83</w:t>
      </w:r>
      <w:r w:rsidRPr="0050649F">
        <w:rPr>
          <w:rFonts w:ascii="Book Antiqua" w:hAnsi="Book Antiqua"/>
          <w:vertAlign w:val="superscript"/>
          <w:lang w:val="en-US"/>
        </w:rPr>
        <w:t>]</w:t>
      </w:r>
      <w:r w:rsidR="00A24C79" w:rsidRPr="0050649F">
        <w:rPr>
          <w:rFonts w:ascii="Book Antiqua" w:hAnsi="Book Antiqua"/>
          <w:lang w:val="en-US"/>
        </w:rPr>
        <w:t xml:space="preserve"> on 48 IBD patients (30 CD and 18 UC) in remission who discontinued anti-TNF: </w:t>
      </w:r>
      <w:r w:rsidRPr="0050649F">
        <w:rPr>
          <w:rFonts w:ascii="Book Antiqua" w:hAnsi="Book Antiqua"/>
          <w:lang w:val="en-US"/>
        </w:rPr>
        <w:t>D</w:t>
      </w:r>
      <w:r w:rsidR="00A24C79" w:rsidRPr="0050649F">
        <w:rPr>
          <w:rFonts w:ascii="Book Antiqua" w:hAnsi="Book Antiqua"/>
          <w:lang w:val="en-US"/>
        </w:rPr>
        <w:t xml:space="preserve">uring 12 mo median follow-up a higher incidence of relapse (80%) was observed in </w:t>
      </w:r>
      <w:r w:rsidR="00A24C79" w:rsidRPr="0050649F">
        <w:rPr>
          <w:rFonts w:ascii="Book Antiqua" w:hAnsi="Book Antiqua"/>
          <w:lang w:val="en-US"/>
        </w:rPr>
        <w:lastRenderedPageBreak/>
        <w:t xml:space="preserve">patients with measurable TL compared with patients (30%) who had undetectable levels (P=0.002). Probably, the patients with undetectable TL were in remission independently of anti-TNF </w:t>
      </w:r>
      <w:proofErr w:type="gramStart"/>
      <w:r w:rsidR="00A24C79" w:rsidRPr="0050649F">
        <w:rPr>
          <w:rFonts w:ascii="Book Antiqua" w:hAnsi="Book Antiqua"/>
          <w:lang w:val="en-US"/>
        </w:rPr>
        <w:t>therapy</w:t>
      </w:r>
      <w:r w:rsidR="00A24C79" w:rsidRPr="0050649F">
        <w:rPr>
          <w:rFonts w:ascii="Book Antiqua" w:hAnsi="Book Antiqua"/>
          <w:vertAlign w:val="superscript"/>
          <w:lang w:val="en-US"/>
        </w:rPr>
        <w:t>[</w:t>
      </w:r>
      <w:proofErr w:type="gramEnd"/>
      <w:r w:rsidR="00A24C79" w:rsidRPr="0050649F">
        <w:rPr>
          <w:rStyle w:val="EndnoteReference"/>
          <w:rFonts w:ascii="Book Antiqua" w:hAnsi="Book Antiqua"/>
          <w:lang w:val="en-US"/>
        </w:rPr>
        <w:t>83</w:t>
      </w:r>
      <w:r w:rsidR="00A24C79" w:rsidRPr="0050649F">
        <w:rPr>
          <w:rFonts w:ascii="Book Antiqua" w:hAnsi="Book Antiqua"/>
          <w:vertAlign w:val="superscript"/>
          <w:lang w:val="en-US"/>
        </w:rPr>
        <w:t>]</w:t>
      </w:r>
      <w:r w:rsidR="00A24C79" w:rsidRPr="0050649F">
        <w:rPr>
          <w:rFonts w:ascii="Book Antiqua" w:hAnsi="Book Antiqua"/>
          <w:lang w:val="en-US"/>
        </w:rPr>
        <w:t xml:space="preserve">. </w:t>
      </w:r>
    </w:p>
    <w:p w14:paraId="3EAEDAAE" w14:textId="57E3A30E" w:rsidR="00A24C79" w:rsidRPr="0050649F" w:rsidRDefault="00EF6F47" w:rsidP="00EF6F47">
      <w:pPr>
        <w:spacing w:line="360" w:lineRule="auto"/>
        <w:ind w:firstLineChars="100" w:firstLine="240"/>
        <w:jc w:val="both"/>
        <w:rPr>
          <w:rFonts w:ascii="Book Antiqua" w:hAnsi="Book Antiqua"/>
          <w:lang w:val="en-US"/>
        </w:rPr>
      </w:pPr>
      <w:r>
        <w:rPr>
          <w:rFonts w:ascii="Book Antiqua" w:hAnsi="Book Antiqua"/>
          <w:lang w:val="en-US"/>
        </w:rPr>
        <w:t xml:space="preserve">Papamichael </w:t>
      </w:r>
      <w:r w:rsidRPr="00EF6F47">
        <w:rPr>
          <w:rFonts w:ascii="Book Antiqua" w:hAnsi="Book Antiqua"/>
          <w:i/>
          <w:lang w:val="en-US"/>
        </w:rPr>
        <w:t xml:space="preserve">et </w:t>
      </w:r>
      <w:proofErr w:type="gramStart"/>
      <w:r w:rsidRPr="00EF6F47">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84]</w:t>
      </w:r>
      <w:r w:rsidR="00A24C79" w:rsidRPr="0050649F">
        <w:rPr>
          <w:rFonts w:ascii="Book Antiqua" w:hAnsi="Book Antiqua"/>
          <w:lang w:val="en-US"/>
        </w:rPr>
        <w:t xml:space="preserve"> performed a long-term retrospective observation of 100 CD patients from the moment of IFX discontinuation due to clinical remission. After a median follow-up of 9.7 years, the cumulative relapse rate was 48%; at univariate analysis, age at diagnosis ≥ 25 years, disease duration from diagnosis to start of IFX &lt; 1 years, complete </w:t>
      </w:r>
      <w:r w:rsidR="00C97716" w:rsidRPr="0050649F">
        <w:rPr>
          <w:rFonts w:ascii="Book Antiqua" w:hAnsi="Book Antiqua"/>
          <w:lang w:val="en-GB"/>
        </w:rPr>
        <w:t>MH</w:t>
      </w:r>
      <w:r w:rsidR="00A24C79" w:rsidRPr="0050649F">
        <w:rPr>
          <w:rFonts w:ascii="Book Antiqua" w:hAnsi="Book Antiqua"/>
          <w:lang w:val="en-US"/>
        </w:rPr>
        <w:t xml:space="preserve"> at the time of IFX cessation, IFX TL &lt; 6 mg/mL at the time of IFX cessation and positive serum VCAM-1 at the time of IFX cessation were significantly associated with a sustained clinical remission (SCR). At multivariate analysis, only age at diagnosis ≥ 25 years remained associated with </w:t>
      </w:r>
      <w:proofErr w:type="gramStart"/>
      <w:r w:rsidR="00A24C79" w:rsidRPr="0050649F">
        <w:rPr>
          <w:rFonts w:ascii="Book Antiqua" w:hAnsi="Book Antiqua"/>
          <w:lang w:val="en-US"/>
        </w:rPr>
        <w:t>SCR</w:t>
      </w:r>
      <w:r w:rsidR="00A24C79" w:rsidRPr="0050649F">
        <w:rPr>
          <w:rFonts w:ascii="Book Antiqua" w:hAnsi="Book Antiqua"/>
          <w:vertAlign w:val="superscript"/>
          <w:lang w:val="en-US"/>
        </w:rPr>
        <w:t>[</w:t>
      </w:r>
      <w:proofErr w:type="gramEnd"/>
      <w:r w:rsidR="00A24C79" w:rsidRPr="0050649F">
        <w:rPr>
          <w:rFonts w:ascii="Book Antiqua" w:hAnsi="Book Antiqua"/>
          <w:vertAlign w:val="superscript"/>
          <w:lang w:val="en-US"/>
        </w:rPr>
        <w:t>84]</w:t>
      </w:r>
      <w:r w:rsidR="00A24C79" w:rsidRPr="0050649F">
        <w:rPr>
          <w:rFonts w:ascii="Book Antiqua" w:hAnsi="Book Antiqua"/>
          <w:lang w:val="en-US"/>
        </w:rPr>
        <w:t>.</w:t>
      </w:r>
    </w:p>
    <w:p w14:paraId="550822CC" w14:textId="00B6CB5A" w:rsidR="00A24C79" w:rsidRPr="0050649F" w:rsidRDefault="00EF6F47" w:rsidP="00EF6F47">
      <w:pPr>
        <w:spacing w:line="360" w:lineRule="auto"/>
        <w:ind w:firstLineChars="100" w:firstLine="240"/>
        <w:jc w:val="both"/>
        <w:rPr>
          <w:rFonts w:ascii="Book Antiqua" w:hAnsi="Book Antiqua"/>
          <w:lang w:val="en-US"/>
        </w:rPr>
      </w:pPr>
      <w:r>
        <w:rPr>
          <w:rFonts w:ascii="Book Antiqua" w:hAnsi="Book Antiqua"/>
          <w:lang w:val="en-US"/>
        </w:rPr>
        <w:t xml:space="preserve">Very recently, Bortlik </w:t>
      </w:r>
      <w:r w:rsidRPr="00EF6F47">
        <w:rPr>
          <w:rFonts w:ascii="Book Antiqua" w:hAnsi="Book Antiqua"/>
          <w:i/>
          <w:lang w:val="en-US"/>
        </w:rPr>
        <w:t xml:space="preserve">et </w:t>
      </w:r>
      <w:proofErr w:type="gramStart"/>
      <w:r w:rsidRPr="00EF6F47">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85]</w:t>
      </w:r>
      <w:r w:rsidR="00A24C79" w:rsidRPr="0050649F">
        <w:rPr>
          <w:rFonts w:ascii="Book Antiqua" w:hAnsi="Book Antiqua"/>
          <w:lang w:val="en-US"/>
        </w:rPr>
        <w:t xml:space="preserve"> have analyzed the cumulative relapse rate after IFX discontinuation in 61 CD patients in clinical remission (median time of follow-up 28 mo) in a prospective analysis. At 6 mo of follow-up, 18% of patients relapsed, at one year 41%, and after two years of follow-up almost half of the patients. Surprisingly, among those patients who achieved </w:t>
      </w:r>
      <w:r w:rsidR="00C97716" w:rsidRPr="0050649F">
        <w:rPr>
          <w:rFonts w:ascii="Book Antiqua" w:hAnsi="Book Antiqua"/>
          <w:lang w:val="en-GB"/>
        </w:rPr>
        <w:t>MH</w:t>
      </w:r>
      <w:r w:rsidR="00A24C79" w:rsidRPr="0050649F">
        <w:rPr>
          <w:rFonts w:ascii="Book Antiqua" w:hAnsi="Book Antiqua"/>
          <w:lang w:val="en-US"/>
        </w:rPr>
        <w:t>, the cumulative relapse rat</w:t>
      </w:r>
      <w:r>
        <w:rPr>
          <w:rFonts w:ascii="Book Antiqua" w:hAnsi="Book Antiqua"/>
          <w:lang w:val="en-US"/>
        </w:rPr>
        <w:t>es were similar: 18% at 6 mo</w:t>
      </w:r>
      <w:r w:rsidR="00A24C79" w:rsidRPr="0050649F">
        <w:rPr>
          <w:rFonts w:ascii="Book Antiqua" w:hAnsi="Book Antiqua"/>
          <w:lang w:val="en-US"/>
        </w:rPr>
        <w:t xml:space="preserve">, 36% at one year and even 60% after two years. Ileal localization of disease was the only risk factor for </w:t>
      </w:r>
      <w:proofErr w:type="gramStart"/>
      <w:r w:rsidR="00A24C79" w:rsidRPr="0050649F">
        <w:rPr>
          <w:rFonts w:ascii="Book Antiqua" w:hAnsi="Book Antiqua"/>
          <w:lang w:val="en-US"/>
        </w:rPr>
        <w:t>relapse</w:t>
      </w:r>
      <w:r w:rsidR="00A24C79" w:rsidRPr="0050649F">
        <w:rPr>
          <w:rFonts w:ascii="Book Antiqua" w:hAnsi="Book Antiqua"/>
          <w:vertAlign w:val="superscript"/>
          <w:lang w:val="en-US"/>
        </w:rPr>
        <w:t>[</w:t>
      </w:r>
      <w:proofErr w:type="gramEnd"/>
      <w:r w:rsidR="00A24C79" w:rsidRPr="0050649F">
        <w:rPr>
          <w:rFonts w:ascii="Book Antiqua" w:hAnsi="Book Antiqua"/>
          <w:vertAlign w:val="superscript"/>
          <w:lang w:val="en-US"/>
        </w:rPr>
        <w:t>85]</w:t>
      </w:r>
      <w:r w:rsidR="00A24C79" w:rsidRPr="0050649F">
        <w:rPr>
          <w:rFonts w:ascii="Book Antiqua" w:hAnsi="Book Antiqua"/>
          <w:lang w:val="en-US"/>
        </w:rPr>
        <w:t>.</w:t>
      </w:r>
    </w:p>
    <w:p w14:paraId="342BC0EE" w14:textId="49EE8C7F" w:rsidR="00A24C79" w:rsidRPr="0050649F" w:rsidRDefault="00990F93" w:rsidP="00EF6F47">
      <w:pPr>
        <w:spacing w:line="360" w:lineRule="auto"/>
        <w:ind w:firstLineChars="100" w:firstLine="240"/>
        <w:jc w:val="both"/>
        <w:rPr>
          <w:rFonts w:ascii="Book Antiqua" w:hAnsi="Book Antiqua"/>
          <w:lang w:val="en-US"/>
        </w:rPr>
      </w:pPr>
      <w:r>
        <w:rPr>
          <w:rFonts w:ascii="Book Antiqua" w:hAnsi="Book Antiqua"/>
          <w:lang w:val="en-US"/>
        </w:rPr>
        <w:t xml:space="preserve">Monterubbianesi </w:t>
      </w:r>
      <w:r w:rsidRPr="00990F93">
        <w:rPr>
          <w:rFonts w:ascii="Book Antiqua" w:hAnsi="Book Antiqua"/>
          <w:i/>
          <w:lang w:val="en-US"/>
        </w:rPr>
        <w:t xml:space="preserve">et </w:t>
      </w:r>
      <w:proofErr w:type="gramStart"/>
      <w:r w:rsidRPr="00990F93">
        <w:rPr>
          <w:rFonts w:ascii="Book Antiqua" w:hAnsi="Book Antiqua"/>
          <w:i/>
          <w:lang w:val="en-US"/>
        </w:rPr>
        <w:t>al</w:t>
      </w:r>
      <w:r w:rsidRPr="0050649F">
        <w:rPr>
          <w:rFonts w:ascii="Book Antiqua" w:hAnsi="Book Antiqua"/>
          <w:vertAlign w:val="superscript"/>
          <w:lang w:val="en-US"/>
        </w:rPr>
        <w:t>[</w:t>
      </w:r>
      <w:proofErr w:type="gramEnd"/>
      <w:r w:rsidRPr="0050649F">
        <w:rPr>
          <w:rFonts w:ascii="Book Antiqua" w:hAnsi="Book Antiqua"/>
          <w:vertAlign w:val="superscript"/>
          <w:lang w:val="en-US"/>
        </w:rPr>
        <w:t>86]</w:t>
      </w:r>
      <w:r w:rsidR="00A24C79" w:rsidRPr="0050649F">
        <w:rPr>
          <w:rFonts w:ascii="Book Antiqua" w:hAnsi="Book Antiqua"/>
          <w:lang w:val="en-US"/>
        </w:rPr>
        <w:t xml:space="preserve"> studied 58 CD patients in therapy for ≥</w:t>
      </w:r>
      <w:r>
        <w:rPr>
          <w:rFonts w:ascii="Book Antiqua" w:eastAsia="宋体" w:hAnsi="Book Antiqua" w:hint="eastAsia"/>
          <w:lang w:val="en-US" w:eastAsia="zh-CN"/>
        </w:rPr>
        <w:t xml:space="preserve"> </w:t>
      </w:r>
      <w:r w:rsidR="00A24C79" w:rsidRPr="0050649F">
        <w:rPr>
          <w:rFonts w:ascii="Book Antiqua" w:hAnsi="Book Antiqua"/>
          <w:lang w:val="en-US"/>
        </w:rPr>
        <w:t xml:space="preserve">12 mo with IFX or ADA who had stopped treatment because of deep remission. They observed a cumulative recurrence rate after discontinuation of anti-TNF drugs equal to 31% at one year, 48% at the second year and 65% at the third. They concluded saying that achieving MH before discontinuation did not predict a prolonged clinical </w:t>
      </w:r>
      <w:proofErr w:type="gramStart"/>
      <w:r w:rsidR="00A24C79" w:rsidRPr="0050649F">
        <w:rPr>
          <w:rFonts w:ascii="Book Antiqua" w:hAnsi="Book Antiqua"/>
          <w:lang w:val="en-US"/>
        </w:rPr>
        <w:t>remission</w:t>
      </w:r>
      <w:r w:rsidR="00A24C79" w:rsidRPr="0050649F">
        <w:rPr>
          <w:rFonts w:ascii="Book Antiqua" w:hAnsi="Book Antiqua"/>
          <w:vertAlign w:val="superscript"/>
          <w:lang w:val="en-US"/>
        </w:rPr>
        <w:t>[</w:t>
      </w:r>
      <w:proofErr w:type="gramEnd"/>
      <w:r w:rsidR="00A24C79" w:rsidRPr="0050649F">
        <w:rPr>
          <w:rFonts w:ascii="Book Antiqua" w:hAnsi="Book Antiqua"/>
          <w:vertAlign w:val="superscript"/>
          <w:lang w:val="en-US"/>
        </w:rPr>
        <w:t>86]</w:t>
      </w:r>
      <w:r w:rsidR="00A24C79" w:rsidRPr="0050649F">
        <w:rPr>
          <w:rFonts w:ascii="Book Antiqua" w:hAnsi="Book Antiqua"/>
          <w:lang w:val="en-US"/>
        </w:rPr>
        <w:t>.</w:t>
      </w:r>
    </w:p>
    <w:p w14:paraId="0D95359E" w14:textId="18DA1B46" w:rsidR="00A24C79" w:rsidRPr="0050649F" w:rsidRDefault="00A24C79" w:rsidP="00990F93">
      <w:pPr>
        <w:spacing w:line="360" w:lineRule="auto"/>
        <w:ind w:firstLineChars="100" w:firstLine="240"/>
        <w:jc w:val="both"/>
        <w:rPr>
          <w:rFonts w:ascii="Book Antiqua" w:hAnsi="Book Antiqua"/>
          <w:lang w:val="en-US"/>
        </w:rPr>
      </w:pPr>
      <w:r w:rsidRPr="0050649F">
        <w:rPr>
          <w:rFonts w:ascii="Book Antiqua" w:hAnsi="Book Antiqua"/>
          <w:lang w:val="en-US"/>
        </w:rPr>
        <w:t>In a</w:t>
      </w:r>
      <w:r w:rsidR="00990F93">
        <w:rPr>
          <w:rFonts w:ascii="Book Antiqua" w:hAnsi="Book Antiqua"/>
          <w:lang w:val="en-US"/>
        </w:rPr>
        <w:t xml:space="preserve"> controlled trial, Bodini </w:t>
      </w:r>
      <w:r w:rsidR="00990F93" w:rsidRPr="00990F93">
        <w:rPr>
          <w:rFonts w:ascii="Book Antiqua" w:hAnsi="Book Antiqua"/>
          <w:i/>
          <w:lang w:val="en-US"/>
        </w:rPr>
        <w:t xml:space="preserve">et </w:t>
      </w:r>
      <w:proofErr w:type="gramStart"/>
      <w:r w:rsidR="00990F93" w:rsidRPr="00990F93">
        <w:rPr>
          <w:rFonts w:ascii="Book Antiqua" w:hAnsi="Book Antiqua"/>
          <w:i/>
          <w:lang w:val="en-US"/>
        </w:rPr>
        <w:t>al</w:t>
      </w:r>
      <w:r w:rsidR="00990F93">
        <w:rPr>
          <w:rFonts w:ascii="Book Antiqua" w:eastAsia="宋体" w:hAnsi="Book Antiqua" w:hint="eastAsia"/>
          <w:vertAlign w:val="superscript"/>
          <w:lang w:val="en-US" w:eastAsia="zh-CN"/>
        </w:rPr>
        <w:t>[</w:t>
      </w:r>
      <w:proofErr w:type="gramEnd"/>
      <w:r w:rsidR="00990F93">
        <w:rPr>
          <w:rFonts w:ascii="Book Antiqua" w:eastAsia="宋体" w:hAnsi="Book Antiqua" w:hint="eastAsia"/>
          <w:vertAlign w:val="superscript"/>
          <w:lang w:val="en-US" w:eastAsia="zh-CN"/>
        </w:rPr>
        <w:t>87]</w:t>
      </w:r>
      <w:r w:rsidRPr="0050649F">
        <w:rPr>
          <w:rFonts w:ascii="Book Antiqua" w:hAnsi="Book Antiqua"/>
          <w:lang w:val="en-US"/>
        </w:rPr>
        <w:t>, randomized 15 IBD patients (6 UC and 9 CD) to AZA 2 mg/kg</w:t>
      </w:r>
      <w:r w:rsidR="00990F93">
        <w:rPr>
          <w:rFonts w:ascii="Book Antiqua" w:eastAsia="宋体" w:hAnsi="Book Antiqua" w:hint="eastAsia"/>
          <w:lang w:val="en-US" w:eastAsia="zh-CN"/>
        </w:rPr>
        <w:t xml:space="preserve"> per </w:t>
      </w:r>
      <w:r w:rsidRPr="0050649F">
        <w:rPr>
          <w:rFonts w:ascii="Book Antiqua" w:hAnsi="Book Antiqua"/>
          <w:lang w:val="en-US"/>
        </w:rPr>
        <w:t>day or 5-ASA 2</w:t>
      </w:r>
      <w:r w:rsidR="00990F93">
        <w:rPr>
          <w:rFonts w:ascii="Book Antiqua" w:eastAsia="宋体" w:hAnsi="Book Antiqua" w:hint="eastAsia"/>
          <w:lang w:val="en-US" w:eastAsia="zh-CN"/>
        </w:rPr>
        <w:t>.</w:t>
      </w:r>
      <w:r w:rsidRPr="0050649F">
        <w:rPr>
          <w:rFonts w:ascii="Book Antiqua" w:hAnsi="Book Antiqua"/>
          <w:lang w:val="en-US"/>
        </w:rPr>
        <w:t>4 g/die in UC and 3</w:t>
      </w:r>
      <w:r w:rsidR="00990F93">
        <w:rPr>
          <w:rFonts w:ascii="Book Antiqua" w:eastAsia="宋体" w:hAnsi="Book Antiqua" w:hint="eastAsia"/>
          <w:lang w:val="en-US" w:eastAsia="zh-CN"/>
        </w:rPr>
        <w:t xml:space="preserve"> </w:t>
      </w:r>
      <w:r w:rsidR="00990F93">
        <w:rPr>
          <w:rFonts w:ascii="Book Antiqua" w:hAnsi="Book Antiqua"/>
          <w:lang w:val="en-US"/>
        </w:rPr>
        <w:t>g/d</w:t>
      </w:r>
      <w:r w:rsidRPr="0050649F">
        <w:rPr>
          <w:rFonts w:ascii="Book Antiqua" w:hAnsi="Book Antiqua"/>
          <w:lang w:val="en-US"/>
        </w:rPr>
        <w:t xml:space="preserve"> in CD, after stopping an anti-TNF drug. During the entire fol</w:t>
      </w:r>
      <w:r w:rsidR="00990F93">
        <w:rPr>
          <w:rFonts w:ascii="Book Antiqua" w:hAnsi="Book Antiqua"/>
          <w:lang w:val="en-US"/>
        </w:rPr>
        <w:t>low-up (median f-u time 48 wk</w:t>
      </w:r>
      <w:r w:rsidRPr="0050649F">
        <w:rPr>
          <w:rFonts w:ascii="Book Antiqua" w:hAnsi="Book Antiqua"/>
          <w:lang w:val="en-US"/>
        </w:rPr>
        <w:t xml:space="preserve">), 100% of patients on AZA remained in remission, unlike patients on 5-ASA who relapsed in 30% of cases. Patients on maintenance therapy with 5-ASA showed, moreover, an earlier relapse compared to the other </w:t>
      </w:r>
      <w:proofErr w:type="gramStart"/>
      <w:r w:rsidRPr="0050649F">
        <w:rPr>
          <w:rFonts w:ascii="Book Antiqua" w:hAnsi="Book Antiqua"/>
          <w:lang w:val="en-US"/>
        </w:rPr>
        <w:t>group</w:t>
      </w:r>
      <w:r w:rsidRPr="0050649F">
        <w:rPr>
          <w:rFonts w:ascii="Book Antiqua" w:hAnsi="Book Antiqua"/>
          <w:vertAlign w:val="superscript"/>
          <w:lang w:val="en-US"/>
        </w:rPr>
        <w:t>[</w:t>
      </w:r>
      <w:proofErr w:type="gramEnd"/>
      <w:r w:rsidRPr="0050649F">
        <w:rPr>
          <w:rFonts w:ascii="Book Antiqua" w:hAnsi="Book Antiqua"/>
          <w:vertAlign w:val="superscript"/>
          <w:lang w:val="en-US"/>
        </w:rPr>
        <w:t>87]</w:t>
      </w:r>
      <w:r w:rsidRPr="0050649F">
        <w:rPr>
          <w:rFonts w:ascii="Book Antiqua" w:hAnsi="Book Antiqua"/>
          <w:lang w:val="en-US"/>
        </w:rPr>
        <w:t xml:space="preserve">. Finally, in a retrospective analysis, CD patients in combined treatment continued with either IFX or immunomodulator. The 1-year relapse rate was not significantly different between the two groups, being 20% for those who continued IFX, and 30.9% for those on </w:t>
      </w:r>
      <w:proofErr w:type="gramStart"/>
      <w:r w:rsidRPr="0050649F">
        <w:rPr>
          <w:rFonts w:ascii="Book Antiqua" w:hAnsi="Book Antiqua"/>
          <w:lang w:val="en-US"/>
        </w:rPr>
        <w:t>immunomodulators</w:t>
      </w:r>
      <w:r w:rsidRPr="0050649F">
        <w:rPr>
          <w:rFonts w:ascii="Book Antiqua" w:hAnsi="Book Antiqua"/>
          <w:vertAlign w:val="superscript"/>
          <w:lang w:val="en-US"/>
        </w:rPr>
        <w:t>[</w:t>
      </w:r>
      <w:proofErr w:type="gramEnd"/>
      <w:r w:rsidRPr="0050649F">
        <w:rPr>
          <w:rFonts w:ascii="Book Antiqua" w:hAnsi="Book Antiqua"/>
          <w:vertAlign w:val="superscript"/>
          <w:lang w:val="en-US"/>
        </w:rPr>
        <w:t>88]</w:t>
      </w:r>
      <w:r w:rsidRPr="0050649F">
        <w:rPr>
          <w:rFonts w:ascii="Book Antiqua" w:hAnsi="Book Antiqua"/>
          <w:lang w:val="en-US"/>
        </w:rPr>
        <w:t>.</w:t>
      </w:r>
    </w:p>
    <w:p w14:paraId="3036A8FE" w14:textId="77777777" w:rsidR="00A24C79" w:rsidRPr="0050649F" w:rsidRDefault="00A24C79" w:rsidP="00C97716">
      <w:pPr>
        <w:spacing w:line="360" w:lineRule="auto"/>
        <w:jc w:val="both"/>
        <w:rPr>
          <w:rFonts w:ascii="Book Antiqua" w:hAnsi="Book Antiqua"/>
          <w:lang w:val="en-US"/>
        </w:rPr>
      </w:pPr>
    </w:p>
    <w:p w14:paraId="3BFDF3C3" w14:textId="4A4CE9C5" w:rsidR="00A24C79" w:rsidRPr="00703920" w:rsidRDefault="00703920" w:rsidP="00C97716">
      <w:pPr>
        <w:spacing w:line="360" w:lineRule="auto"/>
        <w:jc w:val="both"/>
        <w:rPr>
          <w:rFonts w:ascii="Book Antiqua" w:eastAsia="宋体" w:hAnsi="Book Antiqua"/>
          <w:b/>
          <w:lang w:val="en-US" w:eastAsia="zh-CN"/>
        </w:rPr>
      </w:pPr>
      <w:r>
        <w:rPr>
          <w:rFonts w:ascii="Book Antiqua" w:hAnsi="Book Antiqua"/>
          <w:b/>
          <w:lang w:val="en-US"/>
        </w:rPr>
        <w:lastRenderedPageBreak/>
        <w:t>CONCLUSION</w:t>
      </w:r>
    </w:p>
    <w:p w14:paraId="187D515D" w14:textId="317CEF0E"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Thanks to the advent of biological drugs, MH has become an important aim to achieve, in order to stop progress of IBD and avoid related complications. New kinds of drugs will be introduced over the coming years and will be available for physicians in the hope to get better long-term remission rates. Nevertheless, the issue of saving treatment years, introducing drug </w:t>
      </w:r>
      <w:proofErr w:type="gramStart"/>
      <w:r w:rsidRPr="0050649F">
        <w:rPr>
          <w:rFonts w:ascii="Book Antiqua" w:hAnsi="Book Antiqua"/>
          <w:lang w:val="en-US"/>
        </w:rPr>
        <w:t>holidays</w:t>
      </w:r>
      <w:r w:rsidRPr="0050649F">
        <w:rPr>
          <w:rFonts w:ascii="Book Antiqua" w:hAnsi="Book Antiqua"/>
          <w:vertAlign w:val="superscript"/>
          <w:lang w:val="en-US"/>
        </w:rPr>
        <w:t>[</w:t>
      </w:r>
      <w:proofErr w:type="gramEnd"/>
      <w:r w:rsidRPr="0050649F">
        <w:rPr>
          <w:rFonts w:ascii="Book Antiqua" w:hAnsi="Book Antiqua"/>
          <w:vertAlign w:val="superscript"/>
          <w:lang w:val="en-US"/>
        </w:rPr>
        <w:t>89]</w:t>
      </w:r>
      <w:r w:rsidRPr="0050649F">
        <w:rPr>
          <w:rFonts w:ascii="Book Antiqua" w:hAnsi="Book Antiqua"/>
          <w:lang w:val="en-US"/>
        </w:rPr>
        <w:t xml:space="preserve">, will always be of central importance to ensure the least possible exposure to biologics and immunosuppressants, in an attempt to limit, as much as possible, adverse events and opportunistic infections. Another important aim is to reduce costs and ensure a sustainable future for National Health Services, in the management of a growing </w:t>
      </w:r>
      <w:proofErr w:type="gramStart"/>
      <w:r w:rsidRPr="0050649F">
        <w:rPr>
          <w:rFonts w:ascii="Book Antiqua" w:hAnsi="Book Antiqua"/>
          <w:lang w:val="en-US"/>
        </w:rPr>
        <w:t>problem</w:t>
      </w:r>
      <w:r w:rsidRPr="0050649F">
        <w:rPr>
          <w:rFonts w:ascii="Book Antiqua" w:hAnsi="Book Antiqua"/>
          <w:vertAlign w:val="superscript"/>
          <w:lang w:val="en-US"/>
        </w:rPr>
        <w:t>[</w:t>
      </w:r>
      <w:proofErr w:type="gramEnd"/>
      <w:r w:rsidRPr="0050649F">
        <w:rPr>
          <w:rFonts w:ascii="Book Antiqua" w:hAnsi="Book Antiqua"/>
          <w:vertAlign w:val="superscript"/>
          <w:lang w:val="en-US"/>
        </w:rPr>
        <w:t>90]</w:t>
      </w:r>
      <w:r w:rsidRPr="0050649F">
        <w:rPr>
          <w:rFonts w:ascii="Book Antiqua" w:hAnsi="Book Antiqua"/>
          <w:lang w:val="en-US"/>
        </w:rPr>
        <w:t>. The use of immunosuppressive drugs in general (immunomodulators and biologics) has certainly changed over time, assuming greater importance, also in light of growing evidence from literature, and they have earned several indications: early treatment in patients with more aggressive disease, use in first instance of combination therapy (the top</w:t>
      </w:r>
      <w:r w:rsidRPr="0050649F">
        <w:rPr>
          <w:rFonts w:ascii="Book Antiqua" w:hAnsi="Book Antiqua"/>
          <w:i/>
          <w:lang w:val="en-US"/>
        </w:rPr>
        <w:t>-</w:t>
      </w:r>
      <w:r w:rsidRPr="0050649F">
        <w:rPr>
          <w:rFonts w:ascii="Book Antiqua" w:hAnsi="Book Antiqua"/>
          <w:lang w:val="en-US"/>
        </w:rPr>
        <w:t xml:space="preserve">down strategy) in patients with steroid-resistant or steroid-dependent disease, and in the prevention of recurrences in patients who have undergone surgical resection. Important progress was also made regarding perianal disease and the importance of using the correct timing of biological therapies and surgery. Finally, the use of rescue-therapy with anti-TNF drugs or cyclosporine in severe </w:t>
      </w:r>
      <w:r w:rsidR="0050649F" w:rsidRPr="0050649F">
        <w:rPr>
          <w:rFonts w:ascii="Book Antiqua" w:hAnsi="Book Antiqua"/>
          <w:lang w:val="en-GB"/>
        </w:rPr>
        <w:t>UC</w:t>
      </w:r>
      <w:r w:rsidRPr="0050649F">
        <w:rPr>
          <w:rFonts w:ascii="Book Antiqua" w:hAnsi="Book Antiqua"/>
          <w:lang w:val="en-US"/>
        </w:rPr>
        <w:t xml:space="preserve"> has been well established. </w:t>
      </w:r>
    </w:p>
    <w:p w14:paraId="1AA7283E" w14:textId="1075EFC8" w:rsidR="00A24C79" w:rsidRPr="0050649F" w:rsidRDefault="00A24C79" w:rsidP="00703920">
      <w:pPr>
        <w:spacing w:line="360" w:lineRule="auto"/>
        <w:ind w:firstLineChars="100" w:firstLine="240"/>
        <w:jc w:val="both"/>
        <w:rPr>
          <w:rFonts w:ascii="Book Antiqua" w:hAnsi="Book Antiqua"/>
          <w:lang w:val="en-US"/>
        </w:rPr>
      </w:pPr>
      <w:r w:rsidRPr="0050649F">
        <w:rPr>
          <w:rFonts w:ascii="Book Antiqua" w:hAnsi="Book Antiqua"/>
          <w:lang w:val="en-US"/>
        </w:rPr>
        <w:t xml:space="preserve">Although the importance of achieving MH has been well documented, several recent studies have shown that maintaining or de-escalating therapy did not change </w:t>
      </w:r>
      <w:r w:rsidR="003D1CCB" w:rsidRPr="0050649F">
        <w:rPr>
          <w:rFonts w:ascii="Book Antiqua" w:hAnsi="Book Antiqua"/>
          <w:lang w:val="en-US"/>
        </w:rPr>
        <w:t>the outcome significantly (</w:t>
      </w:r>
      <w:r w:rsidR="00703920" w:rsidRPr="0050649F">
        <w:rPr>
          <w:rFonts w:ascii="Book Antiqua" w:hAnsi="Book Antiqua"/>
          <w:lang w:val="en-US"/>
        </w:rPr>
        <w:t>T</w:t>
      </w:r>
      <w:r w:rsidR="003D1CCB" w:rsidRPr="0050649F">
        <w:rPr>
          <w:rFonts w:ascii="Book Antiqua" w:hAnsi="Book Antiqua"/>
          <w:lang w:val="en-US"/>
        </w:rPr>
        <w:t>ab</w:t>
      </w:r>
      <w:r w:rsidR="00703920">
        <w:rPr>
          <w:rFonts w:ascii="Book Antiqua" w:eastAsia="宋体" w:hAnsi="Book Antiqua" w:hint="eastAsia"/>
          <w:lang w:val="en-US" w:eastAsia="zh-CN"/>
        </w:rPr>
        <w:t>le</w:t>
      </w:r>
      <w:r w:rsidR="003D1CCB" w:rsidRPr="0050649F">
        <w:rPr>
          <w:rFonts w:ascii="Book Antiqua" w:hAnsi="Book Antiqua"/>
          <w:lang w:val="en-US"/>
        </w:rPr>
        <w:t xml:space="preserve"> 4</w:t>
      </w:r>
      <w:r w:rsidRPr="0050649F">
        <w:rPr>
          <w:rFonts w:ascii="Book Antiqua" w:hAnsi="Book Antiqua"/>
          <w:lang w:val="en-US"/>
        </w:rPr>
        <w:t>), in terms of clinical and endoscopic relapse. Conversely, in a recent report, a lower rate of colectomy in a 10-year follow-up period was reported in patients that reached Mayo score 0 compared to score 1</w:t>
      </w:r>
      <w:r w:rsidRPr="0050649F">
        <w:rPr>
          <w:rFonts w:ascii="Book Antiqua" w:hAnsi="Book Antiqua"/>
          <w:vertAlign w:val="superscript"/>
          <w:lang w:val="en-US"/>
        </w:rPr>
        <w:t>[91]</w:t>
      </w:r>
      <w:r w:rsidRPr="0050649F">
        <w:rPr>
          <w:rFonts w:ascii="Book Antiqua" w:hAnsi="Book Antiqua"/>
          <w:lang w:val="en-US"/>
        </w:rPr>
        <w:t xml:space="preserve">. These conflicting data makes the physician's choice in this moment even more difficult. Looking at the evidence related to discontinuation in patients treated with thiopurines, a higher WBC count, elevated CRP serum levels and short duration of treatment, seem to be adverse factors, capable to predict an unfavorable disease course after drug discontinuation. </w:t>
      </w:r>
    </w:p>
    <w:p w14:paraId="19BF82A1" w14:textId="77777777" w:rsidR="00A24C79" w:rsidRPr="0050649F" w:rsidRDefault="00A24C79" w:rsidP="00703920">
      <w:pPr>
        <w:spacing w:line="360" w:lineRule="auto"/>
        <w:ind w:firstLineChars="100" w:firstLine="240"/>
        <w:jc w:val="both"/>
        <w:rPr>
          <w:rFonts w:ascii="Book Antiqua" w:hAnsi="Book Antiqua"/>
          <w:lang w:val="en-US"/>
        </w:rPr>
      </w:pPr>
      <w:r w:rsidRPr="0050649F">
        <w:rPr>
          <w:rFonts w:ascii="Book Antiqua" w:hAnsi="Book Antiqua"/>
          <w:lang w:val="en-US"/>
        </w:rPr>
        <w:t xml:space="preserve">For patients in treatment with anti-TNF therapy, risk factors for relapse, such as elevated WBC count or serum CRP, seem to have a weaker influence; neither does the achievement of MH seem to predict a better course of disease.  </w:t>
      </w:r>
    </w:p>
    <w:p w14:paraId="6303257D" w14:textId="177C87E7" w:rsidR="00A24C79" w:rsidRPr="0050649F" w:rsidRDefault="00A24C79" w:rsidP="00703920">
      <w:pPr>
        <w:spacing w:line="360" w:lineRule="auto"/>
        <w:ind w:firstLineChars="100" w:firstLine="240"/>
        <w:jc w:val="both"/>
        <w:rPr>
          <w:rFonts w:ascii="Book Antiqua" w:hAnsi="Book Antiqua"/>
          <w:vertAlign w:val="superscript"/>
          <w:lang w:val="en-US"/>
        </w:rPr>
      </w:pPr>
      <w:r w:rsidRPr="0050649F">
        <w:rPr>
          <w:rFonts w:ascii="Book Antiqua" w:hAnsi="Book Antiqua"/>
          <w:lang w:val="en-US"/>
        </w:rPr>
        <w:t xml:space="preserve">Fecal calprotectin could be a useful tool to assess inflammatory activity of colonic disease and it correlates well with </w:t>
      </w:r>
      <w:proofErr w:type="gramStart"/>
      <w:r w:rsidR="00C97716" w:rsidRPr="0050649F">
        <w:rPr>
          <w:rFonts w:ascii="Book Antiqua" w:hAnsi="Book Antiqua"/>
          <w:lang w:val="en-GB"/>
        </w:rPr>
        <w:t>MH</w:t>
      </w:r>
      <w:r w:rsidRPr="0050649F">
        <w:rPr>
          <w:rFonts w:ascii="Book Antiqua" w:hAnsi="Book Antiqua"/>
          <w:vertAlign w:val="superscript"/>
          <w:lang w:val="en-US"/>
        </w:rPr>
        <w:t>[</w:t>
      </w:r>
      <w:proofErr w:type="gramEnd"/>
      <w:r w:rsidRPr="0050649F">
        <w:rPr>
          <w:rFonts w:ascii="Book Antiqua" w:hAnsi="Book Antiqua"/>
          <w:vertAlign w:val="superscript"/>
          <w:lang w:val="en-US"/>
        </w:rPr>
        <w:t>80]</w:t>
      </w:r>
      <w:r w:rsidRPr="0050649F">
        <w:rPr>
          <w:rFonts w:ascii="Book Antiqua" w:hAnsi="Book Antiqua"/>
          <w:lang w:val="en-US"/>
        </w:rPr>
        <w:t xml:space="preserve">, thus it should be dosed before withdrawal, to </w:t>
      </w:r>
      <w:r w:rsidRPr="0050649F">
        <w:rPr>
          <w:rFonts w:ascii="Book Antiqua" w:hAnsi="Book Antiqua"/>
          <w:lang w:val="en-US"/>
        </w:rPr>
        <w:lastRenderedPageBreak/>
        <w:t xml:space="preserve">assess the degree of inflammation. Another important issue to be developed is histological healing, but at this moment no standardized score is available for either UC or </w:t>
      </w:r>
      <w:proofErr w:type="gramStart"/>
      <w:r w:rsidRPr="0050649F">
        <w:rPr>
          <w:rFonts w:ascii="Book Antiqua" w:hAnsi="Book Antiqua"/>
          <w:lang w:val="en-US"/>
        </w:rPr>
        <w:t>CD</w:t>
      </w:r>
      <w:r w:rsidRPr="0050649F">
        <w:rPr>
          <w:rFonts w:ascii="Book Antiqua" w:hAnsi="Book Antiqua"/>
          <w:vertAlign w:val="superscript"/>
          <w:lang w:val="en-US"/>
        </w:rPr>
        <w:t>[</w:t>
      </w:r>
      <w:proofErr w:type="gramEnd"/>
      <w:r w:rsidRPr="0050649F">
        <w:rPr>
          <w:rFonts w:ascii="Book Antiqua" w:hAnsi="Book Antiqua"/>
          <w:vertAlign w:val="superscript"/>
          <w:lang w:val="en-US"/>
        </w:rPr>
        <w:t>92,93]</w:t>
      </w:r>
      <w:r w:rsidRPr="0050649F">
        <w:rPr>
          <w:rFonts w:ascii="Book Antiqua" w:hAnsi="Book Antiqua"/>
          <w:lang w:val="en-US"/>
        </w:rPr>
        <w:t xml:space="preserve">. At present, there is only one report concerning the superiority of histological over endoscopic healing in UC in terms of hospitalizations and steroid </w:t>
      </w:r>
      <w:proofErr w:type="gramStart"/>
      <w:r w:rsidRPr="0050649F">
        <w:rPr>
          <w:rFonts w:ascii="Book Antiqua" w:hAnsi="Book Antiqua"/>
          <w:lang w:val="en-US"/>
        </w:rPr>
        <w:t>use</w:t>
      </w:r>
      <w:r w:rsidRPr="0050649F">
        <w:rPr>
          <w:rFonts w:ascii="Book Antiqua" w:hAnsi="Book Antiqua"/>
          <w:vertAlign w:val="superscript"/>
          <w:lang w:val="en-US"/>
        </w:rPr>
        <w:t>[</w:t>
      </w:r>
      <w:proofErr w:type="gramEnd"/>
      <w:r w:rsidRPr="0050649F">
        <w:rPr>
          <w:rFonts w:ascii="Book Antiqua" w:hAnsi="Book Antiqua"/>
          <w:vertAlign w:val="superscript"/>
          <w:lang w:val="en-US"/>
        </w:rPr>
        <w:t>94]</w:t>
      </w:r>
      <w:r w:rsidRPr="0050649F">
        <w:rPr>
          <w:rFonts w:ascii="Book Antiqua" w:hAnsi="Book Antiqua"/>
          <w:lang w:val="en-US"/>
        </w:rPr>
        <w:t>. It seems that histological healing will become an essential therapeutic target to ensure optimal disease control and less progression of organ damage, but new randomized controlled trials are needed to better define the real weight of histology in decision making, especially in transmural CD, on withdrawal of an immunomodulator or biologic drug. This lack of knowledge and evidence could probably explain the poor correlation between achievement of MH and maintenance of remission.</w:t>
      </w:r>
    </w:p>
    <w:p w14:paraId="0AC225CC" w14:textId="77777777" w:rsidR="00A24C79" w:rsidRPr="0050649F" w:rsidRDefault="00A24C79" w:rsidP="00703920">
      <w:pPr>
        <w:spacing w:line="360" w:lineRule="auto"/>
        <w:ind w:firstLineChars="100" w:firstLine="240"/>
        <w:jc w:val="both"/>
        <w:rPr>
          <w:rFonts w:ascii="Book Antiqua" w:hAnsi="Book Antiqua"/>
          <w:lang w:val="en-US"/>
        </w:rPr>
      </w:pPr>
      <w:r w:rsidRPr="0050649F">
        <w:rPr>
          <w:rFonts w:ascii="Book Antiqua" w:hAnsi="Book Antiqua"/>
          <w:lang w:val="en-US"/>
        </w:rPr>
        <w:t>At this moment, drug withdrawal in the presence of mild mucosal lesions and of concomitant unfavorable features of disease, or positive markers of inflammation (like serum CRP or fecal calprotectin) seems to be unreasonable.</w:t>
      </w:r>
    </w:p>
    <w:p w14:paraId="1F765DE5" w14:textId="77777777" w:rsidR="00703920" w:rsidRDefault="00703920" w:rsidP="00C97716">
      <w:pPr>
        <w:spacing w:line="360" w:lineRule="auto"/>
        <w:jc w:val="both"/>
        <w:rPr>
          <w:rFonts w:ascii="Book Antiqua" w:eastAsia="宋体" w:hAnsi="Book Antiqua"/>
          <w:lang w:val="en-US" w:eastAsia="zh-CN"/>
        </w:rPr>
      </w:pPr>
    </w:p>
    <w:p w14:paraId="71D4EEFC" w14:textId="77777777" w:rsidR="00703920" w:rsidRDefault="00703920">
      <w:pPr>
        <w:rPr>
          <w:rFonts w:ascii="Book Antiqua" w:eastAsia="宋体" w:hAnsi="Book Antiqua"/>
          <w:lang w:val="en-US" w:eastAsia="zh-CN"/>
        </w:rPr>
      </w:pPr>
      <w:r>
        <w:rPr>
          <w:rFonts w:ascii="Book Antiqua" w:eastAsia="宋体" w:hAnsi="Book Antiqua"/>
          <w:lang w:val="en-US" w:eastAsia="zh-CN"/>
        </w:rPr>
        <w:br w:type="page"/>
      </w:r>
    </w:p>
    <w:p w14:paraId="6791CA13" w14:textId="2AD33389" w:rsidR="00A24C79" w:rsidRPr="00A92058" w:rsidRDefault="00703920" w:rsidP="00A92058">
      <w:pPr>
        <w:spacing w:line="360" w:lineRule="auto"/>
        <w:jc w:val="both"/>
        <w:rPr>
          <w:rFonts w:ascii="Book Antiqua" w:hAnsi="Book Antiqua"/>
          <w:b/>
        </w:rPr>
      </w:pPr>
      <w:r w:rsidRPr="00A92058">
        <w:rPr>
          <w:rFonts w:ascii="Book Antiqua" w:hAnsi="Book Antiqua"/>
          <w:b/>
        </w:rPr>
        <w:lastRenderedPageBreak/>
        <w:t>REFERENCES</w:t>
      </w:r>
    </w:p>
    <w:p w14:paraId="5A1EF261"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 </w:t>
      </w:r>
      <w:r w:rsidRPr="00A92058">
        <w:rPr>
          <w:rFonts w:ascii="Book Antiqua" w:eastAsia="宋体" w:hAnsi="Book Antiqua" w:cs="宋体"/>
          <w:b/>
          <w:bCs/>
          <w:lang w:val="en-US" w:eastAsia="zh-CN"/>
        </w:rPr>
        <w:t>Molodecky NA</w:t>
      </w:r>
      <w:r w:rsidRPr="00A92058">
        <w:rPr>
          <w:rFonts w:ascii="Book Antiqua" w:eastAsia="宋体" w:hAnsi="Book Antiqua" w:cs="宋体"/>
          <w:lang w:val="en-US" w:eastAsia="zh-CN"/>
        </w:rPr>
        <w:t xml:space="preserve">, Soon IS, Rabi DM, Ghali WA, Ferris M, Chernoff G, Benchimol EI, Panaccione R, Ghosh S, Barkema HW, Kaplan GG. Increasing incidence and prevalence of the inflammatory bowel diseases with time, based on systematic review.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142</w:t>
      </w:r>
      <w:r w:rsidRPr="00A92058">
        <w:rPr>
          <w:rFonts w:ascii="Book Antiqua" w:eastAsia="宋体" w:hAnsi="Book Antiqua" w:cs="宋体"/>
          <w:lang w:val="en-US" w:eastAsia="zh-CN"/>
        </w:rPr>
        <w:t>: 46-54.e42; quiz e30 [PMID: 22001864 DOI: 10.1053/j.gastro.2011.10.001]</w:t>
      </w:r>
    </w:p>
    <w:p w14:paraId="70456A72" w14:textId="5C95056F"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 </w:t>
      </w:r>
      <w:r w:rsidRPr="00A92058">
        <w:rPr>
          <w:rFonts w:ascii="Book Antiqua" w:eastAsia="宋体" w:hAnsi="Book Antiqua" w:cs="宋体"/>
          <w:b/>
          <w:bCs/>
          <w:lang w:val="en-US" w:eastAsia="zh-CN"/>
        </w:rPr>
        <w:t>Peyrin-Biroulet L</w:t>
      </w:r>
      <w:r w:rsidRPr="00A92058">
        <w:rPr>
          <w:rFonts w:ascii="Book Antiqua" w:eastAsia="宋体" w:hAnsi="Book Antiqua" w:cs="宋体"/>
          <w:lang w:val="en-US" w:eastAsia="zh-CN"/>
        </w:rPr>
        <w:t xml:space="preserve">, Loftus EV, Colombel JF, Sandborn WJ. </w:t>
      </w:r>
      <w:proofErr w:type="gramStart"/>
      <w:r w:rsidRPr="00A92058">
        <w:rPr>
          <w:rFonts w:ascii="Book Antiqua" w:eastAsia="宋体" w:hAnsi="Book Antiqua" w:cs="宋体"/>
          <w:lang w:val="en-US" w:eastAsia="zh-CN"/>
        </w:rPr>
        <w:t>The natural history of adult Crohn's disease in population-based cohorts.</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Am J Gastroenterol</w:t>
      </w:r>
      <w:r w:rsidRPr="00A92058">
        <w:rPr>
          <w:rFonts w:ascii="Book Antiqua" w:eastAsia="宋体" w:hAnsi="Book Antiqua" w:cs="宋体"/>
          <w:lang w:val="en-US" w:eastAsia="zh-CN"/>
        </w:rPr>
        <w:t xml:space="preserve"> 2010; </w:t>
      </w:r>
      <w:r w:rsidRPr="00A92058">
        <w:rPr>
          <w:rFonts w:ascii="Book Antiqua" w:eastAsia="宋体" w:hAnsi="Book Antiqua" w:cs="宋体"/>
          <w:b/>
          <w:bCs/>
          <w:lang w:val="en-US" w:eastAsia="zh-CN"/>
        </w:rPr>
        <w:t>105</w:t>
      </w:r>
      <w:r w:rsidRPr="00A92058">
        <w:rPr>
          <w:rFonts w:ascii="Book Antiqua" w:eastAsia="宋体" w:hAnsi="Book Antiqua" w:cs="宋体"/>
          <w:lang w:val="en-US" w:eastAsia="zh-CN"/>
        </w:rPr>
        <w:t>: 289-297 [PMID: 198</w:t>
      </w:r>
      <w:r w:rsidR="00961613">
        <w:rPr>
          <w:rFonts w:ascii="Book Antiqua" w:eastAsia="宋体" w:hAnsi="Book Antiqua" w:cs="宋体"/>
          <w:lang w:val="en-US" w:eastAsia="zh-CN"/>
        </w:rPr>
        <w:t>61953 DOI: 10.1038/ajg.2009.579</w:t>
      </w:r>
      <w:r w:rsidRPr="00A92058">
        <w:rPr>
          <w:rFonts w:ascii="Book Antiqua" w:eastAsia="宋体" w:hAnsi="Book Antiqua" w:cs="宋体"/>
          <w:lang w:val="en-US" w:eastAsia="zh-CN"/>
        </w:rPr>
        <w:t>]</w:t>
      </w:r>
    </w:p>
    <w:p w14:paraId="3211973E" w14:textId="4755E53F"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 </w:t>
      </w:r>
      <w:r w:rsidRPr="00A92058">
        <w:rPr>
          <w:rFonts w:ascii="Book Antiqua" w:eastAsia="宋体" w:hAnsi="Book Antiqua" w:cs="宋体"/>
          <w:b/>
          <w:bCs/>
          <w:lang w:val="en-US" w:eastAsia="zh-CN"/>
        </w:rPr>
        <w:t>Sandborn WJ</w:t>
      </w:r>
      <w:r w:rsidRPr="00A92058">
        <w:rPr>
          <w:rFonts w:ascii="Book Antiqua" w:eastAsia="宋体" w:hAnsi="Book Antiqua" w:cs="宋体"/>
          <w:lang w:val="en-US" w:eastAsia="zh-CN"/>
        </w:rPr>
        <w:t xml:space="preserve">, Hanauer S, Van Assche G, Panés J, Wilson S, Petersson J, Panaccione R. Treating beyond symptoms with a view to improving patient outcomes in inflammatory bowel diseases.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8</w:t>
      </w:r>
      <w:r w:rsidRPr="00A92058">
        <w:rPr>
          <w:rFonts w:ascii="Book Antiqua" w:eastAsia="宋体" w:hAnsi="Book Antiqua" w:cs="宋体"/>
          <w:lang w:val="en-US" w:eastAsia="zh-CN"/>
        </w:rPr>
        <w:t>: 927-935 [PMID: 24713173 DO</w:t>
      </w:r>
      <w:r w:rsidR="00961613">
        <w:rPr>
          <w:rFonts w:ascii="Book Antiqua" w:eastAsia="宋体" w:hAnsi="Book Antiqua" w:cs="宋体"/>
          <w:lang w:val="en-US" w:eastAsia="zh-CN"/>
        </w:rPr>
        <w:t>I: 10.1016/j.crohns.2014.02.021</w:t>
      </w:r>
      <w:r w:rsidRPr="00A92058">
        <w:rPr>
          <w:rFonts w:ascii="Book Antiqua" w:eastAsia="宋体" w:hAnsi="Book Antiqua" w:cs="宋体"/>
          <w:lang w:val="en-US" w:eastAsia="zh-CN"/>
        </w:rPr>
        <w:t>]</w:t>
      </w:r>
    </w:p>
    <w:p w14:paraId="67E3FADD"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 </w:t>
      </w:r>
      <w:r w:rsidRPr="00A92058">
        <w:rPr>
          <w:rFonts w:ascii="Book Antiqua" w:eastAsia="宋体" w:hAnsi="Book Antiqua" w:cs="宋体"/>
          <w:b/>
          <w:bCs/>
          <w:lang w:val="en-US" w:eastAsia="zh-CN"/>
        </w:rPr>
        <w:t>Rutgeerts P</w:t>
      </w:r>
      <w:r w:rsidRPr="00A92058">
        <w:rPr>
          <w:rFonts w:ascii="Book Antiqua" w:eastAsia="宋体" w:hAnsi="Book Antiqua" w:cs="宋体"/>
          <w:lang w:val="en-US" w:eastAsia="zh-CN"/>
        </w:rPr>
        <w:t xml:space="preserve">, Vermeire S, Van Assche G. Mucosal healing in inflammatory bowel disease: impossible ideal or therapeutic target?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2007; </w:t>
      </w:r>
      <w:r w:rsidRPr="00A92058">
        <w:rPr>
          <w:rFonts w:ascii="Book Antiqua" w:eastAsia="宋体" w:hAnsi="Book Antiqua" w:cs="宋体"/>
          <w:b/>
          <w:bCs/>
          <w:lang w:val="en-US" w:eastAsia="zh-CN"/>
        </w:rPr>
        <w:t>56</w:t>
      </w:r>
      <w:r w:rsidRPr="00A92058">
        <w:rPr>
          <w:rFonts w:ascii="Book Antiqua" w:eastAsia="宋体" w:hAnsi="Book Antiqua" w:cs="宋体"/>
          <w:lang w:val="en-US" w:eastAsia="zh-CN"/>
        </w:rPr>
        <w:t>: 453-455 [PMID: 17369375 DOI: 10.1136/gut.2005.088732]</w:t>
      </w:r>
    </w:p>
    <w:p w14:paraId="301BEC38" w14:textId="097FF795"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 </w:t>
      </w:r>
      <w:r w:rsidRPr="00A92058">
        <w:rPr>
          <w:rFonts w:ascii="Book Antiqua" w:eastAsia="宋体" w:hAnsi="Book Antiqua" w:cs="宋体"/>
          <w:b/>
          <w:bCs/>
          <w:lang w:val="en-US" w:eastAsia="zh-CN"/>
        </w:rPr>
        <w:t>Marehbian J</w:t>
      </w:r>
      <w:r w:rsidRPr="00A92058">
        <w:rPr>
          <w:rFonts w:ascii="Book Antiqua" w:eastAsia="宋体" w:hAnsi="Book Antiqua" w:cs="宋体"/>
          <w:lang w:val="en-US" w:eastAsia="zh-CN"/>
        </w:rPr>
        <w:t xml:space="preserve">, Arrighi HM, Hass S, Tian H, Sandborn WJ. Adverse events associated with common therapy regimens for moderate-to-severe Crohn's disease. </w:t>
      </w:r>
      <w:r w:rsidRPr="00A92058">
        <w:rPr>
          <w:rFonts w:ascii="Book Antiqua" w:eastAsia="宋体" w:hAnsi="Book Antiqua" w:cs="宋体"/>
          <w:i/>
          <w:iCs/>
          <w:lang w:val="en-US" w:eastAsia="zh-CN"/>
        </w:rPr>
        <w:t>Am J Gastroenterol</w:t>
      </w:r>
      <w:r w:rsidRPr="00A92058">
        <w:rPr>
          <w:rFonts w:ascii="Book Antiqua" w:eastAsia="宋体" w:hAnsi="Book Antiqua" w:cs="宋体"/>
          <w:lang w:val="en-US" w:eastAsia="zh-CN"/>
        </w:rPr>
        <w:t xml:space="preserve"> 2009; </w:t>
      </w:r>
      <w:r w:rsidRPr="00A92058">
        <w:rPr>
          <w:rFonts w:ascii="Book Antiqua" w:eastAsia="宋体" w:hAnsi="Book Antiqua" w:cs="宋体"/>
          <w:b/>
          <w:bCs/>
          <w:lang w:val="en-US" w:eastAsia="zh-CN"/>
        </w:rPr>
        <w:t>104</w:t>
      </w:r>
      <w:r w:rsidRPr="00A92058">
        <w:rPr>
          <w:rFonts w:ascii="Book Antiqua" w:eastAsia="宋体" w:hAnsi="Book Antiqua" w:cs="宋体"/>
          <w:lang w:val="en-US" w:eastAsia="zh-CN"/>
        </w:rPr>
        <w:t>: 2524-2533 [PMID: 195</w:t>
      </w:r>
      <w:r w:rsidR="00961613">
        <w:rPr>
          <w:rFonts w:ascii="Book Antiqua" w:eastAsia="宋体" w:hAnsi="Book Antiqua" w:cs="宋体"/>
          <w:lang w:val="en-US" w:eastAsia="zh-CN"/>
        </w:rPr>
        <w:t>32125 DOI: 10.1038/ajg.2009.322</w:t>
      </w:r>
      <w:r w:rsidRPr="00A92058">
        <w:rPr>
          <w:rFonts w:ascii="Book Antiqua" w:eastAsia="宋体" w:hAnsi="Book Antiqua" w:cs="宋体"/>
          <w:lang w:val="en-US" w:eastAsia="zh-CN"/>
        </w:rPr>
        <w:t>]</w:t>
      </w:r>
    </w:p>
    <w:p w14:paraId="3A41E474" w14:textId="6087F3D1"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 </w:t>
      </w:r>
      <w:r w:rsidRPr="00A92058">
        <w:rPr>
          <w:rFonts w:ascii="Book Antiqua" w:eastAsia="宋体" w:hAnsi="Book Antiqua" w:cs="宋体"/>
          <w:b/>
          <w:bCs/>
          <w:lang w:val="en-US" w:eastAsia="zh-CN"/>
        </w:rPr>
        <w:t>Cottone M</w:t>
      </w:r>
      <w:r w:rsidRPr="00A92058">
        <w:rPr>
          <w:rFonts w:ascii="Book Antiqua" w:eastAsia="宋体" w:hAnsi="Book Antiqua" w:cs="宋体"/>
          <w:lang w:val="en-US" w:eastAsia="zh-CN"/>
        </w:rPr>
        <w:t xml:space="preserve">, Kohn A, Daperno M, Armuzzi A, Guidi L, D'Inca R, Bossa F, Angelucci E, Biancone L, Gionchetti P, Ardizzone S, Papi C, Fries W, Danese S, Riegler G, Cappello M, Castiglione F, Annese V, Orlando A. Advanced age is an independent risk factor for severe infections and mortality in patients given anti-tumor necrosis factor therapy for inflammatory bowel disease.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9</w:t>
      </w:r>
      <w:r w:rsidRPr="00A92058">
        <w:rPr>
          <w:rFonts w:ascii="Book Antiqua" w:eastAsia="宋体" w:hAnsi="Book Antiqua" w:cs="宋体"/>
          <w:lang w:val="en-US" w:eastAsia="zh-CN"/>
        </w:rPr>
        <w:t>: 30-35 [PMID: 20951835</w:t>
      </w:r>
      <w:r w:rsidR="00961613">
        <w:rPr>
          <w:rFonts w:ascii="Book Antiqua" w:eastAsia="宋体" w:hAnsi="Book Antiqua" w:cs="宋体"/>
          <w:lang w:val="en-US" w:eastAsia="zh-CN"/>
        </w:rPr>
        <w:t xml:space="preserve"> DOI: 10.1016/j.cgh.2010.09.026</w:t>
      </w:r>
      <w:r w:rsidRPr="00A92058">
        <w:rPr>
          <w:rFonts w:ascii="Book Antiqua" w:eastAsia="宋体" w:hAnsi="Book Antiqua" w:cs="宋体"/>
          <w:lang w:val="en-US" w:eastAsia="zh-CN"/>
        </w:rPr>
        <w:t>]</w:t>
      </w:r>
    </w:p>
    <w:p w14:paraId="0CE61441" w14:textId="01829AF0"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 </w:t>
      </w:r>
      <w:r w:rsidRPr="00A92058">
        <w:rPr>
          <w:rFonts w:ascii="Book Antiqua" w:eastAsia="宋体" w:hAnsi="Book Antiqua" w:cs="宋体"/>
          <w:b/>
          <w:bCs/>
          <w:lang w:val="en-US" w:eastAsia="zh-CN"/>
        </w:rPr>
        <w:t>Toruner M</w:t>
      </w:r>
      <w:r w:rsidRPr="00A92058">
        <w:rPr>
          <w:rFonts w:ascii="Book Antiqua" w:eastAsia="宋体" w:hAnsi="Book Antiqua" w:cs="宋体"/>
          <w:lang w:val="en-US" w:eastAsia="zh-CN"/>
        </w:rPr>
        <w:t xml:space="preserve">, Loftus EV, Harmsen WS, Zinsmeister AR, Orenstein R, Sandborn WJ, Colombel JF, Egan LJ. Risk factors for opportunistic infections in patients with inflammatory bowel disease.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134</w:t>
      </w:r>
      <w:r w:rsidRPr="00A92058">
        <w:rPr>
          <w:rFonts w:ascii="Book Antiqua" w:eastAsia="宋体" w:hAnsi="Book Antiqua" w:cs="宋体"/>
          <w:lang w:val="en-US" w:eastAsia="zh-CN"/>
        </w:rPr>
        <w:t>: 929-936 [PMID: 18294633 DO</w:t>
      </w:r>
      <w:r w:rsidR="00961613">
        <w:rPr>
          <w:rFonts w:ascii="Book Antiqua" w:eastAsia="宋体" w:hAnsi="Book Antiqua" w:cs="宋体"/>
          <w:lang w:val="en-US" w:eastAsia="zh-CN"/>
        </w:rPr>
        <w:t>I: 10.1053/j.gastro.2008.01.012</w:t>
      </w:r>
      <w:r w:rsidRPr="00A92058">
        <w:rPr>
          <w:rFonts w:ascii="Book Antiqua" w:eastAsia="宋体" w:hAnsi="Book Antiqua" w:cs="宋体"/>
          <w:lang w:val="en-US" w:eastAsia="zh-CN"/>
        </w:rPr>
        <w:t>]</w:t>
      </w:r>
    </w:p>
    <w:p w14:paraId="71A3BA7B" w14:textId="332AFB84"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 </w:t>
      </w:r>
      <w:r w:rsidRPr="00A92058">
        <w:rPr>
          <w:rFonts w:ascii="Book Antiqua" w:eastAsia="宋体" w:hAnsi="Book Antiqua" w:cs="宋体"/>
          <w:b/>
          <w:bCs/>
          <w:lang w:val="en-US" w:eastAsia="zh-CN"/>
        </w:rPr>
        <w:t>Dignass A</w:t>
      </w:r>
      <w:r w:rsidRPr="00A92058">
        <w:rPr>
          <w:rFonts w:ascii="Book Antiqua" w:eastAsia="宋体" w:hAnsi="Book Antiqua" w:cs="宋体"/>
          <w:lang w:val="en-US" w:eastAsia="zh-CN"/>
        </w:rPr>
        <w:t xml:space="preserve">, Van Assche G, Lindsay JO, Lémann M, Söderholm J, Colombel JF, Danese S, D'Hoore A, Gassull M, Gomollón F, Hommes DW, Michetti P, O'Morain C, Oresland T, Windsor A, Stange EF, Travis SP. The second European evidence-based Consensus on the diagnosis and management of Crohn's disease: Current management.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2010; </w:t>
      </w:r>
      <w:r w:rsidRPr="00A92058">
        <w:rPr>
          <w:rFonts w:ascii="Book Antiqua" w:eastAsia="宋体" w:hAnsi="Book Antiqua" w:cs="宋体"/>
          <w:b/>
          <w:bCs/>
          <w:lang w:val="en-US" w:eastAsia="zh-CN"/>
        </w:rPr>
        <w:t>4</w:t>
      </w:r>
      <w:r w:rsidRPr="00A92058">
        <w:rPr>
          <w:rFonts w:ascii="Book Antiqua" w:eastAsia="宋体" w:hAnsi="Book Antiqua" w:cs="宋体"/>
          <w:lang w:val="en-US" w:eastAsia="zh-CN"/>
        </w:rPr>
        <w:t>: 28-62 [PMID: 21122489 DOI: 10.1016/j.</w:t>
      </w:r>
      <w:r w:rsidR="00961613">
        <w:rPr>
          <w:rFonts w:ascii="Book Antiqua" w:eastAsia="宋体" w:hAnsi="Book Antiqua" w:cs="宋体"/>
          <w:lang w:val="en-US" w:eastAsia="zh-CN"/>
        </w:rPr>
        <w:t>crohns.2009.12.002</w:t>
      </w:r>
      <w:r w:rsidRPr="00A92058">
        <w:rPr>
          <w:rFonts w:ascii="Book Antiqua" w:eastAsia="宋体" w:hAnsi="Book Antiqua" w:cs="宋体"/>
          <w:lang w:val="en-US" w:eastAsia="zh-CN"/>
        </w:rPr>
        <w:t>]</w:t>
      </w:r>
    </w:p>
    <w:p w14:paraId="3135FBB8" w14:textId="76B6EE7E"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lastRenderedPageBreak/>
        <w:t xml:space="preserve">9 </w:t>
      </w:r>
      <w:r w:rsidRPr="00A92058">
        <w:rPr>
          <w:rFonts w:ascii="Book Antiqua" w:eastAsia="宋体" w:hAnsi="Book Antiqua" w:cs="宋体"/>
          <w:b/>
          <w:bCs/>
          <w:lang w:val="en-US" w:eastAsia="zh-CN"/>
        </w:rPr>
        <w:t>Dignass A</w:t>
      </w:r>
      <w:r w:rsidRPr="00A92058">
        <w:rPr>
          <w:rFonts w:ascii="Book Antiqua" w:eastAsia="宋体" w:hAnsi="Book Antiqua" w:cs="宋体"/>
          <w:lang w:val="en-US" w:eastAsia="zh-CN"/>
        </w:rPr>
        <w:t xml:space="preserve">,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6</w:t>
      </w:r>
      <w:r w:rsidRPr="00A92058">
        <w:rPr>
          <w:rFonts w:ascii="Book Antiqua" w:eastAsia="宋体" w:hAnsi="Book Antiqua" w:cs="宋体"/>
          <w:lang w:val="en-US" w:eastAsia="zh-CN"/>
        </w:rPr>
        <w:t>: 991-1030 [PMID: 23040451 DO</w:t>
      </w:r>
      <w:r w:rsidR="00961613">
        <w:rPr>
          <w:rFonts w:ascii="Book Antiqua" w:eastAsia="宋体" w:hAnsi="Book Antiqua" w:cs="宋体"/>
          <w:lang w:val="en-US" w:eastAsia="zh-CN"/>
        </w:rPr>
        <w:t>I: 10.1016/j.crohns.2012.09.002</w:t>
      </w:r>
      <w:r w:rsidRPr="00A92058">
        <w:rPr>
          <w:rFonts w:ascii="Book Antiqua" w:eastAsia="宋体" w:hAnsi="Book Antiqua" w:cs="宋体"/>
          <w:lang w:val="en-US" w:eastAsia="zh-CN"/>
        </w:rPr>
        <w:t>]</w:t>
      </w:r>
    </w:p>
    <w:p w14:paraId="7F067F35"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10 </w:t>
      </w:r>
      <w:r w:rsidRPr="00A92058">
        <w:rPr>
          <w:rFonts w:ascii="Book Antiqua" w:eastAsia="宋体" w:hAnsi="Book Antiqua" w:cs="宋体"/>
          <w:b/>
          <w:bCs/>
          <w:lang w:val="en-US" w:eastAsia="zh-CN"/>
        </w:rPr>
        <w:t>Mary JY</w:t>
      </w:r>
      <w:r w:rsidRPr="00A92058">
        <w:rPr>
          <w:rFonts w:ascii="Book Antiqua" w:eastAsia="宋体" w:hAnsi="Book Antiqua" w:cs="宋体"/>
          <w:lang w:val="en-US" w:eastAsia="zh-CN"/>
        </w:rPr>
        <w:t xml:space="preserve">, Modigliani R. Development and validation of an endoscopic index of the severity for Crohn's disease: a prospective multicentre study. </w:t>
      </w:r>
      <w:proofErr w:type="gramStart"/>
      <w:r w:rsidRPr="00A92058">
        <w:rPr>
          <w:rFonts w:ascii="Book Antiqua" w:eastAsia="宋体" w:hAnsi="Book Antiqua" w:cs="宋体"/>
          <w:lang w:val="en-US" w:eastAsia="zh-CN"/>
        </w:rPr>
        <w:t>Groupe d'Etudes Thérapeutiques des Affections Inflammatoires du Tube Digestif (GETAID).</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1989; </w:t>
      </w:r>
      <w:r w:rsidRPr="00A92058">
        <w:rPr>
          <w:rFonts w:ascii="Book Antiqua" w:eastAsia="宋体" w:hAnsi="Book Antiqua" w:cs="宋体"/>
          <w:b/>
          <w:bCs/>
          <w:lang w:val="en-US" w:eastAsia="zh-CN"/>
        </w:rPr>
        <w:t>30</w:t>
      </w:r>
      <w:r w:rsidRPr="00A92058">
        <w:rPr>
          <w:rFonts w:ascii="Book Antiqua" w:eastAsia="宋体" w:hAnsi="Book Antiqua" w:cs="宋体"/>
          <w:lang w:val="en-US" w:eastAsia="zh-CN"/>
        </w:rPr>
        <w:t>: 983-989 [PMID: 2668130 DOI: 10.1136/gut.30.7.983]</w:t>
      </w:r>
    </w:p>
    <w:p w14:paraId="374B0B64" w14:textId="2D877C30"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11 </w:t>
      </w:r>
      <w:r w:rsidRPr="00A92058">
        <w:rPr>
          <w:rFonts w:ascii="Book Antiqua" w:eastAsia="宋体" w:hAnsi="Book Antiqua" w:cs="宋体"/>
          <w:b/>
          <w:bCs/>
          <w:lang w:val="en-US" w:eastAsia="zh-CN"/>
        </w:rPr>
        <w:t>Daperno M</w:t>
      </w:r>
      <w:r w:rsidRPr="00A92058">
        <w:rPr>
          <w:rFonts w:ascii="Book Antiqua" w:eastAsia="宋体" w:hAnsi="Book Antiqua" w:cs="宋体"/>
          <w:lang w:val="en-US" w:eastAsia="zh-CN"/>
        </w:rPr>
        <w:t xml:space="preserve">, D'Haens G, Van Assche G, Baert F, Bulois P, Maunoury V, Sostegni R, Rocca R, Pera A, Gevers A, Mary JY, Colombel JF, Rutgeerts P. Development and validation of a new, simplified endoscopic activity score for Crohn's disease: the SES-CD. </w:t>
      </w:r>
      <w:r w:rsidRPr="00A92058">
        <w:rPr>
          <w:rFonts w:ascii="Book Antiqua" w:eastAsia="宋体" w:hAnsi="Book Antiqua" w:cs="宋体"/>
          <w:i/>
          <w:iCs/>
          <w:lang w:val="en-US" w:eastAsia="zh-CN"/>
        </w:rPr>
        <w:t>Gastrointest Endosc</w:t>
      </w:r>
      <w:r w:rsidRPr="00A92058">
        <w:rPr>
          <w:rFonts w:ascii="Book Antiqua" w:eastAsia="宋体" w:hAnsi="Book Antiqua" w:cs="宋体"/>
          <w:lang w:val="en-US" w:eastAsia="zh-CN"/>
        </w:rPr>
        <w:t xml:space="preserve"> 2004; </w:t>
      </w:r>
      <w:r w:rsidRPr="00A92058">
        <w:rPr>
          <w:rFonts w:ascii="Book Antiqua" w:eastAsia="宋体" w:hAnsi="Book Antiqua" w:cs="宋体"/>
          <w:b/>
          <w:bCs/>
          <w:lang w:val="en-US" w:eastAsia="zh-CN"/>
        </w:rPr>
        <w:t>60</w:t>
      </w:r>
      <w:r w:rsidRPr="00A92058">
        <w:rPr>
          <w:rFonts w:ascii="Book Antiqua" w:eastAsia="宋体" w:hAnsi="Book Antiqua" w:cs="宋体"/>
          <w:lang w:val="en-US" w:eastAsia="zh-CN"/>
        </w:rPr>
        <w:t xml:space="preserve">: 505-512 [PMID: 15472670 DOI: </w:t>
      </w:r>
      <w:r w:rsidR="00765262">
        <w:rPr>
          <w:rFonts w:ascii="Book Antiqua" w:eastAsia="宋体" w:hAnsi="Book Antiqua" w:cs="宋体" w:hint="eastAsia"/>
          <w:lang w:val="en-US" w:eastAsia="zh-CN"/>
        </w:rPr>
        <w:t>1</w:t>
      </w:r>
      <w:r w:rsidRPr="00A92058">
        <w:rPr>
          <w:rFonts w:ascii="Book Antiqua" w:eastAsia="宋体" w:hAnsi="Book Antiqua" w:cs="宋体"/>
          <w:lang w:val="en-US" w:eastAsia="zh-CN"/>
        </w:rPr>
        <w:t>0.1016/S0016-5107(04)01878-4]</w:t>
      </w:r>
    </w:p>
    <w:p w14:paraId="5500CDF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12 </w:t>
      </w:r>
      <w:r w:rsidRPr="00A92058">
        <w:rPr>
          <w:rFonts w:ascii="Book Antiqua" w:eastAsia="宋体" w:hAnsi="Book Antiqua" w:cs="宋体"/>
          <w:b/>
          <w:bCs/>
          <w:lang w:val="en-US" w:eastAsia="zh-CN"/>
        </w:rPr>
        <w:t>Rutgeerts P</w:t>
      </w:r>
      <w:r w:rsidRPr="00A92058">
        <w:rPr>
          <w:rFonts w:ascii="Book Antiqua" w:eastAsia="宋体" w:hAnsi="Book Antiqua" w:cs="宋体"/>
          <w:lang w:val="en-US" w:eastAsia="zh-CN"/>
        </w:rPr>
        <w:t xml:space="preserve">, Geboes K, Vantrappen G, Beyls J, Kerremans R, Hiele M. Predictability of the postoperative course of Crohn's disease.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1990; </w:t>
      </w:r>
      <w:r w:rsidRPr="00A92058">
        <w:rPr>
          <w:rFonts w:ascii="Book Antiqua" w:eastAsia="宋体" w:hAnsi="Book Antiqua" w:cs="宋体"/>
          <w:b/>
          <w:bCs/>
          <w:lang w:val="en-US" w:eastAsia="zh-CN"/>
        </w:rPr>
        <w:t>99</w:t>
      </w:r>
      <w:r w:rsidRPr="00A92058">
        <w:rPr>
          <w:rFonts w:ascii="Book Antiqua" w:eastAsia="宋体" w:hAnsi="Book Antiqua" w:cs="宋体"/>
          <w:lang w:val="en-US" w:eastAsia="zh-CN"/>
        </w:rPr>
        <w:t>: 956-963 [PMID: 2394349]</w:t>
      </w:r>
    </w:p>
    <w:p w14:paraId="1AEAB0B6" w14:textId="2A0A5AE4"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13 </w:t>
      </w:r>
      <w:proofErr w:type="gramStart"/>
      <w:r w:rsidRPr="00A92058">
        <w:rPr>
          <w:rFonts w:ascii="Book Antiqua" w:eastAsia="宋体" w:hAnsi="Book Antiqua" w:cs="宋体"/>
          <w:b/>
          <w:bCs/>
          <w:lang w:val="en-US" w:eastAsia="zh-CN"/>
        </w:rPr>
        <w:t>T</w:t>
      </w:r>
      <w:r w:rsidR="00961613" w:rsidRPr="00A92058">
        <w:rPr>
          <w:rFonts w:ascii="Book Antiqua" w:eastAsia="宋体" w:hAnsi="Book Antiqua" w:cs="宋体"/>
          <w:b/>
          <w:bCs/>
          <w:lang w:val="en-US" w:eastAsia="zh-CN"/>
        </w:rPr>
        <w:t>ruelove</w:t>
      </w:r>
      <w:proofErr w:type="gramEnd"/>
      <w:r w:rsidRPr="00A92058">
        <w:rPr>
          <w:rFonts w:ascii="Book Antiqua" w:eastAsia="宋体" w:hAnsi="Book Antiqua" w:cs="宋体"/>
          <w:b/>
          <w:bCs/>
          <w:lang w:val="en-US" w:eastAsia="zh-CN"/>
        </w:rPr>
        <w:t xml:space="preserve"> SC</w:t>
      </w:r>
      <w:r w:rsidRPr="00A92058">
        <w:rPr>
          <w:rFonts w:ascii="Book Antiqua" w:eastAsia="宋体" w:hAnsi="Book Antiqua" w:cs="宋体"/>
          <w:lang w:val="en-US" w:eastAsia="zh-CN"/>
        </w:rPr>
        <w:t>, W</w:t>
      </w:r>
      <w:r w:rsidR="00961613" w:rsidRPr="00A92058">
        <w:rPr>
          <w:rFonts w:ascii="Book Antiqua" w:eastAsia="宋体" w:hAnsi="Book Antiqua" w:cs="宋体"/>
          <w:lang w:val="en-US" w:eastAsia="zh-CN"/>
        </w:rPr>
        <w:t>itts</w:t>
      </w:r>
      <w:r w:rsidRPr="00A92058">
        <w:rPr>
          <w:rFonts w:ascii="Book Antiqua" w:eastAsia="宋体" w:hAnsi="Book Antiqua" w:cs="宋体"/>
          <w:lang w:val="en-US" w:eastAsia="zh-CN"/>
        </w:rPr>
        <w:t xml:space="preserve"> LJ. </w:t>
      </w:r>
      <w:proofErr w:type="gramStart"/>
      <w:r w:rsidRPr="00A92058">
        <w:rPr>
          <w:rFonts w:ascii="Book Antiqua" w:eastAsia="宋体" w:hAnsi="Book Antiqua" w:cs="宋体"/>
          <w:lang w:val="en-US" w:eastAsia="zh-CN"/>
        </w:rPr>
        <w:t>Cortisone in ulcerative colitis; final report on a therapeutic trial.</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Br Med J</w:t>
      </w:r>
      <w:r w:rsidRPr="00A92058">
        <w:rPr>
          <w:rFonts w:ascii="Book Antiqua" w:eastAsia="宋体" w:hAnsi="Book Antiqua" w:cs="宋体"/>
          <w:lang w:val="en-US" w:eastAsia="zh-CN"/>
        </w:rPr>
        <w:t xml:space="preserve"> 1955; </w:t>
      </w:r>
      <w:r w:rsidRPr="00A92058">
        <w:rPr>
          <w:rFonts w:ascii="Book Antiqua" w:eastAsia="宋体" w:hAnsi="Book Antiqua" w:cs="宋体"/>
          <w:b/>
          <w:bCs/>
          <w:lang w:val="en-US" w:eastAsia="zh-CN"/>
        </w:rPr>
        <w:t>2</w:t>
      </w:r>
      <w:r w:rsidRPr="00A92058">
        <w:rPr>
          <w:rFonts w:ascii="Book Antiqua" w:eastAsia="宋体" w:hAnsi="Book Antiqua" w:cs="宋体"/>
          <w:lang w:val="en-US" w:eastAsia="zh-CN"/>
        </w:rPr>
        <w:t>: 1041-1048 [PMID: 13260656 DOI: 10.1159/000199983]</w:t>
      </w:r>
    </w:p>
    <w:p w14:paraId="3889F522" w14:textId="72E5613F"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14 </w:t>
      </w:r>
      <w:r w:rsidRPr="00A92058">
        <w:rPr>
          <w:rFonts w:ascii="Book Antiqua" w:eastAsia="宋体" w:hAnsi="Book Antiqua" w:cs="宋体"/>
          <w:b/>
          <w:bCs/>
          <w:lang w:val="en-US" w:eastAsia="zh-CN"/>
        </w:rPr>
        <w:t>B</w:t>
      </w:r>
      <w:r w:rsidR="00961613" w:rsidRPr="00A92058">
        <w:rPr>
          <w:rFonts w:ascii="Book Antiqua" w:eastAsia="宋体" w:hAnsi="Book Antiqua" w:cs="宋体"/>
          <w:b/>
          <w:bCs/>
          <w:lang w:val="en-US" w:eastAsia="zh-CN"/>
        </w:rPr>
        <w:t>aron</w:t>
      </w:r>
      <w:r w:rsidRPr="00A92058">
        <w:rPr>
          <w:rFonts w:ascii="Book Antiqua" w:eastAsia="宋体" w:hAnsi="Book Antiqua" w:cs="宋体"/>
          <w:b/>
          <w:bCs/>
          <w:lang w:val="en-US" w:eastAsia="zh-CN"/>
        </w:rPr>
        <w:t xml:space="preserve"> JH</w:t>
      </w:r>
      <w:r w:rsidRPr="00A92058">
        <w:rPr>
          <w:rFonts w:ascii="Book Antiqua" w:eastAsia="宋体" w:hAnsi="Book Antiqua" w:cs="宋体"/>
          <w:lang w:val="en-US" w:eastAsia="zh-CN"/>
        </w:rPr>
        <w:t>, C</w:t>
      </w:r>
      <w:r w:rsidR="00961613" w:rsidRPr="00A92058">
        <w:rPr>
          <w:rFonts w:ascii="Book Antiqua" w:eastAsia="宋体" w:hAnsi="Book Antiqua" w:cs="宋体"/>
          <w:lang w:val="en-US" w:eastAsia="zh-CN"/>
        </w:rPr>
        <w:t xml:space="preserve">onnell </w:t>
      </w:r>
      <w:r w:rsidRPr="00A92058">
        <w:rPr>
          <w:rFonts w:ascii="Book Antiqua" w:eastAsia="宋体" w:hAnsi="Book Antiqua" w:cs="宋体"/>
          <w:lang w:val="en-US" w:eastAsia="zh-CN"/>
        </w:rPr>
        <w:t xml:space="preserve">AM, </w:t>
      </w:r>
      <w:r w:rsidR="00961613" w:rsidRPr="00A92058">
        <w:rPr>
          <w:rFonts w:ascii="Book Antiqua" w:eastAsia="宋体" w:hAnsi="Book Antiqua" w:cs="宋体"/>
          <w:lang w:val="en-US" w:eastAsia="zh-CN"/>
        </w:rPr>
        <w:t>Lennard-Jones</w:t>
      </w:r>
      <w:r w:rsidRPr="00A92058">
        <w:rPr>
          <w:rFonts w:ascii="Book Antiqua" w:eastAsia="宋体" w:hAnsi="Book Antiqua" w:cs="宋体"/>
          <w:lang w:val="en-US" w:eastAsia="zh-CN"/>
        </w:rPr>
        <w:t xml:space="preserve"> JE. </w:t>
      </w:r>
      <w:proofErr w:type="gramStart"/>
      <w:r w:rsidRPr="00A92058">
        <w:rPr>
          <w:rFonts w:ascii="Book Antiqua" w:eastAsia="宋体" w:hAnsi="Book Antiqua" w:cs="宋体"/>
          <w:lang w:val="en-US" w:eastAsia="zh-CN"/>
        </w:rPr>
        <w:t>V</w:t>
      </w:r>
      <w:r w:rsidR="00961613" w:rsidRPr="00A92058">
        <w:rPr>
          <w:rFonts w:ascii="Book Antiqua" w:eastAsia="宋体" w:hAnsi="Book Antiqua" w:cs="宋体"/>
          <w:lang w:val="en-US" w:eastAsia="zh-CN"/>
        </w:rPr>
        <w:t>ariation between observers in describing mucosal appearances in proctocolitis</w:t>
      </w:r>
      <w:r w:rsidRPr="00A92058">
        <w:rPr>
          <w:rFonts w:ascii="Book Antiqua" w:eastAsia="宋体" w:hAnsi="Book Antiqua" w:cs="宋体"/>
          <w:lang w:val="en-US" w:eastAsia="zh-CN"/>
        </w:rPr>
        <w:t>.</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Br Med J</w:t>
      </w:r>
      <w:r w:rsidRPr="00A92058">
        <w:rPr>
          <w:rFonts w:ascii="Book Antiqua" w:eastAsia="宋体" w:hAnsi="Book Antiqua" w:cs="宋体"/>
          <w:lang w:val="en-US" w:eastAsia="zh-CN"/>
        </w:rPr>
        <w:t xml:space="preserve"> 1964; </w:t>
      </w:r>
      <w:r w:rsidRPr="00A92058">
        <w:rPr>
          <w:rFonts w:ascii="Book Antiqua" w:eastAsia="宋体" w:hAnsi="Book Antiqua" w:cs="宋体"/>
          <w:b/>
          <w:bCs/>
          <w:lang w:val="en-US" w:eastAsia="zh-CN"/>
        </w:rPr>
        <w:t>1</w:t>
      </w:r>
      <w:r w:rsidRPr="00A92058">
        <w:rPr>
          <w:rFonts w:ascii="Book Antiqua" w:eastAsia="宋体" w:hAnsi="Book Antiqua" w:cs="宋体"/>
          <w:lang w:val="en-US" w:eastAsia="zh-CN"/>
        </w:rPr>
        <w:t>: 89-92 [PMID: 14075156 DOI: 10.1136/bmj.1.5375.8]</w:t>
      </w:r>
    </w:p>
    <w:p w14:paraId="1F8DE9FA"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15 </w:t>
      </w:r>
      <w:r w:rsidRPr="00A92058">
        <w:rPr>
          <w:rFonts w:ascii="Book Antiqua" w:eastAsia="宋体" w:hAnsi="Book Antiqua" w:cs="宋体"/>
          <w:b/>
          <w:bCs/>
          <w:lang w:val="en-US" w:eastAsia="zh-CN"/>
        </w:rPr>
        <w:t>Sutherland LR</w:t>
      </w:r>
      <w:r w:rsidRPr="00A92058">
        <w:rPr>
          <w:rFonts w:ascii="Book Antiqua" w:eastAsia="宋体" w:hAnsi="Book Antiqua" w:cs="宋体"/>
          <w:lang w:val="en-US" w:eastAsia="zh-CN"/>
        </w:rPr>
        <w:t xml:space="preserve">, Martin F, Greer S, Robinson M, Greenberger N, Saibil F, Martin T, Sparr J, Prokipchuk E, Borgen L. 5-Aminosalicylic acid enema in the treatment of distal ulcerative colitis, proctosigmoiditis, and proctitis.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1987; </w:t>
      </w:r>
      <w:r w:rsidRPr="00A92058">
        <w:rPr>
          <w:rFonts w:ascii="Book Antiqua" w:eastAsia="宋体" w:hAnsi="Book Antiqua" w:cs="宋体"/>
          <w:b/>
          <w:bCs/>
          <w:lang w:val="en-US" w:eastAsia="zh-CN"/>
        </w:rPr>
        <w:t>92</w:t>
      </w:r>
      <w:r w:rsidRPr="00A92058">
        <w:rPr>
          <w:rFonts w:ascii="Book Antiqua" w:eastAsia="宋体" w:hAnsi="Book Antiqua" w:cs="宋体"/>
          <w:lang w:val="en-US" w:eastAsia="zh-CN"/>
        </w:rPr>
        <w:t>: 1894-1898 [PMID: 3569765 DOI: 10.1007/BF01312466]</w:t>
      </w:r>
    </w:p>
    <w:p w14:paraId="2255E062" w14:textId="77777777" w:rsidR="00A92058" w:rsidRPr="00A92058" w:rsidRDefault="00A92058" w:rsidP="00A92058">
      <w:pPr>
        <w:spacing w:line="360" w:lineRule="auto"/>
        <w:jc w:val="both"/>
        <w:rPr>
          <w:rFonts w:ascii="Book Antiqua" w:eastAsia="宋体" w:hAnsi="Book Antiqua" w:cs="宋体"/>
          <w:lang w:val="en-US" w:eastAsia="zh-CN"/>
        </w:rPr>
      </w:pPr>
      <w:proofErr w:type="gramStart"/>
      <w:r w:rsidRPr="00A92058">
        <w:rPr>
          <w:rFonts w:ascii="Book Antiqua" w:eastAsia="宋体" w:hAnsi="Book Antiqua" w:cs="宋体"/>
          <w:lang w:val="en-US" w:eastAsia="zh-CN"/>
        </w:rPr>
        <w:t xml:space="preserve">16 </w:t>
      </w:r>
      <w:r w:rsidRPr="00A92058">
        <w:rPr>
          <w:rFonts w:ascii="Book Antiqua" w:eastAsia="宋体" w:hAnsi="Book Antiqua" w:cs="宋体"/>
          <w:b/>
          <w:bCs/>
          <w:lang w:val="en-US" w:eastAsia="zh-CN"/>
        </w:rPr>
        <w:t>Powell-Tuck J</w:t>
      </w:r>
      <w:r w:rsidRPr="00A92058">
        <w:rPr>
          <w:rFonts w:ascii="Book Antiqua" w:eastAsia="宋体" w:hAnsi="Book Antiqua" w:cs="宋体"/>
          <w:lang w:val="en-US" w:eastAsia="zh-CN"/>
        </w:rPr>
        <w:t>, Bown RL, Lennard-Jones JE.</w:t>
      </w:r>
      <w:proofErr w:type="gramEnd"/>
      <w:r w:rsidRPr="00A92058">
        <w:rPr>
          <w:rFonts w:ascii="Book Antiqua" w:eastAsia="宋体" w:hAnsi="Book Antiqua" w:cs="宋体"/>
          <w:lang w:val="en-US" w:eastAsia="zh-CN"/>
        </w:rPr>
        <w:t xml:space="preserve"> </w:t>
      </w:r>
      <w:proofErr w:type="gramStart"/>
      <w:r w:rsidRPr="00A92058">
        <w:rPr>
          <w:rFonts w:ascii="Book Antiqua" w:eastAsia="宋体" w:hAnsi="Book Antiqua" w:cs="宋体"/>
          <w:lang w:val="en-US" w:eastAsia="zh-CN"/>
        </w:rPr>
        <w:t>A comparison of oral prednisolone given as single or multiple daily doses for active proctocolitis.</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Scand J Gastroenterol</w:t>
      </w:r>
      <w:r w:rsidRPr="00A92058">
        <w:rPr>
          <w:rFonts w:ascii="Book Antiqua" w:eastAsia="宋体" w:hAnsi="Book Antiqua" w:cs="宋体"/>
          <w:lang w:val="en-US" w:eastAsia="zh-CN"/>
        </w:rPr>
        <w:t xml:space="preserve"> 1978; </w:t>
      </w:r>
      <w:r w:rsidRPr="00A92058">
        <w:rPr>
          <w:rFonts w:ascii="Book Antiqua" w:eastAsia="宋体" w:hAnsi="Book Antiqua" w:cs="宋体"/>
          <w:b/>
          <w:bCs/>
          <w:lang w:val="en-US" w:eastAsia="zh-CN"/>
        </w:rPr>
        <w:t>13</w:t>
      </w:r>
      <w:r w:rsidRPr="00A92058">
        <w:rPr>
          <w:rFonts w:ascii="Book Antiqua" w:eastAsia="宋体" w:hAnsi="Book Antiqua" w:cs="宋体"/>
          <w:lang w:val="en-US" w:eastAsia="zh-CN"/>
        </w:rPr>
        <w:t>: 833-837 [PMID: 364626]</w:t>
      </w:r>
    </w:p>
    <w:p w14:paraId="538DCACB"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17 </w:t>
      </w:r>
      <w:r w:rsidRPr="00A92058">
        <w:rPr>
          <w:rFonts w:ascii="Book Antiqua" w:eastAsia="宋体" w:hAnsi="Book Antiqua" w:cs="宋体"/>
          <w:b/>
          <w:bCs/>
          <w:lang w:val="en-US" w:eastAsia="zh-CN"/>
        </w:rPr>
        <w:t>Rachmilewitz D</w:t>
      </w:r>
      <w:r w:rsidRPr="00A92058">
        <w:rPr>
          <w:rFonts w:ascii="Book Antiqua" w:eastAsia="宋体" w:hAnsi="Book Antiqua" w:cs="宋体"/>
          <w:lang w:val="en-US" w:eastAsia="zh-CN"/>
        </w:rPr>
        <w:t xml:space="preserve">. Coated mesalazine (5-aminosalicylic acid) versus sulphasalazine in the treatment of active ulcerative colitis: a randomised trial. </w:t>
      </w:r>
      <w:r w:rsidRPr="00A92058">
        <w:rPr>
          <w:rFonts w:ascii="Book Antiqua" w:eastAsia="宋体" w:hAnsi="Book Antiqua" w:cs="宋体"/>
          <w:i/>
          <w:iCs/>
          <w:lang w:val="en-US" w:eastAsia="zh-CN"/>
        </w:rPr>
        <w:t>BMJ</w:t>
      </w:r>
      <w:r w:rsidRPr="00A92058">
        <w:rPr>
          <w:rFonts w:ascii="Book Antiqua" w:eastAsia="宋体" w:hAnsi="Book Antiqua" w:cs="宋体"/>
          <w:lang w:val="en-US" w:eastAsia="zh-CN"/>
        </w:rPr>
        <w:t xml:space="preserve"> 1989; </w:t>
      </w:r>
      <w:r w:rsidRPr="00A92058">
        <w:rPr>
          <w:rFonts w:ascii="Book Antiqua" w:eastAsia="宋体" w:hAnsi="Book Antiqua" w:cs="宋体"/>
          <w:b/>
          <w:bCs/>
          <w:lang w:val="en-US" w:eastAsia="zh-CN"/>
        </w:rPr>
        <w:t>298</w:t>
      </w:r>
      <w:r w:rsidRPr="00A92058">
        <w:rPr>
          <w:rFonts w:ascii="Book Antiqua" w:eastAsia="宋体" w:hAnsi="Book Antiqua" w:cs="宋体"/>
          <w:lang w:val="en-US" w:eastAsia="zh-CN"/>
        </w:rPr>
        <w:t>: 82-86 [PMID: 2563951 DOI: 10.1136/bmj.298.6666.82]</w:t>
      </w:r>
    </w:p>
    <w:p w14:paraId="01A9BA9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lastRenderedPageBreak/>
        <w:t xml:space="preserve">18 </w:t>
      </w:r>
      <w:r w:rsidRPr="00A92058">
        <w:rPr>
          <w:rFonts w:ascii="Book Antiqua" w:eastAsia="宋体" w:hAnsi="Book Antiqua" w:cs="宋体"/>
          <w:b/>
          <w:bCs/>
          <w:lang w:val="en-US" w:eastAsia="zh-CN"/>
        </w:rPr>
        <w:t>Schroeder KW</w:t>
      </w:r>
      <w:r w:rsidRPr="00A92058">
        <w:rPr>
          <w:rFonts w:ascii="Book Antiqua" w:eastAsia="宋体" w:hAnsi="Book Antiqua" w:cs="宋体"/>
          <w:lang w:val="en-US" w:eastAsia="zh-CN"/>
        </w:rPr>
        <w:t xml:space="preserve">, Tremaine WJ, Ilstrup DM. Coated oral 5-aminosalicylic acid therapy for mildly to moderately active ulcerative colitis. </w:t>
      </w:r>
      <w:proofErr w:type="gramStart"/>
      <w:r w:rsidRPr="00A92058">
        <w:rPr>
          <w:rFonts w:ascii="Book Antiqua" w:eastAsia="宋体" w:hAnsi="Book Antiqua" w:cs="宋体"/>
          <w:lang w:val="en-US" w:eastAsia="zh-CN"/>
        </w:rPr>
        <w:t>A randomized study.</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N Engl J Med</w:t>
      </w:r>
      <w:r w:rsidRPr="00A92058">
        <w:rPr>
          <w:rFonts w:ascii="Book Antiqua" w:eastAsia="宋体" w:hAnsi="Book Antiqua" w:cs="宋体"/>
          <w:lang w:val="en-US" w:eastAsia="zh-CN"/>
        </w:rPr>
        <w:t xml:space="preserve"> 1987; </w:t>
      </w:r>
      <w:r w:rsidRPr="00A92058">
        <w:rPr>
          <w:rFonts w:ascii="Book Antiqua" w:eastAsia="宋体" w:hAnsi="Book Antiqua" w:cs="宋体"/>
          <w:b/>
          <w:bCs/>
          <w:lang w:val="en-US" w:eastAsia="zh-CN"/>
        </w:rPr>
        <w:t>317</w:t>
      </w:r>
      <w:r w:rsidRPr="00A92058">
        <w:rPr>
          <w:rFonts w:ascii="Book Antiqua" w:eastAsia="宋体" w:hAnsi="Book Antiqua" w:cs="宋体"/>
          <w:lang w:val="en-US" w:eastAsia="zh-CN"/>
        </w:rPr>
        <w:t>: 1625-1629 [PMID: 3317057 DOI: 10.1056/NEJM198712243172603]</w:t>
      </w:r>
    </w:p>
    <w:p w14:paraId="67691650"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19 </w:t>
      </w:r>
      <w:r w:rsidRPr="00A92058">
        <w:rPr>
          <w:rFonts w:ascii="Book Antiqua" w:eastAsia="宋体" w:hAnsi="Book Antiqua" w:cs="宋体"/>
          <w:b/>
          <w:bCs/>
          <w:lang w:val="en-US" w:eastAsia="zh-CN"/>
        </w:rPr>
        <w:t>Travis SP</w:t>
      </w:r>
      <w:r w:rsidRPr="00A92058">
        <w:rPr>
          <w:rFonts w:ascii="Book Antiqua" w:eastAsia="宋体" w:hAnsi="Book Antiqua" w:cs="宋体"/>
          <w:lang w:val="en-US" w:eastAsia="zh-CN"/>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61</w:t>
      </w:r>
      <w:r w:rsidRPr="00A92058">
        <w:rPr>
          <w:rFonts w:ascii="Book Antiqua" w:eastAsia="宋体" w:hAnsi="Book Antiqua" w:cs="宋体"/>
          <w:lang w:val="en-US" w:eastAsia="zh-CN"/>
        </w:rPr>
        <w:t>: 535-542 [PMID: 21997563 DOI: 10.1136/gutjnl-2011-300486]</w:t>
      </w:r>
    </w:p>
    <w:p w14:paraId="4589EFE0"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20 </w:t>
      </w:r>
      <w:r w:rsidRPr="00A92058">
        <w:rPr>
          <w:rFonts w:ascii="Book Antiqua" w:eastAsia="宋体" w:hAnsi="Book Antiqua" w:cs="宋体"/>
          <w:b/>
          <w:bCs/>
          <w:lang w:val="en-US" w:eastAsia="zh-CN"/>
        </w:rPr>
        <w:t>Samuel S</w:t>
      </w:r>
      <w:r w:rsidRPr="00A92058">
        <w:rPr>
          <w:rFonts w:ascii="Book Antiqua" w:eastAsia="宋体" w:hAnsi="Book Antiqua" w:cs="宋体"/>
          <w:lang w:val="en-US" w:eastAsia="zh-CN"/>
        </w:rPr>
        <w:t xml:space="preserve">, Bruining DH, Loftus EV, Thia KT, Schroeder KW, Tremaine WJ, Faubion WA, Kane SV, Pardi DS, de Groen PC, Harmsen WS, Zinsmeister AR, Sandborn WJ. </w:t>
      </w:r>
      <w:proofErr w:type="gramStart"/>
      <w:r w:rsidRPr="00A92058">
        <w:rPr>
          <w:rFonts w:ascii="Book Antiqua" w:eastAsia="宋体" w:hAnsi="Book Antiqua" w:cs="宋体"/>
          <w:lang w:val="en-US" w:eastAsia="zh-CN"/>
        </w:rPr>
        <w:t>Validation of the ulcerative colitis colonoscopic index of severity and its correlation with disease activity measures.</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11</w:t>
      </w:r>
      <w:r w:rsidRPr="00A92058">
        <w:rPr>
          <w:rFonts w:ascii="Book Antiqua" w:eastAsia="宋体" w:hAnsi="Book Antiqua" w:cs="宋体"/>
          <w:lang w:val="en-US" w:eastAsia="zh-CN"/>
        </w:rPr>
        <w:t>: 49-54.e1 [PMID: 22902762 DOI: 10.1016/j.cgh.2012.08.003]</w:t>
      </w:r>
    </w:p>
    <w:p w14:paraId="57C4507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21 </w:t>
      </w:r>
      <w:r w:rsidRPr="00A92058">
        <w:rPr>
          <w:rFonts w:ascii="Book Antiqua" w:eastAsia="宋体" w:hAnsi="Book Antiqua" w:cs="宋体"/>
          <w:b/>
          <w:bCs/>
          <w:lang w:val="en-US" w:eastAsia="zh-CN"/>
        </w:rPr>
        <w:t>Lobatón T</w:t>
      </w:r>
      <w:r w:rsidRPr="00A92058">
        <w:rPr>
          <w:rFonts w:ascii="Book Antiqua" w:eastAsia="宋体" w:hAnsi="Book Antiqua" w:cs="宋体"/>
          <w:lang w:val="en-US" w:eastAsia="zh-CN"/>
        </w:rPr>
        <w:t xml:space="preserve">, Bessissow T, De Hertogh G, Lemmens B, Maedler C, Van Assche G, Vermeire S, Bisschops R, Rutgeerts P, Bitton A, Afif W, Marcus V, Ferrante M. The Modified Mayo Endoscopic Score (MMES): A New Index for the Assessment of Extension and Severity of Endoscopic Activity in Ulcerative Colitis Patients.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9</w:t>
      </w:r>
      <w:r w:rsidRPr="00A92058">
        <w:rPr>
          <w:rFonts w:ascii="Book Antiqua" w:eastAsia="宋体" w:hAnsi="Book Antiqua" w:cs="宋体"/>
          <w:lang w:val="en-US" w:eastAsia="zh-CN"/>
        </w:rPr>
        <w:t>: 846-852 [PMID: 26116558]</w:t>
      </w:r>
    </w:p>
    <w:p w14:paraId="2150F619" w14:textId="6A742EA3"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22 </w:t>
      </w:r>
      <w:r w:rsidRPr="00A92058">
        <w:rPr>
          <w:rFonts w:ascii="Book Antiqua" w:eastAsia="宋体" w:hAnsi="Book Antiqua" w:cs="宋体"/>
          <w:b/>
          <w:bCs/>
          <w:lang w:val="en-US" w:eastAsia="zh-CN"/>
        </w:rPr>
        <w:t>Pariente B</w:t>
      </w:r>
      <w:r w:rsidRPr="00A92058">
        <w:rPr>
          <w:rFonts w:ascii="Book Antiqua" w:eastAsia="宋体" w:hAnsi="Book Antiqua" w:cs="宋体"/>
          <w:lang w:val="en-US" w:eastAsia="zh-CN"/>
        </w:rPr>
        <w:t xml:space="preserve">, Mary JY, Danese S, Chowers Y, De Cruz P, D'Haens G, Loftus EV, Louis E, Panés J, Schölmerich J, Schreiber S, Vecchi M, Branche J, Bruining D, Fiorino G, Herzog M, Kamm MA, Klein A, Lewin M, Meunier P, Ordas I, Strauch U, Tontini GE, Zagdanski AM, Bonifacio C, Rimola J, Nachury M, Leroy C, Sandborn W, Colombel JF, Cosnes J. Development of the Lémann index to assess digestive tract damage in patients with Crohn's disease.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148</w:t>
      </w:r>
      <w:r w:rsidRPr="00A92058">
        <w:rPr>
          <w:rFonts w:ascii="Book Antiqua" w:eastAsia="宋体" w:hAnsi="Book Antiqua" w:cs="宋体"/>
          <w:lang w:val="en-US" w:eastAsia="zh-CN"/>
        </w:rPr>
        <w:t>: 52-63.e3 [PMID: 25241327 DO</w:t>
      </w:r>
      <w:r w:rsidR="00073F97">
        <w:rPr>
          <w:rFonts w:ascii="Book Antiqua" w:eastAsia="宋体" w:hAnsi="Book Antiqua" w:cs="宋体"/>
          <w:lang w:val="en-US" w:eastAsia="zh-CN"/>
        </w:rPr>
        <w:t>I: 10.1053/j.gastro.2014.09.015</w:t>
      </w:r>
      <w:r w:rsidRPr="00A92058">
        <w:rPr>
          <w:rFonts w:ascii="Book Antiqua" w:eastAsia="宋体" w:hAnsi="Book Antiqua" w:cs="宋体"/>
          <w:lang w:val="en-US" w:eastAsia="zh-CN"/>
        </w:rPr>
        <w:t>]</w:t>
      </w:r>
    </w:p>
    <w:p w14:paraId="39FDEE61"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23 </w:t>
      </w:r>
      <w:r w:rsidRPr="00A92058">
        <w:rPr>
          <w:rFonts w:ascii="Book Antiqua" w:eastAsia="宋体" w:hAnsi="Book Antiqua" w:cs="宋体"/>
          <w:b/>
          <w:bCs/>
          <w:lang w:val="en-US" w:eastAsia="zh-CN"/>
        </w:rPr>
        <w:t>Pariente B</w:t>
      </w:r>
      <w:r w:rsidRPr="00A92058">
        <w:rPr>
          <w:rFonts w:ascii="Book Antiqua" w:eastAsia="宋体" w:hAnsi="Book Antiqua" w:cs="宋体"/>
          <w:lang w:val="en-US" w:eastAsia="zh-CN"/>
        </w:rPr>
        <w:t xml:space="preserve">, Cosnes J, Danese S, Sandborn WJ, Lewin M, Fletcher JG, Chowers Y, D'Haens G, Feagan BG, Hibi T, Hommes DW, Irvine EJ, Kamm MA, Loftus EV, Louis E, Michetti P, Munkholm P, Oresland T, Panés J, Peyrin-Biroulet L, Reinisch W, Sands BE, Schoelmerich J, Schreiber S, Tilg H, Travis S, van Assche G, Vecchi M, Mary JY, Colombel JF, Lémann M. Development of the Crohn's disease digestive damage score, the Lémann score.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17</w:t>
      </w:r>
      <w:r w:rsidRPr="00A92058">
        <w:rPr>
          <w:rFonts w:ascii="Book Antiqua" w:eastAsia="宋体" w:hAnsi="Book Antiqua" w:cs="宋体"/>
          <w:lang w:val="en-US" w:eastAsia="zh-CN"/>
        </w:rPr>
        <w:t>: 1415-1422 [PMID: 21560202 DOI: 10.1002/ibd.21506]</w:t>
      </w:r>
    </w:p>
    <w:p w14:paraId="5DAEDC26" w14:textId="062E2080"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24 </w:t>
      </w:r>
      <w:r w:rsidRPr="00A92058">
        <w:rPr>
          <w:rFonts w:ascii="Book Antiqua" w:eastAsia="宋体" w:hAnsi="Book Antiqua" w:cs="宋体"/>
          <w:b/>
          <w:bCs/>
          <w:lang w:val="en-US" w:eastAsia="zh-CN"/>
        </w:rPr>
        <w:t>Ordás I</w:t>
      </w:r>
      <w:r w:rsidRPr="00A92058">
        <w:rPr>
          <w:rFonts w:ascii="Book Antiqua" w:eastAsia="宋体" w:hAnsi="Book Antiqua" w:cs="宋体"/>
          <w:lang w:val="en-US" w:eastAsia="zh-CN"/>
        </w:rPr>
        <w:t>, Rimola J, Rodríguez S, Paredes JM, Martínez-Pérez MJ, Blanc E, Arévalo JA, Aduna M, Andreu M, Radosevic A, Ramírez-Morros AM, Pinó S, Gallego M, Jauregui-</w:t>
      </w:r>
      <w:r w:rsidRPr="00A92058">
        <w:rPr>
          <w:rFonts w:ascii="Book Antiqua" w:eastAsia="宋体" w:hAnsi="Book Antiqua" w:cs="宋体"/>
          <w:lang w:val="en-US" w:eastAsia="zh-CN"/>
        </w:rPr>
        <w:lastRenderedPageBreak/>
        <w:t xml:space="preserve">Amezaga A, Ricart E, Panés J. Accuracy of magnetic resonance enterography in assessing response to therapy and mucosal healing in patients with Crohn's disease.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146</w:t>
      </w:r>
      <w:r w:rsidRPr="00A92058">
        <w:rPr>
          <w:rFonts w:ascii="Book Antiqua" w:eastAsia="宋体" w:hAnsi="Book Antiqua" w:cs="宋体"/>
          <w:lang w:val="en-US" w:eastAsia="zh-CN"/>
        </w:rPr>
        <w:t>: 374-</w:t>
      </w:r>
      <w:r w:rsidR="00073F97">
        <w:rPr>
          <w:rFonts w:ascii="Book Antiqua" w:eastAsia="宋体" w:hAnsi="Book Antiqua" w:cs="宋体" w:hint="eastAsia"/>
          <w:lang w:val="en-US" w:eastAsia="zh-CN"/>
        </w:rPr>
        <w:t>3</w:t>
      </w:r>
      <w:r w:rsidRPr="00A92058">
        <w:rPr>
          <w:rFonts w:ascii="Book Antiqua" w:eastAsia="宋体" w:hAnsi="Book Antiqua" w:cs="宋体"/>
          <w:lang w:val="en-US" w:eastAsia="zh-CN"/>
        </w:rPr>
        <w:t>82.e1 [PMID: 24177375 DOI: 10.1053/j.gastro.2013.10.055]</w:t>
      </w:r>
    </w:p>
    <w:p w14:paraId="184080A3"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25 </w:t>
      </w:r>
      <w:r w:rsidRPr="00A92058">
        <w:rPr>
          <w:rFonts w:ascii="Book Antiqua" w:eastAsia="宋体" w:hAnsi="Book Antiqua" w:cs="宋体"/>
          <w:b/>
          <w:bCs/>
          <w:lang w:val="en-US" w:eastAsia="zh-CN"/>
        </w:rPr>
        <w:t>Rismo R</w:t>
      </w:r>
      <w:r w:rsidRPr="00A92058">
        <w:rPr>
          <w:rFonts w:ascii="Book Antiqua" w:eastAsia="宋体" w:hAnsi="Book Antiqua" w:cs="宋体"/>
          <w:lang w:val="en-US" w:eastAsia="zh-CN"/>
        </w:rPr>
        <w:t xml:space="preserve">, Olsen T, Cui G, Paulssen EJ, Christiansen I, Johnsen K, Florholmen J, Goll R. Normalization of mucosal cytokine gene expression levels predicts long-term remission after discontinuation of anti-TNF therapy in Crohn's disease. </w:t>
      </w:r>
      <w:r w:rsidRPr="00A92058">
        <w:rPr>
          <w:rFonts w:ascii="Book Antiqua" w:eastAsia="宋体" w:hAnsi="Book Antiqua" w:cs="宋体"/>
          <w:i/>
          <w:iCs/>
          <w:lang w:val="en-US" w:eastAsia="zh-CN"/>
        </w:rPr>
        <w:t>Scand J Gastroenterol</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48</w:t>
      </w:r>
      <w:r w:rsidRPr="00A92058">
        <w:rPr>
          <w:rFonts w:ascii="Book Antiqua" w:eastAsia="宋体" w:hAnsi="Book Antiqua" w:cs="宋体"/>
          <w:lang w:val="en-US" w:eastAsia="zh-CN"/>
        </w:rPr>
        <w:t>: 311-319 [PMID: 23302000 DOI: 10.3109/00365521.201]</w:t>
      </w:r>
    </w:p>
    <w:p w14:paraId="7D93B717"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26 </w:t>
      </w:r>
      <w:r w:rsidRPr="00A92058">
        <w:rPr>
          <w:rFonts w:ascii="Book Antiqua" w:eastAsia="宋体" w:hAnsi="Book Antiqua" w:cs="宋体"/>
          <w:b/>
          <w:bCs/>
          <w:lang w:val="en-US" w:eastAsia="zh-CN"/>
        </w:rPr>
        <w:t>Chung-Faye G</w:t>
      </w:r>
      <w:r w:rsidRPr="00A92058">
        <w:rPr>
          <w:rFonts w:ascii="Book Antiqua" w:eastAsia="宋体" w:hAnsi="Book Antiqua" w:cs="宋体"/>
          <w:lang w:val="en-US" w:eastAsia="zh-CN"/>
        </w:rPr>
        <w:t xml:space="preserve">, Hayee B, Maestranzi S, Donaldson N, Forgacs I, Sherwood R. Fecal M2-pyruvate kinase (M2-PK): a novel marker of intestinal inflammation.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2007; </w:t>
      </w:r>
      <w:r w:rsidRPr="00A92058">
        <w:rPr>
          <w:rFonts w:ascii="Book Antiqua" w:eastAsia="宋体" w:hAnsi="Book Antiqua" w:cs="宋体"/>
          <w:b/>
          <w:bCs/>
          <w:lang w:val="en-US" w:eastAsia="zh-CN"/>
        </w:rPr>
        <w:t>13</w:t>
      </w:r>
      <w:r w:rsidRPr="00A92058">
        <w:rPr>
          <w:rFonts w:ascii="Book Antiqua" w:eastAsia="宋体" w:hAnsi="Book Antiqua" w:cs="宋体"/>
          <w:lang w:val="en-US" w:eastAsia="zh-CN"/>
        </w:rPr>
        <w:t>: 1374-1378 [PMID: 17577247 DOI: 10.1002/ibd.20214]</w:t>
      </w:r>
    </w:p>
    <w:p w14:paraId="26E3F14E"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27 </w:t>
      </w:r>
      <w:r w:rsidRPr="00A92058">
        <w:rPr>
          <w:rFonts w:ascii="Book Antiqua" w:eastAsia="宋体" w:hAnsi="Book Antiqua" w:cs="宋体"/>
          <w:b/>
          <w:bCs/>
          <w:lang w:val="en-US" w:eastAsia="zh-CN"/>
        </w:rPr>
        <w:t>Turner D</w:t>
      </w:r>
      <w:r w:rsidRPr="00A92058">
        <w:rPr>
          <w:rFonts w:ascii="Book Antiqua" w:eastAsia="宋体" w:hAnsi="Book Antiqua" w:cs="宋体"/>
          <w:lang w:val="en-US" w:eastAsia="zh-CN"/>
        </w:rPr>
        <w:t xml:space="preserve">, Leach ST, Mack D, Uusoue K, McLernon R, Hyams J, Leleiko N, Walters TD, Crandall W, Markowitz J, Otley AR, Griffiths AM, Day AS. Faecal calprotectin, lactoferrin, M2-pyruvate kinase and S100A12 in severe ulcerative colitis: a prospective multicentre comparison of predicting outcomes and monitoring response.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2010; </w:t>
      </w:r>
      <w:r w:rsidRPr="00A92058">
        <w:rPr>
          <w:rFonts w:ascii="Book Antiqua" w:eastAsia="宋体" w:hAnsi="Book Antiqua" w:cs="宋体"/>
          <w:b/>
          <w:bCs/>
          <w:lang w:val="en-US" w:eastAsia="zh-CN"/>
        </w:rPr>
        <w:t>59</w:t>
      </w:r>
      <w:r w:rsidRPr="00A92058">
        <w:rPr>
          <w:rFonts w:ascii="Book Antiqua" w:eastAsia="宋体" w:hAnsi="Book Antiqua" w:cs="宋体"/>
          <w:lang w:val="en-US" w:eastAsia="zh-CN"/>
        </w:rPr>
        <w:t>: 1207-1212 [PMID: 20801771 DOI: 10.1136/gut.2010.211755]</w:t>
      </w:r>
    </w:p>
    <w:p w14:paraId="11AD123C"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28 </w:t>
      </w:r>
      <w:r w:rsidRPr="00A92058">
        <w:rPr>
          <w:rFonts w:ascii="Book Antiqua" w:eastAsia="宋体" w:hAnsi="Book Antiqua" w:cs="宋体"/>
          <w:b/>
          <w:bCs/>
          <w:lang w:val="en-US" w:eastAsia="zh-CN"/>
        </w:rPr>
        <w:t>Kato S</w:t>
      </w:r>
      <w:r w:rsidRPr="00A92058">
        <w:rPr>
          <w:rFonts w:ascii="Book Antiqua" w:eastAsia="宋体" w:hAnsi="Book Antiqua" w:cs="宋体"/>
          <w:lang w:val="en-US" w:eastAsia="zh-CN"/>
        </w:rPr>
        <w:t xml:space="preserve">, Ochiai M, Sakurada T, Ohno S, Miyamoto K, Sagara M, Ito M, Takeuchi K, Imaki J, Itoh K, Yakabi K. Increased expression of long pentraxin PTX3 in inflammatory bowel diseases. </w:t>
      </w:r>
      <w:r w:rsidRPr="00A92058">
        <w:rPr>
          <w:rFonts w:ascii="Book Antiqua" w:eastAsia="宋体" w:hAnsi="Book Antiqua" w:cs="宋体"/>
          <w:i/>
          <w:iCs/>
          <w:lang w:val="en-US" w:eastAsia="zh-CN"/>
        </w:rPr>
        <w:t>Dig Dis Sci</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53</w:t>
      </w:r>
      <w:r w:rsidRPr="00A92058">
        <w:rPr>
          <w:rFonts w:ascii="Book Antiqua" w:eastAsia="宋体" w:hAnsi="Book Antiqua" w:cs="宋体"/>
          <w:lang w:val="en-US" w:eastAsia="zh-CN"/>
        </w:rPr>
        <w:t>: 1910-1916 [PMID: 17990107 DOI: 10.1007/s10620-007-0075-z]</w:t>
      </w:r>
    </w:p>
    <w:p w14:paraId="37A1338E"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29 </w:t>
      </w:r>
      <w:r w:rsidRPr="00A92058">
        <w:rPr>
          <w:rFonts w:ascii="Book Antiqua" w:eastAsia="宋体" w:hAnsi="Book Antiqua" w:cs="宋体"/>
          <w:b/>
          <w:bCs/>
          <w:lang w:val="en-US" w:eastAsia="zh-CN"/>
        </w:rPr>
        <w:t>Daperno M</w:t>
      </w:r>
      <w:r w:rsidRPr="00A92058">
        <w:rPr>
          <w:rFonts w:ascii="Book Antiqua" w:eastAsia="宋体" w:hAnsi="Book Antiqua" w:cs="宋体"/>
          <w:lang w:val="en-US" w:eastAsia="zh-CN"/>
        </w:rPr>
        <w:t xml:space="preserve">, Castiglione F, de Ridder L, Dotan I, Färkkilä M, Florholmen J, Fraser G, Fries W, Hebuterne X, Lakatos PL, Panés J, Rimola J, Louis E. Results of the 2nd part Scientific Workshop of the ECCO. II: Measures and markers of prediction to achieve, detect, and monitor intestinal healing in inflammatory bowel disease.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5</w:t>
      </w:r>
      <w:r w:rsidRPr="00A92058">
        <w:rPr>
          <w:rFonts w:ascii="Book Antiqua" w:eastAsia="宋体" w:hAnsi="Book Antiqua" w:cs="宋体"/>
          <w:lang w:val="en-US" w:eastAsia="zh-CN"/>
        </w:rPr>
        <w:t>: 484-498 [PMID: 21939926 DOI: 10.1016/j.crohns.2011.07.003]</w:t>
      </w:r>
    </w:p>
    <w:p w14:paraId="3E43AB6C" w14:textId="77777777" w:rsidR="00A92058" w:rsidRPr="00A92058" w:rsidRDefault="00A92058" w:rsidP="00A92058">
      <w:pPr>
        <w:spacing w:line="360" w:lineRule="auto"/>
        <w:jc w:val="both"/>
        <w:rPr>
          <w:rFonts w:ascii="Book Antiqua" w:eastAsia="宋体" w:hAnsi="Book Antiqua" w:cs="宋体"/>
          <w:lang w:val="en-US" w:eastAsia="zh-CN"/>
        </w:rPr>
      </w:pPr>
      <w:proofErr w:type="gramStart"/>
      <w:r w:rsidRPr="00A92058">
        <w:rPr>
          <w:rFonts w:ascii="Book Antiqua" w:eastAsia="宋体" w:hAnsi="Book Antiqua" w:cs="宋体"/>
          <w:lang w:val="en-US" w:eastAsia="zh-CN"/>
        </w:rPr>
        <w:t xml:space="preserve">30 </w:t>
      </w:r>
      <w:r w:rsidRPr="00A92058">
        <w:rPr>
          <w:rFonts w:ascii="Book Antiqua" w:eastAsia="宋体" w:hAnsi="Book Antiqua" w:cs="宋体"/>
          <w:b/>
          <w:bCs/>
          <w:lang w:val="en-US" w:eastAsia="zh-CN"/>
        </w:rPr>
        <w:t>Florholmen J</w:t>
      </w:r>
      <w:r w:rsidRPr="00A92058">
        <w:rPr>
          <w:rFonts w:ascii="Book Antiqua" w:eastAsia="宋体" w:hAnsi="Book Antiqua" w:cs="宋体"/>
          <w:lang w:val="en-US" w:eastAsia="zh-CN"/>
        </w:rPr>
        <w:t>, Fries W. Candidate mucosal and surrogate biomarkers of inflammatory bowel disease in the era of new technology.</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Scand J Gastroenterol</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46</w:t>
      </w:r>
      <w:r w:rsidRPr="00A92058">
        <w:rPr>
          <w:rFonts w:ascii="Book Antiqua" w:eastAsia="宋体" w:hAnsi="Book Antiqua" w:cs="宋体"/>
          <w:lang w:val="en-US" w:eastAsia="zh-CN"/>
        </w:rPr>
        <w:t>: 1407-1417 [PMID: 22040230 DOI: 10.3109/00365521.2011.627449]</w:t>
      </w:r>
    </w:p>
    <w:p w14:paraId="45142A1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31 </w:t>
      </w:r>
      <w:r w:rsidRPr="00A92058">
        <w:rPr>
          <w:rFonts w:ascii="Book Antiqua" w:eastAsia="宋体" w:hAnsi="Book Antiqua" w:cs="宋体"/>
          <w:b/>
          <w:bCs/>
          <w:lang w:val="en-US" w:eastAsia="zh-CN"/>
        </w:rPr>
        <w:t>Thompson D</w:t>
      </w:r>
      <w:r w:rsidRPr="00A92058">
        <w:rPr>
          <w:rFonts w:ascii="Book Antiqua" w:eastAsia="宋体" w:hAnsi="Book Antiqua" w:cs="宋体"/>
          <w:lang w:val="en-US" w:eastAsia="zh-CN"/>
        </w:rPr>
        <w:t xml:space="preserve">, Pepys MB, Wood SP. </w:t>
      </w:r>
      <w:proofErr w:type="gramStart"/>
      <w:r w:rsidRPr="00A92058">
        <w:rPr>
          <w:rFonts w:ascii="Book Antiqua" w:eastAsia="宋体" w:hAnsi="Book Antiqua" w:cs="宋体"/>
          <w:lang w:val="en-US" w:eastAsia="zh-CN"/>
        </w:rPr>
        <w:t>The physiological structure of human C-reactive protein and its complex with phosphocholine.</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Structure</w:t>
      </w:r>
      <w:r w:rsidRPr="00A92058">
        <w:rPr>
          <w:rFonts w:ascii="Book Antiqua" w:eastAsia="宋体" w:hAnsi="Book Antiqua" w:cs="宋体"/>
          <w:lang w:val="en-US" w:eastAsia="zh-CN"/>
        </w:rPr>
        <w:t xml:space="preserve"> 1999; </w:t>
      </w:r>
      <w:r w:rsidRPr="00A92058">
        <w:rPr>
          <w:rFonts w:ascii="Book Antiqua" w:eastAsia="宋体" w:hAnsi="Book Antiqua" w:cs="宋体"/>
          <w:b/>
          <w:bCs/>
          <w:lang w:val="en-US" w:eastAsia="zh-CN"/>
        </w:rPr>
        <w:t>7</w:t>
      </w:r>
      <w:r w:rsidRPr="00A92058">
        <w:rPr>
          <w:rFonts w:ascii="Book Antiqua" w:eastAsia="宋体" w:hAnsi="Book Antiqua" w:cs="宋体"/>
          <w:lang w:val="en-US" w:eastAsia="zh-CN"/>
        </w:rPr>
        <w:t>: 169-177 [PMID: 10368284 DOI: 10.1016/S0969-2126(99)80023-9]</w:t>
      </w:r>
    </w:p>
    <w:p w14:paraId="319FCF15"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32 </w:t>
      </w:r>
      <w:r w:rsidRPr="00A92058">
        <w:rPr>
          <w:rFonts w:ascii="Book Antiqua" w:eastAsia="宋体" w:hAnsi="Book Antiqua" w:cs="宋体"/>
          <w:b/>
          <w:bCs/>
          <w:lang w:val="en-US" w:eastAsia="zh-CN"/>
        </w:rPr>
        <w:t>Liu S</w:t>
      </w:r>
      <w:r w:rsidRPr="00A92058">
        <w:rPr>
          <w:rFonts w:ascii="Book Antiqua" w:eastAsia="宋体" w:hAnsi="Book Antiqua" w:cs="宋体"/>
          <w:lang w:val="en-US" w:eastAsia="zh-CN"/>
        </w:rPr>
        <w:t xml:space="preserve">, Ren J, Xia Q, Wu X, Han G, Ren H, Yan D, Wang G, Gu G, Li J. Preliminary case-control study to evaluate diagnostic values of C-reactive protein and erythrocyte sedimentation rate in differentiating active Crohn's disease from intestinal lymphoma, </w:t>
      </w:r>
      <w:r w:rsidRPr="00A92058">
        <w:rPr>
          <w:rFonts w:ascii="Book Antiqua" w:eastAsia="宋体" w:hAnsi="Book Antiqua" w:cs="宋体"/>
          <w:lang w:val="en-US" w:eastAsia="zh-CN"/>
        </w:rPr>
        <w:lastRenderedPageBreak/>
        <w:t xml:space="preserve">intestinal tuberculosis and Behcet's syndrome. </w:t>
      </w:r>
      <w:r w:rsidRPr="00A92058">
        <w:rPr>
          <w:rFonts w:ascii="Book Antiqua" w:eastAsia="宋体" w:hAnsi="Book Antiqua" w:cs="宋体"/>
          <w:i/>
          <w:iCs/>
          <w:lang w:val="en-US" w:eastAsia="zh-CN"/>
        </w:rPr>
        <w:t>Am J Med Sci</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346</w:t>
      </w:r>
      <w:r w:rsidRPr="00A92058">
        <w:rPr>
          <w:rFonts w:ascii="Book Antiqua" w:eastAsia="宋体" w:hAnsi="Book Antiqua" w:cs="宋体"/>
          <w:lang w:val="en-US" w:eastAsia="zh-CN"/>
        </w:rPr>
        <w:t>: 467-472 [PMID: 23689052 DOI: 10.1097/MAJ.0b013e3182959a18]</w:t>
      </w:r>
    </w:p>
    <w:p w14:paraId="5AD835D7"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33 </w:t>
      </w:r>
      <w:r w:rsidRPr="00A92058">
        <w:rPr>
          <w:rFonts w:ascii="Book Antiqua" w:eastAsia="宋体" w:hAnsi="Book Antiqua" w:cs="宋体"/>
          <w:b/>
          <w:bCs/>
          <w:lang w:val="en-US" w:eastAsia="zh-CN"/>
        </w:rPr>
        <w:t>Henriksen M</w:t>
      </w:r>
      <w:r w:rsidRPr="00A92058">
        <w:rPr>
          <w:rFonts w:ascii="Book Antiqua" w:eastAsia="宋体" w:hAnsi="Book Antiqua" w:cs="宋体"/>
          <w:lang w:val="en-US" w:eastAsia="zh-CN"/>
        </w:rPr>
        <w:t xml:space="preserve">, Jahnsen J, Lygren I, Stray N, Sauar J, Vatn MH, Moum B. C-reactive protein: a predictive factor and marker of inflammation in inflammatory bowel disease. Results from a prospective population-based study.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57</w:t>
      </w:r>
      <w:r w:rsidRPr="00A92058">
        <w:rPr>
          <w:rFonts w:ascii="Book Antiqua" w:eastAsia="宋体" w:hAnsi="Book Antiqua" w:cs="宋体"/>
          <w:lang w:val="en-US" w:eastAsia="zh-CN"/>
        </w:rPr>
        <w:t>: 1518-1523 [PMID: 18566104 DOI: 10.1136/gut.2007.146357]</w:t>
      </w:r>
    </w:p>
    <w:p w14:paraId="33965172"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34 </w:t>
      </w:r>
      <w:r w:rsidRPr="00A92058">
        <w:rPr>
          <w:rFonts w:ascii="Book Antiqua" w:eastAsia="宋体" w:hAnsi="Book Antiqua" w:cs="宋体"/>
          <w:b/>
          <w:bCs/>
          <w:lang w:val="en-US" w:eastAsia="zh-CN"/>
        </w:rPr>
        <w:t>Zubin G</w:t>
      </w:r>
      <w:r w:rsidRPr="00A92058">
        <w:rPr>
          <w:rFonts w:ascii="Book Antiqua" w:eastAsia="宋体" w:hAnsi="Book Antiqua" w:cs="宋体"/>
          <w:lang w:val="en-US" w:eastAsia="zh-CN"/>
        </w:rPr>
        <w:t xml:space="preserve">, Peter L. Predicting Endoscopic Crohn's Disease Activity Before and After Induction Therapy in Children: A Comprehensive Assessment of PCDAI, CRP, and Fecal Calprotectin.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21</w:t>
      </w:r>
      <w:r w:rsidRPr="00A92058">
        <w:rPr>
          <w:rFonts w:ascii="Book Antiqua" w:eastAsia="宋体" w:hAnsi="Book Antiqua" w:cs="宋体"/>
          <w:lang w:val="en-US" w:eastAsia="zh-CN"/>
        </w:rPr>
        <w:t>: 1386-1391 [PMID: 25851564 DOI: 10.1097/MIB.0000000000000388]</w:t>
      </w:r>
    </w:p>
    <w:p w14:paraId="28BF622D"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35 </w:t>
      </w:r>
      <w:r w:rsidRPr="00A92058">
        <w:rPr>
          <w:rFonts w:ascii="Book Antiqua" w:eastAsia="宋体" w:hAnsi="Book Antiqua" w:cs="宋体"/>
          <w:b/>
          <w:bCs/>
          <w:lang w:val="en-US" w:eastAsia="zh-CN"/>
        </w:rPr>
        <w:t>Langhorst J</w:t>
      </w:r>
      <w:r w:rsidRPr="00A92058">
        <w:rPr>
          <w:rFonts w:ascii="Book Antiqua" w:eastAsia="宋体" w:hAnsi="Book Antiqua" w:cs="宋体"/>
          <w:lang w:val="en-US" w:eastAsia="zh-CN"/>
        </w:rPr>
        <w:t xml:space="preserve">, Elsenbruch S, Koelzer J, Rueffer A, Michalsen A, Dobos GJ. Noninvasive markers in the assessment of intestinal inflammation in inflammatory bowel diseases: performance of fecal lactoferrin, calprotectin, and PMN-elastase, CRP, and clinical indices. </w:t>
      </w:r>
      <w:r w:rsidRPr="00A92058">
        <w:rPr>
          <w:rFonts w:ascii="Book Antiqua" w:eastAsia="宋体" w:hAnsi="Book Antiqua" w:cs="宋体"/>
          <w:i/>
          <w:iCs/>
          <w:lang w:val="en-US" w:eastAsia="zh-CN"/>
        </w:rPr>
        <w:t>Am J Gastroenterol</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103</w:t>
      </w:r>
      <w:r w:rsidRPr="00A92058">
        <w:rPr>
          <w:rFonts w:ascii="Book Antiqua" w:eastAsia="宋体" w:hAnsi="Book Antiqua" w:cs="宋体"/>
          <w:lang w:val="en-US" w:eastAsia="zh-CN"/>
        </w:rPr>
        <w:t>: 162-169 [PMID: 17916108 DOI: 10.1111/j.1572-0241.2007.01556.x]</w:t>
      </w:r>
    </w:p>
    <w:p w14:paraId="51261111"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36 </w:t>
      </w:r>
      <w:r w:rsidRPr="00A92058">
        <w:rPr>
          <w:rFonts w:ascii="Book Antiqua" w:eastAsia="宋体" w:hAnsi="Book Antiqua" w:cs="宋体"/>
          <w:b/>
          <w:bCs/>
          <w:lang w:val="en-US" w:eastAsia="zh-CN"/>
        </w:rPr>
        <w:t>Tibble J</w:t>
      </w:r>
      <w:r w:rsidRPr="00A92058">
        <w:rPr>
          <w:rFonts w:ascii="Book Antiqua" w:eastAsia="宋体" w:hAnsi="Book Antiqua" w:cs="宋体"/>
          <w:lang w:val="en-US" w:eastAsia="zh-CN"/>
        </w:rPr>
        <w:t xml:space="preserve">, Teahon K, Thjodleifsson B, Roseth A, Sigthorsson G, Bridger S, Foster R, Sherwood R, Fagerhol M, Bjarnason I. </w:t>
      </w:r>
      <w:proofErr w:type="gramStart"/>
      <w:r w:rsidRPr="00A92058">
        <w:rPr>
          <w:rFonts w:ascii="Book Antiqua" w:eastAsia="宋体" w:hAnsi="Book Antiqua" w:cs="宋体"/>
          <w:lang w:val="en-US" w:eastAsia="zh-CN"/>
        </w:rPr>
        <w:t>A simple method for assessing intestinal inflammation in Crohn's disease.</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2000; </w:t>
      </w:r>
      <w:r w:rsidRPr="00A92058">
        <w:rPr>
          <w:rFonts w:ascii="Book Antiqua" w:eastAsia="宋体" w:hAnsi="Book Antiqua" w:cs="宋体"/>
          <w:b/>
          <w:bCs/>
          <w:lang w:val="en-US" w:eastAsia="zh-CN"/>
        </w:rPr>
        <w:t>47</w:t>
      </w:r>
      <w:r w:rsidRPr="00A92058">
        <w:rPr>
          <w:rFonts w:ascii="Book Antiqua" w:eastAsia="宋体" w:hAnsi="Book Antiqua" w:cs="宋体"/>
          <w:lang w:val="en-US" w:eastAsia="zh-CN"/>
        </w:rPr>
        <w:t>: 506-513 [PMID: 10986210 DOI: 10.1136/gut.47.4.506]</w:t>
      </w:r>
    </w:p>
    <w:p w14:paraId="3C69A646" w14:textId="7CE66396"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37 </w:t>
      </w:r>
      <w:r w:rsidRPr="00A92058">
        <w:rPr>
          <w:rFonts w:ascii="Book Antiqua" w:eastAsia="宋体" w:hAnsi="Book Antiqua" w:cs="宋体"/>
          <w:b/>
          <w:bCs/>
          <w:lang w:val="en-US" w:eastAsia="zh-CN"/>
        </w:rPr>
        <w:t>Voiosu T</w:t>
      </w:r>
      <w:r w:rsidRPr="00A92058">
        <w:rPr>
          <w:rFonts w:ascii="Book Antiqua" w:eastAsia="宋体" w:hAnsi="Book Antiqua" w:cs="宋体"/>
          <w:lang w:val="en-US" w:eastAsia="zh-CN"/>
        </w:rPr>
        <w:t>, Bengu</w:t>
      </w:r>
      <w:r w:rsidRPr="00A92058">
        <w:rPr>
          <w:rFonts w:ascii="Book Antiqua" w:eastAsia="MS Mincho" w:hAnsi="Book Antiqua" w:cs="MS Mincho"/>
          <w:lang w:val="en-US" w:eastAsia="zh-CN"/>
        </w:rPr>
        <w:t>ş</w:t>
      </w:r>
      <w:r w:rsidRPr="00A92058">
        <w:rPr>
          <w:rFonts w:ascii="Book Antiqua" w:eastAsia="宋体" w:hAnsi="Book Antiqua" w:cs="宋体"/>
          <w:lang w:val="en-US" w:eastAsia="zh-CN"/>
        </w:rPr>
        <w:t xml:space="preserve"> A, Dinu R, Voiosu AM, B</w:t>
      </w:r>
      <w:r w:rsidRPr="00A92058">
        <w:rPr>
          <w:rFonts w:ascii="Book Antiqua" w:eastAsia="MS Mincho" w:hAnsi="Book Antiqua" w:cs="MS Mincho"/>
          <w:lang w:val="en-US" w:eastAsia="zh-CN"/>
        </w:rPr>
        <w:t>ă</w:t>
      </w:r>
      <w:r w:rsidRPr="00A92058">
        <w:rPr>
          <w:rFonts w:ascii="Book Antiqua" w:eastAsia="宋体" w:hAnsi="Book Antiqua" w:cs="宋体"/>
          <w:lang w:val="en-US" w:eastAsia="zh-CN"/>
        </w:rPr>
        <w:t>l</w:t>
      </w:r>
      <w:r w:rsidRPr="00A92058">
        <w:rPr>
          <w:rFonts w:ascii="Book Antiqua" w:eastAsia="MS Mincho" w:hAnsi="Book Antiqua" w:cs="MS Mincho"/>
          <w:lang w:val="en-US" w:eastAsia="zh-CN"/>
        </w:rPr>
        <w:t>ă</w:t>
      </w:r>
      <w:r w:rsidRPr="00A92058">
        <w:rPr>
          <w:rFonts w:ascii="Book Antiqua" w:eastAsia="宋体" w:hAnsi="Book Antiqua" w:cs="宋体"/>
          <w:lang w:val="en-US" w:eastAsia="zh-CN"/>
        </w:rPr>
        <w:t>nescu P, B</w:t>
      </w:r>
      <w:r w:rsidRPr="00A92058">
        <w:rPr>
          <w:rFonts w:ascii="Book Antiqua" w:eastAsia="MS Mincho" w:hAnsi="Book Antiqua" w:cs="MS Mincho"/>
          <w:lang w:val="en-US" w:eastAsia="zh-CN"/>
        </w:rPr>
        <w:t>ă</w:t>
      </w:r>
      <w:r w:rsidRPr="00A92058">
        <w:rPr>
          <w:rFonts w:ascii="Book Antiqua" w:eastAsia="宋体" w:hAnsi="Book Antiqua" w:cs="宋体"/>
          <w:lang w:val="en-US" w:eastAsia="zh-CN"/>
        </w:rPr>
        <w:t>icu</w:t>
      </w:r>
      <w:r w:rsidRPr="00A92058">
        <w:rPr>
          <w:rFonts w:ascii="Book Antiqua" w:eastAsia="MS Mincho" w:hAnsi="Book Antiqua" w:cs="MS Mincho"/>
          <w:lang w:val="en-US" w:eastAsia="zh-CN"/>
        </w:rPr>
        <w:t>ş</w:t>
      </w:r>
      <w:r w:rsidRPr="00A92058">
        <w:rPr>
          <w:rFonts w:ascii="Book Antiqua" w:eastAsia="宋体" w:hAnsi="Book Antiqua" w:cs="宋体"/>
          <w:lang w:val="en-US" w:eastAsia="zh-CN"/>
        </w:rPr>
        <w:t xml:space="preserve"> C, Diculescu M, Voiosu R, Mateescu B. Rapid fecal calprotectin level assessment and the SIBDQ score can accurately detect active mucosal inflammation in IBD patients in clinical remission: a prospective study. </w:t>
      </w:r>
      <w:r w:rsidRPr="00A92058">
        <w:rPr>
          <w:rFonts w:ascii="Book Antiqua" w:eastAsia="宋体" w:hAnsi="Book Antiqua" w:cs="宋体"/>
          <w:i/>
          <w:iCs/>
          <w:lang w:val="en-US" w:eastAsia="zh-CN"/>
        </w:rPr>
        <w:t>J Gastrointestin Liver Dis</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23</w:t>
      </w:r>
      <w:r w:rsidRPr="00A92058">
        <w:rPr>
          <w:rFonts w:ascii="Book Antiqua" w:eastAsia="宋体" w:hAnsi="Book Antiqua" w:cs="宋体"/>
          <w:lang w:val="en-US" w:eastAsia="zh-CN"/>
        </w:rPr>
        <w:t>: 273-278 [PMID: 25267955 DOI: 10.15403/jgld.2014.1121.233.thv</w:t>
      </w:r>
      <w:r w:rsidR="00765262">
        <w:rPr>
          <w:rFonts w:ascii="Book Antiqua" w:eastAsia="宋体" w:hAnsi="Book Antiqua" w:cs="宋体" w:hint="eastAsia"/>
          <w:lang w:val="en-US" w:eastAsia="zh-CN"/>
        </w:rPr>
        <w:t>]</w:t>
      </w:r>
    </w:p>
    <w:p w14:paraId="3C1C90E4"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38 </w:t>
      </w:r>
      <w:r w:rsidRPr="00A92058">
        <w:rPr>
          <w:rFonts w:ascii="Book Antiqua" w:eastAsia="宋体" w:hAnsi="Book Antiqua" w:cs="宋体"/>
          <w:b/>
          <w:bCs/>
          <w:lang w:val="en-US" w:eastAsia="zh-CN"/>
        </w:rPr>
        <w:t>Sipponen T</w:t>
      </w:r>
      <w:r w:rsidRPr="00A92058">
        <w:rPr>
          <w:rFonts w:ascii="Book Antiqua" w:eastAsia="宋体" w:hAnsi="Book Antiqua" w:cs="宋体"/>
          <w:lang w:val="en-US" w:eastAsia="zh-CN"/>
        </w:rPr>
        <w:t xml:space="preserve">, Kärkkäinen P, Savilahti E, Kolho KL, Nuutinen H, Turunen U, Färkkilä M. Correlation of faecal calprotectin and lactoferrin with an endoscopic score for Crohn's disease and histological findings.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28</w:t>
      </w:r>
      <w:r w:rsidRPr="00A92058">
        <w:rPr>
          <w:rFonts w:ascii="Book Antiqua" w:eastAsia="宋体" w:hAnsi="Book Antiqua" w:cs="宋体"/>
          <w:lang w:val="en-US" w:eastAsia="zh-CN"/>
        </w:rPr>
        <w:t>: 1221-1229 [PMID: 18752630 DOI: 10.1111/j.1365-2036.2008.03835]</w:t>
      </w:r>
    </w:p>
    <w:p w14:paraId="2EEF3CEB"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39 </w:t>
      </w:r>
      <w:r w:rsidRPr="00A92058">
        <w:rPr>
          <w:rFonts w:ascii="Book Antiqua" w:eastAsia="宋体" w:hAnsi="Book Antiqua" w:cs="宋体"/>
          <w:b/>
          <w:bCs/>
          <w:lang w:val="en-US" w:eastAsia="zh-CN"/>
        </w:rPr>
        <w:t>Theede K</w:t>
      </w:r>
      <w:r w:rsidRPr="00A92058">
        <w:rPr>
          <w:rFonts w:ascii="Book Antiqua" w:eastAsia="宋体" w:hAnsi="Book Antiqua" w:cs="宋体"/>
          <w:lang w:val="en-US" w:eastAsia="zh-CN"/>
        </w:rPr>
        <w:t xml:space="preserve">, Holck S, Ibsen P, Ladelund S, Nordgaard-Lassen I, Nielsen AM. Level of Fecal Calprotectin Correlates With Endoscopic and Histologic Inflammation and Identifies Patients With Mucosal Healing in Ulcerative Colitis.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13</w:t>
      </w:r>
      <w:r w:rsidRPr="00A92058">
        <w:rPr>
          <w:rFonts w:ascii="Book Antiqua" w:eastAsia="宋体" w:hAnsi="Book Antiqua" w:cs="宋体"/>
          <w:lang w:val="en-US" w:eastAsia="zh-CN"/>
        </w:rPr>
        <w:t>: 1929-1936.e1 [PMID: 26051392 DOI: 10.1016/j.cgh.2015.05.038]</w:t>
      </w:r>
    </w:p>
    <w:p w14:paraId="2B00BECA"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lastRenderedPageBreak/>
        <w:t xml:space="preserve">40 </w:t>
      </w:r>
      <w:r w:rsidRPr="00A92058">
        <w:rPr>
          <w:rFonts w:ascii="Book Antiqua" w:eastAsia="宋体" w:hAnsi="Book Antiqua" w:cs="宋体"/>
          <w:b/>
          <w:bCs/>
          <w:lang w:val="en-US" w:eastAsia="zh-CN"/>
        </w:rPr>
        <w:t>Bolignano D</w:t>
      </w:r>
      <w:r w:rsidRPr="00A92058">
        <w:rPr>
          <w:rFonts w:ascii="Book Antiqua" w:eastAsia="宋体" w:hAnsi="Book Antiqua" w:cs="宋体"/>
          <w:lang w:val="en-US" w:eastAsia="zh-CN"/>
        </w:rPr>
        <w:t xml:space="preserve">, Della Torre A, Lacquaniti A, Costantino G, Fries W, Buemi M. Neutrophil gelatinase-associated lipocalin levels in patients with crohn disease undergoing treatment with infliximab. </w:t>
      </w:r>
      <w:r w:rsidRPr="00A92058">
        <w:rPr>
          <w:rFonts w:ascii="Book Antiqua" w:eastAsia="宋体" w:hAnsi="Book Antiqua" w:cs="宋体"/>
          <w:i/>
          <w:iCs/>
          <w:lang w:val="en-US" w:eastAsia="zh-CN"/>
        </w:rPr>
        <w:t>J Investig Med</w:t>
      </w:r>
      <w:r w:rsidRPr="00A92058">
        <w:rPr>
          <w:rFonts w:ascii="Book Antiqua" w:eastAsia="宋体" w:hAnsi="Book Antiqua" w:cs="宋体"/>
          <w:lang w:val="en-US" w:eastAsia="zh-CN"/>
        </w:rPr>
        <w:t xml:space="preserve"> 2010; </w:t>
      </w:r>
      <w:r w:rsidRPr="00A92058">
        <w:rPr>
          <w:rFonts w:ascii="Book Antiqua" w:eastAsia="宋体" w:hAnsi="Book Antiqua" w:cs="宋体"/>
          <w:b/>
          <w:bCs/>
          <w:lang w:val="en-US" w:eastAsia="zh-CN"/>
        </w:rPr>
        <w:t>58</w:t>
      </w:r>
      <w:r w:rsidRPr="00A92058">
        <w:rPr>
          <w:rFonts w:ascii="Book Antiqua" w:eastAsia="宋体" w:hAnsi="Book Antiqua" w:cs="宋体"/>
          <w:lang w:val="en-US" w:eastAsia="zh-CN"/>
        </w:rPr>
        <w:t>: 569-571 [PMID: 20061984 DOI: 10.231/JIM.0b013e3181ccc20c]</w:t>
      </w:r>
    </w:p>
    <w:p w14:paraId="56A426CB"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41 </w:t>
      </w:r>
      <w:r w:rsidRPr="00A92058">
        <w:rPr>
          <w:rFonts w:ascii="Book Antiqua" w:eastAsia="宋体" w:hAnsi="Book Antiqua" w:cs="宋体"/>
          <w:b/>
          <w:bCs/>
          <w:lang w:val="en-US" w:eastAsia="zh-CN"/>
        </w:rPr>
        <w:t>de Bruyn M</w:t>
      </w:r>
      <w:r w:rsidRPr="00A92058">
        <w:rPr>
          <w:rFonts w:ascii="Book Antiqua" w:eastAsia="宋体" w:hAnsi="Book Antiqua" w:cs="宋体"/>
          <w:lang w:val="en-US" w:eastAsia="zh-CN"/>
        </w:rPr>
        <w:t xml:space="preserve">, Arijs I, Wollants WJ, Machiels K, Van Steen K, Van Assche G, Ferrante M, Rutgeerts P, Vermeire S, Opdenakker G. Neutrophil gelatinase B-associated lipocalin and matrix metalloproteinase-9 complex as a surrogate serum marker of mucosal healing in ulcerative colitis.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20</w:t>
      </w:r>
      <w:r w:rsidRPr="00A92058">
        <w:rPr>
          <w:rFonts w:ascii="Book Antiqua" w:eastAsia="宋体" w:hAnsi="Book Antiqua" w:cs="宋体"/>
          <w:lang w:val="en-US" w:eastAsia="zh-CN"/>
        </w:rPr>
        <w:t>: 1198-1207 [PMID: 24871805 DOI: 10.1097/MIB.0000000000000068]</w:t>
      </w:r>
    </w:p>
    <w:p w14:paraId="72712AA9" w14:textId="0A934B19"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42 </w:t>
      </w:r>
      <w:r w:rsidR="00073F97" w:rsidRPr="004828F2">
        <w:rPr>
          <w:rFonts w:ascii="Book Antiqua" w:hAnsi="Book Antiqua"/>
          <w:b/>
          <w:lang w:val="en-GB"/>
        </w:rPr>
        <w:t>de Bruyn M</w:t>
      </w:r>
      <w:r w:rsidR="00073F97" w:rsidRPr="004828F2">
        <w:rPr>
          <w:rFonts w:ascii="Book Antiqua" w:hAnsi="Book Antiqua"/>
          <w:lang w:val="en-GB"/>
        </w:rPr>
        <w:t>, Arijs I, De Hertogh G, Ferrante M, Van Assche G, Rutgeerts P, Vermeire S, Opdenakker G</w:t>
      </w:r>
      <w:r w:rsidRPr="00A92058">
        <w:rPr>
          <w:rFonts w:ascii="Book Antiqua" w:eastAsia="宋体" w:hAnsi="Book Antiqua" w:cs="宋体"/>
          <w:lang w:val="en-US" w:eastAsia="zh-CN"/>
        </w:rPr>
        <w:t xml:space="preserve">. Serum Neutrophil Gelatinase B-associated Lipocalin and Matrix Metalloproteinase-9 Complex as a Surrogate Marker for Mucosal Healing in Patients with Crohn's Disease.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2015;</w:t>
      </w:r>
      <w:r w:rsidR="00073F97" w:rsidRPr="00073F97">
        <w:rPr>
          <w:rFonts w:ascii="Book Antiqua" w:eastAsia="宋体" w:hAnsi="Book Antiqua" w:cs="宋体"/>
          <w:lang w:val="en-US" w:eastAsia="zh-CN"/>
        </w:rPr>
        <w:t xml:space="preserve"> pii: jjv148</w:t>
      </w:r>
      <w:r w:rsidRPr="00A92058">
        <w:rPr>
          <w:rFonts w:ascii="Book Antiqua" w:eastAsia="宋体" w:hAnsi="Book Antiqua" w:cs="宋体"/>
          <w:lang w:val="en-US" w:eastAsia="zh-CN"/>
        </w:rPr>
        <w:t xml:space="preserve"> [PMID: 26351381]</w:t>
      </w:r>
    </w:p>
    <w:p w14:paraId="7A7E8B54"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43 </w:t>
      </w:r>
      <w:r w:rsidRPr="00A92058">
        <w:rPr>
          <w:rFonts w:ascii="Book Antiqua" w:eastAsia="宋体" w:hAnsi="Book Antiqua" w:cs="宋体"/>
          <w:b/>
          <w:bCs/>
          <w:lang w:val="en-US" w:eastAsia="zh-CN"/>
        </w:rPr>
        <w:t>Vecchi M</w:t>
      </w:r>
      <w:r w:rsidRPr="00A92058">
        <w:rPr>
          <w:rFonts w:ascii="Book Antiqua" w:eastAsia="宋体" w:hAnsi="Book Antiqua" w:cs="宋体"/>
          <w:lang w:val="en-US" w:eastAsia="zh-CN"/>
        </w:rPr>
        <w:t xml:space="preserve">, Meucci G, Gionchetti P, Beltrami M, Di Maurizio P, Beretta L, Ganio E, Usai P, Campieri M, Fornaciari G, de Franchis R. Oral versus combination mesalazine therapy in active ulcerative colitis: a double-blind, double-dummy, randomized multicentre study.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2001; </w:t>
      </w:r>
      <w:r w:rsidRPr="00A92058">
        <w:rPr>
          <w:rFonts w:ascii="Book Antiqua" w:eastAsia="宋体" w:hAnsi="Book Antiqua" w:cs="宋体"/>
          <w:b/>
          <w:bCs/>
          <w:lang w:val="en-US" w:eastAsia="zh-CN"/>
        </w:rPr>
        <w:t>15</w:t>
      </w:r>
      <w:r w:rsidRPr="00A92058">
        <w:rPr>
          <w:rFonts w:ascii="Book Antiqua" w:eastAsia="宋体" w:hAnsi="Book Antiqua" w:cs="宋体"/>
          <w:lang w:val="en-US" w:eastAsia="zh-CN"/>
        </w:rPr>
        <w:t>: 251-256 [PMID: 11148445 DOI: 10.1046/j.1365-2036.2001.00913]</w:t>
      </w:r>
    </w:p>
    <w:p w14:paraId="63B4121F" w14:textId="77777777" w:rsidR="00A92058" w:rsidRPr="00A92058" w:rsidRDefault="00A92058" w:rsidP="00A92058">
      <w:pPr>
        <w:spacing w:line="360" w:lineRule="auto"/>
        <w:jc w:val="both"/>
        <w:rPr>
          <w:rFonts w:ascii="Book Antiqua" w:eastAsia="宋体" w:hAnsi="Book Antiqua" w:cs="宋体"/>
          <w:lang w:val="en-US" w:eastAsia="zh-CN"/>
        </w:rPr>
      </w:pPr>
      <w:proofErr w:type="gramStart"/>
      <w:r w:rsidRPr="00A92058">
        <w:rPr>
          <w:rFonts w:ascii="Book Antiqua" w:eastAsia="宋体" w:hAnsi="Book Antiqua" w:cs="宋体"/>
          <w:lang w:val="en-US" w:eastAsia="zh-CN"/>
        </w:rPr>
        <w:t xml:space="preserve">44 </w:t>
      </w:r>
      <w:r w:rsidRPr="00A92058">
        <w:rPr>
          <w:rFonts w:ascii="Book Antiqua" w:eastAsia="宋体" w:hAnsi="Book Antiqua" w:cs="宋体"/>
          <w:b/>
          <w:bCs/>
          <w:lang w:val="en-US" w:eastAsia="zh-CN"/>
        </w:rPr>
        <w:t>Mansfield JC</w:t>
      </w:r>
      <w:r w:rsidRPr="00A92058">
        <w:rPr>
          <w:rFonts w:ascii="Book Antiqua" w:eastAsia="宋体" w:hAnsi="Book Antiqua" w:cs="宋体"/>
          <w:lang w:val="en-US" w:eastAsia="zh-CN"/>
        </w:rPr>
        <w:t>, Giaffer MH, Cann PA, McKenna D, Thornton PC, Holdsworth CD.</w:t>
      </w:r>
      <w:proofErr w:type="gramEnd"/>
      <w:r w:rsidRPr="00A92058">
        <w:rPr>
          <w:rFonts w:ascii="Book Antiqua" w:eastAsia="宋体" w:hAnsi="Book Antiqua" w:cs="宋体"/>
          <w:lang w:val="en-US" w:eastAsia="zh-CN"/>
        </w:rPr>
        <w:t xml:space="preserve"> A double-blind comparison of balsalazide, 6.75 g, and sulfasalazine, 3 g, as sole therapy in the management of ulcerative colitis.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2002; </w:t>
      </w:r>
      <w:r w:rsidRPr="00A92058">
        <w:rPr>
          <w:rFonts w:ascii="Book Antiqua" w:eastAsia="宋体" w:hAnsi="Book Antiqua" w:cs="宋体"/>
          <w:b/>
          <w:bCs/>
          <w:lang w:val="en-US" w:eastAsia="zh-CN"/>
        </w:rPr>
        <w:t>16</w:t>
      </w:r>
      <w:r w:rsidRPr="00A92058">
        <w:rPr>
          <w:rFonts w:ascii="Book Antiqua" w:eastAsia="宋体" w:hAnsi="Book Antiqua" w:cs="宋体"/>
          <w:lang w:val="en-US" w:eastAsia="zh-CN"/>
        </w:rPr>
        <w:t>: 69-77 [PMID: 11856080 DOI: 10.1046/j.1365-2036.2002.01151]</w:t>
      </w:r>
    </w:p>
    <w:p w14:paraId="0E280BCD"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45 </w:t>
      </w:r>
      <w:r w:rsidRPr="00A92058">
        <w:rPr>
          <w:rFonts w:ascii="Book Antiqua" w:eastAsia="宋体" w:hAnsi="Book Antiqua" w:cs="宋体"/>
          <w:b/>
          <w:bCs/>
          <w:lang w:val="en-US" w:eastAsia="zh-CN"/>
        </w:rPr>
        <w:t>Kruis W</w:t>
      </w:r>
      <w:r w:rsidRPr="00A92058">
        <w:rPr>
          <w:rFonts w:ascii="Book Antiqua" w:eastAsia="宋体" w:hAnsi="Book Antiqua" w:cs="宋体"/>
          <w:lang w:val="en-US" w:eastAsia="zh-CN"/>
        </w:rPr>
        <w:t xml:space="preserve">, Bar-Meir S, Feher J, Mickisch O, Mlitz H, Faszczyk M, Chowers Y, Lengyele G, Kovacs A, Lakatos L, Stolte M, Vieth M, Greinwald R. The optimal dose of 5-aminosalicylic acid in active ulcerative colitis: a dose-finding study with newly developed mesalamine.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2003; </w:t>
      </w:r>
      <w:r w:rsidRPr="00A92058">
        <w:rPr>
          <w:rFonts w:ascii="Book Antiqua" w:eastAsia="宋体" w:hAnsi="Book Antiqua" w:cs="宋体"/>
          <w:b/>
          <w:bCs/>
          <w:lang w:val="en-US" w:eastAsia="zh-CN"/>
        </w:rPr>
        <w:t>1</w:t>
      </w:r>
      <w:r w:rsidRPr="00A92058">
        <w:rPr>
          <w:rFonts w:ascii="Book Antiqua" w:eastAsia="宋体" w:hAnsi="Book Antiqua" w:cs="宋体"/>
          <w:lang w:val="en-US" w:eastAsia="zh-CN"/>
        </w:rPr>
        <w:t>: 36-43 [PMID: 15017515 DOI: 10.1053/jcgh.2003.50006]</w:t>
      </w:r>
    </w:p>
    <w:p w14:paraId="31597776"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46 </w:t>
      </w:r>
      <w:r w:rsidRPr="00A92058">
        <w:rPr>
          <w:rFonts w:ascii="Book Antiqua" w:eastAsia="宋体" w:hAnsi="Book Antiqua" w:cs="宋体"/>
          <w:b/>
          <w:bCs/>
          <w:lang w:val="en-US" w:eastAsia="zh-CN"/>
        </w:rPr>
        <w:t>Kruis W</w:t>
      </w:r>
      <w:r w:rsidRPr="00A92058">
        <w:rPr>
          <w:rFonts w:ascii="Book Antiqua" w:eastAsia="宋体" w:hAnsi="Book Antiqua" w:cs="宋体"/>
          <w:lang w:val="en-US" w:eastAsia="zh-CN"/>
        </w:rPr>
        <w:t xml:space="preserve">, Kiudelis G, Rácz I, Gorelov IA, Pokrotnieks J, Horynski M, Batovsky M, Kykal J, Boehm S, Greinwald R, Mueller R. Once daily versus three times daily mesalazine granules in active ulcerative colitis: a double-blind, double-dummy, randomised, non-inferiority trial.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2009; </w:t>
      </w:r>
      <w:r w:rsidRPr="00A92058">
        <w:rPr>
          <w:rFonts w:ascii="Book Antiqua" w:eastAsia="宋体" w:hAnsi="Book Antiqua" w:cs="宋体"/>
          <w:b/>
          <w:bCs/>
          <w:lang w:val="en-US" w:eastAsia="zh-CN"/>
        </w:rPr>
        <w:t>58</w:t>
      </w:r>
      <w:r w:rsidRPr="00A92058">
        <w:rPr>
          <w:rFonts w:ascii="Book Antiqua" w:eastAsia="宋体" w:hAnsi="Book Antiqua" w:cs="宋体"/>
          <w:lang w:val="en-US" w:eastAsia="zh-CN"/>
        </w:rPr>
        <w:t>: 233-240 [PMID: 18832520 DOI: 10.1136/gut.2008.154302]</w:t>
      </w:r>
    </w:p>
    <w:p w14:paraId="5048C85A"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47 </w:t>
      </w:r>
      <w:r w:rsidRPr="00A92058">
        <w:rPr>
          <w:rFonts w:ascii="Book Antiqua" w:eastAsia="宋体" w:hAnsi="Book Antiqua" w:cs="宋体"/>
          <w:b/>
          <w:bCs/>
          <w:lang w:val="en-US" w:eastAsia="zh-CN"/>
        </w:rPr>
        <w:t>Hanauer SB</w:t>
      </w:r>
      <w:r w:rsidRPr="00A92058">
        <w:rPr>
          <w:rFonts w:ascii="Book Antiqua" w:eastAsia="宋体" w:hAnsi="Book Antiqua" w:cs="宋体"/>
          <w:lang w:val="en-US" w:eastAsia="zh-CN"/>
        </w:rPr>
        <w:t xml:space="preserve">, Sandborn WJ, Dallaire C, Archambault A, Yacyshyn B, Yeh C, Smith-Hall N. Delayed-release oral mesalamine 4.8 g/day (800 mg tablets) compared to 2.4 g/day </w:t>
      </w:r>
      <w:r w:rsidRPr="00A92058">
        <w:rPr>
          <w:rFonts w:ascii="Book Antiqua" w:eastAsia="宋体" w:hAnsi="Book Antiqua" w:cs="宋体"/>
          <w:lang w:val="en-US" w:eastAsia="zh-CN"/>
        </w:rPr>
        <w:lastRenderedPageBreak/>
        <w:t xml:space="preserve">(400 mg tablets) for the treatment of mildly to moderately active ulcerative colitis: The ASCEND I trial. </w:t>
      </w:r>
      <w:r w:rsidRPr="00A92058">
        <w:rPr>
          <w:rFonts w:ascii="Book Antiqua" w:eastAsia="宋体" w:hAnsi="Book Antiqua" w:cs="宋体"/>
          <w:i/>
          <w:iCs/>
          <w:lang w:val="en-US" w:eastAsia="zh-CN"/>
        </w:rPr>
        <w:t>Can J Gastroenterol</w:t>
      </w:r>
      <w:r w:rsidRPr="00A92058">
        <w:rPr>
          <w:rFonts w:ascii="Book Antiqua" w:eastAsia="宋体" w:hAnsi="Book Antiqua" w:cs="宋体"/>
          <w:lang w:val="en-US" w:eastAsia="zh-CN"/>
        </w:rPr>
        <w:t xml:space="preserve"> 2007; </w:t>
      </w:r>
      <w:r w:rsidRPr="00A92058">
        <w:rPr>
          <w:rFonts w:ascii="Book Antiqua" w:eastAsia="宋体" w:hAnsi="Book Antiqua" w:cs="宋体"/>
          <w:b/>
          <w:bCs/>
          <w:lang w:val="en-US" w:eastAsia="zh-CN"/>
        </w:rPr>
        <w:t>21</w:t>
      </w:r>
      <w:r w:rsidRPr="00A92058">
        <w:rPr>
          <w:rFonts w:ascii="Book Antiqua" w:eastAsia="宋体" w:hAnsi="Book Antiqua" w:cs="宋体"/>
          <w:lang w:val="en-US" w:eastAsia="zh-CN"/>
        </w:rPr>
        <w:t>: 827-834 [PMID: 18080055 DOI: 10.1053/j.gastro.2009.08.069]</w:t>
      </w:r>
    </w:p>
    <w:p w14:paraId="133B006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48 </w:t>
      </w:r>
      <w:r w:rsidRPr="00A92058">
        <w:rPr>
          <w:rFonts w:ascii="Book Antiqua" w:eastAsia="宋体" w:hAnsi="Book Antiqua" w:cs="宋体"/>
          <w:b/>
          <w:bCs/>
          <w:lang w:val="en-US" w:eastAsia="zh-CN"/>
        </w:rPr>
        <w:t>Kamm MA</w:t>
      </w:r>
      <w:r w:rsidRPr="00A92058">
        <w:rPr>
          <w:rFonts w:ascii="Book Antiqua" w:eastAsia="宋体" w:hAnsi="Book Antiqua" w:cs="宋体"/>
          <w:lang w:val="en-US" w:eastAsia="zh-CN"/>
        </w:rPr>
        <w:t xml:space="preserve">, Sandborn WJ, Gassull M, Schreiber S, Jackowski L, Butler T, Lyne A, Stephenson D, Palmen M, Joseph RE. </w:t>
      </w:r>
      <w:proofErr w:type="gramStart"/>
      <w:r w:rsidRPr="00A92058">
        <w:rPr>
          <w:rFonts w:ascii="Book Antiqua" w:eastAsia="宋体" w:hAnsi="Book Antiqua" w:cs="宋体"/>
          <w:lang w:val="en-US" w:eastAsia="zh-CN"/>
        </w:rPr>
        <w:t>Once-daily, high-concentration MMX mesalamine in active ulcerative colitis.</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2007; </w:t>
      </w:r>
      <w:r w:rsidRPr="00A92058">
        <w:rPr>
          <w:rFonts w:ascii="Book Antiqua" w:eastAsia="宋体" w:hAnsi="Book Antiqua" w:cs="宋体"/>
          <w:b/>
          <w:bCs/>
          <w:lang w:val="en-US" w:eastAsia="zh-CN"/>
        </w:rPr>
        <w:t>132</w:t>
      </w:r>
      <w:r w:rsidRPr="00A92058">
        <w:rPr>
          <w:rFonts w:ascii="Book Antiqua" w:eastAsia="宋体" w:hAnsi="Book Antiqua" w:cs="宋体"/>
          <w:lang w:val="en-US" w:eastAsia="zh-CN"/>
        </w:rPr>
        <w:t>: 66-75; quiz 432-3 [PMID: 17241860 DOI: 10.1053/j.gastro.2006.10.011]</w:t>
      </w:r>
    </w:p>
    <w:p w14:paraId="598B7C35"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49 </w:t>
      </w:r>
      <w:r w:rsidRPr="00A92058">
        <w:rPr>
          <w:rFonts w:ascii="Book Antiqua" w:eastAsia="宋体" w:hAnsi="Book Antiqua" w:cs="宋体"/>
          <w:b/>
          <w:bCs/>
          <w:lang w:val="en-US" w:eastAsia="zh-CN"/>
        </w:rPr>
        <w:t>Ardizzone S</w:t>
      </w:r>
      <w:r w:rsidRPr="00A92058">
        <w:rPr>
          <w:rFonts w:ascii="Book Antiqua" w:eastAsia="宋体" w:hAnsi="Book Antiqua" w:cs="宋体"/>
          <w:lang w:val="en-US" w:eastAsia="zh-CN"/>
        </w:rPr>
        <w:t xml:space="preserve">, Cassinotti A, Duca P, Mazzali C, Penati C, Manes G, Marmo R, Massari A, Molteni P, Maconi G, Porro GB. Mucosal healing predicts late outcomes after the first course of corticosteroids for newly diagnosed ulcerative colitis.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9</w:t>
      </w:r>
      <w:r w:rsidRPr="00A92058">
        <w:rPr>
          <w:rFonts w:ascii="Book Antiqua" w:eastAsia="宋体" w:hAnsi="Book Antiqua" w:cs="宋体"/>
          <w:lang w:val="en-US" w:eastAsia="zh-CN"/>
        </w:rPr>
        <w:t>: 483-489.e3 [PMID: 21195796 DOI: 10.1016/j.cgh.2010.12.028]</w:t>
      </w:r>
    </w:p>
    <w:p w14:paraId="5728E2B5" w14:textId="1E77FBEE"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50 </w:t>
      </w:r>
      <w:r w:rsidRPr="00A92058">
        <w:rPr>
          <w:rFonts w:ascii="Book Antiqua" w:eastAsia="宋体" w:hAnsi="Book Antiqua" w:cs="宋体"/>
          <w:b/>
          <w:bCs/>
          <w:lang w:val="en-US" w:eastAsia="zh-CN"/>
        </w:rPr>
        <w:t>Sandborn WJ</w:t>
      </w:r>
      <w:r w:rsidRPr="00A92058">
        <w:rPr>
          <w:rFonts w:ascii="Book Antiqua" w:eastAsia="宋体" w:hAnsi="Book Antiqua" w:cs="宋体"/>
          <w:lang w:val="en-US" w:eastAsia="zh-CN"/>
        </w:rPr>
        <w:t xml:space="preserve">, Travis S, Moro L, Jones R, Gautille T, Bagin R, Huang M, Yeung P, Ballard ED. Once-daily budesonide MMX® extended-release tablets induce remission in patients with mild to moderate ulcerative colitis: results from the CORE I study.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143</w:t>
      </w:r>
      <w:r w:rsidRPr="00A92058">
        <w:rPr>
          <w:rFonts w:ascii="Book Antiqua" w:eastAsia="宋体" w:hAnsi="Book Antiqua" w:cs="宋体"/>
          <w:lang w:val="en-US" w:eastAsia="zh-CN"/>
        </w:rPr>
        <w:t>: 1218-</w:t>
      </w:r>
      <w:r w:rsidR="00D221F6">
        <w:rPr>
          <w:rFonts w:ascii="Book Antiqua" w:eastAsia="宋体" w:hAnsi="Book Antiqua" w:cs="宋体" w:hint="eastAsia"/>
          <w:lang w:val="en-US" w:eastAsia="zh-CN"/>
        </w:rPr>
        <w:t>12</w:t>
      </w:r>
      <w:r w:rsidRPr="00A92058">
        <w:rPr>
          <w:rFonts w:ascii="Book Antiqua" w:eastAsia="宋体" w:hAnsi="Book Antiqua" w:cs="宋体"/>
          <w:lang w:val="en-US" w:eastAsia="zh-CN"/>
        </w:rPr>
        <w:t>26.e1-2 [PMID: 22892337 DOI: 10.1053/j.gastro.2012.08.003]</w:t>
      </w:r>
    </w:p>
    <w:p w14:paraId="568E1158"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51 </w:t>
      </w:r>
      <w:r w:rsidRPr="00A92058">
        <w:rPr>
          <w:rFonts w:ascii="Book Antiqua" w:eastAsia="宋体" w:hAnsi="Book Antiqua" w:cs="宋体"/>
          <w:b/>
          <w:bCs/>
          <w:lang w:val="en-US" w:eastAsia="zh-CN"/>
        </w:rPr>
        <w:t>Van Assche G</w:t>
      </w:r>
      <w:r w:rsidRPr="00A92058">
        <w:rPr>
          <w:rFonts w:ascii="Book Antiqua" w:eastAsia="宋体" w:hAnsi="Book Antiqua" w:cs="宋体"/>
          <w:lang w:val="en-US" w:eastAsia="zh-CN"/>
        </w:rPr>
        <w:t xml:space="preserve">, Manguso F, Zibellini M, Cabriada Nuño JL, Goldis A, Tkachenko E, Varoli G, Kleczkowski D, Annese V, D'Heygere F, Balzano A. Oral prolonged release beclomethasone dipropionate and prednisone in the treatment of active ulcerative colitis: results from a double-blind, randomized, parallel group study. </w:t>
      </w:r>
      <w:r w:rsidRPr="00A92058">
        <w:rPr>
          <w:rFonts w:ascii="Book Antiqua" w:eastAsia="宋体" w:hAnsi="Book Antiqua" w:cs="宋体"/>
          <w:i/>
          <w:iCs/>
          <w:lang w:val="en-US" w:eastAsia="zh-CN"/>
        </w:rPr>
        <w:t>Am J Gastroenterol</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110</w:t>
      </w:r>
      <w:r w:rsidRPr="00A92058">
        <w:rPr>
          <w:rFonts w:ascii="Book Antiqua" w:eastAsia="宋体" w:hAnsi="Book Antiqua" w:cs="宋体"/>
          <w:lang w:val="en-US" w:eastAsia="zh-CN"/>
        </w:rPr>
        <w:t>: 708-715 [PMID: 25869389 DOI: 10.1038/ajg.2015.114]</w:t>
      </w:r>
    </w:p>
    <w:p w14:paraId="233C43C6"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52 </w:t>
      </w:r>
      <w:r w:rsidRPr="00A92058">
        <w:rPr>
          <w:rFonts w:ascii="Book Antiqua" w:eastAsia="宋体" w:hAnsi="Book Antiqua" w:cs="宋体"/>
          <w:b/>
          <w:bCs/>
          <w:lang w:val="en-US" w:eastAsia="zh-CN"/>
        </w:rPr>
        <w:t>Ardizzone S</w:t>
      </w:r>
      <w:r w:rsidRPr="00A92058">
        <w:rPr>
          <w:rFonts w:ascii="Book Antiqua" w:eastAsia="宋体" w:hAnsi="Book Antiqua" w:cs="宋体"/>
          <w:lang w:val="en-US" w:eastAsia="zh-CN"/>
        </w:rPr>
        <w:t xml:space="preserve">, Maconi G, Russo A, Imbesi V, Colombo E, Bianchi Porro G. Randomised controlled trial of azathioprine and 5-aminosalicylic acid for treatment of steroid dependent ulcerative colitis.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2006; </w:t>
      </w:r>
      <w:r w:rsidRPr="00A92058">
        <w:rPr>
          <w:rFonts w:ascii="Book Antiqua" w:eastAsia="宋体" w:hAnsi="Book Antiqua" w:cs="宋体"/>
          <w:b/>
          <w:bCs/>
          <w:lang w:val="en-US" w:eastAsia="zh-CN"/>
        </w:rPr>
        <w:t>55</w:t>
      </w:r>
      <w:r w:rsidRPr="00A92058">
        <w:rPr>
          <w:rFonts w:ascii="Book Antiqua" w:eastAsia="宋体" w:hAnsi="Book Antiqua" w:cs="宋体"/>
          <w:lang w:val="en-US" w:eastAsia="zh-CN"/>
        </w:rPr>
        <w:t>: 47-53 [PMID: 15972298 DOI: 10.1136/gut.2005.068809]</w:t>
      </w:r>
    </w:p>
    <w:p w14:paraId="5A00BE7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53 </w:t>
      </w:r>
      <w:r w:rsidRPr="00A92058">
        <w:rPr>
          <w:rFonts w:ascii="Book Antiqua" w:eastAsia="宋体" w:hAnsi="Book Antiqua" w:cs="宋体"/>
          <w:b/>
          <w:bCs/>
          <w:lang w:val="en-US" w:eastAsia="zh-CN"/>
        </w:rPr>
        <w:t>Rispo A</w:t>
      </w:r>
      <w:r w:rsidRPr="00A92058">
        <w:rPr>
          <w:rFonts w:ascii="Book Antiqua" w:eastAsia="宋体" w:hAnsi="Book Antiqua" w:cs="宋体"/>
          <w:lang w:val="en-US" w:eastAsia="zh-CN"/>
        </w:rPr>
        <w:t xml:space="preserve">, Testa A, De Palma GD, Donetto S, Diaferia M, Musto D, Nardone O, Maione F, Caporaso N, Castiglione F. Different Profile of Efficacy of Thiopurines in Ulcerative Colitis and Crohn's Disease.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21</w:t>
      </w:r>
      <w:r w:rsidRPr="00A92058">
        <w:rPr>
          <w:rFonts w:ascii="Book Antiqua" w:eastAsia="宋体" w:hAnsi="Book Antiqua" w:cs="宋体"/>
          <w:lang w:val="en-US" w:eastAsia="zh-CN"/>
        </w:rPr>
        <w:t>: 2570-2575 [PMID: 26222340 DOI: 10.1097/MIB.0000000000000538]</w:t>
      </w:r>
    </w:p>
    <w:p w14:paraId="6998F77C"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54 </w:t>
      </w:r>
      <w:r w:rsidRPr="00A92058">
        <w:rPr>
          <w:rFonts w:ascii="Book Antiqua" w:eastAsia="宋体" w:hAnsi="Book Antiqua" w:cs="宋体"/>
          <w:b/>
          <w:bCs/>
          <w:lang w:val="en-US" w:eastAsia="zh-CN"/>
        </w:rPr>
        <w:t>Reinisch W</w:t>
      </w:r>
      <w:r w:rsidRPr="00A92058">
        <w:rPr>
          <w:rFonts w:ascii="Book Antiqua" w:eastAsia="宋体" w:hAnsi="Book Antiqua" w:cs="宋体"/>
          <w:lang w:val="en-US" w:eastAsia="zh-CN"/>
        </w:rPr>
        <w:t xml:space="preserve">, Sandborn WJ, Hommes DW, D'Haens G, Hanauer S, Schreiber S, Panaccione R, Fedorak RN, Tighe MB, Huang B, Kampman W, Lazar A, Thakkar R. Adalimumab for induction of clinical remission in moderately to severely active ulcerative </w:t>
      </w:r>
      <w:r w:rsidRPr="00A92058">
        <w:rPr>
          <w:rFonts w:ascii="Book Antiqua" w:eastAsia="宋体" w:hAnsi="Book Antiqua" w:cs="宋体"/>
          <w:lang w:val="en-US" w:eastAsia="zh-CN"/>
        </w:rPr>
        <w:lastRenderedPageBreak/>
        <w:t xml:space="preserve">colitis: results of a randomised controlled trial.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60</w:t>
      </w:r>
      <w:r w:rsidRPr="00A92058">
        <w:rPr>
          <w:rFonts w:ascii="Book Antiqua" w:eastAsia="宋体" w:hAnsi="Book Antiqua" w:cs="宋体"/>
          <w:lang w:val="en-US" w:eastAsia="zh-CN"/>
        </w:rPr>
        <w:t>: 780-787 [PMID: 21209123 DOI: 10.1136/gut.2010.221127]</w:t>
      </w:r>
    </w:p>
    <w:p w14:paraId="2C5B38B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55 </w:t>
      </w:r>
      <w:r w:rsidRPr="00A92058">
        <w:rPr>
          <w:rFonts w:ascii="Book Antiqua" w:eastAsia="宋体" w:hAnsi="Book Antiqua" w:cs="宋体"/>
          <w:b/>
          <w:bCs/>
          <w:lang w:val="en-US" w:eastAsia="zh-CN"/>
        </w:rPr>
        <w:t>Sandborn WJ</w:t>
      </w:r>
      <w:r w:rsidRPr="00A92058">
        <w:rPr>
          <w:rFonts w:ascii="Book Antiqua" w:eastAsia="宋体" w:hAnsi="Book Antiqua" w:cs="宋体"/>
          <w:lang w:val="en-US" w:eastAsia="zh-CN"/>
        </w:rPr>
        <w:t xml:space="preserve">, van Assche G, Reinisch W, Colombel JF, D'Haens G, Wolf DC, Kron M, Tighe MB, Lazar A, Thakkar RB. Adalimumab induces and maintains clinical remission in patients with moderate-to-severe ulcerative colitis.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142</w:t>
      </w:r>
      <w:r w:rsidRPr="00A92058">
        <w:rPr>
          <w:rFonts w:ascii="Book Antiqua" w:eastAsia="宋体" w:hAnsi="Book Antiqua" w:cs="宋体"/>
          <w:lang w:val="en-US" w:eastAsia="zh-CN"/>
        </w:rPr>
        <w:t>: 257-65.e1-3 [PMID: 22062358 DOI: 10.1053/j.gastro.2011.10.032]</w:t>
      </w:r>
    </w:p>
    <w:p w14:paraId="429BE188"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56 </w:t>
      </w:r>
      <w:r w:rsidRPr="00A92058">
        <w:rPr>
          <w:rFonts w:ascii="Book Antiqua" w:eastAsia="宋体" w:hAnsi="Book Antiqua" w:cs="宋体"/>
          <w:b/>
          <w:bCs/>
          <w:lang w:val="en-US" w:eastAsia="zh-CN"/>
        </w:rPr>
        <w:t>Feagan BG</w:t>
      </w:r>
      <w:r w:rsidRPr="00A92058">
        <w:rPr>
          <w:rFonts w:ascii="Book Antiqua" w:eastAsia="宋体" w:hAnsi="Book Antiqua" w:cs="宋体"/>
          <w:lang w:val="en-US" w:eastAsia="zh-CN"/>
        </w:rPr>
        <w:t xml:space="preserve">, Rutgeerts P, Sands BE, Hanauer S, Colombel JF, Sandborn WJ, Van Assche G, Axler J, Kim HJ, Danese S, Fox I, Milch C, Sankoh S, Wyant T, Xu J, Parikh A. Vedolizumab as induction and maintenance therapy for ulcerative colitis. </w:t>
      </w:r>
      <w:r w:rsidRPr="00A92058">
        <w:rPr>
          <w:rFonts w:ascii="Book Antiqua" w:eastAsia="宋体" w:hAnsi="Book Antiqua" w:cs="宋体"/>
          <w:i/>
          <w:iCs/>
          <w:lang w:val="en-US" w:eastAsia="zh-CN"/>
        </w:rPr>
        <w:t>N Engl J Med</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369</w:t>
      </w:r>
      <w:r w:rsidRPr="00A92058">
        <w:rPr>
          <w:rFonts w:ascii="Book Antiqua" w:eastAsia="宋体" w:hAnsi="Book Antiqua" w:cs="宋体"/>
          <w:lang w:val="en-US" w:eastAsia="zh-CN"/>
        </w:rPr>
        <w:t>: 699-710 [PMID: 23964932 DOI: 10.1056/NEJMoa1215734]</w:t>
      </w:r>
    </w:p>
    <w:p w14:paraId="7127ED74"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57 </w:t>
      </w:r>
      <w:r w:rsidRPr="00A92058">
        <w:rPr>
          <w:rFonts w:ascii="Book Antiqua" w:eastAsia="宋体" w:hAnsi="Book Antiqua" w:cs="宋体"/>
          <w:b/>
          <w:bCs/>
          <w:lang w:val="en-US" w:eastAsia="zh-CN"/>
        </w:rPr>
        <w:t>Sandborn WJ</w:t>
      </w:r>
      <w:r w:rsidRPr="00A92058">
        <w:rPr>
          <w:rFonts w:ascii="Book Antiqua" w:eastAsia="宋体" w:hAnsi="Book Antiqua" w:cs="宋体"/>
          <w:lang w:val="en-US" w:eastAsia="zh-CN"/>
        </w:rPr>
        <w:t xml:space="preserve">, Feagan BG, Rutgeerts P, Hanauer S, Colombel JF, Sands BE, Lukas M, Fedorak RN, Lee S, Bressler B, Fox I, Rosario M, Sankoh S, Xu J, Stephens K, Milch C, Parikh A. Vedolizumab as induction and maintenance therapy for Crohn's disease. </w:t>
      </w:r>
      <w:r w:rsidRPr="00A92058">
        <w:rPr>
          <w:rFonts w:ascii="Book Antiqua" w:eastAsia="宋体" w:hAnsi="Book Antiqua" w:cs="宋体"/>
          <w:i/>
          <w:iCs/>
          <w:lang w:val="en-US" w:eastAsia="zh-CN"/>
        </w:rPr>
        <w:t>N Engl J Med</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369</w:t>
      </w:r>
      <w:r w:rsidRPr="00A92058">
        <w:rPr>
          <w:rFonts w:ascii="Book Antiqua" w:eastAsia="宋体" w:hAnsi="Book Antiqua" w:cs="宋体"/>
          <w:lang w:val="en-US" w:eastAsia="zh-CN"/>
        </w:rPr>
        <w:t>: 711-721 [PMID: 23964933 DOI: 10.1056/NEJMoa1215739]</w:t>
      </w:r>
    </w:p>
    <w:p w14:paraId="23CD6D2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58 </w:t>
      </w:r>
      <w:r w:rsidRPr="00A92058">
        <w:rPr>
          <w:rFonts w:ascii="Book Antiqua" w:eastAsia="宋体" w:hAnsi="Book Antiqua" w:cs="宋体"/>
          <w:b/>
          <w:bCs/>
          <w:lang w:val="en-US" w:eastAsia="zh-CN"/>
        </w:rPr>
        <w:t>Laharie D</w:t>
      </w:r>
      <w:r w:rsidRPr="00A92058">
        <w:rPr>
          <w:rFonts w:ascii="Book Antiqua" w:eastAsia="宋体" w:hAnsi="Book Antiqua" w:cs="宋体"/>
          <w:lang w:val="en-US" w:eastAsia="zh-CN"/>
        </w:rPr>
        <w:t xml:space="preserve">, Filippi J, Roblin X, Nancey S, Chevaux JB, Hébuterne X, Flourié B, Capdepont M, Peyrin-Biroulet L. Impact of mucosal healing on long-term outcomes in ulcerative colitis treated with infliximab: a multicenter experience.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37</w:t>
      </w:r>
      <w:r w:rsidRPr="00A92058">
        <w:rPr>
          <w:rFonts w:ascii="Book Antiqua" w:eastAsia="宋体" w:hAnsi="Book Antiqua" w:cs="宋体"/>
          <w:lang w:val="en-US" w:eastAsia="zh-CN"/>
        </w:rPr>
        <w:t>: 998-1004 [PMID: 23521659 DOI: 10.1111/apt.12289]</w:t>
      </w:r>
    </w:p>
    <w:p w14:paraId="1AE2693C" w14:textId="41B3F94E"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59 </w:t>
      </w:r>
      <w:r w:rsidRPr="00A92058">
        <w:rPr>
          <w:rFonts w:ascii="Book Antiqua" w:eastAsia="宋体" w:hAnsi="Book Antiqua" w:cs="宋体"/>
          <w:b/>
          <w:bCs/>
          <w:lang w:val="en-US" w:eastAsia="zh-CN"/>
        </w:rPr>
        <w:t>Sandborn WJ</w:t>
      </w:r>
      <w:r w:rsidRPr="00A92058">
        <w:rPr>
          <w:rFonts w:ascii="Book Antiqua" w:eastAsia="宋体" w:hAnsi="Book Antiqua" w:cs="宋体"/>
          <w:lang w:val="en-US" w:eastAsia="zh-CN"/>
        </w:rPr>
        <w:t xml:space="preserve">, Feagan BG, Marano C, Zhang H, Strauss R, Johanns J, Adedokun OJ, Guzzo C, Colombel JF, Reinisch W, Gibson PR, Collins J, Järnerot G, Hibi T, Rutgeerts P. Subcutaneous golimumab induces clinical response and remission in patients with moderate-to-severe ulcerative colitis.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146</w:t>
      </w:r>
      <w:r w:rsidRPr="00A92058">
        <w:rPr>
          <w:rFonts w:ascii="Book Antiqua" w:eastAsia="宋体" w:hAnsi="Book Antiqua" w:cs="宋体"/>
          <w:lang w:val="en-US" w:eastAsia="zh-CN"/>
        </w:rPr>
        <w:t>: 85-95; quiz e14-</w:t>
      </w:r>
      <w:r w:rsidR="00D221F6">
        <w:rPr>
          <w:rFonts w:ascii="Book Antiqua" w:eastAsia="宋体" w:hAnsi="Book Antiqua" w:cs="宋体" w:hint="eastAsia"/>
          <w:lang w:val="en-US" w:eastAsia="zh-CN"/>
        </w:rPr>
        <w:t>1</w:t>
      </w:r>
      <w:r w:rsidRPr="00A92058">
        <w:rPr>
          <w:rFonts w:ascii="Book Antiqua" w:eastAsia="宋体" w:hAnsi="Book Antiqua" w:cs="宋体"/>
          <w:lang w:val="en-US" w:eastAsia="zh-CN"/>
        </w:rPr>
        <w:t xml:space="preserve">5 [PMID: 23735746 DOI: </w:t>
      </w:r>
      <w:r w:rsidR="00765262">
        <w:rPr>
          <w:rFonts w:ascii="Book Antiqua" w:eastAsia="宋体" w:hAnsi="Book Antiqua" w:cs="宋体" w:hint="eastAsia"/>
          <w:lang w:val="en-US" w:eastAsia="zh-CN"/>
        </w:rPr>
        <w:t>1</w:t>
      </w:r>
      <w:r w:rsidRPr="00A92058">
        <w:rPr>
          <w:rFonts w:ascii="Book Antiqua" w:eastAsia="宋体" w:hAnsi="Book Antiqua" w:cs="宋体"/>
          <w:lang w:val="en-US" w:eastAsia="zh-CN"/>
        </w:rPr>
        <w:t>0.1053/j.gastro.2013.05.048]</w:t>
      </w:r>
    </w:p>
    <w:p w14:paraId="7AEBEF5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60 </w:t>
      </w:r>
      <w:r w:rsidRPr="00A92058">
        <w:rPr>
          <w:rFonts w:ascii="Book Antiqua" w:eastAsia="宋体" w:hAnsi="Book Antiqua" w:cs="宋体"/>
          <w:b/>
          <w:bCs/>
          <w:lang w:val="en-US" w:eastAsia="zh-CN"/>
        </w:rPr>
        <w:t>D'Haens G</w:t>
      </w:r>
      <w:r w:rsidRPr="00A92058">
        <w:rPr>
          <w:rFonts w:ascii="Book Antiqua" w:eastAsia="宋体" w:hAnsi="Book Antiqua" w:cs="宋体"/>
          <w:lang w:val="en-US" w:eastAsia="zh-CN"/>
        </w:rPr>
        <w:t xml:space="preserve">, Geboes K, Ponette E, Penninckx F, Rutgeerts P. Healing of severe recurrent ileitis with azathioprine therapy in patients with Crohn's disease.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1997; </w:t>
      </w:r>
      <w:r w:rsidRPr="00A92058">
        <w:rPr>
          <w:rFonts w:ascii="Book Antiqua" w:eastAsia="宋体" w:hAnsi="Book Antiqua" w:cs="宋体"/>
          <w:b/>
          <w:bCs/>
          <w:lang w:val="en-US" w:eastAsia="zh-CN"/>
        </w:rPr>
        <w:t>112</w:t>
      </w:r>
      <w:r w:rsidRPr="00A92058">
        <w:rPr>
          <w:rFonts w:ascii="Book Antiqua" w:eastAsia="宋体" w:hAnsi="Book Antiqua" w:cs="宋体"/>
          <w:lang w:val="en-US" w:eastAsia="zh-CN"/>
        </w:rPr>
        <w:t>: 1475-1481 [PMID: 9136824 DOI: 10.1016/S0016-5085(97)70027-1]</w:t>
      </w:r>
    </w:p>
    <w:p w14:paraId="484B01C7"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61 </w:t>
      </w:r>
      <w:r w:rsidRPr="00A92058">
        <w:rPr>
          <w:rFonts w:ascii="Book Antiqua" w:eastAsia="宋体" w:hAnsi="Book Antiqua" w:cs="宋体"/>
          <w:b/>
          <w:bCs/>
          <w:lang w:val="en-US" w:eastAsia="zh-CN"/>
        </w:rPr>
        <w:t>Mantzaris GJ</w:t>
      </w:r>
      <w:r w:rsidRPr="00A92058">
        <w:rPr>
          <w:rFonts w:ascii="Book Antiqua" w:eastAsia="宋体" w:hAnsi="Book Antiqua" w:cs="宋体"/>
          <w:lang w:val="en-US" w:eastAsia="zh-CN"/>
        </w:rPr>
        <w:t xml:space="preserve">, Christidou A, Sfakianakis M, Roussos A, Koilakou S, Petraki K, Polyzou P. Azathioprine is superior to budesonide in achieving and maintaining mucosal healing and histologic remission in steroid-dependent Crohn's disease.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2009; </w:t>
      </w:r>
      <w:r w:rsidRPr="00A92058">
        <w:rPr>
          <w:rFonts w:ascii="Book Antiqua" w:eastAsia="宋体" w:hAnsi="Book Antiqua" w:cs="宋体"/>
          <w:b/>
          <w:bCs/>
          <w:lang w:val="en-US" w:eastAsia="zh-CN"/>
        </w:rPr>
        <w:t>15</w:t>
      </w:r>
      <w:r w:rsidRPr="00A92058">
        <w:rPr>
          <w:rFonts w:ascii="Book Antiqua" w:eastAsia="宋体" w:hAnsi="Book Antiqua" w:cs="宋体"/>
          <w:lang w:val="en-US" w:eastAsia="zh-CN"/>
        </w:rPr>
        <w:t>: 375-382 [PMID: 19009634 DOI: 10.1002/ibd.20777]</w:t>
      </w:r>
    </w:p>
    <w:p w14:paraId="00900949" w14:textId="30700432"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62 </w:t>
      </w:r>
      <w:r w:rsidRPr="00A92058">
        <w:rPr>
          <w:rFonts w:ascii="Book Antiqua" w:eastAsia="宋体" w:hAnsi="Book Antiqua" w:cs="宋体"/>
          <w:b/>
          <w:bCs/>
          <w:lang w:val="en-US" w:eastAsia="zh-CN"/>
        </w:rPr>
        <w:t>Laharie D</w:t>
      </w:r>
      <w:r w:rsidRPr="00A92058">
        <w:rPr>
          <w:rFonts w:ascii="Book Antiqua" w:eastAsia="宋体" w:hAnsi="Book Antiqua" w:cs="宋体"/>
          <w:lang w:val="en-US" w:eastAsia="zh-CN"/>
        </w:rPr>
        <w:t xml:space="preserve">, Reffet A, Belleannée G, Chabrun E, Subtil C, Razaire S, Capdepont M, de Lédinghen V. Mucosal healing with methotrexate in Crohn's disease: a prospective </w:t>
      </w:r>
      <w:r w:rsidRPr="00A92058">
        <w:rPr>
          <w:rFonts w:ascii="Book Antiqua" w:eastAsia="宋体" w:hAnsi="Book Antiqua" w:cs="宋体"/>
          <w:lang w:val="en-US" w:eastAsia="zh-CN"/>
        </w:rPr>
        <w:lastRenderedPageBreak/>
        <w:t xml:space="preserve">comparative study with azathioprine and infliximab.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2011; </w:t>
      </w:r>
      <w:r w:rsidRPr="00A92058">
        <w:rPr>
          <w:rFonts w:ascii="Book Antiqua" w:eastAsia="宋体" w:hAnsi="Book Antiqua" w:cs="宋体"/>
          <w:b/>
          <w:bCs/>
          <w:lang w:val="en-US" w:eastAsia="zh-CN"/>
        </w:rPr>
        <w:t>33</w:t>
      </w:r>
      <w:r w:rsidRPr="00A92058">
        <w:rPr>
          <w:rFonts w:ascii="Book Antiqua" w:eastAsia="宋体" w:hAnsi="Book Antiqua" w:cs="宋体"/>
          <w:lang w:val="en-US" w:eastAsia="zh-CN"/>
        </w:rPr>
        <w:t xml:space="preserve">: 714-721 [PMID: 21235604 DOI: </w:t>
      </w:r>
      <w:r w:rsidR="00765262">
        <w:rPr>
          <w:rFonts w:ascii="Book Antiqua" w:eastAsia="宋体" w:hAnsi="Book Antiqua" w:cs="宋体" w:hint="eastAsia"/>
          <w:lang w:val="en-US" w:eastAsia="zh-CN"/>
        </w:rPr>
        <w:t>1</w:t>
      </w:r>
      <w:r w:rsidRPr="00A92058">
        <w:rPr>
          <w:rFonts w:ascii="Book Antiqua" w:eastAsia="宋体" w:hAnsi="Book Antiqua" w:cs="宋体"/>
          <w:lang w:val="en-US" w:eastAsia="zh-CN"/>
        </w:rPr>
        <w:t>0.1111/j.1365-2036.2010.04569]</w:t>
      </w:r>
    </w:p>
    <w:p w14:paraId="30C0EEC4"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63 </w:t>
      </w:r>
      <w:r w:rsidRPr="00A92058">
        <w:rPr>
          <w:rFonts w:ascii="Book Antiqua" w:eastAsia="宋体" w:hAnsi="Book Antiqua" w:cs="宋体"/>
          <w:b/>
          <w:bCs/>
          <w:lang w:val="en-US" w:eastAsia="zh-CN"/>
        </w:rPr>
        <w:t>Colombel JF</w:t>
      </w:r>
      <w:r w:rsidRPr="00A92058">
        <w:rPr>
          <w:rFonts w:ascii="Book Antiqua" w:eastAsia="宋体" w:hAnsi="Book Antiqua" w:cs="宋体"/>
          <w:lang w:val="en-US" w:eastAsia="zh-CN"/>
        </w:rPr>
        <w:t xml:space="preserve">, Sandborn WJ, Reinisch W, Mantzaris GJ, Kornbluth A, Rachmilewitz D, Lichtiger S, D'Haens G, Diamond RH, Broussard DL, Tang KL, van der Woude CJ, Rutgeerts P. Infliximab, azathioprine, or combination therapy for Crohn's disease. </w:t>
      </w:r>
      <w:r w:rsidRPr="00A92058">
        <w:rPr>
          <w:rFonts w:ascii="Book Antiqua" w:eastAsia="宋体" w:hAnsi="Book Antiqua" w:cs="宋体"/>
          <w:i/>
          <w:iCs/>
          <w:lang w:val="en-US" w:eastAsia="zh-CN"/>
        </w:rPr>
        <w:t>N Engl J Med</w:t>
      </w:r>
      <w:r w:rsidRPr="00A92058">
        <w:rPr>
          <w:rFonts w:ascii="Book Antiqua" w:eastAsia="宋体" w:hAnsi="Book Antiqua" w:cs="宋体"/>
          <w:lang w:val="en-US" w:eastAsia="zh-CN"/>
        </w:rPr>
        <w:t xml:space="preserve"> 2010; </w:t>
      </w:r>
      <w:r w:rsidRPr="00A92058">
        <w:rPr>
          <w:rFonts w:ascii="Book Antiqua" w:eastAsia="宋体" w:hAnsi="Book Antiqua" w:cs="宋体"/>
          <w:b/>
          <w:bCs/>
          <w:lang w:val="en-US" w:eastAsia="zh-CN"/>
        </w:rPr>
        <w:t>362</w:t>
      </w:r>
      <w:r w:rsidRPr="00A92058">
        <w:rPr>
          <w:rFonts w:ascii="Book Antiqua" w:eastAsia="宋体" w:hAnsi="Book Antiqua" w:cs="宋体"/>
          <w:lang w:val="en-US" w:eastAsia="zh-CN"/>
        </w:rPr>
        <w:t>: 1383-1395 [PMID: 20393175 DOI: 10.1056/NEJMoa0904492]</w:t>
      </w:r>
    </w:p>
    <w:p w14:paraId="7494A65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64 </w:t>
      </w:r>
      <w:r w:rsidRPr="00A92058">
        <w:rPr>
          <w:rFonts w:ascii="Book Antiqua" w:eastAsia="宋体" w:hAnsi="Book Antiqua" w:cs="宋体"/>
          <w:b/>
          <w:bCs/>
          <w:lang w:val="en-US" w:eastAsia="zh-CN"/>
        </w:rPr>
        <w:t>Rutgeerts P</w:t>
      </w:r>
      <w:r w:rsidRPr="00A92058">
        <w:rPr>
          <w:rFonts w:ascii="Book Antiqua" w:eastAsia="宋体" w:hAnsi="Book Antiqua" w:cs="宋体"/>
          <w:lang w:val="en-US" w:eastAsia="zh-CN"/>
        </w:rPr>
        <w:t xml:space="preserve">, Van Assche G, Sandborn WJ, Wolf DC, Geboes K, Colombel JF, Reinisch W, Kumar A, Lazar A, Camez A, Lomax KG, Pollack PF, D'Haens G. Adalimumab induces and maintains mucosal healing in patients with Crohn's disease: data from the EXTEND trial.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142</w:t>
      </w:r>
      <w:r w:rsidRPr="00A92058">
        <w:rPr>
          <w:rFonts w:ascii="Book Antiqua" w:eastAsia="宋体" w:hAnsi="Book Antiqua" w:cs="宋体"/>
          <w:lang w:val="en-US" w:eastAsia="zh-CN"/>
        </w:rPr>
        <w:t>: 1102-1111.e2 [PMID: 22326435 DOI: 10.1053/j.gastro.2012.01.035]</w:t>
      </w:r>
    </w:p>
    <w:p w14:paraId="05BEA52D"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65 </w:t>
      </w:r>
      <w:r w:rsidRPr="00A92058">
        <w:rPr>
          <w:rFonts w:ascii="Book Antiqua" w:eastAsia="宋体" w:hAnsi="Book Antiqua" w:cs="宋体"/>
          <w:b/>
          <w:bCs/>
          <w:lang w:val="en-US" w:eastAsia="zh-CN"/>
        </w:rPr>
        <w:t>Fraser AG</w:t>
      </w:r>
      <w:r w:rsidRPr="00A92058">
        <w:rPr>
          <w:rFonts w:ascii="Book Antiqua" w:eastAsia="宋体" w:hAnsi="Book Antiqua" w:cs="宋体"/>
          <w:lang w:val="en-US" w:eastAsia="zh-CN"/>
        </w:rPr>
        <w:t xml:space="preserve">, Orchard TR, Jewell DP. The efficacy of azathioprine for the treatment of inflammatory bowel disease: a 30 year review.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2002; </w:t>
      </w:r>
      <w:r w:rsidRPr="00A92058">
        <w:rPr>
          <w:rFonts w:ascii="Book Antiqua" w:eastAsia="宋体" w:hAnsi="Book Antiqua" w:cs="宋体"/>
          <w:b/>
          <w:bCs/>
          <w:lang w:val="en-US" w:eastAsia="zh-CN"/>
        </w:rPr>
        <w:t>50</w:t>
      </w:r>
      <w:r w:rsidRPr="00A92058">
        <w:rPr>
          <w:rFonts w:ascii="Book Antiqua" w:eastAsia="宋体" w:hAnsi="Book Antiqua" w:cs="宋体"/>
          <w:lang w:val="en-US" w:eastAsia="zh-CN"/>
        </w:rPr>
        <w:t>: 485-489 [PMID: 11889067 DOI: 10.1136/gut.50.4.485]</w:t>
      </w:r>
    </w:p>
    <w:p w14:paraId="7DD35C60"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66 </w:t>
      </w:r>
      <w:r w:rsidRPr="00A92058">
        <w:rPr>
          <w:rFonts w:ascii="Book Antiqua" w:eastAsia="宋体" w:hAnsi="Book Antiqua" w:cs="宋体"/>
          <w:b/>
          <w:bCs/>
          <w:lang w:val="en-US" w:eastAsia="zh-CN"/>
        </w:rPr>
        <w:t>Lobel EZ</w:t>
      </w:r>
      <w:r w:rsidRPr="00A92058">
        <w:rPr>
          <w:rFonts w:ascii="Book Antiqua" w:eastAsia="宋体" w:hAnsi="Book Antiqua" w:cs="宋体"/>
          <w:lang w:val="en-US" w:eastAsia="zh-CN"/>
        </w:rPr>
        <w:t xml:space="preserve">, Korelitz BI, Xuereb MA, Panagopoulos G. </w:t>
      </w:r>
      <w:proofErr w:type="gramStart"/>
      <w:r w:rsidRPr="00A92058">
        <w:rPr>
          <w:rFonts w:ascii="Book Antiqua" w:eastAsia="宋体" w:hAnsi="Book Antiqua" w:cs="宋体"/>
          <w:lang w:val="en-US" w:eastAsia="zh-CN"/>
        </w:rPr>
        <w:t>A search for the optimal duration of treatment with 6-mercaptopurine for ulcerative colitis.</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Am J Gastroenterol</w:t>
      </w:r>
      <w:r w:rsidRPr="00A92058">
        <w:rPr>
          <w:rFonts w:ascii="Book Antiqua" w:eastAsia="宋体" w:hAnsi="Book Antiqua" w:cs="宋体"/>
          <w:lang w:val="en-US" w:eastAsia="zh-CN"/>
        </w:rPr>
        <w:t xml:space="preserve"> 2004; </w:t>
      </w:r>
      <w:r w:rsidRPr="00A92058">
        <w:rPr>
          <w:rFonts w:ascii="Book Antiqua" w:eastAsia="宋体" w:hAnsi="Book Antiqua" w:cs="宋体"/>
          <w:b/>
          <w:bCs/>
          <w:lang w:val="en-US" w:eastAsia="zh-CN"/>
        </w:rPr>
        <w:t>99</w:t>
      </w:r>
      <w:r w:rsidRPr="00A92058">
        <w:rPr>
          <w:rFonts w:ascii="Book Antiqua" w:eastAsia="宋体" w:hAnsi="Book Antiqua" w:cs="宋体"/>
          <w:lang w:val="en-US" w:eastAsia="zh-CN"/>
        </w:rPr>
        <w:t>: 462-465 [PMID: 15056086 DOI: 10.1111/j.1572-0241.2004.04104]</w:t>
      </w:r>
    </w:p>
    <w:p w14:paraId="308BD573"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67 </w:t>
      </w:r>
      <w:r w:rsidRPr="00A92058">
        <w:rPr>
          <w:rFonts w:ascii="Book Antiqua" w:eastAsia="宋体" w:hAnsi="Book Antiqua" w:cs="宋体"/>
          <w:b/>
          <w:bCs/>
          <w:lang w:val="en-US" w:eastAsia="zh-CN"/>
        </w:rPr>
        <w:t>Lémann M</w:t>
      </w:r>
      <w:r w:rsidRPr="00A92058">
        <w:rPr>
          <w:rFonts w:ascii="Book Antiqua" w:eastAsia="宋体" w:hAnsi="Book Antiqua" w:cs="宋体"/>
          <w:lang w:val="en-US" w:eastAsia="zh-CN"/>
        </w:rPr>
        <w:t xml:space="preserve">, Mary JY, Colombel JF, Duclos B, Soule JC, Lerebours E, Modigliani R, Bouhnik Y. A randomized, double-blind, controlled withdrawal trial in Crohn's disease patients in long-term remission on azathioprine.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2005; </w:t>
      </w:r>
      <w:r w:rsidRPr="00A92058">
        <w:rPr>
          <w:rFonts w:ascii="Book Antiqua" w:eastAsia="宋体" w:hAnsi="Book Antiqua" w:cs="宋体"/>
          <w:b/>
          <w:bCs/>
          <w:lang w:val="en-US" w:eastAsia="zh-CN"/>
        </w:rPr>
        <w:t>128</w:t>
      </w:r>
      <w:r w:rsidRPr="00A92058">
        <w:rPr>
          <w:rFonts w:ascii="Book Antiqua" w:eastAsia="宋体" w:hAnsi="Book Antiqua" w:cs="宋体"/>
          <w:lang w:val="en-US" w:eastAsia="zh-CN"/>
        </w:rPr>
        <w:t>: 1812-1818 [PMID: 15940616 DOI: 10.1053/gast.1996.v110.pm8608877]</w:t>
      </w:r>
    </w:p>
    <w:p w14:paraId="7F8858F1" w14:textId="545DCA5B"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68 </w:t>
      </w:r>
      <w:r w:rsidRPr="00A92058">
        <w:rPr>
          <w:rFonts w:ascii="Book Antiqua" w:eastAsia="宋体" w:hAnsi="Book Antiqua" w:cs="宋体"/>
          <w:b/>
          <w:bCs/>
          <w:lang w:val="en-US" w:eastAsia="zh-CN"/>
        </w:rPr>
        <w:t>Cassinotti A</w:t>
      </w:r>
      <w:r w:rsidRPr="00A92058">
        <w:rPr>
          <w:rFonts w:ascii="Book Antiqua" w:eastAsia="宋体" w:hAnsi="Book Antiqua" w:cs="宋体"/>
          <w:lang w:val="en-US" w:eastAsia="zh-CN"/>
        </w:rPr>
        <w:t xml:space="preserve">, Actis GC, Duca P, Massari A, Colombo E, Gai E, Annese V, D'Albasio G, Manes G, Travis S, Porro GB, Ardizzone S. Maintenance treatment with azathioprine in ulcerative colitis: outcome and predictive factors after drug withdrawal. </w:t>
      </w:r>
      <w:r w:rsidRPr="00A92058">
        <w:rPr>
          <w:rFonts w:ascii="Book Antiqua" w:eastAsia="宋体" w:hAnsi="Book Antiqua" w:cs="宋体"/>
          <w:i/>
          <w:iCs/>
          <w:lang w:val="en-US" w:eastAsia="zh-CN"/>
        </w:rPr>
        <w:t>Am J Gastroenterol</w:t>
      </w:r>
      <w:r w:rsidRPr="00A92058">
        <w:rPr>
          <w:rFonts w:ascii="Book Antiqua" w:eastAsia="宋体" w:hAnsi="Book Antiqua" w:cs="宋体"/>
          <w:lang w:val="en-US" w:eastAsia="zh-CN"/>
        </w:rPr>
        <w:t xml:space="preserve"> 2009; </w:t>
      </w:r>
      <w:r w:rsidRPr="00A92058">
        <w:rPr>
          <w:rFonts w:ascii="Book Antiqua" w:eastAsia="宋体" w:hAnsi="Book Antiqua" w:cs="宋体"/>
          <w:b/>
          <w:bCs/>
          <w:lang w:val="en-US" w:eastAsia="zh-CN"/>
        </w:rPr>
        <w:t>104</w:t>
      </w:r>
      <w:r w:rsidRPr="00A92058">
        <w:rPr>
          <w:rFonts w:ascii="Book Antiqua" w:eastAsia="宋体" w:hAnsi="Book Antiqua" w:cs="宋体"/>
          <w:lang w:val="en-US" w:eastAsia="zh-CN"/>
        </w:rPr>
        <w:t xml:space="preserve">: 2760-2767 [PMID: 19623172 DOI: </w:t>
      </w:r>
      <w:r w:rsidR="00765262">
        <w:rPr>
          <w:rFonts w:ascii="Book Antiqua" w:eastAsia="宋体" w:hAnsi="Book Antiqua" w:cs="宋体" w:hint="eastAsia"/>
          <w:lang w:val="en-US" w:eastAsia="zh-CN"/>
        </w:rPr>
        <w:t>1</w:t>
      </w:r>
      <w:r w:rsidRPr="00A92058">
        <w:rPr>
          <w:rFonts w:ascii="Book Antiqua" w:eastAsia="宋体" w:hAnsi="Book Antiqua" w:cs="宋体"/>
          <w:lang w:val="en-US" w:eastAsia="zh-CN"/>
        </w:rPr>
        <w:t>0.1038/ajg.2009.410]</w:t>
      </w:r>
    </w:p>
    <w:p w14:paraId="2CC9104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69 </w:t>
      </w:r>
      <w:r w:rsidRPr="00A92058">
        <w:rPr>
          <w:rFonts w:ascii="Book Antiqua" w:eastAsia="宋体" w:hAnsi="Book Antiqua" w:cs="宋体"/>
          <w:b/>
          <w:bCs/>
          <w:lang w:val="en-US" w:eastAsia="zh-CN"/>
        </w:rPr>
        <w:t>Treton X</w:t>
      </w:r>
      <w:r w:rsidRPr="00A92058">
        <w:rPr>
          <w:rFonts w:ascii="Book Antiqua" w:eastAsia="宋体" w:hAnsi="Book Antiqua" w:cs="宋体"/>
          <w:lang w:val="en-US" w:eastAsia="zh-CN"/>
        </w:rPr>
        <w:t xml:space="preserve">, Bouhnik Y, Mary JY, Colombel JF, Duclos B, Soule JC, Lerebours E, Cosnes J, Lemann M. Azathioprine withdrawal in patients with Crohn's disease maintained on prolonged remission: a high risk of relapse.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2009; </w:t>
      </w:r>
      <w:r w:rsidRPr="00A92058">
        <w:rPr>
          <w:rFonts w:ascii="Book Antiqua" w:eastAsia="宋体" w:hAnsi="Book Antiqua" w:cs="宋体"/>
          <w:b/>
          <w:bCs/>
          <w:lang w:val="en-US" w:eastAsia="zh-CN"/>
        </w:rPr>
        <w:t>7</w:t>
      </w:r>
      <w:r w:rsidRPr="00A92058">
        <w:rPr>
          <w:rFonts w:ascii="Book Antiqua" w:eastAsia="宋体" w:hAnsi="Book Antiqua" w:cs="宋体"/>
          <w:lang w:val="en-US" w:eastAsia="zh-CN"/>
        </w:rPr>
        <w:t>: 80-85 [PMID: 18849016 DOI: 10.1016/j.cgh.2008.08.028]</w:t>
      </w:r>
    </w:p>
    <w:p w14:paraId="38828860"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70 </w:t>
      </w:r>
      <w:r w:rsidRPr="00A92058">
        <w:rPr>
          <w:rFonts w:ascii="Book Antiqua" w:eastAsia="宋体" w:hAnsi="Book Antiqua" w:cs="宋体"/>
          <w:b/>
          <w:bCs/>
          <w:lang w:val="en-US" w:eastAsia="zh-CN"/>
        </w:rPr>
        <w:t>Kennedy NA</w:t>
      </w:r>
      <w:r w:rsidRPr="00A92058">
        <w:rPr>
          <w:rFonts w:ascii="Book Antiqua" w:eastAsia="宋体" w:hAnsi="Book Antiqua" w:cs="宋体"/>
          <w:lang w:val="en-US" w:eastAsia="zh-CN"/>
        </w:rPr>
        <w:t xml:space="preserve">, Kalla R, Warner B, Gambles CJ, Musy R, Reynolds S, Dattani R, Nayee H, Felwick R, Harris R, Marriott S, Senanayake SM, Lamb CA, Al-Hilou H, Gaya DR, Irving PM, Mansfield J, Parkes M, Ahmad T, Cummings JR, Arnott ID, Satsangi J, Lobo AJ, Smith M, Lindsay JO, Lees CW. Thiopurine withdrawal during sustained clinical remission in </w:t>
      </w:r>
      <w:r w:rsidRPr="00A92058">
        <w:rPr>
          <w:rFonts w:ascii="Book Antiqua" w:eastAsia="宋体" w:hAnsi="Book Antiqua" w:cs="宋体"/>
          <w:lang w:val="en-US" w:eastAsia="zh-CN"/>
        </w:rPr>
        <w:lastRenderedPageBreak/>
        <w:t xml:space="preserve">inflammatory bowel disease: relapse and recapture rates, with predictive factors in 237 patients.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40</w:t>
      </w:r>
      <w:r w:rsidRPr="00A92058">
        <w:rPr>
          <w:rFonts w:ascii="Book Antiqua" w:eastAsia="宋体" w:hAnsi="Book Antiqua" w:cs="宋体"/>
          <w:lang w:val="en-US" w:eastAsia="zh-CN"/>
        </w:rPr>
        <w:t>: 1313-1323 [PMID: 25284134 DOI: 10.1111/apt.12980]</w:t>
      </w:r>
    </w:p>
    <w:p w14:paraId="02B6AC23"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71 </w:t>
      </w:r>
      <w:r w:rsidRPr="00A92058">
        <w:rPr>
          <w:rFonts w:ascii="Book Antiqua" w:eastAsia="宋体" w:hAnsi="Book Antiqua" w:cs="宋体"/>
          <w:b/>
          <w:bCs/>
          <w:lang w:val="en-US" w:eastAsia="zh-CN"/>
        </w:rPr>
        <w:t>Moreno-Rincón E</w:t>
      </w:r>
      <w:r w:rsidRPr="00A92058">
        <w:rPr>
          <w:rFonts w:ascii="Book Antiqua" w:eastAsia="宋体" w:hAnsi="Book Antiqua" w:cs="宋体"/>
          <w:lang w:val="en-US" w:eastAsia="zh-CN"/>
        </w:rPr>
        <w:t xml:space="preserve">, Benítez JM, Serrano-Ruiz FJ, Vázquez-Morón JM, Pallarés-Manrique H, Herrera-Justiniano JM, Leo-Carnerero E, Gómez-García MR, Cabello-Tapia MJ, Castro-Fernández M, Rojas-Feria M, Castro-Laria L, Argüelles-Arias F, Camargo-Camero R, Alcaín-Martínez G, Iglesias-Flores E, García-Sánchez V. Prognosis of Patients with Ulcerative Colitis in Sustained Remission After Thiopurines Withdrawal.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21</w:t>
      </w:r>
      <w:r w:rsidRPr="00A92058">
        <w:rPr>
          <w:rFonts w:ascii="Book Antiqua" w:eastAsia="宋体" w:hAnsi="Book Antiqua" w:cs="宋体"/>
          <w:lang w:val="en-US" w:eastAsia="zh-CN"/>
        </w:rPr>
        <w:t>: 1564-1571 [PMID: 26070002 DOI: 10.1097/MIB.0000000000000400]</w:t>
      </w:r>
    </w:p>
    <w:p w14:paraId="34F6655A" w14:textId="70838FE9" w:rsidR="00A92058" w:rsidRPr="00A92058" w:rsidRDefault="00D221F6" w:rsidP="00A92058">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72 </w:t>
      </w:r>
      <w:r w:rsidR="00A92058" w:rsidRPr="00A92058">
        <w:rPr>
          <w:rFonts w:ascii="Book Antiqua" w:eastAsia="宋体" w:hAnsi="Book Antiqua" w:cs="宋体"/>
          <w:b/>
          <w:lang w:val="en-US" w:eastAsia="zh-CN"/>
        </w:rPr>
        <w:t>Qiu Y</w:t>
      </w:r>
      <w:r w:rsidR="00A92058" w:rsidRPr="00A92058">
        <w:rPr>
          <w:rFonts w:ascii="Book Antiqua" w:eastAsia="宋体" w:hAnsi="Book Antiqua" w:cs="宋体"/>
          <w:lang w:val="en-US" w:eastAsia="zh-CN"/>
        </w:rPr>
        <w:t xml:space="preserve">, Mao R, Chen BI, Y. </w:t>
      </w:r>
      <w:proofErr w:type="gramStart"/>
      <w:r w:rsidR="00A92058" w:rsidRPr="00A92058">
        <w:rPr>
          <w:rFonts w:ascii="Book Antiqua" w:eastAsia="宋体" w:hAnsi="Book Antiqua" w:cs="宋体"/>
          <w:lang w:val="en-US" w:eastAsia="zh-CN"/>
        </w:rPr>
        <w:t>He, Zeng ZR, Chen MH.</w:t>
      </w:r>
      <w:proofErr w:type="gramEnd"/>
      <w:r w:rsidR="00A92058" w:rsidRPr="00A92058">
        <w:rPr>
          <w:rFonts w:ascii="Book Antiqua" w:eastAsia="宋体" w:hAnsi="Book Antiqua" w:cs="宋体"/>
          <w:lang w:val="en-US" w:eastAsia="zh-CN"/>
        </w:rPr>
        <w:t xml:space="preserve"> DOP064 Predictors of disease relapse of patients with Crohn's disease in Deep Remission: Who and when can withdraw thiopurine maintenance therapy? </w:t>
      </w:r>
      <w:proofErr w:type="gramStart"/>
      <w:r w:rsidR="00A92058" w:rsidRPr="00A92058">
        <w:rPr>
          <w:rFonts w:ascii="Book Antiqua" w:eastAsia="宋体" w:hAnsi="Book Antiqua" w:cs="宋体"/>
          <w:lang w:val="en-US" w:eastAsia="zh-CN"/>
        </w:rPr>
        <w:t>Proceedings of 10th Congress of ECCO.</w:t>
      </w:r>
      <w:proofErr w:type="gramEnd"/>
      <w:r w:rsidR="00A92058" w:rsidRPr="00A92058">
        <w:rPr>
          <w:rFonts w:ascii="Book Antiqua" w:eastAsia="宋体" w:hAnsi="Book Antiqua" w:cs="宋体"/>
          <w:lang w:val="en-US" w:eastAsia="zh-CN"/>
        </w:rPr>
        <w:t xml:space="preserve"> Barcelona, Spain, 2015 Feb 18-</w:t>
      </w:r>
      <w:r w:rsidR="000F2E17">
        <w:rPr>
          <w:rFonts w:ascii="Book Antiqua" w:eastAsia="宋体" w:hAnsi="Book Antiqua" w:cs="宋体"/>
          <w:lang w:val="en-US" w:eastAsia="zh-CN"/>
        </w:rPr>
        <w:t>21. Available from: URL: https:</w:t>
      </w:r>
      <w:r w:rsidR="00A92058" w:rsidRPr="00A92058">
        <w:rPr>
          <w:rFonts w:ascii="Book Antiqua" w:eastAsia="宋体" w:hAnsi="Book Antiqua" w:cs="宋体"/>
          <w:lang w:val="en-US" w:eastAsia="zh-CN"/>
        </w:rPr>
        <w:t>//www.ecco-ibd.eu/index.php/publications/congress-abstract-s/abstracts-2015/item/dop064-predictors-of-disease-relapse-of-patients-with-crohnaposs-disease-in-deep-remission-who-and-when-can-withdraw-thiopurine-maintenance-therapy.html</w:t>
      </w:r>
    </w:p>
    <w:p w14:paraId="6B9AEEBC"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73 </w:t>
      </w:r>
      <w:r w:rsidRPr="00A92058">
        <w:rPr>
          <w:rFonts w:ascii="Book Antiqua" w:eastAsia="宋体" w:hAnsi="Book Antiqua" w:cs="宋体"/>
          <w:b/>
          <w:bCs/>
          <w:lang w:val="en-US" w:eastAsia="zh-CN"/>
        </w:rPr>
        <w:t>Van Assche G</w:t>
      </w:r>
      <w:r w:rsidRPr="00A92058">
        <w:rPr>
          <w:rFonts w:ascii="Book Antiqua" w:eastAsia="宋体" w:hAnsi="Book Antiqua" w:cs="宋体"/>
          <w:lang w:val="en-US" w:eastAsia="zh-CN"/>
        </w:rPr>
        <w:t xml:space="preserve">, Magdelaine-Beuzelin C, D'Haens G, Baert F, Noman M, Vermeire S, Ternant D, Watier H, Paintaud G, Rutgeerts P. Withdrawal of immunosuppression in Crohn's disease treated with scheduled infliximab maintenance: a randomized trial.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134</w:t>
      </w:r>
      <w:r w:rsidRPr="00A92058">
        <w:rPr>
          <w:rFonts w:ascii="Book Antiqua" w:eastAsia="宋体" w:hAnsi="Book Antiqua" w:cs="宋体"/>
          <w:lang w:val="en-US" w:eastAsia="zh-CN"/>
        </w:rPr>
        <w:t>: 1861-1868 [PMID: 18440315 DOI: 10.1053/j.gastro.2008.03.004]</w:t>
      </w:r>
    </w:p>
    <w:p w14:paraId="31C58641" w14:textId="2D28D6E2"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74 </w:t>
      </w:r>
      <w:r w:rsidRPr="00A92058">
        <w:rPr>
          <w:rFonts w:ascii="Book Antiqua" w:eastAsia="宋体" w:hAnsi="Book Antiqua" w:cs="宋体"/>
          <w:b/>
          <w:bCs/>
          <w:lang w:val="en-US" w:eastAsia="zh-CN"/>
        </w:rPr>
        <w:t>Waugh AW</w:t>
      </w:r>
      <w:r w:rsidRPr="00A92058">
        <w:rPr>
          <w:rFonts w:ascii="Book Antiqua" w:eastAsia="宋体" w:hAnsi="Book Antiqua" w:cs="宋体"/>
          <w:lang w:val="en-US" w:eastAsia="zh-CN"/>
        </w:rPr>
        <w:t xml:space="preserve">, Garg S, Matic K, Gramlich L, Wong C, Sadowski DC, Millan M, Bailey R, Todoruk D, Cherry R, Teshima CW, Dieleman L, Fedorak RN. Maintenance of clinical benefit in Crohn's disease patients after discontinuation of infliximab: long-term follow-up of a single centre cohort.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2010; </w:t>
      </w:r>
      <w:r w:rsidRPr="00A92058">
        <w:rPr>
          <w:rFonts w:ascii="Book Antiqua" w:eastAsia="宋体" w:hAnsi="Book Antiqua" w:cs="宋体"/>
          <w:b/>
          <w:bCs/>
          <w:lang w:val="en-US" w:eastAsia="zh-CN"/>
        </w:rPr>
        <w:t>32</w:t>
      </w:r>
      <w:r w:rsidRPr="00A92058">
        <w:rPr>
          <w:rFonts w:ascii="Book Antiqua" w:eastAsia="宋体" w:hAnsi="Book Antiqua" w:cs="宋体"/>
          <w:lang w:val="en-US" w:eastAsia="zh-CN"/>
        </w:rPr>
        <w:t xml:space="preserve">: 1129-1134 [PMID: 20807218 DOI: </w:t>
      </w:r>
      <w:r w:rsidR="00765262">
        <w:rPr>
          <w:rFonts w:ascii="Book Antiqua" w:eastAsia="宋体" w:hAnsi="Book Antiqua" w:cs="宋体" w:hint="eastAsia"/>
          <w:lang w:val="en-US" w:eastAsia="zh-CN"/>
        </w:rPr>
        <w:t>1</w:t>
      </w:r>
      <w:r w:rsidRPr="00A92058">
        <w:rPr>
          <w:rFonts w:ascii="Book Antiqua" w:eastAsia="宋体" w:hAnsi="Book Antiqua" w:cs="宋体"/>
          <w:lang w:val="en-US" w:eastAsia="zh-CN"/>
        </w:rPr>
        <w:t>0.1111/j.1365-2036.2010.04446]</w:t>
      </w:r>
    </w:p>
    <w:p w14:paraId="01BC2B15"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75 </w:t>
      </w:r>
      <w:r w:rsidRPr="00A92058">
        <w:rPr>
          <w:rFonts w:ascii="Book Antiqua" w:eastAsia="宋体" w:hAnsi="Book Antiqua" w:cs="宋体"/>
          <w:b/>
          <w:bCs/>
          <w:lang w:val="en-US" w:eastAsia="zh-CN"/>
        </w:rPr>
        <w:t>Louis E</w:t>
      </w:r>
      <w:r w:rsidRPr="00A92058">
        <w:rPr>
          <w:rFonts w:ascii="Book Antiqua" w:eastAsia="宋体" w:hAnsi="Book Antiqua" w:cs="宋体"/>
          <w:lang w:val="en-US" w:eastAsia="zh-CN"/>
        </w:rPr>
        <w:t xml:space="preserve">, Mary JY, Vernier-Massouille G, Grimaud JC, Bouhnik Y, Laharie D, Dupas JL, Pillant H, Picon L, Veyrac M, Flamant M, Savoye G, Jian R, Devos M, Porcher R, Paintaud G, Piver E, Colombel JF, Lemann M. Maintenance of remission among patients with Crohn's disease on antimetabolite therapy after infliximab therapy is stopped. </w:t>
      </w:r>
      <w:r w:rsidRPr="00A92058">
        <w:rPr>
          <w:rFonts w:ascii="Book Antiqua" w:eastAsia="宋体" w:hAnsi="Book Antiqua" w:cs="宋体"/>
          <w:i/>
          <w:iCs/>
          <w:lang w:val="en-US" w:eastAsia="zh-CN"/>
        </w:rPr>
        <w:t>Gastroenterology</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142</w:t>
      </w:r>
      <w:r w:rsidRPr="00A92058">
        <w:rPr>
          <w:rFonts w:ascii="Book Antiqua" w:eastAsia="宋体" w:hAnsi="Book Antiqua" w:cs="宋体"/>
          <w:lang w:val="en-US" w:eastAsia="zh-CN"/>
        </w:rPr>
        <w:t>: 63-70.e5; quiz e31 [PMID: 21945953 DOI: 10.1053/j.gastro.2011.09.034]</w:t>
      </w:r>
    </w:p>
    <w:p w14:paraId="2ACD7256"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76 </w:t>
      </w:r>
      <w:r w:rsidRPr="00A92058">
        <w:rPr>
          <w:rFonts w:ascii="Book Antiqua" w:eastAsia="宋体" w:hAnsi="Book Antiqua" w:cs="宋体"/>
          <w:b/>
          <w:bCs/>
          <w:lang w:val="en-US" w:eastAsia="zh-CN"/>
        </w:rPr>
        <w:t>Steenholdt C</w:t>
      </w:r>
      <w:r w:rsidRPr="00A92058">
        <w:rPr>
          <w:rFonts w:ascii="Book Antiqua" w:eastAsia="宋体" w:hAnsi="Book Antiqua" w:cs="宋体"/>
          <w:lang w:val="en-US" w:eastAsia="zh-CN"/>
        </w:rPr>
        <w:t xml:space="preserve">, Molazahi A, Ainsworth MA, Brynskov J, Østergaard Thomsen O, Seidelin JB. Outcome after discontinuation of infliximab in patients with inflammatory </w:t>
      </w:r>
      <w:r w:rsidRPr="00A92058">
        <w:rPr>
          <w:rFonts w:ascii="Book Antiqua" w:eastAsia="宋体" w:hAnsi="Book Antiqua" w:cs="宋体"/>
          <w:lang w:val="en-US" w:eastAsia="zh-CN"/>
        </w:rPr>
        <w:lastRenderedPageBreak/>
        <w:t xml:space="preserve">bowel disease in clinical remission: an observational Danish single center study. </w:t>
      </w:r>
      <w:r w:rsidRPr="00A92058">
        <w:rPr>
          <w:rFonts w:ascii="Book Antiqua" w:eastAsia="宋体" w:hAnsi="Book Antiqua" w:cs="宋体"/>
          <w:i/>
          <w:iCs/>
          <w:lang w:val="en-US" w:eastAsia="zh-CN"/>
        </w:rPr>
        <w:t>Scand J Gastroenterol</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47</w:t>
      </w:r>
      <w:r w:rsidRPr="00A92058">
        <w:rPr>
          <w:rFonts w:ascii="Book Antiqua" w:eastAsia="宋体" w:hAnsi="Book Antiqua" w:cs="宋体"/>
          <w:lang w:val="en-US" w:eastAsia="zh-CN"/>
        </w:rPr>
        <w:t>: 518-527 [PMID: 22375898 DOI: 10.3109/00365521.2012.660541]</w:t>
      </w:r>
    </w:p>
    <w:p w14:paraId="26A81F71"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77 </w:t>
      </w:r>
      <w:r w:rsidRPr="00A92058">
        <w:rPr>
          <w:rFonts w:ascii="Book Antiqua" w:eastAsia="宋体" w:hAnsi="Book Antiqua" w:cs="宋体"/>
          <w:b/>
          <w:bCs/>
          <w:lang w:val="en-US" w:eastAsia="zh-CN"/>
        </w:rPr>
        <w:t>Molnár T</w:t>
      </w:r>
      <w:r w:rsidRPr="00A92058">
        <w:rPr>
          <w:rFonts w:ascii="Book Antiqua" w:eastAsia="宋体" w:hAnsi="Book Antiqua" w:cs="宋体"/>
          <w:lang w:val="en-US" w:eastAsia="zh-CN"/>
        </w:rPr>
        <w:t>, Lakatos PL, Farkas K, Nagy F, Szepes Z, Miheller P, Horváth G, Papp M, Palatka K, Nyári T, Bálint A, L</w:t>
      </w:r>
      <w:r w:rsidRPr="00A92058">
        <w:rPr>
          <w:rFonts w:ascii="Book Antiqua" w:eastAsia="MS Mincho" w:hAnsi="Book Antiqua" w:cs="MS Mincho"/>
          <w:lang w:val="en-US" w:eastAsia="zh-CN"/>
        </w:rPr>
        <w:t>ő</w:t>
      </w:r>
      <w:r w:rsidRPr="00A92058">
        <w:rPr>
          <w:rFonts w:ascii="Book Antiqua" w:eastAsia="宋体" w:hAnsi="Book Antiqua" w:cs="宋体"/>
          <w:lang w:val="en-US" w:eastAsia="zh-CN"/>
        </w:rPr>
        <w:t xml:space="preserve">rinczy K, Wittmann T. Predictors of relapse in patients with Crohn's disease in remission after 1 year of biological therapy.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37</w:t>
      </w:r>
      <w:r w:rsidRPr="00A92058">
        <w:rPr>
          <w:rFonts w:ascii="Book Antiqua" w:eastAsia="宋体" w:hAnsi="Book Antiqua" w:cs="宋体"/>
          <w:lang w:val="en-US" w:eastAsia="zh-CN"/>
        </w:rPr>
        <w:t>: 225-233 [PMID: 23181359 DOI: 10.1111/apt.12160]</w:t>
      </w:r>
    </w:p>
    <w:p w14:paraId="1ACB067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78 </w:t>
      </w:r>
      <w:r w:rsidRPr="00A92058">
        <w:rPr>
          <w:rFonts w:ascii="Book Antiqua" w:eastAsia="宋体" w:hAnsi="Book Antiqua" w:cs="宋体"/>
          <w:b/>
          <w:bCs/>
          <w:lang w:val="en-US" w:eastAsia="zh-CN"/>
        </w:rPr>
        <w:t>Farkas K</w:t>
      </w:r>
      <w:r w:rsidRPr="00A92058">
        <w:rPr>
          <w:rFonts w:ascii="Book Antiqua" w:eastAsia="宋体" w:hAnsi="Book Antiqua" w:cs="宋体"/>
          <w:lang w:val="en-US" w:eastAsia="zh-CN"/>
        </w:rPr>
        <w:t xml:space="preserve">, Lakatos PL, Nagy F, Szepes Z, Miheller P, Papp M, Palatka K, Bálint A, Bor R, Wittmann T, Molnár T. Predictors of relapse in patients with ulcerative colitis in remission after one-year of infliximab therapy. </w:t>
      </w:r>
      <w:r w:rsidRPr="00A92058">
        <w:rPr>
          <w:rFonts w:ascii="Book Antiqua" w:eastAsia="宋体" w:hAnsi="Book Antiqua" w:cs="宋体"/>
          <w:i/>
          <w:iCs/>
          <w:lang w:val="en-US" w:eastAsia="zh-CN"/>
        </w:rPr>
        <w:t>Scand J Gastroenterol</w:t>
      </w:r>
      <w:r w:rsidRPr="00A92058">
        <w:rPr>
          <w:rFonts w:ascii="Book Antiqua" w:eastAsia="宋体" w:hAnsi="Book Antiqua" w:cs="宋体"/>
          <w:lang w:val="en-US" w:eastAsia="zh-CN"/>
        </w:rPr>
        <w:t xml:space="preserve"> 2013; </w:t>
      </w:r>
      <w:r w:rsidRPr="00A92058">
        <w:rPr>
          <w:rFonts w:ascii="Book Antiqua" w:eastAsia="宋体" w:hAnsi="Book Antiqua" w:cs="宋体"/>
          <w:b/>
          <w:bCs/>
          <w:lang w:val="en-US" w:eastAsia="zh-CN"/>
        </w:rPr>
        <w:t>48</w:t>
      </w:r>
      <w:r w:rsidRPr="00A92058">
        <w:rPr>
          <w:rFonts w:ascii="Book Antiqua" w:eastAsia="宋体" w:hAnsi="Book Antiqua" w:cs="宋体"/>
          <w:lang w:val="en-US" w:eastAsia="zh-CN"/>
        </w:rPr>
        <w:t>: 1394-1398 [PMID: 24131338 DOI: 10.3109/00365521.2013.845906]</w:t>
      </w:r>
    </w:p>
    <w:p w14:paraId="79C504CF"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79 </w:t>
      </w:r>
      <w:r w:rsidRPr="00A92058">
        <w:rPr>
          <w:rFonts w:ascii="Book Antiqua" w:eastAsia="宋体" w:hAnsi="Book Antiqua" w:cs="宋体"/>
          <w:b/>
          <w:bCs/>
          <w:lang w:val="en-US" w:eastAsia="zh-CN"/>
        </w:rPr>
        <w:t>Molander P</w:t>
      </w:r>
      <w:r w:rsidRPr="00A92058">
        <w:rPr>
          <w:rFonts w:ascii="Book Antiqua" w:eastAsia="宋体" w:hAnsi="Book Antiqua" w:cs="宋体"/>
          <w:lang w:val="en-US" w:eastAsia="zh-CN"/>
        </w:rPr>
        <w:t xml:space="preserve">, Färkkilä M, Salminen K, Kemppainen H, Blomster T, Koskela R, Jussila A, Rautiainen H, Nissinen M, Haapamäki J, Arkkila P, Nieminen U, Kuisma J, Punkkinen J, Kolho KL, Mustonen H, Sipponen T. Outcome after discontinuation of TNFα-blocking therapy in patients with inflammatory bowel disease in deep remission. </w:t>
      </w:r>
      <w:r w:rsidRPr="00A92058">
        <w:rPr>
          <w:rFonts w:ascii="Book Antiqua" w:eastAsia="宋体" w:hAnsi="Book Antiqua" w:cs="宋体"/>
          <w:i/>
          <w:iCs/>
          <w:lang w:val="en-US" w:eastAsia="zh-CN"/>
        </w:rPr>
        <w:t>Inflamm Bowel Dis</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20</w:t>
      </w:r>
      <w:r w:rsidRPr="00A92058">
        <w:rPr>
          <w:rFonts w:ascii="Book Antiqua" w:eastAsia="宋体" w:hAnsi="Book Antiqua" w:cs="宋体"/>
          <w:lang w:val="en-US" w:eastAsia="zh-CN"/>
        </w:rPr>
        <w:t>: 1021-1028 [PMID: 24798636 DOI: 10.1097/MIB.0000000000000052]</w:t>
      </w:r>
    </w:p>
    <w:p w14:paraId="16566EC4" w14:textId="11CEDF62"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80 </w:t>
      </w:r>
      <w:r w:rsidR="00D221F6" w:rsidRPr="004828F2">
        <w:rPr>
          <w:rFonts w:ascii="Book Antiqua" w:hAnsi="Book Antiqua"/>
          <w:b/>
          <w:lang w:val="en-GB"/>
        </w:rPr>
        <w:t>Brooks AJ</w:t>
      </w:r>
      <w:r w:rsidR="00D221F6" w:rsidRPr="004828F2">
        <w:rPr>
          <w:rFonts w:ascii="Book Antiqua" w:hAnsi="Book Antiqua"/>
          <w:lang w:val="en-GB"/>
        </w:rPr>
        <w:t>, Sebastian S, Cross SS, Robinson K, Warren L, Wright A, Marsh AM, Tsai H, Majeed F, McAlindon ME, Preston C, Hamlin PJ, Lobo AJ</w:t>
      </w:r>
      <w:r w:rsidRPr="00A92058">
        <w:rPr>
          <w:rFonts w:ascii="Book Antiqua" w:eastAsia="宋体" w:hAnsi="Book Antiqua" w:cs="宋体"/>
          <w:lang w:val="en-US" w:eastAsia="zh-CN"/>
        </w:rPr>
        <w:t xml:space="preserve">. Outcome of elective withdrawal of anti-tumour necrosis factor-α therapy in patients with Crohn's disease in established remission.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2015; </w:t>
      </w:r>
      <w:r w:rsidR="00D221F6" w:rsidRPr="00D221F6">
        <w:rPr>
          <w:rFonts w:ascii="Book Antiqua" w:eastAsia="宋体" w:hAnsi="Book Antiqua" w:cs="宋体"/>
          <w:lang w:val="en-US" w:eastAsia="zh-CN"/>
        </w:rPr>
        <w:t>pii: jjv000</w:t>
      </w:r>
      <w:r w:rsidRPr="00A92058">
        <w:rPr>
          <w:rFonts w:ascii="Book Antiqua" w:eastAsia="宋体" w:hAnsi="Book Antiqua" w:cs="宋体"/>
          <w:lang w:val="en-US" w:eastAsia="zh-CN"/>
        </w:rPr>
        <w:t xml:space="preserve"> [PMID: 25311864]</w:t>
      </w:r>
    </w:p>
    <w:p w14:paraId="0CE40888"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81 </w:t>
      </w:r>
      <w:r w:rsidRPr="00A92058">
        <w:rPr>
          <w:rFonts w:ascii="Book Antiqua" w:eastAsia="宋体" w:hAnsi="Book Antiqua" w:cs="宋体"/>
          <w:b/>
          <w:bCs/>
          <w:lang w:val="en-US" w:eastAsia="zh-CN"/>
        </w:rPr>
        <w:t>Chauvin A</w:t>
      </w:r>
      <w:r w:rsidRPr="00A92058">
        <w:rPr>
          <w:rFonts w:ascii="Book Antiqua" w:eastAsia="宋体" w:hAnsi="Book Antiqua" w:cs="宋体"/>
          <w:lang w:val="en-US" w:eastAsia="zh-CN"/>
        </w:rPr>
        <w:t xml:space="preserve">, Le Thuaut A, Belhassan M, Le Baleur Y, Mesli F, Bastuji-Garin S, Delchier JC, Amiot A. Infliximab as a bridge to remission maintained by antimetabolite therapy in Crohn's disease: A retrospective study. </w:t>
      </w:r>
      <w:r w:rsidRPr="00A92058">
        <w:rPr>
          <w:rFonts w:ascii="Book Antiqua" w:eastAsia="宋体" w:hAnsi="Book Antiqua" w:cs="宋体"/>
          <w:i/>
          <w:iCs/>
          <w:lang w:val="en-US" w:eastAsia="zh-CN"/>
        </w:rPr>
        <w:t>Dig Liver Dis</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46</w:t>
      </w:r>
      <w:r w:rsidRPr="00A92058">
        <w:rPr>
          <w:rFonts w:ascii="Book Antiqua" w:eastAsia="宋体" w:hAnsi="Book Antiqua" w:cs="宋体"/>
          <w:lang w:val="en-US" w:eastAsia="zh-CN"/>
        </w:rPr>
        <w:t>: 695-700 [PMID: 24893686 DOI: 10.1016/j.dld.2014.04.012]</w:t>
      </w:r>
    </w:p>
    <w:p w14:paraId="23280D25" w14:textId="12C85D11"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82 </w:t>
      </w:r>
      <w:r w:rsidRPr="00A92058">
        <w:rPr>
          <w:rFonts w:ascii="Book Antiqua" w:eastAsia="宋体" w:hAnsi="Book Antiqua" w:cs="宋体"/>
          <w:b/>
          <w:bCs/>
          <w:lang w:val="en-US" w:eastAsia="zh-CN"/>
        </w:rPr>
        <w:t>Dai C</w:t>
      </w:r>
      <w:r w:rsidRPr="00A92058">
        <w:rPr>
          <w:rFonts w:ascii="Book Antiqua" w:eastAsia="宋体" w:hAnsi="Book Antiqua" w:cs="宋体"/>
          <w:lang w:val="en-US" w:eastAsia="zh-CN"/>
        </w:rPr>
        <w:t xml:space="preserve">, Liu WX, Jiang M, Sun MJ. Mucosal healing did not predict sustained clinical remission in patients with IBD after discontinuation of one-year infliximab therapy. </w:t>
      </w:r>
      <w:r w:rsidRPr="00A92058">
        <w:rPr>
          <w:rFonts w:ascii="Book Antiqua" w:eastAsia="宋体" w:hAnsi="Book Antiqua" w:cs="宋体"/>
          <w:i/>
          <w:iCs/>
          <w:lang w:val="en-US" w:eastAsia="zh-CN"/>
        </w:rPr>
        <w:t>PLoS One</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9</w:t>
      </w:r>
      <w:r w:rsidRPr="00A92058">
        <w:rPr>
          <w:rFonts w:ascii="Book Antiqua" w:eastAsia="宋体" w:hAnsi="Book Antiqua" w:cs="宋体"/>
          <w:lang w:val="en-US" w:eastAsia="zh-CN"/>
        </w:rPr>
        <w:t xml:space="preserve">: e110797 [PMID: 25330148 DOI: </w:t>
      </w:r>
      <w:r w:rsidR="00765262">
        <w:rPr>
          <w:rFonts w:ascii="Book Antiqua" w:eastAsia="宋体" w:hAnsi="Book Antiqua" w:cs="宋体" w:hint="eastAsia"/>
          <w:lang w:val="en-US" w:eastAsia="zh-CN"/>
        </w:rPr>
        <w:t>1</w:t>
      </w:r>
      <w:r w:rsidRPr="00A92058">
        <w:rPr>
          <w:rFonts w:ascii="Book Antiqua" w:eastAsia="宋体" w:hAnsi="Book Antiqua" w:cs="宋体"/>
          <w:lang w:val="en-US" w:eastAsia="zh-CN"/>
        </w:rPr>
        <w:t>0.1371/journal.pone.0110797]</w:t>
      </w:r>
    </w:p>
    <w:p w14:paraId="528CFFB5"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83 </w:t>
      </w:r>
      <w:r w:rsidRPr="00A92058">
        <w:rPr>
          <w:rFonts w:ascii="Book Antiqua" w:eastAsia="宋体" w:hAnsi="Book Antiqua" w:cs="宋体"/>
          <w:b/>
          <w:bCs/>
          <w:lang w:val="en-US" w:eastAsia="zh-CN"/>
        </w:rPr>
        <w:t>Ben-Horin S</w:t>
      </w:r>
      <w:r w:rsidRPr="00A92058">
        <w:rPr>
          <w:rFonts w:ascii="Book Antiqua" w:eastAsia="宋体" w:hAnsi="Book Antiqua" w:cs="宋体"/>
          <w:lang w:val="en-US" w:eastAsia="zh-CN"/>
        </w:rPr>
        <w:t xml:space="preserve">, Chowers Y, Ungar B, Kopylov U, Loebstein R, Weiss B, Eliakim R, Del Tedesco E, Paul S, Roblin X. Undetectable anti-TNF drug levels in patients with long-term remission predict successful drug withdrawal. </w:t>
      </w:r>
      <w:r w:rsidRPr="00A92058">
        <w:rPr>
          <w:rFonts w:ascii="Book Antiqua" w:eastAsia="宋体" w:hAnsi="Book Antiqua" w:cs="宋体"/>
          <w:i/>
          <w:iCs/>
          <w:lang w:val="en-US" w:eastAsia="zh-CN"/>
        </w:rPr>
        <w:t>Aliment Pharmacol Ther</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42</w:t>
      </w:r>
      <w:r w:rsidRPr="00A92058">
        <w:rPr>
          <w:rFonts w:ascii="Book Antiqua" w:eastAsia="宋体" w:hAnsi="Book Antiqua" w:cs="宋体"/>
          <w:lang w:val="en-US" w:eastAsia="zh-CN"/>
        </w:rPr>
        <w:t>: 356-364 [PMID: 26032402 DOI: 10.1111/apt.13268]</w:t>
      </w:r>
    </w:p>
    <w:p w14:paraId="063AB69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84 </w:t>
      </w:r>
      <w:r w:rsidRPr="00A92058">
        <w:rPr>
          <w:rFonts w:ascii="Book Antiqua" w:eastAsia="宋体" w:hAnsi="Book Antiqua" w:cs="宋体"/>
          <w:b/>
          <w:bCs/>
          <w:lang w:val="en-US" w:eastAsia="zh-CN"/>
        </w:rPr>
        <w:t>Papamichael K</w:t>
      </w:r>
      <w:r w:rsidRPr="00A92058">
        <w:rPr>
          <w:rFonts w:ascii="Book Antiqua" w:eastAsia="宋体" w:hAnsi="Book Antiqua" w:cs="宋体"/>
          <w:lang w:val="en-US" w:eastAsia="zh-CN"/>
        </w:rPr>
        <w:t xml:space="preserve">, Vande Casteele N, Gils A, Tops S, Hauenstein S, Singh S, Princen F, Van Assche G, Rutgeerts P, Vermeire S, Ferrante M. Long-term outcome of patients with </w:t>
      </w:r>
      <w:r w:rsidRPr="00A92058">
        <w:rPr>
          <w:rFonts w:ascii="Book Antiqua" w:eastAsia="宋体" w:hAnsi="Book Antiqua" w:cs="宋体"/>
          <w:lang w:val="en-US" w:eastAsia="zh-CN"/>
        </w:rPr>
        <w:lastRenderedPageBreak/>
        <w:t xml:space="preserve">Crohn's disease who discontinued infliximab therapy upon clinical remission. </w:t>
      </w:r>
      <w:r w:rsidRPr="00A92058">
        <w:rPr>
          <w:rFonts w:ascii="Book Antiqua" w:eastAsia="宋体" w:hAnsi="Book Antiqua" w:cs="宋体"/>
          <w:i/>
          <w:iCs/>
          <w:lang w:val="en-US" w:eastAsia="zh-CN"/>
        </w:rPr>
        <w:t>Clin Gastroenterol Hepatol</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13</w:t>
      </w:r>
      <w:r w:rsidRPr="00A92058">
        <w:rPr>
          <w:rFonts w:ascii="Book Antiqua" w:eastAsia="宋体" w:hAnsi="Book Antiqua" w:cs="宋体"/>
          <w:lang w:val="en-US" w:eastAsia="zh-CN"/>
        </w:rPr>
        <w:t>: 1103-1110 [PMID: 25478919 DOI: 10.1016/j.cgh.2014.11.026]</w:t>
      </w:r>
    </w:p>
    <w:p w14:paraId="157BB804" w14:textId="3F275710" w:rsidR="00A92058" w:rsidRPr="00A92058" w:rsidRDefault="00CE6F08" w:rsidP="00A92058">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85 </w:t>
      </w:r>
      <w:r w:rsidR="00A92058" w:rsidRPr="00A92058">
        <w:rPr>
          <w:rFonts w:ascii="Book Antiqua" w:eastAsia="宋体" w:hAnsi="Book Antiqua" w:cs="宋体"/>
          <w:b/>
          <w:lang w:val="en-US" w:eastAsia="zh-CN"/>
        </w:rPr>
        <w:t>Bortlik M</w:t>
      </w:r>
      <w:r w:rsidR="00A92058" w:rsidRPr="00A92058">
        <w:rPr>
          <w:rFonts w:ascii="Book Antiqua" w:eastAsia="宋体" w:hAnsi="Book Antiqua" w:cs="宋体"/>
          <w:lang w:val="en-US" w:eastAsia="zh-CN"/>
        </w:rPr>
        <w:t>, Duricov</w:t>
      </w:r>
      <w:r w:rsidRPr="004828F2">
        <w:rPr>
          <w:rFonts w:ascii="Book Antiqua" w:hAnsi="Book Antiqua"/>
          <w:lang w:val="en-GB"/>
        </w:rPr>
        <w:t>á</w:t>
      </w:r>
      <w:r w:rsidR="00A92058" w:rsidRPr="00A92058">
        <w:rPr>
          <w:rFonts w:ascii="Book Antiqua" w:eastAsia="宋体" w:hAnsi="Book Antiqua" w:cs="宋体"/>
          <w:lang w:val="en-US" w:eastAsia="zh-CN"/>
        </w:rPr>
        <w:t xml:space="preserve"> D, Machkova N, Hruba V, Lukas M, Mitrova K, Romanko I, Bina V, Lukas M. OP007 Deep remission in Crohn</w:t>
      </w:r>
      <w:r>
        <w:rPr>
          <w:rFonts w:ascii="Tahoma" w:eastAsia="宋体" w:hAnsi="Tahoma" w:cs="Tahoma"/>
          <w:lang w:val="en-US" w:eastAsia="zh-CN"/>
        </w:rPr>
        <w:t>’</w:t>
      </w:r>
      <w:r w:rsidR="00A92058" w:rsidRPr="00A92058">
        <w:rPr>
          <w:rFonts w:ascii="Book Antiqua" w:eastAsia="宋体" w:hAnsi="Book Antiqua" w:cs="宋体"/>
          <w:lang w:val="en-US" w:eastAsia="zh-CN"/>
        </w:rPr>
        <w:t xml:space="preserve">s disease does not prevent disease relapse after withdrawal of anti-TNFa therapy. </w:t>
      </w:r>
      <w:proofErr w:type="gramStart"/>
      <w:r w:rsidR="00A92058" w:rsidRPr="00A92058">
        <w:rPr>
          <w:rFonts w:ascii="Book Antiqua" w:eastAsia="宋体" w:hAnsi="Book Antiqua" w:cs="宋体"/>
          <w:lang w:val="en-US" w:eastAsia="zh-CN"/>
        </w:rPr>
        <w:t>Proceedings of 10th Congress of ECCO.</w:t>
      </w:r>
      <w:proofErr w:type="gramEnd"/>
      <w:r w:rsidR="00A92058" w:rsidRPr="00A92058">
        <w:rPr>
          <w:rFonts w:ascii="Book Antiqua" w:eastAsia="宋体" w:hAnsi="Book Antiqua" w:cs="宋体"/>
          <w:lang w:val="en-US" w:eastAsia="zh-CN"/>
        </w:rPr>
        <w:t xml:space="preserve"> Barcelona, Spain, 2015 Feb 18</w:t>
      </w:r>
      <w:r w:rsidR="000F2E17">
        <w:rPr>
          <w:rFonts w:ascii="Book Antiqua" w:eastAsia="宋体" w:hAnsi="Book Antiqua" w:cs="宋体"/>
          <w:lang w:val="en-US" w:eastAsia="zh-CN"/>
        </w:rPr>
        <w:t>-21. Available from: URL: http:</w:t>
      </w:r>
      <w:r w:rsidR="00A92058" w:rsidRPr="00A92058">
        <w:rPr>
          <w:rFonts w:ascii="Book Antiqua" w:eastAsia="宋体" w:hAnsi="Book Antiqua" w:cs="宋体"/>
          <w:lang w:val="en-US" w:eastAsia="zh-CN"/>
        </w:rPr>
        <w:t>//ecco-jcc.oxfordjournals.org/content/9/suppl_1/S4.2</w:t>
      </w:r>
    </w:p>
    <w:p w14:paraId="464F4047" w14:textId="677B8F39" w:rsidR="00A92058" w:rsidRPr="00A92058" w:rsidRDefault="00CE6F08" w:rsidP="00A92058">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86 </w:t>
      </w:r>
      <w:r w:rsidR="00A92058" w:rsidRPr="00A92058">
        <w:rPr>
          <w:rFonts w:ascii="Book Antiqua" w:eastAsia="宋体" w:hAnsi="Book Antiqua" w:cs="宋体"/>
          <w:b/>
          <w:lang w:val="en-US" w:eastAsia="zh-CN"/>
        </w:rPr>
        <w:t>Monterubbianesi R</w:t>
      </w:r>
      <w:r w:rsidR="00A92058" w:rsidRPr="00A92058">
        <w:rPr>
          <w:rFonts w:ascii="Book Antiqua" w:eastAsia="宋体" w:hAnsi="Book Antiqua" w:cs="宋体"/>
          <w:lang w:val="en-US" w:eastAsia="zh-CN"/>
        </w:rPr>
        <w:t xml:space="preserve">, Papi C, Kohn A. OC.11.6 Maintenance of clinical remission in Crohn’s disease patients after discontinuation of long term reatment with Infliximab: results of a single centre cohort. </w:t>
      </w:r>
      <w:proofErr w:type="gramStart"/>
      <w:r w:rsidR="00A92058" w:rsidRPr="00A92058">
        <w:rPr>
          <w:rFonts w:ascii="Book Antiqua" w:eastAsia="宋体" w:hAnsi="Book Antiqua" w:cs="宋体"/>
          <w:lang w:val="en-US" w:eastAsia="zh-CN"/>
        </w:rPr>
        <w:t>Proceedings of 21th Congress of FISMAD.</w:t>
      </w:r>
      <w:proofErr w:type="gramEnd"/>
      <w:r w:rsidR="00A92058" w:rsidRPr="00A92058">
        <w:rPr>
          <w:rFonts w:ascii="Book Antiqua" w:eastAsia="宋体" w:hAnsi="Book Antiqua" w:cs="宋体"/>
          <w:lang w:val="en-US" w:eastAsia="zh-CN"/>
        </w:rPr>
        <w:t xml:space="preserve"> Bologna, Italy, 2015 Mar 25-28</w:t>
      </w:r>
    </w:p>
    <w:p w14:paraId="6961C0ED" w14:textId="28255169" w:rsidR="00A92058" w:rsidRPr="00A92058" w:rsidRDefault="00CE6F08" w:rsidP="00A92058">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87 </w:t>
      </w:r>
      <w:r w:rsidR="00A92058" w:rsidRPr="00A92058">
        <w:rPr>
          <w:rFonts w:ascii="Book Antiqua" w:eastAsia="宋体" w:hAnsi="Book Antiqua" w:cs="宋体"/>
          <w:b/>
          <w:lang w:val="en-US" w:eastAsia="zh-CN"/>
        </w:rPr>
        <w:t>Bodini G</w:t>
      </w:r>
      <w:r w:rsidR="00A92058" w:rsidRPr="00A92058">
        <w:rPr>
          <w:rFonts w:ascii="Book Antiqua" w:eastAsia="宋体" w:hAnsi="Book Antiqua" w:cs="宋体"/>
          <w:lang w:val="en-US" w:eastAsia="zh-CN"/>
        </w:rPr>
        <w:t xml:space="preserve">, Savarino V, Dulbecco P, Baldissarro I, Savarino E. P.03.21 IBD recurrence after stopping anti-TNF-alpha therapy: a prospective randomized controlled study comparing mesalamine and azathioprine – Preliminary results. </w:t>
      </w:r>
      <w:proofErr w:type="gramStart"/>
      <w:r w:rsidR="00A92058" w:rsidRPr="00A92058">
        <w:rPr>
          <w:rFonts w:ascii="Book Antiqua" w:eastAsia="宋体" w:hAnsi="Book Antiqua" w:cs="宋体"/>
          <w:lang w:val="en-US" w:eastAsia="zh-CN"/>
        </w:rPr>
        <w:t>Proceedings of 21th Congress of FISMAD.</w:t>
      </w:r>
      <w:proofErr w:type="gramEnd"/>
      <w:r w:rsidR="00A92058" w:rsidRPr="00A92058">
        <w:rPr>
          <w:rFonts w:ascii="Book Antiqua" w:eastAsia="宋体" w:hAnsi="Book Antiqua" w:cs="宋体"/>
          <w:lang w:val="en-US" w:eastAsia="zh-CN"/>
        </w:rPr>
        <w:t xml:space="preserve"> Bologna, Italy, 2015 Mar 25-28</w:t>
      </w:r>
    </w:p>
    <w:p w14:paraId="66333BD5" w14:textId="5C32E69D"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88 </w:t>
      </w:r>
      <w:r w:rsidR="00CE6F08" w:rsidRPr="004828F2">
        <w:rPr>
          <w:rFonts w:ascii="Book Antiqua" w:eastAsia="宋体" w:hAnsi="Book Antiqua" w:cs="Arial"/>
          <w:b/>
          <w:bCs/>
          <w:lang w:val="en-US" w:eastAsia="it-IT"/>
        </w:rPr>
        <w:t>Ampuero J</w:t>
      </w:r>
      <w:r w:rsidR="00CE6F08" w:rsidRPr="004828F2">
        <w:rPr>
          <w:rFonts w:ascii="Book Antiqua" w:eastAsia="宋体" w:hAnsi="Book Antiqua" w:cs="Arial"/>
          <w:bCs/>
          <w:lang w:val="en-US" w:eastAsia="it-IT"/>
        </w:rPr>
        <w:t>, Rojas-Feria M, Castro-Fernández M, Millán-Lorenzo M, Guerrero-Jiménez P, Romero-Gómez M</w:t>
      </w:r>
      <w:r w:rsidRPr="00A92058">
        <w:rPr>
          <w:rFonts w:ascii="Book Antiqua" w:eastAsia="宋体" w:hAnsi="Book Antiqua" w:cs="宋体"/>
          <w:lang w:val="en-US" w:eastAsia="zh-CN"/>
        </w:rPr>
        <w:t>. Remission maintained by monotherapy after biological</w:t>
      </w:r>
      <w:r w:rsidRPr="00A92058">
        <w:rPr>
          <w:rFonts w:ascii="Times New Roman" w:eastAsia="MS Mincho" w:hAnsi="Times New Roman"/>
          <w:lang w:val="en-US" w:eastAsia="zh-CN"/>
        </w:rPr>
        <w:t> </w:t>
      </w:r>
      <w:r w:rsidRPr="00A92058">
        <w:rPr>
          <w:rFonts w:ascii="Book Antiqua" w:eastAsia="宋体" w:hAnsi="Book Antiqua" w:cs="宋体"/>
          <w:lang w:val="en-US" w:eastAsia="zh-CN"/>
        </w:rPr>
        <w:t>+</w:t>
      </w:r>
      <w:r w:rsidRPr="00A92058">
        <w:rPr>
          <w:rFonts w:ascii="Times New Roman" w:eastAsia="MS Mincho" w:hAnsi="Times New Roman"/>
          <w:lang w:val="en-US" w:eastAsia="zh-CN"/>
        </w:rPr>
        <w:t> </w:t>
      </w:r>
      <w:r w:rsidRPr="00A92058">
        <w:rPr>
          <w:rFonts w:ascii="Book Antiqua" w:eastAsia="宋体" w:hAnsi="Book Antiqua" w:cs="宋体"/>
          <w:lang w:val="en-US" w:eastAsia="zh-CN"/>
        </w:rPr>
        <w:t xml:space="preserve">immunosuppressive combination for Crohn's Disease in clinical practice. </w:t>
      </w:r>
      <w:r w:rsidRPr="00A92058">
        <w:rPr>
          <w:rFonts w:ascii="Book Antiqua" w:eastAsia="宋体" w:hAnsi="Book Antiqua" w:cs="宋体"/>
          <w:i/>
          <w:iCs/>
          <w:lang w:val="en-US" w:eastAsia="zh-CN"/>
        </w:rPr>
        <w:t>J Gastroenterol Hepatol</w:t>
      </w:r>
      <w:r w:rsidRPr="00A92058">
        <w:rPr>
          <w:rFonts w:ascii="Book Antiqua" w:eastAsia="宋体" w:hAnsi="Book Antiqua" w:cs="宋体"/>
          <w:lang w:val="en-US" w:eastAsia="zh-CN"/>
        </w:rPr>
        <w:t xml:space="preserve"> 2015; </w:t>
      </w:r>
      <w:r w:rsidR="00CE6F08" w:rsidRPr="00CE6F08">
        <w:rPr>
          <w:rFonts w:ascii="Book Antiqua" w:eastAsia="宋体" w:hAnsi="Book Antiqua" w:cs="宋体"/>
          <w:lang w:val="en-US" w:eastAsia="zh-CN"/>
        </w:rPr>
        <w:t>Epub ahead of print</w:t>
      </w:r>
      <w:r w:rsidRPr="00A92058">
        <w:rPr>
          <w:rFonts w:ascii="Book Antiqua" w:eastAsia="宋体" w:hAnsi="Book Antiqua" w:cs="宋体"/>
          <w:lang w:val="en-US" w:eastAsia="zh-CN"/>
        </w:rPr>
        <w:t xml:space="preserve"> [PMID: 26173493 DOI: 10.1111/jgh.13039]</w:t>
      </w:r>
    </w:p>
    <w:p w14:paraId="568B3E42"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89 </w:t>
      </w:r>
      <w:r w:rsidRPr="00A92058">
        <w:rPr>
          <w:rFonts w:ascii="Book Antiqua" w:eastAsia="宋体" w:hAnsi="Book Antiqua" w:cs="宋体"/>
          <w:b/>
          <w:bCs/>
          <w:lang w:val="en-US" w:eastAsia="zh-CN"/>
        </w:rPr>
        <w:t>Papamichael K</w:t>
      </w:r>
      <w:r w:rsidRPr="00A92058">
        <w:rPr>
          <w:rFonts w:ascii="Book Antiqua" w:eastAsia="宋体" w:hAnsi="Book Antiqua" w:cs="宋体"/>
          <w:lang w:val="en-US" w:eastAsia="zh-CN"/>
        </w:rPr>
        <w:t xml:space="preserve">, Vermeire S. Withdrawal of anti-tumour necrosis factor α therapy in inflammatory bowel disease. </w:t>
      </w:r>
      <w:r w:rsidRPr="00A92058">
        <w:rPr>
          <w:rFonts w:ascii="Book Antiqua" w:eastAsia="宋体" w:hAnsi="Book Antiqua" w:cs="宋体"/>
          <w:i/>
          <w:iCs/>
          <w:lang w:val="en-US" w:eastAsia="zh-CN"/>
        </w:rPr>
        <w:t>World J Gastroenterol</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21</w:t>
      </w:r>
      <w:r w:rsidRPr="00A92058">
        <w:rPr>
          <w:rFonts w:ascii="Book Antiqua" w:eastAsia="宋体" w:hAnsi="Book Antiqua" w:cs="宋体"/>
          <w:lang w:val="en-US" w:eastAsia="zh-CN"/>
        </w:rPr>
        <w:t>: 4773-4778 [PMID: 25944990 DOI: 10.3748/wjg.v21.i16.4773]</w:t>
      </w:r>
    </w:p>
    <w:p w14:paraId="36E048B0"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90 </w:t>
      </w:r>
      <w:r w:rsidRPr="00A92058">
        <w:rPr>
          <w:rFonts w:ascii="Book Antiqua" w:eastAsia="宋体" w:hAnsi="Book Antiqua" w:cs="宋体"/>
          <w:b/>
          <w:bCs/>
          <w:lang w:val="en-US" w:eastAsia="zh-CN"/>
        </w:rPr>
        <w:t>Rogler G</w:t>
      </w:r>
      <w:r w:rsidRPr="00A92058">
        <w:rPr>
          <w:rFonts w:ascii="Book Antiqua" w:eastAsia="宋体" w:hAnsi="Book Antiqua" w:cs="宋体"/>
          <w:lang w:val="en-US" w:eastAsia="zh-CN"/>
        </w:rPr>
        <w:t xml:space="preserve">, Bernstein CN, Sood A, Goh KL, Yamamoto-Furusho JK, Abbas Z, Fried M. Role of biological therapy for inflammatory bowel disease in developing countries.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2012; </w:t>
      </w:r>
      <w:r w:rsidRPr="00A92058">
        <w:rPr>
          <w:rFonts w:ascii="Book Antiqua" w:eastAsia="宋体" w:hAnsi="Book Antiqua" w:cs="宋体"/>
          <w:b/>
          <w:bCs/>
          <w:lang w:val="en-US" w:eastAsia="zh-CN"/>
        </w:rPr>
        <w:t>61</w:t>
      </w:r>
      <w:r w:rsidRPr="00A92058">
        <w:rPr>
          <w:rFonts w:ascii="Book Antiqua" w:eastAsia="宋体" w:hAnsi="Book Antiqua" w:cs="宋体"/>
          <w:lang w:val="en-US" w:eastAsia="zh-CN"/>
        </w:rPr>
        <w:t>: 706-712 [PMID: 21997549 DOI: 10.1136/gutjnl-2011-300613]</w:t>
      </w:r>
    </w:p>
    <w:p w14:paraId="55515231"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91 </w:t>
      </w:r>
      <w:r w:rsidRPr="00A92058">
        <w:rPr>
          <w:rFonts w:ascii="Book Antiqua" w:eastAsia="宋体" w:hAnsi="Book Antiqua" w:cs="宋体"/>
          <w:b/>
          <w:bCs/>
          <w:lang w:val="en-US" w:eastAsia="zh-CN"/>
        </w:rPr>
        <w:t>Manginot C</w:t>
      </w:r>
      <w:r w:rsidRPr="00A92058">
        <w:rPr>
          <w:rFonts w:ascii="Book Antiqua" w:eastAsia="宋体" w:hAnsi="Book Antiqua" w:cs="宋体"/>
          <w:lang w:val="en-US" w:eastAsia="zh-CN"/>
        </w:rPr>
        <w:t xml:space="preserve">, Baumann C, Peyrin-Biroulet L. An endoscopic Mayo score of 0 is associated with a lower risk of colectomy than a score of 1 in ulcerative colitis.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64</w:t>
      </w:r>
      <w:r w:rsidRPr="00A92058">
        <w:rPr>
          <w:rFonts w:ascii="Book Antiqua" w:eastAsia="宋体" w:hAnsi="Book Antiqua" w:cs="宋体"/>
          <w:lang w:val="en-US" w:eastAsia="zh-CN"/>
        </w:rPr>
        <w:t>: 1181-1182 [PMID: 25550182 DOI: 10.1136/gutjnl-2014-308839]</w:t>
      </w:r>
    </w:p>
    <w:p w14:paraId="2BCAFBDE"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92 </w:t>
      </w:r>
      <w:r w:rsidRPr="00A92058">
        <w:rPr>
          <w:rFonts w:ascii="Book Antiqua" w:eastAsia="宋体" w:hAnsi="Book Antiqua" w:cs="宋体"/>
          <w:b/>
          <w:bCs/>
          <w:lang w:val="en-US" w:eastAsia="zh-CN"/>
        </w:rPr>
        <w:t>Bressenot A</w:t>
      </w:r>
      <w:r w:rsidRPr="00A92058">
        <w:rPr>
          <w:rFonts w:ascii="Book Antiqua" w:eastAsia="宋体" w:hAnsi="Book Antiqua" w:cs="宋体"/>
          <w:lang w:val="en-US" w:eastAsia="zh-CN"/>
        </w:rPr>
        <w:t xml:space="preserve">, Salleron J, Bastien C, Danese S, Boulagnon-Rombi C, Peyrin-Biroulet L. Comparing histological activity indexes in UC.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2015; </w:t>
      </w:r>
      <w:r w:rsidRPr="00A92058">
        <w:rPr>
          <w:rFonts w:ascii="Book Antiqua" w:eastAsia="宋体" w:hAnsi="Book Antiqua" w:cs="宋体"/>
          <w:b/>
          <w:bCs/>
          <w:lang w:val="en-US" w:eastAsia="zh-CN"/>
        </w:rPr>
        <w:t>64</w:t>
      </w:r>
      <w:r w:rsidRPr="00A92058">
        <w:rPr>
          <w:rFonts w:ascii="Book Antiqua" w:eastAsia="宋体" w:hAnsi="Book Antiqua" w:cs="宋体"/>
          <w:lang w:val="en-US" w:eastAsia="zh-CN"/>
        </w:rPr>
        <w:t>: 1412-1418 [PMID: 25246423 DOI: 10.1136/gutjnl-2014-307477]</w:t>
      </w:r>
    </w:p>
    <w:p w14:paraId="252D33DD"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93 </w:t>
      </w:r>
      <w:r w:rsidRPr="00A92058">
        <w:rPr>
          <w:rFonts w:ascii="Book Antiqua" w:eastAsia="宋体" w:hAnsi="Book Antiqua" w:cs="宋体"/>
          <w:b/>
          <w:bCs/>
          <w:lang w:val="en-US" w:eastAsia="zh-CN"/>
        </w:rPr>
        <w:t>Bryant RV</w:t>
      </w:r>
      <w:r w:rsidRPr="00A92058">
        <w:rPr>
          <w:rFonts w:ascii="Book Antiqua" w:eastAsia="宋体" w:hAnsi="Book Antiqua" w:cs="宋体"/>
          <w:lang w:val="en-US" w:eastAsia="zh-CN"/>
        </w:rPr>
        <w:t xml:space="preserve">, Winer S, Travis SP, Riddell RH. Systematic review: histological remission in inflammatory bowel disease. Is 'complete' remission the new treatment paradigm? </w:t>
      </w:r>
      <w:proofErr w:type="gramStart"/>
      <w:r w:rsidRPr="00A92058">
        <w:rPr>
          <w:rFonts w:ascii="Book Antiqua" w:eastAsia="宋体" w:hAnsi="Book Antiqua" w:cs="宋体"/>
          <w:lang w:val="en-US" w:eastAsia="zh-CN"/>
        </w:rPr>
        <w:t xml:space="preserve">An </w:t>
      </w:r>
      <w:r w:rsidRPr="00A92058">
        <w:rPr>
          <w:rFonts w:ascii="Book Antiqua" w:eastAsia="宋体" w:hAnsi="Book Antiqua" w:cs="宋体"/>
          <w:lang w:val="en-US" w:eastAsia="zh-CN"/>
        </w:rPr>
        <w:lastRenderedPageBreak/>
        <w:t>IOIBD initiative.</w:t>
      </w:r>
      <w:proofErr w:type="gramEnd"/>
      <w:r w:rsidRPr="00A92058">
        <w:rPr>
          <w:rFonts w:ascii="Book Antiqua" w:eastAsia="宋体" w:hAnsi="Book Antiqua" w:cs="宋体"/>
          <w:lang w:val="en-US" w:eastAsia="zh-CN"/>
        </w:rPr>
        <w:t xml:space="preserve"> </w:t>
      </w:r>
      <w:r w:rsidRPr="00A92058">
        <w:rPr>
          <w:rFonts w:ascii="Book Antiqua" w:eastAsia="宋体" w:hAnsi="Book Antiqua" w:cs="宋体"/>
          <w:i/>
          <w:iCs/>
          <w:lang w:val="en-US" w:eastAsia="zh-CN"/>
        </w:rPr>
        <w:t>J Crohns Colitis</w:t>
      </w:r>
      <w:r w:rsidRPr="00A92058">
        <w:rPr>
          <w:rFonts w:ascii="Book Antiqua" w:eastAsia="宋体" w:hAnsi="Book Antiqua" w:cs="宋体"/>
          <w:lang w:val="en-US" w:eastAsia="zh-CN"/>
        </w:rPr>
        <w:t xml:space="preserve"> 2014; </w:t>
      </w:r>
      <w:r w:rsidRPr="00A92058">
        <w:rPr>
          <w:rFonts w:ascii="Book Antiqua" w:eastAsia="宋体" w:hAnsi="Book Antiqua" w:cs="宋体"/>
          <w:b/>
          <w:bCs/>
          <w:lang w:val="en-US" w:eastAsia="zh-CN"/>
        </w:rPr>
        <w:t>8</w:t>
      </w:r>
      <w:r w:rsidRPr="00A92058">
        <w:rPr>
          <w:rFonts w:ascii="Book Antiqua" w:eastAsia="宋体" w:hAnsi="Book Antiqua" w:cs="宋体"/>
          <w:lang w:val="en-US" w:eastAsia="zh-CN"/>
        </w:rPr>
        <w:t>: 1582-1597 [PMID: 25267173 DOI: 10.1016/j.crohns.2014.08.011]</w:t>
      </w:r>
    </w:p>
    <w:p w14:paraId="522B7250" w14:textId="08FBD47F"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94 </w:t>
      </w:r>
      <w:r w:rsidR="00CE6F08" w:rsidRPr="004828F2">
        <w:rPr>
          <w:rFonts w:ascii="Book Antiqua" w:eastAsia="宋体" w:hAnsi="Book Antiqua" w:cs="Arial"/>
          <w:b/>
          <w:bCs/>
          <w:lang w:val="en-US"/>
        </w:rPr>
        <w:t>Bryant RV</w:t>
      </w:r>
      <w:r w:rsidR="00CE6F08" w:rsidRPr="004828F2">
        <w:rPr>
          <w:rFonts w:ascii="Book Antiqua" w:eastAsia="宋体" w:hAnsi="Book Antiqua" w:cs="Arial"/>
          <w:bCs/>
          <w:lang w:val="en-US"/>
        </w:rPr>
        <w:t>, Burger DC, Delo J, Walsh AJ, Thomas S, von Herbay A, Buchel OC, White L, Brain O, Keshav S, Warren BF, Travis SP</w:t>
      </w:r>
      <w:r w:rsidRPr="00A92058">
        <w:rPr>
          <w:rFonts w:ascii="Book Antiqua" w:eastAsia="宋体" w:hAnsi="Book Antiqua" w:cs="宋体"/>
          <w:lang w:val="en-US" w:eastAsia="zh-CN"/>
        </w:rPr>
        <w:t>. Beyond endoscopic mucosal healing in UC: histological remission better predicts corticosteroid use and hospitalisation over 6</w:t>
      </w:r>
      <w:r w:rsidRPr="00A92058">
        <w:rPr>
          <w:rFonts w:ascii="Times New Roman" w:eastAsia="MS Mincho" w:hAnsi="Times New Roman"/>
          <w:lang w:val="en-US" w:eastAsia="zh-CN"/>
        </w:rPr>
        <w:t> </w:t>
      </w:r>
      <w:r w:rsidRPr="00A92058">
        <w:rPr>
          <w:rFonts w:ascii="Book Antiqua" w:eastAsia="宋体" w:hAnsi="Book Antiqua" w:cs="宋体"/>
          <w:lang w:val="en-US" w:eastAsia="zh-CN"/>
        </w:rPr>
        <w:t xml:space="preserve">years of follow-up. </w:t>
      </w:r>
      <w:r w:rsidRPr="00A92058">
        <w:rPr>
          <w:rFonts w:ascii="Book Antiqua" w:eastAsia="宋体" w:hAnsi="Book Antiqua" w:cs="宋体"/>
          <w:i/>
          <w:iCs/>
          <w:lang w:val="en-US" w:eastAsia="zh-CN"/>
        </w:rPr>
        <w:t>Gut</w:t>
      </w:r>
      <w:r w:rsidRPr="00A92058">
        <w:rPr>
          <w:rFonts w:ascii="Book Antiqua" w:eastAsia="宋体" w:hAnsi="Book Antiqua" w:cs="宋体"/>
          <w:lang w:val="en-US" w:eastAsia="zh-CN"/>
        </w:rPr>
        <w:t xml:space="preserve"> 2015; </w:t>
      </w:r>
      <w:r w:rsidR="00CE6F08" w:rsidRPr="00CE6F08">
        <w:rPr>
          <w:rFonts w:ascii="Book Antiqua" w:eastAsia="宋体" w:hAnsi="Book Antiqua" w:cs="宋体"/>
          <w:lang w:val="en-US" w:eastAsia="zh-CN"/>
        </w:rPr>
        <w:t>pii: gutjnl-2015-309598</w:t>
      </w:r>
      <w:r w:rsidRPr="00A92058">
        <w:rPr>
          <w:rFonts w:ascii="Book Antiqua" w:eastAsia="宋体" w:hAnsi="Book Antiqua" w:cs="宋体"/>
          <w:lang w:val="en-US" w:eastAsia="zh-CN"/>
        </w:rPr>
        <w:t xml:space="preserve"> [PMID: 25986946 DOI: 10.1136/gutjnl-2015-309598]</w:t>
      </w:r>
    </w:p>
    <w:p w14:paraId="67CD3669" w14:textId="77777777" w:rsidR="00A92058" w:rsidRPr="00A92058" w:rsidRDefault="00A92058" w:rsidP="00A92058">
      <w:pPr>
        <w:spacing w:line="360" w:lineRule="auto"/>
        <w:jc w:val="both"/>
        <w:rPr>
          <w:rFonts w:ascii="Book Antiqua" w:eastAsia="宋体" w:hAnsi="Book Antiqua" w:cs="宋体"/>
          <w:lang w:val="en-US" w:eastAsia="zh-CN"/>
        </w:rPr>
      </w:pPr>
      <w:r w:rsidRPr="00A92058">
        <w:rPr>
          <w:rFonts w:ascii="Book Antiqua" w:eastAsia="宋体" w:hAnsi="Book Antiqua" w:cs="宋体"/>
          <w:lang w:val="en-US" w:eastAsia="zh-CN"/>
        </w:rPr>
        <w:t xml:space="preserve">95 </w:t>
      </w:r>
      <w:r w:rsidRPr="00A92058">
        <w:rPr>
          <w:rFonts w:ascii="Book Antiqua" w:eastAsia="宋体" w:hAnsi="Book Antiqua" w:cs="宋体"/>
          <w:b/>
          <w:bCs/>
          <w:lang w:val="en-US" w:eastAsia="zh-CN"/>
        </w:rPr>
        <w:t>D'Haens G</w:t>
      </w:r>
      <w:r w:rsidRPr="00A92058">
        <w:rPr>
          <w:rFonts w:ascii="Book Antiqua" w:eastAsia="宋体" w:hAnsi="Book Antiqua" w:cs="宋体"/>
          <w:lang w:val="en-US" w:eastAsia="zh-CN"/>
        </w:rPr>
        <w:t xml:space="preserve">, Baert F, van Assche G, Caenepeel P, Vergauwe P, Tuynman H, De Vos M, van Deventer S, Stitt L, Donner A, Vermeire S, Van de Mierop FJ, Coche JC, van der Woude J, Ochsenkühn T, van Bodegraven AA, Van Hootegem PP, Lambrecht GL, Mana F, Rutgeerts P, Feagan BG, Hommes D. Early combined immunosuppression or conventional management in patients with newly diagnosed Crohn's disease: an open randomised trial. </w:t>
      </w:r>
      <w:r w:rsidRPr="00A92058">
        <w:rPr>
          <w:rFonts w:ascii="Book Antiqua" w:eastAsia="宋体" w:hAnsi="Book Antiqua" w:cs="宋体"/>
          <w:i/>
          <w:iCs/>
          <w:lang w:val="en-US" w:eastAsia="zh-CN"/>
        </w:rPr>
        <w:t>Lancet</w:t>
      </w:r>
      <w:r w:rsidRPr="00A92058">
        <w:rPr>
          <w:rFonts w:ascii="Book Antiqua" w:eastAsia="宋体" w:hAnsi="Book Antiqua" w:cs="宋体"/>
          <w:lang w:val="en-US" w:eastAsia="zh-CN"/>
        </w:rPr>
        <w:t xml:space="preserve"> 2008; </w:t>
      </w:r>
      <w:r w:rsidRPr="00A92058">
        <w:rPr>
          <w:rFonts w:ascii="Book Antiqua" w:eastAsia="宋体" w:hAnsi="Book Antiqua" w:cs="宋体"/>
          <w:b/>
          <w:bCs/>
          <w:lang w:val="en-US" w:eastAsia="zh-CN"/>
        </w:rPr>
        <w:t>371</w:t>
      </w:r>
      <w:r w:rsidRPr="00A92058">
        <w:rPr>
          <w:rFonts w:ascii="Book Antiqua" w:eastAsia="宋体" w:hAnsi="Book Antiqua" w:cs="宋体"/>
          <w:lang w:val="en-US" w:eastAsia="zh-CN"/>
        </w:rPr>
        <w:t>: 660-667 [PMID: 18295023 DOI: 10.1016/S0140-6736(08)60304-9]</w:t>
      </w:r>
    </w:p>
    <w:p w14:paraId="6D42F2A2" w14:textId="77777777" w:rsidR="00A24C79" w:rsidRPr="00106A50" w:rsidRDefault="00A24C79" w:rsidP="00106A50">
      <w:pPr>
        <w:widowControl w:val="0"/>
        <w:autoSpaceDE w:val="0"/>
        <w:autoSpaceDN w:val="0"/>
        <w:adjustRightInd w:val="0"/>
        <w:spacing w:line="360" w:lineRule="auto"/>
        <w:jc w:val="right"/>
        <w:rPr>
          <w:rFonts w:ascii="Book Antiqua" w:eastAsia="宋体" w:hAnsi="Book Antiqua" w:cs="Arial"/>
          <w:bCs/>
          <w:lang w:val="en-US" w:eastAsia="zh-CN"/>
        </w:rPr>
      </w:pPr>
    </w:p>
    <w:p w14:paraId="036CE4A4" w14:textId="0EB467FB" w:rsidR="00703920" w:rsidRPr="00106A50" w:rsidRDefault="00703920" w:rsidP="00106A50">
      <w:pPr>
        <w:widowControl w:val="0"/>
        <w:autoSpaceDE w:val="0"/>
        <w:autoSpaceDN w:val="0"/>
        <w:adjustRightInd w:val="0"/>
        <w:spacing w:line="360" w:lineRule="auto"/>
        <w:jc w:val="right"/>
        <w:rPr>
          <w:rFonts w:ascii="Book Antiqua" w:eastAsia="宋体" w:hAnsi="Book Antiqua"/>
          <w:b/>
          <w:lang w:eastAsia="zh-CN"/>
        </w:rPr>
      </w:pPr>
      <w:r w:rsidRPr="00106A50">
        <w:rPr>
          <w:rFonts w:ascii="Book Antiqua" w:hAnsi="Book Antiqua"/>
          <w:b/>
        </w:rPr>
        <w:t xml:space="preserve">P-Reviewer: </w:t>
      </w:r>
      <w:r w:rsidRPr="00106A50">
        <w:rPr>
          <w:rFonts w:ascii="Book Antiqua" w:hAnsi="Book Antiqua" w:cs="Tahoma"/>
          <w:color w:val="000000"/>
        </w:rPr>
        <w:t>Castiglione</w:t>
      </w:r>
      <w:r w:rsidRPr="00106A50">
        <w:rPr>
          <w:rFonts w:ascii="Book Antiqua" w:eastAsia="宋体" w:hAnsi="Book Antiqua" w:cs="Tahoma"/>
          <w:color w:val="000000"/>
          <w:lang w:eastAsia="zh-CN"/>
        </w:rPr>
        <w:t xml:space="preserve"> F, </w:t>
      </w:r>
      <w:r w:rsidRPr="00106A50">
        <w:rPr>
          <w:rFonts w:ascii="Book Antiqua" w:hAnsi="Book Antiqua" w:cs="Tahoma"/>
          <w:color w:val="000000"/>
        </w:rPr>
        <w:t>Nguyen</w:t>
      </w:r>
      <w:r w:rsidRPr="00106A50">
        <w:rPr>
          <w:rFonts w:ascii="Book Antiqua" w:eastAsia="宋体" w:hAnsi="Book Antiqua" w:cs="Tahoma"/>
          <w:color w:val="000000"/>
          <w:lang w:eastAsia="zh-CN"/>
        </w:rPr>
        <w:t xml:space="preserve"> H</w:t>
      </w:r>
      <w:r w:rsidR="007B7749" w:rsidRPr="00106A50">
        <w:rPr>
          <w:rFonts w:ascii="Book Antiqua" w:eastAsia="宋体" w:hAnsi="Book Antiqua" w:cs="Tahoma"/>
          <w:color w:val="000000"/>
          <w:lang w:eastAsia="zh-CN"/>
        </w:rPr>
        <w:t xml:space="preserve"> </w:t>
      </w:r>
      <w:r w:rsidRPr="00106A50">
        <w:rPr>
          <w:rFonts w:ascii="Book Antiqua" w:hAnsi="Book Antiqua"/>
          <w:b/>
        </w:rPr>
        <w:t xml:space="preserve">S-Editor: </w:t>
      </w:r>
      <w:r w:rsidRPr="00106A50">
        <w:rPr>
          <w:rFonts w:ascii="Book Antiqua" w:hAnsi="Book Antiqua"/>
        </w:rPr>
        <w:t>Ji FF</w:t>
      </w:r>
      <w:r w:rsidRPr="00106A50">
        <w:rPr>
          <w:rFonts w:ascii="Book Antiqua" w:hAnsi="Book Antiqua"/>
          <w:b/>
        </w:rPr>
        <w:t xml:space="preserve"> L-Editor: E-Editor:</w:t>
      </w:r>
    </w:p>
    <w:p w14:paraId="51BC3A90" w14:textId="77777777" w:rsidR="00A24C79" w:rsidRPr="0050649F" w:rsidRDefault="00A24C79" w:rsidP="00C97716">
      <w:pPr>
        <w:spacing w:line="360" w:lineRule="auto"/>
        <w:jc w:val="both"/>
        <w:rPr>
          <w:rFonts w:ascii="Book Antiqua" w:hAnsi="Book Antiqua"/>
          <w:lang w:val="en-US"/>
        </w:rPr>
        <w:sectPr w:rsidR="00A24C79" w:rsidRPr="0050649F">
          <w:headerReference w:type="default" r:id="rId9"/>
          <w:footerReference w:type="default" r:id="rId10"/>
          <w:pgSz w:w="11900" w:h="16840"/>
          <w:pgMar w:top="1417" w:right="1134" w:bottom="1134" w:left="1134" w:header="708" w:footer="708" w:gutter="0"/>
          <w:cols w:space="708"/>
          <w:docGrid w:linePitch="360"/>
        </w:sectPr>
      </w:pPr>
    </w:p>
    <w:tbl>
      <w:tblPr>
        <w:tblW w:w="15294" w:type="dxa"/>
        <w:tblInd w:w="2"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1702"/>
        <w:gridCol w:w="1235"/>
        <w:gridCol w:w="902"/>
        <w:gridCol w:w="3532"/>
        <w:gridCol w:w="1135"/>
        <w:gridCol w:w="1695"/>
        <w:gridCol w:w="1424"/>
        <w:gridCol w:w="3669"/>
      </w:tblGrid>
      <w:tr w:rsidR="0050649F" w:rsidRPr="0050649F" w14:paraId="12E5596B" w14:textId="77777777" w:rsidTr="007B7749">
        <w:tc>
          <w:tcPr>
            <w:tcW w:w="15294" w:type="dxa"/>
            <w:gridSpan w:val="8"/>
            <w:tcBorders>
              <w:top w:val="nil"/>
              <w:bottom w:val="single" w:sz="4" w:space="0" w:color="auto"/>
            </w:tcBorders>
          </w:tcPr>
          <w:p w14:paraId="3D1F7CC8" w14:textId="32A816EB" w:rsidR="00A24C79" w:rsidRPr="007B7749" w:rsidRDefault="007B7749" w:rsidP="00C97716">
            <w:pPr>
              <w:spacing w:line="360" w:lineRule="auto"/>
              <w:jc w:val="both"/>
              <w:rPr>
                <w:rFonts w:ascii="Book Antiqua" w:eastAsia="宋体" w:hAnsi="Book Antiqua"/>
                <w:b/>
                <w:lang w:val="en-US" w:eastAsia="zh-CN"/>
              </w:rPr>
            </w:pPr>
            <w:r w:rsidRPr="007B7749">
              <w:rPr>
                <w:rFonts w:ascii="Book Antiqua" w:hAnsi="Book Antiqua"/>
                <w:b/>
                <w:lang w:val="en-US"/>
              </w:rPr>
              <w:lastRenderedPageBreak/>
              <w:t>Tab</w:t>
            </w:r>
            <w:r w:rsidRPr="007B7749">
              <w:rPr>
                <w:rFonts w:ascii="Book Antiqua" w:eastAsia="宋体" w:hAnsi="Book Antiqua" w:hint="eastAsia"/>
                <w:b/>
                <w:lang w:val="en-US" w:eastAsia="zh-CN"/>
              </w:rPr>
              <w:t>le</w:t>
            </w:r>
            <w:r w:rsidRPr="007B7749">
              <w:rPr>
                <w:rFonts w:ascii="Book Antiqua" w:hAnsi="Book Antiqua"/>
                <w:b/>
                <w:lang w:val="en-US"/>
              </w:rPr>
              <w:t xml:space="preserve"> 1</w:t>
            </w:r>
            <w:r w:rsidR="00A24C79" w:rsidRPr="007B7749">
              <w:rPr>
                <w:rFonts w:ascii="Book Antiqua" w:hAnsi="Book Antiqua"/>
                <w:b/>
                <w:lang w:val="en-US"/>
              </w:rPr>
              <w:t xml:space="preserve"> Studies concerning the</w:t>
            </w:r>
            <w:r w:rsidRPr="007B7749">
              <w:rPr>
                <w:rFonts w:ascii="Book Antiqua" w:hAnsi="Book Antiqua"/>
                <w:b/>
                <w:lang w:val="en-US"/>
              </w:rPr>
              <w:t xml:space="preserve"> achievement of mucosal healing</w:t>
            </w:r>
          </w:p>
          <w:p w14:paraId="7C02CFA8" w14:textId="77777777" w:rsidR="00A24C79" w:rsidRPr="0050649F" w:rsidRDefault="00A24C79" w:rsidP="00C97716">
            <w:pPr>
              <w:spacing w:line="360" w:lineRule="auto"/>
              <w:jc w:val="both"/>
              <w:rPr>
                <w:rFonts w:ascii="Book Antiqua" w:hAnsi="Book Antiqua"/>
                <w:b/>
                <w:lang w:val="en-US"/>
              </w:rPr>
            </w:pPr>
          </w:p>
        </w:tc>
      </w:tr>
      <w:tr w:rsidR="0050649F" w:rsidRPr="0050649F" w14:paraId="05B72296" w14:textId="77777777" w:rsidTr="007B7749">
        <w:tc>
          <w:tcPr>
            <w:tcW w:w="1702" w:type="dxa"/>
            <w:tcBorders>
              <w:top w:val="single" w:sz="4" w:space="0" w:color="auto"/>
              <w:left w:val="single" w:sz="4" w:space="0" w:color="auto"/>
              <w:bottom w:val="single" w:sz="4" w:space="0" w:color="auto"/>
              <w:right w:val="single" w:sz="4" w:space="0" w:color="auto"/>
            </w:tcBorders>
          </w:tcPr>
          <w:p w14:paraId="03A41B3E" w14:textId="3B0C5DF6" w:rsidR="00A24C79" w:rsidRPr="007B7749" w:rsidRDefault="007B7749" w:rsidP="00C97716">
            <w:pPr>
              <w:spacing w:line="360" w:lineRule="auto"/>
              <w:jc w:val="both"/>
              <w:rPr>
                <w:rFonts w:ascii="Book Antiqua" w:eastAsia="宋体" w:hAnsi="Book Antiqua"/>
                <w:b/>
                <w:lang w:val="en-US" w:eastAsia="zh-CN"/>
              </w:rPr>
            </w:pPr>
            <w:r>
              <w:rPr>
                <w:rFonts w:ascii="Book Antiqua" w:eastAsia="宋体" w:hAnsi="Book Antiqua"/>
                <w:b/>
                <w:lang w:val="en-US" w:eastAsia="zh-CN"/>
              </w:rPr>
              <w:t>R</w:t>
            </w:r>
            <w:r>
              <w:rPr>
                <w:rFonts w:ascii="Book Antiqua" w:eastAsia="宋体" w:hAnsi="Book Antiqua" w:hint="eastAsia"/>
                <w:b/>
                <w:lang w:val="en-US" w:eastAsia="zh-CN"/>
              </w:rPr>
              <w:t>ef.</w:t>
            </w:r>
          </w:p>
        </w:tc>
        <w:tc>
          <w:tcPr>
            <w:tcW w:w="1235" w:type="dxa"/>
            <w:tcBorders>
              <w:top w:val="single" w:sz="4" w:space="0" w:color="auto"/>
              <w:left w:val="single" w:sz="4" w:space="0" w:color="auto"/>
              <w:bottom w:val="single" w:sz="4" w:space="0" w:color="auto"/>
              <w:right w:val="single" w:sz="4" w:space="0" w:color="auto"/>
            </w:tcBorders>
          </w:tcPr>
          <w:p w14:paraId="49B5C3EF"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Design</w:t>
            </w:r>
          </w:p>
        </w:tc>
        <w:tc>
          <w:tcPr>
            <w:tcW w:w="902" w:type="dxa"/>
            <w:tcBorders>
              <w:top w:val="single" w:sz="4" w:space="0" w:color="auto"/>
              <w:left w:val="single" w:sz="4" w:space="0" w:color="auto"/>
              <w:bottom w:val="single" w:sz="4" w:space="0" w:color="auto"/>
              <w:right w:val="single" w:sz="4" w:space="0" w:color="auto"/>
            </w:tcBorders>
          </w:tcPr>
          <w:p w14:paraId="5D2A7A52" w14:textId="6343D2C9"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 xml:space="preserve">No. </w:t>
            </w:r>
            <w:r w:rsidR="000F2E17">
              <w:rPr>
                <w:rFonts w:ascii="Book Antiqua" w:eastAsia="宋体" w:hAnsi="Book Antiqua" w:hint="eastAsia"/>
                <w:b/>
                <w:lang w:val="en-US" w:eastAsia="zh-CN"/>
              </w:rPr>
              <w:t xml:space="preserve">of </w:t>
            </w:r>
            <w:r w:rsidRPr="0050649F">
              <w:rPr>
                <w:rFonts w:ascii="Book Antiqua" w:hAnsi="Book Antiqua"/>
                <w:b/>
                <w:lang w:val="en-US"/>
              </w:rPr>
              <w:t>patients</w:t>
            </w:r>
          </w:p>
        </w:tc>
        <w:tc>
          <w:tcPr>
            <w:tcW w:w="3532" w:type="dxa"/>
            <w:tcBorders>
              <w:top w:val="single" w:sz="4" w:space="0" w:color="auto"/>
              <w:left w:val="single" w:sz="4" w:space="0" w:color="auto"/>
              <w:bottom w:val="single" w:sz="4" w:space="0" w:color="auto"/>
              <w:right w:val="single" w:sz="4" w:space="0" w:color="auto"/>
            </w:tcBorders>
          </w:tcPr>
          <w:p w14:paraId="41A3751B"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Drugs (dose)</w:t>
            </w:r>
          </w:p>
        </w:tc>
        <w:tc>
          <w:tcPr>
            <w:tcW w:w="1135" w:type="dxa"/>
            <w:tcBorders>
              <w:top w:val="single" w:sz="4" w:space="0" w:color="auto"/>
              <w:left w:val="single" w:sz="4" w:space="0" w:color="auto"/>
              <w:bottom w:val="single" w:sz="4" w:space="0" w:color="auto"/>
              <w:right w:val="single" w:sz="4" w:space="0" w:color="auto"/>
            </w:tcBorders>
          </w:tcPr>
          <w:p w14:paraId="36D05411"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Time of endoscopy</w:t>
            </w:r>
          </w:p>
        </w:tc>
        <w:tc>
          <w:tcPr>
            <w:tcW w:w="1695" w:type="dxa"/>
            <w:tcBorders>
              <w:top w:val="single" w:sz="4" w:space="0" w:color="auto"/>
              <w:left w:val="single" w:sz="4" w:space="0" w:color="auto"/>
              <w:bottom w:val="single" w:sz="4" w:space="0" w:color="auto"/>
              <w:right w:val="single" w:sz="4" w:space="0" w:color="auto"/>
            </w:tcBorders>
          </w:tcPr>
          <w:p w14:paraId="7135E00C"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Endoscopic index</w:t>
            </w:r>
          </w:p>
        </w:tc>
        <w:tc>
          <w:tcPr>
            <w:tcW w:w="1424" w:type="dxa"/>
            <w:tcBorders>
              <w:top w:val="single" w:sz="4" w:space="0" w:color="auto"/>
              <w:left w:val="single" w:sz="4" w:space="0" w:color="auto"/>
              <w:bottom w:val="single" w:sz="4" w:space="0" w:color="auto"/>
              <w:right w:val="single" w:sz="4" w:space="0" w:color="auto"/>
            </w:tcBorders>
          </w:tcPr>
          <w:p w14:paraId="3AE11E53"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Definition of MH</w:t>
            </w:r>
          </w:p>
        </w:tc>
        <w:tc>
          <w:tcPr>
            <w:tcW w:w="3669" w:type="dxa"/>
            <w:tcBorders>
              <w:top w:val="single" w:sz="4" w:space="0" w:color="auto"/>
              <w:left w:val="single" w:sz="4" w:space="0" w:color="auto"/>
              <w:bottom w:val="single" w:sz="4" w:space="0" w:color="auto"/>
              <w:right w:val="single" w:sz="4" w:space="0" w:color="auto"/>
            </w:tcBorders>
          </w:tcPr>
          <w:p w14:paraId="69553AA1"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 xml:space="preserve">      Results</w:t>
            </w:r>
          </w:p>
        </w:tc>
      </w:tr>
      <w:tr w:rsidR="0050649F" w:rsidRPr="0050649F" w14:paraId="3D04185B" w14:textId="77777777" w:rsidTr="007B7749">
        <w:tc>
          <w:tcPr>
            <w:tcW w:w="15294" w:type="dxa"/>
            <w:gridSpan w:val="8"/>
            <w:tcBorders>
              <w:top w:val="single" w:sz="4" w:space="0" w:color="auto"/>
              <w:left w:val="single" w:sz="4" w:space="0" w:color="auto"/>
              <w:bottom w:val="single" w:sz="4" w:space="0" w:color="auto"/>
              <w:right w:val="single" w:sz="4" w:space="0" w:color="auto"/>
            </w:tcBorders>
          </w:tcPr>
          <w:p w14:paraId="5DB67DC7"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5-ASA</w:t>
            </w:r>
          </w:p>
        </w:tc>
      </w:tr>
      <w:tr w:rsidR="0050649F" w:rsidRPr="0050649F" w14:paraId="42FCA704" w14:textId="77777777" w:rsidTr="007B7749">
        <w:tc>
          <w:tcPr>
            <w:tcW w:w="1702" w:type="dxa"/>
            <w:tcBorders>
              <w:top w:val="single" w:sz="4" w:space="0" w:color="auto"/>
              <w:left w:val="single" w:sz="4" w:space="0" w:color="auto"/>
              <w:bottom w:val="single" w:sz="4" w:space="0" w:color="auto"/>
              <w:right w:val="single" w:sz="4" w:space="0" w:color="auto"/>
            </w:tcBorders>
          </w:tcPr>
          <w:p w14:paraId="61272576" w14:textId="512DC691"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Vecchi</w:t>
            </w:r>
            <w:r w:rsidR="007B7749">
              <w:rPr>
                <w:rFonts w:ascii="Book Antiqua" w:eastAsia="宋体" w:hAnsi="Book Antiqua" w:hint="eastAsia"/>
                <w:lang w:val="en-US" w:eastAsia="zh-CN"/>
              </w:rPr>
              <w:t xml:space="preserve"> </w:t>
            </w:r>
            <w:r w:rsidR="007B7749">
              <w:rPr>
                <w:rFonts w:ascii="Book Antiqua" w:eastAsia="宋体" w:hAnsi="Book Antiqua" w:hint="eastAsia"/>
                <w:i/>
                <w:lang w:val="en-US" w:eastAsia="zh-CN"/>
              </w:rPr>
              <w:t>et al</w:t>
            </w:r>
            <w:r w:rsidR="007B7749" w:rsidRPr="0050649F">
              <w:rPr>
                <w:rFonts w:ascii="Book Antiqua" w:hAnsi="Book Antiqua"/>
                <w:vertAlign w:val="superscript"/>
                <w:lang w:val="en-US"/>
              </w:rPr>
              <w:t>[43]</w:t>
            </w:r>
            <w:r w:rsidRPr="0050649F">
              <w:rPr>
                <w:rFonts w:ascii="Book Antiqua" w:hAnsi="Book Antiqua"/>
                <w:lang w:val="en-US"/>
              </w:rPr>
              <w:t xml:space="preserve">, 2001 </w:t>
            </w:r>
          </w:p>
        </w:tc>
        <w:tc>
          <w:tcPr>
            <w:tcW w:w="1235" w:type="dxa"/>
            <w:tcBorders>
              <w:top w:val="single" w:sz="4" w:space="0" w:color="auto"/>
              <w:left w:val="single" w:sz="4" w:space="0" w:color="auto"/>
              <w:bottom w:val="single" w:sz="4" w:space="0" w:color="auto"/>
              <w:right w:val="single" w:sz="4" w:space="0" w:color="auto"/>
            </w:tcBorders>
          </w:tcPr>
          <w:p w14:paraId="35D507D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mc</w:t>
            </w:r>
          </w:p>
        </w:tc>
        <w:tc>
          <w:tcPr>
            <w:tcW w:w="902" w:type="dxa"/>
            <w:tcBorders>
              <w:top w:val="single" w:sz="4" w:space="0" w:color="auto"/>
              <w:left w:val="single" w:sz="4" w:space="0" w:color="auto"/>
              <w:bottom w:val="single" w:sz="4" w:space="0" w:color="auto"/>
              <w:right w:val="single" w:sz="4" w:space="0" w:color="auto"/>
            </w:tcBorders>
          </w:tcPr>
          <w:p w14:paraId="489BADF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130 UC</w:t>
            </w:r>
          </w:p>
        </w:tc>
        <w:tc>
          <w:tcPr>
            <w:tcW w:w="3532" w:type="dxa"/>
            <w:tcBorders>
              <w:top w:val="single" w:sz="4" w:space="0" w:color="auto"/>
              <w:left w:val="single" w:sz="4" w:space="0" w:color="auto"/>
              <w:bottom w:val="single" w:sz="4" w:space="0" w:color="auto"/>
              <w:right w:val="single" w:sz="4" w:space="0" w:color="auto"/>
            </w:tcBorders>
          </w:tcPr>
          <w:p w14:paraId="176E6A53" w14:textId="3AABE65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5-ASA 4 g p.o. </w:t>
            </w:r>
            <w:r w:rsidR="008D57EC" w:rsidRPr="008D57EC">
              <w:rPr>
                <w:rFonts w:ascii="Book Antiqua" w:hAnsi="Book Antiqua"/>
                <w:i/>
                <w:lang w:val="en-US"/>
              </w:rPr>
              <w:t>vs</w:t>
            </w:r>
            <w:r w:rsidRPr="0050649F">
              <w:rPr>
                <w:rFonts w:ascii="Book Antiqua" w:hAnsi="Book Antiqua"/>
                <w:lang w:val="en-US"/>
              </w:rPr>
              <w:t xml:space="preserve"> 2 + 2 g and enema</w:t>
            </w:r>
          </w:p>
        </w:tc>
        <w:tc>
          <w:tcPr>
            <w:tcW w:w="1135" w:type="dxa"/>
            <w:tcBorders>
              <w:top w:val="single" w:sz="4" w:space="0" w:color="auto"/>
              <w:left w:val="single" w:sz="4" w:space="0" w:color="auto"/>
              <w:bottom w:val="single" w:sz="4" w:space="0" w:color="auto"/>
              <w:right w:val="single" w:sz="4" w:space="0" w:color="auto"/>
            </w:tcBorders>
          </w:tcPr>
          <w:p w14:paraId="01F1BA7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6 wk </w:t>
            </w:r>
          </w:p>
        </w:tc>
        <w:tc>
          <w:tcPr>
            <w:tcW w:w="1695" w:type="dxa"/>
            <w:tcBorders>
              <w:top w:val="single" w:sz="4" w:space="0" w:color="auto"/>
              <w:left w:val="single" w:sz="4" w:space="0" w:color="auto"/>
              <w:bottom w:val="single" w:sz="4" w:space="0" w:color="auto"/>
              <w:right w:val="single" w:sz="4" w:space="0" w:color="auto"/>
            </w:tcBorders>
          </w:tcPr>
          <w:p w14:paraId="318AFF3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Rachmilewitz</w:t>
            </w:r>
          </w:p>
        </w:tc>
        <w:tc>
          <w:tcPr>
            <w:tcW w:w="1424" w:type="dxa"/>
            <w:tcBorders>
              <w:top w:val="single" w:sz="4" w:space="0" w:color="auto"/>
              <w:left w:val="single" w:sz="4" w:space="0" w:color="auto"/>
              <w:bottom w:val="single" w:sz="4" w:space="0" w:color="auto"/>
              <w:right w:val="single" w:sz="4" w:space="0" w:color="auto"/>
            </w:tcBorders>
          </w:tcPr>
          <w:p w14:paraId="3C6D72E4" w14:textId="0BE75ED0"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&lt;</w:t>
            </w:r>
            <w:r w:rsidR="008D57EC">
              <w:rPr>
                <w:rFonts w:ascii="Book Antiqua" w:eastAsia="宋体" w:hAnsi="Book Antiqua" w:hint="eastAsia"/>
                <w:lang w:val="en-US" w:eastAsia="zh-CN"/>
              </w:rPr>
              <w:t xml:space="preserve"> </w:t>
            </w:r>
            <w:r w:rsidRPr="0050649F">
              <w:rPr>
                <w:rFonts w:ascii="Book Antiqua" w:hAnsi="Book Antiqua"/>
                <w:lang w:val="en-US"/>
              </w:rPr>
              <w:t>4</w:t>
            </w:r>
          </w:p>
        </w:tc>
        <w:tc>
          <w:tcPr>
            <w:tcW w:w="3669" w:type="dxa"/>
            <w:tcBorders>
              <w:top w:val="single" w:sz="4" w:space="0" w:color="auto"/>
              <w:left w:val="single" w:sz="4" w:space="0" w:color="auto"/>
              <w:bottom w:val="single" w:sz="4" w:space="0" w:color="auto"/>
              <w:right w:val="single" w:sz="4" w:space="0" w:color="auto"/>
            </w:tcBorders>
          </w:tcPr>
          <w:p w14:paraId="4DDD6F1E" w14:textId="09A248E9"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58% </w:t>
            </w:r>
            <w:r w:rsidR="008D57EC" w:rsidRPr="008D57EC">
              <w:rPr>
                <w:rFonts w:ascii="Book Antiqua" w:hAnsi="Book Antiqua"/>
                <w:i/>
                <w:lang w:val="en-US"/>
              </w:rPr>
              <w:t>vs</w:t>
            </w:r>
            <w:r w:rsidRPr="0050649F">
              <w:rPr>
                <w:rFonts w:ascii="Book Antiqua" w:hAnsi="Book Antiqua"/>
                <w:lang w:val="en-US"/>
              </w:rPr>
              <w:t xml:space="preserve"> 71% </w:t>
            </w:r>
          </w:p>
        </w:tc>
      </w:tr>
      <w:tr w:rsidR="0050649F" w:rsidRPr="0050649F" w14:paraId="50679651" w14:textId="77777777" w:rsidTr="007B7749">
        <w:tc>
          <w:tcPr>
            <w:tcW w:w="1702" w:type="dxa"/>
            <w:tcBorders>
              <w:top w:val="single" w:sz="4" w:space="0" w:color="auto"/>
              <w:left w:val="single" w:sz="4" w:space="0" w:color="auto"/>
              <w:bottom w:val="single" w:sz="4" w:space="0" w:color="auto"/>
              <w:right w:val="single" w:sz="4" w:space="0" w:color="auto"/>
            </w:tcBorders>
          </w:tcPr>
          <w:p w14:paraId="71A02B7A" w14:textId="1B715DF1"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Mansfield</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[44]</w:t>
            </w:r>
            <w:r w:rsidRPr="0050649F">
              <w:rPr>
                <w:rFonts w:ascii="Book Antiqua" w:hAnsi="Book Antiqua"/>
                <w:lang w:val="en-US"/>
              </w:rPr>
              <w:t xml:space="preserve">, 2002 </w:t>
            </w:r>
          </w:p>
        </w:tc>
        <w:tc>
          <w:tcPr>
            <w:tcW w:w="1235" w:type="dxa"/>
            <w:tcBorders>
              <w:top w:val="single" w:sz="4" w:space="0" w:color="auto"/>
              <w:left w:val="single" w:sz="4" w:space="0" w:color="auto"/>
              <w:bottom w:val="single" w:sz="4" w:space="0" w:color="auto"/>
              <w:right w:val="single" w:sz="4" w:space="0" w:color="auto"/>
            </w:tcBorders>
          </w:tcPr>
          <w:p w14:paraId="28B0DE2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244781A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50 UC</w:t>
            </w:r>
          </w:p>
        </w:tc>
        <w:tc>
          <w:tcPr>
            <w:tcW w:w="3532" w:type="dxa"/>
            <w:tcBorders>
              <w:top w:val="single" w:sz="4" w:space="0" w:color="auto"/>
              <w:left w:val="single" w:sz="4" w:space="0" w:color="auto"/>
              <w:bottom w:val="single" w:sz="4" w:space="0" w:color="auto"/>
              <w:right w:val="single" w:sz="4" w:space="0" w:color="auto"/>
            </w:tcBorders>
          </w:tcPr>
          <w:p w14:paraId="66464E7E" w14:textId="246464F0"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Balsalazide 6.75 g </w:t>
            </w:r>
            <w:r w:rsidR="008D57EC" w:rsidRPr="008D57EC">
              <w:rPr>
                <w:rFonts w:ascii="Book Antiqua" w:hAnsi="Book Antiqua"/>
                <w:i/>
                <w:lang w:val="en-US"/>
              </w:rPr>
              <w:t>vs</w:t>
            </w:r>
            <w:r w:rsidRPr="0050649F">
              <w:rPr>
                <w:rFonts w:ascii="Book Antiqua" w:hAnsi="Book Antiqua"/>
                <w:lang w:val="en-US"/>
              </w:rPr>
              <w:t xml:space="preserve"> SASP 3 g</w:t>
            </w:r>
          </w:p>
        </w:tc>
        <w:tc>
          <w:tcPr>
            <w:tcW w:w="1135" w:type="dxa"/>
            <w:tcBorders>
              <w:top w:val="single" w:sz="4" w:space="0" w:color="auto"/>
              <w:left w:val="single" w:sz="4" w:space="0" w:color="auto"/>
              <w:bottom w:val="single" w:sz="4" w:space="0" w:color="auto"/>
              <w:right w:val="single" w:sz="4" w:space="0" w:color="auto"/>
            </w:tcBorders>
          </w:tcPr>
          <w:p w14:paraId="323E1BA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w:t>
            </w:r>
          </w:p>
        </w:tc>
        <w:tc>
          <w:tcPr>
            <w:tcW w:w="1695" w:type="dxa"/>
            <w:tcBorders>
              <w:top w:val="single" w:sz="4" w:space="0" w:color="auto"/>
              <w:left w:val="single" w:sz="4" w:space="0" w:color="auto"/>
              <w:bottom w:val="single" w:sz="4" w:space="0" w:color="auto"/>
              <w:right w:val="single" w:sz="4" w:space="0" w:color="auto"/>
            </w:tcBorders>
          </w:tcPr>
          <w:p w14:paraId="13B7B46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4 point score</w:t>
            </w:r>
          </w:p>
        </w:tc>
        <w:tc>
          <w:tcPr>
            <w:tcW w:w="1424" w:type="dxa"/>
            <w:tcBorders>
              <w:top w:val="single" w:sz="4" w:space="0" w:color="auto"/>
              <w:left w:val="single" w:sz="4" w:space="0" w:color="auto"/>
              <w:bottom w:val="single" w:sz="4" w:space="0" w:color="auto"/>
              <w:right w:val="single" w:sz="4" w:space="0" w:color="auto"/>
            </w:tcBorders>
          </w:tcPr>
          <w:p w14:paraId="098FB77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Score 0</w:t>
            </w:r>
          </w:p>
        </w:tc>
        <w:tc>
          <w:tcPr>
            <w:tcW w:w="3669" w:type="dxa"/>
            <w:tcBorders>
              <w:top w:val="single" w:sz="4" w:space="0" w:color="auto"/>
              <w:left w:val="single" w:sz="4" w:space="0" w:color="auto"/>
              <w:bottom w:val="single" w:sz="4" w:space="0" w:color="auto"/>
              <w:right w:val="single" w:sz="4" w:space="0" w:color="auto"/>
            </w:tcBorders>
          </w:tcPr>
          <w:p w14:paraId="697F36D6" w14:textId="01A55236"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27% </w:t>
            </w:r>
            <w:r w:rsidR="008D57EC" w:rsidRPr="008D57EC">
              <w:rPr>
                <w:rFonts w:ascii="Book Antiqua" w:hAnsi="Book Antiqua"/>
                <w:i/>
                <w:lang w:val="en-US"/>
              </w:rPr>
              <w:t>vs</w:t>
            </w:r>
            <w:r w:rsidRPr="0050649F">
              <w:rPr>
                <w:rFonts w:ascii="Book Antiqua" w:hAnsi="Book Antiqua"/>
                <w:lang w:val="en-US"/>
              </w:rPr>
              <w:t xml:space="preserve"> 25% </w:t>
            </w:r>
          </w:p>
        </w:tc>
      </w:tr>
      <w:tr w:rsidR="0050649F" w:rsidRPr="0050649F" w14:paraId="0079C341" w14:textId="77777777" w:rsidTr="007B7749">
        <w:tc>
          <w:tcPr>
            <w:tcW w:w="1702" w:type="dxa"/>
            <w:tcBorders>
              <w:top w:val="single" w:sz="4" w:space="0" w:color="auto"/>
              <w:left w:val="single" w:sz="4" w:space="0" w:color="auto"/>
              <w:bottom w:val="single" w:sz="4" w:space="0" w:color="auto"/>
              <w:right w:val="single" w:sz="4" w:space="0" w:color="auto"/>
            </w:tcBorders>
          </w:tcPr>
          <w:p w14:paraId="30FE94D1" w14:textId="56E93E00"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Kruis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[45]</w:t>
            </w:r>
            <w:r w:rsidRPr="0050649F">
              <w:rPr>
                <w:rFonts w:ascii="Book Antiqua" w:hAnsi="Book Antiqua"/>
                <w:lang w:val="en-US"/>
              </w:rPr>
              <w:t xml:space="preserve">, 2003 </w:t>
            </w:r>
          </w:p>
        </w:tc>
        <w:tc>
          <w:tcPr>
            <w:tcW w:w="1235" w:type="dxa"/>
            <w:tcBorders>
              <w:top w:val="single" w:sz="4" w:space="0" w:color="auto"/>
              <w:left w:val="single" w:sz="4" w:space="0" w:color="auto"/>
              <w:bottom w:val="single" w:sz="4" w:space="0" w:color="auto"/>
              <w:right w:val="single" w:sz="4" w:space="0" w:color="auto"/>
            </w:tcBorders>
          </w:tcPr>
          <w:p w14:paraId="319FE54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5E2B95F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321 UC</w:t>
            </w:r>
          </w:p>
        </w:tc>
        <w:tc>
          <w:tcPr>
            <w:tcW w:w="3532" w:type="dxa"/>
            <w:tcBorders>
              <w:top w:val="single" w:sz="4" w:space="0" w:color="auto"/>
              <w:left w:val="single" w:sz="4" w:space="0" w:color="auto"/>
              <w:bottom w:val="single" w:sz="4" w:space="0" w:color="auto"/>
              <w:right w:val="single" w:sz="4" w:space="0" w:color="auto"/>
            </w:tcBorders>
          </w:tcPr>
          <w:p w14:paraId="49259912" w14:textId="3A28B37E"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5-ASA 0.5 g </w:t>
            </w:r>
            <w:r w:rsidR="008D57EC" w:rsidRPr="009D014F">
              <w:rPr>
                <w:rFonts w:ascii="Book Antiqua" w:hAnsi="Book Antiqua"/>
                <w:color w:val="000000"/>
              </w:rPr>
              <w:t>×</w:t>
            </w:r>
            <w:r w:rsidRPr="0050649F">
              <w:rPr>
                <w:rFonts w:ascii="Book Antiqua" w:hAnsi="Book Antiqua"/>
                <w:lang w:val="en-US"/>
              </w:rPr>
              <w:t xml:space="preserve"> 3 </w:t>
            </w:r>
            <w:r w:rsidR="008D57EC" w:rsidRPr="008D57EC">
              <w:rPr>
                <w:rFonts w:ascii="Book Antiqua" w:hAnsi="Book Antiqua"/>
                <w:i/>
                <w:lang w:val="en-US"/>
              </w:rPr>
              <w:t>vs</w:t>
            </w:r>
            <w:r w:rsidRPr="0050649F">
              <w:rPr>
                <w:rFonts w:ascii="Book Antiqua" w:hAnsi="Book Antiqua"/>
                <w:lang w:val="en-US"/>
              </w:rPr>
              <w:t xml:space="preserve"> 1 g </w:t>
            </w:r>
            <w:r w:rsidR="008D57EC" w:rsidRPr="009D014F">
              <w:rPr>
                <w:rFonts w:ascii="Book Antiqua" w:hAnsi="Book Antiqua"/>
                <w:color w:val="000000"/>
              </w:rPr>
              <w:t>×</w:t>
            </w:r>
            <w:r w:rsidRPr="0050649F">
              <w:rPr>
                <w:rFonts w:ascii="Book Antiqua" w:hAnsi="Book Antiqua"/>
                <w:lang w:val="en-US"/>
              </w:rPr>
              <w:t xml:space="preserve"> 3 </w:t>
            </w:r>
            <w:r w:rsidR="008D57EC" w:rsidRPr="008D57EC">
              <w:rPr>
                <w:rFonts w:ascii="Book Antiqua" w:hAnsi="Book Antiqua"/>
                <w:i/>
                <w:lang w:val="en-US"/>
              </w:rPr>
              <w:t>vs</w:t>
            </w:r>
            <w:r w:rsidRPr="0050649F">
              <w:rPr>
                <w:rFonts w:ascii="Book Antiqua" w:hAnsi="Book Antiqua"/>
                <w:lang w:val="en-US"/>
              </w:rPr>
              <w:t xml:space="preserve"> 1.5 g </w:t>
            </w:r>
            <w:r w:rsidR="008D57EC" w:rsidRPr="009D014F">
              <w:rPr>
                <w:rFonts w:ascii="Book Antiqua" w:hAnsi="Book Antiqua"/>
                <w:color w:val="000000"/>
              </w:rPr>
              <w:t>×</w:t>
            </w:r>
            <w:r w:rsidRPr="0050649F">
              <w:rPr>
                <w:rFonts w:ascii="Book Antiqua" w:hAnsi="Book Antiqua"/>
                <w:lang w:val="en-US"/>
              </w:rPr>
              <w:t xml:space="preserve"> 3</w:t>
            </w:r>
          </w:p>
        </w:tc>
        <w:tc>
          <w:tcPr>
            <w:tcW w:w="1135" w:type="dxa"/>
            <w:tcBorders>
              <w:top w:val="single" w:sz="4" w:space="0" w:color="auto"/>
              <w:left w:val="single" w:sz="4" w:space="0" w:color="auto"/>
              <w:bottom w:val="single" w:sz="4" w:space="0" w:color="auto"/>
              <w:right w:val="single" w:sz="4" w:space="0" w:color="auto"/>
            </w:tcBorders>
          </w:tcPr>
          <w:p w14:paraId="426E2E0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w:t>
            </w:r>
          </w:p>
        </w:tc>
        <w:tc>
          <w:tcPr>
            <w:tcW w:w="1695" w:type="dxa"/>
            <w:tcBorders>
              <w:top w:val="single" w:sz="4" w:space="0" w:color="auto"/>
              <w:left w:val="single" w:sz="4" w:space="0" w:color="auto"/>
              <w:bottom w:val="single" w:sz="4" w:space="0" w:color="auto"/>
              <w:right w:val="single" w:sz="4" w:space="0" w:color="auto"/>
            </w:tcBorders>
          </w:tcPr>
          <w:p w14:paraId="17E9220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Rachmilewitz</w:t>
            </w:r>
          </w:p>
        </w:tc>
        <w:tc>
          <w:tcPr>
            <w:tcW w:w="1424" w:type="dxa"/>
            <w:tcBorders>
              <w:top w:val="single" w:sz="4" w:space="0" w:color="auto"/>
              <w:left w:val="single" w:sz="4" w:space="0" w:color="auto"/>
              <w:bottom w:val="single" w:sz="4" w:space="0" w:color="auto"/>
              <w:right w:val="single" w:sz="4" w:space="0" w:color="auto"/>
            </w:tcBorders>
          </w:tcPr>
          <w:p w14:paraId="65CC468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Histology improvement </w:t>
            </w:r>
          </w:p>
        </w:tc>
        <w:tc>
          <w:tcPr>
            <w:tcW w:w="3669" w:type="dxa"/>
            <w:tcBorders>
              <w:top w:val="single" w:sz="4" w:space="0" w:color="auto"/>
              <w:left w:val="single" w:sz="4" w:space="0" w:color="auto"/>
              <w:bottom w:val="single" w:sz="4" w:space="0" w:color="auto"/>
              <w:right w:val="single" w:sz="4" w:space="0" w:color="auto"/>
            </w:tcBorders>
          </w:tcPr>
          <w:p w14:paraId="68BB9CC3" w14:textId="0F17AF64"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53% </w:t>
            </w:r>
            <w:r w:rsidR="008D57EC" w:rsidRPr="008D57EC">
              <w:rPr>
                <w:rFonts w:ascii="Book Antiqua" w:hAnsi="Book Antiqua"/>
                <w:i/>
                <w:lang w:val="en-US"/>
              </w:rPr>
              <w:t>vs</w:t>
            </w:r>
            <w:r w:rsidRPr="0050649F">
              <w:rPr>
                <w:rFonts w:ascii="Book Antiqua" w:hAnsi="Book Antiqua"/>
                <w:lang w:val="en-US"/>
              </w:rPr>
              <w:t xml:space="preserve"> 84% </w:t>
            </w:r>
            <w:r w:rsidR="008D57EC" w:rsidRPr="008D57EC">
              <w:rPr>
                <w:rFonts w:ascii="Book Antiqua" w:hAnsi="Book Antiqua"/>
                <w:i/>
                <w:lang w:val="en-US"/>
              </w:rPr>
              <w:t>vs</w:t>
            </w:r>
            <w:r w:rsidRPr="0050649F">
              <w:rPr>
                <w:rFonts w:ascii="Book Antiqua" w:hAnsi="Book Antiqua"/>
                <w:lang w:val="en-US"/>
              </w:rPr>
              <w:t xml:space="preserve"> 70% </w:t>
            </w:r>
          </w:p>
        </w:tc>
      </w:tr>
      <w:tr w:rsidR="0050649F" w:rsidRPr="0050649F" w14:paraId="6B7C38D0" w14:textId="77777777" w:rsidTr="007B7749">
        <w:tc>
          <w:tcPr>
            <w:tcW w:w="1702" w:type="dxa"/>
            <w:tcBorders>
              <w:top w:val="single" w:sz="4" w:space="0" w:color="auto"/>
              <w:left w:val="single" w:sz="4" w:space="0" w:color="auto"/>
              <w:bottom w:val="single" w:sz="4" w:space="0" w:color="auto"/>
              <w:right w:val="single" w:sz="4" w:space="0" w:color="auto"/>
            </w:tcBorders>
          </w:tcPr>
          <w:p w14:paraId="5A4442FE" w14:textId="75190DA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Hanauer</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[47]</w:t>
            </w:r>
            <w:r w:rsidRPr="0050649F">
              <w:rPr>
                <w:rFonts w:ascii="Book Antiqua" w:hAnsi="Book Antiqua"/>
                <w:lang w:val="en-US"/>
              </w:rPr>
              <w:t xml:space="preserve">, 2007 </w:t>
            </w:r>
          </w:p>
          <w:p w14:paraId="07CAF4D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ASCEND 1 and 2 </w:t>
            </w:r>
          </w:p>
        </w:tc>
        <w:tc>
          <w:tcPr>
            <w:tcW w:w="1235" w:type="dxa"/>
            <w:tcBorders>
              <w:top w:val="single" w:sz="4" w:space="0" w:color="auto"/>
              <w:left w:val="single" w:sz="4" w:space="0" w:color="auto"/>
              <w:bottom w:val="single" w:sz="4" w:space="0" w:color="auto"/>
              <w:right w:val="single" w:sz="4" w:space="0" w:color="auto"/>
            </w:tcBorders>
          </w:tcPr>
          <w:p w14:paraId="101F0CD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123C1A7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391 UC</w:t>
            </w:r>
          </w:p>
        </w:tc>
        <w:tc>
          <w:tcPr>
            <w:tcW w:w="3532" w:type="dxa"/>
            <w:tcBorders>
              <w:top w:val="single" w:sz="4" w:space="0" w:color="auto"/>
              <w:left w:val="single" w:sz="4" w:space="0" w:color="auto"/>
              <w:bottom w:val="single" w:sz="4" w:space="0" w:color="auto"/>
              <w:right w:val="single" w:sz="4" w:space="0" w:color="auto"/>
            </w:tcBorders>
          </w:tcPr>
          <w:p w14:paraId="26D07EA8" w14:textId="77C8E174"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Asacol 4.8 g </w:t>
            </w:r>
            <w:r w:rsidR="008D57EC" w:rsidRPr="008D57EC">
              <w:rPr>
                <w:rFonts w:ascii="Book Antiqua" w:hAnsi="Book Antiqua"/>
                <w:i/>
                <w:lang w:val="en-US"/>
              </w:rPr>
              <w:t>vs</w:t>
            </w:r>
            <w:r w:rsidRPr="0050649F">
              <w:rPr>
                <w:rFonts w:ascii="Book Antiqua" w:hAnsi="Book Antiqua"/>
                <w:lang w:val="en-US"/>
              </w:rPr>
              <w:t xml:space="preserve"> 2.4 g</w:t>
            </w:r>
          </w:p>
        </w:tc>
        <w:tc>
          <w:tcPr>
            <w:tcW w:w="1135" w:type="dxa"/>
            <w:tcBorders>
              <w:top w:val="single" w:sz="4" w:space="0" w:color="auto"/>
              <w:left w:val="single" w:sz="4" w:space="0" w:color="auto"/>
              <w:bottom w:val="single" w:sz="4" w:space="0" w:color="auto"/>
              <w:right w:val="single" w:sz="4" w:space="0" w:color="auto"/>
            </w:tcBorders>
          </w:tcPr>
          <w:p w14:paraId="2797BFA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 wk</w:t>
            </w:r>
          </w:p>
        </w:tc>
        <w:tc>
          <w:tcPr>
            <w:tcW w:w="1695" w:type="dxa"/>
            <w:tcBorders>
              <w:top w:val="single" w:sz="4" w:space="0" w:color="auto"/>
              <w:left w:val="single" w:sz="4" w:space="0" w:color="auto"/>
              <w:bottom w:val="single" w:sz="4" w:space="0" w:color="auto"/>
              <w:right w:val="single" w:sz="4" w:space="0" w:color="auto"/>
            </w:tcBorders>
          </w:tcPr>
          <w:p w14:paraId="03A16F7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No score</w:t>
            </w:r>
          </w:p>
        </w:tc>
        <w:tc>
          <w:tcPr>
            <w:tcW w:w="1424" w:type="dxa"/>
            <w:tcBorders>
              <w:top w:val="single" w:sz="4" w:space="0" w:color="auto"/>
              <w:left w:val="single" w:sz="4" w:space="0" w:color="auto"/>
              <w:bottom w:val="single" w:sz="4" w:space="0" w:color="auto"/>
              <w:right w:val="single" w:sz="4" w:space="0" w:color="auto"/>
            </w:tcBorders>
          </w:tcPr>
          <w:p w14:paraId="633D3E3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Normal endoscopy</w:t>
            </w:r>
          </w:p>
        </w:tc>
        <w:tc>
          <w:tcPr>
            <w:tcW w:w="3669" w:type="dxa"/>
            <w:tcBorders>
              <w:top w:val="single" w:sz="4" w:space="0" w:color="auto"/>
              <w:left w:val="single" w:sz="4" w:space="0" w:color="auto"/>
              <w:bottom w:val="single" w:sz="4" w:space="0" w:color="auto"/>
              <w:right w:val="single" w:sz="4" w:space="0" w:color="auto"/>
            </w:tcBorders>
          </w:tcPr>
          <w:p w14:paraId="3F885045" w14:textId="2E7767E5"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84% </w:t>
            </w:r>
            <w:r w:rsidR="008D57EC" w:rsidRPr="008D57EC">
              <w:rPr>
                <w:rFonts w:ascii="Book Antiqua" w:hAnsi="Book Antiqua"/>
                <w:i/>
                <w:lang w:val="en-US"/>
              </w:rPr>
              <w:t>vs</w:t>
            </w:r>
            <w:r w:rsidRPr="0050649F">
              <w:rPr>
                <w:rFonts w:ascii="Book Antiqua" w:hAnsi="Book Antiqua"/>
                <w:lang w:val="en-US"/>
              </w:rPr>
              <w:t xml:space="preserve"> 67% (in moderate UC) </w:t>
            </w:r>
          </w:p>
        </w:tc>
      </w:tr>
      <w:tr w:rsidR="0050649F" w:rsidRPr="0050649F" w14:paraId="35726393" w14:textId="77777777" w:rsidTr="007B7749">
        <w:tc>
          <w:tcPr>
            <w:tcW w:w="1702" w:type="dxa"/>
            <w:tcBorders>
              <w:top w:val="single" w:sz="4" w:space="0" w:color="auto"/>
              <w:left w:val="single" w:sz="4" w:space="0" w:color="auto"/>
              <w:bottom w:val="single" w:sz="4" w:space="0" w:color="auto"/>
              <w:right w:val="single" w:sz="4" w:space="0" w:color="auto"/>
            </w:tcBorders>
          </w:tcPr>
          <w:p w14:paraId="179C63EC" w14:textId="08350FC8"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Kamm</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[48]</w:t>
            </w:r>
            <w:r w:rsidRPr="0050649F">
              <w:rPr>
                <w:rFonts w:ascii="Book Antiqua" w:hAnsi="Book Antiqua"/>
                <w:lang w:val="en-US"/>
              </w:rPr>
              <w:t xml:space="preserve">, 2007 </w:t>
            </w:r>
          </w:p>
          <w:p w14:paraId="65B21EF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MMX</w:t>
            </w:r>
          </w:p>
        </w:tc>
        <w:tc>
          <w:tcPr>
            <w:tcW w:w="1235" w:type="dxa"/>
            <w:tcBorders>
              <w:top w:val="single" w:sz="4" w:space="0" w:color="auto"/>
              <w:left w:val="single" w:sz="4" w:space="0" w:color="auto"/>
              <w:bottom w:val="single" w:sz="4" w:space="0" w:color="auto"/>
              <w:right w:val="single" w:sz="4" w:space="0" w:color="auto"/>
            </w:tcBorders>
          </w:tcPr>
          <w:p w14:paraId="7D5BA9F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40949C0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343 UC</w:t>
            </w:r>
          </w:p>
        </w:tc>
        <w:tc>
          <w:tcPr>
            <w:tcW w:w="3532" w:type="dxa"/>
            <w:tcBorders>
              <w:top w:val="single" w:sz="4" w:space="0" w:color="auto"/>
              <w:left w:val="single" w:sz="4" w:space="0" w:color="auto"/>
              <w:bottom w:val="single" w:sz="4" w:space="0" w:color="auto"/>
              <w:right w:val="single" w:sz="4" w:space="0" w:color="auto"/>
            </w:tcBorders>
          </w:tcPr>
          <w:p w14:paraId="2032D25F" w14:textId="6439AA91" w:rsidR="00A24C79" w:rsidRPr="0050649F" w:rsidRDefault="00A24C79" w:rsidP="00C97716">
            <w:pPr>
              <w:spacing w:line="360" w:lineRule="auto"/>
              <w:jc w:val="both"/>
              <w:rPr>
                <w:rFonts w:ascii="Book Antiqua" w:hAnsi="Book Antiqua"/>
              </w:rPr>
            </w:pPr>
            <w:r w:rsidRPr="0050649F">
              <w:rPr>
                <w:rFonts w:ascii="Book Antiqua" w:hAnsi="Book Antiqua"/>
              </w:rPr>
              <w:t xml:space="preserve">Mesalamine MMX 4.8 g </w:t>
            </w:r>
            <w:r w:rsidR="008D57EC" w:rsidRPr="008D57EC">
              <w:rPr>
                <w:rFonts w:ascii="Book Antiqua" w:hAnsi="Book Antiqua"/>
                <w:i/>
                <w:lang w:val="en-US"/>
              </w:rPr>
              <w:t>vs</w:t>
            </w:r>
            <w:r w:rsidRPr="0050649F">
              <w:rPr>
                <w:rFonts w:ascii="Book Antiqua" w:hAnsi="Book Antiqua"/>
              </w:rPr>
              <w:t xml:space="preserve"> 2.4 g </w:t>
            </w:r>
            <w:r w:rsidR="008D57EC" w:rsidRPr="008D57EC">
              <w:rPr>
                <w:rFonts w:ascii="Book Antiqua" w:hAnsi="Book Antiqua"/>
                <w:i/>
                <w:lang w:val="en-US"/>
              </w:rPr>
              <w:t>vs</w:t>
            </w:r>
            <w:r w:rsidRPr="0050649F">
              <w:rPr>
                <w:rFonts w:ascii="Book Antiqua" w:hAnsi="Book Antiqua"/>
              </w:rPr>
              <w:t xml:space="preserve"> plc </w:t>
            </w:r>
          </w:p>
        </w:tc>
        <w:tc>
          <w:tcPr>
            <w:tcW w:w="1135" w:type="dxa"/>
            <w:tcBorders>
              <w:top w:val="single" w:sz="4" w:space="0" w:color="auto"/>
              <w:left w:val="single" w:sz="4" w:space="0" w:color="auto"/>
              <w:bottom w:val="single" w:sz="4" w:space="0" w:color="auto"/>
              <w:right w:val="single" w:sz="4" w:space="0" w:color="auto"/>
            </w:tcBorders>
          </w:tcPr>
          <w:p w14:paraId="58BD5CD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w:t>
            </w:r>
          </w:p>
        </w:tc>
        <w:tc>
          <w:tcPr>
            <w:tcW w:w="1695" w:type="dxa"/>
            <w:tcBorders>
              <w:top w:val="single" w:sz="4" w:space="0" w:color="auto"/>
              <w:left w:val="single" w:sz="4" w:space="0" w:color="auto"/>
              <w:bottom w:val="single" w:sz="4" w:space="0" w:color="auto"/>
              <w:right w:val="single" w:sz="4" w:space="0" w:color="auto"/>
            </w:tcBorders>
          </w:tcPr>
          <w:p w14:paraId="739F147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Mod. Sutherland index</w:t>
            </w:r>
          </w:p>
        </w:tc>
        <w:tc>
          <w:tcPr>
            <w:tcW w:w="1424" w:type="dxa"/>
            <w:tcBorders>
              <w:top w:val="single" w:sz="4" w:space="0" w:color="auto"/>
              <w:left w:val="single" w:sz="4" w:space="0" w:color="auto"/>
              <w:bottom w:val="single" w:sz="4" w:space="0" w:color="auto"/>
              <w:right w:val="single" w:sz="4" w:space="0" w:color="auto"/>
            </w:tcBorders>
          </w:tcPr>
          <w:p w14:paraId="38E034A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&lt;1</w:t>
            </w:r>
          </w:p>
        </w:tc>
        <w:tc>
          <w:tcPr>
            <w:tcW w:w="3669" w:type="dxa"/>
            <w:tcBorders>
              <w:top w:val="single" w:sz="4" w:space="0" w:color="auto"/>
              <w:left w:val="single" w:sz="4" w:space="0" w:color="auto"/>
              <w:bottom w:val="single" w:sz="4" w:space="0" w:color="auto"/>
              <w:right w:val="single" w:sz="4" w:space="0" w:color="auto"/>
            </w:tcBorders>
          </w:tcPr>
          <w:p w14:paraId="0C51B3FB" w14:textId="44E85BA0"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77% </w:t>
            </w:r>
            <w:r w:rsidR="008D57EC" w:rsidRPr="008D57EC">
              <w:rPr>
                <w:rFonts w:ascii="Book Antiqua" w:hAnsi="Book Antiqua"/>
                <w:i/>
                <w:lang w:val="en-US"/>
              </w:rPr>
              <w:t>vs</w:t>
            </w:r>
            <w:r w:rsidRPr="0050649F">
              <w:rPr>
                <w:rFonts w:ascii="Book Antiqua" w:hAnsi="Book Antiqua"/>
                <w:lang w:val="en-US"/>
              </w:rPr>
              <w:t xml:space="preserve"> 69% </w:t>
            </w:r>
            <w:r w:rsidR="008D57EC" w:rsidRPr="008D57EC">
              <w:rPr>
                <w:rFonts w:ascii="Book Antiqua" w:hAnsi="Book Antiqua"/>
                <w:i/>
                <w:lang w:val="en-US"/>
              </w:rPr>
              <w:t>vs</w:t>
            </w:r>
            <w:r w:rsidRPr="0050649F">
              <w:rPr>
                <w:rFonts w:ascii="Book Antiqua" w:hAnsi="Book Antiqua"/>
                <w:lang w:val="en-US"/>
              </w:rPr>
              <w:t xml:space="preserve"> 46% </w:t>
            </w:r>
          </w:p>
        </w:tc>
      </w:tr>
      <w:tr w:rsidR="0050649F" w:rsidRPr="0050649F" w14:paraId="6E7A568F" w14:textId="77777777" w:rsidTr="007B7749">
        <w:tc>
          <w:tcPr>
            <w:tcW w:w="1702" w:type="dxa"/>
            <w:tcBorders>
              <w:top w:val="single" w:sz="4" w:space="0" w:color="auto"/>
              <w:left w:val="single" w:sz="4" w:space="0" w:color="auto"/>
              <w:bottom w:val="single" w:sz="4" w:space="0" w:color="auto"/>
              <w:right w:val="single" w:sz="4" w:space="0" w:color="auto"/>
            </w:tcBorders>
          </w:tcPr>
          <w:p w14:paraId="0062CB82" w14:textId="17000B47"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Kruis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[46]</w:t>
            </w:r>
            <w:r w:rsidRPr="0050649F">
              <w:rPr>
                <w:rFonts w:ascii="Book Antiqua" w:hAnsi="Book Antiqua"/>
                <w:lang w:val="en-US"/>
              </w:rPr>
              <w:t xml:space="preserve">, 2009 </w:t>
            </w:r>
          </w:p>
        </w:tc>
        <w:tc>
          <w:tcPr>
            <w:tcW w:w="1235" w:type="dxa"/>
            <w:tcBorders>
              <w:top w:val="single" w:sz="4" w:space="0" w:color="auto"/>
              <w:left w:val="single" w:sz="4" w:space="0" w:color="auto"/>
              <w:bottom w:val="single" w:sz="4" w:space="0" w:color="auto"/>
              <w:right w:val="single" w:sz="4" w:space="0" w:color="auto"/>
            </w:tcBorders>
          </w:tcPr>
          <w:p w14:paraId="6925EA2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6E95CA2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380 UC</w:t>
            </w:r>
          </w:p>
        </w:tc>
        <w:tc>
          <w:tcPr>
            <w:tcW w:w="3532" w:type="dxa"/>
            <w:tcBorders>
              <w:top w:val="single" w:sz="4" w:space="0" w:color="auto"/>
              <w:left w:val="single" w:sz="4" w:space="0" w:color="auto"/>
              <w:bottom w:val="single" w:sz="4" w:space="0" w:color="auto"/>
              <w:right w:val="single" w:sz="4" w:space="0" w:color="auto"/>
            </w:tcBorders>
          </w:tcPr>
          <w:p w14:paraId="0378B0BB" w14:textId="6DFED8EA" w:rsidR="00A24C79" w:rsidRPr="0050649F" w:rsidRDefault="00A24C79" w:rsidP="00C97716">
            <w:pPr>
              <w:spacing w:line="360" w:lineRule="auto"/>
              <w:jc w:val="both"/>
              <w:rPr>
                <w:rFonts w:ascii="Book Antiqua" w:hAnsi="Book Antiqua"/>
              </w:rPr>
            </w:pPr>
            <w:r w:rsidRPr="0050649F">
              <w:rPr>
                <w:rFonts w:ascii="Book Antiqua" w:hAnsi="Book Antiqua"/>
              </w:rPr>
              <w:t xml:space="preserve">5-ASA 3 g </w:t>
            </w:r>
            <w:r w:rsidR="008D57EC" w:rsidRPr="008D57EC">
              <w:rPr>
                <w:rFonts w:ascii="Book Antiqua" w:hAnsi="Book Antiqua"/>
                <w:i/>
                <w:lang w:val="en-US"/>
              </w:rPr>
              <w:t>vs</w:t>
            </w:r>
            <w:r w:rsidRPr="0050649F">
              <w:rPr>
                <w:rFonts w:ascii="Book Antiqua" w:hAnsi="Book Antiqua"/>
              </w:rPr>
              <w:t xml:space="preserve"> 1 g </w:t>
            </w:r>
            <w:r w:rsidR="008D57EC" w:rsidRPr="009D014F">
              <w:rPr>
                <w:rFonts w:ascii="Book Antiqua" w:hAnsi="Book Antiqua"/>
                <w:color w:val="000000"/>
              </w:rPr>
              <w:t>×</w:t>
            </w:r>
            <w:r w:rsidRPr="0050649F">
              <w:rPr>
                <w:rFonts w:ascii="Book Antiqua" w:hAnsi="Book Antiqua"/>
              </w:rPr>
              <w:t xml:space="preserve"> 3</w:t>
            </w:r>
          </w:p>
        </w:tc>
        <w:tc>
          <w:tcPr>
            <w:tcW w:w="1135" w:type="dxa"/>
            <w:tcBorders>
              <w:top w:val="single" w:sz="4" w:space="0" w:color="auto"/>
              <w:left w:val="single" w:sz="4" w:space="0" w:color="auto"/>
              <w:bottom w:val="single" w:sz="4" w:space="0" w:color="auto"/>
              <w:right w:val="single" w:sz="4" w:space="0" w:color="auto"/>
            </w:tcBorders>
          </w:tcPr>
          <w:p w14:paraId="4820ADE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w:t>
            </w:r>
          </w:p>
        </w:tc>
        <w:tc>
          <w:tcPr>
            <w:tcW w:w="1695" w:type="dxa"/>
            <w:tcBorders>
              <w:top w:val="single" w:sz="4" w:space="0" w:color="auto"/>
              <w:left w:val="single" w:sz="4" w:space="0" w:color="auto"/>
              <w:bottom w:val="single" w:sz="4" w:space="0" w:color="auto"/>
              <w:right w:val="single" w:sz="4" w:space="0" w:color="auto"/>
            </w:tcBorders>
          </w:tcPr>
          <w:p w14:paraId="28BC6B0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Rachmilewitz</w:t>
            </w:r>
          </w:p>
        </w:tc>
        <w:tc>
          <w:tcPr>
            <w:tcW w:w="1424" w:type="dxa"/>
            <w:tcBorders>
              <w:top w:val="single" w:sz="4" w:space="0" w:color="auto"/>
              <w:left w:val="single" w:sz="4" w:space="0" w:color="auto"/>
              <w:bottom w:val="single" w:sz="4" w:space="0" w:color="auto"/>
              <w:right w:val="single" w:sz="4" w:space="0" w:color="auto"/>
            </w:tcBorders>
          </w:tcPr>
          <w:p w14:paraId="5F63E6C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&lt;4</w:t>
            </w:r>
          </w:p>
        </w:tc>
        <w:tc>
          <w:tcPr>
            <w:tcW w:w="3669" w:type="dxa"/>
            <w:tcBorders>
              <w:top w:val="single" w:sz="4" w:space="0" w:color="auto"/>
              <w:left w:val="single" w:sz="4" w:space="0" w:color="auto"/>
              <w:bottom w:val="single" w:sz="4" w:space="0" w:color="auto"/>
              <w:right w:val="single" w:sz="4" w:space="0" w:color="auto"/>
            </w:tcBorders>
          </w:tcPr>
          <w:p w14:paraId="16985ED2" w14:textId="123BB2B9"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71% </w:t>
            </w:r>
            <w:r w:rsidR="008D57EC" w:rsidRPr="008D57EC">
              <w:rPr>
                <w:rFonts w:ascii="Book Antiqua" w:hAnsi="Book Antiqua"/>
                <w:i/>
                <w:lang w:val="en-US"/>
              </w:rPr>
              <w:t>vs</w:t>
            </w:r>
            <w:r w:rsidRPr="0050649F">
              <w:rPr>
                <w:rFonts w:ascii="Book Antiqua" w:hAnsi="Book Antiqua"/>
                <w:lang w:val="en-US"/>
              </w:rPr>
              <w:t xml:space="preserve"> 70% </w:t>
            </w:r>
          </w:p>
        </w:tc>
      </w:tr>
      <w:tr w:rsidR="0050649F" w:rsidRPr="0050649F" w14:paraId="4912ECEB" w14:textId="77777777" w:rsidTr="007B7749">
        <w:tc>
          <w:tcPr>
            <w:tcW w:w="15294" w:type="dxa"/>
            <w:gridSpan w:val="8"/>
            <w:tcBorders>
              <w:top w:val="single" w:sz="4" w:space="0" w:color="auto"/>
              <w:left w:val="single" w:sz="4" w:space="0" w:color="auto"/>
              <w:bottom w:val="single" w:sz="4" w:space="0" w:color="auto"/>
              <w:right w:val="single" w:sz="4" w:space="0" w:color="auto"/>
            </w:tcBorders>
          </w:tcPr>
          <w:p w14:paraId="66579599"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Steroids</w:t>
            </w:r>
          </w:p>
        </w:tc>
      </w:tr>
      <w:tr w:rsidR="0050649F" w:rsidRPr="0050649F" w14:paraId="52969E17" w14:textId="77777777" w:rsidTr="007B7749">
        <w:tc>
          <w:tcPr>
            <w:tcW w:w="1702" w:type="dxa"/>
            <w:tcBorders>
              <w:top w:val="single" w:sz="4" w:space="0" w:color="auto"/>
              <w:left w:val="single" w:sz="4" w:space="0" w:color="auto"/>
              <w:bottom w:val="single" w:sz="4" w:space="0" w:color="auto"/>
              <w:right w:val="single" w:sz="4" w:space="0" w:color="auto"/>
            </w:tcBorders>
          </w:tcPr>
          <w:p w14:paraId="7617C125" w14:textId="2868E41E"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Ardizzone</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 xml:space="preserve"> [49]</w:t>
            </w:r>
            <w:r w:rsidRPr="0050649F">
              <w:rPr>
                <w:rFonts w:ascii="Book Antiqua" w:hAnsi="Book Antiqua"/>
                <w:lang w:val="en-US"/>
              </w:rPr>
              <w:t xml:space="preserve">, 2011 </w:t>
            </w:r>
          </w:p>
        </w:tc>
        <w:tc>
          <w:tcPr>
            <w:tcW w:w="1235" w:type="dxa"/>
            <w:tcBorders>
              <w:top w:val="single" w:sz="4" w:space="0" w:color="auto"/>
              <w:left w:val="single" w:sz="4" w:space="0" w:color="auto"/>
              <w:bottom w:val="single" w:sz="4" w:space="0" w:color="auto"/>
              <w:right w:val="single" w:sz="4" w:space="0" w:color="auto"/>
            </w:tcBorders>
          </w:tcPr>
          <w:p w14:paraId="0859971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902" w:type="dxa"/>
            <w:tcBorders>
              <w:top w:val="single" w:sz="4" w:space="0" w:color="auto"/>
              <w:left w:val="single" w:sz="4" w:space="0" w:color="auto"/>
              <w:bottom w:val="single" w:sz="4" w:space="0" w:color="auto"/>
              <w:right w:val="single" w:sz="4" w:space="0" w:color="auto"/>
            </w:tcBorders>
          </w:tcPr>
          <w:p w14:paraId="7006F1F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157 UC</w:t>
            </w:r>
          </w:p>
        </w:tc>
        <w:tc>
          <w:tcPr>
            <w:tcW w:w="3532" w:type="dxa"/>
            <w:tcBorders>
              <w:top w:val="single" w:sz="4" w:space="0" w:color="auto"/>
              <w:left w:val="single" w:sz="4" w:space="0" w:color="auto"/>
              <w:bottom w:val="single" w:sz="4" w:space="0" w:color="auto"/>
              <w:right w:val="single" w:sz="4" w:space="0" w:color="auto"/>
            </w:tcBorders>
          </w:tcPr>
          <w:p w14:paraId="557CDCE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Systemic steroids 40-60 mg</w:t>
            </w:r>
          </w:p>
        </w:tc>
        <w:tc>
          <w:tcPr>
            <w:tcW w:w="1135" w:type="dxa"/>
            <w:tcBorders>
              <w:top w:val="single" w:sz="4" w:space="0" w:color="auto"/>
              <w:left w:val="single" w:sz="4" w:space="0" w:color="auto"/>
              <w:bottom w:val="single" w:sz="4" w:space="0" w:color="auto"/>
              <w:right w:val="single" w:sz="4" w:space="0" w:color="auto"/>
            </w:tcBorders>
          </w:tcPr>
          <w:p w14:paraId="3232894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 mo</w:t>
            </w:r>
          </w:p>
        </w:tc>
        <w:tc>
          <w:tcPr>
            <w:tcW w:w="1695" w:type="dxa"/>
            <w:tcBorders>
              <w:top w:val="single" w:sz="4" w:space="0" w:color="auto"/>
              <w:left w:val="single" w:sz="4" w:space="0" w:color="auto"/>
              <w:bottom w:val="single" w:sz="4" w:space="0" w:color="auto"/>
              <w:right w:val="single" w:sz="4" w:space="0" w:color="auto"/>
            </w:tcBorders>
          </w:tcPr>
          <w:p w14:paraId="57C8D443" w14:textId="77777777" w:rsidR="00A24C79" w:rsidRPr="0050649F" w:rsidRDefault="00A24C79" w:rsidP="00C97716">
            <w:pPr>
              <w:spacing w:line="360" w:lineRule="auto"/>
              <w:jc w:val="both"/>
              <w:rPr>
                <w:rFonts w:ascii="Book Antiqua" w:hAnsi="Book Antiqua"/>
                <w:lang w:val="en-US"/>
              </w:rPr>
            </w:pPr>
            <w:proofErr w:type="gramStart"/>
            <w:r w:rsidRPr="0050649F">
              <w:rPr>
                <w:rFonts w:ascii="Book Antiqua" w:hAnsi="Book Antiqua"/>
                <w:lang w:val="en-US"/>
              </w:rPr>
              <w:t>mod</w:t>
            </w:r>
            <w:proofErr w:type="gramEnd"/>
            <w:r w:rsidRPr="0050649F">
              <w:rPr>
                <w:rFonts w:ascii="Book Antiqua" w:hAnsi="Book Antiqua"/>
                <w:lang w:val="en-US"/>
              </w:rPr>
              <w:t>. Baron score</w:t>
            </w:r>
          </w:p>
        </w:tc>
        <w:tc>
          <w:tcPr>
            <w:tcW w:w="1424" w:type="dxa"/>
            <w:tcBorders>
              <w:top w:val="single" w:sz="4" w:space="0" w:color="auto"/>
              <w:left w:val="single" w:sz="4" w:space="0" w:color="auto"/>
              <w:bottom w:val="single" w:sz="4" w:space="0" w:color="auto"/>
              <w:right w:val="single" w:sz="4" w:space="0" w:color="auto"/>
            </w:tcBorders>
          </w:tcPr>
          <w:p w14:paraId="4E83F10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Score 0</w:t>
            </w:r>
          </w:p>
        </w:tc>
        <w:tc>
          <w:tcPr>
            <w:tcW w:w="3669" w:type="dxa"/>
            <w:tcBorders>
              <w:top w:val="single" w:sz="4" w:space="0" w:color="auto"/>
              <w:left w:val="single" w:sz="4" w:space="0" w:color="auto"/>
              <w:bottom w:val="single" w:sz="4" w:space="0" w:color="auto"/>
              <w:right w:val="single" w:sz="4" w:space="0" w:color="auto"/>
            </w:tcBorders>
          </w:tcPr>
          <w:p w14:paraId="36C22F2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38% </w:t>
            </w:r>
          </w:p>
        </w:tc>
      </w:tr>
      <w:tr w:rsidR="0050649F" w:rsidRPr="0050649F" w14:paraId="5043D3D0" w14:textId="77777777" w:rsidTr="007B7749">
        <w:tc>
          <w:tcPr>
            <w:tcW w:w="1702" w:type="dxa"/>
            <w:tcBorders>
              <w:top w:val="single" w:sz="4" w:space="0" w:color="auto"/>
              <w:left w:val="single" w:sz="4" w:space="0" w:color="auto"/>
              <w:bottom w:val="single" w:sz="4" w:space="0" w:color="auto"/>
              <w:right w:val="single" w:sz="4" w:space="0" w:color="auto"/>
            </w:tcBorders>
          </w:tcPr>
          <w:p w14:paraId="773BAC6C" w14:textId="4BB9222D"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Sandborn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[50]</w:t>
            </w:r>
            <w:r w:rsidRPr="0050649F">
              <w:rPr>
                <w:rFonts w:ascii="Book Antiqua" w:hAnsi="Book Antiqua"/>
                <w:lang w:val="en-US"/>
              </w:rPr>
              <w:t xml:space="preserve">, 2012 </w:t>
            </w:r>
          </w:p>
          <w:p w14:paraId="4752A3C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CORE</w:t>
            </w:r>
          </w:p>
        </w:tc>
        <w:tc>
          <w:tcPr>
            <w:tcW w:w="1235" w:type="dxa"/>
            <w:tcBorders>
              <w:top w:val="single" w:sz="4" w:space="0" w:color="auto"/>
              <w:left w:val="single" w:sz="4" w:space="0" w:color="auto"/>
              <w:bottom w:val="single" w:sz="4" w:space="0" w:color="auto"/>
              <w:right w:val="single" w:sz="4" w:space="0" w:color="auto"/>
            </w:tcBorders>
          </w:tcPr>
          <w:p w14:paraId="486286A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RTC, db, mc</w:t>
            </w:r>
          </w:p>
        </w:tc>
        <w:tc>
          <w:tcPr>
            <w:tcW w:w="902" w:type="dxa"/>
            <w:tcBorders>
              <w:top w:val="single" w:sz="4" w:space="0" w:color="auto"/>
              <w:left w:val="single" w:sz="4" w:space="0" w:color="auto"/>
              <w:bottom w:val="single" w:sz="4" w:space="0" w:color="auto"/>
              <w:right w:val="single" w:sz="4" w:space="0" w:color="auto"/>
            </w:tcBorders>
          </w:tcPr>
          <w:p w14:paraId="06D386D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672 UC</w:t>
            </w:r>
          </w:p>
        </w:tc>
        <w:tc>
          <w:tcPr>
            <w:tcW w:w="3532" w:type="dxa"/>
            <w:tcBorders>
              <w:top w:val="single" w:sz="4" w:space="0" w:color="auto"/>
              <w:left w:val="single" w:sz="4" w:space="0" w:color="auto"/>
              <w:bottom w:val="single" w:sz="4" w:space="0" w:color="auto"/>
              <w:right w:val="single" w:sz="4" w:space="0" w:color="auto"/>
            </w:tcBorders>
          </w:tcPr>
          <w:p w14:paraId="7BE889FE" w14:textId="7D4EE5E2" w:rsidR="00A24C79" w:rsidRPr="0050649F" w:rsidRDefault="00A24C79" w:rsidP="00C97716">
            <w:pPr>
              <w:spacing w:line="360" w:lineRule="auto"/>
              <w:jc w:val="both"/>
              <w:rPr>
                <w:rFonts w:ascii="Book Antiqua" w:hAnsi="Book Antiqua"/>
                <w:lang w:val="da-DK"/>
              </w:rPr>
            </w:pPr>
            <w:r w:rsidRPr="0050649F">
              <w:rPr>
                <w:rFonts w:ascii="Book Antiqua" w:hAnsi="Book Antiqua"/>
                <w:lang w:val="da-DK"/>
              </w:rPr>
              <w:t xml:space="preserve">Budesonide MMX 9 mg </w:t>
            </w:r>
            <w:r w:rsidR="008D57EC" w:rsidRPr="008D57EC">
              <w:rPr>
                <w:rFonts w:ascii="Book Antiqua" w:hAnsi="Book Antiqua"/>
                <w:i/>
                <w:lang w:val="en-US"/>
              </w:rPr>
              <w:t>vs</w:t>
            </w:r>
            <w:r w:rsidRPr="0050649F">
              <w:rPr>
                <w:rFonts w:ascii="Book Antiqua" w:hAnsi="Book Antiqua"/>
                <w:lang w:val="da-DK"/>
              </w:rPr>
              <w:t xml:space="preserve"> 6 mg </w:t>
            </w:r>
            <w:r w:rsidR="008D57EC" w:rsidRPr="008D57EC">
              <w:rPr>
                <w:rFonts w:ascii="Book Antiqua" w:hAnsi="Book Antiqua"/>
                <w:i/>
                <w:lang w:val="en-US"/>
              </w:rPr>
              <w:t>vs</w:t>
            </w:r>
            <w:r w:rsidRPr="0050649F">
              <w:rPr>
                <w:rFonts w:ascii="Book Antiqua" w:hAnsi="Book Antiqua"/>
                <w:lang w:val="da-DK"/>
              </w:rPr>
              <w:t xml:space="preserve"> plc</w:t>
            </w:r>
          </w:p>
        </w:tc>
        <w:tc>
          <w:tcPr>
            <w:tcW w:w="1135" w:type="dxa"/>
            <w:tcBorders>
              <w:top w:val="single" w:sz="4" w:space="0" w:color="auto"/>
              <w:left w:val="single" w:sz="4" w:space="0" w:color="auto"/>
              <w:bottom w:val="single" w:sz="4" w:space="0" w:color="auto"/>
              <w:right w:val="single" w:sz="4" w:space="0" w:color="auto"/>
            </w:tcBorders>
          </w:tcPr>
          <w:p w14:paraId="2302D5B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w:t>
            </w:r>
          </w:p>
        </w:tc>
        <w:tc>
          <w:tcPr>
            <w:tcW w:w="1695" w:type="dxa"/>
            <w:tcBorders>
              <w:top w:val="single" w:sz="4" w:space="0" w:color="auto"/>
              <w:left w:val="single" w:sz="4" w:space="0" w:color="auto"/>
              <w:bottom w:val="single" w:sz="4" w:space="0" w:color="auto"/>
              <w:right w:val="single" w:sz="4" w:space="0" w:color="auto"/>
            </w:tcBorders>
          </w:tcPr>
          <w:p w14:paraId="3ECD1AC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UCDAI mucosal appearance</w:t>
            </w:r>
          </w:p>
        </w:tc>
        <w:tc>
          <w:tcPr>
            <w:tcW w:w="1424" w:type="dxa"/>
            <w:tcBorders>
              <w:top w:val="single" w:sz="4" w:space="0" w:color="auto"/>
              <w:left w:val="single" w:sz="4" w:space="0" w:color="auto"/>
              <w:bottom w:val="single" w:sz="4" w:space="0" w:color="auto"/>
              <w:right w:val="single" w:sz="4" w:space="0" w:color="auto"/>
            </w:tcBorders>
          </w:tcPr>
          <w:p w14:paraId="5D88391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0</w:t>
            </w:r>
          </w:p>
        </w:tc>
        <w:tc>
          <w:tcPr>
            <w:tcW w:w="3669" w:type="dxa"/>
            <w:tcBorders>
              <w:top w:val="single" w:sz="4" w:space="0" w:color="auto"/>
              <w:left w:val="single" w:sz="4" w:space="0" w:color="auto"/>
              <w:bottom w:val="single" w:sz="4" w:space="0" w:color="auto"/>
              <w:right w:val="single" w:sz="4" w:space="0" w:color="auto"/>
            </w:tcBorders>
          </w:tcPr>
          <w:p w14:paraId="4E027B5F" w14:textId="4DC7D53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27% </w:t>
            </w:r>
            <w:r w:rsidR="008D57EC" w:rsidRPr="008D57EC">
              <w:rPr>
                <w:rFonts w:ascii="Book Antiqua" w:hAnsi="Book Antiqua"/>
                <w:i/>
                <w:lang w:val="en-US"/>
              </w:rPr>
              <w:t>vs</w:t>
            </w:r>
            <w:r w:rsidRPr="0050649F">
              <w:rPr>
                <w:rFonts w:ascii="Book Antiqua" w:hAnsi="Book Antiqua"/>
                <w:lang w:val="en-US"/>
              </w:rPr>
              <w:t xml:space="preserve"> 16% </w:t>
            </w:r>
            <w:r w:rsidR="008D57EC" w:rsidRPr="008D57EC">
              <w:rPr>
                <w:rFonts w:ascii="Book Antiqua" w:hAnsi="Book Antiqua"/>
                <w:i/>
                <w:lang w:val="en-US"/>
              </w:rPr>
              <w:t>vs</w:t>
            </w:r>
            <w:r w:rsidRPr="0050649F">
              <w:rPr>
                <w:rFonts w:ascii="Book Antiqua" w:hAnsi="Book Antiqua"/>
                <w:lang w:val="en-US"/>
              </w:rPr>
              <w:t xml:space="preserve"> 17% </w:t>
            </w:r>
          </w:p>
        </w:tc>
      </w:tr>
      <w:tr w:rsidR="0050649F" w:rsidRPr="0050649F" w14:paraId="30E8C1AC" w14:textId="77777777" w:rsidTr="007B7749">
        <w:tc>
          <w:tcPr>
            <w:tcW w:w="1702" w:type="dxa"/>
            <w:tcBorders>
              <w:top w:val="single" w:sz="4" w:space="0" w:color="auto"/>
              <w:left w:val="single" w:sz="4" w:space="0" w:color="auto"/>
              <w:bottom w:val="single" w:sz="4" w:space="0" w:color="auto"/>
              <w:right w:val="single" w:sz="4" w:space="0" w:color="auto"/>
            </w:tcBorders>
          </w:tcPr>
          <w:p w14:paraId="5521A668" w14:textId="24AE9924"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Van Assche</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[51]</w:t>
            </w:r>
            <w:r w:rsidRPr="0050649F">
              <w:rPr>
                <w:rFonts w:ascii="Book Antiqua" w:hAnsi="Book Antiqua"/>
                <w:lang w:val="en-US"/>
              </w:rPr>
              <w:t xml:space="preserve">, 2015 </w:t>
            </w:r>
          </w:p>
        </w:tc>
        <w:tc>
          <w:tcPr>
            <w:tcW w:w="1235" w:type="dxa"/>
            <w:tcBorders>
              <w:top w:val="single" w:sz="4" w:space="0" w:color="auto"/>
              <w:left w:val="single" w:sz="4" w:space="0" w:color="auto"/>
              <w:bottom w:val="single" w:sz="4" w:space="0" w:color="auto"/>
              <w:right w:val="single" w:sz="4" w:space="0" w:color="auto"/>
            </w:tcBorders>
          </w:tcPr>
          <w:p w14:paraId="06F9C77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RTC, db, mc</w:t>
            </w:r>
          </w:p>
        </w:tc>
        <w:tc>
          <w:tcPr>
            <w:tcW w:w="902" w:type="dxa"/>
            <w:tcBorders>
              <w:top w:val="single" w:sz="4" w:space="0" w:color="auto"/>
              <w:left w:val="single" w:sz="4" w:space="0" w:color="auto"/>
              <w:bottom w:val="single" w:sz="4" w:space="0" w:color="auto"/>
              <w:right w:val="single" w:sz="4" w:space="0" w:color="auto"/>
            </w:tcBorders>
          </w:tcPr>
          <w:p w14:paraId="3764DD7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282 UC</w:t>
            </w:r>
          </w:p>
        </w:tc>
        <w:tc>
          <w:tcPr>
            <w:tcW w:w="3532" w:type="dxa"/>
            <w:tcBorders>
              <w:top w:val="single" w:sz="4" w:space="0" w:color="auto"/>
              <w:left w:val="single" w:sz="4" w:space="0" w:color="auto"/>
              <w:bottom w:val="single" w:sz="4" w:space="0" w:color="auto"/>
              <w:right w:val="single" w:sz="4" w:space="0" w:color="auto"/>
            </w:tcBorders>
          </w:tcPr>
          <w:p w14:paraId="33920164" w14:textId="04FCDC9F" w:rsidR="00A24C79" w:rsidRPr="0050649F" w:rsidRDefault="008D57EC" w:rsidP="00C97716">
            <w:pPr>
              <w:spacing w:line="360" w:lineRule="auto"/>
              <w:jc w:val="both"/>
              <w:rPr>
                <w:rFonts w:ascii="Book Antiqua" w:hAnsi="Book Antiqua"/>
                <w:lang w:val="da-DK"/>
              </w:rPr>
            </w:pPr>
            <w:r>
              <w:rPr>
                <w:rFonts w:ascii="Book Antiqua" w:hAnsi="Book Antiqua"/>
                <w:lang w:val="da-DK"/>
              </w:rPr>
              <w:t>BDP 5 mg/d</w:t>
            </w:r>
            <w:r w:rsidR="00A24C79" w:rsidRPr="0050649F">
              <w:rPr>
                <w:rFonts w:ascii="Book Antiqua" w:hAnsi="Book Antiqua"/>
                <w:lang w:val="da-DK"/>
              </w:rPr>
              <w:t xml:space="preserve"> </w:t>
            </w:r>
            <w:r w:rsidRPr="008D57EC">
              <w:rPr>
                <w:rFonts w:ascii="Book Antiqua" w:hAnsi="Book Antiqua"/>
                <w:i/>
                <w:lang w:val="en-US"/>
              </w:rPr>
              <w:t>vs</w:t>
            </w:r>
            <w:r>
              <w:rPr>
                <w:rFonts w:ascii="Book Antiqua" w:hAnsi="Book Antiqua"/>
                <w:lang w:val="da-DK"/>
              </w:rPr>
              <w:t xml:space="preserve"> PD 40 mg/d</w:t>
            </w:r>
            <w:r w:rsidR="00A24C79" w:rsidRPr="0050649F">
              <w:rPr>
                <w:rFonts w:ascii="Book Antiqua" w:hAnsi="Book Antiqua"/>
                <w:lang w:val="da-DK"/>
              </w:rPr>
              <w:t xml:space="preserve"> (tap.)</w:t>
            </w:r>
          </w:p>
        </w:tc>
        <w:tc>
          <w:tcPr>
            <w:tcW w:w="1135" w:type="dxa"/>
            <w:tcBorders>
              <w:top w:val="single" w:sz="4" w:space="0" w:color="auto"/>
              <w:left w:val="single" w:sz="4" w:space="0" w:color="auto"/>
              <w:bottom w:val="single" w:sz="4" w:space="0" w:color="auto"/>
              <w:right w:val="single" w:sz="4" w:space="0" w:color="auto"/>
            </w:tcBorders>
          </w:tcPr>
          <w:p w14:paraId="034C324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4 wk</w:t>
            </w:r>
          </w:p>
        </w:tc>
        <w:tc>
          <w:tcPr>
            <w:tcW w:w="1695" w:type="dxa"/>
            <w:tcBorders>
              <w:top w:val="single" w:sz="4" w:space="0" w:color="auto"/>
              <w:left w:val="single" w:sz="4" w:space="0" w:color="auto"/>
              <w:bottom w:val="single" w:sz="4" w:space="0" w:color="auto"/>
              <w:right w:val="single" w:sz="4" w:space="0" w:color="auto"/>
            </w:tcBorders>
          </w:tcPr>
          <w:p w14:paraId="1D314BD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DAI subscore</w:t>
            </w:r>
          </w:p>
        </w:tc>
        <w:tc>
          <w:tcPr>
            <w:tcW w:w="1424" w:type="dxa"/>
            <w:tcBorders>
              <w:top w:val="single" w:sz="4" w:space="0" w:color="auto"/>
              <w:left w:val="single" w:sz="4" w:space="0" w:color="auto"/>
              <w:bottom w:val="single" w:sz="4" w:space="0" w:color="auto"/>
              <w:right w:val="single" w:sz="4" w:space="0" w:color="auto"/>
            </w:tcBorders>
          </w:tcPr>
          <w:p w14:paraId="073781F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0</w:t>
            </w:r>
          </w:p>
        </w:tc>
        <w:tc>
          <w:tcPr>
            <w:tcW w:w="3669" w:type="dxa"/>
            <w:tcBorders>
              <w:top w:val="single" w:sz="4" w:space="0" w:color="auto"/>
              <w:left w:val="single" w:sz="4" w:space="0" w:color="auto"/>
              <w:bottom w:val="single" w:sz="4" w:space="0" w:color="auto"/>
              <w:right w:val="single" w:sz="4" w:space="0" w:color="auto"/>
            </w:tcBorders>
          </w:tcPr>
          <w:p w14:paraId="77812802" w14:textId="14D9F51C"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23% </w:t>
            </w:r>
            <w:r w:rsidR="008D57EC" w:rsidRPr="008D57EC">
              <w:rPr>
                <w:rFonts w:ascii="Book Antiqua" w:hAnsi="Book Antiqua"/>
                <w:i/>
                <w:lang w:val="en-US"/>
              </w:rPr>
              <w:t>vs</w:t>
            </w:r>
            <w:r w:rsidRPr="0050649F">
              <w:rPr>
                <w:rFonts w:ascii="Book Antiqua" w:hAnsi="Book Antiqua"/>
                <w:lang w:val="en-US"/>
              </w:rPr>
              <w:t xml:space="preserve"> 21% </w:t>
            </w:r>
          </w:p>
        </w:tc>
      </w:tr>
      <w:tr w:rsidR="0050649F" w:rsidRPr="0050649F" w14:paraId="70BEE394" w14:textId="77777777" w:rsidTr="007B7749">
        <w:tc>
          <w:tcPr>
            <w:tcW w:w="15294" w:type="dxa"/>
            <w:gridSpan w:val="8"/>
            <w:tcBorders>
              <w:top w:val="single" w:sz="4" w:space="0" w:color="auto"/>
              <w:left w:val="single" w:sz="4" w:space="0" w:color="auto"/>
              <w:bottom w:val="single" w:sz="4" w:space="0" w:color="auto"/>
              <w:right w:val="single" w:sz="4" w:space="0" w:color="auto"/>
            </w:tcBorders>
          </w:tcPr>
          <w:p w14:paraId="6C5AC184"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Immunomodulators</w:t>
            </w:r>
          </w:p>
        </w:tc>
      </w:tr>
      <w:tr w:rsidR="0050649F" w:rsidRPr="0050649F" w14:paraId="3BF09B72" w14:textId="77777777" w:rsidTr="007B7749">
        <w:tc>
          <w:tcPr>
            <w:tcW w:w="1702" w:type="dxa"/>
            <w:tcBorders>
              <w:top w:val="single" w:sz="4" w:space="0" w:color="auto"/>
              <w:left w:val="single" w:sz="4" w:space="0" w:color="auto"/>
              <w:bottom w:val="single" w:sz="4" w:space="0" w:color="auto"/>
              <w:right w:val="single" w:sz="4" w:space="0" w:color="auto"/>
            </w:tcBorders>
          </w:tcPr>
          <w:p w14:paraId="662DA411" w14:textId="3607D8F1"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D’Haens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[60]</w:t>
            </w:r>
            <w:r w:rsidRPr="0050649F">
              <w:rPr>
                <w:rFonts w:ascii="Book Antiqua" w:hAnsi="Book Antiqua"/>
                <w:lang w:val="en-US"/>
              </w:rPr>
              <w:t xml:space="preserve">, 1997 </w:t>
            </w:r>
          </w:p>
        </w:tc>
        <w:tc>
          <w:tcPr>
            <w:tcW w:w="1235" w:type="dxa"/>
            <w:tcBorders>
              <w:top w:val="single" w:sz="4" w:space="0" w:color="auto"/>
              <w:left w:val="single" w:sz="4" w:space="0" w:color="auto"/>
              <w:bottom w:val="single" w:sz="4" w:space="0" w:color="auto"/>
              <w:right w:val="single" w:sz="4" w:space="0" w:color="auto"/>
            </w:tcBorders>
          </w:tcPr>
          <w:p w14:paraId="7FFC116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02" w:type="dxa"/>
            <w:tcBorders>
              <w:top w:val="single" w:sz="4" w:space="0" w:color="auto"/>
              <w:left w:val="single" w:sz="4" w:space="0" w:color="auto"/>
              <w:bottom w:val="single" w:sz="4" w:space="0" w:color="auto"/>
              <w:right w:val="single" w:sz="4" w:space="0" w:color="auto"/>
            </w:tcBorders>
          </w:tcPr>
          <w:p w14:paraId="043414C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15 CD</w:t>
            </w:r>
          </w:p>
        </w:tc>
        <w:tc>
          <w:tcPr>
            <w:tcW w:w="3532" w:type="dxa"/>
            <w:tcBorders>
              <w:top w:val="single" w:sz="4" w:space="0" w:color="auto"/>
              <w:left w:val="single" w:sz="4" w:space="0" w:color="auto"/>
              <w:bottom w:val="single" w:sz="4" w:space="0" w:color="auto"/>
              <w:right w:val="single" w:sz="4" w:space="0" w:color="auto"/>
            </w:tcBorders>
          </w:tcPr>
          <w:p w14:paraId="5D0DDC0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AZA 2 mg/kg</w:t>
            </w:r>
          </w:p>
        </w:tc>
        <w:tc>
          <w:tcPr>
            <w:tcW w:w="1135" w:type="dxa"/>
            <w:tcBorders>
              <w:top w:val="single" w:sz="4" w:space="0" w:color="auto"/>
              <w:left w:val="single" w:sz="4" w:space="0" w:color="auto"/>
              <w:bottom w:val="single" w:sz="4" w:space="0" w:color="auto"/>
              <w:right w:val="single" w:sz="4" w:space="0" w:color="auto"/>
            </w:tcBorders>
          </w:tcPr>
          <w:p w14:paraId="77BFBCA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26 wk</w:t>
            </w:r>
          </w:p>
        </w:tc>
        <w:tc>
          <w:tcPr>
            <w:tcW w:w="1695" w:type="dxa"/>
            <w:tcBorders>
              <w:top w:val="single" w:sz="4" w:space="0" w:color="auto"/>
              <w:left w:val="single" w:sz="4" w:space="0" w:color="auto"/>
              <w:bottom w:val="single" w:sz="4" w:space="0" w:color="auto"/>
              <w:right w:val="single" w:sz="4" w:space="0" w:color="auto"/>
            </w:tcBorders>
          </w:tcPr>
          <w:p w14:paraId="11B656E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Rutgeerts score</w:t>
            </w:r>
          </w:p>
        </w:tc>
        <w:tc>
          <w:tcPr>
            <w:tcW w:w="1424" w:type="dxa"/>
            <w:tcBorders>
              <w:top w:val="single" w:sz="4" w:space="0" w:color="auto"/>
              <w:left w:val="single" w:sz="4" w:space="0" w:color="auto"/>
              <w:bottom w:val="single" w:sz="4" w:space="0" w:color="auto"/>
              <w:right w:val="single" w:sz="4" w:space="0" w:color="auto"/>
            </w:tcBorders>
          </w:tcPr>
          <w:p w14:paraId="1B2F860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Ri 0</w:t>
            </w:r>
          </w:p>
        </w:tc>
        <w:tc>
          <w:tcPr>
            <w:tcW w:w="3669" w:type="dxa"/>
            <w:tcBorders>
              <w:top w:val="single" w:sz="4" w:space="0" w:color="auto"/>
              <w:left w:val="single" w:sz="4" w:space="0" w:color="auto"/>
              <w:bottom w:val="single" w:sz="4" w:space="0" w:color="auto"/>
              <w:right w:val="single" w:sz="4" w:space="0" w:color="auto"/>
            </w:tcBorders>
          </w:tcPr>
          <w:p w14:paraId="0934717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40% </w:t>
            </w:r>
          </w:p>
        </w:tc>
      </w:tr>
      <w:tr w:rsidR="0050649F" w:rsidRPr="0050649F" w14:paraId="1A8727BC" w14:textId="77777777" w:rsidTr="007B7749">
        <w:tc>
          <w:tcPr>
            <w:tcW w:w="1702" w:type="dxa"/>
            <w:tcBorders>
              <w:top w:val="single" w:sz="4" w:space="0" w:color="auto"/>
              <w:left w:val="single" w:sz="4" w:space="0" w:color="auto"/>
              <w:bottom w:val="single" w:sz="4" w:space="0" w:color="auto"/>
              <w:right w:val="single" w:sz="4" w:space="0" w:color="auto"/>
            </w:tcBorders>
          </w:tcPr>
          <w:p w14:paraId="18884260" w14:textId="0FC8F73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Ardizzone</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[52]</w:t>
            </w:r>
            <w:r w:rsidRPr="0050649F">
              <w:rPr>
                <w:rFonts w:ascii="Book Antiqua" w:hAnsi="Book Antiqua"/>
                <w:lang w:val="en-US"/>
              </w:rPr>
              <w:t xml:space="preserve">, 2006 </w:t>
            </w:r>
          </w:p>
        </w:tc>
        <w:tc>
          <w:tcPr>
            <w:tcW w:w="1235" w:type="dxa"/>
            <w:tcBorders>
              <w:top w:val="single" w:sz="4" w:space="0" w:color="auto"/>
              <w:left w:val="single" w:sz="4" w:space="0" w:color="auto"/>
              <w:bottom w:val="single" w:sz="4" w:space="0" w:color="auto"/>
              <w:right w:val="single" w:sz="4" w:space="0" w:color="auto"/>
            </w:tcBorders>
          </w:tcPr>
          <w:p w14:paraId="3E672E2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sc</w:t>
            </w:r>
          </w:p>
        </w:tc>
        <w:tc>
          <w:tcPr>
            <w:tcW w:w="902" w:type="dxa"/>
            <w:tcBorders>
              <w:top w:val="single" w:sz="4" w:space="0" w:color="auto"/>
              <w:left w:val="single" w:sz="4" w:space="0" w:color="auto"/>
              <w:bottom w:val="single" w:sz="4" w:space="0" w:color="auto"/>
              <w:right w:val="single" w:sz="4" w:space="0" w:color="auto"/>
            </w:tcBorders>
          </w:tcPr>
          <w:p w14:paraId="17632AE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72 UC</w:t>
            </w:r>
          </w:p>
        </w:tc>
        <w:tc>
          <w:tcPr>
            <w:tcW w:w="3532" w:type="dxa"/>
            <w:tcBorders>
              <w:top w:val="single" w:sz="4" w:space="0" w:color="auto"/>
              <w:left w:val="single" w:sz="4" w:space="0" w:color="auto"/>
              <w:bottom w:val="single" w:sz="4" w:space="0" w:color="auto"/>
              <w:right w:val="single" w:sz="4" w:space="0" w:color="auto"/>
            </w:tcBorders>
          </w:tcPr>
          <w:p w14:paraId="52717605" w14:textId="0612ADF0"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5-ASA </w:t>
            </w:r>
            <w:r w:rsidR="008D57EC" w:rsidRPr="008D57EC">
              <w:rPr>
                <w:rFonts w:ascii="Book Antiqua" w:hAnsi="Book Antiqua"/>
                <w:i/>
                <w:lang w:val="en-US"/>
              </w:rPr>
              <w:t>vs</w:t>
            </w:r>
            <w:r w:rsidRPr="0050649F">
              <w:rPr>
                <w:rFonts w:ascii="Book Antiqua" w:hAnsi="Book Antiqua"/>
                <w:lang w:val="en-US"/>
              </w:rPr>
              <w:t xml:space="preserve"> AZA</w:t>
            </w:r>
          </w:p>
        </w:tc>
        <w:tc>
          <w:tcPr>
            <w:tcW w:w="1135" w:type="dxa"/>
            <w:tcBorders>
              <w:top w:val="single" w:sz="4" w:space="0" w:color="auto"/>
              <w:left w:val="single" w:sz="4" w:space="0" w:color="auto"/>
              <w:bottom w:val="single" w:sz="4" w:space="0" w:color="auto"/>
              <w:right w:val="single" w:sz="4" w:space="0" w:color="auto"/>
            </w:tcBorders>
          </w:tcPr>
          <w:p w14:paraId="65C98E0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 mo and 6 mo</w:t>
            </w:r>
          </w:p>
        </w:tc>
        <w:tc>
          <w:tcPr>
            <w:tcW w:w="1695" w:type="dxa"/>
            <w:tcBorders>
              <w:top w:val="single" w:sz="4" w:space="0" w:color="auto"/>
              <w:left w:val="single" w:sz="4" w:space="0" w:color="auto"/>
              <w:bottom w:val="single" w:sz="4" w:space="0" w:color="auto"/>
              <w:right w:val="single" w:sz="4" w:space="0" w:color="auto"/>
            </w:tcBorders>
          </w:tcPr>
          <w:p w14:paraId="005BB30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Baron score</w:t>
            </w:r>
          </w:p>
        </w:tc>
        <w:tc>
          <w:tcPr>
            <w:tcW w:w="1424" w:type="dxa"/>
            <w:tcBorders>
              <w:top w:val="single" w:sz="4" w:space="0" w:color="auto"/>
              <w:left w:val="single" w:sz="4" w:space="0" w:color="auto"/>
              <w:bottom w:val="single" w:sz="4" w:space="0" w:color="auto"/>
              <w:right w:val="single" w:sz="4" w:space="0" w:color="auto"/>
            </w:tcBorders>
          </w:tcPr>
          <w:p w14:paraId="58F0351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Improving mean Baron index</w:t>
            </w:r>
          </w:p>
        </w:tc>
        <w:tc>
          <w:tcPr>
            <w:tcW w:w="3669" w:type="dxa"/>
            <w:tcBorders>
              <w:top w:val="single" w:sz="4" w:space="0" w:color="auto"/>
              <w:left w:val="single" w:sz="4" w:space="0" w:color="auto"/>
              <w:bottom w:val="single" w:sz="4" w:space="0" w:color="auto"/>
              <w:right w:val="single" w:sz="4" w:space="0" w:color="auto"/>
            </w:tcBorders>
          </w:tcPr>
          <w:p w14:paraId="12317E83" w14:textId="72C1B270" w:rsidR="00A24C79" w:rsidRPr="0050649F" w:rsidRDefault="008D57EC" w:rsidP="00C97716">
            <w:pPr>
              <w:spacing w:line="360" w:lineRule="auto"/>
              <w:jc w:val="both"/>
              <w:rPr>
                <w:rFonts w:ascii="Book Antiqua" w:hAnsi="Book Antiqua"/>
                <w:lang w:val="en-US"/>
              </w:rPr>
            </w:pPr>
            <w:r w:rsidRPr="0050649F">
              <w:rPr>
                <w:rFonts w:ascii="Book Antiqua" w:hAnsi="Book Antiqua"/>
                <w:lang w:val="en-US"/>
              </w:rPr>
              <w:t>A</w:t>
            </w:r>
            <w:r w:rsidR="00A24C79" w:rsidRPr="0050649F">
              <w:rPr>
                <w:rFonts w:ascii="Book Antiqua" w:hAnsi="Book Antiqua"/>
                <w:lang w:val="en-US"/>
              </w:rPr>
              <w:t xml:space="preserve">t 3 mo: 2.3 </w:t>
            </w:r>
            <w:r w:rsidRPr="008D57EC">
              <w:rPr>
                <w:rFonts w:ascii="Book Antiqua" w:hAnsi="Book Antiqua"/>
                <w:i/>
                <w:lang w:val="en-US"/>
              </w:rPr>
              <w:t>vs</w:t>
            </w:r>
            <w:r w:rsidR="00A24C79" w:rsidRPr="0050649F">
              <w:rPr>
                <w:rFonts w:ascii="Book Antiqua" w:hAnsi="Book Antiqua"/>
                <w:lang w:val="en-US"/>
              </w:rPr>
              <w:t xml:space="preserve"> 1.1 </w:t>
            </w:r>
          </w:p>
          <w:p w14:paraId="0FCF3093" w14:textId="14AD9091" w:rsidR="00A24C79" w:rsidRPr="0050649F" w:rsidRDefault="00A24C79" w:rsidP="00C97716">
            <w:pPr>
              <w:spacing w:line="360" w:lineRule="auto"/>
              <w:jc w:val="both"/>
              <w:rPr>
                <w:rFonts w:ascii="Book Antiqua" w:hAnsi="Book Antiqua"/>
                <w:lang w:val="en-US"/>
              </w:rPr>
            </w:pPr>
            <w:proofErr w:type="gramStart"/>
            <w:r w:rsidRPr="0050649F">
              <w:rPr>
                <w:rFonts w:ascii="Book Antiqua" w:hAnsi="Book Antiqua"/>
                <w:lang w:val="en-US"/>
              </w:rPr>
              <w:t>at</w:t>
            </w:r>
            <w:proofErr w:type="gramEnd"/>
            <w:r w:rsidRPr="0050649F">
              <w:rPr>
                <w:rFonts w:ascii="Book Antiqua" w:hAnsi="Book Antiqua"/>
                <w:lang w:val="en-US"/>
              </w:rPr>
              <w:t xml:space="preserve"> 6 mo: 2.2. </w:t>
            </w:r>
            <w:r w:rsidR="008D57EC" w:rsidRPr="008D57EC">
              <w:rPr>
                <w:rFonts w:ascii="Book Antiqua" w:hAnsi="Book Antiqua"/>
                <w:i/>
                <w:lang w:val="en-US"/>
              </w:rPr>
              <w:t>vs</w:t>
            </w:r>
            <w:r w:rsidRPr="0050649F">
              <w:rPr>
                <w:rFonts w:ascii="Book Antiqua" w:hAnsi="Book Antiqua"/>
                <w:lang w:val="en-US"/>
              </w:rPr>
              <w:t xml:space="preserve"> 0.9 </w:t>
            </w:r>
          </w:p>
        </w:tc>
      </w:tr>
      <w:tr w:rsidR="0050649F" w:rsidRPr="0050649F" w14:paraId="1AF51051" w14:textId="77777777" w:rsidTr="007B7749">
        <w:tc>
          <w:tcPr>
            <w:tcW w:w="1702" w:type="dxa"/>
            <w:tcBorders>
              <w:top w:val="single" w:sz="4" w:space="0" w:color="auto"/>
              <w:left w:val="single" w:sz="4" w:space="0" w:color="auto"/>
              <w:bottom w:val="single" w:sz="4" w:space="0" w:color="auto"/>
              <w:right w:val="single" w:sz="4" w:space="0" w:color="auto"/>
            </w:tcBorders>
          </w:tcPr>
          <w:p w14:paraId="4E0C10D7" w14:textId="61335951"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Mantzaris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[61]</w:t>
            </w:r>
            <w:r w:rsidRPr="0050649F">
              <w:rPr>
                <w:rFonts w:ascii="Book Antiqua" w:hAnsi="Book Antiqua"/>
                <w:lang w:val="en-US"/>
              </w:rPr>
              <w:t xml:space="preserve">, 2009 </w:t>
            </w:r>
          </w:p>
        </w:tc>
        <w:tc>
          <w:tcPr>
            <w:tcW w:w="1235" w:type="dxa"/>
            <w:tcBorders>
              <w:top w:val="single" w:sz="4" w:space="0" w:color="auto"/>
              <w:left w:val="single" w:sz="4" w:space="0" w:color="auto"/>
              <w:bottom w:val="single" w:sz="4" w:space="0" w:color="auto"/>
              <w:right w:val="single" w:sz="4" w:space="0" w:color="auto"/>
            </w:tcBorders>
          </w:tcPr>
          <w:p w14:paraId="3FEEF52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sc</w:t>
            </w:r>
          </w:p>
        </w:tc>
        <w:tc>
          <w:tcPr>
            <w:tcW w:w="902" w:type="dxa"/>
            <w:tcBorders>
              <w:top w:val="single" w:sz="4" w:space="0" w:color="auto"/>
              <w:left w:val="single" w:sz="4" w:space="0" w:color="auto"/>
              <w:bottom w:val="single" w:sz="4" w:space="0" w:color="auto"/>
              <w:right w:val="single" w:sz="4" w:space="0" w:color="auto"/>
            </w:tcBorders>
          </w:tcPr>
          <w:p w14:paraId="4D3EB17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57 CD</w:t>
            </w:r>
          </w:p>
        </w:tc>
        <w:tc>
          <w:tcPr>
            <w:tcW w:w="3532" w:type="dxa"/>
            <w:tcBorders>
              <w:top w:val="single" w:sz="4" w:space="0" w:color="auto"/>
              <w:left w:val="single" w:sz="4" w:space="0" w:color="auto"/>
              <w:bottom w:val="single" w:sz="4" w:space="0" w:color="auto"/>
              <w:right w:val="single" w:sz="4" w:space="0" w:color="auto"/>
            </w:tcBorders>
          </w:tcPr>
          <w:p w14:paraId="792B81E3" w14:textId="66A0803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AZA 2-2.5 mg/kg </w:t>
            </w:r>
            <w:r w:rsidR="008D57EC" w:rsidRPr="008D57EC">
              <w:rPr>
                <w:rFonts w:ascii="Book Antiqua" w:hAnsi="Book Antiqua"/>
                <w:i/>
                <w:lang w:val="en-US"/>
              </w:rPr>
              <w:t>vs</w:t>
            </w:r>
            <w:r w:rsidRPr="0050649F">
              <w:rPr>
                <w:rFonts w:ascii="Book Antiqua" w:hAnsi="Book Antiqua"/>
                <w:lang w:val="en-US"/>
              </w:rPr>
              <w:t xml:space="preserve"> budesonide 6-9 mg</w:t>
            </w:r>
          </w:p>
        </w:tc>
        <w:tc>
          <w:tcPr>
            <w:tcW w:w="1135" w:type="dxa"/>
            <w:tcBorders>
              <w:top w:val="single" w:sz="4" w:space="0" w:color="auto"/>
              <w:left w:val="single" w:sz="4" w:space="0" w:color="auto"/>
              <w:bottom w:val="single" w:sz="4" w:space="0" w:color="auto"/>
              <w:right w:val="single" w:sz="4" w:space="0" w:color="auto"/>
            </w:tcBorders>
          </w:tcPr>
          <w:p w14:paraId="1522E93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52 wk</w:t>
            </w:r>
          </w:p>
        </w:tc>
        <w:tc>
          <w:tcPr>
            <w:tcW w:w="1695" w:type="dxa"/>
            <w:tcBorders>
              <w:top w:val="single" w:sz="4" w:space="0" w:color="auto"/>
              <w:left w:val="single" w:sz="4" w:space="0" w:color="auto"/>
              <w:bottom w:val="single" w:sz="4" w:space="0" w:color="auto"/>
              <w:right w:val="single" w:sz="4" w:space="0" w:color="auto"/>
            </w:tcBorders>
          </w:tcPr>
          <w:p w14:paraId="775A81B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CDEIS</w:t>
            </w:r>
          </w:p>
        </w:tc>
        <w:tc>
          <w:tcPr>
            <w:tcW w:w="1424" w:type="dxa"/>
            <w:tcBorders>
              <w:top w:val="single" w:sz="4" w:space="0" w:color="auto"/>
              <w:left w:val="single" w:sz="4" w:space="0" w:color="auto"/>
              <w:bottom w:val="single" w:sz="4" w:space="0" w:color="auto"/>
              <w:right w:val="single" w:sz="4" w:space="0" w:color="auto"/>
            </w:tcBorders>
          </w:tcPr>
          <w:p w14:paraId="662FC217" w14:textId="0E80FC59"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CDEIS &lt;</w:t>
            </w:r>
            <w:r w:rsidR="008D57EC">
              <w:rPr>
                <w:rFonts w:ascii="Book Antiqua" w:eastAsia="宋体" w:hAnsi="Book Antiqua" w:hint="eastAsia"/>
                <w:lang w:val="en-US" w:eastAsia="zh-CN"/>
              </w:rPr>
              <w:t xml:space="preserve"> </w:t>
            </w:r>
            <w:r w:rsidRPr="0050649F">
              <w:rPr>
                <w:rFonts w:ascii="Book Antiqua" w:hAnsi="Book Antiqua"/>
                <w:lang w:val="en-US"/>
              </w:rPr>
              <w:t>4</w:t>
            </w:r>
          </w:p>
        </w:tc>
        <w:tc>
          <w:tcPr>
            <w:tcW w:w="3669" w:type="dxa"/>
            <w:tcBorders>
              <w:top w:val="single" w:sz="4" w:space="0" w:color="auto"/>
              <w:left w:val="single" w:sz="4" w:space="0" w:color="auto"/>
              <w:bottom w:val="single" w:sz="4" w:space="0" w:color="auto"/>
              <w:right w:val="single" w:sz="4" w:space="0" w:color="auto"/>
            </w:tcBorders>
          </w:tcPr>
          <w:p w14:paraId="5135E092" w14:textId="5662B4F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83% </w:t>
            </w:r>
            <w:r w:rsidR="008D57EC" w:rsidRPr="008D57EC">
              <w:rPr>
                <w:rFonts w:ascii="Book Antiqua" w:hAnsi="Book Antiqua"/>
                <w:i/>
                <w:lang w:val="en-US"/>
              </w:rPr>
              <w:t>vs</w:t>
            </w:r>
            <w:r w:rsidRPr="0050649F">
              <w:rPr>
                <w:rFonts w:ascii="Book Antiqua" w:hAnsi="Book Antiqua"/>
                <w:lang w:val="en-US"/>
              </w:rPr>
              <w:t xml:space="preserve"> 24% </w:t>
            </w:r>
          </w:p>
        </w:tc>
      </w:tr>
      <w:tr w:rsidR="0050649F" w:rsidRPr="0050649F" w14:paraId="4F9FB5A0" w14:textId="77777777" w:rsidTr="007B7749">
        <w:tc>
          <w:tcPr>
            <w:tcW w:w="1702" w:type="dxa"/>
            <w:tcBorders>
              <w:top w:val="single" w:sz="4" w:space="0" w:color="auto"/>
              <w:left w:val="single" w:sz="4" w:space="0" w:color="auto"/>
              <w:bottom w:val="single" w:sz="4" w:space="0" w:color="auto"/>
              <w:right w:val="single" w:sz="4" w:space="0" w:color="auto"/>
            </w:tcBorders>
          </w:tcPr>
          <w:p w14:paraId="467FADA5" w14:textId="0D7FB938"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Laharie</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[62]</w:t>
            </w:r>
            <w:r w:rsidRPr="0050649F">
              <w:rPr>
                <w:rFonts w:ascii="Book Antiqua" w:hAnsi="Book Antiqua"/>
                <w:lang w:val="en-US"/>
              </w:rPr>
              <w:t xml:space="preserve">, 2011 </w:t>
            </w:r>
          </w:p>
        </w:tc>
        <w:tc>
          <w:tcPr>
            <w:tcW w:w="1235" w:type="dxa"/>
            <w:tcBorders>
              <w:top w:val="single" w:sz="4" w:space="0" w:color="auto"/>
              <w:left w:val="single" w:sz="4" w:space="0" w:color="auto"/>
              <w:bottom w:val="single" w:sz="4" w:space="0" w:color="auto"/>
              <w:right w:val="single" w:sz="4" w:space="0" w:color="auto"/>
            </w:tcBorders>
          </w:tcPr>
          <w:p w14:paraId="2B3571F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RTC, sc</w:t>
            </w:r>
          </w:p>
        </w:tc>
        <w:tc>
          <w:tcPr>
            <w:tcW w:w="902" w:type="dxa"/>
            <w:tcBorders>
              <w:top w:val="single" w:sz="4" w:space="0" w:color="auto"/>
              <w:left w:val="single" w:sz="4" w:space="0" w:color="auto"/>
              <w:bottom w:val="single" w:sz="4" w:space="0" w:color="auto"/>
              <w:right w:val="single" w:sz="4" w:space="0" w:color="auto"/>
            </w:tcBorders>
          </w:tcPr>
          <w:p w14:paraId="3C615D6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51 CD</w:t>
            </w:r>
          </w:p>
        </w:tc>
        <w:tc>
          <w:tcPr>
            <w:tcW w:w="3532" w:type="dxa"/>
            <w:tcBorders>
              <w:top w:val="single" w:sz="4" w:space="0" w:color="auto"/>
              <w:left w:val="single" w:sz="4" w:space="0" w:color="auto"/>
              <w:bottom w:val="single" w:sz="4" w:space="0" w:color="auto"/>
              <w:right w:val="single" w:sz="4" w:space="0" w:color="auto"/>
            </w:tcBorders>
          </w:tcPr>
          <w:p w14:paraId="7E49285B" w14:textId="5D7EDE98"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MTX 15-25 mg/wk </w:t>
            </w:r>
            <w:r w:rsidR="008D57EC" w:rsidRPr="008D57EC">
              <w:rPr>
                <w:rFonts w:ascii="Book Antiqua" w:hAnsi="Book Antiqua"/>
                <w:i/>
                <w:lang w:val="en-US"/>
              </w:rPr>
              <w:t>vs</w:t>
            </w:r>
            <w:r w:rsidRPr="0050649F">
              <w:rPr>
                <w:rFonts w:ascii="Book Antiqua" w:hAnsi="Book Antiqua"/>
                <w:lang w:val="en-US"/>
              </w:rPr>
              <w:t xml:space="preserve"> AZA 2-3 mg/kg </w:t>
            </w:r>
            <w:r w:rsidR="008D57EC" w:rsidRPr="008D57EC">
              <w:rPr>
                <w:rFonts w:ascii="Book Antiqua" w:hAnsi="Book Antiqua"/>
                <w:i/>
                <w:lang w:val="en-US"/>
              </w:rPr>
              <w:t>vs</w:t>
            </w:r>
            <w:r w:rsidRPr="0050649F">
              <w:rPr>
                <w:rFonts w:ascii="Book Antiqua" w:hAnsi="Book Antiqua"/>
                <w:lang w:val="en-US"/>
              </w:rPr>
              <w:t xml:space="preserve"> IFX 5 mg/kg</w:t>
            </w:r>
          </w:p>
        </w:tc>
        <w:tc>
          <w:tcPr>
            <w:tcW w:w="1135" w:type="dxa"/>
            <w:tcBorders>
              <w:top w:val="single" w:sz="4" w:space="0" w:color="auto"/>
              <w:left w:val="single" w:sz="4" w:space="0" w:color="auto"/>
              <w:bottom w:val="single" w:sz="4" w:space="0" w:color="auto"/>
              <w:right w:val="single" w:sz="4" w:space="0" w:color="auto"/>
            </w:tcBorders>
          </w:tcPr>
          <w:p w14:paraId="579E397F" w14:textId="77777777" w:rsidR="00A24C79" w:rsidRPr="0050649F" w:rsidRDefault="00A24C79" w:rsidP="00C97716">
            <w:pPr>
              <w:spacing w:line="360" w:lineRule="auto"/>
              <w:jc w:val="both"/>
              <w:rPr>
                <w:rFonts w:ascii="Book Antiqua" w:hAnsi="Book Antiqua"/>
                <w:lang w:val="en-US"/>
              </w:rPr>
            </w:pPr>
          </w:p>
        </w:tc>
        <w:tc>
          <w:tcPr>
            <w:tcW w:w="1695" w:type="dxa"/>
            <w:tcBorders>
              <w:top w:val="single" w:sz="4" w:space="0" w:color="auto"/>
              <w:left w:val="single" w:sz="4" w:space="0" w:color="auto"/>
              <w:bottom w:val="single" w:sz="4" w:space="0" w:color="auto"/>
              <w:right w:val="single" w:sz="4" w:space="0" w:color="auto"/>
            </w:tcBorders>
          </w:tcPr>
          <w:p w14:paraId="6C10A28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CDEIS</w:t>
            </w:r>
          </w:p>
        </w:tc>
        <w:tc>
          <w:tcPr>
            <w:tcW w:w="1424" w:type="dxa"/>
            <w:tcBorders>
              <w:top w:val="single" w:sz="4" w:space="0" w:color="auto"/>
              <w:left w:val="single" w:sz="4" w:space="0" w:color="auto"/>
              <w:bottom w:val="single" w:sz="4" w:space="0" w:color="auto"/>
              <w:right w:val="single" w:sz="4" w:space="0" w:color="auto"/>
            </w:tcBorders>
          </w:tcPr>
          <w:p w14:paraId="55377293" w14:textId="240C7F6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CDEIS &lt;</w:t>
            </w:r>
            <w:r w:rsidR="008D57EC">
              <w:rPr>
                <w:rFonts w:ascii="Book Antiqua" w:eastAsia="宋体" w:hAnsi="Book Antiqua" w:hint="eastAsia"/>
                <w:lang w:val="en-US" w:eastAsia="zh-CN"/>
              </w:rPr>
              <w:t xml:space="preserve"> </w:t>
            </w:r>
            <w:r w:rsidRPr="0050649F">
              <w:rPr>
                <w:rFonts w:ascii="Book Antiqua" w:hAnsi="Book Antiqua"/>
                <w:lang w:val="en-US"/>
              </w:rPr>
              <w:t>4</w:t>
            </w:r>
          </w:p>
          <w:p w14:paraId="4B335C53"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0C69BDB6" w14:textId="77A2996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11% </w:t>
            </w:r>
            <w:r w:rsidR="008D57EC" w:rsidRPr="008D57EC">
              <w:rPr>
                <w:rFonts w:ascii="Book Antiqua" w:hAnsi="Book Antiqua"/>
                <w:i/>
                <w:lang w:val="en-US"/>
              </w:rPr>
              <w:t>vs</w:t>
            </w:r>
            <w:r w:rsidRPr="0050649F">
              <w:rPr>
                <w:rFonts w:ascii="Book Antiqua" w:hAnsi="Book Antiqua"/>
                <w:lang w:val="en-US"/>
              </w:rPr>
              <w:t xml:space="preserve"> 50% </w:t>
            </w:r>
            <w:r w:rsidR="008D57EC" w:rsidRPr="008D57EC">
              <w:rPr>
                <w:rFonts w:ascii="Book Antiqua" w:hAnsi="Book Antiqua"/>
                <w:i/>
                <w:lang w:val="en-US"/>
              </w:rPr>
              <w:t>vs</w:t>
            </w:r>
            <w:r w:rsidRPr="0050649F">
              <w:rPr>
                <w:rFonts w:ascii="Book Antiqua" w:hAnsi="Book Antiqua"/>
                <w:lang w:val="en-US"/>
              </w:rPr>
              <w:t xml:space="preserve"> 60% </w:t>
            </w:r>
          </w:p>
        </w:tc>
      </w:tr>
      <w:tr w:rsidR="0050649F" w:rsidRPr="0050649F" w14:paraId="3237D9A6" w14:textId="77777777" w:rsidTr="007B7749">
        <w:tc>
          <w:tcPr>
            <w:tcW w:w="1702" w:type="dxa"/>
            <w:tcBorders>
              <w:top w:val="single" w:sz="4" w:space="0" w:color="auto"/>
              <w:left w:val="single" w:sz="4" w:space="0" w:color="auto"/>
              <w:bottom w:val="single" w:sz="4" w:space="0" w:color="auto"/>
              <w:right w:val="single" w:sz="4" w:space="0" w:color="auto"/>
            </w:tcBorders>
          </w:tcPr>
          <w:p w14:paraId="3D07920B" w14:textId="141137DF"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Rispo</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[53]</w:t>
            </w:r>
            <w:r w:rsidRPr="0050649F">
              <w:rPr>
                <w:rFonts w:ascii="Book Antiqua" w:hAnsi="Book Antiqua"/>
                <w:lang w:val="en-US"/>
              </w:rPr>
              <w:t xml:space="preserve">, 2015 </w:t>
            </w:r>
          </w:p>
        </w:tc>
        <w:tc>
          <w:tcPr>
            <w:tcW w:w="1235" w:type="dxa"/>
            <w:tcBorders>
              <w:top w:val="single" w:sz="4" w:space="0" w:color="auto"/>
              <w:left w:val="single" w:sz="4" w:space="0" w:color="auto"/>
              <w:bottom w:val="single" w:sz="4" w:space="0" w:color="auto"/>
              <w:right w:val="single" w:sz="4" w:space="0" w:color="auto"/>
            </w:tcBorders>
          </w:tcPr>
          <w:p w14:paraId="667A7E7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02" w:type="dxa"/>
            <w:tcBorders>
              <w:top w:val="single" w:sz="4" w:space="0" w:color="auto"/>
              <w:left w:val="single" w:sz="4" w:space="0" w:color="auto"/>
              <w:bottom w:val="single" w:sz="4" w:space="0" w:color="auto"/>
              <w:right w:val="single" w:sz="4" w:space="0" w:color="auto"/>
            </w:tcBorders>
          </w:tcPr>
          <w:p w14:paraId="0451BC1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104 UC</w:t>
            </w:r>
          </w:p>
        </w:tc>
        <w:tc>
          <w:tcPr>
            <w:tcW w:w="3532" w:type="dxa"/>
            <w:tcBorders>
              <w:top w:val="single" w:sz="4" w:space="0" w:color="auto"/>
              <w:left w:val="single" w:sz="4" w:space="0" w:color="auto"/>
              <w:bottom w:val="single" w:sz="4" w:space="0" w:color="auto"/>
              <w:right w:val="single" w:sz="4" w:space="0" w:color="auto"/>
            </w:tcBorders>
          </w:tcPr>
          <w:p w14:paraId="4EA8E48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AZA or 6-MP</w:t>
            </w:r>
          </w:p>
        </w:tc>
        <w:tc>
          <w:tcPr>
            <w:tcW w:w="1135" w:type="dxa"/>
            <w:tcBorders>
              <w:top w:val="single" w:sz="4" w:space="0" w:color="auto"/>
              <w:left w:val="single" w:sz="4" w:space="0" w:color="auto"/>
              <w:bottom w:val="single" w:sz="4" w:space="0" w:color="auto"/>
              <w:right w:val="single" w:sz="4" w:space="0" w:color="auto"/>
            </w:tcBorders>
          </w:tcPr>
          <w:p w14:paraId="40537DF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104 wk</w:t>
            </w:r>
          </w:p>
        </w:tc>
        <w:tc>
          <w:tcPr>
            <w:tcW w:w="1695" w:type="dxa"/>
            <w:tcBorders>
              <w:top w:val="single" w:sz="4" w:space="0" w:color="auto"/>
              <w:left w:val="single" w:sz="4" w:space="0" w:color="auto"/>
              <w:bottom w:val="single" w:sz="4" w:space="0" w:color="auto"/>
              <w:right w:val="single" w:sz="4" w:space="0" w:color="auto"/>
            </w:tcBorders>
          </w:tcPr>
          <w:p w14:paraId="5E14105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w:t>
            </w:r>
          </w:p>
        </w:tc>
        <w:tc>
          <w:tcPr>
            <w:tcW w:w="1424" w:type="dxa"/>
            <w:tcBorders>
              <w:top w:val="single" w:sz="4" w:space="0" w:color="auto"/>
              <w:left w:val="single" w:sz="4" w:space="0" w:color="auto"/>
              <w:bottom w:val="single" w:sz="4" w:space="0" w:color="auto"/>
              <w:right w:val="single" w:sz="4" w:space="0" w:color="auto"/>
            </w:tcBorders>
          </w:tcPr>
          <w:p w14:paraId="42C2FE5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 0-1</w:t>
            </w:r>
          </w:p>
        </w:tc>
        <w:tc>
          <w:tcPr>
            <w:tcW w:w="3669" w:type="dxa"/>
            <w:tcBorders>
              <w:top w:val="single" w:sz="4" w:space="0" w:color="auto"/>
              <w:left w:val="single" w:sz="4" w:space="0" w:color="auto"/>
              <w:bottom w:val="single" w:sz="4" w:space="0" w:color="auto"/>
              <w:right w:val="single" w:sz="4" w:space="0" w:color="auto"/>
            </w:tcBorders>
          </w:tcPr>
          <w:p w14:paraId="4DA446A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36%</w:t>
            </w:r>
          </w:p>
        </w:tc>
      </w:tr>
      <w:tr w:rsidR="0050649F" w:rsidRPr="0050649F" w14:paraId="21FB49E8" w14:textId="77777777" w:rsidTr="007B7749">
        <w:tc>
          <w:tcPr>
            <w:tcW w:w="15294" w:type="dxa"/>
            <w:gridSpan w:val="8"/>
            <w:tcBorders>
              <w:top w:val="single" w:sz="4" w:space="0" w:color="auto"/>
              <w:left w:val="single" w:sz="4" w:space="0" w:color="auto"/>
              <w:bottom w:val="single" w:sz="4" w:space="0" w:color="auto"/>
              <w:right w:val="single" w:sz="4" w:space="0" w:color="auto"/>
            </w:tcBorders>
          </w:tcPr>
          <w:p w14:paraId="23A592BE"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Biologics</w:t>
            </w:r>
          </w:p>
        </w:tc>
      </w:tr>
      <w:tr w:rsidR="0050649F" w:rsidRPr="0050649F" w14:paraId="34A19BD2" w14:textId="77777777" w:rsidTr="007B7749">
        <w:tc>
          <w:tcPr>
            <w:tcW w:w="1702" w:type="dxa"/>
            <w:tcBorders>
              <w:top w:val="single" w:sz="4" w:space="0" w:color="auto"/>
              <w:left w:val="single" w:sz="4" w:space="0" w:color="auto"/>
              <w:bottom w:val="single" w:sz="4" w:space="0" w:color="auto"/>
              <w:right w:val="single" w:sz="4" w:space="0" w:color="auto"/>
            </w:tcBorders>
          </w:tcPr>
          <w:p w14:paraId="404F1CAD" w14:textId="3F6B19F2"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Colombel</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[63]</w:t>
            </w:r>
            <w:r w:rsidRPr="0050649F">
              <w:rPr>
                <w:rFonts w:ascii="Book Antiqua" w:hAnsi="Book Antiqua"/>
                <w:lang w:val="en-US"/>
              </w:rPr>
              <w:t xml:space="preserve">, 2010 </w:t>
            </w:r>
          </w:p>
          <w:p w14:paraId="360BF90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SONIC</w:t>
            </w:r>
          </w:p>
        </w:tc>
        <w:tc>
          <w:tcPr>
            <w:tcW w:w="1235" w:type="dxa"/>
            <w:tcBorders>
              <w:top w:val="single" w:sz="4" w:space="0" w:color="auto"/>
              <w:left w:val="single" w:sz="4" w:space="0" w:color="auto"/>
              <w:bottom w:val="single" w:sz="4" w:space="0" w:color="auto"/>
              <w:right w:val="single" w:sz="4" w:space="0" w:color="auto"/>
            </w:tcBorders>
          </w:tcPr>
          <w:p w14:paraId="045E709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361331C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508 CD</w:t>
            </w:r>
          </w:p>
        </w:tc>
        <w:tc>
          <w:tcPr>
            <w:tcW w:w="3532" w:type="dxa"/>
            <w:tcBorders>
              <w:top w:val="single" w:sz="4" w:space="0" w:color="auto"/>
              <w:left w:val="single" w:sz="4" w:space="0" w:color="auto"/>
              <w:bottom w:val="single" w:sz="4" w:space="0" w:color="auto"/>
              <w:right w:val="single" w:sz="4" w:space="0" w:color="auto"/>
            </w:tcBorders>
          </w:tcPr>
          <w:p w14:paraId="19691A47" w14:textId="42C022DD"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AZA 2.5 mg/kg </w:t>
            </w:r>
            <w:r w:rsidR="008D57EC" w:rsidRPr="008D57EC">
              <w:rPr>
                <w:rFonts w:ascii="Book Antiqua" w:hAnsi="Book Antiqua"/>
                <w:i/>
                <w:lang w:val="en-US"/>
              </w:rPr>
              <w:t>vs</w:t>
            </w:r>
            <w:r w:rsidRPr="0050649F">
              <w:rPr>
                <w:rFonts w:ascii="Book Antiqua" w:hAnsi="Book Antiqua"/>
                <w:lang w:val="en-US"/>
              </w:rPr>
              <w:t xml:space="preserve"> IFX 5 mg/kg </w:t>
            </w:r>
            <w:r w:rsidR="008D57EC" w:rsidRPr="008D57EC">
              <w:rPr>
                <w:rFonts w:ascii="Book Antiqua" w:hAnsi="Book Antiqua"/>
                <w:i/>
                <w:lang w:val="en-US"/>
              </w:rPr>
              <w:t>vs</w:t>
            </w:r>
            <w:r w:rsidRPr="0050649F">
              <w:rPr>
                <w:rFonts w:ascii="Book Antiqua" w:hAnsi="Book Antiqua"/>
                <w:lang w:val="en-US"/>
              </w:rPr>
              <w:t xml:space="preserve"> AZA 2.5 mg/kg + IFX 5 mg/kg</w:t>
            </w:r>
          </w:p>
        </w:tc>
        <w:tc>
          <w:tcPr>
            <w:tcW w:w="1135" w:type="dxa"/>
            <w:tcBorders>
              <w:top w:val="single" w:sz="4" w:space="0" w:color="auto"/>
              <w:left w:val="single" w:sz="4" w:space="0" w:color="auto"/>
              <w:bottom w:val="single" w:sz="4" w:space="0" w:color="auto"/>
              <w:right w:val="single" w:sz="4" w:space="0" w:color="auto"/>
            </w:tcBorders>
          </w:tcPr>
          <w:p w14:paraId="7021C2B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26 wk</w:t>
            </w:r>
          </w:p>
        </w:tc>
        <w:tc>
          <w:tcPr>
            <w:tcW w:w="1695" w:type="dxa"/>
            <w:tcBorders>
              <w:top w:val="single" w:sz="4" w:space="0" w:color="auto"/>
              <w:left w:val="single" w:sz="4" w:space="0" w:color="auto"/>
              <w:bottom w:val="single" w:sz="4" w:space="0" w:color="auto"/>
              <w:right w:val="single" w:sz="4" w:space="0" w:color="auto"/>
            </w:tcBorders>
          </w:tcPr>
          <w:p w14:paraId="5A3918F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No score</w:t>
            </w:r>
          </w:p>
        </w:tc>
        <w:tc>
          <w:tcPr>
            <w:tcW w:w="1424" w:type="dxa"/>
            <w:tcBorders>
              <w:top w:val="single" w:sz="4" w:space="0" w:color="auto"/>
              <w:left w:val="single" w:sz="4" w:space="0" w:color="auto"/>
              <w:bottom w:val="single" w:sz="4" w:space="0" w:color="auto"/>
              <w:right w:val="single" w:sz="4" w:space="0" w:color="auto"/>
            </w:tcBorders>
          </w:tcPr>
          <w:p w14:paraId="5B8088A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Absence of ulcers</w:t>
            </w:r>
          </w:p>
        </w:tc>
        <w:tc>
          <w:tcPr>
            <w:tcW w:w="3669" w:type="dxa"/>
            <w:tcBorders>
              <w:top w:val="single" w:sz="4" w:space="0" w:color="auto"/>
              <w:left w:val="single" w:sz="4" w:space="0" w:color="auto"/>
              <w:bottom w:val="single" w:sz="4" w:space="0" w:color="auto"/>
              <w:right w:val="single" w:sz="4" w:space="0" w:color="auto"/>
            </w:tcBorders>
          </w:tcPr>
          <w:p w14:paraId="6D06B02D" w14:textId="20A52A94"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16% </w:t>
            </w:r>
            <w:r w:rsidR="008D57EC" w:rsidRPr="008D57EC">
              <w:rPr>
                <w:rFonts w:ascii="Book Antiqua" w:hAnsi="Book Antiqua"/>
                <w:i/>
                <w:lang w:val="en-US"/>
              </w:rPr>
              <w:t>vs</w:t>
            </w:r>
            <w:r w:rsidRPr="0050649F">
              <w:rPr>
                <w:rFonts w:ascii="Book Antiqua" w:hAnsi="Book Antiqua"/>
                <w:lang w:val="en-US"/>
              </w:rPr>
              <w:t xml:space="preserve"> 30% </w:t>
            </w:r>
            <w:r w:rsidR="008D57EC" w:rsidRPr="008D57EC">
              <w:rPr>
                <w:rFonts w:ascii="Book Antiqua" w:hAnsi="Book Antiqua"/>
                <w:i/>
                <w:lang w:val="en-US"/>
              </w:rPr>
              <w:t>vs</w:t>
            </w:r>
            <w:r w:rsidRPr="0050649F">
              <w:rPr>
                <w:rFonts w:ascii="Book Antiqua" w:hAnsi="Book Antiqua"/>
                <w:lang w:val="en-US"/>
              </w:rPr>
              <w:t xml:space="preserve"> 44%</w:t>
            </w:r>
          </w:p>
        </w:tc>
      </w:tr>
      <w:tr w:rsidR="0050649F" w:rsidRPr="0050649F" w14:paraId="4B286753" w14:textId="77777777" w:rsidTr="007B7749">
        <w:tc>
          <w:tcPr>
            <w:tcW w:w="1702" w:type="dxa"/>
            <w:tcBorders>
              <w:top w:val="single" w:sz="4" w:space="0" w:color="auto"/>
              <w:left w:val="single" w:sz="4" w:space="0" w:color="auto"/>
              <w:bottom w:val="single" w:sz="4" w:space="0" w:color="auto"/>
              <w:right w:val="single" w:sz="4" w:space="0" w:color="auto"/>
            </w:tcBorders>
          </w:tcPr>
          <w:p w14:paraId="36E3894D" w14:textId="4D0212E6"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Reinisch</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[54]</w:t>
            </w:r>
            <w:r w:rsidRPr="0050649F">
              <w:rPr>
                <w:rFonts w:ascii="Book Antiqua" w:hAnsi="Book Antiqua"/>
                <w:lang w:val="en-US"/>
              </w:rPr>
              <w:t xml:space="preserve">, 2011 </w:t>
            </w:r>
          </w:p>
          <w:p w14:paraId="521729C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ULTRA 1</w:t>
            </w:r>
          </w:p>
        </w:tc>
        <w:tc>
          <w:tcPr>
            <w:tcW w:w="1235" w:type="dxa"/>
            <w:tcBorders>
              <w:top w:val="single" w:sz="4" w:space="0" w:color="auto"/>
              <w:left w:val="single" w:sz="4" w:space="0" w:color="auto"/>
              <w:bottom w:val="single" w:sz="4" w:space="0" w:color="auto"/>
              <w:right w:val="single" w:sz="4" w:space="0" w:color="auto"/>
            </w:tcBorders>
          </w:tcPr>
          <w:p w14:paraId="5DAAE38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7FE888C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390 UC</w:t>
            </w:r>
          </w:p>
        </w:tc>
        <w:tc>
          <w:tcPr>
            <w:tcW w:w="3532" w:type="dxa"/>
            <w:tcBorders>
              <w:top w:val="single" w:sz="4" w:space="0" w:color="auto"/>
              <w:left w:val="single" w:sz="4" w:space="0" w:color="auto"/>
              <w:bottom w:val="single" w:sz="4" w:space="0" w:color="auto"/>
              <w:right w:val="single" w:sz="4" w:space="0" w:color="auto"/>
            </w:tcBorders>
          </w:tcPr>
          <w:p w14:paraId="16D39A4D" w14:textId="36900D95"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ADA 160/80/40 mg </w:t>
            </w:r>
            <w:r w:rsidR="008D57EC" w:rsidRPr="008D57EC">
              <w:rPr>
                <w:rFonts w:ascii="Book Antiqua" w:hAnsi="Book Antiqua"/>
                <w:i/>
                <w:lang w:val="en-US"/>
              </w:rPr>
              <w:t>vs</w:t>
            </w:r>
            <w:r w:rsidRPr="0050649F">
              <w:rPr>
                <w:rFonts w:ascii="Book Antiqua" w:hAnsi="Book Antiqua"/>
                <w:lang w:val="en-US"/>
              </w:rPr>
              <w:t xml:space="preserve"> 80/40 mg </w:t>
            </w:r>
            <w:r w:rsidR="008D57EC" w:rsidRPr="008D57EC">
              <w:rPr>
                <w:rFonts w:ascii="Book Antiqua" w:hAnsi="Book Antiqua"/>
                <w:i/>
                <w:lang w:val="en-US"/>
              </w:rPr>
              <w:t>vs</w:t>
            </w:r>
            <w:r w:rsidRPr="0050649F">
              <w:rPr>
                <w:rFonts w:ascii="Book Antiqua" w:hAnsi="Book Antiqua"/>
                <w:lang w:val="en-US"/>
              </w:rPr>
              <w:t xml:space="preserve"> plc</w:t>
            </w:r>
          </w:p>
        </w:tc>
        <w:tc>
          <w:tcPr>
            <w:tcW w:w="1135" w:type="dxa"/>
            <w:tcBorders>
              <w:top w:val="single" w:sz="4" w:space="0" w:color="auto"/>
              <w:left w:val="single" w:sz="4" w:space="0" w:color="auto"/>
              <w:bottom w:val="single" w:sz="4" w:space="0" w:color="auto"/>
              <w:right w:val="single" w:sz="4" w:space="0" w:color="auto"/>
            </w:tcBorders>
          </w:tcPr>
          <w:p w14:paraId="4ED3406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w:t>
            </w:r>
          </w:p>
        </w:tc>
        <w:tc>
          <w:tcPr>
            <w:tcW w:w="1695" w:type="dxa"/>
            <w:tcBorders>
              <w:top w:val="single" w:sz="4" w:space="0" w:color="auto"/>
              <w:left w:val="single" w:sz="4" w:space="0" w:color="auto"/>
              <w:bottom w:val="single" w:sz="4" w:space="0" w:color="auto"/>
              <w:right w:val="single" w:sz="4" w:space="0" w:color="auto"/>
            </w:tcBorders>
          </w:tcPr>
          <w:p w14:paraId="1959C33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w:t>
            </w:r>
          </w:p>
        </w:tc>
        <w:tc>
          <w:tcPr>
            <w:tcW w:w="1424" w:type="dxa"/>
            <w:tcBorders>
              <w:top w:val="single" w:sz="4" w:space="0" w:color="auto"/>
              <w:left w:val="single" w:sz="4" w:space="0" w:color="auto"/>
              <w:bottom w:val="single" w:sz="4" w:space="0" w:color="auto"/>
              <w:right w:val="single" w:sz="4" w:space="0" w:color="auto"/>
            </w:tcBorders>
          </w:tcPr>
          <w:p w14:paraId="23A3307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 0-1</w:t>
            </w:r>
          </w:p>
          <w:p w14:paraId="4686CEAC"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3CB371FA" w14:textId="7B839EC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47% </w:t>
            </w:r>
            <w:r w:rsidR="008D57EC" w:rsidRPr="008D57EC">
              <w:rPr>
                <w:rFonts w:ascii="Book Antiqua" w:hAnsi="Book Antiqua"/>
                <w:i/>
                <w:lang w:val="en-US"/>
              </w:rPr>
              <w:t>vs</w:t>
            </w:r>
            <w:r w:rsidRPr="0050649F">
              <w:rPr>
                <w:rFonts w:ascii="Book Antiqua" w:hAnsi="Book Antiqua"/>
                <w:lang w:val="en-US"/>
              </w:rPr>
              <w:t xml:space="preserve"> 37% </w:t>
            </w:r>
            <w:r w:rsidR="008D57EC" w:rsidRPr="008D57EC">
              <w:rPr>
                <w:rFonts w:ascii="Book Antiqua" w:hAnsi="Book Antiqua"/>
                <w:i/>
                <w:lang w:val="en-US"/>
              </w:rPr>
              <w:t>vs</w:t>
            </w:r>
            <w:r w:rsidRPr="0050649F">
              <w:rPr>
                <w:rFonts w:ascii="Book Antiqua" w:hAnsi="Book Antiqua"/>
                <w:lang w:val="en-US"/>
              </w:rPr>
              <w:t xml:space="preserve"> 41% </w:t>
            </w:r>
          </w:p>
        </w:tc>
      </w:tr>
      <w:tr w:rsidR="0050649F" w:rsidRPr="0050649F" w14:paraId="64A449C0" w14:textId="77777777" w:rsidTr="007B7749">
        <w:tc>
          <w:tcPr>
            <w:tcW w:w="1702" w:type="dxa"/>
            <w:tcBorders>
              <w:top w:val="single" w:sz="4" w:space="0" w:color="auto"/>
              <w:left w:val="single" w:sz="4" w:space="0" w:color="auto"/>
              <w:bottom w:val="single" w:sz="4" w:space="0" w:color="auto"/>
              <w:right w:val="single" w:sz="4" w:space="0" w:color="auto"/>
            </w:tcBorders>
          </w:tcPr>
          <w:p w14:paraId="6810BD62" w14:textId="05142288"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Sandborn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[55]</w:t>
            </w:r>
            <w:r w:rsidRPr="0050649F">
              <w:rPr>
                <w:rFonts w:ascii="Book Antiqua" w:hAnsi="Book Antiqua"/>
                <w:lang w:val="en-US"/>
              </w:rPr>
              <w:t xml:space="preserve">, 2012 </w:t>
            </w:r>
          </w:p>
          <w:p w14:paraId="653E377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ULTRA 2</w:t>
            </w:r>
          </w:p>
        </w:tc>
        <w:tc>
          <w:tcPr>
            <w:tcW w:w="1235" w:type="dxa"/>
            <w:tcBorders>
              <w:top w:val="single" w:sz="4" w:space="0" w:color="auto"/>
              <w:left w:val="single" w:sz="4" w:space="0" w:color="auto"/>
              <w:bottom w:val="single" w:sz="4" w:space="0" w:color="auto"/>
              <w:right w:val="single" w:sz="4" w:space="0" w:color="auto"/>
            </w:tcBorders>
          </w:tcPr>
          <w:p w14:paraId="1EE2820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72A44B4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518 UC</w:t>
            </w:r>
          </w:p>
        </w:tc>
        <w:tc>
          <w:tcPr>
            <w:tcW w:w="3532" w:type="dxa"/>
            <w:tcBorders>
              <w:top w:val="single" w:sz="4" w:space="0" w:color="auto"/>
              <w:left w:val="single" w:sz="4" w:space="0" w:color="auto"/>
              <w:bottom w:val="single" w:sz="4" w:space="0" w:color="auto"/>
              <w:right w:val="single" w:sz="4" w:space="0" w:color="auto"/>
            </w:tcBorders>
          </w:tcPr>
          <w:p w14:paraId="23E87D65" w14:textId="0A902346"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ADA 160/80/40 mg </w:t>
            </w:r>
            <w:r w:rsidR="008D57EC" w:rsidRPr="008D57EC">
              <w:rPr>
                <w:rFonts w:ascii="Book Antiqua" w:hAnsi="Book Antiqua"/>
                <w:i/>
                <w:lang w:val="en-US"/>
              </w:rPr>
              <w:t>vs</w:t>
            </w:r>
            <w:r w:rsidRPr="0050649F">
              <w:rPr>
                <w:rFonts w:ascii="Book Antiqua" w:hAnsi="Book Antiqua"/>
                <w:lang w:val="en-US"/>
              </w:rPr>
              <w:t xml:space="preserve"> plc</w:t>
            </w:r>
          </w:p>
        </w:tc>
        <w:tc>
          <w:tcPr>
            <w:tcW w:w="1135" w:type="dxa"/>
            <w:tcBorders>
              <w:top w:val="single" w:sz="4" w:space="0" w:color="auto"/>
              <w:left w:val="single" w:sz="4" w:space="0" w:color="auto"/>
              <w:bottom w:val="single" w:sz="4" w:space="0" w:color="auto"/>
              <w:right w:val="single" w:sz="4" w:space="0" w:color="auto"/>
            </w:tcBorders>
          </w:tcPr>
          <w:p w14:paraId="291F51C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 wk and 52 wk</w:t>
            </w:r>
          </w:p>
        </w:tc>
        <w:tc>
          <w:tcPr>
            <w:tcW w:w="1695" w:type="dxa"/>
            <w:tcBorders>
              <w:top w:val="single" w:sz="4" w:space="0" w:color="auto"/>
              <w:left w:val="single" w:sz="4" w:space="0" w:color="auto"/>
              <w:bottom w:val="single" w:sz="4" w:space="0" w:color="auto"/>
              <w:right w:val="single" w:sz="4" w:space="0" w:color="auto"/>
            </w:tcBorders>
          </w:tcPr>
          <w:p w14:paraId="3190063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w:t>
            </w:r>
          </w:p>
        </w:tc>
        <w:tc>
          <w:tcPr>
            <w:tcW w:w="1424" w:type="dxa"/>
            <w:tcBorders>
              <w:top w:val="single" w:sz="4" w:space="0" w:color="auto"/>
              <w:left w:val="single" w:sz="4" w:space="0" w:color="auto"/>
              <w:bottom w:val="single" w:sz="4" w:space="0" w:color="auto"/>
              <w:right w:val="single" w:sz="4" w:space="0" w:color="auto"/>
            </w:tcBorders>
          </w:tcPr>
          <w:p w14:paraId="7D4B798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 0-1</w:t>
            </w:r>
          </w:p>
          <w:p w14:paraId="5381C1BA"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33F1D151" w14:textId="344BB1A3"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18% </w:t>
            </w:r>
            <w:r w:rsidR="008D57EC" w:rsidRPr="008D57EC">
              <w:rPr>
                <w:rFonts w:ascii="Book Antiqua" w:hAnsi="Book Antiqua"/>
                <w:i/>
                <w:lang w:val="en-US"/>
              </w:rPr>
              <w:t>vs</w:t>
            </w:r>
            <w:r w:rsidRPr="0050649F">
              <w:rPr>
                <w:rFonts w:ascii="Book Antiqua" w:hAnsi="Book Antiqua"/>
                <w:lang w:val="en-US"/>
              </w:rPr>
              <w:t xml:space="preserve"> 10% (Sustained MH) </w:t>
            </w:r>
          </w:p>
          <w:p w14:paraId="5EF7D49C" w14:textId="77777777" w:rsidR="00A24C79" w:rsidRPr="0050649F" w:rsidRDefault="00A24C79" w:rsidP="00C97716">
            <w:pPr>
              <w:spacing w:line="360" w:lineRule="auto"/>
              <w:jc w:val="both"/>
              <w:rPr>
                <w:rFonts w:ascii="Book Antiqua" w:hAnsi="Book Antiqua"/>
                <w:lang w:val="en-US"/>
              </w:rPr>
            </w:pPr>
          </w:p>
        </w:tc>
      </w:tr>
      <w:tr w:rsidR="0050649F" w:rsidRPr="0050649F" w14:paraId="7A825429" w14:textId="77777777" w:rsidTr="007B7749">
        <w:tc>
          <w:tcPr>
            <w:tcW w:w="1702" w:type="dxa"/>
            <w:tcBorders>
              <w:top w:val="single" w:sz="4" w:space="0" w:color="auto"/>
              <w:left w:val="single" w:sz="4" w:space="0" w:color="auto"/>
              <w:bottom w:val="single" w:sz="4" w:space="0" w:color="auto"/>
              <w:right w:val="single" w:sz="4" w:space="0" w:color="auto"/>
            </w:tcBorders>
          </w:tcPr>
          <w:p w14:paraId="0DAE25DE" w14:textId="14AB0A46"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Rutgeerts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[64]</w:t>
            </w:r>
            <w:r w:rsidRPr="0050649F">
              <w:rPr>
                <w:rFonts w:ascii="Book Antiqua" w:hAnsi="Book Antiqua"/>
                <w:lang w:val="en-US"/>
              </w:rPr>
              <w:t xml:space="preserve">, 2012 </w:t>
            </w:r>
          </w:p>
          <w:p w14:paraId="6CEF645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EXTEND</w:t>
            </w:r>
          </w:p>
        </w:tc>
        <w:tc>
          <w:tcPr>
            <w:tcW w:w="1235" w:type="dxa"/>
            <w:tcBorders>
              <w:top w:val="single" w:sz="4" w:space="0" w:color="auto"/>
              <w:left w:val="single" w:sz="4" w:space="0" w:color="auto"/>
              <w:bottom w:val="single" w:sz="4" w:space="0" w:color="auto"/>
              <w:right w:val="single" w:sz="4" w:space="0" w:color="auto"/>
            </w:tcBorders>
          </w:tcPr>
          <w:p w14:paraId="36E8CA9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1BB03E2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135 CD</w:t>
            </w:r>
          </w:p>
        </w:tc>
        <w:tc>
          <w:tcPr>
            <w:tcW w:w="3532" w:type="dxa"/>
            <w:tcBorders>
              <w:top w:val="single" w:sz="4" w:space="0" w:color="auto"/>
              <w:left w:val="single" w:sz="4" w:space="0" w:color="auto"/>
              <w:bottom w:val="single" w:sz="4" w:space="0" w:color="auto"/>
              <w:right w:val="single" w:sz="4" w:space="0" w:color="auto"/>
            </w:tcBorders>
          </w:tcPr>
          <w:p w14:paraId="534CFBFD" w14:textId="7F5B98F9"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ADA only induction (plc in maintenance) </w:t>
            </w:r>
            <w:r w:rsidR="008D57EC" w:rsidRPr="008D57EC">
              <w:rPr>
                <w:rFonts w:ascii="Book Antiqua" w:hAnsi="Book Antiqua"/>
                <w:i/>
                <w:lang w:val="en-US"/>
              </w:rPr>
              <w:t>vs</w:t>
            </w:r>
            <w:r w:rsidRPr="0050649F">
              <w:rPr>
                <w:rFonts w:ascii="Book Antiqua" w:hAnsi="Book Antiqua"/>
                <w:lang w:val="en-US"/>
              </w:rPr>
              <w:t xml:space="preserve"> ADA continuous</w:t>
            </w:r>
          </w:p>
        </w:tc>
        <w:tc>
          <w:tcPr>
            <w:tcW w:w="1135" w:type="dxa"/>
            <w:tcBorders>
              <w:top w:val="single" w:sz="4" w:space="0" w:color="auto"/>
              <w:left w:val="single" w:sz="4" w:space="0" w:color="auto"/>
              <w:bottom w:val="single" w:sz="4" w:space="0" w:color="auto"/>
              <w:right w:val="single" w:sz="4" w:space="0" w:color="auto"/>
            </w:tcBorders>
          </w:tcPr>
          <w:p w14:paraId="4B6BFDF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12 wk and 52 wk</w:t>
            </w:r>
          </w:p>
        </w:tc>
        <w:tc>
          <w:tcPr>
            <w:tcW w:w="1695" w:type="dxa"/>
            <w:tcBorders>
              <w:top w:val="single" w:sz="4" w:space="0" w:color="auto"/>
              <w:left w:val="single" w:sz="4" w:space="0" w:color="auto"/>
              <w:bottom w:val="single" w:sz="4" w:space="0" w:color="auto"/>
              <w:right w:val="single" w:sz="4" w:space="0" w:color="auto"/>
            </w:tcBorders>
          </w:tcPr>
          <w:p w14:paraId="08FBAE0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CDEIS</w:t>
            </w:r>
          </w:p>
        </w:tc>
        <w:tc>
          <w:tcPr>
            <w:tcW w:w="1424" w:type="dxa"/>
            <w:tcBorders>
              <w:top w:val="single" w:sz="4" w:space="0" w:color="auto"/>
              <w:left w:val="single" w:sz="4" w:space="0" w:color="auto"/>
              <w:bottom w:val="single" w:sz="4" w:space="0" w:color="auto"/>
              <w:right w:val="single" w:sz="4" w:space="0" w:color="auto"/>
            </w:tcBorders>
          </w:tcPr>
          <w:p w14:paraId="3A4FF13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CDEIS 0</w:t>
            </w:r>
          </w:p>
          <w:p w14:paraId="27E5F7C4"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3C5EEECC" w14:textId="73A86A9E"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Baseline CDEIS ≤</w:t>
            </w:r>
            <w:r w:rsidR="008D57EC">
              <w:rPr>
                <w:rFonts w:ascii="Book Antiqua" w:eastAsia="宋体" w:hAnsi="Book Antiqua" w:hint="eastAsia"/>
                <w:lang w:val="en-US" w:eastAsia="zh-CN"/>
              </w:rPr>
              <w:t xml:space="preserve"> </w:t>
            </w:r>
            <w:r w:rsidRPr="0050649F">
              <w:rPr>
                <w:rFonts w:ascii="Book Antiqua" w:hAnsi="Book Antiqua"/>
                <w:lang w:val="en-US"/>
              </w:rPr>
              <w:t xml:space="preserve">9: continuous at 12 wks 40%, at 52 wk 30%. </w:t>
            </w:r>
          </w:p>
          <w:p w14:paraId="20FBE4B9" w14:textId="1F0F2BB5"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Baseline CDEIS &lt;</w:t>
            </w:r>
            <w:r w:rsidR="008D57EC">
              <w:rPr>
                <w:rFonts w:ascii="Book Antiqua" w:eastAsia="宋体" w:hAnsi="Book Antiqua" w:hint="eastAsia"/>
                <w:lang w:val="en-US" w:eastAsia="zh-CN"/>
              </w:rPr>
              <w:t xml:space="preserve"> </w:t>
            </w:r>
            <w:r w:rsidRPr="0050649F">
              <w:rPr>
                <w:rFonts w:ascii="Book Antiqua" w:hAnsi="Book Antiqua"/>
                <w:lang w:val="en-US"/>
              </w:rPr>
              <w:t xml:space="preserve">9: continuous at 12 wks 16% at 52 wk 19%. </w:t>
            </w:r>
          </w:p>
        </w:tc>
      </w:tr>
      <w:tr w:rsidR="0050649F" w:rsidRPr="0050649F" w14:paraId="12EEA540" w14:textId="77777777" w:rsidTr="007B7749">
        <w:tc>
          <w:tcPr>
            <w:tcW w:w="1702" w:type="dxa"/>
            <w:tcBorders>
              <w:top w:val="single" w:sz="4" w:space="0" w:color="auto"/>
              <w:left w:val="single" w:sz="4" w:space="0" w:color="auto"/>
              <w:bottom w:val="single" w:sz="4" w:space="0" w:color="auto"/>
              <w:right w:val="single" w:sz="4" w:space="0" w:color="auto"/>
            </w:tcBorders>
          </w:tcPr>
          <w:p w14:paraId="74E3A99E" w14:textId="6EA88A5A"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Laharie</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[58]</w:t>
            </w:r>
            <w:r w:rsidRPr="0050649F">
              <w:rPr>
                <w:rFonts w:ascii="Book Antiqua" w:hAnsi="Book Antiqua"/>
                <w:lang w:val="en-US"/>
              </w:rPr>
              <w:t xml:space="preserve">, 2013 </w:t>
            </w:r>
          </w:p>
        </w:tc>
        <w:tc>
          <w:tcPr>
            <w:tcW w:w="1235" w:type="dxa"/>
            <w:tcBorders>
              <w:top w:val="single" w:sz="4" w:space="0" w:color="auto"/>
              <w:left w:val="single" w:sz="4" w:space="0" w:color="auto"/>
              <w:bottom w:val="single" w:sz="4" w:space="0" w:color="auto"/>
              <w:right w:val="single" w:sz="4" w:space="0" w:color="auto"/>
            </w:tcBorders>
          </w:tcPr>
          <w:p w14:paraId="5CEF14F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mc</w:t>
            </w:r>
          </w:p>
        </w:tc>
        <w:tc>
          <w:tcPr>
            <w:tcW w:w="902" w:type="dxa"/>
            <w:tcBorders>
              <w:top w:val="single" w:sz="4" w:space="0" w:color="auto"/>
              <w:left w:val="single" w:sz="4" w:space="0" w:color="auto"/>
              <w:bottom w:val="single" w:sz="4" w:space="0" w:color="auto"/>
              <w:right w:val="single" w:sz="4" w:space="0" w:color="auto"/>
            </w:tcBorders>
          </w:tcPr>
          <w:p w14:paraId="5B056B8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63 UC</w:t>
            </w:r>
          </w:p>
        </w:tc>
        <w:tc>
          <w:tcPr>
            <w:tcW w:w="3532" w:type="dxa"/>
            <w:tcBorders>
              <w:top w:val="single" w:sz="4" w:space="0" w:color="auto"/>
              <w:left w:val="single" w:sz="4" w:space="0" w:color="auto"/>
              <w:bottom w:val="single" w:sz="4" w:space="0" w:color="auto"/>
              <w:right w:val="single" w:sz="4" w:space="0" w:color="auto"/>
            </w:tcBorders>
          </w:tcPr>
          <w:p w14:paraId="79FBF62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5 mg/kg</w:t>
            </w:r>
          </w:p>
        </w:tc>
        <w:tc>
          <w:tcPr>
            <w:tcW w:w="1135" w:type="dxa"/>
            <w:tcBorders>
              <w:top w:val="single" w:sz="4" w:space="0" w:color="auto"/>
              <w:left w:val="single" w:sz="4" w:space="0" w:color="auto"/>
              <w:bottom w:val="single" w:sz="4" w:space="0" w:color="auto"/>
              <w:right w:val="single" w:sz="4" w:space="0" w:color="auto"/>
            </w:tcBorders>
          </w:tcPr>
          <w:p w14:paraId="521F58F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6-52 wk</w:t>
            </w:r>
          </w:p>
        </w:tc>
        <w:tc>
          <w:tcPr>
            <w:tcW w:w="1695" w:type="dxa"/>
            <w:tcBorders>
              <w:top w:val="single" w:sz="4" w:space="0" w:color="auto"/>
              <w:left w:val="single" w:sz="4" w:space="0" w:color="auto"/>
              <w:bottom w:val="single" w:sz="4" w:space="0" w:color="auto"/>
              <w:right w:val="single" w:sz="4" w:space="0" w:color="auto"/>
            </w:tcBorders>
          </w:tcPr>
          <w:p w14:paraId="17A5B08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w:t>
            </w:r>
          </w:p>
        </w:tc>
        <w:tc>
          <w:tcPr>
            <w:tcW w:w="1424" w:type="dxa"/>
            <w:tcBorders>
              <w:top w:val="single" w:sz="4" w:space="0" w:color="auto"/>
              <w:left w:val="single" w:sz="4" w:space="0" w:color="auto"/>
              <w:bottom w:val="single" w:sz="4" w:space="0" w:color="auto"/>
              <w:right w:val="single" w:sz="4" w:space="0" w:color="auto"/>
            </w:tcBorders>
          </w:tcPr>
          <w:p w14:paraId="4A7159D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 0-1</w:t>
            </w:r>
          </w:p>
          <w:p w14:paraId="798FAB05"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17A0E7F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48% </w:t>
            </w:r>
          </w:p>
        </w:tc>
      </w:tr>
      <w:tr w:rsidR="0050649F" w:rsidRPr="0050649F" w14:paraId="0DAE52DF" w14:textId="77777777" w:rsidTr="007B7749">
        <w:tc>
          <w:tcPr>
            <w:tcW w:w="1702" w:type="dxa"/>
            <w:tcBorders>
              <w:top w:val="single" w:sz="4" w:space="0" w:color="auto"/>
              <w:left w:val="single" w:sz="4" w:space="0" w:color="auto"/>
              <w:bottom w:val="single" w:sz="4" w:space="0" w:color="auto"/>
              <w:right w:val="single" w:sz="4" w:space="0" w:color="auto"/>
            </w:tcBorders>
          </w:tcPr>
          <w:p w14:paraId="68465187" w14:textId="4C21041D"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Feagan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[56]</w:t>
            </w:r>
            <w:r w:rsidRPr="0050649F">
              <w:rPr>
                <w:rFonts w:ascii="Book Antiqua" w:hAnsi="Book Antiqua"/>
                <w:lang w:val="en-US"/>
              </w:rPr>
              <w:t xml:space="preserve">, 2013 </w:t>
            </w:r>
          </w:p>
          <w:p w14:paraId="6CB29A9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GEMINI</w:t>
            </w:r>
          </w:p>
        </w:tc>
        <w:tc>
          <w:tcPr>
            <w:tcW w:w="1235" w:type="dxa"/>
            <w:tcBorders>
              <w:top w:val="single" w:sz="4" w:space="0" w:color="auto"/>
              <w:left w:val="single" w:sz="4" w:space="0" w:color="auto"/>
              <w:bottom w:val="single" w:sz="4" w:space="0" w:color="auto"/>
              <w:right w:val="single" w:sz="4" w:space="0" w:color="auto"/>
            </w:tcBorders>
          </w:tcPr>
          <w:p w14:paraId="1AE2221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7042E13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746 UC</w:t>
            </w:r>
          </w:p>
        </w:tc>
        <w:tc>
          <w:tcPr>
            <w:tcW w:w="3532" w:type="dxa"/>
            <w:tcBorders>
              <w:top w:val="single" w:sz="4" w:space="0" w:color="auto"/>
              <w:left w:val="single" w:sz="4" w:space="0" w:color="auto"/>
              <w:bottom w:val="single" w:sz="4" w:space="0" w:color="auto"/>
              <w:right w:val="single" w:sz="4" w:space="0" w:color="auto"/>
            </w:tcBorders>
          </w:tcPr>
          <w:p w14:paraId="50C7B7ED" w14:textId="4DC65C15"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Vedolizumab every 8 wk </w:t>
            </w:r>
            <w:r w:rsidR="008D57EC" w:rsidRPr="008D57EC">
              <w:rPr>
                <w:rFonts w:ascii="Book Antiqua" w:hAnsi="Book Antiqua"/>
                <w:i/>
                <w:lang w:val="en-US"/>
              </w:rPr>
              <w:t>vs</w:t>
            </w:r>
            <w:r w:rsidRPr="0050649F">
              <w:rPr>
                <w:rFonts w:ascii="Book Antiqua" w:hAnsi="Book Antiqua"/>
                <w:lang w:val="en-US"/>
              </w:rPr>
              <w:t xml:space="preserve"> Vedolizumab every 4 wk </w:t>
            </w:r>
            <w:r w:rsidR="008D57EC" w:rsidRPr="008D57EC">
              <w:rPr>
                <w:rFonts w:ascii="Book Antiqua" w:hAnsi="Book Antiqua"/>
                <w:i/>
                <w:lang w:val="en-US"/>
              </w:rPr>
              <w:t>vs</w:t>
            </w:r>
            <w:r w:rsidRPr="0050649F">
              <w:rPr>
                <w:rFonts w:ascii="Book Antiqua" w:hAnsi="Book Antiqua"/>
                <w:lang w:val="en-US"/>
              </w:rPr>
              <w:t xml:space="preserve"> plc</w:t>
            </w:r>
          </w:p>
        </w:tc>
        <w:tc>
          <w:tcPr>
            <w:tcW w:w="1135" w:type="dxa"/>
            <w:tcBorders>
              <w:top w:val="single" w:sz="4" w:space="0" w:color="auto"/>
              <w:left w:val="single" w:sz="4" w:space="0" w:color="auto"/>
              <w:bottom w:val="single" w:sz="4" w:space="0" w:color="auto"/>
              <w:right w:val="single" w:sz="4" w:space="0" w:color="auto"/>
            </w:tcBorders>
          </w:tcPr>
          <w:p w14:paraId="18E7E62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 wk and 52 wk</w:t>
            </w:r>
          </w:p>
        </w:tc>
        <w:tc>
          <w:tcPr>
            <w:tcW w:w="1695" w:type="dxa"/>
            <w:tcBorders>
              <w:top w:val="single" w:sz="4" w:space="0" w:color="auto"/>
              <w:left w:val="single" w:sz="4" w:space="0" w:color="auto"/>
              <w:bottom w:val="single" w:sz="4" w:space="0" w:color="auto"/>
              <w:right w:val="single" w:sz="4" w:space="0" w:color="auto"/>
            </w:tcBorders>
          </w:tcPr>
          <w:p w14:paraId="13742A1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w:t>
            </w:r>
          </w:p>
        </w:tc>
        <w:tc>
          <w:tcPr>
            <w:tcW w:w="1424" w:type="dxa"/>
            <w:tcBorders>
              <w:top w:val="single" w:sz="4" w:space="0" w:color="auto"/>
              <w:left w:val="single" w:sz="4" w:space="0" w:color="auto"/>
              <w:bottom w:val="single" w:sz="4" w:space="0" w:color="auto"/>
              <w:right w:val="single" w:sz="4" w:space="0" w:color="auto"/>
            </w:tcBorders>
          </w:tcPr>
          <w:p w14:paraId="6A7FDE1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 0-1</w:t>
            </w:r>
          </w:p>
          <w:p w14:paraId="46771BF9"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62790B94" w14:textId="78DCB075"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6 wk: VDZ 41% </w:t>
            </w:r>
            <w:r w:rsidR="008D57EC" w:rsidRPr="008D57EC">
              <w:rPr>
                <w:rFonts w:ascii="Book Antiqua" w:hAnsi="Book Antiqua"/>
                <w:i/>
                <w:lang w:val="en-US"/>
              </w:rPr>
              <w:t>vs</w:t>
            </w:r>
            <w:r w:rsidRPr="0050649F">
              <w:rPr>
                <w:rFonts w:ascii="Book Antiqua" w:hAnsi="Book Antiqua"/>
                <w:lang w:val="en-US"/>
              </w:rPr>
              <w:t xml:space="preserve"> placebo 24%; </w:t>
            </w:r>
          </w:p>
          <w:p w14:paraId="58BE0AB9" w14:textId="2358C3FC"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52 wk: 56% </w:t>
            </w:r>
            <w:r w:rsidR="008D57EC" w:rsidRPr="008D57EC">
              <w:rPr>
                <w:rFonts w:ascii="Book Antiqua" w:hAnsi="Book Antiqua"/>
                <w:i/>
                <w:lang w:val="en-US"/>
              </w:rPr>
              <w:t>vs</w:t>
            </w:r>
            <w:r w:rsidRPr="0050649F">
              <w:rPr>
                <w:rFonts w:ascii="Book Antiqua" w:hAnsi="Book Antiqua"/>
                <w:lang w:val="en-US"/>
              </w:rPr>
              <w:t xml:space="preserve"> 51% </w:t>
            </w:r>
            <w:r w:rsidR="008D57EC" w:rsidRPr="008D57EC">
              <w:rPr>
                <w:rFonts w:ascii="Book Antiqua" w:hAnsi="Book Antiqua"/>
                <w:i/>
                <w:lang w:val="en-US"/>
              </w:rPr>
              <w:t>vs</w:t>
            </w:r>
            <w:r w:rsidRPr="0050649F">
              <w:rPr>
                <w:rFonts w:ascii="Book Antiqua" w:hAnsi="Book Antiqua"/>
                <w:lang w:val="en-US"/>
              </w:rPr>
              <w:t xml:space="preserve"> 20%. </w:t>
            </w:r>
          </w:p>
        </w:tc>
      </w:tr>
      <w:tr w:rsidR="0050649F" w:rsidRPr="0050649F" w14:paraId="09EF070B" w14:textId="77777777" w:rsidTr="007B7749">
        <w:tc>
          <w:tcPr>
            <w:tcW w:w="1702" w:type="dxa"/>
            <w:tcBorders>
              <w:top w:val="single" w:sz="4" w:space="0" w:color="auto"/>
              <w:left w:val="single" w:sz="4" w:space="0" w:color="auto"/>
              <w:bottom w:val="single" w:sz="4" w:space="0" w:color="auto"/>
              <w:right w:val="single" w:sz="4" w:space="0" w:color="auto"/>
            </w:tcBorders>
          </w:tcPr>
          <w:p w14:paraId="73ADEB8F" w14:textId="6DCF01E2"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Sandborn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[59]</w:t>
            </w:r>
            <w:r w:rsidRPr="0050649F">
              <w:rPr>
                <w:rFonts w:ascii="Book Antiqua" w:hAnsi="Book Antiqua"/>
                <w:lang w:val="en-US"/>
              </w:rPr>
              <w:t xml:space="preserve">, 2014 </w:t>
            </w:r>
          </w:p>
          <w:p w14:paraId="7232AFC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PURSUIT</w:t>
            </w:r>
          </w:p>
        </w:tc>
        <w:tc>
          <w:tcPr>
            <w:tcW w:w="1235" w:type="dxa"/>
            <w:tcBorders>
              <w:top w:val="single" w:sz="4" w:space="0" w:color="auto"/>
              <w:left w:val="single" w:sz="4" w:space="0" w:color="auto"/>
              <w:bottom w:val="single" w:sz="4" w:space="0" w:color="auto"/>
              <w:right w:val="single" w:sz="4" w:space="0" w:color="auto"/>
            </w:tcBorders>
          </w:tcPr>
          <w:p w14:paraId="1D8E559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902" w:type="dxa"/>
            <w:tcBorders>
              <w:top w:val="single" w:sz="4" w:space="0" w:color="auto"/>
              <w:left w:val="single" w:sz="4" w:space="0" w:color="auto"/>
              <w:bottom w:val="single" w:sz="4" w:space="0" w:color="auto"/>
              <w:right w:val="single" w:sz="4" w:space="0" w:color="auto"/>
            </w:tcBorders>
          </w:tcPr>
          <w:p w14:paraId="7877264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774 UC</w:t>
            </w:r>
          </w:p>
        </w:tc>
        <w:tc>
          <w:tcPr>
            <w:tcW w:w="3532" w:type="dxa"/>
            <w:tcBorders>
              <w:top w:val="single" w:sz="4" w:space="0" w:color="auto"/>
              <w:left w:val="single" w:sz="4" w:space="0" w:color="auto"/>
              <w:bottom w:val="single" w:sz="4" w:space="0" w:color="auto"/>
              <w:right w:val="single" w:sz="4" w:space="0" w:color="auto"/>
            </w:tcBorders>
          </w:tcPr>
          <w:p w14:paraId="0E052FA4" w14:textId="1E0DC87C"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Golimumab 400/200 mg </w:t>
            </w:r>
            <w:r w:rsidR="008D57EC" w:rsidRPr="008D57EC">
              <w:rPr>
                <w:rFonts w:ascii="Book Antiqua" w:hAnsi="Book Antiqua"/>
                <w:i/>
                <w:lang w:val="en-US"/>
              </w:rPr>
              <w:t>vs</w:t>
            </w:r>
            <w:r w:rsidRPr="0050649F">
              <w:rPr>
                <w:rFonts w:ascii="Book Antiqua" w:hAnsi="Book Antiqua"/>
                <w:lang w:val="en-US"/>
              </w:rPr>
              <w:t xml:space="preserve"> 200/100 mg </w:t>
            </w:r>
            <w:r w:rsidR="008D57EC" w:rsidRPr="008D57EC">
              <w:rPr>
                <w:rFonts w:ascii="Book Antiqua" w:hAnsi="Book Antiqua"/>
                <w:i/>
                <w:lang w:val="en-US"/>
              </w:rPr>
              <w:t>vs</w:t>
            </w:r>
            <w:r w:rsidRPr="0050649F">
              <w:rPr>
                <w:rFonts w:ascii="Book Antiqua" w:hAnsi="Book Antiqua"/>
                <w:lang w:val="en-US"/>
              </w:rPr>
              <w:t xml:space="preserve"> plc</w:t>
            </w:r>
          </w:p>
        </w:tc>
        <w:tc>
          <w:tcPr>
            <w:tcW w:w="1135" w:type="dxa"/>
            <w:tcBorders>
              <w:top w:val="single" w:sz="4" w:space="0" w:color="auto"/>
              <w:left w:val="single" w:sz="4" w:space="0" w:color="auto"/>
              <w:bottom w:val="single" w:sz="4" w:space="0" w:color="auto"/>
              <w:right w:val="single" w:sz="4" w:space="0" w:color="auto"/>
            </w:tcBorders>
          </w:tcPr>
          <w:p w14:paraId="78016E2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 wk</w:t>
            </w:r>
          </w:p>
        </w:tc>
        <w:tc>
          <w:tcPr>
            <w:tcW w:w="1695" w:type="dxa"/>
            <w:tcBorders>
              <w:top w:val="single" w:sz="4" w:space="0" w:color="auto"/>
              <w:left w:val="single" w:sz="4" w:space="0" w:color="auto"/>
              <w:bottom w:val="single" w:sz="4" w:space="0" w:color="auto"/>
              <w:right w:val="single" w:sz="4" w:space="0" w:color="auto"/>
            </w:tcBorders>
          </w:tcPr>
          <w:p w14:paraId="69EAFA1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w:t>
            </w:r>
          </w:p>
        </w:tc>
        <w:tc>
          <w:tcPr>
            <w:tcW w:w="1424" w:type="dxa"/>
            <w:tcBorders>
              <w:top w:val="single" w:sz="4" w:space="0" w:color="auto"/>
              <w:left w:val="single" w:sz="4" w:space="0" w:color="auto"/>
              <w:bottom w:val="single" w:sz="4" w:space="0" w:color="auto"/>
              <w:right w:val="single" w:sz="4" w:space="0" w:color="auto"/>
            </w:tcBorders>
          </w:tcPr>
          <w:p w14:paraId="768972B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Mayo 0-1</w:t>
            </w:r>
          </w:p>
          <w:p w14:paraId="1202A3F6" w14:textId="77777777" w:rsidR="00A24C79" w:rsidRPr="0050649F" w:rsidRDefault="00A24C79" w:rsidP="00C97716">
            <w:pPr>
              <w:spacing w:line="360" w:lineRule="auto"/>
              <w:jc w:val="both"/>
              <w:rPr>
                <w:rFonts w:ascii="Book Antiqua" w:hAnsi="Book Antiqua"/>
                <w:lang w:val="en-US"/>
              </w:rPr>
            </w:pPr>
          </w:p>
        </w:tc>
        <w:tc>
          <w:tcPr>
            <w:tcW w:w="3669" w:type="dxa"/>
            <w:tcBorders>
              <w:top w:val="single" w:sz="4" w:space="0" w:color="auto"/>
              <w:left w:val="single" w:sz="4" w:space="0" w:color="auto"/>
              <w:bottom w:val="single" w:sz="4" w:space="0" w:color="auto"/>
              <w:right w:val="single" w:sz="4" w:space="0" w:color="auto"/>
            </w:tcBorders>
          </w:tcPr>
          <w:p w14:paraId="0A58C0F4" w14:textId="62D47C43"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17.9% </w:t>
            </w:r>
            <w:r w:rsidR="008D57EC" w:rsidRPr="008D57EC">
              <w:rPr>
                <w:rFonts w:ascii="Book Antiqua" w:hAnsi="Book Antiqua"/>
                <w:i/>
                <w:lang w:val="en-US"/>
              </w:rPr>
              <w:t>vs</w:t>
            </w:r>
            <w:r w:rsidRPr="0050649F">
              <w:rPr>
                <w:rFonts w:ascii="Book Antiqua" w:hAnsi="Book Antiqua"/>
                <w:lang w:val="en-US"/>
              </w:rPr>
              <w:t xml:space="preserve"> 17.8% </w:t>
            </w:r>
            <w:r w:rsidR="008D57EC" w:rsidRPr="008D57EC">
              <w:rPr>
                <w:rFonts w:ascii="Book Antiqua" w:hAnsi="Book Antiqua"/>
                <w:i/>
                <w:lang w:val="en-US"/>
              </w:rPr>
              <w:t>vs</w:t>
            </w:r>
            <w:r w:rsidRPr="0050649F">
              <w:rPr>
                <w:rFonts w:ascii="Book Antiqua" w:hAnsi="Book Antiqua"/>
                <w:lang w:val="en-US"/>
              </w:rPr>
              <w:t xml:space="preserve"> 6.4% </w:t>
            </w:r>
          </w:p>
        </w:tc>
      </w:tr>
    </w:tbl>
    <w:p w14:paraId="31EDDF87" w14:textId="77777777" w:rsidR="00A24C79" w:rsidRPr="0050649F" w:rsidRDefault="00A24C79" w:rsidP="00C97716">
      <w:pPr>
        <w:spacing w:line="360" w:lineRule="auto"/>
        <w:jc w:val="both"/>
        <w:rPr>
          <w:rFonts w:ascii="Book Antiqua" w:hAnsi="Book Antiqua"/>
          <w:lang w:val="en-US"/>
        </w:rPr>
      </w:pPr>
    </w:p>
    <w:p w14:paraId="0E0E4F93" w14:textId="1A0DF3D6" w:rsidR="008D57EC" w:rsidRPr="00D60D0C" w:rsidRDefault="008D57EC" w:rsidP="008D57EC">
      <w:pPr>
        <w:spacing w:line="360" w:lineRule="auto"/>
        <w:jc w:val="both"/>
        <w:rPr>
          <w:rFonts w:ascii="Book Antiqua" w:eastAsiaTheme="minorEastAsia" w:hAnsi="Book Antiqua"/>
          <w:lang w:val="en-US" w:eastAsia="zh-CN"/>
        </w:rPr>
      </w:pPr>
      <w:r w:rsidRPr="0050649F">
        <w:rPr>
          <w:rFonts w:ascii="Book Antiqua" w:hAnsi="Book Antiqua"/>
          <w:lang w:val="en-US"/>
        </w:rPr>
        <w:t>RCT</w:t>
      </w:r>
      <w:r>
        <w:rPr>
          <w:rFonts w:ascii="Book Antiqua" w:eastAsiaTheme="minorEastAsia" w:hAnsi="Book Antiqua" w:hint="eastAsia"/>
          <w:lang w:val="en-US" w:eastAsia="zh-CN"/>
        </w:rPr>
        <w:t>:</w:t>
      </w:r>
      <w:r w:rsidRPr="0050649F">
        <w:rPr>
          <w:rFonts w:ascii="Book Antiqua" w:hAnsi="Book Antiqua"/>
          <w:lang w:val="en-US"/>
        </w:rPr>
        <w:t xml:space="preserve"> Randomized controlled trial</w:t>
      </w:r>
      <w:r>
        <w:rPr>
          <w:rFonts w:ascii="Book Antiqua" w:eastAsiaTheme="minorEastAsia" w:hAnsi="Book Antiqua" w:hint="eastAsia"/>
          <w:lang w:val="en-US" w:eastAsia="zh-CN"/>
        </w:rPr>
        <w:t xml:space="preserve">; </w:t>
      </w:r>
      <w:r w:rsidRPr="0050649F">
        <w:rPr>
          <w:rFonts w:ascii="Book Antiqua" w:hAnsi="Book Antiqua"/>
          <w:lang w:val="en-GB"/>
        </w:rPr>
        <w:t>MH</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Mucosal healing</w:t>
      </w:r>
      <w:r>
        <w:rPr>
          <w:rFonts w:ascii="Book Antiqua" w:eastAsiaTheme="minorEastAsia" w:hAnsi="Book Antiqua" w:hint="eastAsia"/>
          <w:lang w:val="en-GB" w:eastAsia="zh-CN"/>
        </w:rPr>
        <w:t>;</w:t>
      </w:r>
      <w:r w:rsidRPr="00D60D0C">
        <w:rPr>
          <w:rFonts w:ascii="Book Antiqua" w:hAnsi="Book Antiqua"/>
          <w:lang w:val="en-US"/>
        </w:rPr>
        <w:t xml:space="preserve"> </w:t>
      </w:r>
      <w:r w:rsidRPr="0050649F">
        <w:rPr>
          <w:rFonts w:ascii="Book Antiqua" w:hAnsi="Book Antiqua"/>
          <w:lang w:val="en-US"/>
        </w:rPr>
        <w:t>5-ASA</w:t>
      </w:r>
      <w:r>
        <w:rPr>
          <w:rFonts w:ascii="Book Antiqua" w:eastAsiaTheme="minorEastAsia" w:hAnsi="Book Antiqua" w:hint="eastAsia"/>
          <w:lang w:val="en-US" w:eastAsia="zh-CN"/>
        </w:rPr>
        <w:t>:</w:t>
      </w:r>
      <w:r w:rsidRPr="0050649F">
        <w:rPr>
          <w:rFonts w:ascii="Book Antiqua" w:hAnsi="Book Antiqua"/>
          <w:lang w:val="en-US"/>
        </w:rPr>
        <w:t xml:space="preserve"> 5-aminoslycilate/mesalazine</w:t>
      </w:r>
      <w:r>
        <w:rPr>
          <w:rFonts w:ascii="Book Antiqua" w:eastAsiaTheme="minorEastAsia" w:hAnsi="Book Antiqua" w:hint="eastAsia"/>
          <w:lang w:val="en-US" w:eastAsia="zh-CN"/>
        </w:rPr>
        <w:t>;</w:t>
      </w:r>
      <w:r w:rsidRPr="00D60D0C">
        <w:rPr>
          <w:rFonts w:ascii="Book Antiqua" w:hAnsi="Book Antiqua"/>
          <w:lang w:val="fr-FR"/>
        </w:rPr>
        <w:t xml:space="preserve"> </w:t>
      </w:r>
      <w:r w:rsidRPr="0050649F">
        <w:rPr>
          <w:rFonts w:ascii="Book Antiqua" w:hAnsi="Book Antiqua"/>
          <w:lang w:val="fr-FR"/>
        </w:rPr>
        <w:t>mc</w:t>
      </w:r>
      <w:r>
        <w:rPr>
          <w:rFonts w:ascii="Book Antiqua" w:eastAsiaTheme="minorEastAsia" w:hAnsi="Book Antiqua" w:hint="eastAsia"/>
          <w:lang w:val="fr-FR" w:eastAsia="zh-CN"/>
        </w:rPr>
        <w:t>:</w:t>
      </w:r>
      <w:r w:rsidRPr="0050649F">
        <w:rPr>
          <w:rFonts w:ascii="Book Antiqua" w:hAnsi="Book Antiqua"/>
          <w:lang w:val="fr-FR"/>
        </w:rPr>
        <w:t xml:space="preserve"> Multicenter</w:t>
      </w:r>
      <w:r>
        <w:rPr>
          <w:rFonts w:ascii="Book Antiqua" w:eastAsiaTheme="minorEastAsia" w:hAnsi="Book Antiqua" w:hint="eastAsia"/>
          <w:lang w:val="fr-FR" w:eastAsia="zh-CN"/>
        </w:rPr>
        <w:t>;</w:t>
      </w:r>
      <w:r w:rsidRPr="00D60D0C">
        <w:rPr>
          <w:rFonts w:ascii="Book Antiqua" w:hAnsi="Book Antiqua"/>
          <w:lang w:val="fr-FR"/>
        </w:rPr>
        <w:t xml:space="preserve"> </w:t>
      </w:r>
      <w:r w:rsidRPr="0050649F">
        <w:rPr>
          <w:rFonts w:ascii="Book Antiqua" w:hAnsi="Book Antiqua"/>
          <w:lang w:val="fr-FR"/>
        </w:rPr>
        <w:t>db</w:t>
      </w:r>
      <w:r>
        <w:rPr>
          <w:rFonts w:ascii="Book Antiqua" w:eastAsiaTheme="minorEastAsia" w:hAnsi="Book Antiqua" w:hint="eastAsia"/>
          <w:lang w:val="fr-FR" w:eastAsia="zh-CN"/>
        </w:rPr>
        <w:t>:</w:t>
      </w:r>
      <w:r w:rsidRPr="0050649F">
        <w:rPr>
          <w:rFonts w:ascii="Book Antiqua" w:hAnsi="Book Antiqua"/>
          <w:lang w:val="fr-FR"/>
        </w:rPr>
        <w:t xml:space="preserve"> Double-blind</w:t>
      </w:r>
      <w:r>
        <w:rPr>
          <w:rFonts w:ascii="Book Antiqua" w:eastAsiaTheme="minorEastAsia" w:hAnsi="Book Antiqua" w:hint="eastAsia"/>
          <w:lang w:val="fr-FR" w:eastAsia="zh-CN"/>
        </w:rPr>
        <w:t>;</w:t>
      </w:r>
      <w:r w:rsidRPr="00D60D0C">
        <w:rPr>
          <w:rFonts w:ascii="Book Antiqua" w:hAnsi="Book Antiqua"/>
          <w:lang w:val="fr-FR"/>
        </w:rPr>
        <w:t xml:space="preserve"> </w:t>
      </w:r>
      <w:r w:rsidRPr="0050649F">
        <w:rPr>
          <w:rFonts w:ascii="Book Antiqua" w:hAnsi="Book Antiqua"/>
          <w:lang w:val="fr-FR"/>
        </w:rPr>
        <w:t>sc</w:t>
      </w:r>
      <w:r>
        <w:rPr>
          <w:rFonts w:ascii="Book Antiqua" w:eastAsiaTheme="minorEastAsia" w:hAnsi="Book Antiqua" w:hint="eastAsia"/>
          <w:lang w:val="fr-FR" w:eastAsia="zh-CN"/>
        </w:rPr>
        <w:t>:</w:t>
      </w:r>
      <w:r w:rsidRPr="0050649F">
        <w:rPr>
          <w:rFonts w:ascii="Book Antiqua" w:hAnsi="Book Antiqua"/>
          <w:lang w:val="fr-FR"/>
        </w:rPr>
        <w:t xml:space="preserve"> Single-centre</w:t>
      </w:r>
      <w:r>
        <w:rPr>
          <w:rFonts w:ascii="Book Antiqua" w:eastAsiaTheme="minorEastAsia" w:hAnsi="Book Antiqua" w:hint="eastAsia"/>
          <w:lang w:val="fr-FR" w:eastAsia="zh-CN"/>
        </w:rPr>
        <w:t>;</w:t>
      </w:r>
      <w:r w:rsidRPr="00D60D0C">
        <w:rPr>
          <w:rFonts w:ascii="Book Antiqua" w:hAnsi="Book Antiqua"/>
          <w:lang w:val="en-US"/>
        </w:rPr>
        <w:t xml:space="preserve"> </w:t>
      </w:r>
      <w:r w:rsidRPr="0050649F">
        <w:rPr>
          <w:rFonts w:ascii="Book Antiqua" w:hAnsi="Book Antiqua"/>
          <w:lang w:val="en-US"/>
        </w:rPr>
        <w:t>RA</w:t>
      </w:r>
      <w:r>
        <w:rPr>
          <w:rFonts w:ascii="Book Antiqua" w:eastAsiaTheme="minorEastAsia" w:hAnsi="Book Antiqua" w:hint="eastAsia"/>
          <w:lang w:val="en-US" w:eastAsia="zh-CN"/>
        </w:rPr>
        <w:t>:</w:t>
      </w:r>
      <w:r w:rsidRPr="0050649F">
        <w:rPr>
          <w:rFonts w:ascii="Book Antiqua" w:hAnsi="Book Antiqua"/>
          <w:lang w:val="en-US"/>
        </w:rPr>
        <w:t xml:space="preserve"> Retrospective analysis</w:t>
      </w:r>
      <w:r>
        <w:rPr>
          <w:rFonts w:ascii="Book Antiqua" w:eastAsiaTheme="minorEastAsia" w:hAnsi="Book Antiqua" w:hint="eastAsia"/>
          <w:lang w:val="en-US" w:eastAsia="zh-CN"/>
        </w:rPr>
        <w:t>;</w:t>
      </w:r>
      <w:r w:rsidRPr="00D60D0C">
        <w:rPr>
          <w:rFonts w:ascii="Book Antiqua" w:hAnsi="Book Antiqua"/>
          <w:lang w:val="en-US"/>
        </w:rPr>
        <w:t xml:space="preserve"> </w:t>
      </w:r>
      <w:r w:rsidRPr="0050649F">
        <w:rPr>
          <w:rFonts w:ascii="Book Antiqua" w:hAnsi="Book Antiqua"/>
          <w:lang w:val="en-US"/>
        </w:rPr>
        <w:t>AZA</w:t>
      </w:r>
      <w:r>
        <w:rPr>
          <w:rFonts w:ascii="Book Antiqua" w:eastAsiaTheme="minorEastAsia" w:hAnsi="Book Antiqua" w:hint="eastAsia"/>
          <w:lang w:val="en-US" w:eastAsia="zh-CN"/>
        </w:rPr>
        <w:t>:</w:t>
      </w:r>
      <w:r w:rsidRPr="0050649F">
        <w:rPr>
          <w:rFonts w:ascii="Book Antiqua" w:hAnsi="Book Antiqua"/>
          <w:lang w:val="en-US"/>
        </w:rPr>
        <w:t xml:space="preserve"> Azathioprine</w:t>
      </w:r>
      <w:r>
        <w:rPr>
          <w:rFonts w:ascii="Book Antiqua" w:eastAsiaTheme="minorEastAsia" w:hAnsi="Book Antiqua" w:hint="eastAsia"/>
          <w:lang w:val="en-US" w:eastAsia="zh-CN"/>
        </w:rPr>
        <w:t>;</w:t>
      </w:r>
      <w:r w:rsidRPr="00D60D0C">
        <w:rPr>
          <w:rFonts w:ascii="Book Antiqua" w:hAnsi="Book Antiqua"/>
          <w:lang w:val="en-GB"/>
        </w:rPr>
        <w:t xml:space="preserve"> </w:t>
      </w:r>
      <w:r w:rsidRPr="0050649F">
        <w:rPr>
          <w:rFonts w:ascii="Book Antiqua" w:hAnsi="Book Antiqua"/>
          <w:lang w:val="en-GB"/>
        </w:rPr>
        <w:t>CDEIS</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Crohn’s Disease Endoscopic Index of Severity</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UC</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Ulcerative colitis</w:t>
      </w:r>
      <w:r>
        <w:rPr>
          <w:rFonts w:ascii="Book Antiqua" w:eastAsia="宋体" w:hAnsi="Book Antiqua" w:hint="eastAsia"/>
          <w:lang w:val="en-GB" w:eastAsia="zh-CN"/>
        </w:rPr>
        <w:t xml:space="preserve">; </w:t>
      </w:r>
      <w:r w:rsidRPr="0050649F">
        <w:rPr>
          <w:rFonts w:ascii="Book Antiqua" w:hAnsi="Book Antiqua"/>
          <w:lang w:val="en-GB"/>
        </w:rPr>
        <w:t>CD</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Crohn’s disease</w:t>
      </w:r>
      <w:r>
        <w:rPr>
          <w:rFonts w:ascii="Book Antiqua" w:eastAsia="宋体" w:hAnsi="Book Antiqua" w:hint="eastAsia"/>
          <w:lang w:val="en-GB" w:eastAsia="zh-CN"/>
        </w:rPr>
        <w:t xml:space="preserve">; </w:t>
      </w:r>
      <w:r w:rsidRPr="0050649F">
        <w:rPr>
          <w:rFonts w:ascii="Book Antiqua" w:hAnsi="Book Antiqua"/>
          <w:lang w:val="en-US"/>
        </w:rPr>
        <w:t>MMX</w:t>
      </w:r>
      <w:r>
        <w:rPr>
          <w:rFonts w:ascii="Book Antiqua" w:eastAsiaTheme="minorEastAsia" w:hAnsi="Book Antiqua" w:hint="eastAsia"/>
          <w:lang w:val="en-US" w:eastAsia="zh-CN"/>
        </w:rPr>
        <w:t>:</w:t>
      </w:r>
      <w:r w:rsidRPr="0050649F">
        <w:rPr>
          <w:rFonts w:ascii="Book Antiqua" w:hAnsi="Book Antiqua"/>
          <w:lang w:val="en-US"/>
        </w:rPr>
        <w:t xml:space="preserve"> Multi Matrix System</w:t>
      </w:r>
      <w:r>
        <w:rPr>
          <w:rFonts w:ascii="Book Antiqua" w:eastAsiaTheme="minorEastAsia" w:hAnsi="Book Antiqua" w:hint="eastAsia"/>
          <w:lang w:val="en-US" w:eastAsia="zh-CN"/>
        </w:rPr>
        <w:t>;</w:t>
      </w:r>
      <w:r w:rsidRPr="00D60D0C">
        <w:rPr>
          <w:rFonts w:ascii="Book Antiqua" w:hAnsi="Book Antiqua"/>
          <w:lang w:val="en-US"/>
        </w:rPr>
        <w:t xml:space="preserve"> </w:t>
      </w:r>
      <w:r w:rsidR="008F4ECE" w:rsidRPr="0050649F">
        <w:rPr>
          <w:rFonts w:ascii="Book Antiqua" w:hAnsi="Book Antiqua"/>
          <w:lang w:val="en-GB"/>
        </w:rPr>
        <w:t>IFX</w:t>
      </w:r>
      <w:r w:rsidR="008F4ECE">
        <w:rPr>
          <w:rFonts w:ascii="Book Antiqua" w:eastAsiaTheme="minorEastAsia" w:hAnsi="Book Antiqua" w:hint="eastAsia"/>
          <w:lang w:val="en-GB" w:eastAsia="zh-CN"/>
        </w:rPr>
        <w:t>:</w:t>
      </w:r>
      <w:r w:rsidR="008F4ECE" w:rsidRPr="00815E5E">
        <w:rPr>
          <w:rFonts w:ascii="Book Antiqua" w:hAnsi="Book Antiqua"/>
          <w:lang w:val="en-GB"/>
        </w:rPr>
        <w:t xml:space="preserve"> </w:t>
      </w:r>
      <w:r w:rsidR="008F4ECE" w:rsidRPr="0050649F">
        <w:rPr>
          <w:rFonts w:ascii="Book Antiqua" w:hAnsi="Book Antiqua"/>
          <w:lang w:val="en-GB"/>
        </w:rPr>
        <w:t>Infliximab</w:t>
      </w:r>
      <w:r w:rsidR="008F4ECE">
        <w:rPr>
          <w:rFonts w:ascii="Book Antiqua" w:eastAsiaTheme="minorEastAsia" w:hAnsi="Book Antiqua" w:hint="eastAsia"/>
          <w:lang w:val="en-GB" w:eastAsia="zh-CN"/>
        </w:rPr>
        <w:t>;</w:t>
      </w:r>
      <w:r w:rsidR="008F4ECE" w:rsidRPr="00815E5E">
        <w:rPr>
          <w:rFonts w:ascii="Book Antiqua" w:hAnsi="Book Antiqua"/>
          <w:lang w:val="en-US"/>
        </w:rPr>
        <w:t xml:space="preserve"> </w:t>
      </w:r>
      <w:r w:rsidR="008F4ECE">
        <w:rPr>
          <w:rFonts w:ascii="Book Antiqua" w:hAnsi="Book Antiqua"/>
          <w:lang w:val="en-US"/>
        </w:rPr>
        <w:t>MTX</w:t>
      </w:r>
      <w:r w:rsidR="008F4ECE">
        <w:rPr>
          <w:rFonts w:ascii="Book Antiqua" w:eastAsiaTheme="minorEastAsia" w:hAnsi="Book Antiqua" w:hint="eastAsia"/>
          <w:lang w:val="en-US" w:eastAsia="zh-CN"/>
        </w:rPr>
        <w:t>:</w:t>
      </w:r>
      <w:r w:rsidR="008F4ECE" w:rsidRPr="00815E5E">
        <w:rPr>
          <w:rFonts w:ascii="Book Antiqua" w:hAnsi="Book Antiqua"/>
          <w:lang w:val="en-US"/>
        </w:rPr>
        <w:t xml:space="preserve"> </w:t>
      </w:r>
      <w:r w:rsidR="008F4ECE">
        <w:rPr>
          <w:rFonts w:ascii="Book Antiqua" w:hAnsi="Book Antiqua"/>
          <w:lang w:val="en-US"/>
        </w:rPr>
        <w:t>Methotrexate</w:t>
      </w:r>
      <w:r w:rsidR="008F4ECE">
        <w:rPr>
          <w:rFonts w:ascii="Book Antiqua" w:eastAsiaTheme="minorEastAsia" w:hAnsi="Book Antiqua" w:hint="eastAsia"/>
          <w:lang w:val="en-US" w:eastAsia="zh-CN"/>
        </w:rPr>
        <w:t>;</w:t>
      </w:r>
      <w:r w:rsidR="008F4ECE">
        <w:rPr>
          <w:rFonts w:ascii="Book Antiqua" w:eastAsia="宋体" w:hAnsi="Book Antiqua" w:hint="eastAsia"/>
          <w:lang w:val="en-US" w:eastAsia="zh-CN"/>
        </w:rPr>
        <w:t xml:space="preserve"> </w:t>
      </w:r>
      <w:r w:rsidRPr="0050649F">
        <w:rPr>
          <w:rFonts w:ascii="Book Antiqua" w:hAnsi="Book Antiqua"/>
          <w:lang w:val="en-US"/>
        </w:rPr>
        <w:t>PA</w:t>
      </w:r>
      <w:r>
        <w:rPr>
          <w:rFonts w:ascii="Book Antiqua" w:eastAsiaTheme="minorEastAsia" w:hAnsi="Book Antiqua" w:hint="eastAsia"/>
          <w:lang w:val="en-US" w:eastAsia="zh-CN"/>
        </w:rPr>
        <w:t>:</w:t>
      </w:r>
      <w:r w:rsidRPr="0050649F">
        <w:rPr>
          <w:rFonts w:ascii="Book Antiqua" w:hAnsi="Book Antiqua"/>
          <w:lang w:val="en-US"/>
        </w:rPr>
        <w:t xml:space="preserve"> Prospective analysis</w:t>
      </w:r>
      <w:r>
        <w:rPr>
          <w:rFonts w:ascii="Book Antiqua" w:eastAsiaTheme="minorEastAsia" w:hAnsi="Book Antiqua" w:hint="eastAsia"/>
          <w:lang w:val="en-US" w:eastAsia="zh-CN"/>
        </w:rPr>
        <w:t>.</w:t>
      </w:r>
    </w:p>
    <w:p w14:paraId="0DA5102B" w14:textId="77777777" w:rsidR="00A24C79" w:rsidRPr="008D57EC" w:rsidRDefault="00A24C79" w:rsidP="00C97716">
      <w:pPr>
        <w:spacing w:line="360" w:lineRule="auto"/>
        <w:jc w:val="both"/>
        <w:rPr>
          <w:rFonts w:ascii="Book Antiqua" w:hAnsi="Book Antiqua"/>
          <w:lang w:val="en-US"/>
        </w:rPr>
      </w:pPr>
    </w:p>
    <w:p w14:paraId="29AF1A23" w14:textId="77777777" w:rsidR="008D57EC" w:rsidRDefault="008D57EC">
      <w:r>
        <w:br w:type="page"/>
      </w:r>
    </w:p>
    <w:tbl>
      <w:tblPr>
        <w:tblW w:w="14925" w:type="dxa"/>
        <w:tblInd w:w="2"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1573"/>
        <w:gridCol w:w="878"/>
        <w:gridCol w:w="1134"/>
        <w:gridCol w:w="1559"/>
        <w:gridCol w:w="1440"/>
        <w:gridCol w:w="1679"/>
        <w:gridCol w:w="1701"/>
        <w:gridCol w:w="2409"/>
        <w:gridCol w:w="2552"/>
      </w:tblGrid>
      <w:tr w:rsidR="0050649F" w:rsidRPr="0050649F" w14:paraId="4C5F8C95" w14:textId="77777777" w:rsidTr="008D57EC">
        <w:tc>
          <w:tcPr>
            <w:tcW w:w="14925" w:type="dxa"/>
            <w:gridSpan w:val="9"/>
            <w:tcBorders>
              <w:top w:val="nil"/>
              <w:bottom w:val="single" w:sz="4" w:space="0" w:color="auto"/>
            </w:tcBorders>
          </w:tcPr>
          <w:p w14:paraId="1069F819" w14:textId="6CF9F739" w:rsidR="00A24C79" w:rsidRPr="008D57EC" w:rsidRDefault="00A24C79" w:rsidP="008D57EC">
            <w:pPr>
              <w:spacing w:line="360" w:lineRule="auto"/>
              <w:jc w:val="both"/>
              <w:rPr>
                <w:rFonts w:ascii="Book Antiqua" w:eastAsia="宋体" w:hAnsi="Book Antiqua"/>
                <w:b/>
                <w:lang w:val="en-US" w:eastAsia="zh-CN"/>
              </w:rPr>
            </w:pPr>
            <w:r w:rsidRPr="008D57EC">
              <w:rPr>
                <w:rFonts w:ascii="Book Antiqua" w:hAnsi="Book Antiqua"/>
                <w:b/>
                <w:lang w:val="en-US"/>
              </w:rPr>
              <w:lastRenderedPageBreak/>
              <w:t>Tab</w:t>
            </w:r>
            <w:r w:rsidR="008D57EC" w:rsidRPr="008D57EC">
              <w:rPr>
                <w:rFonts w:ascii="Book Antiqua" w:eastAsia="宋体" w:hAnsi="Book Antiqua" w:hint="eastAsia"/>
                <w:b/>
                <w:lang w:val="en-US" w:eastAsia="zh-CN"/>
              </w:rPr>
              <w:t>le</w:t>
            </w:r>
            <w:r w:rsidR="008D57EC" w:rsidRPr="008D57EC">
              <w:rPr>
                <w:rFonts w:ascii="Book Antiqua" w:hAnsi="Book Antiqua"/>
                <w:b/>
                <w:lang w:val="en-US"/>
              </w:rPr>
              <w:t xml:space="preserve"> 2</w:t>
            </w:r>
            <w:r w:rsidRPr="008D57EC">
              <w:rPr>
                <w:rFonts w:ascii="Book Antiqua" w:hAnsi="Book Antiqua"/>
                <w:b/>
                <w:lang w:val="en-US"/>
              </w:rPr>
              <w:t xml:space="preserve"> Studies concerning</w:t>
            </w:r>
            <w:r w:rsidR="008D57EC" w:rsidRPr="008D57EC">
              <w:rPr>
                <w:rFonts w:ascii="Book Antiqua" w:hAnsi="Book Antiqua"/>
                <w:b/>
                <w:lang w:val="en-US"/>
              </w:rPr>
              <w:t xml:space="preserve"> withdrawal of immunomodulators</w:t>
            </w:r>
          </w:p>
        </w:tc>
      </w:tr>
      <w:tr w:rsidR="0050649F" w:rsidRPr="0050649F" w14:paraId="44B5DA96" w14:textId="77777777" w:rsidTr="008D57EC">
        <w:tc>
          <w:tcPr>
            <w:tcW w:w="1573" w:type="dxa"/>
            <w:tcBorders>
              <w:top w:val="single" w:sz="4" w:space="0" w:color="auto"/>
              <w:left w:val="single" w:sz="4" w:space="0" w:color="auto"/>
              <w:bottom w:val="single" w:sz="4" w:space="0" w:color="auto"/>
              <w:right w:val="single" w:sz="4" w:space="0" w:color="auto"/>
            </w:tcBorders>
          </w:tcPr>
          <w:p w14:paraId="08A0FE22" w14:textId="457BA31B" w:rsidR="00A24C79" w:rsidRPr="008D57EC" w:rsidRDefault="008D57EC" w:rsidP="00C97716">
            <w:pPr>
              <w:spacing w:line="360" w:lineRule="auto"/>
              <w:jc w:val="both"/>
              <w:rPr>
                <w:rFonts w:ascii="Book Antiqua" w:eastAsia="宋体" w:hAnsi="Book Antiqua"/>
                <w:b/>
                <w:lang w:val="en-US" w:eastAsia="zh-CN"/>
              </w:rPr>
            </w:pPr>
            <w:r>
              <w:rPr>
                <w:rFonts w:ascii="Book Antiqua" w:eastAsia="宋体" w:hAnsi="Book Antiqua"/>
                <w:b/>
                <w:lang w:val="en-US" w:eastAsia="zh-CN"/>
              </w:rPr>
              <w:t>R</w:t>
            </w:r>
            <w:r>
              <w:rPr>
                <w:rFonts w:ascii="Book Antiqua" w:eastAsia="宋体" w:hAnsi="Book Antiqua" w:hint="eastAsia"/>
                <w:b/>
                <w:lang w:val="en-US" w:eastAsia="zh-CN"/>
              </w:rPr>
              <w:t>ef.</w:t>
            </w:r>
          </w:p>
        </w:tc>
        <w:tc>
          <w:tcPr>
            <w:tcW w:w="878" w:type="dxa"/>
            <w:tcBorders>
              <w:top w:val="single" w:sz="4" w:space="0" w:color="auto"/>
              <w:left w:val="single" w:sz="4" w:space="0" w:color="auto"/>
              <w:bottom w:val="single" w:sz="4" w:space="0" w:color="auto"/>
              <w:right w:val="single" w:sz="4" w:space="0" w:color="auto"/>
            </w:tcBorders>
          </w:tcPr>
          <w:p w14:paraId="23421533"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Design</w:t>
            </w:r>
          </w:p>
        </w:tc>
        <w:tc>
          <w:tcPr>
            <w:tcW w:w="1134" w:type="dxa"/>
            <w:tcBorders>
              <w:top w:val="single" w:sz="4" w:space="0" w:color="auto"/>
              <w:left w:val="single" w:sz="4" w:space="0" w:color="auto"/>
              <w:bottom w:val="single" w:sz="4" w:space="0" w:color="auto"/>
              <w:right w:val="single" w:sz="4" w:space="0" w:color="auto"/>
            </w:tcBorders>
          </w:tcPr>
          <w:p w14:paraId="39341DDE"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Disease</w:t>
            </w:r>
          </w:p>
          <w:p w14:paraId="1F6AAD69"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n. patients</w:t>
            </w:r>
          </w:p>
        </w:tc>
        <w:tc>
          <w:tcPr>
            <w:tcW w:w="1559" w:type="dxa"/>
            <w:tcBorders>
              <w:top w:val="single" w:sz="4" w:space="0" w:color="auto"/>
              <w:left w:val="single" w:sz="4" w:space="0" w:color="auto"/>
              <w:bottom w:val="single" w:sz="4" w:space="0" w:color="auto"/>
              <w:right w:val="single" w:sz="4" w:space="0" w:color="auto"/>
            </w:tcBorders>
          </w:tcPr>
          <w:p w14:paraId="5A8B4DDD"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Intervention</w:t>
            </w:r>
          </w:p>
        </w:tc>
        <w:tc>
          <w:tcPr>
            <w:tcW w:w="1440" w:type="dxa"/>
            <w:tcBorders>
              <w:top w:val="single" w:sz="4" w:space="0" w:color="auto"/>
              <w:left w:val="single" w:sz="4" w:space="0" w:color="auto"/>
              <w:bottom w:val="single" w:sz="4" w:space="0" w:color="auto"/>
              <w:right w:val="single" w:sz="4" w:space="0" w:color="auto"/>
            </w:tcBorders>
          </w:tcPr>
          <w:p w14:paraId="2D370462"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Surveillance</w:t>
            </w:r>
          </w:p>
        </w:tc>
        <w:tc>
          <w:tcPr>
            <w:tcW w:w="1679" w:type="dxa"/>
            <w:tcBorders>
              <w:top w:val="single" w:sz="4" w:space="0" w:color="auto"/>
              <w:left w:val="single" w:sz="4" w:space="0" w:color="auto"/>
              <w:bottom w:val="single" w:sz="4" w:space="0" w:color="auto"/>
              <w:right w:val="single" w:sz="4" w:space="0" w:color="auto"/>
            </w:tcBorders>
          </w:tcPr>
          <w:p w14:paraId="32AFE910"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Evaluation</w:t>
            </w:r>
          </w:p>
        </w:tc>
        <w:tc>
          <w:tcPr>
            <w:tcW w:w="1701" w:type="dxa"/>
            <w:tcBorders>
              <w:top w:val="single" w:sz="4" w:space="0" w:color="auto"/>
              <w:left w:val="single" w:sz="4" w:space="0" w:color="auto"/>
              <w:bottom w:val="single" w:sz="4" w:space="0" w:color="auto"/>
              <w:right w:val="single" w:sz="4" w:space="0" w:color="auto"/>
            </w:tcBorders>
          </w:tcPr>
          <w:p w14:paraId="218CCCE7"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Main outcome</w:t>
            </w:r>
          </w:p>
        </w:tc>
        <w:tc>
          <w:tcPr>
            <w:tcW w:w="2409" w:type="dxa"/>
            <w:tcBorders>
              <w:top w:val="single" w:sz="4" w:space="0" w:color="auto"/>
              <w:left w:val="single" w:sz="4" w:space="0" w:color="auto"/>
              <w:bottom w:val="single" w:sz="4" w:space="0" w:color="auto"/>
              <w:right w:val="single" w:sz="4" w:space="0" w:color="auto"/>
            </w:tcBorders>
          </w:tcPr>
          <w:p w14:paraId="319D7556"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Results</w:t>
            </w:r>
          </w:p>
        </w:tc>
        <w:tc>
          <w:tcPr>
            <w:tcW w:w="2552" w:type="dxa"/>
            <w:tcBorders>
              <w:top w:val="single" w:sz="4" w:space="0" w:color="auto"/>
              <w:left w:val="single" w:sz="4" w:space="0" w:color="auto"/>
              <w:bottom w:val="single" w:sz="4" w:space="0" w:color="auto"/>
              <w:right w:val="single" w:sz="4" w:space="0" w:color="auto"/>
            </w:tcBorders>
          </w:tcPr>
          <w:p w14:paraId="00AB3FA9"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Predictive factors</w:t>
            </w:r>
          </w:p>
        </w:tc>
      </w:tr>
      <w:tr w:rsidR="0050649F" w:rsidRPr="0050649F" w14:paraId="00FA170C" w14:textId="77777777" w:rsidTr="008D57EC">
        <w:tc>
          <w:tcPr>
            <w:tcW w:w="1573" w:type="dxa"/>
            <w:tcBorders>
              <w:top w:val="single" w:sz="4" w:space="0" w:color="auto"/>
              <w:left w:val="single" w:sz="4" w:space="0" w:color="auto"/>
              <w:bottom w:val="single" w:sz="4" w:space="0" w:color="auto"/>
              <w:right w:val="single" w:sz="4" w:space="0" w:color="auto"/>
            </w:tcBorders>
          </w:tcPr>
          <w:p w14:paraId="0F8F7C12" w14:textId="306DD4D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Fraser</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[65]</w:t>
            </w:r>
            <w:r w:rsidRPr="0050649F">
              <w:rPr>
                <w:rFonts w:ascii="Book Antiqua" w:hAnsi="Book Antiqua"/>
                <w:lang w:val="en-US"/>
              </w:rPr>
              <w:t xml:space="preserve">, 2002 </w:t>
            </w:r>
          </w:p>
        </w:tc>
        <w:tc>
          <w:tcPr>
            <w:tcW w:w="878" w:type="dxa"/>
            <w:tcBorders>
              <w:top w:val="single" w:sz="4" w:space="0" w:color="auto"/>
              <w:left w:val="single" w:sz="4" w:space="0" w:color="auto"/>
              <w:bottom w:val="single" w:sz="4" w:space="0" w:color="auto"/>
              <w:right w:val="single" w:sz="4" w:space="0" w:color="auto"/>
            </w:tcBorders>
          </w:tcPr>
          <w:p w14:paraId="0E9779B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1134" w:type="dxa"/>
            <w:tcBorders>
              <w:top w:val="single" w:sz="4" w:space="0" w:color="auto"/>
              <w:left w:val="single" w:sz="4" w:space="0" w:color="auto"/>
              <w:bottom w:val="single" w:sz="4" w:space="0" w:color="auto"/>
              <w:right w:val="single" w:sz="4" w:space="0" w:color="auto"/>
            </w:tcBorders>
          </w:tcPr>
          <w:p w14:paraId="6425E7C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272 CD</w:t>
            </w:r>
          </w:p>
          <w:p w14:paraId="1D3AA0C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346 UC</w:t>
            </w:r>
          </w:p>
          <w:p w14:paraId="6D35DA90" w14:textId="77777777" w:rsidR="00A24C79" w:rsidRPr="0050649F" w:rsidRDefault="00A24C79" w:rsidP="00C97716">
            <w:pPr>
              <w:spacing w:line="360" w:lineRule="auto"/>
              <w:jc w:val="both"/>
              <w:rPr>
                <w:rFonts w:ascii="Book Antiqua" w:hAnsi="Book Antiqua"/>
                <w:lang w:val="en-US"/>
              </w:rPr>
            </w:pPr>
          </w:p>
        </w:tc>
        <w:tc>
          <w:tcPr>
            <w:tcW w:w="1559" w:type="dxa"/>
            <w:tcBorders>
              <w:top w:val="single" w:sz="4" w:space="0" w:color="auto"/>
              <w:left w:val="single" w:sz="4" w:space="0" w:color="auto"/>
              <w:bottom w:val="single" w:sz="4" w:space="0" w:color="auto"/>
              <w:right w:val="single" w:sz="4" w:space="0" w:color="auto"/>
            </w:tcBorders>
          </w:tcPr>
          <w:p w14:paraId="460EA6F8" w14:textId="57C2C22C" w:rsidR="00A24C79" w:rsidRPr="0050649F" w:rsidRDefault="00A24C79" w:rsidP="00C97716">
            <w:pPr>
              <w:spacing w:line="360" w:lineRule="auto"/>
              <w:jc w:val="both"/>
              <w:rPr>
                <w:rFonts w:ascii="Book Antiqua" w:hAnsi="Book Antiqua"/>
              </w:rPr>
            </w:pPr>
            <w:r w:rsidRPr="0050649F">
              <w:rPr>
                <w:rFonts w:ascii="Book Antiqua" w:hAnsi="Book Antiqua"/>
              </w:rPr>
              <w:t xml:space="preserve">Continue AZA </w:t>
            </w:r>
            <w:r w:rsidR="008D57EC" w:rsidRPr="008D57EC">
              <w:rPr>
                <w:rFonts w:ascii="Book Antiqua" w:hAnsi="Book Antiqua"/>
                <w:i/>
                <w:lang w:val="en-US"/>
              </w:rPr>
              <w:t>vs</w:t>
            </w:r>
            <w:r w:rsidRPr="0050649F">
              <w:rPr>
                <w:rFonts w:ascii="Book Antiqua" w:hAnsi="Book Antiqua"/>
              </w:rPr>
              <w:t xml:space="preserve"> discontinue AZA</w:t>
            </w:r>
          </w:p>
        </w:tc>
        <w:tc>
          <w:tcPr>
            <w:tcW w:w="1440" w:type="dxa"/>
            <w:tcBorders>
              <w:top w:val="single" w:sz="4" w:space="0" w:color="auto"/>
              <w:left w:val="single" w:sz="4" w:space="0" w:color="auto"/>
              <w:bottom w:val="single" w:sz="4" w:space="0" w:color="auto"/>
              <w:right w:val="single" w:sz="4" w:space="0" w:color="auto"/>
            </w:tcBorders>
          </w:tcPr>
          <w:p w14:paraId="3B285E3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w:t>
            </w:r>
          </w:p>
        </w:tc>
        <w:tc>
          <w:tcPr>
            <w:tcW w:w="1679" w:type="dxa"/>
            <w:tcBorders>
              <w:top w:val="single" w:sz="4" w:space="0" w:color="auto"/>
              <w:left w:val="single" w:sz="4" w:space="0" w:color="auto"/>
              <w:bottom w:val="single" w:sz="4" w:space="0" w:color="auto"/>
              <w:right w:val="single" w:sz="4" w:space="0" w:color="auto"/>
            </w:tcBorders>
          </w:tcPr>
          <w:p w14:paraId="16B37A4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701" w:type="dxa"/>
            <w:tcBorders>
              <w:top w:val="single" w:sz="4" w:space="0" w:color="auto"/>
              <w:left w:val="single" w:sz="4" w:space="0" w:color="auto"/>
              <w:bottom w:val="single" w:sz="4" w:space="0" w:color="auto"/>
              <w:right w:val="single" w:sz="4" w:space="0" w:color="auto"/>
            </w:tcBorders>
          </w:tcPr>
          <w:p w14:paraId="7E672A9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Cumulative remission rate </w:t>
            </w:r>
          </w:p>
          <w:p w14:paraId="56D9EE85" w14:textId="77777777" w:rsidR="00A24C79" w:rsidRPr="0050649F" w:rsidRDefault="00A24C79" w:rsidP="00C97716">
            <w:pPr>
              <w:spacing w:line="360" w:lineRule="auto"/>
              <w:jc w:val="both"/>
              <w:rPr>
                <w:rFonts w:ascii="Book Antiqua" w:hAnsi="Book Antiqua"/>
                <w:lang w:val="en-US"/>
              </w:rPr>
            </w:pPr>
          </w:p>
        </w:tc>
        <w:tc>
          <w:tcPr>
            <w:tcW w:w="2409" w:type="dxa"/>
            <w:tcBorders>
              <w:top w:val="single" w:sz="4" w:space="0" w:color="auto"/>
              <w:left w:val="single" w:sz="4" w:space="0" w:color="auto"/>
              <w:bottom w:val="single" w:sz="4" w:space="0" w:color="auto"/>
              <w:right w:val="single" w:sz="4" w:space="0" w:color="auto"/>
            </w:tcBorders>
          </w:tcPr>
          <w:p w14:paraId="01A05457" w14:textId="60FBA0C3" w:rsidR="00A24C79" w:rsidRPr="0050649F" w:rsidRDefault="00A2214A" w:rsidP="00C97716">
            <w:pPr>
              <w:spacing w:line="360" w:lineRule="auto"/>
              <w:jc w:val="both"/>
              <w:rPr>
                <w:rFonts w:ascii="Book Antiqua" w:hAnsi="Book Antiqua"/>
                <w:lang w:val="da-DK"/>
              </w:rPr>
            </w:pPr>
            <w:r w:rsidRPr="0050649F">
              <w:rPr>
                <w:rFonts w:ascii="Book Antiqua" w:hAnsi="Book Antiqua"/>
                <w:lang w:val="da-DK"/>
              </w:rPr>
              <w:t>A</w:t>
            </w:r>
            <w:r w:rsidR="00A24C79" w:rsidRPr="0050649F">
              <w:rPr>
                <w:rFonts w:ascii="Book Antiqua" w:hAnsi="Book Antiqua"/>
                <w:lang w:val="da-DK"/>
              </w:rPr>
              <w:t xml:space="preserve">t 1 yr 95% </w:t>
            </w:r>
            <w:r w:rsidR="008D57EC" w:rsidRPr="008D57EC">
              <w:rPr>
                <w:rFonts w:ascii="Book Antiqua" w:hAnsi="Book Antiqua"/>
                <w:i/>
                <w:lang w:val="en-US"/>
              </w:rPr>
              <w:t>vs</w:t>
            </w:r>
            <w:r w:rsidR="00A24C79" w:rsidRPr="0050649F">
              <w:rPr>
                <w:rFonts w:ascii="Book Antiqua" w:hAnsi="Book Antiqua"/>
                <w:lang w:val="da-DK"/>
              </w:rPr>
              <w:t xml:space="preserve"> 63%, </w:t>
            </w:r>
          </w:p>
          <w:p w14:paraId="7ED02FEB" w14:textId="6DBC4564" w:rsidR="00A24C79" w:rsidRPr="0050649F" w:rsidRDefault="00A24C79" w:rsidP="00C97716">
            <w:pPr>
              <w:spacing w:line="360" w:lineRule="auto"/>
              <w:jc w:val="both"/>
              <w:rPr>
                <w:rFonts w:ascii="Book Antiqua" w:hAnsi="Book Antiqua"/>
                <w:lang w:val="da-DK"/>
              </w:rPr>
            </w:pPr>
            <w:r w:rsidRPr="0050649F">
              <w:rPr>
                <w:rFonts w:ascii="Book Antiqua" w:hAnsi="Book Antiqua"/>
                <w:lang w:val="da-DK"/>
              </w:rPr>
              <w:t xml:space="preserve">at 2 yr 90% </w:t>
            </w:r>
            <w:r w:rsidR="008D57EC" w:rsidRPr="008D57EC">
              <w:rPr>
                <w:rFonts w:ascii="Book Antiqua" w:hAnsi="Book Antiqua"/>
                <w:i/>
                <w:lang w:val="en-US"/>
              </w:rPr>
              <w:t>vs</w:t>
            </w:r>
            <w:r w:rsidRPr="0050649F">
              <w:rPr>
                <w:rFonts w:ascii="Book Antiqua" w:hAnsi="Book Antiqua"/>
                <w:lang w:val="da-DK"/>
              </w:rPr>
              <w:t xml:space="preserve"> 44%,</w:t>
            </w:r>
          </w:p>
          <w:p w14:paraId="13CB51EC" w14:textId="3DA7F577" w:rsidR="00A24C79" w:rsidRPr="0050649F" w:rsidRDefault="00A24C79" w:rsidP="00C97716">
            <w:pPr>
              <w:spacing w:line="360" w:lineRule="auto"/>
              <w:jc w:val="both"/>
              <w:rPr>
                <w:rFonts w:ascii="Book Antiqua" w:hAnsi="Book Antiqua"/>
                <w:lang w:val="da-DK"/>
              </w:rPr>
            </w:pPr>
            <w:r w:rsidRPr="0050649F">
              <w:rPr>
                <w:rFonts w:ascii="Book Antiqua" w:hAnsi="Book Antiqua"/>
                <w:lang w:val="da-DK"/>
              </w:rPr>
              <w:t xml:space="preserve">at 3 yr 69% </w:t>
            </w:r>
            <w:r w:rsidR="008D57EC" w:rsidRPr="008D57EC">
              <w:rPr>
                <w:rFonts w:ascii="Book Antiqua" w:hAnsi="Book Antiqua"/>
                <w:i/>
                <w:lang w:val="en-US"/>
              </w:rPr>
              <w:t>vs</w:t>
            </w:r>
            <w:r w:rsidRPr="0050649F">
              <w:rPr>
                <w:rFonts w:ascii="Book Antiqua" w:hAnsi="Book Antiqua"/>
                <w:lang w:val="da-DK"/>
              </w:rPr>
              <w:t xml:space="preserve"> 34%,</w:t>
            </w:r>
          </w:p>
          <w:p w14:paraId="7A127A03" w14:textId="36629A8C"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at 4 yr 63% </w:t>
            </w:r>
            <w:r w:rsidR="008D57EC" w:rsidRPr="008D57EC">
              <w:rPr>
                <w:rFonts w:ascii="Book Antiqua" w:hAnsi="Book Antiqua"/>
                <w:i/>
                <w:lang w:val="en-US"/>
              </w:rPr>
              <w:t>vs</w:t>
            </w:r>
            <w:r w:rsidRPr="0050649F">
              <w:rPr>
                <w:rFonts w:ascii="Book Antiqua" w:hAnsi="Book Antiqua"/>
                <w:lang w:val="en-US"/>
              </w:rPr>
              <w:t xml:space="preserve"> 28%, </w:t>
            </w:r>
          </w:p>
          <w:p w14:paraId="31DFB688" w14:textId="11789C45"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at 5 yr 62% </w:t>
            </w:r>
            <w:r w:rsidR="008D57EC" w:rsidRPr="008D57EC">
              <w:rPr>
                <w:rFonts w:ascii="Book Antiqua" w:hAnsi="Book Antiqua"/>
                <w:i/>
                <w:lang w:val="en-US"/>
              </w:rPr>
              <w:t>vs</w:t>
            </w:r>
            <w:r w:rsidR="00A2214A">
              <w:rPr>
                <w:rFonts w:ascii="Book Antiqua" w:hAnsi="Book Antiqua"/>
                <w:lang w:val="en-US"/>
              </w:rPr>
              <w:t xml:space="preserve"> 25%</w:t>
            </w:r>
          </w:p>
        </w:tc>
        <w:tc>
          <w:tcPr>
            <w:tcW w:w="2552" w:type="dxa"/>
            <w:tcBorders>
              <w:top w:val="single" w:sz="4" w:space="0" w:color="auto"/>
              <w:left w:val="single" w:sz="4" w:space="0" w:color="auto"/>
              <w:bottom w:val="single" w:sz="4" w:space="0" w:color="auto"/>
              <w:right w:val="single" w:sz="4" w:space="0" w:color="auto"/>
            </w:tcBorders>
          </w:tcPr>
          <w:p w14:paraId="6E6A598B" w14:textId="73139902"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Female sex (only CD) and higher WBC; no differences</w:t>
            </w:r>
            <w:r w:rsidR="00A2214A">
              <w:rPr>
                <w:rFonts w:ascii="Book Antiqua" w:hAnsi="Book Antiqua"/>
                <w:lang w:val="en-US"/>
              </w:rPr>
              <w:t xml:space="preserve"> for treatment duration of AZA</w:t>
            </w:r>
          </w:p>
        </w:tc>
      </w:tr>
      <w:tr w:rsidR="0050649F" w:rsidRPr="0050649F" w14:paraId="736EB229" w14:textId="77777777" w:rsidTr="008D57EC">
        <w:tc>
          <w:tcPr>
            <w:tcW w:w="1573" w:type="dxa"/>
            <w:tcBorders>
              <w:top w:val="single" w:sz="4" w:space="0" w:color="auto"/>
              <w:left w:val="single" w:sz="4" w:space="0" w:color="auto"/>
              <w:bottom w:val="single" w:sz="4" w:space="0" w:color="auto"/>
              <w:right w:val="single" w:sz="4" w:space="0" w:color="auto"/>
            </w:tcBorders>
          </w:tcPr>
          <w:p w14:paraId="1552CA0E" w14:textId="0CEDB2DD"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Lobel</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[66]</w:t>
            </w:r>
            <w:r w:rsidRPr="0050649F">
              <w:rPr>
                <w:rFonts w:ascii="Book Antiqua" w:hAnsi="Book Antiqua"/>
                <w:lang w:val="en-US"/>
              </w:rPr>
              <w:t xml:space="preserve">, 2004 </w:t>
            </w:r>
          </w:p>
        </w:tc>
        <w:tc>
          <w:tcPr>
            <w:tcW w:w="878" w:type="dxa"/>
            <w:tcBorders>
              <w:top w:val="single" w:sz="4" w:space="0" w:color="auto"/>
              <w:left w:val="single" w:sz="4" w:space="0" w:color="auto"/>
              <w:bottom w:val="single" w:sz="4" w:space="0" w:color="auto"/>
              <w:right w:val="single" w:sz="4" w:space="0" w:color="auto"/>
            </w:tcBorders>
          </w:tcPr>
          <w:p w14:paraId="241E326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1134" w:type="dxa"/>
            <w:tcBorders>
              <w:top w:val="single" w:sz="4" w:space="0" w:color="auto"/>
              <w:left w:val="single" w:sz="4" w:space="0" w:color="auto"/>
              <w:bottom w:val="single" w:sz="4" w:space="0" w:color="auto"/>
              <w:right w:val="single" w:sz="4" w:space="0" w:color="auto"/>
            </w:tcBorders>
          </w:tcPr>
          <w:p w14:paraId="357FC0E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61 UC</w:t>
            </w:r>
          </w:p>
        </w:tc>
        <w:tc>
          <w:tcPr>
            <w:tcW w:w="1559" w:type="dxa"/>
            <w:tcBorders>
              <w:top w:val="single" w:sz="4" w:space="0" w:color="auto"/>
              <w:left w:val="single" w:sz="4" w:space="0" w:color="auto"/>
              <w:bottom w:val="single" w:sz="4" w:space="0" w:color="auto"/>
              <w:right w:val="single" w:sz="4" w:space="0" w:color="auto"/>
            </w:tcBorders>
          </w:tcPr>
          <w:p w14:paraId="0117C083" w14:textId="67711E4A" w:rsidR="00A24C79" w:rsidRPr="0050649F" w:rsidRDefault="008D57EC" w:rsidP="00C97716">
            <w:pPr>
              <w:spacing w:line="360" w:lineRule="auto"/>
              <w:jc w:val="both"/>
              <w:rPr>
                <w:rFonts w:ascii="Book Antiqua" w:hAnsi="Book Antiqua"/>
                <w:lang w:val="fr-FR"/>
              </w:rPr>
            </w:pPr>
            <w:r w:rsidRPr="0050649F">
              <w:rPr>
                <w:rFonts w:ascii="Book Antiqua" w:hAnsi="Book Antiqua"/>
                <w:lang w:val="fr-FR"/>
              </w:rPr>
              <w:t>C</w:t>
            </w:r>
            <w:r w:rsidR="00A24C79" w:rsidRPr="0050649F">
              <w:rPr>
                <w:rFonts w:ascii="Book Antiqua" w:hAnsi="Book Antiqua"/>
                <w:lang w:val="fr-FR"/>
              </w:rPr>
              <w:t xml:space="preserve">ontinue 6-MP </w:t>
            </w:r>
            <w:r w:rsidRPr="008D57EC">
              <w:rPr>
                <w:rFonts w:ascii="Book Antiqua" w:hAnsi="Book Antiqua"/>
                <w:i/>
                <w:lang w:val="en-US"/>
              </w:rPr>
              <w:t>vs</w:t>
            </w:r>
            <w:r w:rsidR="00A24C79" w:rsidRPr="0050649F">
              <w:rPr>
                <w:rFonts w:ascii="Book Antiqua" w:hAnsi="Book Antiqua"/>
                <w:lang w:val="fr-FR"/>
              </w:rPr>
              <w:t xml:space="preserve"> discontinue 6-MP</w:t>
            </w:r>
          </w:p>
        </w:tc>
        <w:tc>
          <w:tcPr>
            <w:tcW w:w="1440" w:type="dxa"/>
            <w:tcBorders>
              <w:top w:val="single" w:sz="4" w:space="0" w:color="auto"/>
              <w:left w:val="single" w:sz="4" w:space="0" w:color="auto"/>
              <w:bottom w:val="single" w:sz="4" w:space="0" w:color="auto"/>
              <w:right w:val="single" w:sz="4" w:space="0" w:color="auto"/>
            </w:tcBorders>
          </w:tcPr>
          <w:p w14:paraId="07411CF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 f-u: 40 mo (range 4-344)</w:t>
            </w:r>
          </w:p>
        </w:tc>
        <w:tc>
          <w:tcPr>
            <w:tcW w:w="1679" w:type="dxa"/>
            <w:tcBorders>
              <w:top w:val="single" w:sz="4" w:space="0" w:color="auto"/>
              <w:left w:val="single" w:sz="4" w:space="0" w:color="auto"/>
              <w:bottom w:val="single" w:sz="4" w:space="0" w:color="auto"/>
              <w:right w:val="single" w:sz="4" w:space="0" w:color="auto"/>
            </w:tcBorders>
          </w:tcPr>
          <w:p w14:paraId="67FFD14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and endoscopic assessment </w:t>
            </w:r>
          </w:p>
        </w:tc>
        <w:tc>
          <w:tcPr>
            <w:tcW w:w="1701" w:type="dxa"/>
            <w:tcBorders>
              <w:top w:val="single" w:sz="4" w:space="0" w:color="auto"/>
              <w:left w:val="single" w:sz="4" w:space="0" w:color="auto"/>
              <w:bottom w:val="single" w:sz="4" w:space="0" w:color="auto"/>
              <w:right w:val="single" w:sz="4" w:space="0" w:color="auto"/>
            </w:tcBorders>
          </w:tcPr>
          <w:p w14:paraId="5C0C1E3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 time to relapse (wk)</w:t>
            </w:r>
          </w:p>
        </w:tc>
        <w:tc>
          <w:tcPr>
            <w:tcW w:w="2409" w:type="dxa"/>
            <w:tcBorders>
              <w:top w:val="single" w:sz="4" w:space="0" w:color="auto"/>
              <w:left w:val="single" w:sz="4" w:space="0" w:color="auto"/>
              <w:bottom w:val="single" w:sz="4" w:space="0" w:color="auto"/>
              <w:right w:val="single" w:sz="4" w:space="0" w:color="auto"/>
            </w:tcBorders>
          </w:tcPr>
          <w:p w14:paraId="57F10E55" w14:textId="0B3A56A3"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58 wk </w:t>
            </w:r>
            <w:r w:rsidR="008D57EC" w:rsidRPr="008D57EC">
              <w:rPr>
                <w:rFonts w:ascii="Book Antiqua" w:hAnsi="Book Antiqua"/>
                <w:i/>
                <w:lang w:val="en-US"/>
              </w:rPr>
              <w:t>vs</w:t>
            </w:r>
            <w:r w:rsidRPr="0050649F">
              <w:rPr>
                <w:rFonts w:ascii="Book Antiqua" w:hAnsi="Book Antiqua"/>
                <w:lang w:val="en-US"/>
              </w:rPr>
              <w:t xml:space="preserve"> 24 wk </w:t>
            </w:r>
          </w:p>
          <w:p w14:paraId="55BFBC9A" w14:textId="7C9BD128" w:rsidR="00A24C79" w:rsidRPr="0050649F" w:rsidRDefault="00A2214A" w:rsidP="00C97716">
            <w:pPr>
              <w:spacing w:line="360" w:lineRule="auto"/>
              <w:jc w:val="both"/>
              <w:rPr>
                <w:rFonts w:ascii="Book Antiqua" w:hAnsi="Book Antiqua"/>
                <w:lang w:val="en-US"/>
              </w:rPr>
            </w:pPr>
            <w:r>
              <w:rPr>
                <w:rFonts w:ascii="Book Antiqua" w:hAnsi="Book Antiqua"/>
                <w:lang w:val="en-US"/>
              </w:rPr>
              <w:t>Relapse at 1 y</w:t>
            </w:r>
            <w:r w:rsidR="00A24C79" w:rsidRPr="0050649F">
              <w:rPr>
                <w:rFonts w:ascii="Book Antiqua" w:hAnsi="Book Antiqua"/>
                <w:lang w:val="en-US"/>
              </w:rPr>
              <w:t xml:space="preserve">r: 43% </w:t>
            </w:r>
            <w:r w:rsidR="008D57EC" w:rsidRPr="008D57EC">
              <w:rPr>
                <w:rFonts w:ascii="Book Antiqua" w:hAnsi="Book Antiqua"/>
                <w:i/>
                <w:lang w:val="en-US"/>
              </w:rPr>
              <w:t>vs</w:t>
            </w:r>
            <w:r w:rsidR="00A24C79" w:rsidRPr="0050649F">
              <w:rPr>
                <w:rFonts w:ascii="Book Antiqua" w:hAnsi="Book Antiqua"/>
                <w:lang w:val="en-US"/>
              </w:rPr>
              <w:t xml:space="preserve"> 77%</w:t>
            </w:r>
          </w:p>
        </w:tc>
        <w:tc>
          <w:tcPr>
            <w:tcW w:w="2552" w:type="dxa"/>
            <w:tcBorders>
              <w:top w:val="single" w:sz="4" w:space="0" w:color="auto"/>
              <w:left w:val="single" w:sz="4" w:space="0" w:color="auto"/>
              <w:bottom w:val="single" w:sz="4" w:space="0" w:color="auto"/>
              <w:right w:val="single" w:sz="4" w:space="0" w:color="auto"/>
            </w:tcBorders>
          </w:tcPr>
          <w:p w14:paraId="37B34519" w14:textId="5F2701DC"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No significant risk </w:t>
            </w:r>
            <w:r w:rsidR="00A2214A">
              <w:rPr>
                <w:rFonts w:ascii="Book Antiqua" w:hAnsi="Book Antiqua"/>
                <w:lang w:val="en-US"/>
              </w:rPr>
              <w:t>factors for relapse were found</w:t>
            </w:r>
          </w:p>
        </w:tc>
      </w:tr>
      <w:tr w:rsidR="0050649F" w:rsidRPr="0050649F" w14:paraId="79F2FC96" w14:textId="77777777" w:rsidTr="008D57EC">
        <w:tc>
          <w:tcPr>
            <w:tcW w:w="1573" w:type="dxa"/>
            <w:tcBorders>
              <w:top w:val="single" w:sz="4" w:space="0" w:color="auto"/>
              <w:left w:val="single" w:sz="4" w:space="0" w:color="auto"/>
              <w:bottom w:val="single" w:sz="4" w:space="0" w:color="auto"/>
              <w:right w:val="single" w:sz="4" w:space="0" w:color="auto"/>
            </w:tcBorders>
          </w:tcPr>
          <w:p w14:paraId="78B5C62D" w14:textId="0F082CA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Lémann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[67]</w:t>
            </w:r>
            <w:r w:rsidRPr="0050649F">
              <w:rPr>
                <w:rFonts w:ascii="Book Antiqua" w:hAnsi="Book Antiqua"/>
                <w:lang w:val="en-US"/>
              </w:rPr>
              <w:t xml:space="preserve">, 2005 </w:t>
            </w:r>
          </w:p>
        </w:tc>
        <w:tc>
          <w:tcPr>
            <w:tcW w:w="878" w:type="dxa"/>
            <w:tcBorders>
              <w:top w:val="single" w:sz="4" w:space="0" w:color="auto"/>
              <w:left w:val="single" w:sz="4" w:space="0" w:color="auto"/>
              <w:bottom w:val="single" w:sz="4" w:space="0" w:color="auto"/>
              <w:right w:val="single" w:sz="4" w:space="0" w:color="auto"/>
            </w:tcBorders>
          </w:tcPr>
          <w:p w14:paraId="7080B32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1134" w:type="dxa"/>
            <w:tcBorders>
              <w:top w:val="single" w:sz="4" w:space="0" w:color="auto"/>
              <w:left w:val="single" w:sz="4" w:space="0" w:color="auto"/>
              <w:bottom w:val="single" w:sz="4" w:space="0" w:color="auto"/>
              <w:right w:val="single" w:sz="4" w:space="0" w:color="auto"/>
            </w:tcBorders>
          </w:tcPr>
          <w:p w14:paraId="1465639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83 CD</w:t>
            </w:r>
          </w:p>
        </w:tc>
        <w:tc>
          <w:tcPr>
            <w:tcW w:w="1559" w:type="dxa"/>
            <w:tcBorders>
              <w:top w:val="single" w:sz="4" w:space="0" w:color="auto"/>
              <w:left w:val="single" w:sz="4" w:space="0" w:color="auto"/>
              <w:bottom w:val="single" w:sz="4" w:space="0" w:color="auto"/>
              <w:right w:val="single" w:sz="4" w:space="0" w:color="auto"/>
            </w:tcBorders>
          </w:tcPr>
          <w:p w14:paraId="10AA66E8" w14:textId="1BBC4F41"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Continue AZA </w:t>
            </w:r>
            <w:r w:rsidR="008D57EC" w:rsidRPr="008D57EC">
              <w:rPr>
                <w:rFonts w:ascii="Book Antiqua" w:hAnsi="Book Antiqua"/>
                <w:i/>
                <w:lang w:val="en-US"/>
              </w:rPr>
              <w:t>vs</w:t>
            </w:r>
            <w:r w:rsidRPr="0050649F">
              <w:rPr>
                <w:rFonts w:ascii="Book Antiqua" w:hAnsi="Book Antiqua"/>
                <w:lang w:val="en-US"/>
              </w:rPr>
              <w:t xml:space="preserve"> placebo</w:t>
            </w:r>
          </w:p>
        </w:tc>
        <w:tc>
          <w:tcPr>
            <w:tcW w:w="1440" w:type="dxa"/>
            <w:tcBorders>
              <w:top w:val="single" w:sz="4" w:space="0" w:color="auto"/>
              <w:left w:val="single" w:sz="4" w:space="0" w:color="auto"/>
              <w:bottom w:val="single" w:sz="4" w:space="0" w:color="auto"/>
              <w:right w:val="single" w:sz="4" w:space="0" w:color="auto"/>
            </w:tcBorders>
          </w:tcPr>
          <w:p w14:paraId="743A9DF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18 mo</w:t>
            </w:r>
          </w:p>
        </w:tc>
        <w:tc>
          <w:tcPr>
            <w:tcW w:w="1679" w:type="dxa"/>
            <w:tcBorders>
              <w:top w:val="single" w:sz="4" w:space="0" w:color="auto"/>
              <w:left w:val="single" w:sz="4" w:space="0" w:color="auto"/>
              <w:bottom w:val="single" w:sz="4" w:space="0" w:color="auto"/>
              <w:right w:val="single" w:sz="4" w:space="0" w:color="auto"/>
            </w:tcBorders>
          </w:tcPr>
          <w:p w14:paraId="07CAAB6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assessment </w:t>
            </w:r>
          </w:p>
        </w:tc>
        <w:tc>
          <w:tcPr>
            <w:tcW w:w="1701" w:type="dxa"/>
            <w:tcBorders>
              <w:top w:val="single" w:sz="4" w:space="0" w:color="auto"/>
              <w:left w:val="single" w:sz="4" w:space="0" w:color="auto"/>
              <w:bottom w:val="single" w:sz="4" w:space="0" w:color="auto"/>
              <w:right w:val="single" w:sz="4" w:space="0" w:color="auto"/>
            </w:tcBorders>
          </w:tcPr>
          <w:p w14:paraId="051D66F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Relapse rate </w:t>
            </w:r>
          </w:p>
        </w:tc>
        <w:tc>
          <w:tcPr>
            <w:tcW w:w="2409" w:type="dxa"/>
            <w:tcBorders>
              <w:top w:val="single" w:sz="4" w:space="0" w:color="auto"/>
              <w:left w:val="single" w:sz="4" w:space="0" w:color="auto"/>
              <w:bottom w:val="single" w:sz="4" w:space="0" w:color="auto"/>
              <w:right w:val="single" w:sz="4" w:space="0" w:color="auto"/>
            </w:tcBorders>
          </w:tcPr>
          <w:p w14:paraId="540379C1" w14:textId="05E52FA0"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8% </w:t>
            </w:r>
            <w:r w:rsidR="008D57EC" w:rsidRPr="008D57EC">
              <w:rPr>
                <w:rFonts w:ascii="Book Antiqua" w:hAnsi="Book Antiqua"/>
                <w:i/>
                <w:lang w:val="en-US"/>
              </w:rPr>
              <w:t>vs</w:t>
            </w:r>
            <w:r w:rsidRPr="0050649F">
              <w:rPr>
                <w:rFonts w:ascii="Book Antiqua" w:hAnsi="Book Antiqua"/>
                <w:lang w:val="en-US"/>
              </w:rPr>
              <w:t xml:space="preserve"> 21%</w:t>
            </w:r>
          </w:p>
        </w:tc>
        <w:tc>
          <w:tcPr>
            <w:tcW w:w="2552" w:type="dxa"/>
            <w:tcBorders>
              <w:top w:val="single" w:sz="4" w:space="0" w:color="auto"/>
              <w:left w:val="single" w:sz="4" w:space="0" w:color="auto"/>
              <w:bottom w:val="single" w:sz="4" w:space="0" w:color="auto"/>
              <w:right w:val="single" w:sz="4" w:space="0" w:color="auto"/>
            </w:tcBorders>
          </w:tcPr>
          <w:p w14:paraId="2462B629" w14:textId="798FC028"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CRP &gt;</w:t>
            </w:r>
            <w:r w:rsidR="00A2214A">
              <w:rPr>
                <w:rFonts w:ascii="Book Antiqua" w:eastAsia="宋体" w:hAnsi="Book Antiqua" w:hint="eastAsia"/>
                <w:lang w:val="en-US" w:eastAsia="zh-CN"/>
              </w:rPr>
              <w:t xml:space="preserve"> </w:t>
            </w:r>
            <w:r w:rsidRPr="0050649F">
              <w:rPr>
                <w:rFonts w:ascii="Book Antiqua" w:hAnsi="Book Antiqua"/>
                <w:lang w:val="en-US"/>
              </w:rPr>
              <w:t>20 mg/L, time steroid-free &lt;</w:t>
            </w:r>
            <w:r w:rsidR="00A2214A">
              <w:rPr>
                <w:rFonts w:ascii="Book Antiqua" w:eastAsia="宋体" w:hAnsi="Book Antiqua" w:hint="eastAsia"/>
                <w:lang w:val="en-US" w:eastAsia="zh-CN"/>
              </w:rPr>
              <w:t xml:space="preserve"> </w:t>
            </w:r>
            <w:r w:rsidR="00A2214A">
              <w:rPr>
                <w:rFonts w:ascii="Book Antiqua" w:hAnsi="Book Antiqua"/>
                <w:lang w:val="en-US"/>
              </w:rPr>
              <w:t>50 mo, Hb &lt;12 g/dL</w:t>
            </w:r>
          </w:p>
        </w:tc>
      </w:tr>
      <w:tr w:rsidR="0050649F" w:rsidRPr="0050649F" w14:paraId="32A896FF" w14:textId="77777777" w:rsidTr="008D57EC">
        <w:tc>
          <w:tcPr>
            <w:tcW w:w="1573" w:type="dxa"/>
            <w:tcBorders>
              <w:top w:val="single" w:sz="4" w:space="0" w:color="auto"/>
              <w:left w:val="single" w:sz="4" w:space="0" w:color="auto"/>
              <w:bottom w:val="single" w:sz="4" w:space="0" w:color="auto"/>
              <w:right w:val="single" w:sz="4" w:space="0" w:color="auto"/>
            </w:tcBorders>
          </w:tcPr>
          <w:p w14:paraId="79D10172" w14:textId="18BF09D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van Assche</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[73]</w:t>
            </w:r>
            <w:r w:rsidRPr="0050649F">
              <w:rPr>
                <w:rFonts w:ascii="Book Antiqua" w:hAnsi="Book Antiqua"/>
                <w:lang w:val="en-US"/>
              </w:rPr>
              <w:t xml:space="preserve">, 2008 </w:t>
            </w:r>
          </w:p>
        </w:tc>
        <w:tc>
          <w:tcPr>
            <w:tcW w:w="878" w:type="dxa"/>
            <w:tcBorders>
              <w:top w:val="single" w:sz="4" w:space="0" w:color="auto"/>
              <w:left w:val="single" w:sz="4" w:space="0" w:color="auto"/>
              <w:bottom w:val="single" w:sz="4" w:space="0" w:color="auto"/>
              <w:right w:val="single" w:sz="4" w:space="0" w:color="auto"/>
            </w:tcBorders>
          </w:tcPr>
          <w:p w14:paraId="6231757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db, mc</w:t>
            </w:r>
          </w:p>
        </w:tc>
        <w:tc>
          <w:tcPr>
            <w:tcW w:w="1134" w:type="dxa"/>
            <w:tcBorders>
              <w:top w:val="single" w:sz="4" w:space="0" w:color="auto"/>
              <w:left w:val="single" w:sz="4" w:space="0" w:color="auto"/>
              <w:bottom w:val="single" w:sz="4" w:space="0" w:color="auto"/>
              <w:right w:val="single" w:sz="4" w:space="0" w:color="auto"/>
            </w:tcBorders>
          </w:tcPr>
          <w:p w14:paraId="1E74243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80 CD</w:t>
            </w:r>
          </w:p>
        </w:tc>
        <w:tc>
          <w:tcPr>
            <w:tcW w:w="1559" w:type="dxa"/>
            <w:tcBorders>
              <w:top w:val="single" w:sz="4" w:space="0" w:color="auto"/>
              <w:left w:val="single" w:sz="4" w:space="0" w:color="auto"/>
              <w:bottom w:val="single" w:sz="4" w:space="0" w:color="auto"/>
              <w:right w:val="single" w:sz="4" w:space="0" w:color="auto"/>
            </w:tcBorders>
          </w:tcPr>
          <w:p w14:paraId="689EC8A4" w14:textId="4ED2453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Continue IFX + IS </w:t>
            </w:r>
            <w:r w:rsidR="008D57EC" w:rsidRPr="008D57EC">
              <w:rPr>
                <w:rFonts w:ascii="Book Antiqua" w:hAnsi="Book Antiqua"/>
                <w:i/>
                <w:lang w:val="en-US"/>
              </w:rPr>
              <w:t>vs</w:t>
            </w:r>
            <w:r w:rsidRPr="0050649F">
              <w:rPr>
                <w:rFonts w:ascii="Book Antiqua" w:hAnsi="Book Antiqua"/>
                <w:lang w:val="en-US"/>
              </w:rPr>
              <w:t xml:space="preserve"> IFX + stop IS</w:t>
            </w:r>
          </w:p>
        </w:tc>
        <w:tc>
          <w:tcPr>
            <w:tcW w:w="1440" w:type="dxa"/>
            <w:tcBorders>
              <w:top w:val="single" w:sz="4" w:space="0" w:color="auto"/>
              <w:left w:val="single" w:sz="4" w:space="0" w:color="auto"/>
              <w:bottom w:val="single" w:sz="4" w:space="0" w:color="auto"/>
              <w:right w:val="single" w:sz="4" w:space="0" w:color="auto"/>
            </w:tcBorders>
          </w:tcPr>
          <w:p w14:paraId="2E843A4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104 wk</w:t>
            </w:r>
          </w:p>
        </w:tc>
        <w:tc>
          <w:tcPr>
            <w:tcW w:w="1679" w:type="dxa"/>
            <w:tcBorders>
              <w:top w:val="single" w:sz="4" w:space="0" w:color="auto"/>
              <w:left w:val="single" w:sz="4" w:space="0" w:color="auto"/>
              <w:bottom w:val="single" w:sz="4" w:space="0" w:color="auto"/>
              <w:right w:val="single" w:sz="4" w:space="0" w:color="auto"/>
            </w:tcBorders>
          </w:tcPr>
          <w:p w14:paraId="21BCBBE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and endoscopic assessment </w:t>
            </w:r>
          </w:p>
        </w:tc>
        <w:tc>
          <w:tcPr>
            <w:tcW w:w="1701" w:type="dxa"/>
            <w:tcBorders>
              <w:top w:val="single" w:sz="4" w:space="0" w:color="auto"/>
              <w:left w:val="single" w:sz="4" w:space="0" w:color="auto"/>
              <w:bottom w:val="single" w:sz="4" w:space="0" w:color="auto"/>
              <w:right w:val="single" w:sz="4" w:space="0" w:color="auto"/>
            </w:tcBorders>
          </w:tcPr>
          <w:p w14:paraId="6081DF17" w14:textId="2AB49D0A"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t xml:space="preserve">(1) </w:t>
            </w:r>
            <w:r w:rsidR="00A24C79" w:rsidRPr="0050649F">
              <w:rPr>
                <w:rFonts w:ascii="Book Antiqua" w:hAnsi="Book Antiqua"/>
                <w:lang w:val="en-US"/>
              </w:rPr>
              <w:t>Median CRP</w:t>
            </w:r>
          </w:p>
          <w:p w14:paraId="71586273" w14:textId="295F5C84"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t xml:space="preserve">(2) </w:t>
            </w:r>
            <w:r w:rsidR="00A24C79" w:rsidRPr="0050649F">
              <w:rPr>
                <w:rFonts w:ascii="Book Antiqua" w:hAnsi="Book Antiqua"/>
                <w:lang w:val="en-US"/>
              </w:rPr>
              <w:t>Median TL</w:t>
            </w:r>
          </w:p>
          <w:p w14:paraId="66C5C199" w14:textId="7B48CF10"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t xml:space="preserve">(3) </w:t>
            </w:r>
            <w:r w:rsidR="00A24C79" w:rsidRPr="0050649F">
              <w:rPr>
                <w:rFonts w:ascii="Book Antiqua" w:hAnsi="Book Antiqua"/>
                <w:lang w:val="en-US"/>
              </w:rPr>
              <w:t>Median SES-CD</w:t>
            </w:r>
          </w:p>
          <w:p w14:paraId="4BA0F31B" w14:textId="6BC29FC9"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lastRenderedPageBreak/>
              <w:t xml:space="preserve">(4) </w:t>
            </w:r>
            <w:r w:rsidR="00A24C79" w:rsidRPr="0050649F">
              <w:rPr>
                <w:rFonts w:ascii="Book Antiqua" w:hAnsi="Book Antiqua"/>
                <w:lang w:val="en-US"/>
              </w:rPr>
              <w:t>AE rate</w:t>
            </w:r>
          </w:p>
          <w:p w14:paraId="789B3B8E" w14:textId="148BE17E" w:rsidR="00A24C79" w:rsidRPr="0050649F" w:rsidRDefault="00A2214A" w:rsidP="00A2214A">
            <w:pPr>
              <w:spacing w:line="360" w:lineRule="auto"/>
              <w:jc w:val="both"/>
              <w:rPr>
                <w:rFonts w:ascii="Book Antiqua" w:hAnsi="Book Antiqua"/>
                <w:lang w:val="en-US"/>
              </w:rPr>
            </w:pPr>
            <w:r>
              <w:rPr>
                <w:rFonts w:ascii="Book Antiqua" w:eastAsia="宋体" w:hAnsi="Book Antiqua" w:hint="eastAsia"/>
                <w:lang w:val="en-US" w:eastAsia="zh-CN"/>
              </w:rPr>
              <w:t xml:space="preserve">(5) </w:t>
            </w:r>
            <w:r w:rsidR="00A24C79" w:rsidRPr="0050649F">
              <w:rPr>
                <w:rFonts w:ascii="Book Antiqua" w:hAnsi="Book Antiqua"/>
                <w:lang w:val="en-US"/>
              </w:rPr>
              <w:t>12-mo relapse</w:t>
            </w:r>
          </w:p>
        </w:tc>
        <w:tc>
          <w:tcPr>
            <w:tcW w:w="2409" w:type="dxa"/>
            <w:tcBorders>
              <w:top w:val="single" w:sz="4" w:space="0" w:color="auto"/>
              <w:left w:val="single" w:sz="4" w:space="0" w:color="auto"/>
              <w:bottom w:val="single" w:sz="4" w:space="0" w:color="auto"/>
              <w:right w:val="single" w:sz="4" w:space="0" w:color="auto"/>
            </w:tcBorders>
          </w:tcPr>
          <w:p w14:paraId="7648B43D" w14:textId="6C8FAF8D"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lastRenderedPageBreak/>
              <w:t xml:space="preserve">(1) </w:t>
            </w:r>
            <w:r w:rsidR="00A24C79" w:rsidRPr="0050649F">
              <w:rPr>
                <w:rFonts w:ascii="Book Antiqua" w:hAnsi="Book Antiqua"/>
                <w:lang w:val="en-US"/>
              </w:rPr>
              <w:t>1.6 mg/</w:t>
            </w:r>
            <w:r w:rsidR="00394C77" w:rsidRPr="0050649F">
              <w:rPr>
                <w:rFonts w:ascii="Book Antiqua" w:hAnsi="Book Antiqua"/>
                <w:lang w:val="en-US"/>
              </w:rPr>
              <w:t>L</w:t>
            </w:r>
            <w:r w:rsidR="00A24C79" w:rsidRPr="0050649F">
              <w:rPr>
                <w:rFonts w:ascii="Book Antiqua" w:hAnsi="Book Antiqua"/>
                <w:lang w:val="en-US"/>
              </w:rPr>
              <w:t xml:space="preserve"> </w:t>
            </w:r>
            <w:r w:rsidR="008D57EC" w:rsidRPr="008D57EC">
              <w:rPr>
                <w:rFonts w:ascii="Book Antiqua" w:hAnsi="Book Antiqua"/>
                <w:i/>
                <w:lang w:val="en-US"/>
              </w:rPr>
              <w:t>vs</w:t>
            </w:r>
            <w:r w:rsidR="00A24C79" w:rsidRPr="0050649F">
              <w:rPr>
                <w:rFonts w:ascii="Book Antiqua" w:hAnsi="Book Antiqua"/>
                <w:lang w:val="en-US"/>
              </w:rPr>
              <w:t xml:space="preserve"> 2.8 mg/</w:t>
            </w:r>
            <w:r w:rsidR="00394C77" w:rsidRPr="0050649F">
              <w:rPr>
                <w:rFonts w:ascii="Book Antiqua" w:hAnsi="Book Antiqua"/>
                <w:lang w:val="en-US"/>
              </w:rPr>
              <w:t>L</w:t>
            </w:r>
          </w:p>
          <w:p w14:paraId="5E377986" w14:textId="2E96BB40"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t xml:space="preserve">(2) </w:t>
            </w:r>
            <w:r w:rsidR="00A24C79" w:rsidRPr="0050649F">
              <w:rPr>
                <w:rFonts w:ascii="Book Antiqua" w:hAnsi="Book Antiqua"/>
                <w:lang w:val="en-US"/>
              </w:rPr>
              <w:t>2.8 ug/m</w:t>
            </w:r>
            <w:r w:rsidR="00394C77" w:rsidRPr="0050649F">
              <w:rPr>
                <w:rFonts w:ascii="Book Antiqua" w:hAnsi="Book Antiqua"/>
                <w:lang w:val="en-US"/>
              </w:rPr>
              <w:t>L</w:t>
            </w:r>
            <w:r w:rsidR="00A24C79" w:rsidRPr="0050649F">
              <w:rPr>
                <w:rFonts w:ascii="Book Antiqua" w:hAnsi="Book Antiqua"/>
                <w:lang w:val="en-US"/>
              </w:rPr>
              <w:t xml:space="preserve"> </w:t>
            </w:r>
            <w:r w:rsidR="008D57EC" w:rsidRPr="008D57EC">
              <w:rPr>
                <w:rFonts w:ascii="Book Antiqua" w:hAnsi="Book Antiqua"/>
                <w:i/>
                <w:lang w:val="en-US"/>
              </w:rPr>
              <w:t>vs</w:t>
            </w:r>
            <w:r w:rsidR="00A24C79" w:rsidRPr="0050649F">
              <w:rPr>
                <w:rFonts w:ascii="Book Antiqua" w:hAnsi="Book Antiqua"/>
                <w:lang w:val="en-US"/>
              </w:rPr>
              <w:t xml:space="preserve"> 1.6 ug/m</w:t>
            </w:r>
            <w:r w:rsidR="00394C77" w:rsidRPr="0050649F">
              <w:rPr>
                <w:rFonts w:ascii="Book Antiqua" w:hAnsi="Book Antiqua"/>
                <w:lang w:val="en-US"/>
              </w:rPr>
              <w:t>L</w:t>
            </w:r>
          </w:p>
          <w:p w14:paraId="113E0324" w14:textId="1B4E038A"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t xml:space="preserve">(3) </w:t>
            </w:r>
            <w:r w:rsidR="00A24C79" w:rsidRPr="0050649F">
              <w:rPr>
                <w:rFonts w:ascii="Book Antiqua" w:hAnsi="Book Antiqua"/>
                <w:lang w:val="en-US"/>
              </w:rPr>
              <w:t xml:space="preserve">1 </w:t>
            </w:r>
            <w:r w:rsidR="008D57EC" w:rsidRPr="008D57EC">
              <w:rPr>
                <w:rFonts w:ascii="Book Antiqua" w:hAnsi="Book Antiqua"/>
                <w:i/>
                <w:lang w:val="en-US"/>
              </w:rPr>
              <w:t>vs</w:t>
            </w:r>
            <w:r w:rsidR="00A24C79" w:rsidRPr="0050649F">
              <w:rPr>
                <w:rFonts w:ascii="Book Antiqua" w:hAnsi="Book Antiqua"/>
                <w:lang w:val="en-US"/>
              </w:rPr>
              <w:t xml:space="preserve"> 2.5</w:t>
            </w:r>
          </w:p>
          <w:p w14:paraId="130B406A" w14:textId="48E7A73D"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t xml:space="preserve">(4) </w:t>
            </w:r>
            <w:r w:rsidR="00A24C79" w:rsidRPr="0050649F">
              <w:rPr>
                <w:rFonts w:ascii="Book Antiqua" w:hAnsi="Book Antiqua"/>
                <w:lang w:val="en-US"/>
              </w:rPr>
              <w:t xml:space="preserve">7.5% </w:t>
            </w:r>
            <w:r w:rsidR="008D57EC" w:rsidRPr="008D57EC">
              <w:rPr>
                <w:rFonts w:ascii="Book Antiqua" w:hAnsi="Book Antiqua"/>
                <w:i/>
                <w:lang w:val="en-US"/>
              </w:rPr>
              <w:t>vs</w:t>
            </w:r>
            <w:r w:rsidR="00A24C79" w:rsidRPr="0050649F">
              <w:rPr>
                <w:rFonts w:ascii="Book Antiqua" w:hAnsi="Book Antiqua"/>
                <w:lang w:val="en-US"/>
              </w:rPr>
              <w:t xml:space="preserve"> 7.5%</w:t>
            </w:r>
          </w:p>
          <w:p w14:paraId="31B2EF29" w14:textId="2FB50E83" w:rsidR="00A24C79" w:rsidRPr="0050649F" w:rsidRDefault="00A2214A" w:rsidP="00C97716">
            <w:pPr>
              <w:spacing w:line="360" w:lineRule="auto"/>
              <w:jc w:val="both"/>
              <w:rPr>
                <w:rFonts w:ascii="Book Antiqua" w:hAnsi="Book Antiqua"/>
                <w:lang w:val="en-US"/>
              </w:rPr>
            </w:pPr>
            <w:r>
              <w:rPr>
                <w:rFonts w:ascii="Book Antiqua" w:eastAsia="宋体" w:hAnsi="Book Antiqua" w:hint="eastAsia"/>
                <w:lang w:val="en-US" w:eastAsia="zh-CN"/>
              </w:rPr>
              <w:lastRenderedPageBreak/>
              <w:t xml:space="preserve">(5) </w:t>
            </w:r>
            <w:r w:rsidR="00A24C79" w:rsidRPr="0050649F">
              <w:rPr>
                <w:rFonts w:ascii="Book Antiqua" w:hAnsi="Book Antiqua"/>
                <w:lang w:val="en-US"/>
              </w:rPr>
              <w:t xml:space="preserve">58% </w:t>
            </w:r>
            <w:r w:rsidR="008D57EC" w:rsidRPr="008D57EC">
              <w:rPr>
                <w:rFonts w:ascii="Book Antiqua" w:hAnsi="Book Antiqua"/>
                <w:i/>
                <w:lang w:val="en-US"/>
              </w:rPr>
              <w:t>vs</w:t>
            </w:r>
            <w:r w:rsidR="00A24C79" w:rsidRPr="0050649F">
              <w:rPr>
                <w:rFonts w:ascii="Book Antiqua" w:hAnsi="Book Antiqua"/>
                <w:lang w:val="en-US"/>
              </w:rPr>
              <w:t xml:space="preserve"> 72.7%</w:t>
            </w:r>
          </w:p>
        </w:tc>
        <w:tc>
          <w:tcPr>
            <w:tcW w:w="2552" w:type="dxa"/>
            <w:tcBorders>
              <w:top w:val="single" w:sz="4" w:space="0" w:color="auto"/>
              <w:left w:val="single" w:sz="4" w:space="0" w:color="auto"/>
              <w:bottom w:val="single" w:sz="4" w:space="0" w:color="auto"/>
              <w:right w:val="single" w:sz="4" w:space="0" w:color="auto"/>
            </w:tcBorders>
          </w:tcPr>
          <w:p w14:paraId="388DCAC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 xml:space="preserve">Not significant p-value for endoscopic features in either </w:t>
            </w:r>
            <w:proofErr w:type="gramStart"/>
            <w:r w:rsidRPr="0050649F">
              <w:rPr>
                <w:rFonts w:ascii="Book Antiqua" w:hAnsi="Book Antiqua"/>
                <w:lang w:val="en-US"/>
              </w:rPr>
              <w:t>groups</w:t>
            </w:r>
            <w:proofErr w:type="gramEnd"/>
            <w:r w:rsidRPr="0050649F">
              <w:rPr>
                <w:rFonts w:ascii="Book Antiqua" w:hAnsi="Book Antiqua"/>
                <w:lang w:val="en-US"/>
              </w:rPr>
              <w:t xml:space="preserve">. </w:t>
            </w:r>
          </w:p>
        </w:tc>
      </w:tr>
      <w:tr w:rsidR="0050649F" w:rsidRPr="0050649F" w14:paraId="06624FAC" w14:textId="77777777" w:rsidTr="008D57EC">
        <w:tc>
          <w:tcPr>
            <w:tcW w:w="1573" w:type="dxa"/>
            <w:tcBorders>
              <w:top w:val="single" w:sz="4" w:space="0" w:color="auto"/>
              <w:left w:val="single" w:sz="4" w:space="0" w:color="auto"/>
              <w:bottom w:val="single" w:sz="4" w:space="0" w:color="auto"/>
              <w:right w:val="single" w:sz="4" w:space="0" w:color="auto"/>
            </w:tcBorders>
          </w:tcPr>
          <w:p w14:paraId="08B58DA8" w14:textId="19F8EABB"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lastRenderedPageBreak/>
              <w:t>Cassinotti</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[68]</w:t>
            </w:r>
            <w:r w:rsidRPr="0050649F">
              <w:rPr>
                <w:rFonts w:ascii="Book Antiqua" w:hAnsi="Book Antiqua"/>
                <w:lang w:val="en-US"/>
              </w:rPr>
              <w:t xml:space="preserve">, 2009 </w:t>
            </w:r>
          </w:p>
        </w:tc>
        <w:tc>
          <w:tcPr>
            <w:tcW w:w="878" w:type="dxa"/>
            <w:tcBorders>
              <w:top w:val="single" w:sz="4" w:space="0" w:color="auto"/>
              <w:left w:val="single" w:sz="4" w:space="0" w:color="auto"/>
              <w:bottom w:val="single" w:sz="4" w:space="0" w:color="auto"/>
              <w:right w:val="single" w:sz="4" w:space="0" w:color="auto"/>
            </w:tcBorders>
          </w:tcPr>
          <w:p w14:paraId="3808116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mc</w:t>
            </w:r>
          </w:p>
        </w:tc>
        <w:tc>
          <w:tcPr>
            <w:tcW w:w="1134" w:type="dxa"/>
            <w:tcBorders>
              <w:top w:val="single" w:sz="4" w:space="0" w:color="auto"/>
              <w:left w:val="single" w:sz="4" w:space="0" w:color="auto"/>
              <w:bottom w:val="single" w:sz="4" w:space="0" w:color="auto"/>
              <w:right w:val="single" w:sz="4" w:space="0" w:color="auto"/>
            </w:tcBorders>
          </w:tcPr>
          <w:p w14:paraId="2890EFD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127 UC</w:t>
            </w:r>
          </w:p>
        </w:tc>
        <w:tc>
          <w:tcPr>
            <w:tcW w:w="1559" w:type="dxa"/>
            <w:tcBorders>
              <w:top w:val="single" w:sz="4" w:space="0" w:color="auto"/>
              <w:left w:val="single" w:sz="4" w:space="0" w:color="auto"/>
              <w:bottom w:val="single" w:sz="4" w:space="0" w:color="auto"/>
              <w:right w:val="single" w:sz="4" w:space="0" w:color="auto"/>
            </w:tcBorders>
          </w:tcPr>
          <w:p w14:paraId="5B4EE1C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AZA discontinuation</w:t>
            </w:r>
          </w:p>
        </w:tc>
        <w:tc>
          <w:tcPr>
            <w:tcW w:w="1440" w:type="dxa"/>
            <w:tcBorders>
              <w:top w:val="single" w:sz="4" w:space="0" w:color="auto"/>
              <w:left w:val="single" w:sz="4" w:space="0" w:color="auto"/>
              <w:bottom w:val="single" w:sz="4" w:space="0" w:color="auto"/>
              <w:right w:val="single" w:sz="4" w:space="0" w:color="auto"/>
            </w:tcBorders>
          </w:tcPr>
          <w:p w14:paraId="7C37753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Median f-u: 55 mo (range 1-182) </w:t>
            </w:r>
          </w:p>
        </w:tc>
        <w:tc>
          <w:tcPr>
            <w:tcW w:w="1679" w:type="dxa"/>
            <w:tcBorders>
              <w:top w:val="single" w:sz="4" w:space="0" w:color="auto"/>
              <w:left w:val="single" w:sz="4" w:space="0" w:color="auto"/>
              <w:bottom w:val="single" w:sz="4" w:space="0" w:color="auto"/>
              <w:right w:val="single" w:sz="4" w:space="0" w:color="auto"/>
            </w:tcBorders>
          </w:tcPr>
          <w:p w14:paraId="769993F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701" w:type="dxa"/>
            <w:tcBorders>
              <w:top w:val="single" w:sz="4" w:space="0" w:color="auto"/>
              <w:left w:val="single" w:sz="4" w:space="0" w:color="auto"/>
              <w:bottom w:val="single" w:sz="4" w:space="0" w:color="auto"/>
              <w:right w:val="single" w:sz="4" w:space="0" w:color="auto"/>
            </w:tcBorders>
          </w:tcPr>
          <w:p w14:paraId="7CCED08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p w14:paraId="2522F535" w14:textId="77777777" w:rsidR="00A24C79" w:rsidRPr="0050649F" w:rsidRDefault="00A24C79" w:rsidP="00C97716">
            <w:pPr>
              <w:spacing w:line="360" w:lineRule="auto"/>
              <w:jc w:val="both"/>
              <w:rPr>
                <w:rFonts w:ascii="Book Antiqua" w:hAnsi="Book Antiqua"/>
                <w:lang w:val="en-US"/>
              </w:rPr>
            </w:pPr>
          </w:p>
        </w:tc>
        <w:tc>
          <w:tcPr>
            <w:tcW w:w="2409" w:type="dxa"/>
            <w:tcBorders>
              <w:top w:val="single" w:sz="4" w:space="0" w:color="auto"/>
              <w:left w:val="single" w:sz="4" w:space="0" w:color="auto"/>
              <w:bottom w:val="single" w:sz="4" w:space="0" w:color="auto"/>
              <w:right w:val="single" w:sz="4" w:space="0" w:color="auto"/>
            </w:tcBorders>
          </w:tcPr>
          <w:p w14:paraId="4925B936" w14:textId="1AC341FC" w:rsidR="00A24C79" w:rsidRPr="0050649F" w:rsidRDefault="00A2214A" w:rsidP="00C97716">
            <w:pPr>
              <w:spacing w:line="360" w:lineRule="auto"/>
              <w:jc w:val="both"/>
              <w:rPr>
                <w:rFonts w:ascii="Book Antiqua" w:hAnsi="Book Antiqua"/>
                <w:lang w:val="nb-NO"/>
              </w:rPr>
            </w:pPr>
            <w:r w:rsidRPr="0050649F">
              <w:rPr>
                <w:rFonts w:ascii="Book Antiqua" w:hAnsi="Book Antiqua"/>
                <w:lang w:val="nb-NO"/>
              </w:rPr>
              <w:t>A</w:t>
            </w:r>
            <w:r w:rsidR="00A24C79" w:rsidRPr="0050649F">
              <w:rPr>
                <w:rFonts w:ascii="Book Antiqua" w:hAnsi="Book Antiqua"/>
                <w:lang w:val="nb-NO"/>
              </w:rPr>
              <w:t xml:space="preserve">t 1 yr 35%, </w:t>
            </w:r>
          </w:p>
          <w:p w14:paraId="473F26FB"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at 2 yr 49%,</w:t>
            </w:r>
          </w:p>
          <w:p w14:paraId="5CC74745"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at 3 yr 59%,</w:t>
            </w:r>
          </w:p>
          <w:p w14:paraId="640604F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at 4 yr 61%, </w:t>
            </w:r>
          </w:p>
          <w:p w14:paraId="55F9954E" w14:textId="77777777" w:rsidR="00A24C79" w:rsidRPr="0050649F" w:rsidRDefault="00A24C79" w:rsidP="00C97716">
            <w:pPr>
              <w:spacing w:line="360" w:lineRule="auto"/>
              <w:jc w:val="both"/>
              <w:rPr>
                <w:rFonts w:ascii="Book Antiqua" w:hAnsi="Book Antiqua"/>
                <w:lang w:val="en-US"/>
              </w:rPr>
            </w:pPr>
            <w:proofErr w:type="gramStart"/>
            <w:r w:rsidRPr="0050649F">
              <w:rPr>
                <w:rFonts w:ascii="Book Antiqua" w:hAnsi="Book Antiqua"/>
                <w:lang w:val="en-US"/>
              </w:rPr>
              <w:t>at</w:t>
            </w:r>
            <w:proofErr w:type="gramEnd"/>
            <w:r w:rsidRPr="0050649F">
              <w:rPr>
                <w:rFonts w:ascii="Book Antiqua" w:hAnsi="Book Antiqua"/>
                <w:lang w:val="en-US"/>
              </w:rPr>
              <w:t xml:space="preserve"> 5 yr 65%.</w:t>
            </w:r>
          </w:p>
        </w:tc>
        <w:tc>
          <w:tcPr>
            <w:tcW w:w="2552" w:type="dxa"/>
            <w:tcBorders>
              <w:top w:val="single" w:sz="4" w:space="0" w:color="auto"/>
              <w:left w:val="single" w:sz="4" w:space="0" w:color="auto"/>
              <w:bottom w:val="single" w:sz="4" w:space="0" w:color="auto"/>
              <w:right w:val="single" w:sz="4" w:space="0" w:color="auto"/>
            </w:tcBorders>
          </w:tcPr>
          <w:p w14:paraId="62E1AACC" w14:textId="64852799"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s</w:t>
            </w:r>
            <w:r w:rsidR="00A2214A">
              <w:rPr>
                <w:rFonts w:ascii="Book Antiqua" w:hAnsi="Book Antiqua"/>
                <w:lang w:val="en-US"/>
              </w:rPr>
              <w:t>hort treatment duration of AZA</w:t>
            </w:r>
          </w:p>
        </w:tc>
      </w:tr>
      <w:tr w:rsidR="0050649F" w:rsidRPr="0050649F" w14:paraId="556362D8" w14:textId="77777777" w:rsidTr="008D57EC">
        <w:tc>
          <w:tcPr>
            <w:tcW w:w="1573" w:type="dxa"/>
            <w:tcBorders>
              <w:top w:val="single" w:sz="4" w:space="0" w:color="auto"/>
              <w:left w:val="single" w:sz="4" w:space="0" w:color="auto"/>
              <w:bottom w:val="single" w:sz="4" w:space="0" w:color="auto"/>
              <w:right w:val="single" w:sz="4" w:space="0" w:color="auto"/>
            </w:tcBorders>
          </w:tcPr>
          <w:p w14:paraId="04971AC2" w14:textId="383B432E"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Treton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[69]</w:t>
            </w:r>
            <w:r w:rsidRPr="0050649F">
              <w:rPr>
                <w:rFonts w:ascii="Book Antiqua" w:hAnsi="Book Antiqua"/>
                <w:lang w:val="en-US"/>
              </w:rPr>
              <w:t xml:space="preserve">, 2009 </w:t>
            </w:r>
          </w:p>
        </w:tc>
        <w:tc>
          <w:tcPr>
            <w:tcW w:w="878" w:type="dxa"/>
            <w:tcBorders>
              <w:top w:val="single" w:sz="4" w:space="0" w:color="auto"/>
              <w:left w:val="single" w:sz="4" w:space="0" w:color="auto"/>
              <w:bottom w:val="single" w:sz="4" w:space="0" w:color="auto"/>
              <w:right w:val="single" w:sz="4" w:space="0" w:color="auto"/>
            </w:tcBorders>
          </w:tcPr>
          <w:p w14:paraId="33EA2A7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mc</w:t>
            </w:r>
          </w:p>
        </w:tc>
        <w:tc>
          <w:tcPr>
            <w:tcW w:w="1134" w:type="dxa"/>
            <w:tcBorders>
              <w:top w:val="single" w:sz="4" w:space="0" w:color="auto"/>
              <w:left w:val="single" w:sz="4" w:space="0" w:color="auto"/>
              <w:bottom w:val="single" w:sz="4" w:space="0" w:color="auto"/>
              <w:right w:val="single" w:sz="4" w:space="0" w:color="auto"/>
            </w:tcBorders>
          </w:tcPr>
          <w:p w14:paraId="396BF49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66 CD</w:t>
            </w:r>
          </w:p>
        </w:tc>
        <w:tc>
          <w:tcPr>
            <w:tcW w:w="1559" w:type="dxa"/>
            <w:tcBorders>
              <w:top w:val="single" w:sz="4" w:space="0" w:color="auto"/>
              <w:left w:val="single" w:sz="4" w:space="0" w:color="auto"/>
              <w:bottom w:val="single" w:sz="4" w:space="0" w:color="auto"/>
              <w:right w:val="single" w:sz="4" w:space="0" w:color="auto"/>
            </w:tcBorders>
          </w:tcPr>
          <w:p w14:paraId="7D932B2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AZA discontinuation</w:t>
            </w:r>
          </w:p>
        </w:tc>
        <w:tc>
          <w:tcPr>
            <w:tcW w:w="1440" w:type="dxa"/>
            <w:tcBorders>
              <w:top w:val="single" w:sz="4" w:space="0" w:color="auto"/>
              <w:left w:val="single" w:sz="4" w:space="0" w:color="auto"/>
              <w:bottom w:val="single" w:sz="4" w:space="0" w:color="auto"/>
              <w:right w:val="single" w:sz="4" w:space="0" w:color="auto"/>
            </w:tcBorders>
          </w:tcPr>
          <w:p w14:paraId="11EA8ED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Median f-u: 54 mo </w:t>
            </w:r>
          </w:p>
          <w:p w14:paraId="6E77BA7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(IQR 20-69 mo)</w:t>
            </w:r>
          </w:p>
        </w:tc>
        <w:tc>
          <w:tcPr>
            <w:tcW w:w="1679" w:type="dxa"/>
            <w:tcBorders>
              <w:top w:val="single" w:sz="4" w:space="0" w:color="auto"/>
              <w:left w:val="single" w:sz="4" w:space="0" w:color="auto"/>
              <w:bottom w:val="single" w:sz="4" w:space="0" w:color="auto"/>
              <w:right w:val="single" w:sz="4" w:space="0" w:color="auto"/>
            </w:tcBorders>
          </w:tcPr>
          <w:p w14:paraId="0239E6B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assessment </w:t>
            </w:r>
          </w:p>
        </w:tc>
        <w:tc>
          <w:tcPr>
            <w:tcW w:w="1701" w:type="dxa"/>
            <w:tcBorders>
              <w:top w:val="single" w:sz="4" w:space="0" w:color="auto"/>
              <w:left w:val="single" w:sz="4" w:space="0" w:color="auto"/>
              <w:bottom w:val="single" w:sz="4" w:space="0" w:color="auto"/>
              <w:right w:val="single" w:sz="4" w:space="0" w:color="auto"/>
            </w:tcBorders>
          </w:tcPr>
          <w:p w14:paraId="0255A36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p w14:paraId="2A6B3A02" w14:textId="77777777" w:rsidR="00A24C79" w:rsidRPr="0050649F" w:rsidRDefault="00A24C79" w:rsidP="00C97716">
            <w:pPr>
              <w:spacing w:line="360" w:lineRule="auto"/>
              <w:jc w:val="both"/>
              <w:rPr>
                <w:rFonts w:ascii="Book Antiqua" w:hAnsi="Book Antiqua"/>
                <w:lang w:val="en-US"/>
              </w:rPr>
            </w:pPr>
          </w:p>
        </w:tc>
        <w:tc>
          <w:tcPr>
            <w:tcW w:w="2409" w:type="dxa"/>
            <w:tcBorders>
              <w:top w:val="single" w:sz="4" w:space="0" w:color="auto"/>
              <w:left w:val="single" w:sz="4" w:space="0" w:color="auto"/>
              <w:bottom w:val="single" w:sz="4" w:space="0" w:color="auto"/>
              <w:right w:val="single" w:sz="4" w:space="0" w:color="auto"/>
            </w:tcBorders>
          </w:tcPr>
          <w:p w14:paraId="6E9D2C0C" w14:textId="165D373C" w:rsidR="00A24C79" w:rsidRPr="0050649F" w:rsidRDefault="00A2214A" w:rsidP="00C97716">
            <w:pPr>
              <w:spacing w:line="360" w:lineRule="auto"/>
              <w:jc w:val="both"/>
              <w:rPr>
                <w:rFonts w:ascii="Book Antiqua" w:hAnsi="Book Antiqua"/>
                <w:lang w:val="nb-NO"/>
              </w:rPr>
            </w:pPr>
            <w:r w:rsidRPr="0050649F">
              <w:rPr>
                <w:rFonts w:ascii="Book Antiqua" w:hAnsi="Book Antiqua"/>
                <w:lang w:val="nb-NO"/>
              </w:rPr>
              <w:t>A</w:t>
            </w:r>
            <w:r w:rsidR="00A24C79" w:rsidRPr="0050649F">
              <w:rPr>
                <w:rFonts w:ascii="Book Antiqua" w:hAnsi="Book Antiqua"/>
                <w:lang w:val="nb-NO"/>
              </w:rPr>
              <w:t>t 1 yr 14%,</w:t>
            </w:r>
          </w:p>
          <w:p w14:paraId="1EAFABF1"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at 3 yr 53%,</w:t>
            </w:r>
          </w:p>
          <w:p w14:paraId="5463FF76"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at 5 yr 62%.</w:t>
            </w:r>
          </w:p>
        </w:tc>
        <w:tc>
          <w:tcPr>
            <w:tcW w:w="2552" w:type="dxa"/>
            <w:tcBorders>
              <w:top w:val="single" w:sz="4" w:space="0" w:color="auto"/>
              <w:left w:val="single" w:sz="4" w:space="0" w:color="auto"/>
              <w:bottom w:val="single" w:sz="4" w:space="0" w:color="auto"/>
              <w:right w:val="single" w:sz="4" w:space="0" w:color="auto"/>
            </w:tcBorders>
          </w:tcPr>
          <w:p w14:paraId="1B4C3394" w14:textId="1C3ECE6B"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Risk factors for relapse: </w:t>
            </w:r>
            <w:r w:rsidR="00A2214A" w:rsidRPr="0050649F">
              <w:rPr>
                <w:rFonts w:ascii="Book Antiqua" w:hAnsi="Book Antiqua"/>
                <w:lang w:val="en-US"/>
              </w:rPr>
              <w:t>H</w:t>
            </w:r>
            <w:r w:rsidR="00A2214A">
              <w:rPr>
                <w:rFonts w:ascii="Book Antiqua" w:hAnsi="Book Antiqua"/>
                <w:lang w:val="en-US"/>
              </w:rPr>
              <w:t>igher WCB count</w:t>
            </w:r>
          </w:p>
        </w:tc>
      </w:tr>
      <w:tr w:rsidR="0050649F" w:rsidRPr="0050649F" w14:paraId="56200486" w14:textId="77777777" w:rsidTr="008D57EC">
        <w:tc>
          <w:tcPr>
            <w:tcW w:w="1573" w:type="dxa"/>
            <w:tcBorders>
              <w:top w:val="single" w:sz="4" w:space="0" w:color="auto"/>
              <w:left w:val="single" w:sz="4" w:space="0" w:color="auto"/>
              <w:bottom w:val="single" w:sz="4" w:space="0" w:color="auto"/>
              <w:right w:val="single" w:sz="4" w:space="0" w:color="auto"/>
            </w:tcBorders>
          </w:tcPr>
          <w:p w14:paraId="60D3ED81" w14:textId="2D79E79A"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Kennedy</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[70]</w:t>
            </w:r>
            <w:r w:rsidRPr="0050649F">
              <w:rPr>
                <w:rFonts w:ascii="Book Antiqua" w:hAnsi="Book Antiqua"/>
                <w:lang w:val="en-US"/>
              </w:rPr>
              <w:t xml:space="preserve">, 2014 </w:t>
            </w:r>
          </w:p>
        </w:tc>
        <w:tc>
          <w:tcPr>
            <w:tcW w:w="878" w:type="dxa"/>
            <w:tcBorders>
              <w:top w:val="single" w:sz="4" w:space="0" w:color="auto"/>
              <w:left w:val="single" w:sz="4" w:space="0" w:color="auto"/>
              <w:bottom w:val="single" w:sz="4" w:space="0" w:color="auto"/>
              <w:right w:val="single" w:sz="4" w:space="0" w:color="auto"/>
            </w:tcBorders>
          </w:tcPr>
          <w:p w14:paraId="3D4B636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mc</w:t>
            </w:r>
          </w:p>
        </w:tc>
        <w:tc>
          <w:tcPr>
            <w:tcW w:w="1134" w:type="dxa"/>
            <w:tcBorders>
              <w:top w:val="single" w:sz="4" w:space="0" w:color="auto"/>
              <w:left w:val="single" w:sz="4" w:space="0" w:color="auto"/>
              <w:bottom w:val="single" w:sz="4" w:space="0" w:color="auto"/>
              <w:right w:val="single" w:sz="4" w:space="0" w:color="auto"/>
            </w:tcBorders>
          </w:tcPr>
          <w:p w14:paraId="1032263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129 CD</w:t>
            </w:r>
          </w:p>
          <w:p w14:paraId="6EF0C8B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108 UC</w:t>
            </w:r>
          </w:p>
        </w:tc>
        <w:tc>
          <w:tcPr>
            <w:tcW w:w="1559" w:type="dxa"/>
            <w:tcBorders>
              <w:top w:val="single" w:sz="4" w:space="0" w:color="auto"/>
              <w:left w:val="single" w:sz="4" w:space="0" w:color="auto"/>
              <w:bottom w:val="single" w:sz="4" w:space="0" w:color="auto"/>
              <w:right w:val="single" w:sz="4" w:space="0" w:color="auto"/>
            </w:tcBorders>
          </w:tcPr>
          <w:p w14:paraId="26522D2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Thiopurine discontinuation</w:t>
            </w:r>
          </w:p>
        </w:tc>
        <w:tc>
          <w:tcPr>
            <w:tcW w:w="1440" w:type="dxa"/>
            <w:tcBorders>
              <w:top w:val="single" w:sz="4" w:space="0" w:color="auto"/>
              <w:left w:val="single" w:sz="4" w:space="0" w:color="auto"/>
              <w:bottom w:val="single" w:sz="4" w:space="0" w:color="auto"/>
              <w:right w:val="single" w:sz="4" w:space="0" w:color="auto"/>
            </w:tcBorders>
          </w:tcPr>
          <w:p w14:paraId="399A8B5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12 mo and 24 mo</w:t>
            </w:r>
          </w:p>
        </w:tc>
        <w:tc>
          <w:tcPr>
            <w:tcW w:w="1679" w:type="dxa"/>
            <w:tcBorders>
              <w:top w:val="single" w:sz="4" w:space="0" w:color="auto"/>
              <w:left w:val="single" w:sz="4" w:space="0" w:color="auto"/>
              <w:bottom w:val="single" w:sz="4" w:space="0" w:color="auto"/>
              <w:right w:val="single" w:sz="4" w:space="0" w:color="auto"/>
            </w:tcBorders>
          </w:tcPr>
          <w:p w14:paraId="78DFF9C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701" w:type="dxa"/>
            <w:tcBorders>
              <w:top w:val="single" w:sz="4" w:space="0" w:color="auto"/>
              <w:left w:val="single" w:sz="4" w:space="0" w:color="auto"/>
              <w:bottom w:val="single" w:sz="4" w:space="0" w:color="auto"/>
              <w:right w:val="single" w:sz="4" w:space="0" w:color="auto"/>
            </w:tcBorders>
          </w:tcPr>
          <w:p w14:paraId="437DD5C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409" w:type="dxa"/>
            <w:tcBorders>
              <w:top w:val="single" w:sz="4" w:space="0" w:color="auto"/>
              <w:left w:val="single" w:sz="4" w:space="0" w:color="auto"/>
              <w:bottom w:val="single" w:sz="4" w:space="0" w:color="auto"/>
              <w:right w:val="single" w:sz="4" w:space="0" w:color="auto"/>
            </w:tcBorders>
          </w:tcPr>
          <w:p w14:paraId="4D7E293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CD at 12 mo: severe 8.5%, moderate 14%</w:t>
            </w:r>
            <w:proofErr w:type="gramStart"/>
            <w:r w:rsidRPr="0050649F">
              <w:rPr>
                <w:rFonts w:ascii="Book Antiqua" w:hAnsi="Book Antiqua"/>
                <w:lang w:val="en-US"/>
              </w:rPr>
              <w:t>;</w:t>
            </w:r>
            <w:proofErr w:type="gramEnd"/>
            <w:r w:rsidRPr="0050649F">
              <w:rPr>
                <w:rFonts w:ascii="Book Antiqua" w:hAnsi="Book Antiqua"/>
                <w:lang w:val="en-US"/>
              </w:rPr>
              <w:t xml:space="preserve"> at 24 mo: severe 12%, moderate 27%. </w:t>
            </w:r>
          </w:p>
          <w:p w14:paraId="7BFF6C6E"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en-US"/>
              </w:rPr>
              <w:t>UC at 12 mo: severe 0%, moderate 12%; at 24 mo: severe 3%, moderate 22%</w:t>
            </w:r>
          </w:p>
        </w:tc>
        <w:tc>
          <w:tcPr>
            <w:tcW w:w="2552" w:type="dxa"/>
            <w:tcBorders>
              <w:top w:val="single" w:sz="4" w:space="0" w:color="auto"/>
              <w:left w:val="single" w:sz="4" w:space="0" w:color="auto"/>
              <w:bottom w:val="single" w:sz="4" w:space="0" w:color="auto"/>
              <w:right w:val="single" w:sz="4" w:space="0" w:color="auto"/>
            </w:tcBorders>
          </w:tcPr>
          <w:p w14:paraId="10EFAF2D" w14:textId="5F01FC06"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Risk factors for relapse: </w:t>
            </w:r>
            <w:r w:rsidR="00A2214A" w:rsidRPr="0050649F">
              <w:rPr>
                <w:rFonts w:ascii="Book Antiqua" w:hAnsi="Book Antiqua"/>
                <w:lang w:val="en-US"/>
              </w:rPr>
              <w:t>E</w:t>
            </w:r>
            <w:r w:rsidRPr="0050649F">
              <w:rPr>
                <w:rFonts w:ascii="Book Antiqua" w:hAnsi="Book Antiqua"/>
                <w:lang w:val="en-US"/>
              </w:rPr>
              <w:t>levated CRP (only in CD),</w:t>
            </w:r>
            <w:r w:rsidR="00394C77">
              <w:rPr>
                <w:rFonts w:ascii="Book Antiqua" w:hAnsi="Book Antiqua"/>
                <w:lang w:val="en-US"/>
              </w:rPr>
              <w:t xml:space="preserve"> higher WBC count (only in UC)</w:t>
            </w:r>
          </w:p>
        </w:tc>
      </w:tr>
      <w:tr w:rsidR="0050649F" w:rsidRPr="0050649F" w14:paraId="68BCE984" w14:textId="77777777" w:rsidTr="008D57EC">
        <w:tc>
          <w:tcPr>
            <w:tcW w:w="1573" w:type="dxa"/>
            <w:tcBorders>
              <w:top w:val="single" w:sz="4" w:space="0" w:color="auto"/>
              <w:left w:val="single" w:sz="4" w:space="0" w:color="auto"/>
              <w:bottom w:val="single" w:sz="4" w:space="0" w:color="auto"/>
              <w:right w:val="single" w:sz="4" w:space="0" w:color="auto"/>
            </w:tcBorders>
          </w:tcPr>
          <w:p w14:paraId="255A64D8" w14:textId="4691374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Moreno-Rincón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[71]</w:t>
            </w:r>
            <w:r w:rsidRPr="0050649F">
              <w:rPr>
                <w:rFonts w:ascii="Book Antiqua" w:hAnsi="Book Antiqua"/>
                <w:lang w:val="en-US"/>
              </w:rPr>
              <w:t xml:space="preserve">, 2015 </w:t>
            </w:r>
          </w:p>
        </w:tc>
        <w:tc>
          <w:tcPr>
            <w:tcW w:w="878" w:type="dxa"/>
            <w:tcBorders>
              <w:top w:val="single" w:sz="4" w:space="0" w:color="auto"/>
              <w:left w:val="single" w:sz="4" w:space="0" w:color="auto"/>
              <w:bottom w:val="single" w:sz="4" w:space="0" w:color="auto"/>
              <w:right w:val="single" w:sz="4" w:space="0" w:color="auto"/>
            </w:tcBorders>
          </w:tcPr>
          <w:p w14:paraId="17DB75F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mc</w:t>
            </w:r>
          </w:p>
        </w:tc>
        <w:tc>
          <w:tcPr>
            <w:tcW w:w="1134" w:type="dxa"/>
            <w:tcBorders>
              <w:top w:val="single" w:sz="4" w:space="0" w:color="auto"/>
              <w:left w:val="single" w:sz="4" w:space="0" w:color="auto"/>
              <w:bottom w:val="single" w:sz="4" w:space="0" w:color="auto"/>
              <w:right w:val="single" w:sz="4" w:space="0" w:color="auto"/>
            </w:tcBorders>
          </w:tcPr>
          <w:p w14:paraId="5949EAE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102 UC </w:t>
            </w:r>
          </w:p>
        </w:tc>
        <w:tc>
          <w:tcPr>
            <w:tcW w:w="1559" w:type="dxa"/>
            <w:tcBorders>
              <w:top w:val="single" w:sz="4" w:space="0" w:color="auto"/>
              <w:left w:val="single" w:sz="4" w:space="0" w:color="auto"/>
              <w:bottom w:val="single" w:sz="4" w:space="0" w:color="auto"/>
              <w:right w:val="single" w:sz="4" w:space="0" w:color="auto"/>
            </w:tcBorders>
          </w:tcPr>
          <w:p w14:paraId="03C5C67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Thiopurine</w:t>
            </w:r>
          </w:p>
          <w:p w14:paraId="555C54B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discontinuation</w:t>
            </w:r>
          </w:p>
        </w:tc>
        <w:tc>
          <w:tcPr>
            <w:tcW w:w="1440" w:type="dxa"/>
            <w:tcBorders>
              <w:top w:val="single" w:sz="4" w:space="0" w:color="auto"/>
              <w:left w:val="single" w:sz="4" w:space="0" w:color="auto"/>
              <w:bottom w:val="single" w:sz="4" w:space="0" w:color="auto"/>
              <w:right w:val="single" w:sz="4" w:space="0" w:color="auto"/>
            </w:tcBorders>
          </w:tcPr>
          <w:p w14:paraId="522AF03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s-ES"/>
              </w:rPr>
              <w:t xml:space="preserve">Median f-u: </w:t>
            </w:r>
            <w:r w:rsidRPr="0050649F">
              <w:rPr>
                <w:rFonts w:ascii="Book Antiqua" w:hAnsi="Book Antiqua"/>
                <w:lang w:val="en-US"/>
              </w:rPr>
              <w:t>27 mo (IRQ 9-75)</w:t>
            </w:r>
          </w:p>
        </w:tc>
        <w:tc>
          <w:tcPr>
            <w:tcW w:w="1679" w:type="dxa"/>
            <w:tcBorders>
              <w:top w:val="single" w:sz="4" w:space="0" w:color="auto"/>
              <w:left w:val="single" w:sz="4" w:space="0" w:color="auto"/>
              <w:bottom w:val="single" w:sz="4" w:space="0" w:color="auto"/>
              <w:right w:val="single" w:sz="4" w:space="0" w:color="auto"/>
            </w:tcBorders>
          </w:tcPr>
          <w:p w14:paraId="544EFC0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701" w:type="dxa"/>
            <w:tcBorders>
              <w:top w:val="single" w:sz="4" w:space="0" w:color="auto"/>
              <w:left w:val="single" w:sz="4" w:space="0" w:color="auto"/>
              <w:bottom w:val="single" w:sz="4" w:space="0" w:color="auto"/>
              <w:right w:val="single" w:sz="4" w:space="0" w:color="auto"/>
            </w:tcBorders>
          </w:tcPr>
          <w:p w14:paraId="75273DE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409" w:type="dxa"/>
            <w:tcBorders>
              <w:top w:val="single" w:sz="4" w:space="0" w:color="auto"/>
              <w:left w:val="single" w:sz="4" w:space="0" w:color="auto"/>
              <w:bottom w:val="single" w:sz="4" w:space="0" w:color="auto"/>
              <w:right w:val="single" w:sz="4" w:space="0" w:color="auto"/>
            </w:tcBorders>
          </w:tcPr>
          <w:p w14:paraId="7D7FC5CC" w14:textId="158EA448" w:rsidR="00A24C79" w:rsidRPr="0050649F" w:rsidRDefault="00A2214A" w:rsidP="00C97716">
            <w:pPr>
              <w:spacing w:line="360" w:lineRule="auto"/>
              <w:jc w:val="both"/>
              <w:rPr>
                <w:rFonts w:ascii="Book Antiqua" w:hAnsi="Book Antiqua"/>
                <w:lang w:val="en-US"/>
              </w:rPr>
            </w:pPr>
            <w:r w:rsidRPr="0050649F">
              <w:rPr>
                <w:rFonts w:ascii="Book Antiqua" w:hAnsi="Book Antiqua"/>
                <w:lang w:val="en-US"/>
              </w:rPr>
              <w:t>A</w:t>
            </w:r>
            <w:r w:rsidR="00A24C79" w:rsidRPr="0050649F">
              <w:rPr>
                <w:rFonts w:ascii="Book Antiqua" w:hAnsi="Book Antiqua"/>
                <w:lang w:val="en-US"/>
              </w:rPr>
              <w:t xml:space="preserve">t 1 yr: 18.8%, </w:t>
            </w:r>
          </w:p>
          <w:p w14:paraId="29D42A8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at 3 yr: 36.5%,</w:t>
            </w:r>
          </w:p>
          <w:p w14:paraId="4B6F7965" w14:textId="77777777" w:rsidR="00A24C79" w:rsidRPr="0050649F" w:rsidRDefault="00A24C79" w:rsidP="00C97716">
            <w:pPr>
              <w:spacing w:line="360" w:lineRule="auto"/>
              <w:jc w:val="both"/>
              <w:rPr>
                <w:rFonts w:ascii="Book Antiqua" w:hAnsi="Book Antiqua"/>
                <w:lang w:val="en-GB"/>
              </w:rPr>
            </w:pPr>
            <w:r w:rsidRPr="0050649F">
              <w:rPr>
                <w:rFonts w:ascii="Book Antiqua" w:hAnsi="Book Antiqua"/>
                <w:lang w:val="en-US"/>
              </w:rPr>
              <w:t>at 5 yr: 43%</w:t>
            </w:r>
          </w:p>
        </w:tc>
        <w:tc>
          <w:tcPr>
            <w:tcW w:w="2552" w:type="dxa"/>
            <w:tcBorders>
              <w:top w:val="single" w:sz="4" w:space="0" w:color="auto"/>
              <w:left w:val="single" w:sz="4" w:space="0" w:color="auto"/>
              <w:bottom w:val="single" w:sz="4" w:space="0" w:color="auto"/>
              <w:right w:val="single" w:sz="4" w:space="0" w:color="auto"/>
            </w:tcBorders>
          </w:tcPr>
          <w:p w14:paraId="0E90EC10" w14:textId="0799B69D"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Risk factors for relapse: Biological remission, thiopurine treatment duration, </w:t>
            </w:r>
            <w:r w:rsidRPr="0050649F">
              <w:rPr>
                <w:rFonts w:ascii="Book Antiqua" w:hAnsi="Book Antiqua"/>
                <w:lang w:val="en-US"/>
              </w:rPr>
              <w:lastRenderedPageBreak/>
              <w:t>pancolitis, time from diagnosis until the starting of thiopurines, number of</w:t>
            </w:r>
            <w:r w:rsidR="00A2214A">
              <w:rPr>
                <w:rFonts w:ascii="Book Antiqua" w:hAnsi="Book Antiqua"/>
                <w:lang w:val="en-US"/>
              </w:rPr>
              <w:t xml:space="preserve"> relapse before the withdrawal</w:t>
            </w:r>
          </w:p>
        </w:tc>
      </w:tr>
      <w:tr w:rsidR="0050649F" w:rsidRPr="0050649F" w14:paraId="1B0728DC" w14:textId="77777777" w:rsidTr="008D57EC">
        <w:tc>
          <w:tcPr>
            <w:tcW w:w="1573" w:type="dxa"/>
            <w:tcBorders>
              <w:top w:val="single" w:sz="4" w:space="0" w:color="auto"/>
              <w:left w:val="single" w:sz="4" w:space="0" w:color="auto"/>
              <w:bottom w:val="single" w:sz="4" w:space="0" w:color="auto"/>
              <w:right w:val="single" w:sz="4" w:space="0" w:color="auto"/>
            </w:tcBorders>
          </w:tcPr>
          <w:p w14:paraId="325766A3" w14:textId="0C3A8CE4"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lastRenderedPageBreak/>
              <w:t>Qiu</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[72]</w:t>
            </w:r>
            <w:r w:rsidRPr="0050649F">
              <w:rPr>
                <w:rFonts w:ascii="Book Antiqua" w:hAnsi="Book Antiqua"/>
                <w:lang w:val="en-US"/>
              </w:rPr>
              <w:t xml:space="preserve">, 2015 </w:t>
            </w:r>
          </w:p>
        </w:tc>
        <w:tc>
          <w:tcPr>
            <w:tcW w:w="878" w:type="dxa"/>
            <w:tcBorders>
              <w:top w:val="single" w:sz="4" w:space="0" w:color="auto"/>
              <w:left w:val="single" w:sz="4" w:space="0" w:color="auto"/>
              <w:bottom w:val="single" w:sz="4" w:space="0" w:color="auto"/>
              <w:right w:val="single" w:sz="4" w:space="0" w:color="auto"/>
            </w:tcBorders>
          </w:tcPr>
          <w:p w14:paraId="5E09547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1134" w:type="dxa"/>
            <w:tcBorders>
              <w:top w:val="single" w:sz="4" w:space="0" w:color="auto"/>
              <w:left w:val="single" w:sz="4" w:space="0" w:color="auto"/>
              <w:bottom w:val="single" w:sz="4" w:space="0" w:color="auto"/>
              <w:right w:val="single" w:sz="4" w:space="0" w:color="auto"/>
            </w:tcBorders>
          </w:tcPr>
          <w:p w14:paraId="26F9CCC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109 CD</w:t>
            </w:r>
          </w:p>
        </w:tc>
        <w:tc>
          <w:tcPr>
            <w:tcW w:w="1559" w:type="dxa"/>
            <w:tcBorders>
              <w:top w:val="single" w:sz="4" w:space="0" w:color="auto"/>
              <w:left w:val="single" w:sz="4" w:space="0" w:color="auto"/>
              <w:bottom w:val="single" w:sz="4" w:space="0" w:color="auto"/>
              <w:right w:val="single" w:sz="4" w:space="0" w:color="auto"/>
            </w:tcBorders>
          </w:tcPr>
          <w:p w14:paraId="58325BB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Thiopurine</w:t>
            </w:r>
          </w:p>
          <w:p w14:paraId="1EF6534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discontinuation</w:t>
            </w:r>
          </w:p>
        </w:tc>
        <w:tc>
          <w:tcPr>
            <w:tcW w:w="1440" w:type="dxa"/>
            <w:tcBorders>
              <w:top w:val="single" w:sz="4" w:space="0" w:color="auto"/>
              <w:left w:val="single" w:sz="4" w:space="0" w:color="auto"/>
              <w:bottom w:val="single" w:sz="4" w:space="0" w:color="auto"/>
              <w:right w:val="single" w:sz="4" w:space="0" w:color="auto"/>
            </w:tcBorders>
          </w:tcPr>
          <w:p w14:paraId="6AE4A62C" w14:textId="77777777" w:rsidR="00A24C79" w:rsidRPr="0050649F" w:rsidRDefault="00A24C79" w:rsidP="00C97716">
            <w:pPr>
              <w:spacing w:line="360" w:lineRule="auto"/>
              <w:jc w:val="both"/>
              <w:rPr>
                <w:rFonts w:ascii="Book Antiqua" w:hAnsi="Book Antiqua"/>
                <w:lang w:val="es-ES"/>
              </w:rPr>
            </w:pPr>
            <w:r w:rsidRPr="0050649F">
              <w:rPr>
                <w:rFonts w:ascii="Book Antiqua" w:hAnsi="Book Antiqua"/>
                <w:lang w:val="es-ES"/>
              </w:rPr>
              <w:t>Median f-u: 46 mo (IQR 27-67)</w:t>
            </w:r>
          </w:p>
        </w:tc>
        <w:tc>
          <w:tcPr>
            <w:tcW w:w="1679" w:type="dxa"/>
            <w:tcBorders>
              <w:top w:val="single" w:sz="4" w:space="0" w:color="auto"/>
              <w:left w:val="single" w:sz="4" w:space="0" w:color="auto"/>
              <w:bottom w:val="single" w:sz="4" w:space="0" w:color="auto"/>
              <w:right w:val="single" w:sz="4" w:space="0" w:color="auto"/>
            </w:tcBorders>
          </w:tcPr>
          <w:p w14:paraId="60C7E3B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and endoscopic assessment</w:t>
            </w:r>
          </w:p>
        </w:tc>
        <w:tc>
          <w:tcPr>
            <w:tcW w:w="1701" w:type="dxa"/>
            <w:tcBorders>
              <w:top w:val="single" w:sz="4" w:space="0" w:color="auto"/>
              <w:left w:val="single" w:sz="4" w:space="0" w:color="auto"/>
              <w:bottom w:val="single" w:sz="4" w:space="0" w:color="auto"/>
              <w:right w:val="single" w:sz="4" w:space="0" w:color="auto"/>
            </w:tcBorders>
          </w:tcPr>
          <w:p w14:paraId="6F77B58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409" w:type="dxa"/>
            <w:tcBorders>
              <w:top w:val="single" w:sz="4" w:space="0" w:color="auto"/>
              <w:left w:val="single" w:sz="4" w:space="0" w:color="auto"/>
              <w:bottom w:val="single" w:sz="4" w:space="0" w:color="auto"/>
              <w:right w:val="single" w:sz="4" w:space="0" w:color="auto"/>
            </w:tcBorders>
          </w:tcPr>
          <w:p w14:paraId="5E7BD1E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45% endoscopic flare, 37% clinical flare, 16% surgery, 23% hospitalization</w:t>
            </w:r>
          </w:p>
        </w:tc>
        <w:tc>
          <w:tcPr>
            <w:tcW w:w="2552" w:type="dxa"/>
            <w:tcBorders>
              <w:top w:val="single" w:sz="4" w:space="0" w:color="auto"/>
              <w:left w:val="single" w:sz="4" w:space="0" w:color="auto"/>
              <w:bottom w:val="single" w:sz="4" w:space="0" w:color="auto"/>
              <w:right w:val="single" w:sz="4" w:space="0" w:color="auto"/>
            </w:tcBorders>
          </w:tcPr>
          <w:p w14:paraId="4F30B7C7" w14:textId="26DDA900" w:rsidR="00A24C79" w:rsidRPr="00A2214A"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prior bowel complication, perianal disease at diagnosis, CRP &gt;</w:t>
            </w:r>
            <w:r w:rsidR="00A2214A">
              <w:rPr>
                <w:rFonts w:ascii="Book Antiqua" w:eastAsia="宋体" w:hAnsi="Book Antiqua" w:hint="eastAsia"/>
                <w:lang w:val="en-US" w:eastAsia="zh-CN"/>
              </w:rPr>
              <w:t xml:space="preserve"> </w:t>
            </w:r>
            <w:r w:rsidRPr="0050649F">
              <w:rPr>
                <w:rFonts w:ascii="Book Antiqua" w:hAnsi="Book Antiqua"/>
                <w:lang w:val="en-US"/>
              </w:rPr>
              <w:t>3 mg/</w:t>
            </w:r>
            <w:r w:rsidR="00A2214A" w:rsidRPr="0050649F">
              <w:rPr>
                <w:rFonts w:ascii="Book Antiqua" w:hAnsi="Book Antiqua"/>
                <w:lang w:val="en-US"/>
              </w:rPr>
              <w:t>L</w:t>
            </w:r>
          </w:p>
        </w:tc>
      </w:tr>
    </w:tbl>
    <w:p w14:paraId="7CB7320C" w14:textId="77777777" w:rsidR="00A24C79" w:rsidRPr="0050649F" w:rsidRDefault="00A24C79" w:rsidP="00C97716">
      <w:pPr>
        <w:spacing w:line="360" w:lineRule="auto"/>
        <w:jc w:val="both"/>
        <w:rPr>
          <w:rFonts w:ascii="Book Antiqua" w:hAnsi="Book Antiqua"/>
          <w:b/>
          <w:lang w:val="en-US"/>
        </w:rPr>
      </w:pPr>
    </w:p>
    <w:p w14:paraId="6897F09A" w14:textId="77777777" w:rsidR="00394C77" w:rsidRPr="005C47DD" w:rsidRDefault="00394C77" w:rsidP="00394C77">
      <w:pPr>
        <w:spacing w:line="360" w:lineRule="auto"/>
        <w:jc w:val="both"/>
        <w:rPr>
          <w:rFonts w:ascii="Book Antiqua" w:eastAsiaTheme="minorEastAsia" w:hAnsi="Book Antiqua"/>
          <w:lang w:val="en-US" w:eastAsia="zh-CN"/>
        </w:rPr>
      </w:pPr>
      <w:r w:rsidRPr="0050649F">
        <w:rPr>
          <w:rFonts w:ascii="Book Antiqua" w:hAnsi="Book Antiqua"/>
          <w:lang w:val="en-US"/>
        </w:rPr>
        <w:t>RCT</w:t>
      </w:r>
      <w:r>
        <w:rPr>
          <w:rFonts w:ascii="Book Antiqua" w:eastAsiaTheme="minorEastAsia" w:hAnsi="Book Antiqua" w:hint="eastAsia"/>
          <w:lang w:val="en-US" w:eastAsia="zh-CN"/>
        </w:rPr>
        <w:t>:</w:t>
      </w:r>
      <w:r w:rsidRPr="0050649F">
        <w:rPr>
          <w:rFonts w:ascii="Book Antiqua" w:hAnsi="Book Antiqua"/>
          <w:lang w:val="en-US"/>
        </w:rPr>
        <w:t xml:space="preserve"> Randomized controlled trial</w:t>
      </w:r>
      <w:r>
        <w:rPr>
          <w:rFonts w:ascii="Book Antiqua" w:eastAsiaTheme="minorEastAsia" w:hAnsi="Book Antiqua" w:hint="eastAsia"/>
          <w:lang w:val="en-US" w:eastAsia="zh-CN"/>
        </w:rPr>
        <w:t>;</w:t>
      </w:r>
      <w:r w:rsidRPr="005C47DD">
        <w:rPr>
          <w:rFonts w:ascii="Book Antiqua" w:hAnsi="Book Antiqua"/>
          <w:lang w:val="en-GB"/>
        </w:rPr>
        <w:t xml:space="preserve"> </w:t>
      </w:r>
      <w:r w:rsidRPr="0050649F">
        <w:rPr>
          <w:rFonts w:ascii="Book Antiqua" w:hAnsi="Book Antiqua"/>
          <w:lang w:val="en-GB"/>
        </w:rPr>
        <w:t>UC</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Ulcerative colitis</w:t>
      </w:r>
      <w:r>
        <w:rPr>
          <w:rFonts w:ascii="Book Antiqua" w:eastAsia="宋体" w:hAnsi="Book Antiqua" w:hint="eastAsia"/>
          <w:lang w:val="en-GB" w:eastAsia="zh-CN"/>
        </w:rPr>
        <w:t xml:space="preserve">; </w:t>
      </w:r>
      <w:r w:rsidRPr="0050649F">
        <w:rPr>
          <w:rFonts w:ascii="Book Antiqua" w:hAnsi="Book Antiqua"/>
          <w:lang w:val="en-GB"/>
        </w:rPr>
        <w:t>CD</w:t>
      </w:r>
      <w:r>
        <w:rPr>
          <w:rFonts w:ascii="Book Antiqua" w:eastAsiaTheme="minorEastAsia" w:hAnsi="Book Antiqua" w:hint="eastAsia"/>
          <w:lang w:val="en-GB" w:eastAsia="zh-CN"/>
        </w:rPr>
        <w:t>:</w:t>
      </w:r>
      <w:r w:rsidRPr="00D60D0C">
        <w:rPr>
          <w:rFonts w:ascii="Book Antiqua" w:hAnsi="Book Antiqua"/>
          <w:lang w:val="en-GB"/>
        </w:rPr>
        <w:t xml:space="preserve"> </w:t>
      </w:r>
      <w:r w:rsidRPr="0050649F">
        <w:rPr>
          <w:rFonts w:ascii="Book Antiqua" w:hAnsi="Book Antiqua"/>
          <w:lang w:val="en-GB"/>
        </w:rPr>
        <w:t>Crohn’s disease</w:t>
      </w:r>
      <w:r>
        <w:rPr>
          <w:rFonts w:ascii="Book Antiqua" w:eastAsia="宋体" w:hAnsi="Book Antiqua" w:hint="eastAsia"/>
          <w:lang w:val="en-GB" w:eastAsia="zh-CN"/>
        </w:rPr>
        <w:t>;</w:t>
      </w:r>
      <w:r w:rsidRPr="005C47DD">
        <w:rPr>
          <w:rFonts w:ascii="Book Antiqua" w:hAnsi="Book Antiqua"/>
          <w:lang w:val="fr-FR"/>
        </w:rPr>
        <w:t xml:space="preserve"> </w:t>
      </w:r>
      <w:r w:rsidRPr="0050649F">
        <w:rPr>
          <w:rFonts w:ascii="Book Antiqua" w:hAnsi="Book Antiqua"/>
          <w:lang w:val="fr-FR"/>
        </w:rPr>
        <w:t>mc</w:t>
      </w:r>
      <w:r>
        <w:rPr>
          <w:rFonts w:ascii="Book Antiqua" w:eastAsiaTheme="minorEastAsia" w:hAnsi="Book Antiqua" w:hint="eastAsia"/>
          <w:lang w:val="fr-FR" w:eastAsia="zh-CN"/>
        </w:rPr>
        <w:t>:</w:t>
      </w:r>
      <w:r w:rsidRPr="0050649F">
        <w:rPr>
          <w:rFonts w:ascii="Book Antiqua" w:hAnsi="Book Antiqua"/>
          <w:lang w:val="fr-FR"/>
        </w:rPr>
        <w:t xml:space="preserve"> Multicenter</w:t>
      </w:r>
      <w:r>
        <w:rPr>
          <w:rFonts w:ascii="Book Antiqua" w:eastAsiaTheme="minorEastAsia" w:hAnsi="Book Antiqua" w:hint="eastAsia"/>
          <w:lang w:val="fr-FR" w:eastAsia="zh-CN"/>
        </w:rPr>
        <w:t>;</w:t>
      </w:r>
      <w:r w:rsidRPr="00D60D0C">
        <w:rPr>
          <w:rFonts w:ascii="Book Antiqua" w:hAnsi="Book Antiqua"/>
          <w:lang w:val="fr-FR"/>
        </w:rPr>
        <w:t xml:space="preserve"> </w:t>
      </w:r>
      <w:r w:rsidRPr="0050649F">
        <w:rPr>
          <w:rFonts w:ascii="Book Antiqua" w:hAnsi="Book Antiqua"/>
          <w:lang w:val="fr-FR"/>
        </w:rPr>
        <w:t>db</w:t>
      </w:r>
      <w:r>
        <w:rPr>
          <w:rFonts w:ascii="Book Antiqua" w:eastAsiaTheme="minorEastAsia" w:hAnsi="Book Antiqua" w:hint="eastAsia"/>
          <w:lang w:val="fr-FR" w:eastAsia="zh-CN"/>
        </w:rPr>
        <w:t>:</w:t>
      </w:r>
      <w:r w:rsidRPr="0050649F">
        <w:rPr>
          <w:rFonts w:ascii="Book Antiqua" w:hAnsi="Book Antiqua"/>
          <w:lang w:val="fr-FR"/>
        </w:rPr>
        <w:t xml:space="preserve"> Double-blind</w:t>
      </w:r>
      <w:r>
        <w:rPr>
          <w:rFonts w:ascii="Book Antiqua" w:eastAsiaTheme="minorEastAsia" w:hAnsi="Book Antiqua" w:hint="eastAsia"/>
          <w:lang w:val="fr-FR" w:eastAsia="zh-CN"/>
        </w:rPr>
        <w:t>;</w:t>
      </w:r>
      <w:r w:rsidRPr="00D60D0C">
        <w:rPr>
          <w:rFonts w:ascii="Book Antiqua" w:hAnsi="Book Antiqua"/>
          <w:lang w:val="fr-FR"/>
        </w:rPr>
        <w:t xml:space="preserve"> </w:t>
      </w:r>
      <w:r w:rsidRPr="0050649F">
        <w:rPr>
          <w:rFonts w:ascii="Book Antiqua" w:hAnsi="Book Antiqua"/>
          <w:lang w:val="fr-FR"/>
        </w:rPr>
        <w:t>sc</w:t>
      </w:r>
      <w:r>
        <w:rPr>
          <w:rFonts w:ascii="Book Antiqua" w:eastAsiaTheme="minorEastAsia" w:hAnsi="Book Antiqua" w:hint="eastAsia"/>
          <w:lang w:val="fr-FR" w:eastAsia="zh-CN"/>
        </w:rPr>
        <w:t>:</w:t>
      </w:r>
      <w:r w:rsidRPr="0050649F">
        <w:rPr>
          <w:rFonts w:ascii="Book Antiqua" w:hAnsi="Book Antiqua"/>
          <w:lang w:val="fr-FR"/>
        </w:rPr>
        <w:t xml:space="preserve"> Single-centre</w:t>
      </w:r>
      <w:r>
        <w:rPr>
          <w:rFonts w:ascii="Book Antiqua" w:eastAsiaTheme="minorEastAsia" w:hAnsi="Book Antiqua" w:hint="eastAsia"/>
          <w:lang w:val="fr-FR" w:eastAsia="zh-CN"/>
        </w:rPr>
        <w:t>;</w:t>
      </w:r>
      <w:r w:rsidRPr="005C47DD">
        <w:rPr>
          <w:rFonts w:ascii="Book Antiqua" w:hAnsi="Book Antiqua"/>
          <w:lang w:val="en-US"/>
        </w:rPr>
        <w:t xml:space="preserve"> </w:t>
      </w:r>
      <w:r w:rsidRPr="0050649F">
        <w:rPr>
          <w:rFonts w:ascii="Book Antiqua" w:hAnsi="Book Antiqua"/>
          <w:lang w:val="en-US"/>
        </w:rPr>
        <w:t>AZA</w:t>
      </w:r>
      <w:r>
        <w:rPr>
          <w:rFonts w:ascii="Book Antiqua" w:eastAsiaTheme="minorEastAsia" w:hAnsi="Book Antiqua" w:hint="eastAsia"/>
          <w:lang w:val="en-US" w:eastAsia="zh-CN"/>
        </w:rPr>
        <w:t>:</w:t>
      </w:r>
      <w:r w:rsidRPr="0050649F">
        <w:rPr>
          <w:rFonts w:ascii="Book Antiqua" w:hAnsi="Book Antiqua"/>
          <w:lang w:val="en-US"/>
        </w:rPr>
        <w:t xml:space="preserve"> Azathioprine</w:t>
      </w:r>
      <w:r>
        <w:rPr>
          <w:rFonts w:ascii="Book Antiqua" w:eastAsiaTheme="minorEastAsia" w:hAnsi="Book Antiqua" w:hint="eastAsia"/>
          <w:lang w:val="en-US" w:eastAsia="zh-CN"/>
        </w:rPr>
        <w:t>;</w:t>
      </w:r>
      <w:r w:rsidRPr="005C47DD">
        <w:rPr>
          <w:rFonts w:ascii="Book Antiqua" w:hAnsi="Book Antiqua"/>
          <w:lang w:val="en-US"/>
        </w:rPr>
        <w:t xml:space="preserve"> </w:t>
      </w:r>
      <w:r w:rsidRPr="0050649F">
        <w:rPr>
          <w:rFonts w:ascii="Book Antiqua" w:hAnsi="Book Antiqua"/>
          <w:lang w:val="en-US"/>
        </w:rPr>
        <w:t>RA</w:t>
      </w:r>
      <w:r>
        <w:rPr>
          <w:rFonts w:ascii="Book Antiqua" w:eastAsiaTheme="minorEastAsia" w:hAnsi="Book Antiqua" w:hint="eastAsia"/>
          <w:lang w:val="en-US" w:eastAsia="zh-CN"/>
        </w:rPr>
        <w:t>:</w:t>
      </w:r>
      <w:r w:rsidRPr="0050649F">
        <w:rPr>
          <w:rFonts w:ascii="Book Antiqua" w:hAnsi="Book Antiqua"/>
          <w:lang w:val="en-US"/>
        </w:rPr>
        <w:t xml:space="preserve"> Retrospective analysis</w:t>
      </w:r>
      <w:r>
        <w:rPr>
          <w:rFonts w:ascii="Book Antiqua" w:eastAsiaTheme="minorEastAsia" w:hAnsi="Book Antiqua" w:hint="eastAsia"/>
          <w:lang w:val="en-US" w:eastAsia="zh-CN"/>
        </w:rPr>
        <w:t>;</w:t>
      </w:r>
      <w:r w:rsidRPr="005C47DD">
        <w:rPr>
          <w:rFonts w:ascii="Book Antiqua" w:hAnsi="Book Antiqua"/>
          <w:lang w:val="en-US"/>
        </w:rPr>
        <w:t xml:space="preserve"> </w:t>
      </w:r>
      <w:r w:rsidRPr="0050649F">
        <w:rPr>
          <w:rFonts w:ascii="Book Antiqua" w:hAnsi="Book Antiqua"/>
          <w:lang w:val="en-US"/>
        </w:rPr>
        <w:t>PA</w:t>
      </w:r>
      <w:r>
        <w:rPr>
          <w:rFonts w:ascii="Book Antiqua" w:eastAsiaTheme="minorEastAsia" w:hAnsi="Book Antiqua" w:hint="eastAsia"/>
          <w:lang w:val="en-US" w:eastAsia="zh-CN"/>
        </w:rPr>
        <w:t>:</w:t>
      </w:r>
      <w:r w:rsidRPr="0050649F">
        <w:rPr>
          <w:rFonts w:ascii="Book Antiqua" w:hAnsi="Book Antiqua"/>
          <w:lang w:val="en-US"/>
        </w:rPr>
        <w:t xml:space="preserve"> Prospective analysis</w:t>
      </w:r>
      <w:r>
        <w:rPr>
          <w:rFonts w:ascii="Book Antiqua" w:eastAsiaTheme="minorEastAsia" w:hAnsi="Book Antiqua" w:hint="eastAsia"/>
          <w:lang w:val="en-US" w:eastAsia="zh-CN"/>
        </w:rPr>
        <w:t xml:space="preserve">; </w:t>
      </w:r>
      <w:r w:rsidRPr="0050649F">
        <w:rPr>
          <w:rFonts w:ascii="Book Antiqua" w:hAnsi="Book Antiqua"/>
          <w:lang w:val="en-US"/>
        </w:rPr>
        <w:t>IRQ</w:t>
      </w:r>
      <w:r>
        <w:rPr>
          <w:rFonts w:ascii="Book Antiqua" w:eastAsiaTheme="minorEastAsia" w:hAnsi="Book Antiqua" w:hint="eastAsia"/>
          <w:lang w:val="en-US" w:eastAsia="zh-CN"/>
        </w:rPr>
        <w:t>:</w:t>
      </w:r>
      <w:r w:rsidRPr="0050649F">
        <w:rPr>
          <w:rFonts w:ascii="Book Antiqua" w:hAnsi="Book Antiqua"/>
          <w:lang w:val="en-US"/>
        </w:rPr>
        <w:t xml:space="preserve"> Interquartile range</w:t>
      </w:r>
      <w:r>
        <w:rPr>
          <w:rFonts w:ascii="Book Antiqua" w:eastAsiaTheme="minorEastAsia" w:hAnsi="Book Antiqua" w:hint="eastAsia"/>
          <w:lang w:val="en-US" w:eastAsia="zh-CN"/>
        </w:rPr>
        <w:t>;</w:t>
      </w:r>
      <w:r w:rsidRPr="005C47DD">
        <w:rPr>
          <w:rFonts w:ascii="Book Antiqua" w:hAnsi="Book Antiqua"/>
          <w:lang w:val="en-GB"/>
        </w:rPr>
        <w:t xml:space="preserve"> </w:t>
      </w:r>
      <w:r w:rsidRPr="00022BDE">
        <w:rPr>
          <w:rFonts w:ascii="Book Antiqua" w:hAnsi="Book Antiqua"/>
          <w:lang w:val="en-GB"/>
        </w:rPr>
        <w:t>CRP</w:t>
      </w:r>
      <w:r>
        <w:rPr>
          <w:rFonts w:ascii="Book Antiqua" w:eastAsiaTheme="minorEastAsia" w:hAnsi="Book Antiqua" w:hint="eastAsia"/>
          <w:lang w:val="en-GB" w:eastAsia="zh-CN"/>
        </w:rPr>
        <w:t>:</w:t>
      </w:r>
      <w:r w:rsidRPr="005C47DD">
        <w:rPr>
          <w:rFonts w:ascii="Book Antiqua" w:hAnsi="Book Antiqua"/>
          <w:lang w:val="en-GB"/>
        </w:rPr>
        <w:t xml:space="preserve"> </w:t>
      </w:r>
      <w:r w:rsidRPr="00022BDE">
        <w:rPr>
          <w:rFonts w:ascii="Book Antiqua" w:hAnsi="Book Antiqua"/>
          <w:lang w:val="en-GB"/>
        </w:rPr>
        <w:t>C-reactive protein</w:t>
      </w:r>
      <w:r>
        <w:rPr>
          <w:rFonts w:ascii="Book Antiqua" w:eastAsiaTheme="minorEastAsia" w:hAnsi="Book Antiqua" w:hint="eastAsia"/>
          <w:lang w:val="en-GB" w:eastAsia="zh-CN"/>
        </w:rPr>
        <w:t>.</w:t>
      </w:r>
    </w:p>
    <w:p w14:paraId="1B07E40F" w14:textId="77777777" w:rsidR="00A24C79" w:rsidRPr="00394C77" w:rsidRDefault="00A24C79" w:rsidP="00C97716">
      <w:pPr>
        <w:spacing w:line="360" w:lineRule="auto"/>
        <w:jc w:val="both"/>
        <w:rPr>
          <w:rFonts w:ascii="Book Antiqua" w:hAnsi="Book Antiqua"/>
          <w:lang w:val="en-US"/>
        </w:rPr>
      </w:pPr>
    </w:p>
    <w:p w14:paraId="2D33FC64" w14:textId="77777777" w:rsidR="00394C77" w:rsidRDefault="00394C77">
      <w:r>
        <w:br w:type="page"/>
      </w:r>
    </w:p>
    <w:tbl>
      <w:tblPr>
        <w:tblW w:w="15208" w:type="dxa"/>
        <w:tblInd w:w="2" w:type="dxa"/>
        <w:tblBorders>
          <w:insideH w:val="single" w:sz="4" w:space="0" w:color="000000"/>
        </w:tblBorders>
        <w:tblLayout w:type="fixed"/>
        <w:tblLook w:val="00A0" w:firstRow="1" w:lastRow="0" w:firstColumn="1" w:lastColumn="0" w:noHBand="0" w:noVBand="0"/>
      </w:tblPr>
      <w:tblGrid>
        <w:gridCol w:w="1632"/>
        <w:gridCol w:w="850"/>
        <w:gridCol w:w="993"/>
        <w:gridCol w:w="1984"/>
        <w:gridCol w:w="1418"/>
        <w:gridCol w:w="1527"/>
        <w:gridCol w:w="1560"/>
        <w:gridCol w:w="2264"/>
        <w:gridCol w:w="2980"/>
      </w:tblGrid>
      <w:tr w:rsidR="0050649F" w:rsidRPr="0050649F" w14:paraId="60042A54" w14:textId="77777777" w:rsidTr="00394C77">
        <w:tc>
          <w:tcPr>
            <w:tcW w:w="15208" w:type="dxa"/>
            <w:gridSpan w:val="9"/>
            <w:tcBorders>
              <w:top w:val="nil"/>
              <w:bottom w:val="single" w:sz="4" w:space="0" w:color="auto"/>
            </w:tcBorders>
          </w:tcPr>
          <w:p w14:paraId="18C4C3EE" w14:textId="131E546B" w:rsidR="00A24C79" w:rsidRPr="00394C77" w:rsidRDefault="00394C77" w:rsidP="00C97716">
            <w:pPr>
              <w:spacing w:line="360" w:lineRule="auto"/>
              <w:jc w:val="both"/>
              <w:rPr>
                <w:rFonts w:ascii="Book Antiqua" w:eastAsia="宋体" w:hAnsi="Book Antiqua"/>
                <w:b/>
                <w:lang w:val="en-US" w:eastAsia="zh-CN"/>
              </w:rPr>
            </w:pPr>
            <w:r w:rsidRPr="00394C77">
              <w:rPr>
                <w:rFonts w:ascii="Book Antiqua" w:hAnsi="Book Antiqua"/>
                <w:b/>
                <w:lang w:val="en-US"/>
              </w:rPr>
              <w:lastRenderedPageBreak/>
              <w:t>Tab</w:t>
            </w:r>
            <w:r w:rsidRPr="00394C77">
              <w:rPr>
                <w:rFonts w:ascii="Book Antiqua" w:eastAsia="宋体" w:hAnsi="Book Antiqua" w:hint="eastAsia"/>
                <w:b/>
                <w:lang w:val="en-US" w:eastAsia="zh-CN"/>
              </w:rPr>
              <w:t>le</w:t>
            </w:r>
            <w:r w:rsidR="00A24C79" w:rsidRPr="00394C77">
              <w:rPr>
                <w:rFonts w:ascii="Book Antiqua" w:hAnsi="Book Antiqua"/>
                <w:b/>
                <w:lang w:val="en-US"/>
              </w:rPr>
              <w:t xml:space="preserve"> 3 Studies concerning w</w:t>
            </w:r>
            <w:r w:rsidRPr="00394C77">
              <w:rPr>
                <w:rFonts w:ascii="Book Antiqua" w:hAnsi="Book Antiqua"/>
                <w:b/>
                <w:lang w:val="en-US"/>
              </w:rPr>
              <w:t>ithdrawal of biologic therapies</w:t>
            </w:r>
          </w:p>
          <w:p w14:paraId="4F9D48F1" w14:textId="77777777" w:rsidR="00A24C79" w:rsidRPr="0050649F" w:rsidRDefault="00A24C79" w:rsidP="00C97716">
            <w:pPr>
              <w:spacing w:line="360" w:lineRule="auto"/>
              <w:jc w:val="both"/>
              <w:rPr>
                <w:rFonts w:ascii="Book Antiqua" w:hAnsi="Book Antiqua"/>
                <w:b/>
                <w:lang w:val="en-US"/>
              </w:rPr>
            </w:pPr>
          </w:p>
        </w:tc>
      </w:tr>
      <w:tr w:rsidR="0050649F" w:rsidRPr="0050649F" w14:paraId="240BCA51" w14:textId="77777777" w:rsidTr="00394C77">
        <w:tc>
          <w:tcPr>
            <w:tcW w:w="1632" w:type="dxa"/>
            <w:tcBorders>
              <w:top w:val="single" w:sz="4" w:space="0" w:color="auto"/>
              <w:left w:val="single" w:sz="4" w:space="0" w:color="auto"/>
              <w:bottom w:val="single" w:sz="4" w:space="0" w:color="auto"/>
              <w:right w:val="single" w:sz="4" w:space="0" w:color="auto"/>
            </w:tcBorders>
          </w:tcPr>
          <w:p w14:paraId="1AD8BE1F" w14:textId="5AFF6A97" w:rsidR="00A24C79" w:rsidRPr="00394C77" w:rsidRDefault="00394C77" w:rsidP="00C97716">
            <w:pPr>
              <w:spacing w:line="360" w:lineRule="auto"/>
              <w:jc w:val="both"/>
              <w:rPr>
                <w:rFonts w:ascii="Book Antiqua" w:eastAsia="宋体" w:hAnsi="Book Antiqua"/>
                <w:b/>
                <w:lang w:val="en-US" w:eastAsia="zh-CN"/>
              </w:rPr>
            </w:pPr>
            <w:r>
              <w:rPr>
                <w:rFonts w:ascii="Book Antiqua" w:eastAsia="宋体" w:hAnsi="Book Antiqua"/>
                <w:b/>
                <w:lang w:val="en-US" w:eastAsia="zh-CN"/>
              </w:rPr>
              <w:t>R</w:t>
            </w:r>
            <w:r>
              <w:rPr>
                <w:rFonts w:ascii="Book Antiqua" w:eastAsia="宋体" w:hAnsi="Book Antiqua" w:hint="eastAsia"/>
                <w:b/>
                <w:lang w:val="en-US" w:eastAsia="zh-CN"/>
              </w:rPr>
              <w:t>ef.</w:t>
            </w:r>
          </w:p>
          <w:p w14:paraId="08026A6E" w14:textId="77777777" w:rsidR="00A24C79" w:rsidRPr="0050649F" w:rsidRDefault="00A24C79" w:rsidP="00C97716">
            <w:pPr>
              <w:spacing w:line="360" w:lineRule="auto"/>
              <w:jc w:val="both"/>
              <w:rPr>
                <w:rFonts w:ascii="Book Antiqua" w:hAnsi="Book Antiqua"/>
                <w:lang w:val="en-US"/>
              </w:rPr>
            </w:pPr>
          </w:p>
        </w:tc>
        <w:tc>
          <w:tcPr>
            <w:tcW w:w="850" w:type="dxa"/>
            <w:tcBorders>
              <w:top w:val="single" w:sz="4" w:space="0" w:color="auto"/>
              <w:left w:val="single" w:sz="4" w:space="0" w:color="auto"/>
              <w:bottom w:val="single" w:sz="4" w:space="0" w:color="auto"/>
              <w:right w:val="single" w:sz="4" w:space="0" w:color="auto"/>
            </w:tcBorders>
          </w:tcPr>
          <w:p w14:paraId="5FB9B628"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Design</w:t>
            </w:r>
          </w:p>
        </w:tc>
        <w:tc>
          <w:tcPr>
            <w:tcW w:w="993" w:type="dxa"/>
            <w:tcBorders>
              <w:top w:val="single" w:sz="4" w:space="0" w:color="auto"/>
              <w:left w:val="single" w:sz="4" w:space="0" w:color="auto"/>
              <w:bottom w:val="single" w:sz="4" w:space="0" w:color="auto"/>
              <w:right w:val="single" w:sz="4" w:space="0" w:color="auto"/>
            </w:tcBorders>
          </w:tcPr>
          <w:p w14:paraId="728DFF36"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Disease</w:t>
            </w:r>
          </w:p>
          <w:p w14:paraId="4C849CEC"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n. patients</w:t>
            </w:r>
          </w:p>
        </w:tc>
        <w:tc>
          <w:tcPr>
            <w:tcW w:w="1984" w:type="dxa"/>
            <w:tcBorders>
              <w:top w:val="single" w:sz="4" w:space="0" w:color="auto"/>
              <w:left w:val="single" w:sz="4" w:space="0" w:color="auto"/>
              <w:bottom w:val="single" w:sz="4" w:space="0" w:color="auto"/>
              <w:right w:val="single" w:sz="4" w:space="0" w:color="auto"/>
            </w:tcBorders>
          </w:tcPr>
          <w:p w14:paraId="1684EF91"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Drugs and intervention</w:t>
            </w:r>
          </w:p>
        </w:tc>
        <w:tc>
          <w:tcPr>
            <w:tcW w:w="1418" w:type="dxa"/>
            <w:tcBorders>
              <w:top w:val="single" w:sz="4" w:space="0" w:color="auto"/>
              <w:left w:val="single" w:sz="4" w:space="0" w:color="auto"/>
              <w:bottom w:val="single" w:sz="4" w:space="0" w:color="auto"/>
              <w:right w:val="single" w:sz="4" w:space="0" w:color="auto"/>
            </w:tcBorders>
          </w:tcPr>
          <w:p w14:paraId="04E73B63"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Surveillance</w:t>
            </w:r>
          </w:p>
        </w:tc>
        <w:tc>
          <w:tcPr>
            <w:tcW w:w="1527" w:type="dxa"/>
            <w:tcBorders>
              <w:top w:val="single" w:sz="4" w:space="0" w:color="auto"/>
              <w:left w:val="single" w:sz="4" w:space="0" w:color="auto"/>
              <w:bottom w:val="single" w:sz="4" w:space="0" w:color="auto"/>
              <w:right w:val="single" w:sz="4" w:space="0" w:color="auto"/>
            </w:tcBorders>
          </w:tcPr>
          <w:p w14:paraId="35DDF0CD"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Evaluation</w:t>
            </w:r>
          </w:p>
        </w:tc>
        <w:tc>
          <w:tcPr>
            <w:tcW w:w="1560" w:type="dxa"/>
            <w:tcBorders>
              <w:top w:val="single" w:sz="4" w:space="0" w:color="auto"/>
              <w:left w:val="single" w:sz="4" w:space="0" w:color="auto"/>
              <w:bottom w:val="single" w:sz="4" w:space="0" w:color="auto"/>
              <w:right w:val="single" w:sz="4" w:space="0" w:color="auto"/>
            </w:tcBorders>
          </w:tcPr>
          <w:p w14:paraId="1E6BA5EB"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Main outcome</w:t>
            </w:r>
          </w:p>
        </w:tc>
        <w:tc>
          <w:tcPr>
            <w:tcW w:w="2264" w:type="dxa"/>
            <w:tcBorders>
              <w:top w:val="single" w:sz="4" w:space="0" w:color="auto"/>
              <w:left w:val="single" w:sz="4" w:space="0" w:color="auto"/>
              <w:bottom w:val="single" w:sz="4" w:space="0" w:color="auto"/>
              <w:right w:val="single" w:sz="4" w:space="0" w:color="auto"/>
            </w:tcBorders>
          </w:tcPr>
          <w:p w14:paraId="22C8D9C0"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Main findings</w:t>
            </w:r>
          </w:p>
        </w:tc>
        <w:tc>
          <w:tcPr>
            <w:tcW w:w="2980" w:type="dxa"/>
            <w:tcBorders>
              <w:top w:val="single" w:sz="4" w:space="0" w:color="auto"/>
              <w:left w:val="single" w:sz="4" w:space="0" w:color="auto"/>
              <w:bottom w:val="single" w:sz="4" w:space="0" w:color="auto"/>
              <w:right w:val="single" w:sz="4" w:space="0" w:color="auto"/>
            </w:tcBorders>
          </w:tcPr>
          <w:p w14:paraId="0E566921"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Predictive factors</w:t>
            </w:r>
          </w:p>
        </w:tc>
      </w:tr>
      <w:tr w:rsidR="0050649F" w:rsidRPr="0050649F" w14:paraId="219A1CED" w14:textId="77777777" w:rsidTr="00394C77">
        <w:tc>
          <w:tcPr>
            <w:tcW w:w="1632" w:type="dxa"/>
            <w:tcBorders>
              <w:top w:val="single" w:sz="4" w:space="0" w:color="auto"/>
              <w:left w:val="single" w:sz="4" w:space="0" w:color="auto"/>
              <w:bottom w:val="single" w:sz="4" w:space="0" w:color="auto"/>
              <w:right w:val="single" w:sz="4" w:space="0" w:color="auto"/>
            </w:tcBorders>
          </w:tcPr>
          <w:p w14:paraId="735D4928" w14:textId="614CC89D"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Waugh</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[74]</w:t>
            </w:r>
            <w:r w:rsidRPr="0050649F">
              <w:rPr>
                <w:rFonts w:ascii="Book Antiqua" w:hAnsi="Book Antiqua"/>
                <w:lang w:val="en-US"/>
              </w:rPr>
              <w:t xml:space="preserve">, 2010 </w:t>
            </w:r>
          </w:p>
        </w:tc>
        <w:tc>
          <w:tcPr>
            <w:tcW w:w="850" w:type="dxa"/>
            <w:tcBorders>
              <w:top w:val="single" w:sz="4" w:space="0" w:color="auto"/>
              <w:left w:val="single" w:sz="4" w:space="0" w:color="auto"/>
              <w:bottom w:val="single" w:sz="4" w:space="0" w:color="auto"/>
              <w:right w:val="single" w:sz="4" w:space="0" w:color="auto"/>
            </w:tcBorders>
          </w:tcPr>
          <w:p w14:paraId="5CCC8B8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mc</w:t>
            </w:r>
          </w:p>
        </w:tc>
        <w:tc>
          <w:tcPr>
            <w:tcW w:w="993" w:type="dxa"/>
            <w:tcBorders>
              <w:top w:val="single" w:sz="4" w:space="0" w:color="auto"/>
              <w:left w:val="single" w:sz="4" w:space="0" w:color="auto"/>
              <w:bottom w:val="single" w:sz="4" w:space="0" w:color="auto"/>
              <w:right w:val="single" w:sz="4" w:space="0" w:color="auto"/>
            </w:tcBorders>
          </w:tcPr>
          <w:p w14:paraId="2E11879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48 CD </w:t>
            </w:r>
          </w:p>
        </w:tc>
        <w:tc>
          <w:tcPr>
            <w:tcW w:w="1984" w:type="dxa"/>
            <w:tcBorders>
              <w:top w:val="single" w:sz="4" w:space="0" w:color="auto"/>
              <w:left w:val="single" w:sz="4" w:space="0" w:color="auto"/>
              <w:bottom w:val="single" w:sz="4" w:space="0" w:color="auto"/>
              <w:right w:val="single" w:sz="4" w:space="0" w:color="auto"/>
            </w:tcBorders>
          </w:tcPr>
          <w:p w14:paraId="718BABF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1651AD4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 f-u: 4.1 yr (IQR 0.5-6.7)</w:t>
            </w:r>
          </w:p>
        </w:tc>
        <w:tc>
          <w:tcPr>
            <w:tcW w:w="1527" w:type="dxa"/>
            <w:tcBorders>
              <w:top w:val="single" w:sz="4" w:space="0" w:color="auto"/>
              <w:left w:val="single" w:sz="4" w:space="0" w:color="auto"/>
              <w:bottom w:val="single" w:sz="4" w:space="0" w:color="auto"/>
              <w:right w:val="single" w:sz="4" w:space="0" w:color="auto"/>
            </w:tcBorders>
          </w:tcPr>
          <w:p w14:paraId="56704DD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assessment </w:t>
            </w:r>
          </w:p>
        </w:tc>
        <w:tc>
          <w:tcPr>
            <w:tcW w:w="1560" w:type="dxa"/>
            <w:tcBorders>
              <w:top w:val="single" w:sz="4" w:space="0" w:color="auto"/>
              <w:left w:val="single" w:sz="4" w:space="0" w:color="auto"/>
              <w:bottom w:val="single" w:sz="4" w:space="0" w:color="auto"/>
              <w:right w:val="single" w:sz="4" w:space="0" w:color="auto"/>
            </w:tcBorders>
          </w:tcPr>
          <w:p w14:paraId="2D66DF9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5E9B6277" w14:textId="2C531DE6" w:rsidR="00A24C79" w:rsidRPr="0050649F" w:rsidRDefault="00A24C79" w:rsidP="00394C77">
            <w:pPr>
              <w:spacing w:line="360" w:lineRule="auto"/>
              <w:jc w:val="both"/>
              <w:rPr>
                <w:rFonts w:ascii="Book Antiqua" w:hAnsi="Book Antiqua"/>
                <w:lang w:val="en-US"/>
              </w:rPr>
            </w:pPr>
            <w:r w:rsidRPr="0050649F">
              <w:rPr>
                <w:rFonts w:ascii="Book Antiqua" w:hAnsi="Book Antiqua"/>
                <w:lang w:val="en-US"/>
              </w:rPr>
              <w:t>50% relapse rate at a median of 477 d; 35% remain in remission without treatment</w:t>
            </w:r>
          </w:p>
        </w:tc>
        <w:tc>
          <w:tcPr>
            <w:tcW w:w="2980" w:type="dxa"/>
            <w:tcBorders>
              <w:top w:val="single" w:sz="4" w:space="0" w:color="auto"/>
              <w:left w:val="single" w:sz="4" w:space="0" w:color="auto"/>
              <w:bottom w:val="single" w:sz="4" w:space="0" w:color="auto"/>
              <w:right w:val="single" w:sz="4" w:space="0" w:color="auto"/>
            </w:tcBorders>
          </w:tcPr>
          <w:p w14:paraId="0A1D5031" w14:textId="1386901B"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Probably 35% in deep remission ar</w:t>
            </w:r>
            <w:r w:rsidR="00394C77">
              <w:rPr>
                <w:rFonts w:ascii="Book Antiqua" w:hAnsi="Book Antiqua"/>
                <w:lang w:val="en-US"/>
              </w:rPr>
              <w:t>e different genetic-kind of CD</w:t>
            </w:r>
          </w:p>
        </w:tc>
      </w:tr>
      <w:tr w:rsidR="0050649F" w:rsidRPr="0050649F" w14:paraId="0FCF151E" w14:textId="77777777" w:rsidTr="00394C77">
        <w:tc>
          <w:tcPr>
            <w:tcW w:w="1632" w:type="dxa"/>
            <w:tcBorders>
              <w:top w:val="single" w:sz="4" w:space="0" w:color="auto"/>
              <w:left w:val="single" w:sz="4" w:space="0" w:color="auto"/>
              <w:bottom w:val="single" w:sz="4" w:space="0" w:color="auto"/>
              <w:right w:val="single" w:sz="4" w:space="0" w:color="auto"/>
            </w:tcBorders>
          </w:tcPr>
          <w:p w14:paraId="3054819F" w14:textId="391FD243"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Louis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[75]</w:t>
            </w:r>
            <w:r w:rsidRPr="0050649F">
              <w:rPr>
                <w:rFonts w:ascii="Book Antiqua" w:hAnsi="Book Antiqua"/>
                <w:lang w:val="en-US"/>
              </w:rPr>
              <w:t xml:space="preserve">, 2012 </w:t>
            </w:r>
          </w:p>
        </w:tc>
        <w:tc>
          <w:tcPr>
            <w:tcW w:w="850" w:type="dxa"/>
            <w:tcBorders>
              <w:top w:val="single" w:sz="4" w:space="0" w:color="auto"/>
              <w:left w:val="single" w:sz="4" w:space="0" w:color="auto"/>
              <w:bottom w:val="single" w:sz="4" w:space="0" w:color="auto"/>
              <w:right w:val="single" w:sz="4" w:space="0" w:color="auto"/>
            </w:tcBorders>
          </w:tcPr>
          <w:p w14:paraId="34FD7C3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mc</w:t>
            </w:r>
          </w:p>
        </w:tc>
        <w:tc>
          <w:tcPr>
            <w:tcW w:w="993" w:type="dxa"/>
            <w:tcBorders>
              <w:top w:val="single" w:sz="4" w:space="0" w:color="auto"/>
              <w:left w:val="single" w:sz="4" w:space="0" w:color="auto"/>
              <w:bottom w:val="single" w:sz="4" w:space="0" w:color="auto"/>
              <w:right w:val="single" w:sz="4" w:space="0" w:color="auto"/>
            </w:tcBorders>
          </w:tcPr>
          <w:p w14:paraId="7B93207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115 CD</w:t>
            </w:r>
          </w:p>
        </w:tc>
        <w:tc>
          <w:tcPr>
            <w:tcW w:w="1984" w:type="dxa"/>
            <w:tcBorders>
              <w:top w:val="single" w:sz="4" w:space="0" w:color="auto"/>
              <w:left w:val="single" w:sz="4" w:space="0" w:color="auto"/>
              <w:bottom w:val="single" w:sz="4" w:space="0" w:color="auto"/>
              <w:right w:val="single" w:sz="4" w:space="0" w:color="auto"/>
            </w:tcBorders>
          </w:tcPr>
          <w:p w14:paraId="5650A6C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 IMM</w:t>
            </w:r>
          </w:p>
          <w:p w14:paraId="6F1B19C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7DB7C57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30 mo after withdrawal</w:t>
            </w:r>
          </w:p>
        </w:tc>
        <w:tc>
          <w:tcPr>
            <w:tcW w:w="1527" w:type="dxa"/>
            <w:tcBorders>
              <w:top w:val="single" w:sz="4" w:space="0" w:color="auto"/>
              <w:left w:val="single" w:sz="4" w:space="0" w:color="auto"/>
              <w:bottom w:val="single" w:sz="4" w:space="0" w:color="auto"/>
              <w:right w:val="single" w:sz="4" w:space="0" w:color="auto"/>
            </w:tcBorders>
          </w:tcPr>
          <w:p w14:paraId="0E1E996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and endoscopic assessment </w:t>
            </w:r>
          </w:p>
        </w:tc>
        <w:tc>
          <w:tcPr>
            <w:tcW w:w="1560" w:type="dxa"/>
            <w:tcBorders>
              <w:top w:val="single" w:sz="4" w:space="0" w:color="auto"/>
              <w:left w:val="single" w:sz="4" w:space="0" w:color="auto"/>
              <w:bottom w:val="single" w:sz="4" w:space="0" w:color="auto"/>
              <w:right w:val="single" w:sz="4" w:space="0" w:color="auto"/>
            </w:tcBorders>
          </w:tcPr>
          <w:p w14:paraId="46F0E3E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Cumulative relapse rate </w:t>
            </w:r>
          </w:p>
        </w:tc>
        <w:tc>
          <w:tcPr>
            <w:tcW w:w="2264" w:type="dxa"/>
            <w:tcBorders>
              <w:top w:val="single" w:sz="4" w:space="0" w:color="auto"/>
              <w:left w:val="single" w:sz="4" w:space="0" w:color="auto"/>
              <w:bottom w:val="single" w:sz="4" w:space="0" w:color="auto"/>
              <w:right w:val="single" w:sz="4" w:space="0" w:color="auto"/>
            </w:tcBorders>
          </w:tcPr>
          <w:p w14:paraId="2264180B" w14:textId="43A7C2E4" w:rsidR="00A24C79" w:rsidRPr="0050649F" w:rsidRDefault="00394C77" w:rsidP="00C97716">
            <w:pPr>
              <w:spacing w:line="360" w:lineRule="auto"/>
              <w:jc w:val="both"/>
              <w:rPr>
                <w:rFonts w:ascii="Book Antiqua" w:hAnsi="Book Antiqua"/>
                <w:lang w:val="en-US"/>
              </w:rPr>
            </w:pPr>
            <w:r w:rsidRPr="0050649F">
              <w:rPr>
                <w:rFonts w:ascii="Book Antiqua" w:hAnsi="Book Antiqua"/>
                <w:lang w:val="en-US"/>
              </w:rPr>
              <w:t>A</w:t>
            </w:r>
            <w:r w:rsidR="00A24C79" w:rsidRPr="0050649F">
              <w:rPr>
                <w:rFonts w:ascii="Book Antiqua" w:hAnsi="Book Antiqua"/>
                <w:lang w:val="en-US"/>
              </w:rPr>
              <w:t>t 1 yr: 44%,</w:t>
            </w:r>
          </w:p>
          <w:p w14:paraId="74FB32E3" w14:textId="2D4591FA" w:rsidR="00A24C79" w:rsidRPr="00394C77" w:rsidRDefault="00394C77" w:rsidP="00C97716">
            <w:pPr>
              <w:spacing w:line="360" w:lineRule="auto"/>
              <w:jc w:val="both"/>
              <w:rPr>
                <w:rFonts w:ascii="Book Antiqua" w:eastAsia="宋体" w:hAnsi="Book Antiqua"/>
                <w:lang w:val="en-US" w:eastAsia="zh-CN"/>
              </w:rPr>
            </w:pPr>
            <w:r>
              <w:rPr>
                <w:rFonts w:ascii="Book Antiqua" w:hAnsi="Book Antiqua"/>
                <w:lang w:val="en-US"/>
              </w:rPr>
              <w:t>at 2 yr: 52%</w:t>
            </w:r>
          </w:p>
        </w:tc>
        <w:tc>
          <w:tcPr>
            <w:tcW w:w="2980" w:type="dxa"/>
            <w:tcBorders>
              <w:top w:val="single" w:sz="4" w:space="0" w:color="auto"/>
              <w:left w:val="single" w:sz="4" w:space="0" w:color="auto"/>
              <w:bottom w:val="single" w:sz="4" w:space="0" w:color="auto"/>
              <w:right w:val="single" w:sz="4" w:space="0" w:color="auto"/>
            </w:tcBorders>
          </w:tcPr>
          <w:p w14:paraId="63DC26F3" w14:textId="44CEBC43"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male sex, absence of surgical resections, CDEIS &gt;</w:t>
            </w:r>
            <w:r w:rsidR="00394C77">
              <w:rPr>
                <w:rFonts w:ascii="Book Antiqua" w:eastAsia="宋体" w:hAnsi="Book Antiqua" w:hint="eastAsia"/>
                <w:lang w:val="en-US" w:eastAsia="zh-CN"/>
              </w:rPr>
              <w:t xml:space="preserve"> </w:t>
            </w:r>
            <w:r w:rsidRPr="0050649F">
              <w:rPr>
                <w:rFonts w:ascii="Book Antiqua" w:hAnsi="Book Antiqua"/>
                <w:lang w:val="en-US"/>
              </w:rPr>
              <w:t xml:space="preserve">0, </w:t>
            </w:r>
            <w:r w:rsidRPr="0050649F">
              <w:rPr>
                <w:rFonts w:ascii="Book Antiqua" w:eastAsia="宋体" w:hAnsi="Book Antiqua" w:cs="FranklinGothic-Book"/>
                <w:lang w:val="en-GB" w:eastAsia="zh-CN"/>
              </w:rPr>
              <w:t xml:space="preserve">IFX TL </w:t>
            </w:r>
            <w:r w:rsidRPr="0050649F">
              <w:rPr>
                <w:rFonts w:ascii="Book Antiqua" w:eastAsia="宋体" w:hAnsi="Book Antiqua" w:cs="MathematicalPi-One"/>
                <w:lang w:val="en-GB" w:eastAsia="zh-CN"/>
              </w:rPr>
              <w:t>&gt;</w:t>
            </w:r>
            <w:r w:rsidR="00394C77">
              <w:rPr>
                <w:rFonts w:ascii="Book Antiqua" w:eastAsia="宋体" w:hAnsi="Book Antiqua" w:cs="MathematicalPi-One" w:hint="eastAsia"/>
                <w:lang w:val="en-GB" w:eastAsia="zh-CN"/>
              </w:rPr>
              <w:t xml:space="preserve"> </w:t>
            </w:r>
            <w:r w:rsidRPr="0050649F">
              <w:rPr>
                <w:rFonts w:ascii="Book Antiqua" w:eastAsia="宋体" w:hAnsi="Book Antiqua" w:cs="FranklinGothic-Book"/>
                <w:lang w:val="en-GB" w:eastAsia="zh-CN"/>
              </w:rPr>
              <w:t xml:space="preserve">2 mg/L, CS use between 6 and 12 mo before baseline, </w:t>
            </w:r>
            <w:r w:rsidRPr="0050649F">
              <w:rPr>
                <w:rFonts w:ascii="Book Antiqua" w:hAnsi="Book Antiqua"/>
                <w:lang w:val="en-US"/>
              </w:rPr>
              <w:t>WBC count &gt;</w:t>
            </w:r>
            <w:r w:rsidR="00394C77">
              <w:rPr>
                <w:rFonts w:ascii="Book Antiqua" w:eastAsia="宋体" w:hAnsi="Book Antiqua" w:hint="eastAsia"/>
                <w:lang w:val="en-US" w:eastAsia="zh-CN"/>
              </w:rPr>
              <w:t xml:space="preserve"> </w:t>
            </w:r>
            <w:r w:rsidRPr="0050649F">
              <w:rPr>
                <w:rFonts w:ascii="Book Antiqua" w:hAnsi="Book Antiqua"/>
                <w:lang w:val="en-US"/>
              </w:rPr>
              <w:t>6000/mmc, Hb ≤</w:t>
            </w:r>
            <w:r w:rsidR="00394C77">
              <w:rPr>
                <w:rFonts w:ascii="Book Antiqua" w:eastAsia="宋体" w:hAnsi="Book Antiqua" w:hint="eastAsia"/>
                <w:lang w:val="en-US" w:eastAsia="zh-CN"/>
              </w:rPr>
              <w:t xml:space="preserve"> </w:t>
            </w:r>
            <w:r w:rsidRPr="0050649F">
              <w:rPr>
                <w:rFonts w:ascii="Book Antiqua" w:hAnsi="Book Antiqua"/>
                <w:lang w:val="en-US"/>
              </w:rPr>
              <w:t>14.5 g/dL, CRP ≥</w:t>
            </w:r>
            <w:r w:rsidR="00394C77">
              <w:rPr>
                <w:rFonts w:ascii="Book Antiqua" w:eastAsia="宋体" w:hAnsi="Book Antiqua" w:hint="eastAsia"/>
                <w:lang w:val="en-US" w:eastAsia="zh-CN"/>
              </w:rPr>
              <w:t xml:space="preserve"> </w:t>
            </w:r>
            <w:r w:rsidRPr="0050649F">
              <w:rPr>
                <w:rFonts w:ascii="Book Antiqua" w:hAnsi="Book Antiqua"/>
                <w:lang w:val="en-US"/>
              </w:rPr>
              <w:t xml:space="preserve">5 mg/L and fecal calprotectin ≥300 </w:t>
            </w:r>
            <w:r w:rsidRPr="0050649F">
              <w:rPr>
                <w:rFonts w:ascii="Book Antiqua" w:hAnsi="Book Antiqua"/>
                <w:lang w:val="en-US"/>
              </w:rPr>
              <w:sym w:font="Symbol" w:char="F06D"/>
            </w:r>
            <w:r w:rsidR="00394C77">
              <w:rPr>
                <w:rFonts w:ascii="Book Antiqua" w:hAnsi="Book Antiqua"/>
                <w:lang w:val="en-US"/>
              </w:rPr>
              <w:t>g/g</w:t>
            </w:r>
          </w:p>
        </w:tc>
      </w:tr>
      <w:tr w:rsidR="0050649F" w:rsidRPr="0050649F" w14:paraId="6F8FE808" w14:textId="77777777" w:rsidTr="00394C77">
        <w:tc>
          <w:tcPr>
            <w:tcW w:w="1632" w:type="dxa"/>
            <w:tcBorders>
              <w:top w:val="single" w:sz="4" w:space="0" w:color="auto"/>
              <w:left w:val="single" w:sz="4" w:space="0" w:color="auto"/>
              <w:bottom w:val="single" w:sz="4" w:space="0" w:color="auto"/>
              <w:right w:val="single" w:sz="4" w:space="0" w:color="auto"/>
            </w:tcBorders>
          </w:tcPr>
          <w:p w14:paraId="1669D566" w14:textId="03610F7B" w:rsidR="00A24C79" w:rsidRPr="0050649F" w:rsidRDefault="00A24C79" w:rsidP="007B7749">
            <w:pPr>
              <w:spacing w:line="360" w:lineRule="auto"/>
              <w:jc w:val="both"/>
              <w:rPr>
                <w:rFonts w:ascii="Book Antiqua" w:hAnsi="Book Antiqua"/>
                <w:lang w:val="en-US"/>
              </w:rPr>
            </w:pPr>
            <w:r w:rsidRPr="0050649F">
              <w:rPr>
                <w:rFonts w:ascii="Book Antiqua" w:hAnsi="Book Antiqua"/>
                <w:lang w:eastAsia="it-IT"/>
              </w:rPr>
              <w:t>Steenholdt</w:t>
            </w:r>
            <w:r w:rsidRPr="0050649F">
              <w:rPr>
                <w:rStyle w:val="FootnoteReference"/>
                <w:rFonts w:ascii="Book Antiqua" w:hAnsi="Book Antiqua"/>
                <w:lang w:val="en-US"/>
              </w:rPr>
              <w:t xml:space="preserve"> </w:t>
            </w:r>
            <w:r w:rsidR="007B7749">
              <w:rPr>
                <w:rFonts w:ascii="Book Antiqua" w:eastAsia="宋体" w:hAnsi="Book Antiqua" w:hint="eastAsia"/>
                <w:i/>
                <w:lang w:val="en-US" w:eastAsia="zh-CN"/>
              </w:rPr>
              <w:t>et al</w:t>
            </w:r>
            <w:r w:rsidR="007B7749" w:rsidRPr="0050649F">
              <w:rPr>
                <w:rFonts w:ascii="Book Antiqua" w:hAnsi="Book Antiqua"/>
                <w:vertAlign w:val="superscript"/>
                <w:lang w:val="en-US"/>
              </w:rPr>
              <w:t>[76]</w:t>
            </w:r>
            <w:r w:rsidRPr="0050649F">
              <w:rPr>
                <w:rFonts w:ascii="Book Antiqua" w:hAnsi="Book Antiqua"/>
                <w:lang w:val="en-US"/>
              </w:rPr>
              <w:t xml:space="preserve">, 2012 </w:t>
            </w:r>
          </w:p>
        </w:tc>
        <w:tc>
          <w:tcPr>
            <w:tcW w:w="850" w:type="dxa"/>
            <w:tcBorders>
              <w:top w:val="single" w:sz="4" w:space="0" w:color="auto"/>
              <w:left w:val="single" w:sz="4" w:space="0" w:color="auto"/>
              <w:bottom w:val="single" w:sz="4" w:space="0" w:color="auto"/>
              <w:right w:val="single" w:sz="4" w:space="0" w:color="auto"/>
            </w:tcBorders>
          </w:tcPr>
          <w:p w14:paraId="752C780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993" w:type="dxa"/>
            <w:tcBorders>
              <w:top w:val="single" w:sz="4" w:space="0" w:color="auto"/>
              <w:left w:val="single" w:sz="4" w:space="0" w:color="auto"/>
              <w:bottom w:val="single" w:sz="4" w:space="0" w:color="auto"/>
              <w:right w:val="single" w:sz="4" w:space="0" w:color="auto"/>
            </w:tcBorders>
          </w:tcPr>
          <w:p w14:paraId="46068E4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53 CD</w:t>
            </w:r>
          </w:p>
          <w:p w14:paraId="048DD1F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28 UC</w:t>
            </w:r>
          </w:p>
        </w:tc>
        <w:tc>
          <w:tcPr>
            <w:tcW w:w="1984" w:type="dxa"/>
            <w:tcBorders>
              <w:top w:val="single" w:sz="4" w:space="0" w:color="auto"/>
              <w:left w:val="single" w:sz="4" w:space="0" w:color="auto"/>
              <w:bottom w:val="single" w:sz="4" w:space="0" w:color="auto"/>
              <w:right w:val="single" w:sz="4" w:space="0" w:color="auto"/>
            </w:tcBorders>
          </w:tcPr>
          <w:p w14:paraId="4FBC370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0298335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 yr and 2 yr</w:t>
            </w:r>
          </w:p>
        </w:tc>
        <w:tc>
          <w:tcPr>
            <w:tcW w:w="1527" w:type="dxa"/>
            <w:tcBorders>
              <w:top w:val="single" w:sz="4" w:space="0" w:color="auto"/>
              <w:left w:val="single" w:sz="4" w:space="0" w:color="auto"/>
              <w:bottom w:val="single" w:sz="4" w:space="0" w:color="auto"/>
              <w:right w:val="single" w:sz="4" w:space="0" w:color="auto"/>
            </w:tcBorders>
          </w:tcPr>
          <w:p w14:paraId="23F6F0C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assessment </w:t>
            </w:r>
          </w:p>
        </w:tc>
        <w:tc>
          <w:tcPr>
            <w:tcW w:w="1560" w:type="dxa"/>
            <w:tcBorders>
              <w:top w:val="single" w:sz="4" w:space="0" w:color="auto"/>
              <w:left w:val="single" w:sz="4" w:space="0" w:color="auto"/>
              <w:bottom w:val="single" w:sz="4" w:space="0" w:color="auto"/>
              <w:right w:val="single" w:sz="4" w:space="0" w:color="auto"/>
            </w:tcBorders>
          </w:tcPr>
          <w:p w14:paraId="5380613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w:t>
            </w:r>
          </w:p>
          <w:p w14:paraId="7F1E075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remission </w:t>
            </w:r>
            <w:r w:rsidRPr="0050649F">
              <w:rPr>
                <w:rFonts w:ascii="Book Antiqua" w:hAnsi="Book Antiqua"/>
                <w:lang w:val="en-US"/>
              </w:rPr>
              <w:lastRenderedPageBreak/>
              <w:t>rate (no need to restart IFX, no need of CS, no surgery)</w:t>
            </w:r>
          </w:p>
        </w:tc>
        <w:tc>
          <w:tcPr>
            <w:tcW w:w="2264" w:type="dxa"/>
            <w:tcBorders>
              <w:top w:val="single" w:sz="4" w:space="0" w:color="auto"/>
              <w:left w:val="single" w:sz="4" w:space="0" w:color="auto"/>
              <w:bottom w:val="single" w:sz="4" w:space="0" w:color="auto"/>
              <w:right w:val="single" w:sz="4" w:space="0" w:color="auto"/>
            </w:tcBorders>
          </w:tcPr>
          <w:p w14:paraId="3E0C93AF" w14:textId="32F4E932"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at 1</w:t>
            </w:r>
            <w:r w:rsidR="00394C77">
              <w:rPr>
                <w:rFonts w:ascii="Book Antiqua" w:eastAsia="宋体" w:hAnsi="Book Antiqua" w:hint="eastAsia"/>
                <w:lang w:val="en-US" w:eastAsia="zh-CN"/>
              </w:rPr>
              <w:t xml:space="preserve"> </w:t>
            </w:r>
            <w:r w:rsidRPr="0050649F">
              <w:rPr>
                <w:rFonts w:ascii="Book Antiqua" w:hAnsi="Book Antiqua"/>
                <w:lang w:val="en-US"/>
              </w:rPr>
              <w:t xml:space="preserve">yr: </w:t>
            </w:r>
          </w:p>
          <w:p w14:paraId="038A7CD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61% CD, 75% UC</w:t>
            </w:r>
          </w:p>
          <w:p w14:paraId="72E3020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at 2 yr:</w:t>
            </w:r>
          </w:p>
          <w:p w14:paraId="09D2289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20% CD, 40% UC</w:t>
            </w:r>
          </w:p>
        </w:tc>
        <w:tc>
          <w:tcPr>
            <w:tcW w:w="2980" w:type="dxa"/>
            <w:tcBorders>
              <w:top w:val="single" w:sz="4" w:space="0" w:color="auto"/>
              <w:left w:val="single" w:sz="4" w:space="0" w:color="auto"/>
              <w:bottom w:val="single" w:sz="4" w:space="0" w:color="auto"/>
              <w:right w:val="single" w:sz="4" w:space="0" w:color="auto"/>
            </w:tcBorders>
          </w:tcPr>
          <w:p w14:paraId="5E6C763B" w14:textId="156C1B1B"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lastRenderedPageBreak/>
              <w:t xml:space="preserve">Risk factors for relapse: </w:t>
            </w:r>
            <w:r w:rsidR="00394C77" w:rsidRPr="0050649F">
              <w:rPr>
                <w:rFonts w:ascii="Book Antiqua" w:hAnsi="Book Antiqua"/>
                <w:lang w:val="en-US"/>
              </w:rPr>
              <w:t>L</w:t>
            </w:r>
            <w:r w:rsidRPr="0050649F">
              <w:rPr>
                <w:rFonts w:ascii="Book Antiqua" w:hAnsi="Book Antiqua"/>
                <w:lang w:val="en-US"/>
              </w:rPr>
              <w:t>on</w:t>
            </w:r>
            <w:r w:rsidR="00394C77">
              <w:rPr>
                <w:rFonts w:ascii="Book Antiqua" w:hAnsi="Book Antiqua"/>
                <w:lang w:val="en-US"/>
              </w:rPr>
              <w:t xml:space="preserve">g disease duration </w:t>
            </w:r>
            <w:r w:rsidR="00394C77">
              <w:rPr>
                <w:rFonts w:ascii="Book Antiqua" w:hAnsi="Book Antiqua"/>
                <w:lang w:val="en-US"/>
              </w:rPr>
              <w:lastRenderedPageBreak/>
              <w:t>(only in CD)</w:t>
            </w:r>
          </w:p>
          <w:p w14:paraId="0200B0EB" w14:textId="4481F2B5" w:rsidR="00A24C79" w:rsidRPr="00394C77" w:rsidRDefault="00394C77" w:rsidP="00C97716">
            <w:pPr>
              <w:spacing w:line="360" w:lineRule="auto"/>
              <w:jc w:val="both"/>
              <w:rPr>
                <w:rFonts w:ascii="Book Antiqua" w:eastAsia="宋体" w:hAnsi="Book Antiqua"/>
                <w:lang w:val="en-US" w:eastAsia="zh-CN"/>
              </w:rPr>
            </w:pPr>
            <w:r>
              <w:rPr>
                <w:rFonts w:ascii="Book Antiqua" w:hAnsi="Book Antiqua"/>
                <w:lang w:val="en-US"/>
              </w:rPr>
              <w:t>(univariate)</w:t>
            </w:r>
          </w:p>
        </w:tc>
      </w:tr>
      <w:tr w:rsidR="0050649F" w:rsidRPr="0050649F" w14:paraId="71BEC5E7" w14:textId="77777777" w:rsidTr="00394C77">
        <w:tc>
          <w:tcPr>
            <w:tcW w:w="1632" w:type="dxa"/>
            <w:tcBorders>
              <w:top w:val="single" w:sz="4" w:space="0" w:color="auto"/>
              <w:left w:val="single" w:sz="4" w:space="0" w:color="auto"/>
              <w:bottom w:val="single" w:sz="4" w:space="0" w:color="auto"/>
              <w:right w:val="single" w:sz="4" w:space="0" w:color="auto"/>
            </w:tcBorders>
          </w:tcPr>
          <w:p w14:paraId="7EC571BE" w14:textId="63E65700" w:rsidR="00A24C79" w:rsidRPr="0050649F" w:rsidRDefault="00A24C79" w:rsidP="007B7749">
            <w:pPr>
              <w:spacing w:line="360" w:lineRule="auto"/>
              <w:jc w:val="both"/>
              <w:rPr>
                <w:rFonts w:ascii="Book Antiqua" w:hAnsi="Book Antiqua"/>
                <w:lang w:eastAsia="it-IT"/>
              </w:rPr>
            </w:pPr>
            <w:r w:rsidRPr="0050649F">
              <w:rPr>
                <w:rFonts w:ascii="Book Antiqua" w:hAnsi="Book Antiqua"/>
                <w:lang w:eastAsia="it-IT"/>
              </w:rPr>
              <w:lastRenderedPageBreak/>
              <w:t>Molnár</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[77]</w:t>
            </w:r>
            <w:r w:rsidRPr="0050649F">
              <w:rPr>
                <w:rFonts w:ascii="Book Antiqua" w:hAnsi="Book Antiqua"/>
                <w:lang w:eastAsia="it-IT"/>
              </w:rPr>
              <w:t xml:space="preserve">, 2013 </w:t>
            </w:r>
          </w:p>
        </w:tc>
        <w:tc>
          <w:tcPr>
            <w:tcW w:w="850" w:type="dxa"/>
            <w:tcBorders>
              <w:top w:val="single" w:sz="4" w:space="0" w:color="auto"/>
              <w:left w:val="single" w:sz="4" w:space="0" w:color="auto"/>
              <w:bottom w:val="single" w:sz="4" w:space="0" w:color="auto"/>
              <w:right w:val="single" w:sz="4" w:space="0" w:color="auto"/>
            </w:tcBorders>
          </w:tcPr>
          <w:p w14:paraId="77A97A1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mc</w:t>
            </w:r>
          </w:p>
        </w:tc>
        <w:tc>
          <w:tcPr>
            <w:tcW w:w="993" w:type="dxa"/>
            <w:tcBorders>
              <w:top w:val="single" w:sz="4" w:space="0" w:color="auto"/>
              <w:left w:val="single" w:sz="4" w:space="0" w:color="auto"/>
              <w:bottom w:val="single" w:sz="4" w:space="0" w:color="auto"/>
              <w:right w:val="single" w:sz="4" w:space="0" w:color="auto"/>
            </w:tcBorders>
          </w:tcPr>
          <w:p w14:paraId="3BBD85C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121 CD</w:t>
            </w:r>
          </w:p>
        </w:tc>
        <w:tc>
          <w:tcPr>
            <w:tcW w:w="1984" w:type="dxa"/>
            <w:tcBorders>
              <w:top w:val="single" w:sz="4" w:space="0" w:color="auto"/>
              <w:left w:val="single" w:sz="4" w:space="0" w:color="auto"/>
              <w:bottom w:val="single" w:sz="4" w:space="0" w:color="auto"/>
              <w:right w:val="single" w:sz="4" w:space="0" w:color="auto"/>
            </w:tcBorders>
          </w:tcPr>
          <w:p w14:paraId="70C1A01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Anti-TNF discontinuation</w:t>
            </w:r>
          </w:p>
        </w:tc>
        <w:tc>
          <w:tcPr>
            <w:tcW w:w="1418" w:type="dxa"/>
            <w:tcBorders>
              <w:top w:val="single" w:sz="4" w:space="0" w:color="auto"/>
              <w:left w:val="single" w:sz="4" w:space="0" w:color="auto"/>
              <w:bottom w:val="single" w:sz="4" w:space="0" w:color="auto"/>
              <w:right w:val="single" w:sz="4" w:space="0" w:color="auto"/>
            </w:tcBorders>
          </w:tcPr>
          <w:p w14:paraId="4F26B3A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 yr</w:t>
            </w:r>
          </w:p>
        </w:tc>
        <w:tc>
          <w:tcPr>
            <w:tcW w:w="1527" w:type="dxa"/>
            <w:tcBorders>
              <w:top w:val="single" w:sz="4" w:space="0" w:color="auto"/>
              <w:left w:val="single" w:sz="4" w:space="0" w:color="auto"/>
              <w:bottom w:val="single" w:sz="4" w:space="0" w:color="auto"/>
              <w:right w:val="single" w:sz="4" w:space="0" w:color="auto"/>
            </w:tcBorders>
          </w:tcPr>
          <w:p w14:paraId="1AC6AA5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assessment </w:t>
            </w:r>
          </w:p>
        </w:tc>
        <w:tc>
          <w:tcPr>
            <w:tcW w:w="1560" w:type="dxa"/>
            <w:tcBorders>
              <w:top w:val="single" w:sz="4" w:space="0" w:color="auto"/>
              <w:left w:val="single" w:sz="4" w:space="0" w:color="auto"/>
              <w:bottom w:val="single" w:sz="4" w:space="0" w:color="auto"/>
              <w:right w:val="single" w:sz="4" w:space="0" w:color="auto"/>
            </w:tcBorders>
          </w:tcPr>
          <w:p w14:paraId="5282A16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Cumulative relapse rate </w:t>
            </w:r>
          </w:p>
        </w:tc>
        <w:tc>
          <w:tcPr>
            <w:tcW w:w="2264" w:type="dxa"/>
            <w:tcBorders>
              <w:top w:val="single" w:sz="4" w:space="0" w:color="auto"/>
              <w:left w:val="single" w:sz="4" w:space="0" w:color="auto"/>
              <w:bottom w:val="single" w:sz="4" w:space="0" w:color="auto"/>
              <w:right w:val="single" w:sz="4" w:space="0" w:color="auto"/>
            </w:tcBorders>
          </w:tcPr>
          <w:p w14:paraId="7877C52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45%</w:t>
            </w:r>
          </w:p>
        </w:tc>
        <w:tc>
          <w:tcPr>
            <w:tcW w:w="2980" w:type="dxa"/>
            <w:tcBorders>
              <w:top w:val="single" w:sz="4" w:space="0" w:color="auto"/>
              <w:left w:val="single" w:sz="4" w:space="0" w:color="auto"/>
              <w:bottom w:val="single" w:sz="4" w:space="0" w:color="auto"/>
              <w:right w:val="single" w:sz="4" w:space="0" w:color="auto"/>
            </w:tcBorders>
          </w:tcPr>
          <w:p w14:paraId="25D3ABA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Risk factors for relapse: smoking, using CS at the start</w:t>
            </w:r>
          </w:p>
          <w:p w14:paraId="446E20B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of anti-TNF, previous biological therapy, elevated CRP level at the</w:t>
            </w:r>
          </w:p>
          <w:p w14:paraId="4FEA7CB3" w14:textId="13FD43F7"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start of anti-TNF and a dose intensification in the firs</w:t>
            </w:r>
            <w:r w:rsidR="00394C77">
              <w:rPr>
                <w:rFonts w:ascii="Book Antiqua" w:hAnsi="Book Antiqua"/>
                <w:lang w:val="en-US"/>
              </w:rPr>
              <w:t>t yr of anti-TNF (univariate)</w:t>
            </w:r>
          </w:p>
        </w:tc>
      </w:tr>
      <w:tr w:rsidR="0050649F" w:rsidRPr="0050649F" w14:paraId="2B5AA72A" w14:textId="77777777" w:rsidTr="00394C77">
        <w:tc>
          <w:tcPr>
            <w:tcW w:w="1632" w:type="dxa"/>
            <w:tcBorders>
              <w:top w:val="single" w:sz="4" w:space="0" w:color="auto"/>
              <w:left w:val="single" w:sz="4" w:space="0" w:color="auto"/>
              <w:bottom w:val="single" w:sz="4" w:space="0" w:color="auto"/>
              <w:right w:val="single" w:sz="4" w:space="0" w:color="auto"/>
            </w:tcBorders>
          </w:tcPr>
          <w:p w14:paraId="3EBB17D1" w14:textId="133A0C34" w:rsidR="00A24C79" w:rsidRPr="0050649F" w:rsidRDefault="00A24C79" w:rsidP="007B7749">
            <w:pPr>
              <w:spacing w:line="360" w:lineRule="auto"/>
              <w:jc w:val="both"/>
              <w:rPr>
                <w:rFonts w:ascii="Book Antiqua" w:hAnsi="Book Antiqua"/>
                <w:lang w:eastAsia="it-IT"/>
              </w:rPr>
            </w:pPr>
            <w:r w:rsidRPr="0050649F">
              <w:rPr>
                <w:rFonts w:ascii="Book Antiqua" w:hAnsi="Book Antiqua"/>
                <w:lang w:eastAsia="it-IT"/>
              </w:rPr>
              <w:t>Farkas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[78]</w:t>
            </w:r>
            <w:r w:rsidRPr="0050649F">
              <w:rPr>
                <w:rFonts w:ascii="Book Antiqua" w:hAnsi="Book Antiqua"/>
                <w:lang w:eastAsia="it-IT"/>
              </w:rPr>
              <w:t xml:space="preserve">, 2013 </w:t>
            </w:r>
          </w:p>
        </w:tc>
        <w:tc>
          <w:tcPr>
            <w:tcW w:w="850" w:type="dxa"/>
            <w:tcBorders>
              <w:top w:val="single" w:sz="4" w:space="0" w:color="auto"/>
              <w:left w:val="single" w:sz="4" w:space="0" w:color="auto"/>
              <w:bottom w:val="single" w:sz="4" w:space="0" w:color="auto"/>
              <w:right w:val="single" w:sz="4" w:space="0" w:color="auto"/>
            </w:tcBorders>
          </w:tcPr>
          <w:p w14:paraId="2A8D922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mc</w:t>
            </w:r>
          </w:p>
        </w:tc>
        <w:tc>
          <w:tcPr>
            <w:tcW w:w="993" w:type="dxa"/>
            <w:tcBorders>
              <w:top w:val="single" w:sz="4" w:space="0" w:color="auto"/>
              <w:left w:val="single" w:sz="4" w:space="0" w:color="auto"/>
              <w:bottom w:val="single" w:sz="4" w:space="0" w:color="auto"/>
              <w:right w:val="single" w:sz="4" w:space="0" w:color="auto"/>
            </w:tcBorders>
          </w:tcPr>
          <w:p w14:paraId="142CCB3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51 UC</w:t>
            </w:r>
          </w:p>
        </w:tc>
        <w:tc>
          <w:tcPr>
            <w:tcW w:w="1984" w:type="dxa"/>
            <w:tcBorders>
              <w:top w:val="single" w:sz="4" w:space="0" w:color="auto"/>
              <w:left w:val="single" w:sz="4" w:space="0" w:color="auto"/>
              <w:bottom w:val="single" w:sz="4" w:space="0" w:color="auto"/>
              <w:right w:val="single" w:sz="4" w:space="0" w:color="auto"/>
            </w:tcBorders>
          </w:tcPr>
          <w:p w14:paraId="157CF02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75159C3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 yr</w:t>
            </w:r>
          </w:p>
        </w:tc>
        <w:tc>
          <w:tcPr>
            <w:tcW w:w="1527" w:type="dxa"/>
            <w:tcBorders>
              <w:top w:val="single" w:sz="4" w:space="0" w:color="auto"/>
              <w:left w:val="single" w:sz="4" w:space="0" w:color="auto"/>
              <w:bottom w:val="single" w:sz="4" w:space="0" w:color="auto"/>
              <w:right w:val="single" w:sz="4" w:space="0" w:color="auto"/>
            </w:tcBorders>
          </w:tcPr>
          <w:p w14:paraId="591810C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560" w:type="dxa"/>
            <w:tcBorders>
              <w:top w:val="single" w:sz="4" w:space="0" w:color="auto"/>
              <w:left w:val="single" w:sz="4" w:space="0" w:color="auto"/>
              <w:bottom w:val="single" w:sz="4" w:space="0" w:color="auto"/>
              <w:right w:val="single" w:sz="4" w:space="0" w:color="auto"/>
            </w:tcBorders>
          </w:tcPr>
          <w:p w14:paraId="0B49625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 (need to restart IFX)</w:t>
            </w:r>
          </w:p>
        </w:tc>
        <w:tc>
          <w:tcPr>
            <w:tcW w:w="2264" w:type="dxa"/>
            <w:tcBorders>
              <w:top w:val="single" w:sz="4" w:space="0" w:color="auto"/>
              <w:left w:val="single" w:sz="4" w:space="0" w:color="auto"/>
              <w:bottom w:val="single" w:sz="4" w:space="0" w:color="auto"/>
              <w:right w:val="single" w:sz="4" w:space="0" w:color="auto"/>
            </w:tcBorders>
          </w:tcPr>
          <w:p w14:paraId="194D68B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35%</w:t>
            </w:r>
          </w:p>
        </w:tc>
        <w:tc>
          <w:tcPr>
            <w:tcW w:w="2980" w:type="dxa"/>
            <w:tcBorders>
              <w:top w:val="single" w:sz="4" w:space="0" w:color="auto"/>
              <w:left w:val="single" w:sz="4" w:space="0" w:color="auto"/>
              <w:bottom w:val="single" w:sz="4" w:space="0" w:color="auto"/>
              <w:right w:val="single" w:sz="4" w:space="0" w:color="auto"/>
            </w:tcBorders>
          </w:tcPr>
          <w:p w14:paraId="49B7CDB0" w14:textId="38E5E971"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w:t>
            </w:r>
            <w:r w:rsidR="00394C77">
              <w:rPr>
                <w:rFonts w:ascii="Book Antiqua" w:hAnsi="Book Antiqua"/>
                <w:lang w:val="en-US"/>
              </w:rPr>
              <w:t>e: previous biological therapy</w:t>
            </w:r>
          </w:p>
        </w:tc>
      </w:tr>
      <w:tr w:rsidR="0050649F" w:rsidRPr="0050649F" w14:paraId="31E602F0" w14:textId="77777777" w:rsidTr="00394C77">
        <w:tc>
          <w:tcPr>
            <w:tcW w:w="1632" w:type="dxa"/>
            <w:tcBorders>
              <w:top w:val="single" w:sz="4" w:space="0" w:color="auto"/>
              <w:left w:val="single" w:sz="4" w:space="0" w:color="auto"/>
              <w:bottom w:val="single" w:sz="4" w:space="0" w:color="auto"/>
              <w:right w:val="single" w:sz="4" w:space="0" w:color="auto"/>
            </w:tcBorders>
          </w:tcPr>
          <w:p w14:paraId="4FCBC202" w14:textId="776D918A" w:rsidR="00A24C79" w:rsidRPr="0050649F" w:rsidRDefault="00A24C79" w:rsidP="007B7749">
            <w:pPr>
              <w:spacing w:line="360" w:lineRule="auto"/>
              <w:jc w:val="both"/>
              <w:rPr>
                <w:rFonts w:ascii="Book Antiqua" w:hAnsi="Book Antiqua"/>
                <w:lang w:eastAsia="it-IT"/>
              </w:rPr>
            </w:pPr>
            <w:r w:rsidRPr="0050649F">
              <w:rPr>
                <w:rFonts w:ascii="Book Antiqua" w:hAnsi="Book Antiqua"/>
                <w:lang w:eastAsia="it-IT"/>
              </w:rPr>
              <w:t>Rismo</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[25]</w:t>
            </w:r>
            <w:r w:rsidRPr="0050649F">
              <w:rPr>
                <w:rFonts w:ascii="Book Antiqua" w:hAnsi="Book Antiqua"/>
                <w:lang w:eastAsia="it-IT"/>
              </w:rPr>
              <w:t xml:space="preserve">, 2013 </w:t>
            </w:r>
          </w:p>
        </w:tc>
        <w:tc>
          <w:tcPr>
            <w:tcW w:w="850" w:type="dxa"/>
            <w:tcBorders>
              <w:top w:val="single" w:sz="4" w:space="0" w:color="auto"/>
              <w:left w:val="single" w:sz="4" w:space="0" w:color="auto"/>
              <w:bottom w:val="single" w:sz="4" w:space="0" w:color="auto"/>
              <w:right w:val="single" w:sz="4" w:space="0" w:color="auto"/>
            </w:tcBorders>
          </w:tcPr>
          <w:p w14:paraId="56DEB91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93" w:type="dxa"/>
            <w:tcBorders>
              <w:top w:val="single" w:sz="4" w:space="0" w:color="auto"/>
              <w:left w:val="single" w:sz="4" w:space="0" w:color="auto"/>
              <w:bottom w:val="single" w:sz="4" w:space="0" w:color="auto"/>
              <w:right w:val="single" w:sz="4" w:space="0" w:color="auto"/>
            </w:tcBorders>
          </w:tcPr>
          <w:p w14:paraId="396EA20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37 CD </w:t>
            </w:r>
          </w:p>
          <w:p w14:paraId="644BEDF7" w14:textId="77777777" w:rsidR="00A24C79" w:rsidRPr="0050649F" w:rsidRDefault="00A24C79" w:rsidP="00C97716">
            <w:pPr>
              <w:spacing w:line="360" w:lineRule="auto"/>
              <w:jc w:val="both"/>
              <w:rPr>
                <w:rFonts w:ascii="Book Antiqua" w:hAnsi="Book Antiqua"/>
                <w:lang w:val="en-US"/>
              </w:rPr>
            </w:pPr>
          </w:p>
        </w:tc>
        <w:tc>
          <w:tcPr>
            <w:tcW w:w="1984" w:type="dxa"/>
            <w:tcBorders>
              <w:top w:val="single" w:sz="4" w:space="0" w:color="auto"/>
              <w:left w:val="single" w:sz="4" w:space="0" w:color="auto"/>
              <w:bottom w:val="single" w:sz="4" w:space="0" w:color="auto"/>
              <w:right w:val="single" w:sz="4" w:space="0" w:color="auto"/>
            </w:tcBorders>
          </w:tcPr>
          <w:p w14:paraId="4FF518B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Anti-TNF discontinuation</w:t>
            </w:r>
          </w:p>
        </w:tc>
        <w:tc>
          <w:tcPr>
            <w:tcW w:w="1418" w:type="dxa"/>
            <w:tcBorders>
              <w:top w:val="single" w:sz="4" w:space="0" w:color="auto"/>
              <w:left w:val="single" w:sz="4" w:space="0" w:color="auto"/>
              <w:bottom w:val="single" w:sz="4" w:space="0" w:color="auto"/>
              <w:right w:val="single" w:sz="4" w:space="0" w:color="auto"/>
            </w:tcBorders>
          </w:tcPr>
          <w:p w14:paraId="08C2D5B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1-44 mo (range)</w:t>
            </w:r>
          </w:p>
        </w:tc>
        <w:tc>
          <w:tcPr>
            <w:tcW w:w="1527" w:type="dxa"/>
            <w:tcBorders>
              <w:top w:val="single" w:sz="4" w:space="0" w:color="auto"/>
              <w:left w:val="single" w:sz="4" w:space="0" w:color="auto"/>
              <w:bottom w:val="single" w:sz="4" w:space="0" w:color="auto"/>
              <w:right w:val="single" w:sz="4" w:space="0" w:color="auto"/>
            </w:tcBorders>
          </w:tcPr>
          <w:p w14:paraId="358E8DA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560" w:type="dxa"/>
            <w:tcBorders>
              <w:top w:val="single" w:sz="4" w:space="0" w:color="auto"/>
              <w:left w:val="single" w:sz="4" w:space="0" w:color="auto"/>
              <w:bottom w:val="single" w:sz="4" w:space="0" w:color="auto"/>
              <w:right w:val="single" w:sz="4" w:space="0" w:color="auto"/>
            </w:tcBorders>
          </w:tcPr>
          <w:p w14:paraId="38DCF8E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1045FA2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74%</w:t>
            </w:r>
          </w:p>
        </w:tc>
        <w:tc>
          <w:tcPr>
            <w:tcW w:w="2980" w:type="dxa"/>
            <w:tcBorders>
              <w:top w:val="single" w:sz="4" w:space="0" w:color="auto"/>
              <w:left w:val="single" w:sz="4" w:space="0" w:color="auto"/>
              <w:bottom w:val="single" w:sz="4" w:space="0" w:color="auto"/>
              <w:right w:val="single" w:sz="4" w:space="0" w:color="auto"/>
            </w:tcBorders>
          </w:tcPr>
          <w:p w14:paraId="679A9F81" w14:textId="52F2831B"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Risk factors for relapse: elevated </w:t>
            </w:r>
            <w:r w:rsidR="00394C77">
              <w:rPr>
                <w:rFonts w:ascii="Book Antiqua" w:hAnsi="Book Antiqua"/>
                <w:lang w:val="en-US"/>
              </w:rPr>
              <w:t>mucosal TNF and IL17 expression</w:t>
            </w:r>
            <w:r w:rsidRPr="0050649F">
              <w:rPr>
                <w:rFonts w:ascii="Book Antiqua" w:hAnsi="Book Antiqua"/>
                <w:lang w:val="en-US"/>
              </w:rPr>
              <w:t xml:space="preserve"> </w:t>
            </w:r>
          </w:p>
        </w:tc>
      </w:tr>
      <w:tr w:rsidR="0050649F" w:rsidRPr="0050649F" w14:paraId="48D6587F" w14:textId="77777777" w:rsidTr="00394C77">
        <w:tc>
          <w:tcPr>
            <w:tcW w:w="1632" w:type="dxa"/>
            <w:tcBorders>
              <w:top w:val="single" w:sz="4" w:space="0" w:color="auto"/>
              <w:left w:val="single" w:sz="4" w:space="0" w:color="auto"/>
              <w:bottom w:val="single" w:sz="4" w:space="0" w:color="auto"/>
              <w:right w:val="single" w:sz="4" w:space="0" w:color="auto"/>
            </w:tcBorders>
          </w:tcPr>
          <w:p w14:paraId="600B7A51" w14:textId="41FC54FA" w:rsidR="00A24C79" w:rsidRPr="0050649F" w:rsidRDefault="00A24C79" w:rsidP="007B7749">
            <w:pPr>
              <w:spacing w:line="360" w:lineRule="auto"/>
              <w:jc w:val="both"/>
              <w:rPr>
                <w:rFonts w:ascii="Book Antiqua" w:hAnsi="Book Antiqua"/>
                <w:lang w:eastAsia="it-IT"/>
              </w:rPr>
            </w:pPr>
            <w:r w:rsidRPr="0050649F">
              <w:rPr>
                <w:rFonts w:ascii="Book Antiqua" w:hAnsi="Book Antiqua"/>
                <w:lang w:eastAsia="it-IT"/>
              </w:rPr>
              <w:t>Molander</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[79]</w:t>
            </w:r>
            <w:r w:rsidRPr="0050649F">
              <w:rPr>
                <w:rFonts w:ascii="Book Antiqua" w:hAnsi="Book Antiqua"/>
                <w:lang w:eastAsia="it-IT"/>
              </w:rPr>
              <w:t xml:space="preserve">, 2013 </w:t>
            </w:r>
          </w:p>
        </w:tc>
        <w:tc>
          <w:tcPr>
            <w:tcW w:w="850" w:type="dxa"/>
            <w:tcBorders>
              <w:top w:val="single" w:sz="4" w:space="0" w:color="auto"/>
              <w:left w:val="single" w:sz="4" w:space="0" w:color="auto"/>
              <w:bottom w:val="single" w:sz="4" w:space="0" w:color="auto"/>
              <w:right w:val="single" w:sz="4" w:space="0" w:color="auto"/>
            </w:tcBorders>
          </w:tcPr>
          <w:p w14:paraId="33605A0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93" w:type="dxa"/>
            <w:tcBorders>
              <w:top w:val="single" w:sz="4" w:space="0" w:color="auto"/>
              <w:left w:val="single" w:sz="4" w:space="0" w:color="auto"/>
              <w:bottom w:val="single" w:sz="4" w:space="0" w:color="auto"/>
              <w:right w:val="single" w:sz="4" w:space="0" w:color="auto"/>
            </w:tcBorders>
          </w:tcPr>
          <w:p w14:paraId="126BA2C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17 CD</w:t>
            </w:r>
          </w:p>
          <w:p w14:paraId="464F8D8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30 UC</w:t>
            </w:r>
          </w:p>
          <w:p w14:paraId="74F5052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5 IBDU</w:t>
            </w:r>
          </w:p>
          <w:p w14:paraId="76D28659" w14:textId="77777777" w:rsidR="00A24C79" w:rsidRPr="0050649F" w:rsidRDefault="00A24C79" w:rsidP="00C97716">
            <w:pPr>
              <w:spacing w:line="360" w:lineRule="auto"/>
              <w:jc w:val="both"/>
              <w:rPr>
                <w:rFonts w:ascii="Book Antiqua" w:hAnsi="Book Antiqua"/>
                <w:lang w:val="en-US"/>
              </w:rPr>
            </w:pPr>
          </w:p>
        </w:tc>
        <w:tc>
          <w:tcPr>
            <w:tcW w:w="1984" w:type="dxa"/>
            <w:tcBorders>
              <w:top w:val="single" w:sz="4" w:space="0" w:color="auto"/>
              <w:left w:val="single" w:sz="4" w:space="0" w:color="auto"/>
              <w:bottom w:val="single" w:sz="4" w:space="0" w:color="auto"/>
              <w:right w:val="single" w:sz="4" w:space="0" w:color="auto"/>
            </w:tcBorders>
          </w:tcPr>
          <w:p w14:paraId="0578E99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Anti-TNF</w:t>
            </w:r>
          </w:p>
          <w:p w14:paraId="0AA4FC1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discontinuation</w:t>
            </w:r>
          </w:p>
        </w:tc>
        <w:tc>
          <w:tcPr>
            <w:tcW w:w="1418" w:type="dxa"/>
            <w:tcBorders>
              <w:top w:val="single" w:sz="4" w:space="0" w:color="auto"/>
              <w:left w:val="single" w:sz="4" w:space="0" w:color="auto"/>
              <w:bottom w:val="single" w:sz="4" w:space="0" w:color="auto"/>
              <w:right w:val="single" w:sz="4" w:space="0" w:color="auto"/>
            </w:tcBorders>
          </w:tcPr>
          <w:p w14:paraId="766738A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12 mo</w:t>
            </w:r>
          </w:p>
        </w:tc>
        <w:tc>
          <w:tcPr>
            <w:tcW w:w="1527" w:type="dxa"/>
            <w:tcBorders>
              <w:top w:val="single" w:sz="4" w:space="0" w:color="auto"/>
              <w:left w:val="single" w:sz="4" w:space="0" w:color="auto"/>
              <w:bottom w:val="single" w:sz="4" w:space="0" w:color="auto"/>
              <w:right w:val="single" w:sz="4" w:space="0" w:color="auto"/>
            </w:tcBorders>
          </w:tcPr>
          <w:p w14:paraId="70F5FB2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and endoscopic </w:t>
            </w:r>
            <w:r w:rsidRPr="0050649F">
              <w:rPr>
                <w:rFonts w:ascii="Book Antiqua" w:hAnsi="Book Antiqua"/>
                <w:lang w:val="en-US"/>
              </w:rPr>
              <w:lastRenderedPageBreak/>
              <w:t>assessment</w:t>
            </w:r>
          </w:p>
        </w:tc>
        <w:tc>
          <w:tcPr>
            <w:tcW w:w="1560" w:type="dxa"/>
            <w:tcBorders>
              <w:top w:val="single" w:sz="4" w:space="0" w:color="auto"/>
              <w:left w:val="single" w:sz="4" w:space="0" w:color="auto"/>
              <w:bottom w:val="single" w:sz="4" w:space="0" w:color="auto"/>
              <w:right w:val="single" w:sz="4" w:space="0" w:color="auto"/>
            </w:tcBorders>
          </w:tcPr>
          <w:p w14:paraId="27B194F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 xml:space="preserve">Cumulative remission </w:t>
            </w:r>
            <w:r w:rsidRPr="0050649F">
              <w:rPr>
                <w:rFonts w:ascii="Book Antiqua" w:hAnsi="Book Antiqua"/>
                <w:lang w:val="en-US"/>
              </w:rPr>
              <w:lastRenderedPageBreak/>
              <w:t>rate</w:t>
            </w:r>
          </w:p>
        </w:tc>
        <w:tc>
          <w:tcPr>
            <w:tcW w:w="2264" w:type="dxa"/>
            <w:tcBorders>
              <w:top w:val="single" w:sz="4" w:space="0" w:color="auto"/>
              <w:left w:val="single" w:sz="4" w:space="0" w:color="auto"/>
              <w:bottom w:val="single" w:sz="4" w:space="0" w:color="auto"/>
              <w:right w:val="single" w:sz="4" w:space="0" w:color="auto"/>
            </w:tcBorders>
          </w:tcPr>
          <w:p w14:paraId="62AD64D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67% clinical remission,</w:t>
            </w:r>
          </w:p>
          <w:p w14:paraId="31021EB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85% endoscopic remission</w:t>
            </w:r>
          </w:p>
        </w:tc>
        <w:tc>
          <w:tcPr>
            <w:tcW w:w="2980" w:type="dxa"/>
            <w:tcBorders>
              <w:top w:val="single" w:sz="4" w:space="0" w:color="auto"/>
              <w:left w:val="single" w:sz="4" w:space="0" w:color="auto"/>
              <w:bottom w:val="single" w:sz="4" w:space="0" w:color="auto"/>
              <w:right w:val="single" w:sz="4" w:space="0" w:color="auto"/>
            </w:tcBorders>
          </w:tcPr>
          <w:p w14:paraId="39602193" w14:textId="416C35BA"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lastRenderedPageBreak/>
              <w:t xml:space="preserve">No significant risk </w:t>
            </w:r>
            <w:r w:rsidR="00394C77">
              <w:rPr>
                <w:rFonts w:ascii="Book Antiqua" w:hAnsi="Book Antiqua"/>
                <w:lang w:val="en-US"/>
              </w:rPr>
              <w:t>factors for relapse were found</w:t>
            </w:r>
          </w:p>
          <w:p w14:paraId="37F4E3DD" w14:textId="77777777" w:rsidR="00A24C79" w:rsidRPr="0050649F" w:rsidRDefault="00A24C79" w:rsidP="00C97716">
            <w:pPr>
              <w:spacing w:line="360" w:lineRule="auto"/>
              <w:jc w:val="both"/>
              <w:rPr>
                <w:rFonts w:ascii="Book Antiqua" w:hAnsi="Book Antiqua"/>
                <w:lang w:val="en-US"/>
              </w:rPr>
            </w:pPr>
          </w:p>
        </w:tc>
      </w:tr>
      <w:tr w:rsidR="0050649F" w:rsidRPr="0050649F" w14:paraId="7AEDB59C" w14:textId="77777777" w:rsidTr="00394C77">
        <w:tc>
          <w:tcPr>
            <w:tcW w:w="1632" w:type="dxa"/>
            <w:tcBorders>
              <w:top w:val="single" w:sz="4" w:space="0" w:color="auto"/>
              <w:left w:val="single" w:sz="4" w:space="0" w:color="auto"/>
              <w:bottom w:val="single" w:sz="4" w:space="0" w:color="auto"/>
              <w:right w:val="single" w:sz="4" w:space="0" w:color="auto"/>
            </w:tcBorders>
          </w:tcPr>
          <w:p w14:paraId="620DD75A" w14:textId="27338CEB"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lastRenderedPageBreak/>
              <w:t>Brooks</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[80]</w:t>
            </w:r>
            <w:r w:rsidRPr="0050649F">
              <w:rPr>
                <w:rFonts w:ascii="Book Antiqua" w:hAnsi="Book Antiqua"/>
                <w:lang w:val="en-US"/>
              </w:rPr>
              <w:t xml:space="preserve">, 2014 </w:t>
            </w:r>
          </w:p>
        </w:tc>
        <w:tc>
          <w:tcPr>
            <w:tcW w:w="850" w:type="dxa"/>
            <w:tcBorders>
              <w:top w:val="single" w:sz="4" w:space="0" w:color="auto"/>
              <w:left w:val="single" w:sz="4" w:space="0" w:color="auto"/>
              <w:bottom w:val="single" w:sz="4" w:space="0" w:color="auto"/>
              <w:right w:val="single" w:sz="4" w:space="0" w:color="auto"/>
            </w:tcBorders>
          </w:tcPr>
          <w:p w14:paraId="480B820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mc</w:t>
            </w:r>
          </w:p>
        </w:tc>
        <w:tc>
          <w:tcPr>
            <w:tcW w:w="993" w:type="dxa"/>
            <w:tcBorders>
              <w:top w:val="single" w:sz="4" w:space="0" w:color="auto"/>
              <w:left w:val="single" w:sz="4" w:space="0" w:color="auto"/>
              <w:bottom w:val="single" w:sz="4" w:space="0" w:color="auto"/>
              <w:right w:val="single" w:sz="4" w:space="0" w:color="auto"/>
            </w:tcBorders>
          </w:tcPr>
          <w:p w14:paraId="7C87C9F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86 CD</w:t>
            </w:r>
          </w:p>
        </w:tc>
        <w:tc>
          <w:tcPr>
            <w:tcW w:w="1984" w:type="dxa"/>
            <w:tcBorders>
              <w:top w:val="single" w:sz="4" w:space="0" w:color="auto"/>
              <w:left w:val="single" w:sz="4" w:space="0" w:color="auto"/>
              <w:bottom w:val="single" w:sz="4" w:space="0" w:color="auto"/>
              <w:right w:val="single" w:sz="4" w:space="0" w:color="auto"/>
            </w:tcBorders>
          </w:tcPr>
          <w:p w14:paraId="005CD66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Anti-TNF discontinuation</w:t>
            </w:r>
          </w:p>
        </w:tc>
        <w:tc>
          <w:tcPr>
            <w:tcW w:w="1418" w:type="dxa"/>
            <w:tcBorders>
              <w:top w:val="single" w:sz="4" w:space="0" w:color="auto"/>
              <w:left w:val="single" w:sz="4" w:space="0" w:color="auto"/>
              <w:bottom w:val="single" w:sz="4" w:space="0" w:color="auto"/>
              <w:right w:val="single" w:sz="4" w:space="0" w:color="auto"/>
            </w:tcBorders>
          </w:tcPr>
          <w:p w14:paraId="049967F7" w14:textId="3C651566" w:rsidR="00A24C79" w:rsidRPr="0050649F" w:rsidRDefault="00A24C79" w:rsidP="00394C77">
            <w:pPr>
              <w:spacing w:line="360" w:lineRule="auto"/>
              <w:jc w:val="both"/>
              <w:rPr>
                <w:rFonts w:ascii="Book Antiqua" w:hAnsi="Book Antiqua"/>
                <w:lang w:val="en-US"/>
              </w:rPr>
            </w:pPr>
            <w:r w:rsidRPr="0050649F">
              <w:rPr>
                <w:rFonts w:ascii="Book Antiqua" w:hAnsi="Book Antiqua"/>
                <w:lang w:val="en-US"/>
              </w:rPr>
              <w:t>Median f-u: 495 d (365-2160)</w:t>
            </w:r>
          </w:p>
        </w:tc>
        <w:tc>
          <w:tcPr>
            <w:tcW w:w="1527" w:type="dxa"/>
            <w:tcBorders>
              <w:top w:val="single" w:sz="4" w:space="0" w:color="auto"/>
              <w:left w:val="single" w:sz="4" w:space="0" w:color="auto"/>
              <w:bottom w:val="single" w:sz="4" w:space="0" w:color="auto"/>
              <w:right w:val="single" w:sz="4" w:space="0" w:color="auto"/>
            </w:tcBorders>
          </w:tcPr>
          <w:p w14:paraId="0C36139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endoscopic and radiologic assessment</w:t>
            </w:r>
          </w:p>
        </w:tc>
        <w:tc>
          <w:tcPr>
            <w:tcW w:w="1560" w:type="dxa"/>
            <w:tcBorders>
              <w:top w:val="single" w:sz="4" w:space="0" w:color="auto"/>
              <w:left w:val="single" w:sz="4" w:space="0" w:color="auto"/>
              <w:bottom w:val="single" w:sz="4" w:space="0" w:color="auto"/>
              <w:right w:val="single" w:sz="4" w:space="0" w:color="auto"/>
            </w:tcBorders>
          </w:tcPr>
          <w:p w14:paraId="119AA485" w14:textId="7257BBC0" w:rsidR="00A24C79" w:rsidRPr="0050649F" w:rsidRDefault="00394C77" w:rsidP="00C97716">
            <w:pPr>
              <w:spacing w:line="360" w:lineRule="auto"/>
              <w:jc w:val="both"/>
              <w:rPr>
                <w:rFonts w:ascii="Book Antiqua" w:hAnsi="Book Antiqua"/>
                <w:lang w:val="en-US"/>
              </w:rPr>
            </w:pPr>
            <w:r>
              <w:rPr>
                <w:rFonts w:ascii="Book Antiqua" w:eastAsia="宋体" w:hAnsi="Book Antiqua" w:hint="eastAsia"/>
                <w:lang w:val="en-US" w:eastAsia="zh-CN"/>
              </w:rPr>
              <w:t>(1</w:t>
            </w:r>
            <w:r w:rsidR="00A24C79" w:rsidRPr="0050649F">
              <w:rPr>
                <w:rFonts w:ascii="Book Antiqua" w:hAnsi="Book Antiqua"/>
                <w:lang w:val="en-US"/>
              </w:rPr>
              <w:t>)</w:t>
            </w:r>
            <w:r>
              <w:rPr>
                <w:rFonts w:ascii="Book Antiqua" w:eastAsia="宋体" w:hAnsi="Book Antiqua" w:hint="eastAsia"/>
                <w:lang w:val="en-US" w:eastAsia="zh-CN"/>
              </w:rPr>
              <w:t xml:space="preserve"> </w:t>
            </w:r>
            <w:r w:rsidR="00A24C79" w:rsidRPr="0050649F">
              <w:rPr>
                <w:rFonts w:ascii="Book Antiqua" w:hAnsi="Book Antiqua"/>
                <w:lang w:val="en-US"/>
              </w:rPr>
              <w:t>Whole cohort relapse rate</w:t>
            </w:r>
          </w:p>
          <w:p w14:paraId="74A63DFE" w14:textId="390C25B6" w:rsidR="00A24C79" w:rsidRPr="0050649F" w:rsidRDefault="00394C77" w:rsidP="00C97716">
            <w:pPr>
              <w:spacing w:line="360" w:lineRule="auto"/>
              <w:jc w:val="both"/>
              <w:rPr>
                <w:rFonts w:ascii="Book Antiqua" w:hAnsi="Book Antiqua"/>
                <w:lang w:val="en-US"/>
              </w:rPr>
            </w:pPr>
            <w:r>
              <w:rPr>
                <w:rFonts w:ascii="Book Antiqua" w:eastAsia="宋体" w:hAnsi="Book Antiqua" w:hint="eastAsia"/>
                <w:lang w:val="en-US" w:eastAsia="zh-CN"/>
              </w:rPr>
              <w:t>(2</w:t>
            </w:r>
            <w:r w:rsidR="00A24C79" w:rsidRPr="0050649F">
              <w:rPr>
                <w:rFonts w:ascii="Book Antiqua" w:hAnsi="Book Antiqua"/>
                <w:lang w:val="en-US"/>
              </w:rPr>
              <w:t>) Endoscopic cohort</w:t>
            </w:r>
          </w:p>
        </w:tc>
        <w:tc>
          <w:tcPr>
            <w:tcW w:w="2264" w:type="dxa"/>
            <w:tcBorders>
              <w:top w:val="single" w:sz="4" w:space="0" w:color="auto"/>
              <w:left w:val="single" w:sz="4" w:space="0" w:color="auto"/>
              <w:bottom w:val="single" w:sz="4" w:space="0" w:color="auto"/>
              <w:right w:val="single" w:sz="4" w:space="0" w:color="auto"/>
            </w:tcBorders>
          </w:tcPr>
          <w:p w14:paraId="28A54042" w14:textId="220F9262" w:rsidR="00A24C79" w:rsidRPr="0050649F" w:rsidRDefault="00394C77" w:rsidP="00C97716">
            <w:pPr>
              <w:spacing w:line="360" w:lineRule="auto"/>
              <w:jc w:val="both"/>
              <w:rPr>
                <w:rFonts w:ascii="Book Antiqua" w:hAnsi="Book Antiqua"/>
                <w:lang w:val="en-US"/>
              </w:rPr>
            </w:pPr>
            <w:r>
              <w:rPr>
                <w:rFonts w:ascii="Book Antiqua" w:eastAsia="宋体" w:hAnsi="Book Antiqua" w:hint="eastAsia"/>
                <w:lang w:val="en-US" w:eastAsia="zh-CN"/>
              </w:rPr>
              <w:t>(1</w:t>
            </w:r>
            <w:r w:rsidR="00A24C79" w:rsidRPr="0050649F">
              <w:rPr>
                <w:rFonts w:ascii="Book Antiqua" w:hAnsi="Book Antiqua"/>
                <w:lang w:val="en-US"/>
              </w:rPr>
              <w:t xml:space="preserve">) at 90 d: 4.7%, </w:t>
            </w:r>
          </w:p>
          <w:p w14:paraId="669EF353" w14:textId="06C3A74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at 180</w:t>
            </w:r>
            <w:r w:rsidR="0060236E">
              <w:rPr>
                <w:rFonts w:ascii="Book Antiqua" w:hAnsi="Book Antiqua"/>
                <w:lang w:val="en-US"/>
              </w:rPr>
              <w:t xml:space="preserve"> d</w:t>
            </w:r>
            <w:r w:rsidRPr="0050649F">
              <w:rPr>
                <w:rFonts w:ascii="Book Antiqua" w:hAnsi="Book Antiqua"/>
                <w:lang w:val="en-US"/>
              </w:rPr>
              <w:t xml:space="preserve">: 18.6% </w:t>
            </w:r>
          </w:p>
          <w:p w14:paraId="7AE99EB3" w14:textId="18CB2363" w:rsidR="00A24C79" w:rsidRPr="0050649F" w:rsidRDefault="0060236E" w:rsidP="00C97716">
            <w:pPr>
              <w:spacing w:line="360" w:lineRule="auto"/>
              <w:jc w:val="both"/>
              <w:rPr>
                <w:rFonts w:ascii="Book Antiqua" w:hAnsi="Book Antiqua"/>
                <w:lang w:val="en-US"/>
              </w:rPr>
            </w:pPr>
            <w:r>
              <w:rPr>
                <w:rFonts w:ascii="Book Antiqua" w:hAnsi="Book Antiqua"/>
                <w:lang w:val="en-US"/>
              </w:rPr>
              <w:t>at 365 d</w:t>
            </w:r>
            <w:r w:rsidR="00A24C79" w:rsidRPr="0050649F">
              <w:rPr>
                <w:rFonts w:ascii="Book Antiqua" w:hAnsi="Book Antiqua"/>
                <w:lang w:val="en-US"/>
              </w:rPr>
              <w:t>: 36%</w:t>
            </w:r>
          </w:p>
          <w:p w14:paraId="6F7A3A47" w14:textId="4FD09B62" w:rsidR="00A24C79" w:rsidRPr="0050649F" w:rsidRDefault="00394C77" w:rsidP="00C97716">
            <w:pPr>
              <w:spacing w:line="360" w:lineRule="auto"/>
              <w:jc w:val="both"/>
              <w:rPr>
                <w:rFonts w:ascii="Book Antiqua" w:hAnsi="Book Antiqua"/>
                <w:lang w:val="en-US"/>
              </w:rPr>
            </w:pPr>
            <w:r>
              <w:rPr>
                <w:rFonts w:ascii="Book Antiqua" w:eastAsia="宋体" w:hAnsi="Book Antiqua" w:hint="eastAsia"/>
                <w:lang w:val="en-US" w:eastAsia="zh-CN"/>
              </w:rPr>
              <w:t>(2</w:t>
            </w:r>
            <w:r w:rsidR="00A24C79" w:rsidRPr="0050649F">
              <w:rPr>
                <w:rFonts w:ascii="Book Antiqua" w:hAnsi="Book Antiqua"/>
                <w:lang w:val="en-US"/>
              </w:rPr>
              <w:t>) 6.3%, 12.5%, 31.3%</w:t>
            </w:r>
          </w:p>
        </w:tc>
        <w:tc>
          <w:tcPr>
            <w:tcW w:w="2980" w:type="dxa"/>
            <w:tcBorders>
              <w:top w:val="single" w:sz="4" w:space="0" w:color="auto"/>
              <w:left w:val="single" w:sz="4" w:space="0" w:color="auto"/>
              <w:bottom w:val="single" w:sz="4" w:space="0" w:color="auto"/>
              <w:right w:val="single" w:sz="4" w:space="0" w:color="auto"/>
            </w:tcBorders>
          </w:tcPr>
          <w:p w14:paraId="3F1A9C5F" w14:textId="2D5E0B0D"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Montreal location</w:t>
            </w:r>
            <w:r w:rsidR="00394C77">
              <w:rPr>
                <w:rFonts w:ascii="Book Antiqua" w:hAnsi="Book Antiqua"/>
                <w:lang w:val="en-US"/>
              </w:rPr>
              <w:t xml:space="preserve"> and previous anti-TNF therapy</w:t>
            </w:r>
          </w:p>
        </w:tc>
      </w:tr>
      <w:tr w:rsidR="0050649F" w:rsidRPr="0050649F" w14:paraId="0F256FCA" w14:textId="77777777" w:rsidTr="00394C77">
        <w:tc>
          <w:tcPr>
            <w:tcW w:w="1632" w:type="dxa"/>
            <w:tcBorders>
              <w:top w:val="single" w:sz="4" w:space="0" w:color="auto"/>
              <w:left w:val="single" w:sz="4" w:space="0" w:color="auto"/>
              <w:bottom w:val="single" w:sz="4" w:space="0" w:color="auto"/>
              <w:right w:val="single" w:sz="4" w:space="0" w:color="auto"/>
            </w:tcBorders>
          </w:tcPr>
          <w:p w14:paraId="0C5D1E5B" w14:textId="4EB16EB7"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Chauvin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[81]</w:t>
            </w:r>
            <w:r w:rsidRPr="0050649F">
              <w:rPr>
                <w:rFonts w:ascii="Book Antiqua" w:hAnsi="Book Antiqua"/>
                <w:lang w:val="en-US"/>
              </w:rPr>
              <w:t xml:space="preserve">, 2014 </w:t>
            </w:r>
          </w:p>
        </w:tc>
        <w:tc>
          <w:tcPr>
            <w:tcW w:w="850" w:type="dxa"/>
            <w:tcBorders>
              <w:top w:val="single" w:sz="4" w:space="0" w:color="auto"/>
              <w:left w:val="single" w:sz="4" w:space="0" w:color="auto"/>
              <w:bottom w:val="single" w:sz="4" w:space="0" w:color="auto"/>
              <w:right w:val="single" w:sz="4" w:space="0" w:color="auto"/>
            </w:tcBorders>
          </w:tcPr>
          <w:p w14:paraId="6B62461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993" w:type="dxa"/>
            <w:tcBorders>
              <w:top w:val="single" w:sz="4" w:space="0" w:color="auto"/>
              <w:left w:val="single" w:sz="4" w:space="0" w:color="auto"/>
              <w:bottom w:val="single" w:sz="4" w:space="0" w:color="auto"/>
              <w:right w:val="single" w:sz="4" w:space="0" w:color="auto"/>
            </w:tcBorders>
          </w:tcPr>
          <w:p w14:paraId="342914E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92 CD</w:t>
            </w:r>
          </w:p>
        </w:tc>
        <w:tc>
          <w:tcPr>
            <w:tcW w:w="1984" w:type="dxa"/>
            <w:tcBorders>
              <w:top w:val="single" w:sz="4" w:space="0" w:color="auto"/>
              <w:left w:val="single" w:sz="4" w:space="0" w:color="auto"/>
              <w:bottom w:val="single" w:sz="4" w:space="0" w:color="auto"/>
              <w:right w:val="single" w:sz="4" w:space="0" w:color="auto"/>
            </w:tcBorders>
          </w:tcPr>
          <w:p w14:paraId="27132B9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 IMM</w:t>
            </w:r>
          </w:p>
          <w:p w14:paraId="257C4BF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2C7B5C8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 f-u: 47.1 mo (4.4-110.2)</w:t>
            </w:r>
          </w:p>
        </w:tc>
        <w:tc>
          <w:tcPr>
            <w:tcW w:w="1527" w:type="dxa"/>
            <w:tcBorders>
              <w:top w:val="single" w:sz="4" w:space="0" w:color="auto"/>
              <w:left w:val="single" w:sz="4" w:space="0" w:color="auto"/>
              <w:bottom w:val="single" w:sz="4" w:space="0" w:color="auto"/>
              <w:right w:val="single" w:sz="4" w:space="0" w:color="auto"/>
            </w:tcBorders>
          </w:tcPr>
          <w:p w14:paraId="139AB04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560" w:type="dxa"/>
            <w:tcBorders>
              <w:top w:val="single" w:sz="4" w:space="0" w:color="auto"/>
              <w:left w:val="single" w:sz="4" w:space="0" w:color="auto"/>
              <w:bottom w:val="single" w:sz="4" w:space="0" w:color="auto"/>
              <w:right w:val="single" w:sz="4" w:space="0" w:color="auto"/>
            </w:tcBorders>
          </w:tcPr>
          <w:p w14:paraId="3069042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47D0679D" w14:textId="31346B11" w:rsidR="00A24C79" w:rsidRPr="0050649F" w:rsidRDefault="00394C77" w:rsidP="00C97716">
            <w:pPr>
              <w:spacing w:line="360" w:lineRule="auto"/>
              <w:jc w:val="both"/>
              <w:rPr>
                <w:rFonts w:ascii="Book Antiqua" w:hAnsi="Book Antiqua"/>
                <w:lang w:val="en-US"/>
              </w:rPr>
            </w:pPr>
            <w:r w:rsidRPr="0050649F">
              <w:rPr>
                <w:rFonts w:ascii="Book Antiqua" w:hAnsi="Book Antiqua"/>
                <w:lang w:val="en-US"/>
              </w:rPr>
              <w:t>C</w:t>
            </w:r>
            <w:r w:rsidR="00A24C79" w:rsidRPr="0050649F">
              <w:rPr>
                <w:rFonts w:ascii="Book Antiqua" w:hAnsi="Book Antiqua"/>
                <w:lang w:val="en-US"/>
              </w:rPr>
              <w:t>umulative: 72%,</w:t>
            </w:r>
          </w:p>
          <w:p w14:paraId="2123D50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at 1 yr: 30%,</w:t>
            </w:r>
          </w:p>
          <w:p w14:paraId="76AFD244" w14:textId="77777777" w:rsidR="00A24C79" w:rsidRPr="0050649F" w:rsidRDefault="00A24C79" w:rsidP="00C97716">
            <w:pPr>
              <w:spacing w:line="360" w:lineRule="auto"/>
              <w:jc w:val="both"/>
              <w:rPr>
                <w:rFonts w:ascii="Book Antiqua" w:hAnsi="Book Antiqua"/>
                <w:lang w:val="en-US"/>
              </w:rPr>
            </w:pPr>
            <w:proofErr w:type="gramStart"/>
            <w:r w:rsidRPr="0050649F">
              <w:rPr>
                <w:rFonts w:ascii="Book Antiqua" w:hAnsi="Book Antiqua"/>
                <w:lang w:val="en-US"/>
              </w:rPr>
              <w:t>at</w:t>
            </w:r>
            <w:proofErr w:type="gramEnd"/>
            <w:r w:rsidRPr="0050649F">
              <w:rPr>
                <w:rFonts w:ascii="Book Antiqua" w:hAnsi="Book Antiqua"/>
                <w:lang w:val="en-US"/>
              </w:rPr>
              <w:t xml:space="preserve"> 2 yr: 48%.</w:t>
            </w:r>
          </w:p>
        </w:tc>
        <w:tc>
          <w:tcPr>
            <w:tcW w:w="2980" w:type="dxa"/>
            <w:tcBorders>
              <w:top w:val="single" w:sz="4" w:space="0" w:color="auto"/>
              <w:left w:val="single" w:sz="4" w:space="0" w:color="auto"/>
              <w:bottom w:val="single" w:sz="4" w:space="0" w:color="auto"/>
              <w:right w:val="single" w:sz="4" w:space="0" w:color="auto"/>
            </w:tcBorders>
          </w:tcPr>
          <w:p w14:paraId="52227669" w14:textId="2873EB61"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smoking, previous antimetabolite failure, pe</w:t>
            </w:r>
            <w:r w:rsidR="00394C77">
              <w:rPr>
                <w:rFonts w:ascii="Book Antiqua" w:hAnsi="Book Antiqua"/>
                <w:lang w:val="en-US"/>
              </w:rPr>
              <w:t>rianal disease. (multivariate)</w:t>
            </w:r>
          </w:p>
        </w:tc>
      </w:tr>
      <w:tr w:rsidR="0050649F" w:rsidRPr="0050649F" w14:paraId="45E4F855" w14:textId="77777777" w:rsidTr="00394C77">
        <w:tc>
          <w:tcPr>
            <w:tcW w:w="1632" w:type="dxa"/>
            <w:tcBorders>
              <w:top w:val="single" w:sz="4" w:space="0" w:color="auto"/>
              <w:left w:val="single" w:sz="4" w:space="0" w:color="auto"/>
              <w:bottom w:val="single" w:sz="4" w:space="0" w:color="auto"/>
              <w:right w:val="single" w:sz="4" w:space="0" w:color="auto"/>
            </w:tcBorders>
          </w:tcPr>
          <w:p w14:paraId="2A3E6376" w14:textId="0BBE123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Dai</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[82]</w:t>
            </w:r>
            <w:r w:rsidRPr="0050649F">
              <w:rPr>
                <w:rFonts w:ascii="Book Antiqua" w:hAnsi="Book Antiqua"/>
                <w:lang w:val="en-US"/>
              </w:rPr>
              <w:t xml:space="preserve">, 2014 </w:t>
            </w:r>
          </w:p>
        </w:tc>
        <w:tc>
          <w:tcPr>
            <w:tcW w:w="850" w:type="dxa"/>
            <w:tcBorders>
              <w:top w:val="single" w:sz="4" w:space="0" w:color="auto"/>
              <w:left w:val="single" w:sz="4" w:space="0" w:color="auto"/>
              <w:bottom w:val="single" w:sz="4" w:space="0" w:color="auto"/>
              <w:right w:val="single" w:sz="4" w:space="0" w:color="auto"/>
            </w:tcBorders>
          </w:tcPr>
          <w:p w14:paraId="367A7FD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93" w:type="dxa"/>
            <w:tcBorders>
              <w:top w:val="single" w:sz="4" w:space="0" w:color="auto"/>
              <w:left w:val="single" w:sz="4" w:space="0" w:color="auto"/>
              <w:bottom w:val="single" w:sz="4" w:space="0" w:color="auto"/>
              <w:right w:val="single" w:sz="4" w:space="0" w:color="auto"/>
            </w:tcBorders>
          </w:tcPr>
          <w:p w14:paraId="1487D42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109 CD</w:t>
            </w:r>
          </w:p>
          <w:p w14:paraId="39E346C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107 UC</w:t>
            </w:r>
          </w:p>
        </w:tc>
        <w:tc>
          <w:tcPr>
            <w:tcW w:w="1984" w:type="dxa"/>
            <w:tcBorders>
              <w:top w:val="single" w:sz="4" w:space="0" w:color="auto"/>
              <w:left w:val="single" w:sz="4" w:space="0" w:color="auto"/>
              <w:bottom w:val="single" w:sz="4" w:space="0" w:color="auto"/>
              <w:right w:val="single" w:sz="4" w:space="0" w:color="auto"/>
            </w:tcBorders>
          </w:tcPr>
          <w:p w14:paraId="5F1EC28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3A1A133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12 mo </w:t>
            </w:r>
          </w:p>
        </w:tc>
        <w:tc>
          <w:tcPr>
            <w:tcW w:w="1527" w:type="dxa"/>
            <w:tcBorders>
              <w:top w:val="single" w:sz="4" w:space="0" w:color="auto"/>
              <w:left w:val="single" w:sz="4" w:space="0" w:color="auto"/>
              <w:bottom w:val="single" w:sz="4" w:space="0" w:color="auto"/>
              <w:right w:val="single" w:sz="4" w:space="0" w:color="auto"/>
            </w:tcBorders>
          </w:tcPr>
          <w:p w14:paraId="155FA163"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and endoscopic assessment</w:t>
            </w:r>
          </w:p>
        </w:tc>
        <w:tc>
          <w:tcPr>
            <w:tcW w:w="1560" w:type="dxa"/>
            <w:tcBorders>
              <w:top w:val="single" w:sz="4" w:space="0" w:color="auto"/>
              <w:left w:val="single" w:sz="4" w:space="0" w:color="auto"/>
              <w:bottom w:val="single" w:sz="4" w:space="0" w:color="auto"/>
              <w:right w:val="single" w:sz="4" w:space="0" w:color="auto"/>
            </w:tcBorders>
          </w:tcPr>
          <w:p w14:paraId="10BF113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 (need to restart IFX)</w:t>
            </w:r>
          </w:p>
        </w:tc>
        <w:tc>
          <w:tcPr>
            <w:tcW w:w="2264" w:type="dxa"/>
            <w:tcBorders>
              <w:top w:val="single" w:sz="4" w:space="0" w:color="auto"/>
              <w:left w:val="single" w:sz="4" w:space="0" w:color="auto"/>
              <w:bottom w:val="single" w:sz="4" w:space="0" w:color="auto"/>
              <w:right w:val="single" w:sz="4" w:space="0" w:color="auto"/>
            </w:tcBorders>
          </w:tcPr>
          <w:p w14:paraId="0D04DC1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Pt achieved clinical remission: 13.9%</w:t>
            </w:r>
          </w:p>
          <w:p w14:paraId="0E7C98D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Pt achieved full remission: 6.5%</w:t>
            </w:r>
          </w:p>
          <w:p w14:paraId="5D00C10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Pt achieved MH: 10%</w:t>
            </w:r>
          </w:p>
          <w:p w14:paraId="00F92D1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 </w:t>
            </w:r>
          </w:p>
        </w:tc>
        <w:tc>
          <w:tcPr>
            <w:tcW w:w="2980" w:type="dxa"/>
            <w:tcBorders>
              <w:top w:val="single" w:sz="4" w:space="0" w:color="auto"/>
              <w:left w:val="single" w:sz="4" w:space="0" w:color="auto"/>
              <w:bottom w:val="single" w:sz="4" w:space="0" w:color="auto"/>
              <w:right w:val="single" w:sz="4" w:space="0" w:color="auto"/>
            </w:tcBorders>
          </w:tcPr>
          <w:p w14:paraId="72438A25"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No significant risk factors for relapse were found.</w:t>
            </w:r>
            <w:r w:rsidRPr="0050649F">
              <w:rPr>
                <w:rFonts w:ascii="Book Antiqua" w:hAnsi="Book Antiqua"/>
                <w:vertAlign w:val="superscript"/>
                <w:lang w:val="en-US"/>
              </w:rPr>
              <w:t xml:space="preserve"> </w:t>
            </w:r>
          </w:p>
          <w:p w14:paraId="24178F87" w14:textId="77777777" w:rsidR="00A24C79" w:rsidRPr="0050649F" w:rsidRDefault="00A24C79" w:rsidP="00C97716">
            <w:pPr>
              <w:spacing w:line="360" w:lineRule="auto"/>
              <w:jc w:val="both"/>
              <w:rPr>
                <w:rFonts w:ascii="Book Antiqua" w:hAnsi="Book Antiqua"/>
                <w:lang w:val="en-US"/>
              </w:rPr>
            </w:pPr>
          </w:p>
          <w:p w14:paraId="36E9E438" w14:textId="6BDD4B8C"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MH doesn’t not predict sustained clinical </w:t>
            </w:r>
            <w:r w:rsidR="00394C77">
              <w:rPr>
                <w:rFonts w:ascii="Book Antiqua" w:hAnsi="Book Antiqua"/>
                <w:lang w:val="en-US"/>
              </w:rPr>
              <w:t>remission</w:t>
            </w:r>
          </w:p>
        </w:tc>
      </w:tr>
      <w:tr w:rsidR="0050649F" w:rsidRPr="0050649F" w14:paraId="49560B69" w14:textId="77777777" w:rsidTr="00394C77">
        <w:tc>
          <w:tcPr>
            <w:tcW w:w="1632" w:type="dxa"/>
            <w:tcBorders>
              <w:top w:val="single" w:sz="4" w:space="0" w:color="auto"/>
              <w:left w:val="single" w:sz="4" w:space="0" w:color="auto"/>
              <w:bottom w:val="single" w:sz="4" w:space="0" w:color="auto"/>
              <w:right w:val="single" w:sz="4" w:space="0" w:color="auto"/>
            </w:tcBorders>
          </w:tcPr>
          <w:p w14:paraId="7C17B35C" w14:textId="1F01E2DF"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Ben-Horin</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[83]</w:t>
            </w:r>
            <w:r w:rsidRPr="0050649F">
              <w:rPr>
                <w:rFonts w:ascii="Book Antiqua" w:hAnsi="Book Antiqua"/>
                <w:lang w:val="en-US"/>
              </w:rPr>
              <w:t xml:space="preserve">, 2015 </w:t>
            </w:r>
          </w:p>
        </w:tc>
        <w:tc>
          <w:tcPr>
            <w:tcW w:w="850" w:type="dxa"/>
            <w:tcBorders>
              <w:top w:val="single" w:sz="4" w:space="0" w:color="auto"/>
              <w:left w:val="single" w:sz="4" w:space="0" w:color="auto"/>
              <w:bottom w:val="single" w:sz="4" w:space="0" w:color="auto"/>
              <w:right w:val="single" w:sz="4" w:space="0" w:color="auto"/>
            </w:tcBorders>
          </w:tcPr>
          <w:p w14:paraId="3448D28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mc</w:t>
            </w:r>
          </w:p>
        </w:tc>
        <w:tc>
          <w:tcPr>
            <w:tcW w:w="993" w:type="dxa"/>
            <w:tcBorders>
              <w:top w:val="single" w:sz="4" w:space="0" w:color="auto"/>
              <w:left w:val="single" w:sz="4" w:space="0" w:color="auto"/>
              <w:bottom w:val="single" w:sz="4" w:space="0" w:color="auto"/>
              <w:right w:val="single" w:sz="4" w:space="0" w:color="auto"/>
            </w:tcBorders>
          </w:tcPr>
          <w:p w14:paraId="68C0389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30 CD</w:t>
            </w:r>
          </w:p>
          <w:p w14:paraId="3146D1C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18 UC</w:t>
            </w:r>
          </w:p>
        </w:tc>
        <w:tc>
          <w:tcPr>
            <w:tcW w:w="1984" w:type="dxa"/>
            <w:tcBorders>
              <w:top w:val="single" w:sz="4" w:space="0" w:color="auto"/>
              <w:left w:val="single" w:sz="4" w:space="0" w:color="auto"/>
              <w:bottom w:val="single" w:sz="4" w:space="0" w:color="auto"/>
              <w:right w:val="single" w:sz="4" w:space="0" w:color="auto"/>
            </w:tcBorders>
          </w:tcPr>
          <w:p w14:paraId="04EA23C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Anti-TNF discontinuation</w:t>
            </w:r>
          </w:p>
        </w:tc>
        <w:tc>
          <w:tcPr>
            <w:tcW w:w="1418" w:type="dxa"/>
            <w:tcBorders>
              <w:top w:val="single" w:sz="4" w:space="0" w:color="auto"/>
              <w:left w:val="single" w:sz="4" w:space="0" w:color="auto"/>
              <w:bottom w:val="single" w:sz="4" w:space="0" w:color="auto"/>
              <w:right w:val="single" w:sz="4" w:space="0" w:color="auto"/>
            </w:tcBorders>
          </w:tcPr>
          <w:p w14:paraId="256C098D" w14:textId="77777777" w:rsidR="00A24C79" w:rsidRPr="0050649F" w:rsidRDefault="00A24C79" w:rsidP="00C97716">
            <w:pPr>
              <w:spacing w:line="360" w:lineRule="auto"/>
              <w:jc w:val="both"/>
              <w:rPr>
                <w:rFonts w:ascii="Book Antiqua" w:hAnsi="Book Antiqua"/>
                <w:lang w:val="es-ES"/>
              </w:rPr>
            </w:pPr>
            <w:r w:rsidRPr="0050649F">
              <w:rPr>
                <w:rFonts w:ascii="Book Antiqua" w:hAnsi="Book Antiqua"/>
                <w:lang w:val="es-ES"/>
              </w:rPr>
              <w:t xml:space="preserve">Median f-u: 12 mo </w:t>
            </w:r>
          </w:p>
        </w:tc>
        <w:tc>
          <w:tcPr>
            <w:tcW w:w="1527" w:type="dxa"/>
            <w:tcBorders>
              <w:top w:val="single" w:sz="4" w:space="0" w:color="auto"/>
              <w:left w:val="single" w:sz="4" w:space="0" w:color="auto"/>
              <w:bottom w:val="single" w:sz="4" w:space="0" w:color="auto"/>
              <w:right w:val="single" w:sz="4" w:space="0" w:color="auto"/>
            </w:tcBorders>
          </w:tcPr>
          <w:p w14:paraId="3CB721C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and endoscopic assessment</w:t>
            </w:r>
          </w:p>
        </w:tc>
        <w:tc>
          <w:tcPr>
            <w:tcW w:w="1560" w:type="dxa"/>
            <w:tcBorders>
              <w:top w:val="single" w:sz="4" w:space="0" w:color="auto"/>
              <w:left w:val="single" w:sz="4" w:space="0" w:color="auto"/>
              <w:bottom w:val="single" w:sz="4" w:space="0" w:color="auto"/>
              <w:right w:val="single" w:sz="4" w:space="0" w:color="auto"/>
            </w:tcBorders>
          </w:tcPr>
          <w:p w14:paraId="58982BB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60D28D9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Detectable drug: 80%,</w:t>
            </w:r>
          </w:p>
          <w:p w14:paraId="088F6A00"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undetectable drug: 30%</w:t>
            </w:r>
          </w:p>
        </w:tc>
        <w:tc>
          <w:tcPr>
            <w:tcW w:w="2980" w:type="dxa"/>
            <w:tcBorders>
              <w:top w:val="single" w:sz="4" w:space="0" w:color="auto"/>
              <w:left w:val="single" w:sz="4" w:space="0" w:color="auto"/>
              <w:bottom w:val="single" w:sz="4" w:space="0" w:color="auto"/>
              <w:right w:val="single" w:sz="4" w:space="0" w:color="auto"/>
            </w:tcBorders>
          </w:tcPr>
          <w:p w14:paraId="00E22AB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Risk factors for relapse:</w:t>
            </w:r>
          </w:p>
          <w:p w14:paraId="7F8C6D9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detectable drug levels </w:t>
            </w:r>
          </w:p>
        </w:tc>
      </w:tr>
      <w:tr w:rsidR="0050649F" w:rsidRPr="0050649F" w14:paraId="7D97ED23" w14:textId="77777777" w:rsidTr="00394C77">
        <w:tc>
          <w:tcPr>
            <w:tcW w:w="1632" w:type="dxa"/>
            <w:tcBorders>
              <w:top w:val="single" w:sz="4" w:space="0" w:color="auto"/>
              <w:left w:val="single" w:sz="4" w:space="0" w:color="auto"/>
              <w:bottom w:val="single" w:sz="4" w:space="0" w:color="auto"/>
              <w:right w:val="single" w:sz="4" w:space="0" w:color="auto"/>
            </w:tcBorders>
          </w:tcPr>
          <w:p w14:paraId="05008567" w14:textId="495DB145"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lastRenderedPageBreak/>
              <w:t>Papamichael</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[84]</w:t>
            </w:r>
            <w:r w:rsidRPr="0050649F">
              <w:rPr>
                <w:rFonts w:ascii="Book Antiqua" w:hAnsi="Book Antiqua"/>
                <w:lang w:val="en-US"/>
              </w:rPr>
              <w:t xml:space="preserve">, 2015 </w:t>
            </w:r>
          </w:p>
        </w:tc>
        <w:tc>
          <w:tcPr>
            <w:tcW w:w="850" w:type="dxa"/>
            <w:tcBorders>
              <w:top w:val="single" w:sz="4" w:space="0" w:color="auto"/>
              <w:left w:val="single" w:sz="4" w:space="0" w:color="auto"/>
              <w:bottom w:val="single" w:sz="4" w:space="0" w:color="auto"/>
              <w:right w:val="single" w:sz="4" w:space="0" w:color="auto"/>
            </w:tcBorders>
          </w:tcPr>
          <w:p w14:paraId="000A741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93" w:type="dxa"/>
            <w:tcBorders>
              <w:top w:val="single" w:sz="4" w:space="0" w:color="auto"/>
              <w:left w:val="single" w:sz="4" w:space="0" w:color="auto"/>
              <w:bottom w:val="single" w:sz="4" w:space="0" w:color="auto"/>
              <w:right w:val="single" w:sz="4" w:space="0" w:color="auto"/>
            </w:tcBorders>
          </w:tcPr>
          <w:p w14:paraId="2C15897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100 CD</w:t>
            </w:r>
          </w:p>
        </w:tc>
        <w:tc>
          <w:tcPr>
            <w:tcW w:w="1984" w:type="dxa"/>
            <w:tcBorders>
              <w:top w:val="single" w:sz="4" w:space="0" w:color="auto"/>
              <w:left w:val="single" w:sz="4" w:space="0" w:color="auto"/>
              <w:bottom w:val="single" w:sz="4" w:space="0" w:color="auto"/>
              <w:right w:val="single" w:sz="4" w:space="0" w:color="auto"/>
            </w:tcBorders>
          </w:tcPr>
          <w:p w14:paraId="5147DA5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4C90655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s-ES"/>
              </w:rPr>
              <w:t>Median f-u: 9.7 yr</w:t>
            </w:r>
          </w:p>
        </w:tc>
        <w:tc>
          <w:tcPr>
            <w:tcW w:w="1527" w:type="dxa"/>
            <w:tcBorders>
              <w:top w:val="single" w:sz="4" w:space="0" w:color="auto"/>
              <w:left w:val="single" w:sz="4" w:space="0" w:color="auto"/>
              <w:bottom w:val="single" w:sz="4" w:space="0" w:color="auto"/>
              <w:right w:val="single" w:sz="4" w:space="0" w:color="auto"/>
            </w:tcBorders>
          </w:tcPr>
          <w:p w14:paraId="5A8BBE3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560" w:type="dxa"/>
            <w:tcBorders>
              <w:top w:val="single" w:sz="4" w:space="0" w:color="auto"/>
              <w:left w:val="single" w:sz="4" w:space="0" w:color="auto"/>
              <w:bottom w:val="single" w:sz="4" w:space="0" w:color="auto"/>
              <w:right w:val="single" w:sz="4" w:space="0" w:color="auto"/>
            </w:tcBorders>
          </w:tcPr>
          <w:p w14:paraId="3E0D7CD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remission rate</w:t>
            </w:r>
          </w:p>
        </w:tc>
        <w:tc>
          <w:tcPr>
            <w:tcW w:w="2264" w:type="dxa"/>
            <w:tcBorders>
              <w:top w:val="single" w:sz="4" w:space="0" w:color="auto"/>
              <w:left w:val="single" w:sz="4" w:space="0" w:color="auto"/>
              <w:bottom w:val="single" w:sz="4" w:space="0" w:color="auto"/>
              <w:right w:val="single" w:sz="4" w:space="0" w:color="auto"/>
            </w:tcBorders>
          </w:tcPr>
          <w:p w14:paraId="267AAEF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52%,</w:t>
            </w:r>
          </w:p>
          <w:p w14:paraId="4B977E1E"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 xml:space="preserve">at 1 yr 96%, </w:t>
            </w:r>
          </w:p>
          <w:p w14:paraId="0DCE21D0"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at 2 yr 93%,</w:t>
            </w:r>
          </w:p>
          <w:p w14:paraId="37F3E508" w14:textId="77777777" w:rsidR="00A24C79" w:rsidRPr="0050649F" w:rsidRDefault="00A24C79" w:rsidP="00C97716">
            <w:pPr>
              <w:spacing w:line="360" w:lineRule="auto"/>
              <w:jc w:val="both"/>
              <w:rPr>
                <w:rFonts w:ascii="Book Antiqua" w:hAnsi="Book Antiqua"/>
                <w:lang w:val="nb-NO"/>
              </w:rPr>
            </w:pPr>
            <w:r w:rsidRPr="0050649F">
              <w:rPr>
                <w:rFonts w:ascii="Book Antiqua" w:hAnsi="Book Antiqua"/>
                <w:lang w:val="nb-NO"/>
              </w:rPr>
              <w:t>at 3 yr 88%,</w:t>
            </w:r>
          </w:p>
          <w:p w14:paraId="22A62DC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at 4 yr 80%, </w:t>
            </w:r>
          </w:p>
          <w:p w14:paraId="5C37559B" w14:textId="1AFCCDE4" w:rsidR="00A24C79" w:rsidRPr="00394C77" w:rsidRDefault="00394C77" w:rsidP="00C97716">
            <w:pPr>
              <w:spacing w:line="360" w:lineRule="auto"/>
              <w:jc w:val="both"/>
              <w:rPr>
                <w:rFonts w:ascii="Book Antiqua" w:eastAsia="宋体" w:hAnsi="Book Antiqua"/>
                <w:lang w:val="en-US" w:eastAsia="zh-CN"/>
              </w:rPr>
            </w:pPr>
            <w:r>
              <w:rPr>
                <w:rFonts w:ascii="Book Antiqua" w:hAnsi="Book Antiqua"/>
                <w:lang w:val="en-US"/>
              </w:rPr>
              <w:t>at 5 yr 73%</w:t>
            </w:r>
          </w:p>
        </w:tc>
        <w:tc>
          <w:tcPr>
            <w:tcW w:w="2980" w:type="dxa"/>
            <w:tcBorders>
              <w:top w:val="single" w:sz="4" w:space="0" w:color="auto"/>
              <w:left w:val="single" w:sz="4" w:space="0" w:color="auto"/>
              <w:bottom w:val="single" w:sz="4" w:space="0" w:color="auto"/>
              <w:right w:val="single" w:sz="4" w:space="0" w:color="auto"/>
            </w:tcBorders>
          </w:tcPr>
          <w:p w14:paraId="51DBF020" w14:textId="390E244F"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 xml:space="preserve">At the univariate analysis were associated with a SCR: </w:t>
            </w:r>
            <w:r w:rsidR="00394C77" w:rsidRPr="0050649F">
              <w:rPr>
                <w:rFonts w:ascii="Book Antiqua" w:hAnsi="Book Antiqua"/>
                <w:lang w:val="en-US"/>
              </w:rPr>
              <w:t>A</w:t>
            </w:r>
            <w:r w:rsidRPr="0050649F">
              <w:rPr>
                <w:rFonts w:ascii="Book Antiqua" w:hAnsi="Book Antiqua"/>
                <w:lang w:val="en-US"/>
              </w:rPr>
              <w:t>ge at diagnosis ≥ 25 yr, disease duration from diagnosis to start of IFX &lt; 1 years, MH at the IFX dis., IFX TC &lt; 6 mg/mL at the IFX dis., positi</w:t>
            </w:r>
            <w:r w:rsidR="00394C77">
              <w:rPr>
                <w:rFonts w:ascii="Book Antiqua" w:hAnsi="Book Antiqua"/>
                <w:lang w:val="en-US"/>
              </w:rPr>
              <w:t>ve serum VCAM-1 at the IFX dis</w:t>
            </w:r>
          </w:p>
        </w:tc>
      </w:tr>
      <w:tr w:rsidR="0050649F" w:rsidRPr="0050649F" w14:paraId="3C1B5788" w14:textId="77777777" w:rsidTr="00394C77">
        <w:tc>
          <w:tcPr>
            <w:tcW w:w="1632" w:type="dxa"/>
            <w:tcBorders>
              <w:top w:val="single" w:sz="4" w:space="0" w:color="auto"/>
              <w:left w:val="single" w:sz="4" w:space="0" w:color="auto"/>
              <w:bottom w:val="single" w:sz="4" w:space="0" w:color="auto"/>
              <w:right w:val="single" w:sz="4" w:space="0" w:color="auto"/>
            </w:tcBorders>
          </w:tcPr>
          <w:p w14:paraId="48715F09" w14:textId="15E037EA"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Bortlik</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[85]</w:t>
            </w:r>
            <w:r w:rsidRPr="0050649F">
              <w:rPr>
                <w:rFonts w:ascii="Book Antiqua" w:hAnsi="Book Antiqua"/>
                <w:lang w:val="en-US"/>
              </w:rPr>
              <w:t xml:space="preserve">, 2015 </w:t>
            </w:r>
          </w:p>
        </w:tc>
        <w:tc>
          <w:tcPr>
            <w:tcW w:w="850" w:type="dxa"/>
            <w:tcBorders>
              <w:top w:val="single" w:sz="4" w:space="0" w:color="auto"/>
              <w:left w:val="single" w:sz="4" w:space="0" w:color="auto"/>
              <w:bottom w:val="single" w:sz="4" w:space="0" w:color="auto"/>
              <w:right w:val="single" w:sz="4" w:space="0" w:color="auto"/>
            </w:tcBorders>
          </w:tcPr>
          <w:p w14:paraId="4057B7E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PA, sc</w:t>
            </w:r>
          </w:p>
        </w:tc>
        <w:tc>
          <w:tcPr>
            <w:tcW w:w="993" w:type="dxa"/>
            <w:tcBorders>
              <w:top w:val="single" w:sz="4" w:space="0" w:color="auto"/>
              <w:left w:val="single" w:sz="4" w:space="0" w:color="auto"/>
              <w:bottom w:val="single" w:sz="4" w:space="0" w:color="auto"/>
              <w:right w:val="single" w:sz="4" w:space="0" w:color="auto"/>
            </w:tcBorders>
          </w:tcPr>
          <w:p w14:paraId="00371EB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61 CD</w:t>
            </w:r>
          </w:p>
        </w:tc>
        <w:tc>
          <w:tcPr>
            <w:tcW w:w="1984" w:type="dxa"/>
            <w:tcBorders>
              <w:top w:val="single" w:sz="4" w:space="0" w:color="auto"/>
              <w:left w:val="single" w:sz="4" w:space="0" w:color="auto"/>
              <w:bottom w:val="single" w:sz="4" w:space="0" w:color="auto"/>
              <w:right w:val="single" w:sz="4" w:space="0" w:color="auto"/>
            </w:tcBorders>
          </w:tcPr>
          <w:p w14:paraId="5DA3223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discontinuation</w:t>
            </w:r>
          </w:p>
        </w:tc>
        <w:tc>
          <w:tcPr>
            <w:tcW w:w="1418" w:type="dxa"/>
            <w:tcBorders>
              <w:top w:val="single" w:sz="4" w:space="0" w:color="auto"/>
              <w:left w:val="single" w:sz="4" w:space="0" w:color="auto"/>
              <w:bottom w:val="single" w:sz="4" w:space="0" w:color="auto"/>
              <w:right w:val="single" w:sz="4" w:space="0" w:color="auto"/>
            </w:tcBorders>
          </w:tcPr>
          <w:p w14:paraId="56652F04"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 f-u: 28 mo (7-47)</w:t>
            </w:r>
          </w:p>
        </w:tc>
        <w:tc>
          <w:tcPr>
            <w:tcW w:w="1527" w:type="dxa"/>
            <w:tcBorders>
              <w:top w:val="single" w:sz="4" w:space="0" w:color="auto"/>
              <w:left w:val="single" w:sz="4" w:space="0" w:color="auto"/>
              <w:bottom w:val="single" w:sz="4" w:space="0" w:color="auto"/>
              <w:right w:val="single" w:sz="4" w:space="0" w:color="auto"/>
            </w:tcBorders>
          </w:tcPr>
          <w:p w14:paraId="02C97EC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560" w:type="dxa"/>
            <w:tcBorders>
              <w:top w:val="single" w:sz="4" w:space="0" w:color="auto"/>
              <w:left w:val="single" w:sz="4" w:space="0" w:color="auto"/>
              <w:bottom w:val="single" w:sz="4" w:space="0" w:color="auto"/>
              <w:right w:val="single" w:sz="4" w:space="0" w:color="auto"/>
            </w:tcBorders>
          </w:tcPr>
          <w:p w14:paraId="071249D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63A7FFB2" w14:textId="2313FC56" w:rsidR="00A24C79" w:rsidRPr="0050649F" w:rsidRDefault="00394C77" w:rsidP="00C97716">
            <w:pPr>
              <w:spacing w:line="360" w:lineRule="auto"/>
              <w:jc w:val="both"/>
              <w:rPr>
                <w:rFonts w:ascii="Book Antiqua" w:hAnsi="Book Antiqua"/>
                <w:lang w:val="en-US"/>
              </w:rPr>
            </w:pPr>
            <w:r w:rsidRPr="0050649F">
              <w:rPr>
                <w:rFonts w:ascii="Book Antiqua" w:hAnsi="Book Antiqua"/>
                <w:lang w:val="en-US"/>
              </w:rPr>
              <w:t>A</w:t>
            </w:r>
            <w:r w:rsidR="00A24C79" w:rsidRPr="0050649F">
              <w:rPr>
                <w:rFonts w:ascii="Book Antiqua" w:hAnsi="Book Antiqua"/>
                <w:lang w:val="en-US"/>
              </w:rPr>
              <w:t>t 6 mo 18%</w:t>
            </w:r>
          </w:p>
          <w:p w14:paraId="3F0935C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at 12 mo 41%,</w:t>
            </w:r>
          </w:p>
          <w:p w14:paraId="5F611A50" w14:textId="77777777" w:rsidR="00A24C79" w:rsidRPr="0050649F" w:rsidRDefault="00A24C79" w:rsidP="00C97716">
            <w:pPr>
              <w:spacing w:line="360" w:lineRule="auto"/>
              <w:jc w:val="both"/>
              <w:rPr>
                <w:rFonts w:ascii="Book Antiqua" w:hAnsi="Book Antiqua"/>
                <w:lang w:val="en-US"/>
              </w:rPr>
            </w:pPr>
            <w:proofErr w:type="gramStart"/>
            <w:r w:rsidRPr="0050649F">
              <w:rPr>
                <w:rFonts w:ascii="Book Antiqua" w:hAnsi="Book Antiqua"/>
                <w:lang w:val="en-US"/>
              </w:rPr>
              <w:t>at</w:t>
            </w:r>
            <w:proofErr w:type="gramEnd"/>
            <w:r w:rsidRPr="0050649F">
              <w:rPr>
                <w:rFonts w:ascii="Book Antiqua" w:hAnsi="Book Antiqua"/>
                <w:lang w:val="en-US"/>
              </w:rPr>
              <w:t xml:space="preserve"> 24 mo 49%.</w:t>
            </w:r>
          </w:p>
          <w:p w14:paraId="2B3B550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With MH: 18%, 36, 60%</w:t>
            </w:r>
          </w:p>
        </w:tc>
        <w:tc>
          <w:tcPr>
            <w:tcW w:w="2980" w:type="dxa"/>
            <w:tcBorders>
              <w:top w:val="single" w:sz="4" w:space="0" w:color="auto"/>
              <w:left w:val="single" w:sz="4" w:space="0" w:color="auto"/>
              <w:bottom w:val="single" w:sz="4" w:space="0" w:color="auto"/>
              <w:right w:val="single" w:sz="4" w:space="0" w:color="auto"/>
            </w:tcBorders>
          </w:tcPr>
          <w:p w14:paraId="1E3A42A4" w14:textId="699CA1A1"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Risk fac</w:t>
            </w:r>
            <w:r w:rsidR="00394C77">
              <w:rPr>
                <w:rFonts w:ascii="Book Antiqua" w:hAnsi="Book Antiqua"/>
                <w:lang w:val="en-US"/>
              </w:rPr>
              <w:t>tors for relapse: Ileal disease</w:t>
            </w:r>
            <w:r w:rsidRPr="0050649F">
              <w:rPr>
                <w:rFonts w:ascii="Book Antiqua" w:hAnsi="Book Antiqua"/>
                <w:lang w:val="en-US"/>
              </w:rPr>
              <w:t xml:space="preserve"> </w:t>
            </w:r>
          </w:p>
        </w:tc>
      </w:tr>
      <w:tr w:rsidR="0050649F" w:rsidRPr="0050649F" w14:paraId="018D400C" w14:textId="77777777" w:rsidTr="00394C77">
        <w:tc>
          <w:tcPr>
            <w:tcW w:w="1632" w:type="dxa"/>
            <w:tcBorders>
              <w:top w:val="single" w:sz="4" w:space="0" w:color="auto"/>
              <w:left w:val="single" w:sz="4" w:space="0" w:color="auto"/>
              <w:bottom w:val="single" w:sz="4" w:space="0" w:color="auto"/>
              <w:right w:val="single" w:sz="4" w:space="0" w:color="auto"/>
            </w:tcBorders>
          </w:tcPr>
          <w:p w14:paraId="7FF9E0F5" w14:textId="0B906EA5"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Monterubbianesi</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[86]</w:t>
            </w:r>
            <w:r w:rsidRPr="0050649F">
              <w:rPr>
                <w:rFonts w:ascii="Book Antiqua" w:hAnsi="Book Antiqua"/>
                <w:lang w:val="en-US"/>
              </w:rPr>
              <w:t xml:space="preserve">, 2015 </w:t>
            </w:r>
          </w:p>
        </w:tc>
        <w:tc>
          <w:tcPr>
            <w:tcW w:w="850" w:type="dxa"/>
            <w:tcBorders>
              <w:top w:val="single" w:sz="4" w:space="0" w:color="auto"/>
              <w:left w:val="single" w:sz="4" w:space="0" w:color="auto"/>
              <w:bottom w:val="single" w:sz="4" w:space="0" w:color="auto"/>
              <w:right w:val="single" w:sz="4" w:space="0" w:color="auto"/>
            </w:tcBorders>
          </w:tcPr>
          <w:p w14:paraId="30380E11"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993" w:type="dxa"/>
            <w:tcBorders>
              <w:top w:val="single" w:sz="4" w:space="0" w:color="auto"/>
              <w:left w:val="single" w:sz="4" w:space="0" w:color="auto"/>
              <w:bottom w:val="single" w:sz="4" w:space="0" w:color="auto"/>
              <w:right w:val="single" w:sz="4" w:space="0" w:color="auto"/>
            </w:tcBorders>
          </w:tcPr>
          <w:p w14:paraId="71806DC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58 CD</w:t>
            </w:r>
          </w:p>
        </w:tc>
        <w:tc>
          <w:tcPr>
            <w:tcW w:w="1984" w:type="dxa"/>
            <w:tcBorders>
              <w:top w:val="single" w:sz="4" w:space="0" w:color="auto"/>
              <w:left w:val="single" w:sz="4" w:space="0" w:color="auto"/>
              <w:bottom w:val="single" w:sz="4" w:space="0" w:color="auto"/>
              <w:right w:val="single" w:sz="4" w:space="0" w:color="auto"/>
            </w:tcBorders>
          </w:tcPr>
          <w:p w14:paraId="67004FB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Anti-TNF discontinuation</w:t>
            </w:r>
          </w:p>
        </w:tc>
        <w:tc>
          <w:tcPr>
            <w:tcW w:w="1418" w:type="dxa"/>
            <w:tcBorders>
              <w:top w:val="single" w:sz="4" w:space="0" w:color="auto"/>
              <w:left w:val="single" w:sz="4" w:space="0" w:color="auto"/>
              <w:bottom w:val="single" w:sz="4" w:space="0" w:color="auto"/>
              <w:right w:val="single" w:sz="4" w:space="0" w:color="auto"/>
            </w:tcBorders>
          </w:tcPr>
          <w:p w14:paraId="11FE48C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5 yr</w:t>
            </w:r>
          </w:p>
        </w:tc>
        <w:tc>
          <w:tcPr>
            <w:tcW w:w="1527" w:type="dxa"/>
            <w:tcBorders>
              <w:top w:val="single" w:sz="4" w:space="0" w:color="auto"/>
              <w:left w:val="single" w:sz="4" w:space="0" w:color="auto"/>
              <w:bottom w:val="single" w:sz="4" w:space="0" w:color="auto"/>
              <w:right w:val="single" w:sz="4" w:space="0" w:color="auto"/>
            </w:tcBorders>
          </w:tcPr>
          <w:p w14:paraId="633B412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and endoscopic assessment</w:t>
            </w:r>
          </w:p>
        </w:tc>
        <w:tc>
          <w:tcPr>
            <w:tcW w:w="1560" w:type="dxa"/>
            <w:tcBorders>
              <w:top w:val="single" w:sz="4" w:space="0" w:color="auto"/>
              <w:left w:val="single" w:sz="4" w:space="0" w:color="auto"/>
              <w:bottom w:val="single" w:sz="4" w:space="0" w:color="auto"/>
              <w:right w:val="single" w:sz="4" w:space="0" w:color="auto"/>
            </w:tcBorders>
          </w:tcPr>
          <w:p w14:paraId="733F51D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5F340C7C" w14:textId="1126CAFE" w:rsidR="00A24C79" w:rsidRPr="0050649F" w:rsidRDefault="00394C77" w:rsidP="00C97716">
            <w:pPr>
              <w:spacing w:line="360" w:lineRule="auto"/>
              <w:jc w:val="both"/>
              <w:rPr>
                <w:rFonts w:ascii="Book Antiqua" w:hAnsi="Book Antiqua"/>
                <w:lang w:val="en-US"/>
              </w:rPr>
            </w:pPr>
            <w:r w:rsidRPr="0050649F">
              <w:rPr>
                <w:rFonts w:ascii="Book Antiqua" w:hAnsi="Book Antiqua"/>
                <w:lang w:val="en-US"/>
              </w:rPr>
              <w:t>A</w:t>
            </w:r>
            <w:r w:rsidR="00A24C79" w:rsidRPr="0050649F">
              <w:rPr>
                <w:rFonts w:ascii="Book Antiqua" w:hAnsi="Book Antiqua"/>
                <w:lang w:val="en-US"/>
              </w:rPr>
              <w:t>t 1 yr 31%,</w:t>
            </w:r>
          </w:p>
          <w:p w14:paraId="6ACFC74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at 2 yr 48%</w:t>
            </w:r>
          </w:p>
          <w:p w14:paraId="401D3E5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at 5 yr 65%</w:t>
            </w:r>
          </w:p>
        </w:tc>
        <w:tc>
          <w:tcPr>
            <w:tcW w:w="2980" w:type="dxa"/>
            <w:tcBorders>
              <w:top w:val="single" w:sz="4" w:space="0" w:color="auto"/>
              <w:left w:val="single" w:sz="4" w:space="0" w:color="auto"/>
              <w:bottom w:val="single" w:sz="4" w:space="0" w:color="auto"/>
              <w:right w:val="single" w:sz="4" w:space="0" w:color="auto"/>
            </w:tcBorders>
          </w:tcPr>
          <w:p w14:paraId="3CED9581" w14:textId="4030AB4A"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MH doesn’t not predi</w:t>
            </w:r>
            <w:r w:rsidR="00394C77">
              <w:rPr>
                <w:rFonts w:ascii="Book Antiqua" w:hAnsi="Book Antiqua"/>
                <w:lang w:val="en-US"/>
              </w:rPr>
              <w:t>ct sustained clinical remission</w:t>
            </w:r>
            <w:r w:rsidRPr="0050649F">
              <w:rPr>
                <w:rFonts w:ascii="Book Antiqua" w:hAnsi="Book Antiqua"/>
                <w:lang w:val="en-US"/>
              </w:rPr>
              <w:t xml:space="preserve"> </w:t>
            </w:r>
          </w:p>
        </w:tc>
      </w:tr>
      <w:tr w:rsidR="0050649F" w:rsidRPr="0050649F" w14:paraId="79ED5DF7" w14:textId="77777777" w:rsidTr="00394C77">
        <w:tc>
          <w:tcPr>
            <w:tcW w:w="1632" w:type="dxa"/>
            <w:tcBorders>
              <w:top w:val="single" w:sz="4" w:space="0" w:color="auto"/>
              <w:left w:val="single" w:sz="4" w:space="0" w:color="auto"/>
              <w:bottom w:val="single" w:sz="4" w:space="0" w:color="auto"/>
              <w:right w:val="single" w:sz="4" w:space="0" w:color="auto"/>
            </w:tcBorders>
          </w:tcPr>
          <w:p w14:paraId="22DEB918" w14:textId="73761EF6"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Bodini</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[87]</w:t>
            </w:r>
            <w:r w:rsidRPr="0050649F">
              <w:rPr>
                <w:rFonts w:ascii="Book Antiqua" w:hAnsi="Book Antiqua"/>
                <w:lang w:val="en-US"/>
              </w:rPr>
              <w:t xml:space="preserve">, 2015 </w:t>
            </w:r>
          </w:p>
        </w:tc>
        <w:tc>
          <w:tcPr>
            <w:tcW w:w="850" w:type="dxa"/>
            <w:tcBorders>
              <w:top w:val="single" w:sz="4" w:space="0" w:color="auto"/>
              <w:left w:val="single" w:sz="4" w:space="0" w:color="auto"/>
              <w:bottom w:val="single" w:sz="4" w:space="0" w:color="auto"/>
              <w:right w:val="single" w:sz="4" w:space="0" w:color="auto"/>
            </w:tcBorders>
          </w:tcPr>
          <w:p w14:paraId="556F920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RCT, sc</w:t>
            </w:r>
          </w:p>
        </w:tc>
        <w:tc>
          <w:tcPr>
            <w:tcW w:w="993" w:type="dxa"/>
            <w:tcBorders>
              <w:top w:val="single" w:sz="4" w:space="0" w:color="auto"/>
              <w:left w:val="single" w:sz="4" w:space="0" w:color="auto"/>
              <w:bottom w:val="single" w:sz="4" w:space="0" w:color="auto"/>
              <w:right w:val="single" w:sz="4" w:space="0" w:color="auto"/>
            </w:tcBorders>
          </w:tcPr>
          <w:p w14:paraId="3442FB3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9 CD </w:t>
            </w:r>
          </w:p>
          <w:p w14:paraId="08AD34B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6 UC</w:t>
            </w:r>
          </w:p>
          <w:p w14:paraId="77CC3D59" w14:textId="77777777" w:rsidR="00A24C79" w:rsidRPr="0050649F" w:rsidRDefault="00A24C79" w:rsidP="00C97716">
            <w:pPr>
              <w:spacing w:line="360" w:lineRule="auto"/>
              <w:jc w:val="both"/>
              <w:rPr>
                <w:rFonts w:ascii="Book Antiqua" w:hAnsi="Book Antiqua"/>
                <w:lang w:val="en-US"/>
              </w:rPr>
            </w:pPr>
          </w:p>
        </w:tc>
        <w:tc>
          <w:tcPr>
            <w:tcW w:w="1984" w:type="dxa"/>
            <w:tcBorders>
              <w:top w:val="single" w:sz="4" w:space="0" w:color="auto"/>
              <w:left w:val="single" w:sz="4" w:space="0" w:color="auto"/>
              <w:bottom w:val="single" w:sz="4" w:space="0" w:color="auto"/>
              <w:right w:val="single" w:sz="4" w:space="0" w:color="auto"/>
            </w:tcBorders>
          </w:tcPr>
          <w:p w14:paraId="715A7C9C" w14:textId="784C1518"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Anti-TNF discontinuation; maintenance with AZA </w:t>
            </w:r>
            <w:r w:rsidR="008D57EC" w:rsidRPr="008D57EC">
              <w:rPr>
                <w:rFonts w:ascii="Book Antiqua" w:hAnsi="Book Antiqua"/>
                <w:i/>
                <w:lang w:val="en-US"/>
              </w:rPr>
              <w:t>vs</w:t>
            </w:r>
            <w:r w:rsidRPr="0050649F">
              <w:rPr>
                <w:rFonts w:ascii="Book Antiqua" w:hAnsi="Book Antiqua"/>
                <w:lang w:val="en-US"/>
              </w:rPr>
              <w:t xml:space="preserve"> 5-ASA</w:t>
            </w:r>
          </w:p>
        </w:tc>
        <w:tc>
          <w:tcPr>
            <w:tcW w:w="1418" w:type="dxa"/>
            <w:tcBorders>
              <w:top w:val="single" w:sz="4" w:space="0" w:color="auto"/>
              <w:left w:val="single" w:sz="4" w:space="0" w:color="auto"/>
              <w:bottom w:val="single" w:sz="4" w:space="0" w:color="auto"/>
              <w:right w:val="single" w:sz="4" w:space="0" w:color="auto"/>
            </w:tcBorders>
          </w:tcPr>
          <w:p w14:paraId="376B617C"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 f-u: 48 wk (20-78)</w:t>
            </w:r>
          </w:p>
        </w:tc>
        <w:tc>
          <w:tcPr>
            <w:tcW w:w="1527" w:type="dxa"/>
            <w:tcBorders>
              <w:top w:val="single" w:sz="4" w:space="0" w:color="auto"/>
              <w:left w:val="single" w:sz="4" w:space="0" w:color="auto"/>
              <w:bottom w:val="single" w:sz="4" w:space="0" w:color="auto"/>
              <w:right w:val="single" w:sz="4" w:space="0" w:color="auto"/>
            </w:tcBorders>
          </w:tcPr>
          <w:p w14:paraId="2D87B2C8"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Clinical assessment</w:t>
            </w:r>
          </w:p>
        </w:tc>
        <w:tc>
          <w:tcPr>
            <w:tcW w:w="1560" w:type="dxa"/>
            <w:tcBorders>
              <w:top w:val="single" w:sz="4" w:space="0" w:color="auto"/>
              <w:left w:val="single" w:sz="4" w:space="0" w:color="auto"/>
              <w:bottom w:val="single" w:sz="4" w:space="0" w:color="auto"/>
              <w:right w:val="single" w:sz="4" w:space="0" w:color="auto"/>
            </w:tcBorders>
          </w:tcPr>
          <w:p w14:paraId="49E2693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Cumulative relapse rate</w:t>
            </w:r>
          </w:p>
        </w:tc>
        <w:tc>
          <w:tcPr>
            <w:tcW w:w="2264" w:type="dxa"/>
            <w:tcBorders>
              <w:top w:val="single" w:sz="4" w:space="0" w:color="auto"/>
              <w:left w:val="single" w:sz="4" w:space="0" w:color="auto"/>
              <w:bottom w:val="single" w:sz="4" w:space="0" w:color="auto"/>
              <w:right w:val="single" w:sz="4" w:space="0" w:color="auto"/>
            </w:tcBorders>
          </w:tcPr>
          <w:p w14:paraId="0DEC270C" w14:textId="2E7581F8"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AZA 0% </w:t>
            </w:r>
            <w:r w:rsidR="008D57EC" w:rsidRPr="008D57EC">
              <w:rPr>
                <w:rFonts w:ascii="Book Antiqua" w:hAnsi="Book Antiqua"/>
                <w:i/>
                <w:lang w:val="en-US"/>
              </w:rPr>
              <w:t>vs</w:t>
            </w:r>
            <w:r w:rsidRPr="0050649F">
              <w:rPr>
                <w:rFonts w:ascii="Book Antiqua" w:hAnsi="Book Antiqua"/>
                <w:lang w:val="en-US"/>
              </w:rPr>
              <w:t xml:space="preserve"> 5-ASA 30%</w:t>
            </w:r>
          </w:p>
        </w:tc>
        <w:tc>
          <w:tcPr>
            <w:tcW w:w="2980" w:type="dxa"/>
            <w:tcBorders>
              <w:top w:val="single" w:sz="4" w:space="0" w:color="auto"/>
              <w:left w:val="single" w:sz="4" w:space="0" w:color="auto"/>
              <w:bottom w:val="single" w:sz="4" w:space="0" w:color="auto"/>
              <w:right w:val="single" w:sz="4" w:space="0" w:color="auto"/>
            </w:tcBorders>
          </w:tcPr>
          <w:p w14:paraId="37A2C1B0" w14:textId="2F57B84C"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Patients in therapy with 5-</w:t>
            </w:r>
            <w:r w:rsidR="00394C77">
              <w:rPr>
                <w:rFonts w:ascii="Book Antiqua" w:hAnsi="Book Antiqua"/>
                <w:lang w:val="en-US"/>
              </w:rPr>
              <w:t>ASA have an earlier recurrence</w:t>
            </w:r>
          </w:p>
        </w:tc>
      </w:tr>
      <w:tr w:rsidR="0050649F" w:rsidRPr="0050649F" w14:paraId="21F8CA86" w14:textId="77777777" w:rsidTr="00394C77">
        <w:tc>
          <w:tcPr>
            <w:tcW w:w="1632" w:type="dxa"/>
            <w:tcBorders>
              <w:top w:val="single" w:sz="4" w:space="0" w:color="auto"/>
              <w:left w:val="single" w:sz="4" w:space="0" w:color="auto"/>
              <w:bottom w:val="single" w:sz="4" w:space="0" w:color="auto"/>
              <w:right w:val="single" w:sz="4" w:space="0" w:color="auto"/>
            </w:tcBorders>
          </w:tcPr>
          <w:p w14:paraId="223AD58D" w14:textId="00197875" w:rsidR="00A24C79" w:rsidRPr="0050649F" w:rsidRDefault="00A24C79" w:rsidP="007B7749">
            <w:pPr>
              <w:spacing w:line="360" w:lineRule="auto"/>
              <w:jc w:val="both"/>
              <w:rPr>
                <w:rFonts w:ascii="Book Antiqua" w:hAnsi="Book Antiqua"/>
                <w:lang w:val="en-US"/>
              </w:rPr>
            </w:pPr>
            <w:r w:rsidRPr="0050649F">
              <w:rPr>
                <w:rFonts w:ascii="Book Antiqua" w:hAnsi="Book Antiqua"/>
                <w:lang w:val="en-US"/>
              </w:rPr>
              <w:t>Ampuero</w:t>
            </w:r>
            <w:r w:rsidR="007B7749">
              <w:rPr>
                <w:rFonts w:ascii="Book Antiqua" w:eastAsia="宋体" w:hAnsi="Book Antiqua" w:hint="eastAsia"/>
                <w:i/>
                <w:lang w:val="en-US" w:eastAsia="zh-CN"/>
              </w:rPr>
              <w:t xml:space="preserve"> et al</w:t>
            </w:r>
            <w:r w:rsidR="007B7749" w:rsidRPr="0050649F">
              <w:rPr>
                <w:rFonts w:ascii="Book Antiqua" w:hAnsi="Book Antiqua"/>
                <w:vertAlign w:val="superscript"/>
                <w:lang w:val="en-US"/>
              </w:rPr>
              <w:t>[88]</w:t>
            </w:r>
            <w:r w:rsidRPr="0050649F">
              <w:rPr>
                <w:rFonts w:ascii="Book Antiqua" w:hAnsi="Book Antiqua"/>
                <w:lang w:val="en-US"/>
              </w:rPr>
              <w:t xml:space="preserve">, 2015 </w:t>
            </w:r>
          </w:p>
        </w:tc>
        <w:tc>
          <w:tcPr>
            <w:tcW w:w="850" w:type="dxa"/>
            <w:tcBorders>
              <w:top w:val="single" w:sz="4" w:space="0" w:color="auto"/>
              <w:left w:val="single" w:sz="4" w:space="0" w:color="auto"/>
              <w:bottom w:val="single" w:sz="4" w:space="0" w:color="auto"/>
              <w:right w:val="single" w:sz="4" w:space="0" w:color="auto"/>
            </w:tcBorders>
          </w:tcPr>
          <w:p w14:paraId="461F4FC6"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 sc</w:t>
            </w:r>
          </w:p>
        </w:tc>
        <w:tc>
          <w:tcPr>
            <w:tcW w:w="993" w:type="dxa"/>
            <w:tcBorders>
              <w:top w:val="single" w:sz="4" w:space="0" w:color="auto"/>
              <w:left w:val="single" w:sz="4" w:space="0" w:color="auto"/>
              <w:bottom w:val="single" w:sz="4" w:space="0" w:color="auto"/>
              <w:right w:val="single" w:sz="4" w:space="0" w:color="auto"/>
            </w:tcBorders>
          </w:tcPr>
          <w:p w14:paraId="3A4438B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75 CD</w:t>
            </w:r>
          </w:p>
        </w:tc>
        <w:tc>
          <w:tcPr>
            <w:tcW w:w="1984" w:type="dxa"/>
            <w:tcBorders>
              <w:top w:val="single" w:sz="4" w:space="0" w:color="auto"/>
              <w:left w:val="single" w:sz="4" w:space="0" w:color="auto"/>
              <w:bottom w:val="single" w:sz="4" w:space="0" w:color="auto"/>
              <w:right w:val="single" w:sz="4" w:space="0" w:color="auto"/>
            </w:tcBorders>
          </w:tcPr>
          <w:p w14:paraId="663FCF5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IFX + IMM</w:t>
            </w:r>
          </w:p>
          <w:p w14:paraId="390326A9" w14:textId="605BB8DE"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(IFX dis </w:t>
            </w:r>
            <w:r w:rsidR="008D57EC" w:rsidRPr="008D57EC">
              <w:rPr>
                <w:rFonts w:ascii="Book Antiqua" w:hAnsi="Book Antiqua"/>
                <w:i/>
                <w:lang w:val="en-US"/>
              </w:rPr>
              <w:t>vs</w:t>
            </w:r>
            <w:r w:rsidRPr="0050649F">
              <w:rPr>
                <w:rFonts w:ascii="Book Antiqua" w:hAnsi="Book Antiqua"/>
                <w:lang w:val="en-US"/>
              </w:rPr>
              <w:t xml:space="preserve"> IMM </w:t>
            </w:r>
            <w:r w:rsidRPr="0050649F">
              <w:rPr>
                <w:rFonts w:ascii="Book Antiqua" w:hAnsi="Book Antiqua"/>
                <w:lang w:val="en-US"/>
              </w:rPr>
              <w:lastRenderedPageBreak/>
              <w:t>dis)</w:t>
            </w:r>
          </w:p>
        </w:tc>
        <w:tc>
          <w:tcPr>
            <w:tcW w:w="1418" w:type="dxa"/>
            <w:tcBorders>
              <w:top w:val="single" w:sz="4" w:space="0" w:color="auto"/>
              <w:left w:val="single" w:sz="4" w:space="0" w:color="auto"/>
              <w:bottom w:val="single" w:sz="4" w:space="0" w:color="auto"/>
              <w:right w:val="single" w:sz="4" w:space="0" w:color="auto"/>
            </w:tcBorders>
          </w:tcPr>
          <w:p w14:paraId="48EEEF3F"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12 mo</w:t>
            </w:r>
          </w:p>
        </w:tc>
        <w:tc>
          <w:tcPr>
            <w:tcW w:w="1527" w:type="dxa"/>
            <w:tcBorders>
              <w:top w:val="single" w:sz="4" w:space="0" w:color="auto"/>
              <w:left w:val="single" w:sz="4" w:space="0" w:color="auto"/>
              <w:bottom w:val="single" w:sz="4" w:space="0" w:color="auto"/>
              <w:right w:val="single" w:sz="4" w:space="0" w:color="auto"/>
            </w:tcBorders>
          </w:tcPr>
          <w:p w14:paraId="115D132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Clinical and endoscopic </w:t>
            </w:r>
            <w:r w:rsidRPr="0050649F">
              <w:rPr>
                <w:rFonts w:ascii="Book Antiqua" w:hAnsi="Book Antiqua"/>
                <w:lang w:val="en-US"/>
              </w:rPr>
              <w:lastRenderedPageBreak/>
              <w:t>assessment</w:t>
            </w:r>
          </w:p>
        </w:tc>
        <w:tc>
          <w:tcPr>
            <w:tcW w:w="1560" w:type="dxa"/>
            <w:tcBorders>
              <w:top w:val="single" w:sz="4" w:space="0" w:color="auto"/>
              <w:left w:val="single" w:sz="4" w:space="0" w:color="auto"/>
              <w:bottom w:val="single" w:sz="4" w:space="0" w:color="auto"/>
              <w:right w:val="single" w:sz="4" w:space="0" w:color="auto"/>
            </w:tcBorders>
          </w:tcPr>
          <w:p w14:paraId="3AB4EC7A"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lastRenderedPageBreak/>
              <w:t>Cumulative relapse rate</w:t>
            </w:r>
          </w:p>
        </w:tc>
        <w:tc>
          <w:tcPr>
            <w:tcW w:w="2264" w:type="dxa"/>
            <w:tcBorders>
              <w:top w:val="single" w:sz="4" w:space="0" w:color="auto"/>
              <w:left w:val="single" w:sz="4" w:space="0" w:color="auto"/>
              <w:bottom w:val="single" w:sz="4" w:space="0" w:color="auto"/>
              <w:right w:val="single" w:sz="4" w:space="0" w:color="auto"/>
            </w:tcBorders>
          </w:tcPr>
          <w:p w14:paraId="49E0E354" w14:textId="7D7D050F"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30.9% </w:t>
            </w:r>
            <w:r w:rsidR="008D57EC" w:rsidRPr="008D57EC">
              <w:rPr>
                <w:rFonts w:ascii="Book Antiqua" w:hAnsi="Book Antiqua"/>
                <w:i/>
                <w:lang w:val="en-US"/>
              </w:rPr>
              <w:t>vs</w:t>
            </w:r>
            <w:r w:rsidRPr="0050649F">
              <w:rPr>
                <w:rFonts w:ascii="Book Antiqua" w:hAnsi="Book Antiqua"/>
                <w:lang w:val="en-US"/>
              </w:rPr>
              <w:t xml:space="preserve"> 20%</w:t>
            </w:r>
          </w:p>
        </w:tc>
        <w:tc>
          <w:tcPr>
            <w:tcW w:w="2980" w:type="dxa"/>
            <w:tcBorders>
              <w:top w:val="single" w:sz="4" w:space="0" w:color="auto"/>
              <w:left w:val="single" w:sz="4" w:space="0" w:color="auto"/>
              <w:bottom w:val="single" w:sz="4" w:space="0" w:color="auto"/>
              <w:right w:val="single" w:sz="4" w:space="0" w:color="auto"/>
            </w:tcBorders>
          </w:tcPr>
          <w:p w14:paraId="537DF3A4" w14:textId="30DA3F60" w:rsidR="00A24C79" w:rsidRPr="00394C77" w:rsidRDefault="00A24C79" w:rsidP="00C97716">
            <w:pPr>
              <w:spacing w:line="360" w:lineRule="auto"/>
              <w:jc w:val="both"/>
              <w:rPr>
                <w:rFonts w:ascii="Book Antiqua" w:eastAsia="宋体" w:hAnsi="Book Antiqua"/>
                <w:lang w:val="en-US" w:eastAsia="zh-CN"/>
              </w:rPr>
            </w:pPr>
            <w:r w:rsidRPr="0050649F">
              <w:rPr>
                <w:rFonts w:ascii="Book Antiqua" w:hAnsi="Book Antiqua"/>
                <w:lang w:val="en-US"/>
              </w:rPr>
              <w:t>Risk factors for relapse: CRP &gt;</w:t>
            </w:r>
            <w:r w:rsidR="00394C77">
              <w:rPr>
                <w:rFonts w:ascii="Book Antiqua" w:eastAsia="宋体" w:hAnsi="Book Antiqua" w:hint="eastAsia"/>
                <w:lang w:val="en-US" w:eastAsia="zh-CN"/>
              </w:rPr>
              <w:t xml:space="preserve"> </w:t>
            </w:r>
            <w:r w:rsidRPr="0050649F">
              <w:rPr>
                <w:rFonts w:ascii="Book Antiqua" w:hAnsi="Book Antiqua"/>
                <w:lang w:val="en-US"/>
              </w:rPr>
              <w:t>5 mg/</w:t>
            </w:r>
            <w:r w:rsidR="00394C77" w:rsidRPr="0050649F">
              <w:rPr>
                <w:rFonts w:ascii="Book Antiqua" w:hAnsi="Book Antiqua"/>
                <w:lang w:val="en-US"/>
              </w:rPr>
              <w:t>L</w:t>
            </w:r>
            <w:r w:rsidR="00394C77">
              <w:rPr>
                <w:rFonts w:ascii="Book Antiqua" w:hAnsi="Book Antiqua"/>
                <w:lang w:val="en-US"/>
              </w:rPr>
              <w:t xml:space="preserve">, younger </w:t>
            </w:r>
            <w:r w:rsidR="00394C77">
              <w:rPr>
                <w:rFonts w:ascii="Book Antiqua" w:hAnsi="Book Antiqua"/>
                <w:lang w:val="en-US"/>
              </w:rPr>
              <w:lastRenderedPageBreak/>
              <w:t>age at diagnosis</w:t>
            </w:r>
          </w:p>
        </w:tc>
      </w:tr>
    </w:tbl>
    <w:p w14:paraId="607E3864" w14:textId="77777777" w:rsidR="00A24C79" w:rsidRPr="0050649F" w:rsidRDefault="00A24C79" w:rsidP="00C97716">
      <w:pPr>
        <w:spacing w:line="360" w:lineRule="auto"/>
        <w:jc w:val="both"/>
        <w:rPr>
          <w:rFonts w:ascii="Book Antiqua" w:hAnsi="Book Antiqua"/>
          <w:lang w:val="en-US"/>
        </w:rPr>
      </w:pPr>
    </w:p>
    <w:p w14:paraId="052115DB" w14:textId="77777777" w:rsidR="008F4ECE" w:rsidRPr="00815E5E" w:rsidRDefault="008F4ECE" w:rsidP="008F4ECE">
      <w:pPr>
        <w:spacing w:line="360" w:lineRule="auto"/>
        <w:jc w:val="both"/>
        <w:rPr>
          <w:rFonts w:ascii="Book Antiqua" w:eastAsiaTheme="minorEastAsia" w:hAnsi="Book Antiqua"/>
          <w:lang w:val="en-US" w:eastAsia="zh-CN"/>
        </w:rPr>
      </w:pPr>
      <w:r w:rsidRPr="00815E5E">
        <w:rPr>
          <w:rFonts w:ascii="Book Antiqua" w:hAnsi="Book Antiqua"/>
          <w:lang w:val="en-US"/>
        </w:rPr>
        <w:t>RCT</w:t>
      </w:r>
      <w:r w:rsidRPr="00815E5E">
        <w:rPr>
          <w:rFonts w:ascii="Book Antiqua" w:eastAsiaTheme="minorEastAsia" w:hAnsi="Book Antiqua"/>
          <w:lang w:val="en-US" w:eastAsia="zh-CN"/>
        </w:rPr>
        <w:t>:</w:t>
      </w:r>
      <w:r w:rsidRPr="00815E5E">
        <w:rPr>
          <w:rFonts w:ascii="Book Antiqua" w:hAnsi="Book Antiqua"/>
          <w:lang w:val="en-US"/>
        </w:rPr>
        <w:t xml:space="preserve"> Randomized controlled trial</w:t>
      </w:r>
      <w:r w:rsidRPr="00815E5E">
        <w:rPr>
          <w:rFonts w:ascii="Book Antiqua" w:eastAsiaTheme="minorEastAsia" w:hAnsi="Book Antiqua"/>
          <w:lang w:val="en-US" w:eastAsia="zh-CN"/>
        </w:rPr>
        <w:t>;</w:t>
      </w:r>
      <w:r w:rsidRPr="00815E5E">
        <w:rPr>
          <w:rFonts w:ascii="Book Antiqua" w:hAnsi="Book Antiqua"/>
          <w:lang w:val="en-GB"/>
        </w:rPr>
        <w:t xml:space="preserve"> UC</w:t>
      </w:r>
      <w:r w:rsidRPr="00815E5E">
        <w:rPr>
          <w:rFonts w:ascii="Book Antiqua" w:eastAsiaTheme="minorEastAsia" w:hAnsi="Book Antiqua"/>
          <w:lang w:val="en-GB" w:eastAsia="zh-CN"/>
        </w:rPr>
        <w:t>:</w:t>
      </w:r>
      <w:r w:rsidRPr="00815E5E">
        <w:rPr>
          <w:rFonts w:ascii="Book Antiqua" w:hAnsi="Book Antiqua"/>
          <w:lang w:val="en-GB"/>
        </w:rPr>
        <w:t xml:space="preserve"> Ulcerative colitis</w:t>
      </w:r>
      <w:r w:rsidRPr="00815E5E">
        <w:rPr>
          <w:rFonts w:ascii="Book Antiqua" w:eastAsia="宋体" w:hAnsi="Book Antiqua"/>
          <w:lang w:val="en-GB" w:eastAsia="zh-CN"/>
        </w:rPr>
        <w:t xml:space="preserve">; </w:t>
      </w:r>
      <w:r w:rsidRPr="00815E5E">
        <w:rPr>
          <w:rFonts w:ascii="Book Antiqua" w:hAnsi="Book Antiqua"/>
          <w:lang w:val="en-GB"/>
        </w:rPr>
        <w:t>CD</w:t>
      </w:r>
      <w:r w:rsidRPr="00815E5E">
        <w:rPr>
          <w:rFonts w:ascii="Book Antiqua" w:eastAsiaTheme="minorEastAsia" w:hAnsi="Book Antiqua"/>
          <w:lang w:val="en-GB" w:eastAsia="zh-CN"/>
        </w:rPr>
        <w:t>:</w:t>
      </w:r>
      <w:r w:rsidRPr="00815E5E">
        <w:rPr>
          <w:rFonts w:ascii="Book Antiqua" w:hAnsi="Book Antiqua"/>
          <w:lang w:val="en-GB"/>
        </w:rPr>
        <w:t xml:space="preserve"> Crohn’s disease</w:t>
      </w:r>
      <w:r w:rsidRPr="00815E5E">
        <w:rPr>
          <w:rFonts w:ascii="Book Antiqua" w:eastAsia="宋体" w:hAnsi="Book Antiqua"/>
          <w:lang w:val="en-GB" w:eastAsia="zh-CN"/>
        </w:rPr>
        <w:t>;</w:t>
      </w:r>
      <w:r w:rsidRPr="00815E5E">
        <w:rPr>
          <w:rFonts w:ascii="Book Antiqua" w:hAnsi="Book Antiqua"/>
          <w:lang w:val="fr-FR"/>
        </w:rPr>
        <w:t xml:space="preserve"> mc</w:t>
      </w:r>
      <w:r w:rsidRPr="00815E5E">
        <w:rPr>
          <w:rFonts w:ascii="Book Antiqua" w:eastAsiaTheme="minorEastAsia" w:hAnsi="Book Antiqua"/>
          <w:lang w:val="fr-FR" w:eastAsia="zh-CN"/>
        </w:rPr>
        <w:t>:</w:t>
      </w:r>
      <w:r w:rsidRPr="00815E5E">
        <w:rPr>
          <w:rFonts w:ascii="Book Antiqua" w:hAnsi="Book Antiqua"/>
          <w:lang w:val="fr-FR"/>
        </w:rPr>
        <w:t xml:space="preserve"> Multicenter</w:t>
      </w:r>
      <w:r w:rsidRPr="00815E5E">
        <w:rPr>
          <w:rFonts w:ascii="Book Antiqua" w:eastAsiaTheme="minorEastAsia" w:hAnsi="Book Antiqua"/>
          <w:lang w:val="fr-FR" w:eastAsia="zh-CN"/>
        </w:rPr>
        <w:t>;</w:t>
      </w:r>
      <w:r w:rsidRPr="00815E5E">
        <w:rPr>
          <w:rFonts w:ascii="Book Antiqua" w:hAnsi="Book Antiqua"/>
          <w:lang w:val="fr-FR"/>
        </w:rPr>
        <w:t xml:space="preserve"> db</w:t>
      </w:r>
      <w:r w:rsidRPr="00815E5E">
        <w:rPr>
          <w:rFonts w:ascii="Book Antiqua" w:eastAsiaTheme="minorEastAsia" w:hAnsi="Book Antiqua"/>
          <w:lang w:val="fr-FR" w:eastAsia="zh-CN"/>
        </w:rPr>
        <w:t>:</w:t>
      </w:r>
      <w:r w:rsidRPr="00815E5E">
        <w:rPr>
          <w:rFonts w:ascii="Book Antiqua" w:hAnsi="Book Antiqua"/>
          <w:lang w:val="fr-FR"/>
        </w:rPr>
        <w:t xml:space="preserve"> Double-blind</w:t>
      </w:r>
      <w:r w:rsidRPr="00815E5E">
        <w:rPr>
          <w:rFonts w:ascii="Book Antiqua" w:eastAsiaTheme="minorEastAsia" w:hAnsi="Book Antiqua"/>
          <w:lang w:val="fr-FR" w:eastAsia="zh-CN"/>
        </w:rPr>
        <w:t>;</w:t>
      </w:r>
      <w:r w:rsidRPr="00815E5E">
        <w:rPr>
          <w:rFonts w:ascii="Book Antiqua" w:hAnsi="Book Antiqua"/>
          <w:lang w:val="fr-FR"/>
        </w:rPr>
        <w:t xml:space="preserve"> sc</w:t>
      </w:r>
      <w:r w:rsidRPr="00815E5E">
        <w:rPr>
          <w:rFonts w:ascii="Book Antiqua" w:eastAsiaTheme="minorEastAsia" w:hAnsi="Book Antiqua"/>
          <w:lang w:val="fr-FR" w:eastAsia="zh-CN"/>
        </w:rPr>
        <w:t>:</w:t>
      </w:r>
      <w:r w:rsidRPr="00815E5E">
        <w:rPr>
          <w:rFonts w:ascii="Book Antiqua" w:hAnsi="Book Antiqua"/>
          <w:lang w:val="fr-FR"/>
        </w:rPr>
        <w:t xml:space="preserve"> Single-centre</w:t>
      </w:r>
      <w:r w:rsidRPr="00815E5E">
        <w:rPr>
          <w:rFonts w:ascii="Book Antiqua" w:eastAsiaTheme="minorEastAsia" w:hAnsi="Book Antiqua"/>
          <w:lang w:val="fr-FR" w:eastAsia="zh-CN"/>
        </w:rPr>
        <w:t>;</w:t>
      </w:r>
      <w:r w:rsidRPr="00815E5E">
        <w:rPr>
          <w:rFonts w:ascii="Book Antiqua" w:hAnsi="Book Antiqua"/>
          <w:lang w:val="en-US"/>
        </w:rPr>
        <w:t xml:space="preserve"> AZA</w:t>
      </w:r>
      <w:r w:rsidRPr="00815E5E">
        <w:rPr>
          <w:rFonts w:ascii="Book Antiqua" w:eastAsiaTheme="minorEastAsia" w:hAnsi="Book Antiqua"/>
          <w:lang w:val="en-US" w:eastAsia="zh-CN"/>
        </w:rPr>
        <w:t>:</w:t>
      </w:r>
      <w:r w:rsidRPr="00815E5E">
        <w:rPr>
          <w:rFonts w:ascii="Book Antiqua" w:hAnsi="Book Antiqua"/>
          <w:lang w:val="en-US"/>
        </w:rPr>
        <w:t xml:space="preserve"> Azathioprine</w:t>
      </w:r>
      <w:r w:rsidRPr="00815E5E">
        <w:rPr>
          <w:rFonts w:ascii="Book Antiqua" w:eastAsiaTheme="minorEastAsia" w:hAnsi="Book Antiqua"/>
          <w:lang w:val="en-US" w:eastAsia="zh-CN"/>
        </w:rPr>
        <w:t>;</w:t>
      </w:r>
      <w:r w:rsidRPr="00815E5E">
        <w:rPr>
          <w:rFonts w:ascii="Book Antiqua" w:hAnsi="Book Antiqua"/>
          <w:lang w:val="en-US"/>
        </w:rPr>
        <w:t xml:space="preserve"> RA</w:t>
      </w:r>
      <w:r w:rsidRPr="00815E5E">
        <w:rPr>
          <w:rFonts w:ascii="Book Antiqua" w:eastAsiaTheme="minorEastAsia" w:hAnsi="Book Antiqua"/>
          <w:lang w:val="en-US" w:eastAsia="zh-CN"/>
        </w:rPr>
        <w:t>:</w:t>
      </w:r>
      <w:r w:rsidRPr="00815E5E">
        <w:rPr>
          <w:rFonts w:ascii="Book Antiqua" w:hAnsi="Book Antiqua"/>
          <w:lang w:val="en-US"/>
        </w:rPr>
        <w:t xml:space="preserve"> Retrospective analysis</w:t>
      </w:r>
      <w:r w:rsidRPr="00815E5E">
        <w:rPr>
          <w:rFonts w:ascii="Book Antiqua" w:eastAsiaTheme="minorEastAsia" w:hAnsi="Book Antiqua"/>
          <w:lang w:val="en-US" w:eastAsia="zh-CN"/>
        </w:rPr>
        <w:t>;</w:t>
      </w:r>
      <w:r w:rsidRPr="00815E5E">
        <w:rPr>
          <w:rFonts w:ascii="Book Antiqua" w:hAnsi="Book Antiqua"/>
          <w:lang w:val="en-US"/>
        </w:rPr>
        <w:t xml:space="preserve"> PA</w:t>
      </w:r>
      <w:r w:rsidRPr="00815E5E">
        <w:rPr>
          <w:rFonts w:ascii="Book Antiqua" w:eastAsiaTheme="minorEastAsia" w:hAnsi="Book Antiqua"/>
          <w:lang w:val="en-US" w:eastAsia="zh-CN"/>
        </w:rPr>
        <w:t>:</w:t>
      </w:r>
      <w:r w:rsidRPr="00815E5E">
        <w:rPr>
          <w:rFonts w:ascii="Book Antiqua" w:hAnsi="Book Antiqua"/>
          <w:lang w:val="en-US"/>
        </w:rPr>
        <w:t xml:space="preserve"> Prospective analysis</w:t>
      </w:r>
      <w:r w:rsidRPr="00815E5E">
        <w:rPr>
          <w:rFonts w:ascii="Book Antiqua" w:eastAsiaTheme="minorEastAsia" w:hAnsi="Book Antiqua"/>
          <w:lang w:val="en-US" w:eastAsia="zh-CN"/>
        </w:rPr>
        <w:t xml:space="preserve">; </w:t>
      </w:r>
      <w:r w:rsidRPr="00815E5E">
        <w:rPr>
          <w:rFonts w:ascii="Book Antiqua" w:hAnsi="Book Antiqua"/>
          <w:lang w:val="en-US"/>
        </w:rPr>
        <w:t>IRQ</w:t>
      </w:r>
      <w:r w:rsidRPr="00815E5E">
        <w:rPr>
          <w:rFonts w:ascii="Book Antiqua" w:eastAsiaTheme="minorEastAsia" w:hAnsi="Book Antiqua"/>
          <w:lang w:val="en-US" w:eastAsia="zh-CN"/>
        </w:rPr>
        <w:t>:</w:t>
      </w:r>
      <w:r w:rsidRPr="00815E5E">
        <w:rPr>
          <w:rFonts w:ascii="Book Antiqua" w:hAnsi="Book Antiqua"/>
          <w:lang w:val="en-US"/>
        </w:rPr>
        <w:t xml:space="preserve"> Interquartile range</w:t>
      </w:r>
      <w:r w:rsidRPr="00815E5E">
        <w:rPr>
          <w:rFonts w:ascii="Book Antiqua" w:eastAsiaTheme="minorEastAsia" w:hAnsi="Book Antiqua"/>
          <w:lang w:val="en-US" w:eastAsia="zh-CN"/>
        </w:rPr>
        <w:t>;</w:t>
      </w:r>
      <w:r w:rsidRPr="00815E5E">
        <w:rPr>
          <w:rFonts w:ascii="Book Antiqua" w:hAnsi="Book Antiqua"/>
          <w:lang w:val="en-GB"/>
        </w:rPr>
        <w:t xml:space="preserve"> CRP</w:t>
      </w:r>
      <w:r w:rsidRPr="00815E5E">
        <w:rPr>
          <w:rFonts w:ascii="Book Antiqua" w:eastAsiaTheme="minorEastAsia" w:hAnsi="Book Antiqua"/>
          <w:lang w:val="en-GB" w:eastAsia="zh-CN"/>
        </w:rPr>
        <w:t>:</w:t>
      </w:r>
      <w:r w:rsidRPr="00815E5E">
        <w:rPr>
          <w:rFonts w:ascii="Book Antiqua" w:hAnsi="Book Antiqua"/>
          <w:lang w:val="en-GB"/>
        </w:rPr>
        <w:t xml:space="preserve"> C-reactive protein</w:t>
      </w:r>
      <w:r w:rsidRPr="00815E5E">
        <w:rPr>
          <w:rFonts w:ascii="Book Antiqua" w:eastAsiaTheme="minorEastAsia" w:hAnsi="Book Antiqua"/>
          <w:lang w:val="en-GB" w:eastAsia="zh-CN"/>
        </w:rPr>
        <w:t xml:space="preserve">; </w:t>
      </w:r>
      <w:r w:rsidRPr="00815E5E">
        <w:rPr>
          <w:rFonts w:ascii="Book Antiqua" w:hAnsi="Book Antiqua"/>
          <w:lang w:val="en-GB"/>
        </w:rPr>
        <w:t>IFX</w:t>
      </w:r>
      <w:r w:rsidRPr="00815E5E">
        <w:rPr>
          <w:rFonts w:ascii="Book Antiqua" w:eastAsiaTheme="minorEastAsia" w:hAnsi="Book Antiqua"/>
          <w:lang w:val="en-GB" w:eastAsia="zh-CN"/>
        </w:rPr>
        <w:t>:</w:t>
      </w:r>
      <w:r w:rsidRPr="00815E5E">
        <w:rPr>
          <w:rFonts w:ascii="Book Antiqua" w:hAnsi="Book Antiqua"/>
          <w:lang w:val="en-GB"/>
        </w:rPr>
        <w:t xml:space="preserve"> Infliximab</w:t>
      </w:r>
      <w:r w:rsidRPr="00815E5E">
        <w:rPr>
          <w:rFonts w:ascii="Book Antiqua" w:eastAsiaTheme="minorEastAsia" w:hAnsi="Book Antiqua"/>
          <w:lang w:val="en-GB" w:eastAsia="zh-CN"/>
        </w:rPr>
        <w:t>;</w:t>
      </w:r>
      <w:r w:rsidRPr="00815E5E">
        <w:rPr>
          <w:rFonts w:ascii="Book Antiqua" w:hAnsi="Book Antiqua"/>
          <w:lang w:val="en-US"/>
        </w:rPr>
        <w:t xml:space="preserve"> 5-ASA</w:t>
      </w:r>
      <w:r w:rsidRPr="00815E5E">
        <w:rPr>
          <w:rFonts w:ascii="Book Antiqua" w:eastAsiaTheme="minorEastAsia" w:hAnsi="Book Antiqua"/>
          <w:lang w:val="en-US" w:eastAsia="zh-CN"/>
        </w:rPr>
        <w:t>:</w:t>
      </w:r>
      <w:r w:rsidRPr="00815E5E">
        <w:rPr>
          <w:rFonts w:ascii="Book Antiqua" w:hAnsi="Book Antiqua"/>
          <w:lang w:val="en-US"/>
        </w:rPr>
        <w:t xml:space="preserve"> 5-aminoslycilate/mesalazine</w:t>
      </w:r>
      <w:r w:rsidRPr="00815E5E">
        <w:rPr>
          <w:rFonts w:ascii="Book Antiqua" w:eastAsiaTheme="minorEastAsia" w:hAnsi="Book Antiqua"/>
          <w:lang w:val="en-US" w:eastAsia="zh-CN"/>
        </w:rPr>
        <w:t>;</w:t>
      </w:r>
      <w:r w:rsidRPr="00815E5E">
        <w:rPr>
          <w:rFonts w:ascii="Book Antiqua" w:hAnsi="Book Antiqua"/>
          <w:lang w:val="en-GB"/>
        </w:rPr>
        <w:t xml:space="preserve"> MH</w:t>
      </w:r>
      <w:r w:rsidRPr="00815E5E">
        <w:rPr>
          <w:rFonts w:ascii="Book Antiqua" w:eastAsiaTheme="minorEastAsia" w:hAnsi="Book Antiqua"/>
          <w:lang w:val="en-GB" w:eastAsia="zh-CN"/>
        </w:rPr>
        <w:t>:</w:t>
      </w:r>
      <w:r w:rsidRPr="00815E5E">
        <w:rPr>
          <w:rFonts w:ascii="Book Antiqua" w:hAnsi="Book Antiqua"/>
          <w:lang w:val="en-GB"/>
        </w:rPr>
        <w:t xml:space="preserve"> Mucosal healing</w:t>
      </w:r>
      <w:r w:rsidRPr="00815E5E">
        <w:rPr>
          <w:rFonts w:ascii="Book Antiqua" w:eastAsiaTheme="minorEastAsia" w:hAnsi="Book Antiqua"/>
          <w:lang w:val="en-GB" w:eastAsia="zh-CN"/>
        </w:rPr>
        <w:t>;</w:t>
      </w:r>
      <w:r w:rsidRPr="00815E5E">
        <w:rPr>
          <w:rFonts w:ascii="Book Antiqua" w:hAnsi="Book Antiqua"/>
          <w:lang w:val="en-US"/>
        </w:rPr>
        <w:t xml:space="preserve"> TL</w:t>
      </w:r>
      <w:r w:rsidRPr="00815E5E">
        <w:rPr>
          <w:rFonts w:ascii="Book Antiqua" w:eastAsiaTheme="minorEastAsia" w:hAnsi="Book Antiqua"/>
          <w:lang w:val="en-US" w:eastAsia="zh-CN"/>
        </w:rPr>
        <w:t>:</w:t>
      </w:r>
      <w:r w:rsidRPr="00815E5E">
        <w:rPr>
          <w:rFonts w:ascii="Book Antiqua" w:hAnsi="Book Antiqua"/>
          <w:lang w:val="en-US"/>
        </w:rPr>
        <w:t xml:space="preserve"> Trough level</w:t>
      </w:r>
      <w:r w:rsidRPr="00815E5E">
        <w:rPr>
          <w:rFonts w:ascii="Book Antiqua" w:eastAsiaTheme="minorEastAsia" w:hAnsi="Book Antiqua"/>
          <w:lang w:val="en-US" w:eastAsia="zh-CN"/>
        </w:rPr>
        <w:t>;</w:t>
      </w:r>
      <w:r w:rsidRPr="00815E5E">
        <w:rPr>
          <w:rFonts w:ascii="Book Antiqua" w:hAnsi="Book Antiqua"/>
          <w:lang w:val="en-US"/>
        </w:rPr>
        <w:t xml:space="preserve"> CS</w:t>
      </w:r>
      <w:r w:rsidRPr="00815E5E">
        <w:rPr>
          <w:rFonts w:ascii="Book Antiqua" w:eastAsiaTheme="minorEastAsia" w:hAnsi="Book Antiqua"/>
          <w:lang w:val="en-US" w:eastAsia="zh-CN"/>
        </w:rPr>
        <w:t>:</w:t>
      </w:r>
      <w:r w:rsidRPr="00815E5E">
        <w:rPr>
          <w:rFonts w:ascii="Book Antiqua" w:hAnsi="Book Antiqua"/>
          <w:lang w:val="en-US"/>
        </w:rPr>
        <w:t xml:space="preserve"> Costicosteroid</w:t>
      </w:r>
      <w:r w:rsidRPr="00815E5E">
        <w:rPr>
          <w:rFonts w:ascii="Book Antiqua" w:eastAsiaTheme="minorEastAsia" w:hAnsi="Book Antiqua"/>
          <w:lang w:val="en-US" w:eastAsia="zh-CN"/>
        </w:rPr>
        <w:t>; TNF:</w:t>
      </w:r>
      <w:r w:rsidRPr="00815E5E">
        <w:rPr>
          <w:rFonts w:ascii="Book Antiqua" w:hAnsi="Book Antiqua"/>
        </w:rPr>
        <w:t xml:space="preserve"> Tumor necrosis factor</w:t>
      </w:r>
      <w:r w:rsidRPr="00815E5E">
        <w:rPr>
          <w:rFonts w:ascii="Book Antiqua" w:eastAsiaTheme="minorEastAsia" w:hAnsi="Book Antiqua"/>
          <w:lang w:eastAsia="zh-CN"/>
        </w:rPr>
        <w:t>;</w:t>
      </w:r>
      <w:r w:rsidRPr="00815E5E">
        <w:rPr>
          <w:rFonts w:ascii="Book Antiqua" w:hAnsi="Book Antiqua"/>
          <w:lang w:val="en-US"/>
        </w:rPr>
        <w:t xml:space="preserve"> IL: Interleukin.</w:t>
      </w:r>
    </w:p>
    <w:p w14:paraId="317BDA1C" w14:textId="77777777" w:rsidR="00A24C79" w:rsidRPr="008F4ECE" w:rsidRDefault="00A24C79" w:rsidP="00C97716">
      <w:pPr>
        <w:spacing w:line="360" w:lineRule="auto"/>
        <w:jc w:val="both"/>
        <w:rPr>
          <w:rFonts w:ascii="Book Antiqua" w:eastAsia="宋体" w:hAnsi="Book Antiqua"/>
          <w:lang w:val="en-US" w:eastAsia="zh-CN"/>
        </w:rPr>
      </w:pPr>
    </w:p>
    <w:p w14:paraId="5D063F76" w14:textId="77777777" w:rsidR="008F4ECE" w:rsidRDefault="008F4ECE">
      <w:r>
        <w:br w:type="page"/>
      </w:r>
    </w:p>
    <w:tbl>
      <w:tblPr>
        <w:tblpPr w:leftFromText="141" w:rightFromText="141" w:vertAnchor="text" w:horzAnchor="page" w:tblpX="1178" w:tblpY="2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705"/>
        <w:gridCol w:w="1839"/>
        <w:gridCol w:w="1842"/>
        <w:gridCol w:w="1843"/>
      </w:tblGrid>
      <w:tr w:rsidR="0050649F" w:rsidRPr="008A1770" w14:paraId="65934927" w14:textId="77777777" w:rsidTr="008F4ECE">
        <w:tc>
          <w:tcPr>
            <w:tcW w:w="10456" w:type="dxa"/>
            <w:gridSpan w:val="5"/>
            <w:tcBorders>
              <w:top w:val="nil"/>
              <w:left w:val="nil"/>
              <w:bottom w:val="single" w:sz="4" w:space="0" w:color="auto"/>
              <w:right w:val="nil"/>
            </w:tcBorders>
          </w:tcPr>
          <w:p w14:paraId="776B2C66" w14:textId="51281E55" w:rsidR="00A24C79" w:rsidRPr="008A1770" w:rsidRDefault="008F4ECE" w:rsidP="00C97716">
            <w:pPr>
              <w:spacing w:line="360" w:lineRule="auto"/>
              <w:jc w:val="both"/>
              <w:rPr>
                <w:rFonts w:ascii="Book Antiqua" w:eastAsia="宋体" w:hAnsi="Book Antiqua"/>
                <w:b/>
                <w:lang w:val="en-US" w:eastAsia="zh-CN"/>
              </w:rPr>
            </w:pPr>
            <w:r w:rsidRPr="008A1770">
              <w:rPr>
                <w:rFonts w:ascii="Book Antiqua" w:hAnsi="Book Antiqua"/>
                <w:b/>
                <w:lang w:val="en-US"/>
              </w:rPr>
              <w:lastRenderedPageBreak/>
              <w:t>Tab</w:t>
            </w:r>
            <w:r w:rsidRPr="008A1770">
              <w:rPr>
                <w:rFonts w:ascii="Book Antiqua" w:eastAsia="宋体" w:hAnsi="Book Antiqua" w:hint="eastAsia"/>
                <w:b/>
                <w:lang w:val="en-US" w:eastAsia="zh-CN"/>
              </w:rPr>
              <w:t>le</w:t>
            </w:r>
            <w:r w:rsidRPr="008A1770">
              <w:rPr>
                <w:rFonts w:ascii="Book Antiqua" w:hAnsi="Book Antiqua"/>
                <w:b/>
                <w:lang w:val="en-US"/>
              </w:rPr>
              <w:t xml:space="preserve"> 4</w:t>
            </w:r>
            <w:r w:rsidR="00A24C79" w:rsidRPr="008A1770">
              <w:rPr>
                <w:rFonts w:ascii="Book Antiqua" w:hAnsi="Book Antiqua"/>
                <w:b/>
                <w:lang w:val="en-US"/>
              </w:rPr>
              <w:t xml:space="preserve"> Synopsis on relapse rates with or without</w:t>
            </w:r>
            <w:r w:rsidRPr="008A1770">
              <w:rPr>
                <w:rFonts w:ascii="Book Antiqua" w:hAnsi="Book Antiqua"/>
                <w:b/>
                <w:lang w:val="en-US"/>
              </w:rPr>
              <w:t xml:space="preserve"> withdrawal of IMM or biologics</w:t>
            </w:r>
          </w:p>
        </w:tc>
      </w:tr>
      <w:tr w:rsidR="0050649F" w:rsidRPr="008A1770" w14:paraId="1B61B6A2" w14:textId="77777777" w:rsidTr="008F4ECE">
        <w:tc>
          <w:tcPr>
            <w:tcW w:w="3227" w:type="dxa"/>
            <w:tcBorders>
              <w:left w:val="single" w:sz="4" w:space="0" w:color="auto"/>
              <w:right w:val="single" w:sz="4" w:space="0" w:color="auto"/>
            </w:tcBorders>
          </w:tcPr>
          <w:p w14:paraId="5E6A3FFF"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Drugs</w:t>
            </w:r>
          </w:p>
        </w:tc>
        <w:tc>
          <w:tcPr>
            <w:tcW w:w="1705" w:type="dxa"/>
            <w:tcBorders>
              <w:left w:val="single" w:sz="4" w:space="0" w:color="auto"/>
              <w:right w:val="single" w:sz="4" w:space="0" w:color="auto"/>
            </w:tcBorders>
          </w:tcPr>
          <w:p w14:paraId="2D2609E1" w14:textId="5A646E12"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Overall p</w:t>
            </w:r>
            <w:r w:rsidR="008F4ECE" w:rsidRPr="008A1770">
              <w:rPr>
                <w:rFonts w:ascii="Book Antiqua" w:eastAsia="宋体" w:hAnsi="Book Antiqua" w:hint="eastAsia"/>
                <w:b/>
                <w:lang w:val="en-US" w:eastAsia="zh-CN"/>
              </w:rPr>
              <w:t>atients</w:t>
            </w:r>
            <w:r w:rsidR="008F4ECE" w:rsidRPr="008A1770">
              <w:rPr>
                <w:rFonts w:ascii="Book Antiqua" w:hAnsi="Book Antiqua"/>
                <w:b/>
                <w:lang w:val="en-US"/>
              </w:rPr>
              <w:t>t</w:t>
            </w:r>
            <w:r w:rsidRPr="008A1770">
              <w:rPr>
                <w:rFonts w:ascii="Book Antiqua" w:hAnsi="Book Antiqua"/>
                <w:b/>
                <w:lang w:val="en-US"/>
              </w:rPr>
              <w:t xml:space="preserve"> number</w:t>
            </w:r>
          </w:p>
        </w:tc>
        <w:tc>
          <w:tcPr>
            <w:tcW w:w="1839" w:type="dxa"/>
            <w:tcBorders>
              <w:left w:val="single" w:sz="4" w:space="0" w:color="auto"/>
              <w:right w:val="single" w:sz="4" w:space="0" w:color="auto"/>
            </w:tcBorders>
          </w:tcPr>
          <w:p w14:paraId="2755DA53"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Relapse at 1 yr</w:t>
            </w:r>
          </w:p>
        </w:tc>
        <w:tc>
          <w:tcPr>
            <w:tcW w:w="1842" w:type="dxa"/>
            <w:tcBorders>
              <w:left w:val="single" w:sz="4" w:space="0" w:color="auto"/>
              <w:right w:val="single" w:sz="4" w:space="0" w:color="auto"/>
            </w:tcBorders>
          </w:tcPr>
          <w:p w14:paraId="23A576F9"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Relapse at 2 yr</w:t>
            </w:r>
          </w:p>
        </w:tc>
        <w:tc>
          <w:tcPr>
            <w:tcW w:w="1843" w:type="dxa"/>
            <w:tcBorders>
              <w:left w:val="single" w:sz="4" w:space="0" w:color="auto"/>
              <w:right w:val="single" w:sz="4" w:space="0" w:color="auto"/>
            </w:tcBorders>
          </w:tcPr>
          <w:p w14:paraId="1DD1F99D"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Relapse at 5 yr</w:t>
            </w:r>
          </w:p>
        </w:tc>
      </w:tr>
      <w:tr w:rsidR="0050649F" w:rsidRPr="008A1770" w14:paraId="5FAC7964" w14:textId="77777777" w:rsidTr="008F4ECE">
        <w:tc>
          <w:tcPr>
            <w:tcW w:w="3227" w:type="dxa"/>
            <w:tcBorders>
              <w:left w:val="single" w:sz="4" w:space="0" w:color="auto"/>
              <w:right w:val="single" w:sz="4" w:space="0" w:color="auto"/>
            </w:tcBorders>
          </w:tcPr>
          <w:p w14:paraId="0EA819FB"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Immunomodulator</w:t>
            </w:r>
          </w:p>
        </w:tc>
        <w:tc>
          <w:tcPr>
            <w:tcW w:w="3544" w:type="dxa"/>
            <w:gridSpan w:val="2"/>
            <w:tcBorders>
              <w:left w:val="single" w:sz="4" w:space="0" w:color="auto"/>
              <w:right w:val="single" w:sz="4" w:space="0" w:color="auto"/>
            </w:tcBorders>
          </w:tcPr>
          <w:p w14:paraId="61F95D57"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659 CD, 744 UC</w:t>
            </w:r>
          </w:p>
        </w:tc>
        <w:tc>
          <w:tcPr>
            <w:tcW w:w="1842" w:type="dxa"/>
            <w:tcBorders>
              <w:left w:val="single" w:sz="4" w:space="0" w:color="auto"/>
              <w:right w:val="single" w:sz="4" w:space="0" w:color="auto"/>
            </w:tcBorders>
          </w:tcPr>
          <w:p w14:paraId="367EC46C" w14:textId="77777777" w:rsidR="00A24C79" w:rsidRPr="008A1770" w:rsidRDefault="00A24C79" w:rsidP="00C97716">
            <w:pPr>
              <w:spacing w:line="360" w:lineRule="auto"/>
              <w:jc w:val="both"/>
              <w:rPr>
                <w:rFonts w:ascii="Book Antiqua" w:hAnsi="Book Antiqua"/>
                <w:lang w:val="en-US"/>
              </w:rPr>
            </w:pPr>
          </w:p>
        </w:tc>
        <w:tc>
          <w:tcPr>
            <w:tcW w:w="1843" w:type="dxa"/>
            <w:tcBorders>
              <w:left w:val="single" w:sz="4" w:space="0" w:color="auto"/>
              <w:right w:val="single" w:sz="4" w:space="0" w:color="auto"/>
            </w:tcBorders>
          </w:tcPr>
          <w:p w14:paraId="384239B4" w14:textId="77777777" w:rsidR="00A24C79" w:rsidRPr="008A1770" w:rsidRDefault="00A24C79" w:rsidP="00C97716">
            <w:pPr>
              <w:spacing w:line="360" w:lineRule="auto"/>
              <w:jc w:val="both"/>
              <w:rPr>
                <w:rFonts w:ascii="Book Antiqua" w:hAnsi="Book Antiqua"/>
                <w:lang w:val="en-US"/>
              </w:rPr>
            </w:pPr>
          </w:p>
        </w:tc>
      </w:tr>
      <w:tr w:rsidR="0050649F" w:rsidRPr="008A1770" w14:paraId="4C5F2A3F" w14:textId="77777777" w:rsidTr="008F4ECE">
        <w:tc>
          <w:tcPr>
            <w:tcW w:w="3227" w:type="dxa"/>
            <w:tcBorders>
              <w:left w:val="single" w:sz="4" w:space="0" w:color="auto"/>
              <w:bottom w:val="single" w:sz="4" w:space="0" w:color="auto"/>
              <w:right w:val="single" w:sz="4" w:space="0" w:color="auto"/>
            </w:tcBorders>
          </w:tcPr>
          <w:p w14:paraId="76B9EAB5"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Maintenance</w:t>
            </w:r>
          </w:p>
          <w:p w14:paraId="556E2BD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w:t>
            </w:r>
          </w:p>
          <w:p w14:paraId="7E94F4AD"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(range)</w:t>
            </w:r>
          </w:p>
        </w:tc>
        <w:tc>
          <w:tcPr>
            <w:tcW w:w="1705" w:type="dxa"/>
            <w:tcBorders>
              <w:left w:val="single" w:sz="4" w:space="0" w:color="auto"/>
              <w:bottom w:val="single" w:sz="4" w:space="0" w:color="auto"/>
              <w:right w:val="single" w:sz="4" w:space="0" w:color="auto"/>
            </w:tcBorders>
          </w:tcPr>
          <w:p w14:paraId="337B90AD"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Mixed</w:t>
            </w:r>
          </w:p>
        </w:tc>
        <w:tc>
          <w:tcPr>
            <w:tcW w:w="1839" w:type="dxa"/>
            <w:tcBorders>
              <w:left w:val="single" w:sz="4" w:space="0" w:color="auto"/>
              <w:bottom w:val="single" w:sz="4" w:space="0" w:color="auto"/>
              <w:right w:val="single" w:sz="4" w:space="0" w:color="auto"/>
            </w:tcBorders>
          </w:tcPr>
          <w:p w14:paraId="266A1231"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6%</w:t>
            </w:r>
          </w:p>
          <w:p w14:paraId="4E48B75E" w14:textId="5B950495" w:rsidR="00A24C79" w:rsidRPr="008A1770" w:rsidRDefault="00A24C79" w:rsidP="008F4ECE">
            <w:pPr>
              <w:spacing w:line="360" w:lineRule="auto"/>
              <w:jc w:val="both"/>
              <w:rPr>
                <w:rFonts w:ascii="Book Antiqua" w:hAnsi="Book Antiqua"/>
                <w:lang w:val="en-US"/>
              </w:rPr>
            </w:pPr>
            <w:r w:rsidRPr="008A1770">
              <w:rPr>
                <w:rFonts w:ascii="Book Antiqua" w:hAnsi="Book Antiqua"/>
                <w:lang w:val="en-US"/>
              </w:rPr>
              <w:t>(range 5-43)</w:t>
            </w:r>
            <w:r w:rsidRPr="008A1770">
              <w:rPr>
                <w:rFonts w:ascii="Book Antiqua" w:hAnsi="Book Antiqua"/>
                <w:vertAlign w:val="superscript"/>
                <w:lang w:val="en-US"/>
              </w:rPr>
              <w:t>[65</w:t>
            </w:r>
            <w:r w:rsidR="008F4ECE" w:rsidRPr="008A1770">
              <w:rPr>
                <w:rFonts w:ascii="Book Antiqua" w:eastAsia="宋体" w:hAnsi="Book Antiqua" w:hint="eastAsia"/>
                <w:vertAlign w:val="superscript"/>
                <w:lang w:val="en-US" w:eastAsia="zh-CN"/>
              </w:rPr>
              <w:t>-</w:t>
            </w:r>
            <w:r w:rsidRPr="008A1770">
              <w:rPr>
                <w:rFonts w:ascii="Book Antiqua" w:hAnsi="Book Antiqua"/>
                <w:vertAlign w:val="superscript"/>
                <w:lang w:val="en-US"/>
              </w:rPr>
              <w:t>67]</w:t>
            </w:r>
          </w:p>
        </w:tc>
        <w:tc>
          <w:tcPr>
            <w:tcW w:w="1842" w:type="dxa"/>
            <w:tcBorders>
              <w:left w:val="single" w:sz="4" w:space="0" w:color="auto"/>
              <w:bottom w:val="single" w:sz="4" w:space="0" w:color="auto"/>
              <w:right w:val="single" w:sz="4" w:space="0" w:color="auto"/>
            </w:tcBorders>
          </w:tcPr>
          <w:p w14:paraId="56AF7B9F"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10%</w:t>
            </w:r>
            <w:r w:rsidRPr="008A1770">
              <w:rPr>
                <w:rFonts w:ascii="Book Antiqua" w:hAnsi="Book Antiqua"/>
                <w:b/>
                <w:vertAlign w:val="superscript"/>
                <w:lang w:val="en-US"/>
              </w:rPr>
              <w:t>[65]</w:t>
            </w:r>
          </w:p>
        </w:tc>
        <w:tc>
          <w:tcPr>
            <w:tcW w:w="1843" w:type="dxa"/>
            <w:tcBorders>
              <w:left w:val="single" w:sz="4" w:space="0" w:color="auto"/>
              <w:bottom w:val="single" w:sz="4" w:space="0" w:color="auto"/>
              <w:right w:val="single" w:sz="4" w:space="0" w:color="auto"/>
            </w:tcBorders>
          </w:tcPr>
          <w:p w14:paraId="252660E0"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48%</w:t>
            </w:r>
            <w:r w:rsidRPr="008A1770">
              <w:rPr>
                <w:rFonts w:ascii="Book Antiqua" w:hAnsi="Book Antiqua"/>
                <w:b/>
                <w:vertAlign w:val="superscript"/>
                <w:lang w:val="en-US"/>
              </w:rPr>
              <w:t>[65]</w:t>
            </w:r>
          </w:p>
        </w:tc>
      </w:tr>
      <w:tr w:rsidR="0050649F" w:rsidRPr="008A1770" w14:paraId="6D731CDB" w14:textId="77777777" w:rsidTr="008F4ECE">
        <w:tc>
          <w:tcPr>
            <w:tcW w:w="3227" w:type="dxa"/>
            <w:tcBorders>
              <w:top w:val="single" w:sz="4" w:space="0" w:color="auto"/>
              <w:left w:val="single" w:sz="4" w:space="0" w:color="auto"/>
              <w:bottom w:val="single" w:sz="4" w:space="0" w:color="auto"/>
              <w:right w:val="single" w:sz="4" w:space="0" w:color="auto"/>
            </w:tcBorders>
          </w:tcPr>
          <w:p w14:paraId="79E4878D"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bottom w:val="single" w:sz="4" w:space="0" w:color="auto"/>
              <w:right w:val="single" w:sz="4" w:space="0" w:color="auto"/>
            </w:tcBorders>
          </w:tcPr>
          <w:p w14:paraId="4F31362A" w14:textId="04E80D55"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CD</w:t>
            </w:r>
          </w:p>
        </w:tc>
        <w:tc>
          <w:tcPr>
            <w:tcW w:w="1839" w:type="dxa"/>
            <w:tcBorders>
              <w:top w:val="single" w:sz="4" w:space="0" w:color="auto"/>
              <w:left w:val="single" w:sz="4" w:space="0" w:color="auto"/>
              <w:bottom w:val="single" w:sz="4" w:space="0" w:color="auto"/>
              <w:right w:val="single" w:sz="4" w:space="0" w:color="auto"/>
            </w:tcBorders>
          </w:tcPr>
          <w:p w14:paraId="2DF7D289"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6%</w:t>
            </w:r>
            <w:r w:rsidRPr="008A1770">
              <w:rPr>
                <w:rFonts w:ascii="Book Antiqua" w:hAnsi="Book Antiqua"/>
                <w:vertAlign w:val="superscript"/>
                <w:lang w:val="en-US"/>
              </w:rPr>
              <w:t>[67]</w:t>
            </w:r>
          </w:p>
        </w:tc>
        <w:tc>
          <w:tcPr>
            <w:tcW w:w="1842" w:type="dxa"/>
            <w:tcBorders>
              <w:top w:val="single" w:sz="4" w:space="0" w:color="auto"/>
              <w:left w:val="single" w:sz="4" w:space="0" w:color="auto"/>
              <w:bottom w:val="single" w:sz="4" w:space="0" w:color="auto"/>
              <w:right w:val="single" w:sz="4" w:space="0" w:color="auto"/>
            </w:tcBorders>
          </w:tcPr>
          <w:p w14:paraId="17548D1E" w14:textId="77777777" w:rsidR="00A24C79" w:rsidRPr="008A1770" w:rsidRDefault="00A24C79" w:rsidP="00C97716">
            <w:pPr>
              <w:spacing w:line="360" w:lineRule="auto"/>
              <w:jc w:val="both"/>
              <w:rPr>
                <w:rFonts w:ascii="Book Antiqua" w:hAnsi="Book Antiqua"/>
                <w:lang w:val="en-US"/>
              </w:rPr>
            </w:pPr>
          </w:p>
        </w:tc>
        <w:tc>
          <w:tcPr>
            <w:tcW w:w="1843" w:type="dxa"/>
            <w:tcBorders>
              <w:top w:val="single" w:sz="4" w:space="0" w:color="auto"/>
              <w:left w:val="single" w:sz="4" w:space="0" w:color="auto"/>
              <w:bottom w:val="single" w:sz="4" w:space="0" w:color="auto"/>
              <w:right w:val="single" w:sz="4" w:space="0" w:color="auto"/>
            </w:tcBorders>
          </w:tcPr>
          <w:p w14:paraId="21B665FB" w14:textId="77777777" w:rsidR="00A24C79" w:rsidRPr="008A1770" w:rsidRDefault="00A24C79" w:rsidP="00C97716">
            <w:pPr>
              <w:spacing w:line="360" w:lineRule="auto"/>
              <w:jc w:val="both"/>
              <w:rPr>
                <w:rFonts w:ascii="Book Antiqua" w:hAnsi="Book Antiqua"/>
                <w:lang w:val="en-US"/>
              </w:rPr>
            </w:pPr>
          </w:p>
        </w:tc>
      </w:tr>
      <w:tr w:rsidR="0050649F" w:rsidRPr="008A1770" w14:paraId="668E2176" w14:textId="77777777" w:rsidTr="008F4ECE">
        <w:tc>
          <w:tcPr>
            <w:tcW w:w="3227" w:type="dxa"/>
            <w:tcBorders>
              <w:top w:val="single" w:sz="4" w:space="0" w:color="auto"/>
              <w:left w:val="single" w:sz="4" w:space="0" w:color="auto"/>
              <w:right w:val="single" w:sz="4" w:space="0" w:color="auto"/>
            </w:tcBorders>
          </w:tcPr>
          <w:p w14:paraId="7426F31E"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right w:val="single" w:sz="4" w:space="0" w:color="auto"/>
            </w:tcBorders>
          </w:tcPr>
          <w:p w14:paraId="1549C5F4" w14:textId="1872DD5B"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UC</w:t>
            </w:r>
          </w:p>
        </w:tc>
        <w:tc>
          <w:tcPr>
            <w:tcW w:w="1839" w:type="dxa"/>
            <w:tcBorders>
              <w:top w:val="single" w:sz="4" w:space="0" w:color="auto"/>
              <w:left w:val="single" w:sz="4" w:space="0" w:color="auto"/>
              <w:right w:val="single" w:sz="4" w:space="0" w:color="auto"/>
            </w:tcBorders>
          </w:tcPr>
          <w:p w14:paraId="4A3BE573"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43%</w:t>
            </w:r>
            <w:r w:rsidRPr="008A1770">
              <w:rPr>
                <w:rFonts w:ascii="Book Antiqua" w:hAnsi="Book Antiqua"/>
                <w:vertAlign w:val="superscript"/>
                <w:lang w:val="en-US"/>
              </w:rPr>
              <w:t>[66]</w:t>
            </w:r>
          </w:p>
        </w:tc>
        <w:tc>
          <w:tcPr>
            <w:tcW w:w="1842" w:type="dxa"/>
            <w:tcBorders>
              <w:top w:val="single" w:sz="4" w:space="0" w:color="auto"/>
              <w:left w:val="single" w:sz="4" w:space="0" w:color="auto"/>
              <w:right w:val="single" w:sz="4" w:space="0" w:color="auto"/>
            </w:tcBorders>
          </w:tcPr>
          <w:p w14:paraId="76DE5560" w14:textId="77777777" w:rsidR="00A24C79" w:rsidRPr="008A1770" w:rsidRDefault="00A24C79" w:rsidP="00C97716">
            <w:pPr>
              <w:spacing w:line="360" w:lineRule="auto"/>
              <w:jc w:val="both"/>
              <w:rPr>
                <w:rFonts w:ascii="Book Antiqua" w:hAnsi="Book Antiqua"/>
                <w:lang w:val="en-US"/>
              </w:rPr>
            </w:pPr>
          </w:p>
        </w:tc>
        <w:tc>
          <w:tcPr>
            <w:tcW w:w="1843" w:type="dxa"/>
            <w:tcBorders>
              <w:top w:val="single" w:sz="4" w:space="0" w:color="auto"/>
              <w:left w:val="single" w:sz="4" w:space="0" w:color="auto"/>
              <w:right w:val="single" w:sz="4" w:space="0" w:color="auto"/>
            </w:tcBorders>
          </w:tcPr>
          <w:p w14:paraId="4A7E3398" w14:textId="77777777" w:rsidR="00A24C79" w:rsidRPr="008A1770" w:rsidRDefault="00A24C79" w:rsidP="00C97716">
            <w:pPr>
              <w:spacing w:line="360" w:lineRule="auto"/>
              <w:jc w:val="both"/>
              <w:rPr>
                <w:rFonts w:ascii="Book Antiqua" w:hAnsi="Book Antiqua"/>
                <w:lang w:val="en-US"/>
              </w:rPr>
            </w:pPr>
          </w:p>
        </w:tc>
      </w:tr>
      <w:tr w:rsidR="0050649F" w:rsidRPr="008A1770" w14:paraId="7D1FBC8B" w14:textId="77777777" w:rsidTr="008F4ECE">
        <w:trPr>
          <w:trHeight w:val="815"/>
        </w:trPr>
        <w:tc>
          <w:tcPr>
            <w:tcW w:w="3227" w:type="dxa"/>
            <w:tcBorders>
              <w:left w:val="single" w:sz="4" w:space="0" w:color="auto"/>
              <w:bottom w:val="single" w:sz="4" w:space="0" w:color="auto"/>
              <w:right w:val="single" w:sz="4" w:space="0" w:color="auto"/>
            </w:tcBorders>
          </w:tcPr>
          <w:p w14:paraId="75A6A480"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De-escalation</w:t>
            </w:r>
          </w:p>
          <w:p w14:paraId="1501AD4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w:t>
            </w:r>
          </w:p>
          <w:p w14:paraId="7C612A1F" w14:textId="77777777" w:rsidR="00A24C79" w:rsidRPr="0050649F" w:rsidRDefault="00A24C79" w:rsidP="00C97716">
            <w:pPr>
              <w:spacing w:line="360" w:lineRule="auto"/>
              <w:jc w:val="both"/>
              <w:rPr>
                <w:rFonts w:ascii="Book Antiqua" w:hAnsi="Book Antiqua"/>
                <w:i/>
                <w:lang w:val="en-US"/>
              </w:rPr>
            </w:pPr>
            <w:r w:rsidRPr="0050649F">
              <w:rPr>
                <w:rFonts w:ascii="Book Antiqua" w:hAnsi="Book Antiqua"/>
                <w:lang w:val="en-US"/>
              </w:rPr>
              <w:t>(range)</w:t>
            </w:r>
          </w:p>
        </w:tc>
        <w:tc>
          <w:tcPr>
            <w:tcW w:w="1705" w:type="dxa"/>
            <w:tcBorders>
              <w:left w:val="single" w:sz="4" w:space="0" w:color="auto"/>
              <w:bottom w:val="single" w:sz="4" w:space="0" w:color="auto"/>
              <w:right w:val="single" w:sz="4" w:space="0" w:color="auto"/>
            </w:tcBorders>
          </w:tcPr>
          <w:p w14:paraId="3699E358"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Mixed</w:t>
            </w:r>
          </w:p>
        </w:tc>
        <w:tc>
          <w:tcPr>
            <w:tcW w:w="1839" w:type="dxa"/>
            <w:tcBorders>
              <w:left w:val="single" w:sz="4" w:space="0" w:color="auto"/>
              <w:bottom w:val="single" w:sz="4" w:space="0" w:color="auto"/>
              <w:right w:val="single" w:sz="4" w:space="0" w:color="auto"/>
            </w:tcBorders>
          </w:tcPr>
          <w:p w14:paraId="48B37904"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 xml:space="preserve">20.5% </w:t>
            </w:r>
          </w:p>
          <w:p w14:paraId="28366453" w14:textId="19E2FE84" w:rsidR="00A24C79" w:rsidRPr="008A1770" w:rsidRDefault="00A24C79" w:rsidP="008F4ECE">
            <w:pPr>
              <w:spacing w:line="360" w:lineRule="auto"/>
              <w:jc w:val="both"/>
              <w:rPr>
                <w:rFonts w:ascii="Book Antiqua" w:hAnsi="Book Antiqua"/>
                <w:vertAlign w:val="superscript"/>
                <w:lang w:val="en-US"/>
              </w:rPr>
            </w:pPr>
            <w:r w:rsidRPr="008A1770">
              <w:rPr>
                <w:rFonts w:ascii="Book Antiqua" w:hAnsi="Book Antiqua"/>
                <w:lang w:val="en-US"/>
              </w:rPr>
              <w:t>(range 12-37)</w:t>
            </w:r>
            <w:r w:rsidRPr="008A1770">
              <w:rPr>
                <w:rFonts w:ascii="Book Antiqua" w:hAnsi="Book Antiqua"/>
                <w:vertAlign w:val="superscript"/>
                <w:lang w:val="en-US"/>
              </w:rPr>
              <w:t>[65,68</w:t>
            </w:r>
            <w:r w:rsidR="008F4ECE" w:rsidRPr="008A1770">
              <w:rPr>
                <w:rFonts w:ascii="Book Antiqua" w:eastAsia="宋体" w:hAnsi="Book Antiqua" w:hint="eastAsia"/>
                <w:vertAlign w:val="superscript"/>
                <w:lang w:val="en-US" w:eastAsia="zh-CN"/>
              </w:rPr>
              <w:t>-</w:t>
            </w:r>
            <w:r w:rsidRPr="008A1770">
              <w:rPr>
                <w:rFonts w:ascii="Book Antiqua" w:hAnsi="Book Antiqua"/>
                <w:vertAlign w:val="superscript"/>
                <w:lang w:val="en-US"/>
              </w:rPr>
              <w:t>71]</w:t>
            </w:r>
          </w:p>
        </w:tc>
        <w:tc>
          <w:tcPr>
            <w:tcW w:w="1842" w:type="dxa"/>
            <w:tcBorders>
              <w:left w:val="single" w:sz="4" w:space="0" w:color="auto"/>
              <w:bottom w:val="single" w:sz="4" w:space="0" w:color="auto"/>
              <w:right w:val="single" w:sz="4" w:space="0" w:color="auto"/>
            </w:tcBorders>
          </w:tcPr>
          <w:p w14:paraId="49B37DC6"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44%</w:t>
            </w:r>
          </w:p>
          <w:p w14:paraId="05ECE28F" w14:textId="77777777" w:rsidR="00A24C79" w:rsidRPr="008A1770" w:rsidRDefault="00A24C79" w:rsidP="00C97716">
            <w:pPr>
              <w:spacing w:line="360" w:lineRule="auto"/>
              <w:jc w:val="both"/>
              <w:rPr>
                <w:rFonts w:ascii="Book Antiqua" w:hAnsi="Book Antiqua"/>
                <w:vertAlign w:val="superscript"/>
                <w:lang w:val="en-US"/>
              </w:rPr>
            </w:pPr>
            <w:r w:rsidRPr="008A1770">
              <w:rPr>
                <w:rFonts w:ascii="Book Antiqua" w:hAnsi="Book Antiqua"/>
                <w:lang w:val="en-US"/>
              </w:rPr>
              <w:t xml:space="preserve">(range 25-56) </w:t>
            </w:r>
            <w:r w:rsidRPr="008A1770">
              <w:rPr>
                <w:rFonts w:ascii="Book Antiqua" w:hAnsi="Book Antiqua"/>
                <w:vertAlign w:val="superscript"/>
                <w:lang w:val="en-US"/>
              </w:rPr>
              <w:t>[65,68,70]</w:t>
            </w:r>
          </w:p>
        </w:tc>
        <w:tc>
          <w:tcPr>
            <w:tcW w:w="1843" w:type="dxa"/>
            <w:tcBorders>
              <w:left w:val="single" w:sz="4" w:space="0" w:color="auto"/>
              <w:bottom w:val="single" w:sz="4" w:space="0" w:color="auto"/>
              <w:right w:val="single" w:sz="4" w:space="0" w:color="auto"/>
            </w:tcBorders>
          </w:tcPr>
          <w:p w14:paraId="6BBC4251"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63.5%</w:t>
            </w:r>
          </w:p>
          <w:p w14:paraId="30490A5F" w14:textId="33F99E7A" w:rsidR="00A24C79" w:rsidRPr="008A1770" w:rsidRDefault="00A24C79" w:rsidP="008F4ECE">
            <w:pPr>
              <w:spacing w:line="360" w:lineRule="auto"/>
              <w:jc w:val="both"/>
              <w:rPr>
                <w:rFonts w:ascii="Book Antiqua" w:hAnsi="Book Antiqua"/>
                <w:lang w:val="en-US"/>
              </w:rPr>
            </w:pPr>
            <w:r w:rsidRPr="008A1770">
              <w:rPr>
                <w:rFonts w:ascii="Book Antiqua" w:hAnsi="Book Antiqua"/>
                <w:lang w:val="en-US"/>
              </w:rPr>
              <w:t>(range 43-75)</w:t>
            </w:r>
            <w:r w:rsidRPr="008A1770">
              <w:rPr>
                <w:rFonts w:ascii="Book Antiqua" w:hAnsi="Book Antiqua"/>
                <w:vertAlign w:val="superscript"/>
                <w:lang w:val="en-US"/>
              </w:rPr>
              <w:t>[65,68</w:t>
            </w:r>
            <w:r w:rsidR="008F4ECE" w:rsidRPr="008A1770">
              <w:rPr>
                <w:rFonts w:ascii="Book Antiqua" w:eastAsia="宋体" w:hAnsi="Book Antiqua" w:hint="eastAsia"/>
                <w:vertAlign w:val="superscript"/>
                <w:lang w:val="en-US" w:eastAsia="zh-CN"/>
              </w:rPr>
              <w:t>-</w:t>
            </w:r>
            <w:r w:rsidRPr="008A1770">
              <w:rPr>
                <w:rFonts w:ascii="Book Antiqua" w:hAnsi="Book Antiqua"/>
                <w:vertAlign w:val="superscript"/>
                <w:lang w:val="en-US"/>
              </w:rPr>
              <w:t>71]</w:t>
            </w:r>
          </w:p>
        </w:tc>
      </w:tr>
      <w:tr w:rsidR="0050649F" w:rsidRPr="008A1770" w14:paraId="6F878D96" w14:textId="77777777" w:rsidTr="008F4ECE">
        <w:trPr>
          <w:trHeight w:val="600"/>
        </w:trPr>
        <w:tc>
          <w:tcPr>
            <w:tcW w:w="3227" w:type="dxa"/>
            <w:tcBorders>
              <w:top w:val="single" w:sz="4" w:space="0" w:color="auto"/>
              <w:left w:val="single" w:sz="4" w:space="0" w:color="auto"/>
              <w:bottom w:val="single" w:sz="4" w:space="0" w:color="auto"/>
              <w:right w:val="single" w:sz="4" w:space="0" w:color="auto"/>
            </w:tcBorders>
          </w:tcPr>
          <w:p w14:paraId="45911F20"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bottom w:val="single" w:sz="4" w:space="0" w:color="auto"/>
              <w:right w:val="single" w:sz="4" w:space="0" w:color="auto"/>
            </w:tcBorders>
          </w:tcPr>
          <w:p w14:paraId="6B63E790" w14:textId="3EC95CB3"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CD</w:t>
            </w:r>
          </w:p>
        </w:tc>
        <w:tc>
          <w:tcPr>
            <w:tcW w:w="1839" w:type="dxa"/>
            <w:tcBorders>
              <w:top w:val="single" w:sz="4" w:space="0" w:color="auto"/>
              <w:left w:val="single" w:sz="4" w:space="0" w:color="auto"/>
              <w:bottom w:val="single" w:sz="4" w:space="0" w:color="auto"/>
              <w:right w:val="single" w:sz="4" w:space="0" w:color="auto"/>
            </w:tcBorders>
          </w:tcPr>
          <w:p w14:paraId="72B77074"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18%</w:t>
            </w:r>
          </w:p>
          <w:p w14:paraId="0261F6C6" w14:textId="0E7065D0" w:rsidR="00A24C79" w:rsidRPr="008A1770" w:rsidRDefault="008F4ECE" w:rsidP="00C97716">
            <w:pPr>
              <w:spacing w:line="360" w:lineRule="auto"/>
              <w:jc w:val="both"/>
              <w:rPr>
                <w:rFonts w:ascii="Book Antiqua" w:hAnsi="Book Antiqua"/>
                <w:lang w:val="en-US"/>
              </w:rPr>
            </w:pPr>
            <w:r w:rsidRPr="008A1770">
              <w:rPr>
                <w:rFonts w:ascii="Book Antiqua" w:hAnsi="Book Antiqua"/>
                <w:lang w:val="en-US"/>
              </w:rPr>
              <w:t>(range 14-22)</w:t>
            </w:r>
            <w:r w:rsidR="00A24C79" w:rsidRPr="008A1770">
              <w:rPr>
                <w:rFonts w:ascii="Book Antiqua" w:hAnsi="Book Antiqua"/>
                <w:vertAlign w:val="superscript"/>
                <w:lang w:val="en-US"/>
              </w:rPr>
              <w:t>[69,70]</w:t>
            </w:r>
          </w:p>
        </w:tc>
        <w:tc>
          <w:tcPr>
            <w:tcW w:w="1842" w:type="dxa"/>
            <w:tcBorders>
              <w:top w:val="single" w:sz="4" w:space="0" w:color="auto"/>
              <w:left w:val="single" w:sz="4" w:space="0" w:color="auto"/>
              <w:bottom w:val="single" w:sz="4" w:space="0" w:color="auto"/>
              <w:right w:val="single" w:sz="4" w:space="0" w:color="auto"/>
            </w:tcBorders>
          </w:tcPr>
          <w:p w14:paraId="0344BB50"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39%</w:t>
            </w:r>
            <w:r w:rsidRPr="008A1770">
              <w:rPr>
                <w:rFonts w:ascii="Book Antiqua" w:hAnsi="Book Antiqua"/>
                <w:vertAlign w:val="superscript"/>
                <w:lang w:val="en-US"/>
              </w:rPr>
              <w:t>[70]</w:t>
            </w:r>
          </w:p>
        </w:tc>
        <w:tc>
          <w:tcPr>
            <w:tcW w:w="1843" w:type="dxa"/>
            <w:tcBorders>
              <w:top w:val="single" w:sz="4" w:space="0" w:color="auto"/>
              <w:left w:val="single" w:sz="4" w:space="0" w:color="auto"/>
              <w:bottom w:val="single" w:sz="4" w:space="0" w:color="auto"/>
              <w:right w:val="single" w:sz="4" w:space="0" w:color="auto"/>
            </w:tcBorders>
          </w:tcPr>
          <w:p w14:paraId="7ED29413"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62%</w:t>
            </w:r>
            <w:r w:rsidRPr="008A1770">
              <w:rPr>
                <w:rFonts w:ascii="Book Antiqua" w:hAnsi="Book Antiqua"/>
                <w:vertAlign w:val="superscript"/>
                <w:lang w:val="en-US"/>
              </w:rPr>
              <w:t>[69]</w:t>
            </w:r>
          </w:p>
        </w:tc>
      </w:tr>
      <w:tr w:rsidR="0050649F" w:rsidRPr="008A1770" w14:paraId="54E7E478" w14:textId="77777777" w:rsidTr="008F4ECE">
        <w:tc>
          <w:tcPr>
            <w:tcW w:w="3227" w:type="dxa"/>
            <w:tcBorders>
              <w:top w:val="single" w:sz="4" w:space="0" w:color="auto"/>
              <w:left w:val="single" w:sz="4" w:space="0" w:color="auto"/>
              <w:right w:val="single" w:sz="4" w:space="0" w:color="auto"/>
            </w:tcBorders>
          </w:tcPr>
          <w:p w14:paraId="3E4FB365"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right w:val="single" w:sz="4" w:space="0" w:color="auto"/>
            </w:tcBorders>
          </w:tcPr>
          <w:p w14:paraId="12A205EE" w14:textId="764FC0DE"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UC</w:t>
            </w:r>
          </w:p>
        </w:tc>
        <w:tc>
          <w:tcPr>
            <w:tcW w:w="1839" w:type="dxa"/>
            <w:tcBorders>
              <w:top w:val="single" w:sz="4" w:space="0" w:color="auto"/>
              <w:left w:val="single" w:sz="4" w:space="0" w:color="auto"/>
              <w:right w:val="single" w:sz="4" w:space="0" w:color="auto"/>
            </w:tcBorders>
          </w:tcPr>
          <w:p w14:paraId="6CCA45F0"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19%</w:t>
            </w:r>
          </w:p>
          <w:p w14:paraId="26E9F728" w14:textId="28EE610C" w:rsidR="00A24C79" w:rsidRPr="008A1770" w:rsidRDefault="008F4ECE" w:rsidP="00C97716">
            <w:pPr>
              <w:spacing w:line="360" w:lineRule="auto"/>
              <w:jc w:val="both"/>
              <w:rPr>
                <w:rFonts w:ascii="Book Antiqua" w:hAnsi="Book Antiqua"/>
                <w:lang w:val="en-US"/>
              </w:rPr>
            </w:pPr>
            <w:r w:rsidRPr="008A1770">
              <w:rPr>
                <w:rFonts w:ascii="Book Antiqua" w:hAnsi="Book Antiqua"/>
                <w:lang w:val="en-US"/>
              </w:rPr>
              <w:t>(range 12-35)</w:t>
            </w:r>
            <w:r w:rsidR="00A24C79" w:rsidRPr="008A1770">
              <w:rPr>
                <w:rFonts w:ascii="Book Antiqua" w:hAnsi="Book Antiqua"/>
                <w:vertAlign w:val="superscript"/>
                <w:lang w:val="en-US"/>
              </w:rPr>
              <w:t>[68,70,71]</w:t>
            </w:r>
          </w:p>
        </w:tc>
        <w:tc>
          <w:tcPr>
            <w:tcW w:w="1842" w:type="dxa"/>
            <w:tcBorders>
              <w:top w:val="single" w:sz="4" w:space="0" w:color="auto"/>
              <w:left w:val="single" w:sz="4" w:space="0" w:color="auto"/>
              <w:right w:val="single" w:sz="4" w:space="0" w:color="auto"/>
            </w:tcBorders>
          </w:tcPr>
          <w:p w14:paraId="78BB93D1"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37%</w:t>
            </w:r>
          </w:p>
          <w:p w14:paraId="4F22B468"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 xml:space="preserve">(range 25-49) </w:t>
            </w:r>
            <w:r w:rsidRPr="008A1770">
              <w:rPr>
                <w:rFonts w:ascii="Book Antiqua" w:hAnsi="Book Antiqua"/>
                <w:vertAlign w:val="superscript"/>
                <w:lang w:val="en-US"/>
              </w:rPr>
              <w:t>[68,70]</w:t>
            </w:r>
          </w:p>
        </w:tc>
        <w:tc>
          <w:tcPr>
            <w:tcW w:w="1843" w:type="dxa"/>
            <w:tcBorders>
              <w:top w:val="single" w:sz="4" w:space="0" w:color="auto"/>
              <w:left w:val="single" w:sz="4" w:space="0" w:color="auto"/>
              <w:right w:val="single" w:sz="4" w:space="0" w:color="auto"/>
            </w:tcBorders>
          </w:tcPr>
          <w:p w14:paraId="016FE0D0"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54%</w:t>
            </w:r>
          </w:p>
          <w:p w14:paraId="3C1035AC"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(range 43-65)</w:t>
            </w:r>
            <w:r w:rsidRPr="008A1770">
              <w:rPr>
                <w:rFonts w:ascii="Book Antiqua" w:hAnsi="Book Antiqua"/>
                <w:vertAlign w:val="superscript"/>
                <w:lang w:val="en-US"/>
              </w:rPr>
              <w:t>[68,71]</w:t>
            </w:r>
          </w:p>
        </w:tc>
      </w:tr>
      <w:tr w:rsidR="0050649F" w:rsidRPr="008A1770" w14:paraId="51D2345F" w14:textId="77777777" w:rsidTr="008F4ECE">
        <w:tc>
          <w:tcPr>
            <w:tcW w:w="3227" w:type="dxa"/>
            <w:tcBorders>
              <w:left w:val="single" w:sz="4" w:space="0" w:color="auto"/>
              <w:right w:val="single" w:sz="4" w:space="0" w:color="auto"/>
            </w:tcBorders>
          </w:tcPr>
          <w:p w14:paraId="5F34C4DB"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Anti-TNF</w:t>
            </w:r>
          </w:p>
        </w:tc>
        <w:tc>
          <w:tcPr>
            <w:tcW w:w="3544" w:type="dxa"/>
            <w:gridSpan w:val="2"/>
            <w:tcBorders>
              <w:left w:val="single" w:sz="4" w:space="0" w:color="auto"/>
              <w:right w:val="single" w:sz="4" w:space="0" w:color="auto"/>
            </w:tcBorders>
          </w:tcPr>
          <w:p w14:paraId="0670E9AB"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605 CD, 216 UC</w:t>
            </w:r>
          </w:p>
        </w:tc>
        <w:tc>
          <w:tcPr>
            <w:tcW w:w="1842" w:type="dxa"/>
            <w:tcBorders>
              <w:left w:val="single" w:sz="4" w:space="0" w:color="auto"/>
              <w:right w:val="single" w:sz="4" w:space="0" w:color="auto"/>
            </w:tcBorders>
          </w:tcPr>
          <w:p w14:paraId="34C0EC03" w14:textId="77777777" w:rsidR="00A24C79" w:rsidRPr="008A1770" w:rsidRDefault="00A24C79" w:rsidP="00C97716">
            <w:pPr>
              <w:spacing w:line="360" w:lineRule="auto"/>
              <w:jc w:val="both"/>
              <w:rPr>
                <w:rFonts w:ascii="Book Antiqua" w:hAnsi="Book Antiqua"/>
                <w:lang w:val="en-US"/>
              </w:rPr>
            </w:pPr>
          </w:p>
        </w:tc>
        <w:tc>
          <w:tcPr>
            <w:tcW w:w="1843" w:type="dxa"/>
            <w:tcBorders>
              <w:left w:val="single" w:sz="4" w:space="0" w:color="auto"/>
              <w:right w:val="single" w:sz="4" w:space="0" w:color="auto"/>
            </w:tcBorders>
          </w:tcPr>
          <w:p w14:paraId="682AECFA" w14:textId="77777777" w:rsidR="00A24C79" w:rsidRPr="008A1770" w:rsidRDefault="00A24C79" w:rsidP="00C97716">
            <w:pPr>
              <w:spacing w:line="360" w:lineRule="auto"/>
              <w:jc w:val="both"/>
              <w:rPr>
                <w:rFonts w:ascii="Book Antiqua" w:hAnsi="Book Antiqua"/>
                <w:lang w:val="en-US"/>
              </w:rPr>
            </w:pPr>
          </w:p>
        </w:tc>
      </w:tr>
      <w:tr w:rsidR="0050649F" w:rsidRPr="008A1770" w14:paraId="49752C68" w14:textId="77777777" w:rsidTr="008F4ECE">
        <w:trPr>
          <w:trHeight w:val="621"/>
        </w:trPr>
        <w:tc>
          <w:tcPr>
            <w:tcW w:w="3227" w:type="dxa"/>
            <w:tcBorders>
              <w:left w:val="single" w:sz="4" w:space="0" w:color="auto"/>
              <w:bottom w:val="single" w:sz="4" w:space="0" w:color="auto"/>
              <w:right w:val="single" w:sz="4" w:space="0" w:color="auto"/>
            </w:tcBorders>
          </w:tcPr>
          <w:p w14:paraId="082FFC87"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Maintenance</w:t>
            </w:r>
          </w:p>
          <w:p w14:paraId="33F77C9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 xml:space="preserve">Median </w:t>
            </w:r>
          </w:p>
          <w:p w14:paraId="38748E5E"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(range)</w:t>
            </w:r>
          </w:p>
        </w:tc>
        <w:tc>
          <w:tcPr>
            <w:tcW w:w="1705" w:type="dxa"/>
            <w:tcBorders>
              <w:left w:val="single" w:sz="4" w:space="0" w:color="auto"/>
              <w:bottom w:val="single" w:sz="4" w:space="0" w:color="auto"/>
              <w:right w:val="single" w:sz="4" w:space="0" w:color="auto"/>
            </w:tcBorders>
          </w:tcPr>
          <w:p w14:paraId="6A86853C"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Mixed</w:t>
            </w:r>
          </w:p>
        </w:tc>
        <w:tc>
          <w:tcPr>
            <w:tcW w:w="1839" w:type="dxa"/>
            <w:tcBorders>
              <w:left w:val="single" w:sz="4" w:space="0" w:color="auto"/>
              <w:bottom w:val="single" w:sz="4" w:space="0" w:color="auto"/>
              <w:right w:val="single" w:sz="4" w:space="0" w:color="auto"/>
            </w:tcBorders>
          </w:tcPr>
          <w:p w14:paraId="45B24DE0" w14:textId="77777777" w:rsidR="00A24C79" w:rsidRPr="008A1770" w:rsidRDefault="00A24C79" w:rsidP="00C97716">
            <w:pPr>
              <w:spacing w:line="360" w:lineRule="auto"/>
              <w:jc w:val="both"/>
              <w:rPr>
                <w:rFonts w:ascii="Book Antiqua" w:hAnsi="Book Antiqua"/>
                <w:b/>
                <w:vertAlign w:val="superscript"/>
                <w:lang w:val="en-US"/>
              </w:rPr>
            </w:pPr>
            <w:r w:rsidRPr="008A1770">
              <w:rPr>
                <w:rFonts w:ascii="Book Antiqua" w:hAnsi="Book Antiqua"/>
                <w:b/>
                <w:lang w:val="en-US"/>
              </w:rPr>
              <w:t>49%</w:t>
            </w:r>
          </w:p>
          <w:p w14:paraId="6462669C"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(range 23-75)</w:t>
            </w:r>
            <w:r w:rsidRPr="008A1770">
              <w:rPr>
                <w:rFonts w:ascii="Book Antiqua" w:hAnsi="Book Antiqua"/>
                <w:b/>
                <w:vertAlign w:val="superscript"/>
                <w:lang w:val="en-US"/>
              </w:rPr>
              <w:t>[58,95]</w:t>
            </w:r>
          </w:p>
        </w:tc>
        <w:tc>
          <w:tcPr>
            <w:tcW w:w="1842" w:type="dxa"/>
            <w:tcBorders>
              <w:left w:val="single" w:sz="4" w:space="0" w:color="auto"/>
              <w:bottom w:val="single" w:sz="4" w:space="0" w:color="auto"/>
              <w:right w:val="single" w:sz="4" w:space="0" w:color="auto"/>
            </w:tcBorders>
          </w:tcPr>
          <w:p w14:paraId="2E075F84" w14:textId="77777777" w:rsidR="00A24C79" w:rsidRPr="008A1770" w:rsidRDefault="00A24C79" w:rsidP="00C97716">
            <w:pPr>
              <w:spacing w:line="360" w:lineRule="auto"/>
              <w:jc w:val="both"/>
              <w:rPr>
                <w:rFonts w:ascii="Book Antiqua" w:hAnsi="Book Antiqua"/>
                <w:b/>
                <w:vertAlign w:val="superscript"/>
                <w:lang w:val="en-US"/>
              </w:rPr>
            </w:pPr>
            <w:r w:rsidRPr="008A1770">
              <w:rPr>
                <w:rFonts w:ascii="Book Antiqua" w:hAnsi="Book Antiqua"/>
                <w:b/>
                <w:lang w:val="en-US"/>
              </w:rPr>
              <w:t>72%</w:t>
            </w:r>
          </w:p>
          <w:p w14:paraId="6BE8138E" w14:textId="4A401AC9"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(range 36-83)</w:t>
            </w:r>
            <w:r w:rsidRPr="008A1770">
              <w:rPr>
                <w:rFonts w:ascii="Book Antiqua" w:hAnsi="Book Antiqua"/>
                <w:b/>
                <w:vertAlign w:val="superscript"/>
                <w:lang w:val="en-US"/>
              </w:rPr>
              <w:t>[58,73,95]</w:t>
            </w:r>
          </w:p>
        </w:tc>
        <w:tc>
          <w:tcPr>
            <w:tcW w:w="1843" w:type="dxa"/>
            <w:tcBorders>
              <w:left w:val="single" w:sz="4" w:space="0" w:color="auto"/>
              <w:bottom w:val="single" w:sz="4" w:space="0" w:color="auto"/>
              <w:right w:val="single" w:sz="4" w:space="0" w:color="auto"/>
            </w:tcBorders>
          </w:tcPr>
          <w:p w14:paraId="41432F2A" w14:textId="77777777" w:rsidR="00A24C79" w:rsidRPr="008A1770" w:rsidRDefault="00A24C79" w:rsidP="00C97716">
            <w:pPr>
              <w:spacing w:line="360" w:lineRule="auto"/>
              <w:jc w:val="both"/>
              <w:rPr>
                <w:rFonts w:ascii="Book Antiqua" w:hAnsi="Book Antiqua"/>
                <w:lang w:val="en-US"/>
              </w:rPr>
            </w:pPr>
          </w:p>
        </w:tc>
      </w:tr>
      <w:tr w:rsidR="0050649F" w:rsidRPr="008A1770" w14:paraId="5CD01E73" w14:textId="77777777" w:rsidTr="008F4ECE">
        <w:tc>
          <w:tcPr>
            <w:tcW w:w="3227" w:type="dxa"/>
            <w:tcBorders>
              <w:top w:val="single" w:sz="4" w:space="0" w:color="auto"/>
              <w:left w:val="single" w:sz="4" w:space="0" w:color="auto"/>
              <w:bottom w:val="single" w:sz="4" w:space="0" w:color="auto"/>
              <w:right w:val="single" w:sz="4" w:space="0" w:color="auto"/>
            </w:tcBorders>
          </w:tcPr>
          <w:p w14:paraId="2F357CEE"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bottom w:val="single" w:sz="4" w:space="0" w:color="auto"/>
              <w:right w:val="single" w:sz="4" w:space="0" w:color="auto"/>
            </w:tcBorders>
          </w:tcPr>
          <w:p w14:paraId="3206868F" w14:textId="5D63BD19"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CD</w:t>
            </w:r>
          </w:p>
        </w:tc>
        <w:tc>
          <w:tcPr>
            <w:tcW w:w="1839" w:type="dxa"/>
            <w:tcBorders>
              <w:top w:val="single" w:sz="4" w:space="0" w:color="auto"/>
              <w:left w:val="single" w:sz="4" w:space="0" w:color="auto"/>
              <w:bottom w:val="single" w:sz="4" w:space="0" w:color="auto"/>
              <w:right w:val="single" w:sz="4" w:space="0" w:color="auto"/>
            </w:tcBorders>
          </w:tcPr>
          <w:p w14:paraId="3F64FC75"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75%</w:t>
            </w:r>
            <w:r w:rsidRPr="008A1770">
              <w:rPr>
                <w:rFonts w:ascii="Book Antiqua" w:hAnsi="Book Antiqua"/>
                <w:vertAlign w:val="superscript"/>
                <w:lang w:val="en-US"/>
              </w:rPr>
              <w:t>[95]</w:t>
            </w:r>
          </w:p>
        </w:tc>
        <w:tc>
          <w:tcPr>
            <w:tcW w:w="1842" w:type="dxa"/>
            <w:tcBorders>
              <w:top w:val="single" w:sz="4" w:space="0" w:color="auto"/>
              <w:left w:val="single" w:sz="4" w:space="0" w:color="auto"/>
              <w:bottom w:val="single" w:sz="4" w:space="0" w:color="auto"/>
              <w:right w:val="single" w:sz="4" w:space="0" w:color="auto"/>
            </w:tcBorders>
          </w:tcPr>
          <w:p w14:paraId="2035EC8C" w14:textId="77777777" w:rsidR="00A24C79" w:rsidRPr="008A1770" w:rsidRDefault="00A24C79" w:rsidP="00C97716">
            <w:pPr>
              <w:spacing w:line="360" w:lineRule="auto"/>
              <w:jc w:val="both"/>
              <w:rPr>
                <w:rFonts w:ascii="Book Antiqua" w:hAnsi="Book Antiqua"/>
                <w:vertAlign w:val="superscript"/>
                <w:lang w:val="en-US"/>
              </w:rPr>
            </w:pPr>
            <w:r w:rsidRPr="008A1770">
              <w:rPr>
                <w:rFonts w:ascii="Book Antiqua" w:hAnsi="Book Antiqua"/>
                <w:lang w:val="en-US"/>
              </w:rPr>
              <w:t>77.5%</w:t>
            </w:r>
            <w:r w:rsidRPr="008A1770">
              <w:rPr>
                <w:rFonts w:ascii="Book Antiqua" w:hAnsi="Book Antiqua"/>
                <w:vertAlign w:val="superscript"/>
                <w:lang w:val="en-US"/>
              </w:rPr>
              <w:t>[73,95]</w:t>
            </w:r>
          </w:p>
          <w:p w14:paraId="4FC07ABE"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lastRenderedPageBreak/>
              <w:t>(range 72-83)</w:t>
            </w:r>
          </w:p>
        </w:tc>
        <w:tc>
          <w:tcPr>
            <w:tcW w:w="1843" w:type="dxa"/>
            <w:tcBorders>
              <w:top w:val="single" w:sz="4" w:space="0" w:color="auto"/>
              <w:left w:val="single" w:sz="4" w:space="0" w:color="auto"/>
              <w:bottom w:val="single" w:sz="4" w:space="0" w:color="auto"/>
              <w:right w:val="single" w:sz="4" w:space="0" w:color="auto"/>
            </w:tcBorders>
          </w:tcPr>
          <w:p w14:paraId="2631BA98" w14:textId="77777777" w:rsidR="00A24C79" w:rsidRPr="008A1770" w:rsidRDefault="00A24C79" w:rsidP="00C97716">
            <w:pPr>
              <w:spacing w:line="360" w:lineRule="auto"/>
              <w:jc w:val="both"/>
              <w:rPr>
                <w:rFonts w:ascii="Book Antiqua" w:hAnsi="Book Antiqua"/>
                <w:lang w:val="en-US"/>
              </w:rPr>
            </w:pPr>
          </w:p>
        </w:tc>
      </w:tr>
      <w:tr w:rsidR="0050649F" w:rsidRPr="008A1770" w14:paraId="2924CA3D" w14:textId="77777777" w:rsidTr="008F4ECE">
        <w:tc>
          <w:tcPr>
            <w:tcW w:w="3227" w:type="dxa"/>
            <w:tcBorders>
              <w:top w:val="single" w:sz="4" w:space="0" w:color="auto"/>
              <w:left w:val="single" w:sz="4" w:space="0" w:color="auto"/>
              <w:right w:val="single" w:sz="4" w:space="0" w:color="auto"/>
            </w:tcBorders>
          </w:tcPr>
          <w:p w14:paraId="372D1BB0"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right w:val="single" w:sz="4" w:space="0" w:color="auto"/>
            </w:tcBorders>
          </w:tcPr>
          <w:p w14:paraId="588BF6B8" w14:textId="612C7A8F"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UC</w:t>
            </w:r>
          </w:p>
        </w:tc>
        <w:tc>
          <w:tcPr>
            <w:tcW w:w="1839" w:type="dxa"/>
            <w:tcBorders>
              <w:top w:val="single" w:sz="4" w:space="0" w:color="auto"/>
              <w:left w:val="single" w:sz="4" w:space="0" w:color="auto"/>
              <w:right w:val="single" w:sz="4" w:space="0" w:color="auto"/>
            </w:tcBorders>
          </w:tcPr>
          <w:p w14:paraId="0C84CB23"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23%</w:t>
            </w:r>
            <w:r w:rsidRPr="008A1770">
              <w:rPr>
                <w:rFonts w:ascii="Book Antiqua" w:hAnsi="Book Antiqua"/>
                <w:vertAlign w:val="superscript"/>
                <w:lang w:val="en-US"/>
              </w:rPr>
              <w:t>[58]</w:t>
            </w:r>
          </w:p>
        </w:tc>
        <w:tc>
          <w:tcPr>
            <w:tcW w:w="1842" w:type="dxa"/>
            <w:tcBorders>
              <w:top w:val="single" w:sz="4" w:space="0" w:color="auto"/>
              <w:left w:val="single" w:sz="4" w:space="0" w:color="auto"/>
              <w:right w:val="single" w:sz="4" w:space="0" w:color="auto"/>
            </w:tcBorders>
          </w:tcPr>
          <w:p w14:paraId="5D71AC78"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36%</w:t>
            </w:r>
            <w:r w:rsidRPr="008A1770">
              <w:rPr>
                <w:rFonts w:ascii="Book Antiqua" w:hAnsi="Book Antiqua"/>
                <w:vertAlign w:val="superscript"/>
                <w:lang w:val="en-US"/>
              </w:rPr>
              <w:t>[58]</w:t>
            </w:r>
          </w:p>
        </w:tc>
        <w:tc>
          <w:tcPr>
            <w:tcW w:w="1843" w:type="dxa"/>
            <w:tcBorders>
              <w:top w:val="single" w:sz="4" w:space="0" w:color="auto"/>
              <w:left w:val="single" w:sz="4" w:space="0" w:color="auto"/>
              <w:right w:val="single" w:sz="4" w:space="0" w:color="auto"/>
            </w:tcBorders>
          </w:tcPr>
          <w:p w14:paraId="6CF25E9E" w14:textId="77777777" w:rsidR="00A24C79" w:rsidRPr="008A1770" w:rsidRDefault="00A24C79" w:rsidP="00C97716">
            <w:pPr>
              <w:spacing w:line="360" w:lineRule="auto"/>
              <w:jc w:val="both"/>
              <w:rPr>
                <w:rFonts w:ascii="Book Antiqua" w:hAnsi="Book Antiqua"/>
                <w:lang w:val="en-US"/>
              </w:rPr>
            </w:pPr>
          </w:p>
        </w:tc>
      </w:tr>
      <w:tr w:rsidR="0050649F" w:rsidRPr="008A1770" w14:paraId="0FED1D46" w14:textId="77777777" w:rsidTr="008F4ECE">
        <w:tc>
          <w:tcPr>
            <w:tcW w:w="3227" w:type="dxa"/>
            <w:tcBorders>
              <w:left w:val="single" w:sz="4" w:space="0" w:color="auto"/>
              <w:bottom w:val="single" w:sz="4" w:space="0" w:color="auto"/>
              <w:right w:val="single" w:sz="4" w:space="0" w:color="auto"/>
            </w:tcBorders>
          </w:tcPr>
          <w:p w14:paraId="036F3CF0"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De-escalation</w:t>
            </w:r>
          </w:p>
          <w:p w14:paraId="5D816E32" w14:textId="77777777" w:rsidR="00A24C79" w:rsidRPr="0050649F" w:rsidRDefault="00A24C79" w:rsidP="00C97716">
            <w:pPr>
              <w:spacing w:line="360" w:lineRule="auto"/>
              <w:jc w:val="both"/>
              <w:rPr>
                <w:rFonts w:ascii="Book Antiqua" w:hAnsi="Book Antiqua"/>
                <w:b/>
                <w:lang w:val="en-US"/>
              </w:rPr>
            </w:pPr>
          </w:p>
          <w:p w14:paraId="496D580B"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Median</w:t>
            </w:r>
          </w:p>
          <w:p w14:paraId="02D77CB6"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lang w:val="en-US"/>
              </w:rPr>
              <w:t>(range)</w:t>
            </w:r>
          </w:p>
        </w:tc>
        <w:tc>
          <w:tcPr>
            <w:tcW w:w="1705" w:type="dxa"/>
            <w:tcBorders>
              <w:left w:val="single" w:sz="4" w:space="0" w:color="auto"/>
              <w:bottom w:val="single" w:sz="4" w:space="0" w:color="auto"/>
              <w:right w:val="single" w:sz="4" w:space="0" w:color="auto"/>
            </w:tcBorders>
          </w:tcPr>
          <w:p w14:paraId="1FD7F603"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Mixed</w:t>
            </w:r>
          </w:p>
        </w:tc>
        <w:tc>
          <w:tcPr>
            <w:tcW w:w="1839" w:type="dxa"/>
            <w:tcBorders>
              <w:left w:val="single" w:sz="4" w:space="0" w:color="auto"/>
              <w:bottom w:val="single" w:sz="4" w:space="0" w:color="auto"/>
              <w:right w:val="single" w:sz="4" w:space="0" w:color="auto"/>
            </w:tcBorders>
          </w:tcPr>
          <w:p w14:paraId="3B0584CB"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35%</w:t>
            </w:r>
          </w:p>
          <w:p w14:paraId="5DC436F6" w14:textId="6D007586" w:rsidR="00A24C79" w:rsidRPr="008A1770" w:rsidRDefault="008A1770" w:rsidP="00C97716">
            <w:pPr>
              <w:spacing w:line="360" w:lineRule="auto"/>
              <w:jc w:val="both"/>
              <w:rPr>
                <w:rFonts w:ascii="Book Antiqua" w:hAnsi="Book Antiqua"/>
                <w:vertAlign w:val="superscript"/>
                <w:lang w:val="en-US"/>
              </w:rPr>
            </w:pPr>
            <w:r w:rsidRPr="008A1770">
              <w:rPr>
                <w:rFonts w:ascii="Book Antiqua" w:hAnsi="Book Antiqua"/>
                <w:lang w:val="en-US"/>
              </w:rPr>
              <w:t>(range 4-45)</w:t>
            </w:r>
            <w:r w:rsidR="00A24C79" w:rsidRPr="008A1770">
              <w:rPr>
                <w:rFonts w:ascii="Book Antiqua" w:hAnsi="Book Antiqua"/>
                <w:vertAlign w:val="superscript"/>
                <w:lang w:val="en-US"/>
              </w:rPr>
              <w:t>[76</w:t>
            </w:r>
            <w:r w:rsidRPr="008A1770">
              <w:rPr>
                <w:rFonts w:ascii="Book Antiqua" w:eastAsia="宋体" w:hAnsi="Book Antiqua" w:hint="eastAsia"/>
                <w:vertAlign w:val="superscript"/>
                <w:lang w:val="en-US" w:eastAsia="zh-CN"/>
              </w:rPr>
              <w:t>-</w:t>
            </w:r>
            <w:r w:rsidR="00A24C79" w:rsidRPr="008A1770">
              <w:rPr>
                <w:rFonts w:ascii="Book Antiqua" w:hAnsi="Book Antiqua"/>
                <w:vertAlign w:val="superscript"/>
                <w:lang w:val="en-US"/>
              </w:rPr>
              <w:t>80,82,84</w:t>
            </w:r>
            <w:r w:rsidRPr="008A1770">
              <w:rPr>
                <w:rFonts w:ascii="Book Antiqua" w:eastAsia="宋体" w:hAnsi="Book Antiqua" w:hint="eastAsia"/>
                <w:vertAlign w:val="superscript"/>
                <w:lang w:val="en-US" w:eastAsia="zh-CN"/>
              </w:rPr>
              <w:t>-</w:t>
            </w:r>
            <w:r w:rsidR="00A24C79" w:rsidRPr="008A1770">
              <w:rPr>
                <w:rFonts w:ascii="Book Antiqua" w:hAnsi="Book Antiqua"/>
                <w:vertAlign w:val="superscript"/>
                <w:lang w:val="en-US"/>
              </w:rPr>
              <w:t>86]</w:t>
            </w:r>
          </w:p>
          <w:p w14:paraId="4B7D65B1" w14:textId="77777777" w:rsidR="00A24C79" w:rsidRPr="008A1770" w:rsidRDefault="00A24C79" w:rsidP="00C97716">
            <w:pPr>
              <w:spacing w:line="360" w:lineRule="auto"/>
              <w:jc w:val="both"/>
              <w:rPr>
                <w:rFonts w:ascii="Book Antiqua" w:hAnsi="Book Antiqua"/>
                <w:lang w:val="en-US"/>
              </w:rPr>
            </w:pPr>
          </w:p>
        </w:tc>
        <w:tc>
          <w:tcPr>
            <w:tcW w:w="1842" w:type="dxa"/>
            <w:tcBorders>
              <w:left w:val="single" w:sz="4" w:space="0" w:color="auto"/>
              <w:bottom w:val="single" w:sz="4" w:space="0" w:color="auto"/>
              <w:right w:val="single" w:sz="4" w:space="0" w:color="auto"/>
            </w:tcBorders>
          </w:tcPr>
          <w:p w14:paraId="24B3077A"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48.5%</w:t>
            </w:r>
          </w:p>
          <w:p w14:paraId="03329470" w14:textId="11EB5EB0"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(range 7-80)</w:t>
            </w:r>
            <w:r w:rsidRPr="008A1770">
              <w:rPr>
                <w:rFonts w:ascii="Book Antiqua" w:hAnsi="Book Antiqua"/>
                <w:vertAlign w:val="superscript"/>
                <w:lang w:val="en-US"/>
              </w:rPr>
              <w:t>[76,84</w:t>
            </w:r>
            <w:r w:rsidR="008A1770" w:rsidRPr="008A1770">
              <w:rPr>
                <w:rFonts w:ascii="Book Antiqua" w:eastAsia="宋体" w:hAnsi="Book Antiqua" w:hint="eastAsia"/>
                <w:vertAlign w:val="superscript"/>
                <w:lang w:val="en-US" w:eastAsia="zh-CN"/>
              </w:rPr>
              <w:t>-</w:t>
            </w:r>
            <w:r w:rsidRPr="008A1770">
              <w:rPr>
                <w:rFonts w:ascii="Book Antiqua" w:hAnsi="Book Antiqua"/>
                <w:vertAlign w:val="superscript"/>
                <w:lang w:val="en-US"/>
              </w:rPr>
              <w:t>86]</w:t>
            </w:r>
          </w:p>
          <w:p w14:paraId="46753A3E" w14:textId="77777777" w:rsidR="00A24C79" w:rsidRPr="008A1770" w:rsidRDefault="00A24C79" w:rsidP="00C97716">
            <w:pPr>
              <w:spacing w:line="360" w:lineRule="auto"/>
              <w:jc w:val="both"/>
              <w:rPr>
                <w:rFonts w:ascii="Book Antiqua" w:hAnsi="Book Antiqua"/>
                <w:lang w:val="en-US"/>
              </w:rPr>
            </w:pPr>
          </w:p>
        </w:tc>
        <w:tc>
          <w:tcPr>
            <w:tcW w:w="1843" w:type="dxa"/>
            <w:tcBorders>
              <w:left w:val="single" w:sz="4" w:space="0" w:color="auto"/>
              <w:bottom w:val="single" w:sz="4" w:space="0" w:color="auto"/>
              <w:right w:val="single" w:sz="4" w:space="0" w:color="auto"/>
            </w:tcBorders>
          </w:tcPr>
          <w:p w14:paraId="1A484727" w14:textId="77777777" w:rsidR="00A24C79" w:rsidRPr="008A1770" w:rsidRDefault="00A24C79" w:rsidP="00C97716">
            <w:pPr>
              <w:spacing w:line="360" w:lineRule="auto"/>
              <w:jc w:val="both"/>
              <w:rPr>
                <w:rFonts w:ascii="Book Antiqua" w:hAnsi="Book Antiqua"/>
                <w:b/>
                <w:lang w:val="en-US"/>
              </w:rPr>
            </w:pPr>
            <w:r w:rsidRPr="008A1770">
              <w:rPr>
                <w:rFonts w:ascii="Book Antiqua" w:hAnsi="Book Antiqua"/>
                <w:b/>
                <w:lang w:val="en-US"/>
              </w:rPr>
              <w:t>46%</w:t>
            </w:r>
          </w:p>
          <w:p w14:paraId="61DE597D"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(range 27-65)</w:t>
            </w:r>
            <w:r w:rsidRPr="008A1770">
              <w:rPr>
                <w:rFonts w:ascii="Book Antiqua" w:hAnsi="Book Antiqua"/>
                <w:vertAlign w:val="superscript"/>
                <w:lang w:val="en-US"/>
              </w:rPr>
              <w:t>[84,86]</w:t>
            </w:r>
          </w:p>
          <w:p w14:paraId="2A1C04B3" w14:textId="77777777" w:rsidR="00A24C79" w:rsidRPr="008A1770" w:rsidRDefault="00A24C79" w:rsidP="00C97716">
            <w:pPr>
              <w:spacing w:line="360" w:lineRule="auto"/>
              <w:jc w:val="both"/>
              <w:rPr>
                <w:rFonts w:ascii="Book Antiqua" w:hAnsi="Book Antiqua"/>
                <w:lang w:val="en-US"/>
              </w:rPr>
            </w:pPr>
          </w:p>
        </w:tc>
      </w:tr>
      <w:tr w:rsidR="0050649F" w:rsidRPr="008A1770" w14:paraId="410647FD" w14:textId="77777777" w:rsidTr="008F4ECE">
        <w:trPr>
          <w:trHeight w:val="758"/>
        </w:trPr>
        <w:tc>
          <w:tcPr>
            <w:tcW w:w="3227" w:type="dxa"/>
            <w:tcBorders>
              <w:top w:val="single" w:sz="4" w:space="0" w:color="auto"/>
              <w:left w:val="single" w:sz="4" w:space="0" w:color="auto"/>
              <w:bottom w:val="single" w:sz="4" w:space="0" w:color="auto"/>
              <w:right w:val="single" w:sz="4" w:space="0" w:color="auto"/>
            </w:tcBorders>
          </w:tcPr>
          <w:p w14:paraId="1688BC88" w14:textId="77777777" w:rsidR="00A24C79" w:rsidRPr="0050649F" w:rsidRDefault="00A24C79" w:rsidP="00C97716">
            <w:pPr>
              <w:spacing w:line="360" w:lineRule="auto"/>
              <w:jc w:val="both"/>
              <w:rPr>
                <w:rFonts w:ascii="Book Antiqua" w:hAnsi="Book Antiqua"/>
                <w:i/>
              </w:rPr>
            </w:pPr>
          </w:p>
        </w:tc>
        <w:tc>
          <w:tcPr>
            <w:tcW w:w="1705" w:type="dxa"/>
            <w:tcBorders>
              <w:top w:val="single" w:sz="4" w:space="0" w:color="auto"/>
              <w:left w:val="single" w:sz="4" w:space="0" w:color="auto"/>
              <w:bottom w:val="single" w:sz="4" w:space="0" w:color="auto"/>
              <w:right w:val="single" w:sz="4" w:space="0" w:color="auto"/>
            </w:tcBorders>
          </w:tcPr>
          <w:p w14:paraId="16B5666E" w14:textId="36182131"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CD</w:t>
            </w:r>
          </w:p>
        </w:tc>
        <w:tc>
          <w:tcPr>
            <w:tcW w:w="1839" w:type="dxa"/>
            <w:tcBorders>
              <w:top w:val="single" w:sz="4" w:space="0" w:color="auto"/>
              <w:left w:val="single" w:sz="4" w:space="0" w:color="auto"/>
              <w:bottom w:val="single" w:sz="4" w:space="0" w:color="auto"/>
              <w:right w:val="single" w:sz="4" w:space="0" w:color="auto"/>
            </w:tcBorders>
          </w:tcPr>
          <w:p w14:paraId="48274634"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37,5%</w:t>
            </w:r>
          </w:p>
          <w:p w14:paraId="25BD143B" w14:textId="413AE772"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 xml:space="preserve">(range 4-45) </w:t>
            </w:r>
            <w:r w:rsidRPr="008A1770">
              <w:rPr>
                <w:rFonts w:ascii="Book Antiqua" w:hAnsi="Book Antiqua"/>
                <w:vertAlign w:val="superscript"/>
                <w:lang w:val="en-US"/>
              </w:rPr>
              <w:t>[76,77,80,84</w:t>
            </w:r>
            <w:r w:rsidR="008A1770" w:rsidRPr="008A1770">
              <w:rPr>
                <w:rFonts w:ascii="Book Antiqua" w:eastAsia="宋体" w:hAnsi="Book Antiqua" w:hint="eastAsia"/>
                <w:vertAlign w:val="superscript"/>
                <w:lang w:val="en-US" w:eastAsia="zh-CN"/>
              </w:rPr>
              <w:t>-</w:t>
            </w:r>
            <w:r w:rsidRPr="008A1770">
              <w:rPr>
                <w:rFonts w:ascii="Book Antiqua" w:hAnsi="Book Antiqua"/>
                <w:vertAlign w:val="superscript"/>
                <w:lang w:val="en-US"/>
              </w:rPr>
              <w:t xml:space="preserve">86]  </w:t>
            </w:r>
          </w:p>
          <w:p w14:paraId="61BDDF04" w14:textId="77777777" w:rsidR="00A24C79" w:rsidRPr="008A1770" w:rsidRDefault="00A24C79" w:rsidP="00C97716">
            <w:pPr>
              <w:spacing w:line="360" w:lineRule="auto"/>
              <w:jc w:val="both"/>
              <w:rPr>
                <w:rFonts w:ascii="Book Antiqua" w:hAnsi="Book Antiqua"/>
                <w:lang w:val="en-US"/>
              </w:rPr>
            </w:pPr>
          </w:p>
        </w:tc>
        <w:tc>
          <w:tcPr>
            <w:tcW w:w="1842" w:type="dxa"/>
            <w:tcBorders>
              <w:top w:val="single" w:sz="4" w:space="0" w:color="auto"/>
              <w:left w:val="single" w:sz="4" w:space="0" w:color="auto"/>
              <w:bottom w:val="single" w:sz="4" w:space="0" w:color="auto"/>
              <w:right w:val="single" w:sz="4" w:space="0" w:color="auto"/>
            </w:tcBorders>
          </w:tcPr>
          <w:p w14:paraId="4C219683"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48.5%</w:t>
            </w:r>
          </w:p>
          <w:p w14:paraId="3F97F54F" w14:textId="3E088108"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 xml:space="preserve">(range 7-80) </w:t>
            </w:r>
            <w:r w:rsidRPr="008A1770">
              <w:rPr>
                <w:rFonts w:ascii="Book Antiqua" w:hAnsi="Book Antiqua"/>
                <w:vertAlign w:val="superscript"/>
                <w:lang w:val="en-US"/>
              </w:rPr>
              <w:t>[76,84</w:t>
            </w:r>
            <w:r w:rsidR="008A1770" w:rsidRPr="008A1770">
              <w:rPr>
                <w:rFonts w:ascii="Book Antiqua" w:eastAsia="宋体" w:hAnsi="Book Antiqua" w:hint="eastAsia"/>
                <w:vertAlign w:val="superscript"/>
                <w:lang w:val="en-US" w:eastAsia="zh-CN"/>
              </w:rPr>
              <w:t>-</w:t>
            </w:r>
            <w:r w:rsidRPr="008A1770">
              <w:rPr>
                <w:rFonts w:ascii="Book Antiqua" w:hAnsi="Book Antiqua"/>
                <w:vertAlign w:val="superscript"/>
                <w:lang w:val="en-US"/>
              </w:rPr>
              <w:t>86]</w:t>
            </w:r>
          </w:p>
          <w:p w14:paraId="43AAA9BF" w14:textId="77777777" w:rsidR="00A24C79" w:rsidRPr="008A1770" w:rsidRDefault="00A24C79" w:rsidP="00C97716">
            <w:pPr>
              <w:spacing w:line="360" w:lineRule="auto"/>
              <w:jc w:val="both"/>
              <w:rPr>
                <w:rFonts w:ascii="Book Antiqua" w:hAnsi="Book Antiqua"/>
                <w:lang w:val="en-US"/>
              </w:rPr>
            </w:pPr>
          </w:p>
        </w:tc>
        <w:tc>
          <w:tcPr>
            <w:tcW w:w="1843" w:type="dxa"/>
            <w:tcBorders>
              <w:top w:val="single" w:sz="4" w:space="0" w:color="auto"/>
              <w:left w:val="single" w:sz="4" w:space="0" w:color="auto"/>
              <w:bottom w:val="single" w:sz="4" w:space="0" w:color="auto"/>
              <w:right w:val="single" w:sz="4" w:space="0" w:color="auto"/>
            </w:tcBorders>
          </w:tcPr>
          <w:p w14:paraId="053EDA42"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46%</w:t>
            </w:r>
          </w:p>
          <w:p w14:paraId="5747CF98"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(range 27-65)</w:t>
            </w:r>
            <w:r w:rsidRPr="008A1770">
              <w:rPr>
                <w:rFonts w:ascii="Book Antiqua" w:hAnsi="Book Antiqua"/>
                <w:vertAlign w:val="superscript"/>
                <w:lang w:val="en-US"/>
              </w:rPr>
              <w:t>[84,86]</w:t>
            </w:r>
          </w:p>
          <w:p w14:paraId="78F3EE34" w14:textId="77777777" w:rsidR="00A24C79" w:rsidRPr="008A1770" w:rsidRDefault="00A24C79" w:rsidP="00C97716">
            <w:pPr>
              <w:spacing w:line="360" w:lineRule="auto"/>
              <w:jc w:val="both"/>
              <w:rPr>
                <w:rFonts w:ascii="Book Antiqua" w:hAnsi="Book Antiqua"/>
                <w:lang w:val="en-US"/>
              </w:rPr>
            </w:pPr>
          </w:p>
        </w:tc>
      </w:tr>
      <w:tr w:rsidR="0050649F" w:rsidRPr="008A1770" w14:paraId="7640D174" w14:textId="77777777" w:rsidTr="008F4ECE">
        <w:tc>
          <w:tcPr>
            <w:tcW w:w="3227" w:type="dxa"/>
            <w:tcBorders>
              <w:top w:val="single" w:sz="4" w:space="0" w:color="auto"/>
              <w:left w:val="single" w:sz="4" w:space="0" w:color="auto"/>
              <w:right w:val="single" w:sz="4" w:space="0" w:color="auto"/>
            </w:tcBorders>
          </w:tcPr>
          <w:p w14:paraId="29047B92" w14:textId="77777777" w:rsidR="00A24C79" w:rsidRPr="0050649F" w:rsidRDefault="00A24C79" w:rsidP="00C97716">
            <w:pPr>
              <w:spacing w:line="360" w:lineRule="auto"/>
              <w:jc w:val="both"/>
              <w:rPr>
                <w:rFonts w:ascii="Book Antiqua" w:hAnsi="Book Antiqua"/>
                <w:i/>
                <w:lang w:val="en-US"/>
              </w:rPr>
            </w:pPr>
          </w:p>
        </w:tc>
        <w:tc>
          <w:tcPr>
            <w:tcW w:w="1705" w:type="dxa"/>
            <w:tcBorders>
              <w:top w:val="single" w:sz="4" w:space="0" w:color="auto"/>
              <w:left w:val="single" w:sz="4" w:space="0" w:color="auto"/>
              <w:right w:val="single" w:sz="4" w:space="0" w:color="auto"/>
            </w:tcBorders>
          </w:tcPr>
          <w:p w14:paraId="2C054E88" w14:textId="58DC7494" w:rsidR="00A24C79" w:rsidRPr="008A1770" w:rsidRDefault="008A1770" w:rsidP="00C97716">
            <w:pPr>
              <w:spacing w:line="360" w:lineRule="auto"/>
              <w:jc w:val="both"/>
              <w:rPr>
                <w:rFonts w:ascii="Book Antiqua" w:hAnsi="Book Antiqua"/>
                <w:lang w:val="en-US"/>
              </w:rPr>
            </w:pPr>
            <w:r w:rsidRPr="008A1770">
              <w:rPr>
                <w:rFonts w:ascii="Book Antiqua" w:hAnsi="Book Antiqua"/>
                <w:lang w:val="en-US"/>
              </w:rPr>
              <w:t>O</w:t>
            </w:r>
            <w:r w:rsidR="00A24C79" w:rsidRPr="008A1770">
              <w:rPr>
                <w:rFonts w:ascii="Book Antiqua" w:hAnsi="Book Antiqua"/>
                <w:lang w:val="en-US"/>
              </w:rPr>
              <w:t>nly UC</w:t>
            </w:r>
          </w:p>
        </w:tc>
        <w:tc>
          <w:tcPr>
            <w:tcW w:w="1839" w:type="dxa"/>
            <w:tcBorders>
              <w:top w:val="single" w:sz="4" w:space="0" w:color="auto"/>
              <w:left w:val="single" w:sz="4" w:space="0" w:color="auto"/>
              <w:right w:val="single" w:sz="4" w:space="0" w:color="auto"/>
            </w:tcBorders>
          </w:tcPr>
          <w:p w14:paraId="62A27D9D" w14:textId="0BCDD47D"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30% (range 25-35)</w:t>
            </w:r>
            <w:r w:rsidRPr="008A1770">
              <w:rPr>
                <w:rFonts w:ascii="Book Antiqua" w:hAnsi="Book Antiqua"/>
                <w:vertAlign w:val="superscript"/>
                <w:lang w:val="en-US"/>
              </w:rPr>
              <w:t>[76,78]</w:t>
            </w:r>
          </w:p>
          <w:p w14:paraId="0EB9D172" w14:textId="77777777" w:rsidR="00A24C79" w:rsidRPr="008A1770" w:rsidRDefault="00A24C79" w:rsidP="00C97716">
            <w:pPr>
              <w:spacing w:line="360" w:lineRule="auto"/>
              <w:jc w:val="both"/>
              <w:rPr>
                <w:rFonts w:ascii="Book Antiqua" w:hAnsi="Book Antiqua"/>
                <w:lang w:val="en-US"/>
              </w:rPr>
            </w:pPr>
          </w:p>
        </w:tc>
        <w:tc>
          <w:tcPr>
            <w:tcW w:w="1842" w:type="dxa"/>
            <w:tcBorders>
              <w:top w:val="single" w:sz="4" w:space="0" w:color="auto"/>
              <w:left w:val="single" w:sz="4" w:space="0" w:color="auto"/>
              <w:right w:val="single" w:sz="4" w:space="0" w:color="auto"/>
            </w:tcBorders>
          </w:tcPr>
          <w:p w14:paraId="09A4BAFD" w14:textId="77777777" w:rsidR="00A24C79" w:rsidRPr="008A1770" w:rsidRDefault="00A24C79" w:rsidP="00C97716">
            <w:pPr>
              <w:spacing w:line="360" w:lineRule="auto"/>
              <w:jc w:val="both"/>
              <w:rPr>
                <w:rFonts w:ascii="Book Antiqua" w:hAnsi="Book Antiqua"/>
                <w:lang w:val="en-US"/>
              </w:rPr>
            </w:pPr>
            <w:r w:rsidRPr="008A1770">
              <w:rPr>
                <w:rFonts w:ascii="Book Antiqua" w:hAnsi="Book Antiqua"/>
                <w:lang w:val="en-US"/>
              </w:rPr>
              <w:t>60%</w:t>
            </w:r>
            <w:r w:rsidRPr="008A1770">
              <w:rPr>
                <w:rFonts w:ascii="Book Antiqua" w:hAnsi="Book Antiqua"/>
                <w:vertAlign w:val="superscript"/>
                <w:lang w:val="en-US"/>
              </w:rPr>
              <w:t>[76]</w:t>
            </w:r>
          </w:p>
        </w:tc>
        <w:tc>
          <w:tcPr>
            <w:tcW w:w="1843" w:type="dxa"/>
            <w:tcBorders>
              <w:top w:val="single" w:sz="4" w:space="0" w:color="auto"/>
              <w:left w:val="single" w:sz="4" w:space="0" w:color="auto"/>
              <w:right w:val="single" w:sz="4" w:space="0" w:color="auto"/>
            </w:tcBorders>
          </w:tcPr>
          <w:p w14:paraId="0FA634B6" w14:textId="77777777" w:rsidR="00A24C79" w:rsidRPr="008A1770" w:rsidRDefault="00A24C79" w:rsidP="00C97716">
            <w:pPr>
              <w:spacing w:line="360" w:lineRule="auto"/>
              <w:jc w:val="both"/>
              <w:rPr>
                <w:rFonts w:ascii="Book Antiqua" w:hAnsi="Book Antiqua"/>
                <w:lang w:val="en-US"/>
              </w:rPr>
            </w:pPr>
          </w:p>
        </w:tc>
      </w:tr>
      <w:tr w:rsidR="0050649F" w:rsidRPr="0050649F" w14:paraId="3770A18C" w14:textId="77777777" w:rsidTr="008F4ECE">
        <w:tc>
          <w:tcPr>
            <w:tcW w:w="3227" w:type="dxa"/>
            <w:tcBorders>
              <w:left w:val="single" w:sz="4" w:space="0" w:color="auto"/>
              <w:right w:val="single" w:sz="4" w:space="0" w:color="auto"/>
            </w:tcBorders>
          </w:tcPr>
          <w:p w14:paraId="2FB036D8"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Combination therapy</w:t>
            </w:r>
          </w:p>
        </w:tc>
        <w:tc>
          <w:tcPr>
            <w:tcW w:w="1705" w:type="dxa"/>
            <w:tcBorders>
              <w:left w:val="single" w:sz="4" w:space="0" w:color="auto"/>
              <w:right w:val="single" w:sz="4" w:space="0" w:color="auto"/>
            </w:tcBorders>
          </w:tcPr>
          <w:p w14:paraId="1634BEEF"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362 CD</w:t>
            </w:r>
          </w:p>
          <w:p w14:paraId="008D8EBA" w14:textId="77777777" w:rsidR="00A24C79" w:rsidRPr="0050649F" w:rsidRDefault="00A24C79" w:rsidP="00C97716">
            <w:pPr>
              <w:spacing w:line="360" w:lineRule="auto"/>
              <w:jc w:val="both"/>
              <w:rPr>
                <w:rFonts w:ascii="Book Antiqua" w:hAnsi="Book Antiqua"/>
                <w:b/>
                <w:lang w:val="en-US"/>
              </w:rPr>
            </w:pPr>
          </w:p>
        </w:tc>
        <w:tc>
          <w:tcPr>
            <w:tcW w:w="1839" w:type="dxa"/>
            <w:tcBorders>
              <w:left w:val="single" w:sz="4" w:space="0" w:color="auto"/>
              <w:right w:val="single" w:sz="4" w:space="0" w:color="auto"/>
            </w:tcBorders>
          </w:tcPr>
          <w:p w14:paraId="51A91603" w14:textId="77777777" w:rsidR="00A24C79" w:rsidRPr="0050649F" w:rsidRDefault="00A24C79" w:rsidP="00C97716">
            <w:pPr>
              <w:spacing w:line="360" w:lineRule="auto"/>
              <w:jc w:val="both"/>
              <w:rPr>
                <w:rFonts w:ascii="Book Antiqua" w:hAnsi="Book Antiqua"/>
                <w:lang w:val="en-US"/>
              </w:rPr>
            </w:pPr>
          </w:p>
        </w:tc>
        <w:tc>
          <w:tcPr>
            <w:tcW w:w="1842" w:type="dxa"/>
            <w:tcBorders>
              <w:left w:val="single" w:sz="4" w:space="0" w:color="auto"/>
              <w:right w:val="single" w:sz="4" w:space="0" w:color="auto"/>
            </w:tcBorders>
          </w:tcPr>
          <w:p w14:paraId="5EBE63E1" w14:textId="77777777" w:rsidR="00A24C79" w:rsidRPr="0050649F" w:rsidRDefault="00A24C79" w:rsidP="00C97716">
            <w:pPr>
              <w:spacing w:line="360" w:lineRule="auto"/>
              <w:jc w:val="both"/>
              <w:rPr>
                <w:rFonts w:ascii="Book Antiqua" w:hAnsi="Book Antiqua"/>
                <w:lang w:val="en-US"/>
              </w:rPr>
            </w:pPr>
          </w:p>
        </w:tc>
        <w:tc>
          <w:tcPr>
            <w:tcW w:w="1843" w:type="dxa"/>
            <w:tcBorders>
              <w:left w:val="single" w:sz="4" w:space="0" w:color="auto"/>
              <w:right w:val="single" w:sz="4" w:space="0" w:color="auto"/>
            </w:tcBorders>
          </w:tcPr>
          <w:p w14:paraId="490A9E88" w14:textId="77777777" w:rsidR="00A24C79" w:rsidRPr="0050649F" w:rsidRDefault="00A24C79" w:rsidP="00C97716">
            <w:pPr>
              <w:spacing w:line="360" w:lineRule="auto"/>
              <w:jc w:val="both"/>
              <w:rPr>
                <w:rFonts w:ascii="Book Antiqua" w:hAnsi="Book Antiqua"/>
                <w:lang w:val="en-US"/>
              </w:rPr>
            </w:pPr>
          </w:p>
        </w:tc>
      </w:tr>
      <w:tr w:rsidR="0050649F" w:rsidRPr="0050649F" w14:paraId="3B3C9B4A" w14:textId="77777777" w:rsidTr="008F4ECE">
        <w:tc>
          <w:tcPr>
            <w:tcW w:w="3227" w:type="dxa"/>
            <w:tcBorders>
              <w:left w:val="single" w:sz="4" w:space="0" w:color="auto"/>
              <w:right w:val="single" w:sz="4" w:space="0" w:color="auto"/>
            </w:tcBorders>
          </w:tcPr>
          <w:p w14:paraId="76F23F0A"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Anti-TNF de-escalation</w:t>
            </w:r>
          </w:p>
        </w:tc>
        <w:tc>
          <w:tcPr>
            <w:tcW w:w="1705" w:type="dxa"/>
            <w:tcBorders>
              <w:left w:val="single" w:sz="4" w:space="0" w:color="auto"/>
              <w:right w:val="single" w:sz="4" w:space="0" w:color="auto"/>
            </w:tcBorders>
          </w:tcPr>
          <w:p w14:paraId="466951E7"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262 CD</w:t>
            </w:r>
          </w:p>
        </w:tc>
        <w:tc>
          <w:tcPr>
            <w:tcW w:w="1839" w:type="dxa"/>
            <w:tcBorders>
              <w:left w:val="single" w:sz="4" w:space="0" w:color="auto"/>
              <w:right w:val="single" w:sz="4" w:space="0" w:color="auto"/>
            </w:tcBorders>
          </w:tcPr>
          <w:p w14:paraId="5177DAB7"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31%</w:t>
            </w:r>
          </w:p>
          <w:p w14:paraId="7E0E897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(range 30-44)</w:t>
            </w:r>
            <w:r w:rsidRPr="0050649F">
              <w:rPr>
                <w:rFonts w:ascii="Book Antiqua" w:hAnsi="Book Antiqua"/>
                <w:vertAlign w:val="superscript"/>
                <w:lang w:val="en-US"/>
              </w:rPr>
              <w:t>[75,81,88]</w:t>
            </w:r>
          </w:p>
          <w:p w14:paraId="0EBCF5D9" w14:textId="77777777" w:rsidR="00A24C79" w:rsidRPr="0050649F" w:rsidRDefault="00A24C79" w:rsidP="00C97716">
            <w:pPr>
              <w:spacing w:line="360" w:lineRule="auto"/>
              <w:jc w:val="both"/>
              <w:rPr>
                <w:rFonts w:ascii="Book Antiqua" w:hAnsi="Book Antiqua"/>
                <w:lang w:val="en-US"/>
              </w:rPr>
            </w:pPr>
          </w:p>
        </w:tc>
        <w:tc>
          <w:tcPr>
            <w:tcW w:w="1842" w:type="dxa"/>
            <w:tcBorders>
              <w:left w:val="single" w:sz="4" w:space="0" w:color="auto"/>
              <w:right w:val="single" w:sz="4" w:space="0" w:color="auto"/>
            </w:tcBorders>
          </w:tcPr>
          <w:p w14:paraId="0230484C"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50%</w:t>
            </w:r>
          </w:p>
          <w:p w14:paraId="11524382"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(range 48-52)</w:t>
            </w:r>
            <w:r w:rsidRPr="0050649F">
              <w:rPr>
                <w:rFonts w:ascii="Book Antiqua" w:hAnsi="Book Antiqua"/>
                <w:vertAlign w:val="superscript"/>
                <w:lang w:val="en-US"/>
              </w:rPr>
              <w:t>[75,81]</w:t>
            </w:r>
          </w:p>
          <w:p w14:paraId="1BF4990A" w14:textId="77777777" w:rsidR="00A24C79" w:rsidRPr="0050649F" w:rsidRDefault="00A24C79" w:rsidP="00C97716">
            <w:pPr>
              <w:spacing w:line="360" w:lineRule="auto"/>
              <w:jc w:val="both"/>
              <w:rPr>
                <w:rFonts w:ascii="Book Antiqua" w:hAnsi="Book Antiqua"/>
                <w:lang w:val="en-US"/>
              </w:rPr>
            </w:pPr>
          </w:p>
        </w:tc>
        <w:tc>
          <w:tcPr>
            <w:tcW w:w="1843" w:type="dxa"/>
            <w:tcBorders>
              <w:left w:val="single" w:sz="4" w:space="0" w:color="auto"/>
              <w:right w:val="single" w:sz="4" w:space="0" w:color="auto"/>
            </w:tcBorders>
          </w:tcPr>
          <w:p w14:paraId="119FD1B4" w14:textId="77777777" w:rsidR="00A24C79" w:rsidRPr="0050649F" w:rsidRDefault="00A24C79" w:rsidP="00C97716">
            <w:pPr>
              <w:spacing w:line="360" w:lineRule="auto"/>
              <w:jc w:val="both"/>
              <w:rPr>
                <w:rFonts w:ascii="Book Antiqua" w:hAnsi="Book Antiqua"/>
                <w:lang w:val="en-US"/>
              </w:rPr>
            </w:pPr>
          </w:p>
        </w:tc>
      </w:tr>
      <w:tr w:rsidR="0050649F" w:rsidRPr="0050649F" w14:paraId="2CA2B1DD" w14:textId="77777777" w:rsidTr="008F4ECE">
        <w:tc>
          <w:tcPr>
            <w:tcW w:w="3227" w:type="dxa"/>
            <w:tcBorders>
              <w:left w:val="single" w:sz="4" w:space="0" w:color="auto"/>
              <w:right w:val="single" w:sz="4" w:space="0" w:color="auto"/>
            </w:tcBorders>
          </w:tcPr>
          <w:p w14:paraId="1F1E48DE"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Immunomodulator de-escalation</w:t>
            </w:r>
          </w:p>
        </w:tc>
        <w:tc>
          <w:tcPr>
            <w:tcW w:w="1705" w:type="dxa"/>
            <w:tcBorders>
              <w:left w:val="single" w:sz="4" w:space="0" w:color="auto"/>
              <w:right w:val="single" w:sz="4" w:space="0" w:color="auto"/>
            </w:tcBorders>
          </w:tcPr>
          <w:p w14:paraId="67DE1E19" w14:textId="77777777" w:rsidR="00A24C79" w:rsidRPr="0050649F" w:rsidRDefault="00A24C79" w:rsidP="00C97716">
            <w:pPr>
              <w:spacing w:line="360" w:lineRule="auto"/>
              <w:jc w:val="both"/>
              <w:rPr>
                <w:rFonts w:ascii="Book Antiqua" w:hAnsi="Book Antiqua"/>
                <w:lang w:val="en-US"/>
              </w:rPr>
            </w:pPr>
            <w:r w:rsidRPr="0050649F">
              <w:rPr>
                <w:rFonts w:ascii="Book Antiqua" w:hAnsi="Book Antiqua"/>
                <w:lang w:val="en-US"/>
              </w:rPr>
              <w:t>100 CD</w:t>
            </w:r>
          </w:p>
        </w:tc>
        <w:tc>
          <w:tcPr>
            <w:tcW w:w="1839" w:type="dxa"/>
            <w:tcBorders>
              <w:left w:val="single" w:sz="4" w:space="0" w:color="auto"/>
              <w:right w:val="single" w:sz="4" w:space="0" w:color="auto"/>
            </w:tcBorders>
          </w:tcPr>
          <w:p w14:paraId="4F35A0CA"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20%</w:t>
            </w:r>
            <w:r w:rsidRPr="0050649F">
              <w:rPr>
                <w:rFonts w:ascii="Book Antiqua" w:hAnsi="Book Antiqua"/>
                <w:b/>
                <w:vertAlign w:val="superscript"/>
                <w:lang w:val="en-US"/>
              </w:rPr>
              <w:t>[88]</w:t>
            </w:r>
          </w:p>
        </w:tc>
        <w:tc>
          <w:tcPr>
            <w:tcW w:w="1842" w:type="dxa"/>
            <w:tcBorders>
              <w:left w:val="single" w:sz="4" w:space="0" w:color="auto"/>
              <w:right w:val="single" w:sz="4" w:space="0" w:color="auto"/>
            </w:tcBorders>
          </w:tcPr>
          <w:p w14:paraId="57663AF3" w14:textId="77777777" w:rsidR="00A24C79" w:rsidRPr="0050649F" w:rsidRDefault="00A24C79" w:rsidP="00C97716">
            <w:pPr>
              <w:spacing w:line="360" w:lineRule="auto"/>
              <w:jc w:val="both"/>
              <w:rPr>
                <w:rFonts w:ascii="Book Antiqua" w:hAnsi="Book Antiqua"/>
                <w:b/>
                <w:lang w:val="en-US"/>
              </w:rPr>
            </w:pPr>
            <w:r w:rsidRPr="0050649F">
              <w:rPr>
                <w:rFonts w:ascii="Book Antiqua" w:hAnsi="Book Antiqua"/>
                <w:b/>
                <w:lang w:val="en-US"/>
              </w:rPr>
              <w:t>58%</w:t>
            </w:r>
            <w:r w:rsidRPr="0050649F">
              <w:rPr>
                <w:rFonts w:ascii="Book Antiqua" w:hAnsi="Book Antiqua"/>
                <w:b/>
                <w:vertAlign w:val="superscript"/>
                <w:lang w:val="en-US"/>
              </w:rPr>
              <w:t>[73]</w:t>
            </w:r>
          </w:p>
        </w:tc>
        <w:tc>
          <w:tcPr>
            <w:tcW w:w="1843" w:type="dxa"/>
            <w:tcBorders>
              <w:left w:val="single" w:sz="4" w:space="0" w:color="auto"/>
              <w:right w:val="single" w:sz="4" w:space="0" w:color="auto"/>
            </w:tcBorders>
          </w:tcPr>
          <w:p w14:paraId="07F066C1" w14:textId="77777777" w:rsidR="00A24C79" w:rsidRPr="0050649F" w:rsidRDefault="00A24C79" w:rsidP="00C97716">
            <w:pPr>
              <w:spacing w:line="360" w:lineRule="auto"/>
              <w:jc w:val="both"/>
              <w:rPr>
                <w:rFonts w:ascii="Book Antiqua" w:hAnsi="Book Antiqua"/>
                <w:lang w:val="en-US"/>
              </w:rPr>
            </w:pPr>
          </w:p>
        </w:tc>
      </w:tr>
    </w:tbl>
    <w:p w14:paraId="788E2427" w14:textId="77777777" w:rsidR="00A24C79" w:rsidRPr="0050649F" w:rsidRDefault="00A24C79" w:rsidP="00C97716">
      <w:pPr>
        <w:spacing w:line="360" w:lineRule="auto"/>
        <w:jc w:val="both"/>
        <w:rPr>
          <w:rFonts w:ascii="Book Antiqua" w:hAnsi="Book Antiqua"/>
          <w:lang w:val="en-US"/>
        </w:rPr>
      </w:pPr>
    </w:p>
    <w:p w14:paraId="000DE734" w14:textId="496BB4E6" w:rsidR="00A24C79" w:rsidRPr="0050649F" w:rsidRDefault="00022688" w:rsidP="00C97716">
      <w:pPr>
        <w:spacing w:line="360" w:lineRule="auto"/>
        <w:jc w:val="both"/>
        <w:rPr>
          <w:rFonts w:ascii="Book Antiqua" w:hAnsi="Book Antiqua"/>
          <w:b/>
        </w:rPr>
      </w:pPr>
      <w:r w:rsidRPr="0050649F">
        <w:rPr>
          <w:rFonts w:ascii="Book Antiqua" w:hAnsi="Book Antiqua"/>
          <w:noProof/>
          <w:lang w:val="en-US" w:eastAsia="en-US"/>
        </w:rPr>
        <mc:AlternateContent>
          <mc:Choice Requires="wps">
            <w:drawing>
              <wp:anchor distT="0" distB="0" distL="114300" distR="114300" simplePos="0" relativeHeight="251657216" behindDoc="0" locked="0" layoutInCell="1" allowOverlap="1" wp14:anchorId="766554E1" wp14:editId="4407C953">
                <wp:simplePos x="0" y="0"/>
                <wp:positionH relativeFrom="column">
                  <wp:posOffset>0</wp:posOffset>
                </wp:positionH>
                <wp:positionV relativeFrom="paragraph">
                  <wp:posOffset>0</wp:posOffset>
                </wp:positionV>
                <wp:extent cx="297815" cy="26987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17D5" w14:textId="77777777" w:rsidR="008D57EC" w:rsidRPr="0076161F" w:rsidRDefault="008D57EC" w:rsidP="00084C56">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width:23.45pt;height:21.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" filled="f" stroked="f">
                <v:path arrowok="t"/>
                <v:textbox style="mso-fit-shape-to-text:t">
                  <w:txbxContent>
                    <w:p w14:paraId="250717D5" w14:textId="77777777" w:rsidR="008D57EC" w:rsidRPr="0076161F" w:rsidRDefault="008D57EC" w:rsidP="00084C56">
                      <w:pPr>
                        <w:rPr>
                          <w:b/>
                        </w:rPr>
                      </w:pPr>
                    </w:p>
                  </w:txbxContent>
                </v:textbox>
                <w10:wrap type="square"/>
              </v:shape>
            </w:pict>
          </mc:Fallback>
        </mc:AlternateContent>
      </w:r>
    </w:p>
    <w:p w14:paraId="306B7342" w14:textId="77777777" w:rsidR="00A24C79" w:rsidRDefault="00A24C79" w:rsidP="00C97716">
      <w:pPr>
        <w:spacing w:line="360" w:lineRule="auto"/>
        <w:jc w:val="both"/>
        <w:rPr>
          <w:rFonts w:ascii="Book Antiqua" w:eastAsia="宋体" w:hAnsi="Book Antiqua"/>
          <w:lang w:eastAsia="zh-CN"/>
        </w:rPr>
      </w:pPr>
    </w:p>
    <w:p w14:paraId="1C7145E8" w14:textId="77777777" w:rsidR="008A1770" w:rsidRDefault="008A1770" w:rsidP="00C97716">
      <w:pPr>
        <w:spacing w:line="360" w:lineRule="auto"/>
        <w:jc w:val="both"/>
        <w:rPr>
          <w:rFonts w:ascii="Book Antiqua" w:eastAsia="宋体" w:hAnsi="Book Antiqua"/>
          <w:lang w:eastAsia="zh-CN"/>
        </w:rPr>
      </w:pPr>
    </w:p>
    <w:p w14:paraId="40939D96" w14:textId="77777777" w:rsidR="008A1770" w:rsidRDefault="008A1770" w:rsidP="00C97716">
      <w:pPr>
        <w:spacing w:line="360" w:lineRule="auto"/>
        <w:jc w:val="both"/>
        <w:rPr>
          <w:rFonts w:ascii="Book Antiqua" w:eastAsia="宋体" w:hAnsi="Book Antiqua"/>
          <w:lang w:eastAsia="zh-CN"/>
        </w:rPr>
      </w:pPr>
    </w:p>
    <w:p w14:paraId="7A116831" w14:textId="77777777" w:rsidR="008A1770" w:rsidRDefault="008A1770" w:rsidP="00C97716">
      <w:pPr>
        <w:spacing w:line="360" w:lineRule="auto"/>
        <w:jc w:val="both"/>
        <w:rPr>
          <w:rFonts w:ascii="Book Antiqua" w:eastAsia="宋体" w:hAnsi="Book Antiqua"/>
          <w:lang w:eastAsia="zh-CN"/>
        </w:rPr>
      </w:pPr>
    </w:p>
    <w:p w14:paraId="08D724CD" w14:textId="77777777" w:rsidR="008A1770" w:rsidRDefault="008A1770" w:rsidP="00C97716">
      <w:pPr>
        <w:spacing w:line="360" w:lineRule="auto"/>
        <w:jc w:val="both"/>
        <w:rPr>
          <w:rFonts w:ascii="Book Antiqua" w:eastAsia="宋体" w:hAnsi="Book Antiqua"/>
          <w:lang w:eastAsia="zh-CN"/>
        </w:rPr>
      </w:pPr>
    </w:p>
    <w:p w14:paraId="40AB8FD5" w14:textId="77777777" w:rsidR="008A1770" w:rsidRDefault="008A1770" w:rsidP="00C97716">
      <w:pPr>
        <w:spacing w:line="360" w:lineRule="auto"/>
        <w:jc w:val="both"/>
        <w:rPr>
          <w:rFonts w:ascii="Book Antiqua" w:eastAsia="宋体" w:hAnsi="Book Antiqua"/>
          <w:lang w:eastAsia="zh-CN"/>
        </w:rPr>
      </w:pPr>
    </w:p>
    <w:p w14:paraId="10B9C389" w14:textId="77777777" w:rsidR="008A1770" w:rsidRDefault="008A1770" w:rsidP="00C97716">
      <w:pPr>
        <w:spacing w:line="360" w:lineRule="auto"/>
        <w:jc w:val="both"/>
        <w:rPr>
          <w:rFonts w:ascii="Book Antiqua" w:eastAsia="宋体" w:hAnsi="Book Antiqua"/>
          <w:lang w:eastAsia="zh-CN"/>
        </w:rPr>
      </w:pPr>
    </w:p>
    <w:p w14:paraId="418F1A7D" w14:textId="77777777" w:rsidR="008A1770" w:rsidRDefault="008A1770" w:rsidP="00C97716">
      <w:pPr>
        <w:spacing w:line="360" w:lineRule="auto"/>
        <w:jc w:val="both"/>
        <w:rPr>
          <w:rFonts w:ascii="Book Antiqua" w:eastAsia="宋体" w:hAnsi="Book Antiqua"/>
          <w:lang w:eastAsia="zh-CN"/>
        </w:rPr>
      </w:pPr>
    </w:p>
    <w:p w14:paraId="29F7FE56" w14:textId="77777777" w:rsidR="008A1770" w:rsidRDefault="008A1770" w:rsidP="00C97716">
      <w:pPr>
        <w:spacing w:line="360" w:lineRule="auto"/>
        <w:jc w:val="both"/>
        <w:rPr>
          <w:rFonts w:ascii="Book Antiqua" w:eastAsia="宋体" w:hAnsi="Book Antiqua"/>
          <w:lang w:eastAsia="zh-CN"/>
        </w:rPr>
      </w:pPr>
    </w:p>
    <w:p w14:paraId="29E4E350" w14:textId="77777777" w:rsidR="008A1770" w:rsidRDefault="008A1770" w:rsidP="00C97716">
      <w:pPr>
        <w:spacing w:line="360" w:lineRule="auto"/>
        <w:jc w:val="both"/>
        <w:rPr>
          <w:rFonts w:ascii="Book Antiqua" w:eastAsia="宋体" w:hAnsi="Book Antiqua"/>
          <w:lang w:eastAsia="zh-CN"/>
        </w:rPr>
      </w:pPr>
    </w:p>
    <w:p w14:paraId="4CF14522" w14:textId="77777777" w:rsidR="008A1770" w:rsidRDefault="008A1770" w:rsidP="00C97716">
      <w:pPr>
        <w:spacing w:line="360" w:lineRule="auto"/>
        <w:jc w:val="both"/>
        <w:rPr>
          <w:rFonts w:ascii="Book Antiqua" w:eastAsia="宋体" w:hAnsi="Book Antiqua"/>
          <w:lang w:eastAsia="zh-CN"/>
        </w:rPr>
      </w:pPr>
    </w:p>
    <w:p w14:paraId="5EF617B8" w14:textId="77777777" w:rsidR="008A1770" w:rsidRDefault="008A1770" w:rsidP="00C97716">
      <w:pPr>
        <w:spacing w:line="360" w:lineRule="auto"/>
        <w:jc w:val="both"/>
        <w:rPr>
          <w:rFonts w:ascii="Book Antiqua" w:eastAsia="宋体" w:hAnsi="Book Antiqua"/>
          <w:lang w:eastAsia="zh-CN"/>
        </w:rPr>
      </w:pPr>
    </w:p>
    <w:p w14:paraId="21F8DD0A" w14:textId="77777777" w:rsidR="008A1770" w:rsidRDefault="008A1770" w:rsidP="00C97716">
      <w:pPr>
        <w:spacing w:line="360" w:lineRule="auto"/>
        <w:jc w:val="both"/>
        <w:rPr>
          <w:rFonts w:ascii="Book Antiqua" w:eastAsia="宋体" w:hAnsi="Book Antiqua"/>
          <w:lang w:eastAsia="zh-CN"/>
        </w:rPr>
      </w:pPr>
    </w:p>
    <w:p w14:paraId="63449163" w14:textId="77777777" w:rsidR="008A1770" w:rsidRDefault="008A1770" w:rsidP="00C97716">
      <w:pPr>
        <w:spacing w:line="360" w:lineRule="auto"/>
        <w:jc w:val="both"/>
        <w:rPr>
          <w:rFonts w:ascii="Book Antiqua" w:eastAsia="宋体" w:hAnsi="Book Antiqua"/>
          <w:lang w:eastAsia="zh-CN"/>
        </w:rPr>
      </w:pPr>
    </w:p>
    <w:p w14:paraId="588A6B1D" w14:textId="77777777" w:rsidR="008A1770" w:rsidRDefault="008A1770" w:rsidP="00C97716">
      <w:pPr>
        <w:spacing w:line="360" w:lineRule="auto"/>
        <w:jc w:val="both"/>
        <w:rPr>
          <w:rFonts w:ascii="Book Antiqua" w:eastAsia="宋体" w:hAnsi="Book Antiqua"/>
          <w:lang w:eastAsia="zh-CN"/>
        </w:rPr>
      </w:pPr>
    </w:p>
    <w:p w14:paraId="513C23CE" w14:textId="77777777" w:rsidR="008A1770" w:rsidRDefault="008A1770" w:rsidP="00C97716">
      <w:pPr>
        <w:spacing w:line="360" w:lineRule="auto"/>
        <w:jc w:val="both"/>
        <w:rPr>
          <w:rFonts w:ascii="Book Antiqua" w:eastAsia="宋体" w:hAnsi="Book Antiqua"/>
          <w:lang w:eastAsia="zh-CN"/>
        </w:rPr>
      </w:pPr>
    </w:p>
    <w:p w14:paraId="0B3681BC" w14:textId="77777777" w:rsidR="008A1770" w:rsidRDefault="008A1770" w:rsidP="00C97716">
      <w:pPr>
        <w:spacing w:line="360" w:lineRule="auto"/>
        <w:jc w:val="both"/>
        <w:rPr>
          <w:rFonts w:ascii="Book Antiqua" w:eastAsia="宋体" w:hAnsi="Book Antiqua"/>
          <w:lang w:eastAsia="zh-CN"/>
        </w:rPr>
      </w:pPr>
    </w:p>
    <w:p w14:paraId="451BD25A" w14:textId="77777777" w:rsidR="008A1770" w:rsidRDefault="008A1770" w:rsidP="00C97716">
      <w:pPr>
        <w:spacing w:line="360" w:lineRule="auto"/>
        <w:jc w:val="both"/>
        <w:rPr>
          <w:rFonts w:ascii="Book Antiqua" w:eastAsia="宋体" w:hAnsi="Book Antiqua"/>
          <w:lang w:eastAsia="zh-CN"/>
        </w:rPr>
      </w:pPr>
    </w:p>
    <w:p w14:paraId="5761A45B" w14:textId="77777777" w:rsidR="008A1770" w:rsidRDefault="008A1770" w:rsidP="00C97716">
      <w:pPr>
        <w:spacing w:line="360" w:lineRule="auto"/>
        <w:jc w:val="both"/>
        <w:rPr>
          <w:rFonts w:ascii="Book Antiqua" w:eastAsia="宋体" w:hAnsi="Book Antiqua"/>
          <w:lang w:eastAsia="zh-CN"/>
        </w:rPr>
      </w:pPr>
    </w:p>
    <w:p w14:paraId="57EB12D8" w14:textId="77777777" w:rsidR="008A1770" w:rsidRDefault="008A1770" w:rsidP="00C97716">
      <w:pPr>
        <w:spacing w:line="360" w:lineRule="auto"/>
        <w:jc w:val="both"/>
        <w:rPr>
          <w:rFonts w:ascii="Book Antiqua" w:eastAsia="宋体" w:hAnsi="Book Antiqua"/>
          <w:lang w:eastAsia="zh-CN"/>
        </w:rPr>
      </w:pPr>
    </w:p>
    <w:p w14:paraId="703ED5DD" w14:textId="60709EA3" w:rsidR="008A1770" w:rsidRPr="008A1770" w:rsidRDefault="008A1770" w:rsidP="00C97716">
      <w:pPr>
        <w:spacing w:line="360" w:lineRule="auto"/>
        <w:jc w:val="both"/>
        <w:rPr>
          <w:rFonts w:ascii="Book Antiqua" w:eastAsia="宋体" w:hAnsi="Book Antiqua"/>
          <w:lang w:eastAsia="zh-CN"/>
        </w:rPr>
      </w:pPr>
      <w:r w:rsidRPr="00815E5E">
        <w:rPr>
          <w:rFonts w:ascii="Book Antiqua" w:hAnsi="Book Antiqua"/>
          <w:lang w:val="en-GB"/>
        </w:rPr>
        <w:t>UC</w:t>
      </w:r>
      <w:r w:rsidRPr="00815E5E">
        <w:rPr>
          <w:rFonts w:ascii="Book Antiqua" w:eastAsiaTheme="minorEastAsia" w:hAnsi="Book Antiqua"/>
          <w:lang w:val="en-GB" w:eastAsia="zh-CN"/>
        </w:rPr>
        <w:t>:</w:t>
      </w:r>
      <w:r w:rsidRPr="00815E5E">
        <w:rPr>
          <w:rFonts w:ascii="Book Antiqua" w:hAnsi="Book Antiqua"/>
          <w:lang w:val="en-GB"/>
        </w:rPr>
        <w:t xml:space="preserve"> Ulcerative colitis</w:t>
      </w:r>
      <w:r w:rsidRPr="00815E5E">
        <w:rPr>
          <w:rFonts w:ascii="Book Antiqua" w:eastAsia="宋体" w:hAnsi="Book Antiqua"/>
          <w:lang w:val="en-GB" w:eastAsia="zh-CN"/>
        </w:rPr>
        <w:t xml:space="preserve">; </w:t>
      </w:r>
      <w:r w:rsidRPr="00815E5E">
        <w:rPr>
          <w:rFonts w:ascii="Book Antiqua" w:hAnsi="Book Antiqua"/>
          <w:lang w:val="en-GB"/>
        </w:rPr>
        <w:t>CD</w:t>
      </w:r>
      <w:r w:rsidRPr="00815E5E">
        <w:rPr>
          <w:rFonts w:ascii="Book Antiqua" w:eastAsiaTheme="minorEastAsia" w:hAnsi="Book Antiqua"/>
          <w:lang w:val="en-GB" w:eastAsia="zh-CN"/>
        </w:rPr>
        <w:t>:</w:t>
      </w:r>
      <w:r w:rsidRPr="00815E5E">
        <w:rPr>
          <w:rFonts w:ascii="Book Antiqua" w:hAnsi="Book Antiqua"/>
          <w:lang w:val="en-GB"/>
        </w:rPr>
        <w:t xml:space="preserve"> Crohn’s disease</w:t>
      </w:r>
      <w:r>
        <w:rPr>
          <w:rFonts w:ascii="Book Antiqua" w:eastAsia="宋体" w:hAnsi="Book Antiqua" w:hint="eastAsia"/>
          <w:lang w:val="en-GB" w:eastAsia="zh-CN"/>
        </w:rPr>
        <w:t>.</w:t>
      </w:r>
    </w:p>
    <w:p w14:paraId="09A7F1A5" w14:textId="77777777" w:rsidR="008A1770" w:rsidRPr="008A1770" w:rsidRDefault="008A1770" w:rsidP="00C97716">
      <w:pPr>
        <w:spacing w:line="360" w:lineRule="auto"/>
        <w:jc w:val="both"/>
        <w:rPr>
          <w:rFonts w:ascii="Book Antiqua" w:eastAsia="宋体" w:hAnsi="Book Antiqua"/>
          <w:lang w:eastAsia="zh-CN"/>
        </w:rPr>
      </w:pPr>
    </w:p>
    <w:sectPr w:rsidR="008A1770" w:rsidRPr="008A1770" w:rsidSect="006C253B">
      <w:pgSz w:w="16840" w:h="11901" w:orient="landscape"/>
      <w:pgMar w:top="357" w:right="1134" w:bottom="363" w:left="709" w:header="0"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F42A" w14:textId="77777777" w:rsidR="00BC1486" w:rsidRDefault="00BC1486">
      <w:r>
        <w:separator/>
      </w:r>
    </w:p>
  </w:endnote>
  <w:endnote w:type="continuationSeparator" w:id="0">
    <w:p w14:paraId="1D5F334D" w14:textId="77777777" w:rsidR="00BC1486" w:rsidRDefault="00BC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MS Minngs">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ranklinGothic-Book">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AA76" w14:textId="77777777" w:rsidR="008D57EC" w:rsidRDefault="008D57EC" w:rsidP="006C253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800">
      <w:rPr>
        <w:rStyle w:val="PageNumber"/>
        <w:noProof/>
      </w:rPr>
      <w:t>47</w:t>
    </w:r>
    <w:r>
      <w:rPr>
        <w:rStyle w:val="PageNumber"/>
      </w:rPr>
      <w:fldChar w:fldCharType="end"/>
    </w:r>
  </w:p>
  <w:p w14:paraId="68871CD9" w14:textId="77777777" w:rsidR="008D57EC" w:rsidRDefault="008D57EC" w:rsidP="006C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2F6C7" w14:textId="77777777" w:rsidR="00BC1486" w:rsidRDefault="00BC1486">
      <w:r>
        <w:separator/>
      </w:r>
    </w:p>
  </w:footnote>
  <w:footnote w:type="continuationSeparator" w:id="0">
    <w:p w14:paraId="7C5B3F67" w14:textId="77777777" w:rsidR="00BC1486" w:rsidRDefault="00BC1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CE42" w14:textId="77777777" w:rsidR="008D57EC" w:rsidRDefault="008D57EC" w:rsidP="006C253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800">
      <w:rPr>
        <w:rStyle w:val="PageNumber"/>
        <w:noProof/>
      </w:rPr>
      <w:t>47</w:t>
    </w:r>
    <w:r>
      <w:rPr>
        <w:rStyle w:val="PageNumber"/>
      </w:rPr>
      <w:fldChar w:fldCharType="end"/>
    </w:r>
  </w:p>
  <w:p w14:paraId="3E07BBD4" w14:textId="77777777" w:rsidR="008D57EC" w:rsidRDefault="008D57EC" w:rsidP="006C253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241B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70135"/>
    <w:multiLevelType w:val="hybridMultilevel"/>
    <w:tmpl w:val="ECE0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9B258D"/>
    <w:multiLevelType w:val="hybridMultilevel"/>
    <w:tmpl w:val="9EC21E74"/>
    <w:lvl w:ilvl="0" w:tplc="D7CE8D14">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071E2EA1"/>
    <w:multiLevelType w:val="hybridMultilevel"/>
    <w:tmpl w:val="2C04E4EA"/>
    <w:lvl w:ilvl="0" w:tplc="0410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1A7B75"/>
    <w:multiLevelType w:val="hybridMultilevel"/>
    <w:tmpl w:val="5F0259C4"/>
    <w:lvl w:ilvl="0" w:tplc="58841560">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89567DF"/>
    <w:multiLevelType w:val="hybridMultilevel"/>
    <w:tmpl w:val="382AE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B212A65"/>
    <w:multiLevelType w:val="hybridMultilevel"/>
    <w:tmpl w:val="45EA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F10214"/>
    <w:multiLevelType w:val="hybridMultilevel"/>
    <w:tmpl w:val="CBF64C72"/>
    <w:lvl w:ilvl="0" w:tplc="0410000F">
      <w:start w:val="1"/>
      <w:numFmt w:val="decimal"/>
      <w:lvlText w:val="%1."/>
      <w:lvlJc w:val="lef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8">
    <w:nsid w:val="24395C47"/>
    <w:multiLevelType w:val="hybridMultilevel"/>
    <w:tmpl w:val="8F7E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AB323B"/>
    <w:multiLevelType w:val="hybridMultilevel"/>
    <w:tmpl w:val="872A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756956"/>
    <w:multiLevelType w:val="hybridMultilevel"/>
    <w:tmpl w:val="2CCAD0D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hint="default"/>
      </w:rPr>
    </w:lvl>
    <w:lvl w:ilvl="8" w:tplc="04090005">
      <w:start w:val="1"/>
      <w:numFmt w:val="bullet"/>
      <w:lvlText w:val=""/>
      <w:lvlJc w:val="left"/>
      <w:pPr>
        <w:ind w:left="6532" w:hanging="360"/>
      </w:pPr>
      <w:rPr>
        <w:rFonts w:ascii="Wingdings" w:hAnsi="Wingdings" w:hint="default"/>
      </w:rPr>
    </w:lvl>
  </w:abstractNum>
  <w:abstractNum w:abstractNumId="11">
    <w:nsid w:val="30E617B2"/>
    <w:multiLevelType w:val="hybridMultilevel"/>
    <w:tmpl w:val="6DB2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FD6963"/>
    <w:multiLevelType w:val="hybridMultilevel"/>
    <w:tmpl w:val="9D1A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BE2CFE"/>
    <w:multiLevelType w:val="hybridMultilevel"/>
    <w:tmpl w:val="A9B8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A13472"/>
    <w:multiLevelType w:val="hybridMultilevel"/>
    <w:tmpl w:val="F1667078"/>
    <w:lvl w:ilvl="0" w:tplc="0FC6A552">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9296B0F"/>
    <w:multiLevelType w:val="hybridMultilevel"/>
    <w:tmpl w:val="DDFA5944"/>
    <w:lvl w:ilvl="0" w:tplc="0410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E4908B3"/>
    <w:multiLevelType w:val="hybridMultilevel"/>
    <w:tmpl w:val="E20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176663"/>
    <w:multiLevelType w:val="hybridMultilevel"/>
    <w:tmpl w:val="81D0854E"/>
    <w:lvl w:ilvl="0" w:tplc="0410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02263C4"/>
    <w:multiLevelType w:val="hybridMultilevel"/>
    <w:tmpl w:val="21E0D322"/>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9">
    <w:nsid w:val="53A47F99"/>
    <w:multiLevelType w:val="hybridMultilevel"/>
    <w:tmpl w:val="9DF6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1905C1"/>
    <w:multiLevelType w:val="hybridMultilevel"/>
    <w:tmpl w:val="F60266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46F203F"/>
    <w:multiLevelType w:val="hybridMultilevel"/>
    <w:tmpl w:val="69CA0202"/>
    <w:lvl w:ilvl="0" w:tplc="8666955A">
      <w:start w:val="1"/>
      <w:numFmt w:val="decimal"/>
      <w:lvlText w:val="%1)"/>
      <w:lvlJc w:val="left"/>
      <w:pPr>
        <w:ind w:left="360" w:hanging="360"/>
      </w:pPr>
      <w:rPr>
        <w:rFonts w:cs="Times New Roman" w:hint="default"/>
        <w:sz w:val="16"/>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0"/>
  </w:num>
  <w:num w:numId="2">
    <w:abstractNumId w:val="21"/>
  </w:num>
  <w:num w:numId="3">
    <w:abstractNumId w:val="4"/>
  </w:num>
  <w:num w:numId="4">
    <w:abstractNumId w:val="14"/>
  </w:num>
  <w:num w:numId="5">
    <w:abstractNumId w:val="19"/>
  </w:num>
  <w:num w:numId="6">
    <w:abstractNumId w:val="5"/>
  </w:num>
  <w:num w:numId="7">
    <w:abstractNumId w:val="10"/>
  </w:num>
  <w:num w:numId="8">
    <w:abstractNumId w:val="8"/>
  </w:num>
  <w:num w:numId="9">
    <w:abstractNumId w:val="13"/>
  </w:num>
  <w:num w:numId="10">
    <w:abstractNumId w:val="1"/>
  </w:num>
  <w:num w:numId="11">
    <w:abstractNumId w:val="12"/>
  </w:num>
  <w:num w:numId="12">
    <w:abstractNumId w:val="9"/>
  </w:num>
  <w:num w:numId="13">
    <w:abstractNumId w:val="6"/>
  </w:num>
  <w:num w:numId="14">
    <w:abstractNumId w:val="16"/>
  </w:num>
  <w:num w:numId="15">
    <w:abstractNumId w:val="11"/>
  </w:num>
  <w:num w:numId="16">
    <w:abstractNumId w:val="17"/>
  </w:num>
  <w:num w:numId="17">
    <w:abstractNumId w:val="15"/>
  </w:num>
  <w:num w:numId="18">
    <w:abstractNumId w:val="3"/>
  </w:num>
  <w:num w:numId="19">
    <w:abstractNumId w:val="2"/>
  </w:num>
  <w:num w:numId="20">
    <w:abstractNumId w:val="7"/>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grammar="clean"/>
  <w:defaultTabStop w:val="708"/>
  <w:hyphenationZone w:val="283"/>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3C"/>
    <w:rsid w:val="00022688"/>
    <w:rsid w:val="00022BDE"/>
    <w:rsid w:val="00045A2B"/>
    <w:rsid w:val="00073F97"/>
    <w:rsid w:val="00084C56"/>
    <w:rsid w:val="000E018D"/>
    <w:rsid w:val="000E5109"/>
    <w:rsid w:val="000F2E17"/>
    <w:rsid w:val="00106A50"/>
    <w:rsid w:val="00166AAB"/>
    <w:rsid w:val="0017773A"/>
    <w:rsid w:val="001C4EE3"/>
    <w:rsid w:val="00252253"/>
    <w:rsid w:val="002636C5"/>
    <w:rsid w:val="00274D77"/>
    <w:rsid w:val="002A0BF6"/>
    <w:rsid w:val="002B7936"/>
    <w:rsid w:val="002C3228"/>
    <w:rsid w:val="002D4B8F"/>
    <w:rsid w:val="00317079"/>
    <w:rsid w:val="003303D3"/>
    <w:rsid w:val="003414DB"/>
    <w:rsid w:val="00345C2B"/>
    <w:rsid w:val="0036496E"/>
    <w:rsid w:val="00376E58"/>
    <w:rsid w:val="00394C77"/>
    <w:rsid w:val="003C49B6"/>
    <w:rsid w:val="003D1CCB"/>
    <w:rsid w:val="003F7E20"/>
    <w:rsid w:val="00417133"/>
    <w:rsid w:val="00430E57"/>
    <w:rsid w:val="00442A1C"/>
    <w:rsid w:val="00455E93"/>
    <w:rsid w:val="004828F2"/>
    <w:rsid w:val="004871D9"/>
    <w:rsid w:val="004A64C8"/>
    <w:rsid w:val="004D4AFA"/>
    <w:rsid w:val="0050649F"/>
    <w:rsid w:val="005865AF"/>
    <w:rsid w:val="005A6417"/>
    <w:rsid w:val="0060236E"/>
    <w:rsid w:val="00624143"/>
    <w:rsid w:val="006936C8"/>
    <w:rsid w:val="006B6DA6"/>
    <w:rsid w:val="006C253B"/>
    <w:rsid w:val="007029A4"/>
    <w:rsid w:val="00703920"/>
    <w:rsid w:val="007143BC"/>
    <w:rsid w:val="0076161F"/>
    <w:rsid w:val="00764CE4"/>
    <w:rsid w:val="00765262"/>
    <w:rsid w:val="007711E8"/>
    <w:rsid w:val="007802BE"/>
    <w:rsid w:val="007A6E78"/>
    <w:rsid w:val="007B7749"/>
    <w:rsid w:val="007D2559"/>
    <w:rsid w:val="007E4337"/>
    <w:rsid w:val="007E4767"/>
    <w:rsid w:val="007E79D7"/>
    <w:rsid w:val="00837643"/>
    <w:rsid w:val="00837A83"/>
    <w:rsid w:val="008A1770"/>
    <w:rsid w:val="008B72C0"/>
    <w:rsid w:val="008D57EC"/>
    <w:rsid w:val="008E3642"/>
    <w:rsid w:val="008F4ECE"/>
    <w:rsid w:val="009141A0"/>
    <w:rsid w:val="0091685C"/>
    <w:rsid w:val="0094177C"/>
    <w:rsid w:val="009479BD"/>
    <w:rsid w:val="00953B92"/>
    <w:rsid w:val="00961613"/>
    <w:rsid w:val="009628C9"/>
    <w:rsid w:val="0097315B"/>
    <w:rsid w:val="00990F93"/>
    <w:rsid w:val="009957EF"/>
    <w:rsid w:val="009B70F8"/>
    <w:rsid w:val="009D3956"/>
    <w:rsid w:val="009D4409"/>
    <w:rsid w:val="00A2214A"/>
    <w:rsid w:val="00A24C79"/>
    <w:rsid w:val="00A60F7F"/>
    <w:rsid w:val="00A7423F"/>
    <w:rsid w:val="00A82102"/>
    <w:rsid w:val="00A92058"/>
    <w:rsid w:val="00AA4272"/>
    <w:rsid w:val="00AB12FF"/>
    <w:rsid w:val="00B2265F"/>
    <w:rsid w:val="00B33DC5"/>
    <w:rsid w:val="00B51655"/>
    <w:rsid w:val="00B51E69"/>
    <w:rsid w:val="00B5461C"/>
    <w:rsid w:val="00B95270"/>
    <w:rsid w:val="00BA4109"/>
    <w:rsid w:val="00BC1486"/>
    <w:rsid w:val="00BC2E04"/>
    <w:rsid w:val="00BD0FC5"/>
    <w:rsid w:val="00BE1800"/>
    <w:rsid w:val="00C92BB3"/>
    <w:rsid w:val="00C97716"/>
    <w:rsid w:val="00CC1DDE"/>
    <w:rsid w:val="00CE6F08"/>
    <w:rsid w:val="00D221F6"/>
    <w:rsid w:val="00D91DFE"/>
    <w:rsid w:val="00DB5621"/>
    <w:rsid w:val="00DD3898"/>
    <w:rsid w:val="00DD6543"/>
    <w:rsid w:val="00E24B38"/>
    <w:rsid w:val="00E46CBB"/>
    <w:rsid w:val="00E70439"/>
    <w:rsid w:val="00ED013C"/>
    <w:rsid w:val="00EF6F47"/>
    <w:rsid w:val="00EF727B"/>
    <w:rsid w:val="00F02E9A"/>
    <w:rsid w:val="00F1090A"/>
    <w:rsid w:val="00F369EE"/>
    <w:rsid w:val="00F5232D"/>
    <w:rsid w:val="00F55778"/>
    <w:rsid w:val="00F84F28"/>
    <w:rsid w:val="00FA4FB9"/>
    <w:rsid w:val="00FC6B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56"/>
    <w:rPr>
      <w:rFonts w:eastAsia="MS Minng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84C56"/>
  </w:style>
  <w:style w:type="character" w:customStyle="1" w:styleId="EndnoteTextChar">
    <w:name w:val="Endnote Text Char"/>
    <w:basedOn w:val="DefaultParagraphFont"/>
    <w:link w:val="EndnoteText"/>
    <w:uiPriority w:val="99"/>
    <w:semiHidden/>
    <w:rsid w:val="00084C56"/>
    <w:rPr>
      <w:rFonts w:ascii="Cambria" w:eastAsia="MS Minngs" w:hAnsi="Cambria" w:cs="Times New Roman"/>
      <w:lang w:eastAsia="ja-JP"/>
    </w:rPr>
  </w:style>
  <w:style w:type="character" w:styleId="EndnoteReference">
    <w:name w:val="endnote reference"/>
    <w:basedOn w:val="DefaultParagraphFont"/>
    <w:uiPriority w:val="99"/>
    <w:semiHidden/>
    <w:rsid w:val="00084C56"/>
    <w:rPr>
      <w:rFonts w:cs="Times New Roman"/>
      <w:vertAlign w:val="superscript"/>
    </w:rPr>
  </w:style>
  <w:style w:type="table" w:styleId="TableGrid">
    <w:name w:val="Table Grid"/>
    <w:basedOn w:val="TableNormal"/>
    <w:uiPriority w:val="99"/>
    <w:rsid w:val="00084C56"/>
    <w:rPr>
      <w:rFonts w:eastAsia="MS Minng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84C56"/>
  </w:style>
  <w:style w:type="character" w:customStyle="1" w:styleId="FootnoteTextChar">
    <w:name w:val="Footnote Text Char"/>
    <w:basedOn w:val="DefaultParagraphFont"/>
    <w:link w:val="FootnoteText"/>
    <w:uiPriority w:val="99"/>
    <w:semiHidden/>
    <w:rsid w:val="00084C56"/>
    <w:rPr>
      <w:rFonts w:ascii="Cambria" w:eastAsia="MS Minngs" w:hAnsi="Cambria" w:cs="Times New Roman"/>
      <w:lang w:eastAsia="ja-JP"/>
    </w:rPr>
  </w:style>
  <w:style w:type="character" w:styleId="FootnoteReference">
    <w:name w:val="footnote reference"/>
    <w:basedOn w:val="DefaultParagraphFont"/>
    <w:uiPriority w:val="99"/>
    <w:semiHidden/>
    <w:rsid w:val="00084C56"/>
    <w:rPr>
      <w:rFonts w:cs="Times New Roman"/>
      <w:vertAlign w:val="superscript"/>
    </w:rPr>
  </w:style>
  <w:style w:type="paragraph" w:styleId="BalloonText">
    <w:name w:val="Balloon Text"/>
    <w:basedOn w:val="Normal"/>
    <w:link w:val="BalloonTextChar"/>
    <w:uiPriority w:val="99"/>
    <w:semiHidden/>
    <w:rsid w:val="00084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C56"/>
    <w:rPr>
      <w:rFonts w:ascii="Lucida Grande" w:eastAsia="MS Minngs" w:hAnsi="Lucida Grande" w:cs="Lucida Grande"/>
      <w:sz w:val="18"/>
      <w:szCs w:val="18"/>
      <w:lang w:eastAsia="ja-JP"/>
    </w:rPr>
  </w:style>
  <w:style w:type="paragraph" w:styleId="Footer">
    <w:name w:val="footer"/>
    <w:basedOn w:val="Normal"/>
    <w:link w:val="FooterChar"/>
    <w:uiPriority w:val="99"/>
    <w:rsid w:val="00084C56"/>
    <w:pPr>
      <w:tabs>
        <w:tab w:val="center" w:pos="4819"/>
        <w:tab w:val="right" w:pos="9638"/>
      </w:tabs>
    </w:pPr>
  </w:style>
  <w:style w:type="character" w:customStyle="1" w:styleId="FooterChar">
    <w:name w:val="Footer Char"/>
    <w:basedOn w:val="DefaultParagraphFont"/>
    <w:link w:val="Footer"/>
    <w:uiPriority w:val="99"/>
    <w:rsid w:val="00084C56"/>
    <w:rPr>
      <w:rFonts w:ascii="Cambria" w:eastAsia="MS Minngs" w:hAnsi="Cambria" w:cs="Times New Roman"/>
      <w:lang w:eastAsia="ja-JP"/>
    </w:rPr>
  </w:style>
  <w:style w:type="character" w:styleId="PageNumber">
    <w:name w:val="page number"/>
    <w:basedOn w:val="DefaultParagraphFont"/>
    <w:uiPriority w:val="99"/>
    <w:semiHidden/>
    <w:rsid w:val="00084C56"/>
    <w:rPr>
      <w:rFonts w:cs="Times New Roman"/>
    </w:rPr>
  </w:style>
  <w:style w:type="paragraph" w:styleId="Header">
    <w:name w:val="header"/>
    <w:basedOn w:val="Normal"/>
    <w:link w:val="HeaderChar"/>
    <w:uiPriority w:val="99"/>
    <w:rsid w:val="00084C56"/>
    <w:pPr>
      <w:tabs>
        <w:tab w:val="center" w:pos="4819"/>
        <w:tab w:val="right" w:pos="9638"/>
      </w:tabs>
    </w:pPr>
  </w:style>
  <w:style w:type="character" w:customStyle="1" w:styleId="HeaderChar">
    <w:name w:val="Header Char"/>
    <w:basedOn w:val="DefaultParagraphFont"/>
    <w:link w:val="Header"/>
    <w:uiPriority w:val="99"/>
    <w:rsid w:val="00084C56"/>
    <w:rPr>
      <w:rFonts w:ascii="Cambria" w:eastAsia="MS Minngs" w:hAnsi="Cambria" w:cs="Times New Roman"/>
      <w:lang w:eastAsia="ja-JP"/>
    </w:rPr>
  </w:style>
  <w:style w:type="paragraph" w:customStyle="1" w:styleId="Sfondoacolori-Colore11">
    <w:name w:val="Sfondo a colori - Colore 11"/>
    <w:hidden/>
    <w:uiPriority w:val="99"/>
    <w:semiHidden/>
    <w:rsid w:val="00084C56"/>
    <w:rPr>
      <w:rFonts w:eastAsia="MS Minngs"/>
      <w:sz w:val="24"/>
      <w:szCs w:val="24"/>
      <w:lang w:eastAsia="ja-JP"/>
    </w:rPr>
  </w:style>
  <w:style w:type="paragraph" w:customStyle="1" w:styleId="Elencoacolori-Colore11">
    <w:name w:val="Elenco a colori - Colore 11"/>
    <w:basedOn w:val="Normal"/>
    <w:uiPriority w:val="99"/>
    <w:rsid w:val="00084C56"/>
    <w:pPr>
      <w:ind w:left="720"/>
    </w:pPr>
    <w:rPr>
      <w:rFonts w:eastAsia="MS Mincho"/>
      <w:lang w:eastAsia="it-IT"/>
    </w:rPr>
  </w:style>
  <w:style w:type="paragraph" w:styleId="ListParagraph">
    <w:name w:val="List Paragraph"/>
    <w:basedOn w:val="Normal"/>
    <w:uiPriority w:val="99"/>
    <w:qFormat/>
    <w:rsid w:val="001C4EE3"/>
    <w:pPr>
      <w:ind w:left="720"/>
    </w:pPr>
  </w:style>
  <w:style w:type="character" w:customStyle="1" w:styleId="apple-converted-space">
    <w:name w:val="apple-converted-space"/>
    <w:basedOn w:val="DefaultParagraphFont"/>
    <w:rsid w:val="008B72C0"/>
  </w:style>
  <w:style w:type="character" w:styleId="Hyperlink">
    <w:name w:val="Hyperlink"/>
    <w:basedOn w:val="DefaultParagraphFont"/>
    <w:uiPriority w:val="99"/>
    <w:unhideWhenUsed/>
    <w:rsid w:val="008B72C0"/>
    <w:rPr>
      <w:color w:val="0000FF"/>
      <w:u w:val="single"/>
    </w:rPr>
  </w:style>
  <w:style w:type="character" w:customStyle="1" w:styleId="highlight">
    <w:name w:val="highlight"/>
    <w:basedOn w:val="DefaultParagraphFont"/>
    <w:rsid w:val="00CE6F08"/>
  </w:style>
  <w:style w:type="character" w:styleId="Emphasis">
    <w:name w:val="Emphasis"/>
    <w:qFormat/>
    <w:rsid w:val="00BE180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56"/>
    <w:rPr>
      <w:rFonts w:eastAsia="MS Minng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84C56"/>
  </w:style>
  <w:style w:type="character" w:customStyle="1" w:styleId="EndnoteTextChar">
    <w:name w:val="Endnote Text Char"/>
    <w:basedOn w:val="DefaultParagraphFont"/>
    <w:link w:val="EndnoteText"/>
    <w:uiPriority w:val="99"/>
    <w:semiHidden/>
    <w:rsid w:val="00084C56"/>
    <w:rPr>
      <w:rFonts w:ascii="Cambria" w:eastAsia="MS Minngs" w:hAnsi="Cambria" w:cs="Times New Roman"/>
      <w:lang w:eastAsia="ja-JP"/>
    </w:rPr>
  </w:style>
  <w:style w:type="character" w:styleId="EndnoteReference">
    <w:name w:val="endnote reference"/>
    <w:basedOn w:val="DefaultParagraphFont"/>
    <w:uiPriority w:val="99"/>
    <w:semiHidden/>
    <w:rsid w:val="00084C56"/>
    <w:rPr>
      <w:rFonts w:cs="Times New Roman"/>
      <w:vertAlign w:val="superscript"/>
    </w:rPr>
  </w:style>
  <w:style w:type="table" w:styleId="TableGrid">
    <w:name w:val="Table Grid"/>
    <w:basedOn w:val="TableNormal"/>
    <w:uiPriority w:val="99"/>
    <w:rsid w:val="00084C56"/>
    <w:rPr>
      <w:rFonts w:eastAsia="MS Minng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84C56"/>
  </w:style>
  <w:style w:type="character" w:customStyle="1" w:styleId="FootnoteTextChar">
    <w:name w:val="Footnote Text Char"/>
    <w:basedOn w:val="DefaultParagraphFont"/>
    <w:link w:val="FootnoteText"/>
    <w:uiPriority w:val="99"/>
    <w:semiHidden/>
    <w:rsid w:val="00084C56"/>
    <w:rPr>
      <w:rFonts w:ascii="Cambria" w:eastAsia="MS Minngs" w:hAnsi="Cambria" w:cs="Times New Roman"/>
      <w:lang w:eastAsia="ja-JP"/>
    </w:rPr>
  </w:style>
  <w:style w:type="character" w:styleId="FootnoteReference">
    <w:name w:val="footnote reference"/>
    <w:basedOn w:val="DefaultParagraphFont"/>
    <w:uiPriority w:val="99"/>
    <w:semiHidden/>
    <w:rsid w:val="00084C56"/>
    <w:rPr>
      <w:rFonts w:cs="Times New Roman"/>
      <w:vertAlign w:val="superscript"/>
    </w:rPr>
  </w:style>
  <w:style w:type="paragraph" w:styleId="BalloonText">
    <w:name w:val="Balloon Text"/>
    <w:basedOn w:val="Normal"/>
    <w:link w:val="BalloonTextChar"/>
    <w:uiPriority w:val="99"/>
    <w:semiHidden/>
    <w:rsid w:val="00084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C56"/>
    <w:rPr>
      <w:rFonts w:ascii="Lucida Grande" w:eastAsia="MS Minngs" w:hAnsi="Lucida Grande" w:cs="Lucida Grande"/>
      <w:sz w:val="18"/>
      <w:szCs w:val="18"/>
      <w:lang w:eastAsia="ja-JP"/>
    </w:rPr>
  </w:style>
  <w:style w:type="paragraph" w:styleId="Footer">
    <w:name w:val="footer"/>
    <w:basedOn w:val="Normal"/>
    <w:link w:val="FooterChar"/>
    <w:uiPriority w:val="99"/>
    <w:rsid w:val="00084C56"/>
    <w:pPr>
      <w:tabs>
        <w:tab w:val="center" w:pos="4819"/>
        <w:tab w:val="right" w:pos="9638"/>
      </w:tabs>
    </w:pPr>
  </w:style>
  <w:style w:type="character" w:customStyle="1" w:styleId="FooterChar">
    <w:name w:val="Footer Char"/>
    <w:basedOn w:val="DefaultParagraphFont"/>
    <w:link w:val="Footer"/>
    <w:uiPriority w:val="99"/>
    <w:rsid w:val="00084C56"/>
    <w:rPr>
      <w:rFonts w:ascii="Cambria" w:eastAsia="MS Minngs" w:hAnsi="Cambria" w:cs="Times New Roman"/>
      <w:lang w:eastAsia="ja-JP"/>
    </w:rPr>
  </w:style>
  <w:style w:type="character" w:styleId="PageNumber">
    <w:name w:val="page number"/>
    <w:basedOn w:val="DefaultParagraphFont"/>
    <w:uiPriority w:val="99"/>
    <w:semiHidden/>
    <w:rsid w:val="00084C56"/>
    <w:rPr>
      <w:rFonts w:cs="Times New Roman"/>
    </w:rPr>
  </w:style>
  <w:style w:type="paragraph" w:styleId="Header">
    <w:name w:val="header"/>
    <w:basedOn w:val="Normal"/>
    <w:link w:val="HeaderChar"/>
    <w:uiPriority w:val="99"/>
    <w:rsid w:val="00084C56"/>
    <w:pPr>
      <w:tabs>
        <w:tab w:val="center" w:pos="4819"/>
        <w:tab w:val="right" w:pos="9638"/>
      </w:tabs>
    </w:pPr>
  </w:style>
  <w:style w:type="character" w:customStyle="1" w:styleId="HeaderChar">
    <w:name w:val="Header Char"/>
    <w:basedOn w:val="DefaultParagraphFont"/>
    <w:link w:val="Header"/>
    <w:uiPriority w:val="99"/>
    <w:rsid w:val="00084C56"/>
    <w:rPr>
      <w:rFonts w:ascii="Cambria" w:eastAsia="MS Minngs" w:hAnsi="Cambria" w:cs="Times New Roman"/>
      <w:lang w:eastAsia="ja-JP"/>
    </w:rPr>
  </w:style>
  <w:style w:type="paragraph" w:customStyle="1" w:styleId="Sfondoacolori-Colore11">
    <w:name w:val="Sfondo a colori - Colore 11"/>
    <w:hidden/>
    <w:uiPriority w:val="99"/>
    <w:semiHidden/>
    <w:rsid w:val="00084C56"/>
    <w:rPr>
      <w:rFonts w:eastAsia="MS Minngs"/>
      <w:sz w:val="24"/>
      <w:szCs w:val="24"/>
      <w:lang w:eastAsia="ja-JP"/>
    </w:rPr>
  </w:style>
  <w:style w:type="paragraph" w:customStyle="1" w:styleId="Elencoacolori-Colore11">
    <w:name w:val="Elenco a colori - Colore 11"/>
    <w:basedOn w:val="Normal"/>
    <w:uiPriority w:val="99"/>
    <w:rsid w:val="00084C56"/>
    <w:pPr>
      <w:ind w:left="720"/>
    </w:pPr>
    <w:rPr>
      <w:rFonts w:eastAsia="MS Mincho"/>
      <w:lang w:eastAsia="it-IT"/>
    </w:rPr>
  </w:style>
  <w:style w:type="paragraph" w:styleId="ListParagraph">
    <w:name w:val="List Paragraph"/>
    <w:basedOn w:val="Normal"/>
    <w:uiPriority w:val="99"/>
    <w:qFormat/>
    <w:rsid w:val="001C4EE3"/>
    <w:pPr>
      <w:ind w:left="720"/>
    </w:pPr>
  </w:style>
  <w:style w:type="character" w:customStyle="1" w:styleId="apple-converted-space">
    <w:name w:val="apple-converted-space"/>
    <w:basedOn w:val="DefaultParagraphFont"/>
    <w:rsid w:val="008B72C0"/>
  </w:style>
  <w:style w:type="character" w:styleId="Hyperlink">
    <w:name w:val="Hyperlink"/>
    <w:basedOn w:val="DefaultParagraphFont"/>
    <w:uiPriority w:val="99"/>
    <w:unhideWhenUsed/>
    <w:rsid w:val="008B72C0"/>
    <w:rPr>
      <w:color w:val="0000FF"/>
      <w:u w:val="single"/>
    </w:rPr>
  </w:style>
  <w:style w:type="character" w:customStyle="1" w:styleId="highlight">
    <w:name w:val="highlight"/>
    <w:basedOn w:val="DefaultParagraphFont"/>
    <w:rsid w:val="00CE6F08"/>
  </w:style>
  <w:style w:type="character" w:styleId="Emphasis">
    <w:name w:val="Emphasis"/>
    <w:qFormat/>
    <w:rsid w:val="00BE180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6954">
      <w:bodyDiv w:val="1"/>
      <w:marLeft w:val="0"/>
      <w:marRight w:val="0"/>
      <w:marTop w:val="0"/>
      <w:marBottom w:val="0"/>
      <w:divBdr>
        <w:top w:val="none" w:sz="0" w:space="0" w:color="auto"/>
        <w:left w:val="none" w:sz="0" w:space="0" w:color="auto"/>
        <w:bottom w:val="none" w:sz="0" w:space="0" w:color="auto"/>
        <w:right w:val="none" w:sz="0" w:space="0" w:color="auto"/>
      </w:divBdr>
      <w:divsChild>
        <w:div w:id="898246769">
          <w:marLeft w:val="0"/>
          <w:marRight w:val="0"/>
          <w:marTop w:val="0"/>
          <w:marBottom w:val="0"/>
          <w:divBdr>
            <w:top w:val="none" w:sz="0" w:space="0" w:color="auto"/>
            <w:left w:val="none" w:sz="0" w:space="0" w:color="auto"/>
            <w:bottom w:val="none" w:sz="0" w:space="0" w:color="auto"/>
            <w:right w:val="none" w:sz="0" w:space="0" w:color="auto"/>
          </w:divBdr>
          <w:divsChild>
            <w:div w:id="463961722">
              <w:marLeft w:val="0"/>
              <w:marRight w:val="0"/>
              <w:marTop w:val="0"/>
              <w:marBottom w:val="0"/>
              <w:divBdr>
                <w:top w:val="none" w:sz="0" w:space="0" w:color="auto"/>
                <w:left w:val="none" w:sz="0" w:space="0" w:color="auto"/>
                <w:bottom w:val="none" w:sz="0" w:space="0" w:color="auto"/>
                <w:right w:val="none" w:sz="0" w:space="0" w:color="auto"/>
              </w:divBdr>
            </w:div>
            <w:div w:id="1326475041">
              <w:marLeft w:val="0"/>
              <w:marRight w:val="0"/>
              <w:marTop w:val="0"/>
              <w:marBottom w:val="0"/>
              <w:divBdr>
                <w:top w:val="none" w:sz="0" w:space="0" w:color="auto"/>
                <w:left w:val="none" w:sz="0" w:space="0" w:color="auto"/>
                <w:bottom w:val="none" w:sz="0" w:space="0" w:color="auto"/>
                <w:right w:val="none" w:sz="0" w:space="0" w:color="auto"/>
              </w:divBdr>
            </w:div>
            <w:div w:id="302659358">
              <w:marLeft w:val="0"/>
              <w:marRight w:val="0"/>
              <w:marTop w:val="0"/>
              <w:marBottom w:val="0"/>
              <w:divBdr>
                <w:top w:val="none" w:sz="0" w:space="0" w:color="auto"/>
                <w:left w:val="none" w:sz="0" w:space="0" w:color="auto"/>
                <w:bottom w:val="none" w:sz="0" w:space="0" w:color="auto"/>
                <w:right w:val="none" w:sz="0" w:space="0" w:color="auto"/>
              </w:divBdr>
            </w:div>
            <w:div w:id="469640070">
              <w:marLeft w:val="0"/>
              <w:marRight w:val="0"/>
              <w:marTop w:val="0"/>
              <w:marBottom w:val="0"/>
              <w:divBdr>
                <w:top w:val="none" w:sz="0" w:space="0" w:color="auto"/>
                <w:left w:val="none" w:sz="0" w:space="0" w:color="auto"/>
                <w:bottom w:val="none" w:sz="0" w:space="0" w:color="auto"/>
                <w:right w:val="none" w:sz="0" w:space="0" w:color="auto"/>
              </w:divBdr>
            </w:div>
            <w:div w:id="1829444970">
              <w:marLeft w:val="0"/>
              <w:marRight w:val="0"/>
              <w:marTop w:val="0"/>
              <w:marBottom w:val="0"/>
              <w:divBdr>
                <w:top w:val="none" w:sz="0" w:space="0" w:color="auto"/>
                <w:left w:val="none" w:sz="0" w:space="0" w:color="auto"/>
                <w:bottom w:val="none" w:sz="0" w:space="0" w:color="auto"/>
                <w:right w:val="none" w:sz="0" w:space="0" w:color="auto"/>
              </w:divBdr>
            </w:div>
            <w:div w:id="1934776931">
              <w:marLeft w:val="0"/>
              <w:marRight w:val="0"/>
              <w:marTop w:val="0"/>
              <w:marBottom w:val="0"/>
              <w:divBdr>
                <w:top w:val="none" w:sz="0" w:space="0" w:color="auto"/>
                <w:left w:val="none" w:sz="0" w:space="0" w:color="auto"/>
                <w:bottom w:val="none" w:sz="0" w:space="0" w:color="auto"/>
                <w:right w:val="none" w:sz="0" w:space="0" w:color="auto"/>
              </w:divBdr>
            </w:div>
            <w:div w:id="455948030">
              <w:marLeft w:val="0"/>
              <w:marRight w:val="0"/>
              <w:marTop w:val="0"/>
              <w:marBottom w:val="0"/>
              <w:divBdr>
                <w:top w:val="none" w:sz="0" w:space="0" w:color="auto"/>
                <w:left w:val="none" w:sz="0" w:space="0" w:color="auto"/>
                <w:bottom w:val="none" w:sz="0" w:space="0" w:color="auto"/>
                <w:right w:val="none" w:sz="0" w:space="0" w:color="auto"/>
              </w:divBdr>
            </w:div>
            <w:div w:id="926964884">
              <w:marLeft w:val="0"/>
              <w:marRight w:val="0"/>
              <w:marTop w:val="0"/>
              <w:marBottom w:val="0"/>
              <w:divBdr>
                <w:top w:val="none" w:sz="0" w:space="0" w:color="auto"/>
                <w:left w:val="none" w:sz="0" w:space="0" w:color="auto"/>
                <w:bottom w:val="none" w:sz="0" w:space="0" w:color="auto"/>
                <w:right w:val="none" w:sz="0" w:space="0" w:color="auto"/>
              </w:divBdr>
            </w:div>
            <w:div w:id="832141463">
              <w:marLeft w:val="0"/>
              <w:marRight w:val="0"/>
              <w:marTop w:val="0"/>
              <w:marBottom w:val="0"/>
              <w:divBdr>
                <w:top w:val="none" w:sz="0" w:space="0" w:color="auto"/>
                <w:left w:val="none" w:sz="0" w:space="0" w:color="auto"/>
                <w:bottom w:val="none" w:sz="0" w:space="0" w:color="auto"/>
                <w:right w:val="none" w:sz="0" w:space="0" w:color="auto"/>
              </w:divBdr>
            </w:div>
            <w:div w:id="1575160161">
              <w:marLeft w:val="0"/>
              <w:marRight w:val="0"/>
              <w:marTop w:val="0"/>
              <w:marBottom w:val="0"/>
              <w:divBdr>
                <w:top w:val="none" w:sz="0" w:space="0" w:color="auto"/>
                <w:left w:val="none" w:sz="0" w:space="0" w:color="auto"/>
                <w:bottom w:val="none" w:sz="0" w:space="0" w:color="auto"/>
                <w:right w:val="none" w:sz="0" w:space="0" w:color="auto"/>
              </w:divBdr>
            </w:div>
            <w:div w:id="1744909428">
              <w:marLeft w:val="0"/>
              <w:marRight w:val="0"/>
              <w:marTop w:val="0"/>
              <w:marBottom w:val="0"/>
              <w:divBdr>
                <w:top w:val="none" w:sz="0" w:space="0" w:color="auto"/>
                <w:left w:val="none" w:sz="0" w:space="0" w:color="auto"/>
                <w:bottom w:val="none" w:sz="0" w:space="0" w:color="auto"/>
                <w:right w:val="none" w:sz="0" w:space="0" w:color="auto"/>
              </w:divBdr>
            </w:div>
            <w:div w:id="1890527009">
              <w:marLeft w:val="0"/>
              <w:marRight w:val="0"/>
              <w:marTop w:val="0"/>
              <w:marBottom w:val="0"/>
              <w:divBdr>
                <w:top w:val="none" w:sz="0" w:space="0" w:color="auto"/>
                <w:left w:val="none" w:sz="0" w:space="0" w:color="auto"/>
                <w:bottom w:val="none" w:sz="0" w:space="0" w:color="auto"/>
                <w:right w:val="none" w:sz="0" w:space="0" w:color="auto"/>
              </w:divBdr>
            </w:div>
            <w:div w:id="546377902">
              <w:marLeft w:val="0"/>
              <w:marRight w:val="0"/>
              <w:marTop w:val="0"/>
              <w:marBottom w:val="0"/>
              <w:divBdr>
                <w:top w:val="none" w:sz="0" w:space="0" w:color="auto"/>
                <w:left w:val="none" w:sz="0" w:space="0" w:color="auto"/>
                <w:bottom w:val="none" w:sz="0" w:space="0" w:color="auto"/>
                <w:right w:val="none" w:sz="0" w:space="0" w:color="auto"/>
              </w:divBdr>
            </w:div>
            <w:div w:id="1575167231">
              <w:marLeft w:val="0"/>
              <w:marRight w:val="0"/>
              <w:marTop w:val="0"/>
              <w:marBottom w:val="0"/>
              <w:divBdr>
                <w:top w:val="none" w:sz="0" w:space="0" w:color="auto"/>
                <w:left w:val="none" w:sz="0" w:space="0" w:color="auto"/>
                <w:bottom w:val="none" w:sz="0" w:space="0" w:color="auto"/>
                <w:right w:val="none" w:sz="0" w:space="0" w:color="auto"/>
              </w:divBdr>
            </w:div>
            <w:div w:id="1667980856">
              <w:marLeft w:val="0"/>
              <w:marRight w:val="0"/>
              <w:marTop w:val="0"/>
              <w:marBottom w:val="0"/>
              <w:divBdr>
                <w:top w:val="none" w:sz="0" w:space="0" w:color="auto"/>
                <w:left w:val="none" w:sz="0" w:space="0" w:color="auto"/>
                <w:bottom w:val="none" w:sz="0" w:space="0" w:color="auto"/>
                <w:right w:val="none" w:sz="0" w:space="0" w:color="auto"/>
              </w:divBdr>
            </w:div>
            <w:div w:id="716399108">
              <w:marLeft w:val="0"/>
              <w:marRight w:val="0"/>
              <w:marTop w:val="0"/>
              <w:marBottom w:val="0"/>
              <w:divBdr>
                <w:top w:val="none" w:sz="0" w:space="0" w:color="auto"/>
                <w:left w:val="none" w:sz="0" w:space="0" w:color="auto"/>
                <w:bottom w:val="none" w:sz="0" w:space="0" w:color="auto"/>
                <w:right w:val="none" w:sz="0" w:space="0" w:color="auto"/>
              </w:divBdr>
            </w:div>
            <w:div w:id="1294209798">
              <w:marLeft w:val="0"/>
              <w:marRight w:val="0"/>
              <w:marTop w:val="0"/>
              <w:marBottom w:val="0"/>
              <w:divBdr>
                <w:top w:val="none" w:sz="0" w:space="0" w:color="auto"/>
                <w:left w:val="none" w:sz="0" w:space="0" w:color="auto"/>
                <w:bottom w:val="none" w:sz="0" w:space="0" w:color="auto"/>
                <w:right w:val="none" w:sz="0" w:space="0" w:color="auto"/>
              </w:divBdr>
            </w:div>
            <w:div w:id="1793791825">
              <w:marLeft w:val="0"/>
              <w:marRight w:val="0"/>
              <w:marTop w:val="0"/>
              <w:marBottom w:val="0"/>
              <w:divBdr>
                <w:top w:val="none" w:sz="0" w:space="0" w:color="auto"/>
                <w:left w:val="none" w:sz="0" w:space="0" w:color="auto"/>
                <w:bottom w:val="none" w:sz="0" w:space="0" w:color="auto"/>
                <w:right w:val="none" w:sz="0" w:space="0" w:color="auto"/>
              </w:divBdr>
            </w:div>
            <w:div w:id="503664343">
              <w:marLeft w:val="0"/>
              <w:marRight w:val="0"/>
              <w:marTop w:val="0"/>
              <w:marBottom w:val="0"/>
              <w:divBdr>
                <w:top w:val="none" w:sz="0" w:space="0" w:color="auto"/>
                <w:left w:val="none" w:sz="0" w:space="0" w:color="auto"/>
                <w:bottom w:val="none" w:sz="0" w:space="0" w:color="auto"/>
                <w:right w:val="none" w:sz="0" w:space="0" w:color="auto"/>
              </w:divBdr>
            </w:div>
            <w:div w:id="788084781">
              <w:marLeft w:val="0"/>
              <w:marRight w:val="0"/>
              <w:marTop w:val="0"/>
              <w:marBottom w:val="0"/>
              <w:divBdr>
                <w:top w:val="none" w:sz="0" w:space="0" w:color="auto"/>
                <w:left w:val="none" w:sz="0" w:space="0" w:color="auto"/>
                <w:bottom w:val="none" w:sz="0" w:space="0" w:color="auto"/>
                <w:right w:val="none" w:sz="0" w:space="0" w:color="auto"/>
              </w:divBdr>
            </w:div>
            <w:div w:id="723215697">
              <w:marLeft w:val="0"/>
              <w:marRight w:val="0"/>
              <w:marTop w:val="0"/>
              <w:marBottom w:val="0"/>
              <w:divBdr>
                <w:top w:val="none" w:sz="0" w:space="0" w:color="auto"/>
                <w:left w:val="none" w:sz="0" w:space="0" w:color="auto"/>
                <w:bottom w:val="none" w:sz="0" w:space="0" w:color="auto"/>
                <w:right w:val="none" w:sz="0" w:space="0" w:color="auto"/>
              </w:divBdr>
            </w:div>
            <w:div w:id="222179369">
              <w:marLeft w:val="0"/>
              <w:marRight w:val="0"/>
              <w:marTop w:val="0"/>
              <w:marBottom w:val="0"/>
              <w:divBdr>
                <w:top w:val="none" w:sz="0" w:space="0" w:color="auto"/>
                <w:left w:val="none" w:sz="0" w:space="0" w:color="auto"/>
                <w:bottom w:val="none" w:sz="0" w:space="0" w:color="auto"/>
                <w:right w:val="none" w:sz="0" w:space="0" w:color="auto"/>
              </w:divBdr>
            </w:div>
            <w:div w:id="474489382">
              <w:marLeft w:val="0"/>
              <w:marRight w:val="0"/>
              <w:marTop w:val="0"/>
              <w:marBottom w:val="0"/>
              <w:divBdr>
                <w:top w:val="none" w:sz="0" w:space="0" w:color="auto"/>
                <w:left w:val="none" w:sz="0" w:space="0" w:color="auto"/>
                <w:bottom w:val="none" w:sz="0" w:space="0" w:color="auto"/>
                <w:right w:val="none" w:sz="0" w:space="0" w:color="auto"/>
              </w:divBdr>
            </w:div>
            <w:div w:id="658969386">
              <w:marLeft w:val="0"/>
              <w:marRight w:val="0"/>
              <w:marTop w:val="0"/>
              <w:marBottom w:val="0"/>
              <w:divBdr>
                <w:top w:val="none" w:sz="0" w:space="0" w:color="auto"/>
                <w:left w:val="none" w:sz="0" w:space="0" w:color="auto"/>
                <w:bottom w:val="none" w:sz="0" w:space="0" w:color="auto"/>
                <w:right w:val="none" w:sz="0" w:space="0" w:color="auto"/>
              </w:divBdr>
            </w:div>
            <w:div w:id="1037269491">
              <w:marLeft w:val="0"/>
              <w:marRight w:val="0"/>
              <w:marTop w:val="0"/>
              <w:marBottom w:val="0"/>
              <w:divBdr>
                <w:top w:val="none" w:sz="0" w:space="0" w:color="auto"/>
                <w:left w:val="none" w:sz="0" w:space="0" w:color="auto"/>
                <w:bottom w:val="none" w:sz="0" w:space="0" w:color="auto"/>
                <w:right w:val="none" w:sz="0" w:space="0" w:color="auto"/>
              </w:divBdr>
            </w:div>
            <w:div w:id="170292163">
              <w:marLeft w:val="0"/>
              <w:marRight w:val="0"/>
              <w:marTop w:val="0"/>
              <w:marBottom w:val="0"/>
              <w:divBdr>
                <w:top w:val="none" w:sz="0" w:space="0" w:color="auto"/>
                <w:left w:val="none" w:sz="0" w:space="0" w:color="auto"/>
                <w:bottom w:val="none" w:sz="0" w:space="0" w:color="auto"/>
                <w:right w:val="none" w:sz="0" w:space="0" w:color="auto"/>
              </w:divBdr>
            </w:div>
            <w:div w:id="1005471923">
              <w:marLeft w:val="0"/>
              <w:marRight w:val="0"/>
              <w:marTop w:val="0"/>
              <w:marBottom w:val="0"/>
              <w:divBdr>
                <w:top w:val="none" w:sz="0" w:space="0" w:color="auto"/>
                <w:left w:val="none" w:sz="0" w:space="0" w:color="auto"/>
                <w:bottom w:val="none" w:sz="0" w:space="0" w:color="auto"/>
                <w:right w:val="none" w:sz="0" w:space="0" w:color="auto"/>
              </w:divBdr>
            </w:div>
            <w:div w:id="441995091">
              <w:marLeft w:val="0"/>
              <w:marRight w:val="0"/>
              <w:marTop w:val="0"/>
              <w:marBottom w:val="0"/>
              <w:divBdr>
                <w:top w:val="none" w:sz="0" w:space="0" w:color="auto"/>
                <w:left w:val="none" w:sz="0" w:space="0" w:color="auto"/>
                <w:bottom w:val="none" w:sz="0" w:space="0" w:color="auto"/>
                <w:right w:val="none" w:sz="0" w:space="0" w:color="auto"/>
              </w:divBdr>
            </w:div>
            <w:div w:id="803815102">
              <w:marLeft w:val="0"/>
              <w:marRight w:val="0"/>
              <w:marTop w:val="0"/>
              <w:marBottom w:val="0"/>
              <w:divBdr>
                <w:top w:val="none" w:sz="0" w:space="0" w:color="auto"/>
                <w:left w:val="none" w:sz="0" w:space="0" w:color="auto"/>
                <w:bottom w:val="none" w:sz="0" w:space="0" w:color="auto"/>
                <w:right w:val="none" w:sz="0" w:space="0" w:color="auto"/>
              </w:divBdr>
            </w:div>
            <w:div w:id="239871452">
              <w:marLeft w:val="0"/>
              <w:marRight w:val="0"/>
              <w:marTop w:val="0"/>
              <w:marBottom w:val="0"/>
              <w:divBdr>
                <w:top w:val="none" w:sz="0" w:space="0" w:color="auto"/>
                <w:left w:val="none" w:sz="0" w:space="0" w:color="auto"/>
                <w:bottom w:val="none" w:sz="0" w:space="0" w:color="auto"/>
                <w:right w:val="none" w:sz="0" w:space="0" w:color="auto"/>
              </w:divBdr>
            </w:div>
            <w:div w:id="2111047103">
              <w:marLeft w:val="0"/>
              <w:marRight w:val="0"/>
              <w:marTop w:val="0"/>
              <w:marBottom w:val="0"/>
              <w:divBdr>
                <w:top w:val="none" w:sz="0" w:space="0" w:color="auto"/>
                <w:left w:val="none" w:sz="0" w:space="0" w:color="auto"/>
                <w:bottom w:val="none" w:sz="0" w:space="0" w:color="auto"/>
                <w:right w:val="none" w:sz="0" w:space="0" w:color="auto"/>
              </w:divBdr>
            </w:div>
            <w:div w:id="30035496">
              <w:marLeft w:val="0"/>
              <w:marRight w:val="0"/>
              <w:marTop w:val="0"/>
              <w:marBottom w:val="0"/>
              <w:divBdr>
                <w:top w:val="none" w:sz="0" w:space="0" w:color="auto"/>
                <w:left w:val="none" w:sz="0" w:space="0" w:color="auto"/>
                <w:bottom w:val="none" w:sz="0" w:space="0" w:color="auto"/>
                <w:right w:val="none" w:sz="0" w:space="0" w:color="auto"/>
              </w:divBdr>
            </w:div>
            <w:div w:id="90667267">
              <w:marLeft w:val="0"/>
              <w:marRight w:val="0"/>
              <w:marTop w:val="0"/>
              <w:marBottom w:val="0"/>
              <w:divBdr>
                <w:top w:val="none" w:sz="0" w:space="0" w:color="auto"/>
                <w:left w:val="none" w:sz="0" w:space="0" w:color="auto"/>
                <w:bottom w:val="none" w:sz="0" w:space="0" w:color="auto"/>
                <w:right w:val="none" w:sz="0" w:space="0" w:color="auto"/>
              </w:divBdr>
            </w:div>
            <w:div w:id="190195007">
              <w:marLeft w:val="0"/>
              <w:marRight w:val="0"/>
              <w:marTop w:val="0"/>
              <w:marBottom w:val="0"/>
              <w:divBdr>
                <w:top w:val="none" w:sz="0" w:space="0" w:color="auto"/>
                <w:left w:val="none" w:sz="0" w:space="0" w:color="auto"/>
                <w:bottom w:val="none" w:sz="0" w:space="0" w:color="auto"/>
                <w:right w:val="none" w:sz="0" w:space="0" w:color="auto"/>
              </w:divBdr>
            </w:div>
            <w:div w:id="1969121974">
              <w:marLeft w:val="0"/>
              <w:marRight w:val="0"/>
              <w:marTop w:val="0"/>
              <w:marBottom w:val="0"/>
              <w:divBdr>
                <w:top w:val="none" w:sz="0" w:space="0" w:color="auto"/>
                <w:left w:val="none" w:sz="0" w:space="0" w:color="auto"/>
                <w:bottom w:val="none" w:sz="0" w:space="0" w:color="auto"/>
                <w:right w:val="none" w:sz="0" w:space="0" w:color="auto"/>
              </w:divBdr>
            </w:div>
            <w:div w:id="2097627034">
              <w:marLeft w:val="0"/>
              <w:marRight w:val="0"/>
              <w:marTop w:val="0"/>
              <w:marBottom w:val="0"/>
              <w:divBdr>
                <w:top w:val="none" w:sz="0" w:space="0" w:color="auto"/>
                <w:left w:val="none" w:sz="0" w:space="0" w:color="auto"/>
                <w:bottom w:val="none" w:sz="0" w:space="0" w:color="auto"/>
                <w:right w:val="none" w:sz="0" w:space="0" w:color="auto"/>
              </w:divBdr>
            </w:div>
            <w:div w:id="82456902">
              <w:marLeft w:val="0"/>
              <w:marRight w:val="0"/>
              <w:marTop w:val="0"/>
              <w:marBottom w:val="0"/>
              <w:divBdr>
                <w:top w:val="none" w:sz="0" w:space="0" w:color="auto"/>
                <w:left w:val="none" w:sz="0" w:space="0" w:color="auto"/>
                <w:bottom w:val="none" w:sz="0" w:space="0" w:color="auto"/>
                <w:right w:val="none" w:sz="0" w:space="0" w:color="auto"/>
              </w:divBdr>
            </w:div>
            <w:div w:id="1829055232">
              <w:marLeft w:val="0"/>
              <w:marRight w:val="0"/>
              <w:marTop w:val="0"/>
              <w:marBottom w:val="0"/>
              <w:divBdr>
                <w:top w:val="none" w:sz="0" w:space="0" w:color="auto"/>
                <w:left w:val="none" w:sz="0" w:space="0" w:color="auto"/>
                <w:bottom w:val="none" w:sz="0" w:space="0" w:color="auto"/>
                <w:right w:val="none" w:sz="0" w:space="0" w:color="auto"/>
              </w:divBdr>
            </w:div>
            <w:div w:id="788204663">
              <w:marLeft w:val="0"/>
              <w:marRight w:val="0"/>
              <w:marTop w:val="0"/>
              <w:marBottom w:val="0"/>
              <w:divBdr>
                <w:top w:val="none" w:sz="0" w:space="0" w:color="auto"/>
                <w:left w:val="none" w:sz="0" w:space="0" w:color="auto"/>
                <w:bottom w:val="none" w:sz="0" w:space="0" w:color="auto"/>
                <w:right w:val="none" w:sz="0" w:space="0" w:color="auto"/>
              </w:divBdr>
            </w:div>
            <w:div w:id="780103733">
              <w:marLeft w:val="0"/>
              <w:marRight w:val="0"/>
              <w:marTop w:val="0"/>
              <w:marBottom w:val="0"/>
              <w:divBdr>
                <w:top w:val="none" w:sz="0" w:space="0" w:color="auto"/>
                <w:left w:val="none" w:sz="0" w:space="0" w:color="auto"/>
                <w:bottom w:val="none" w:sz="0" w:space="0" w:color="auto"/>
                <w:right w:val="none" w:sz="0" w:space="0" w:color="auto"/>
              </w:divBdr>
            </w:div>
            <w:div w:id="1360161547">
              <w:marLeft w:val="0"/>
              <w:marRight w:val="0"/>
              <w:marTop w:val="0"/>
              <w:marBottom w:val="0"/>
              <w:divBdr>
                <w:top w:val="none" w:sz="0" w:space="0" w:color="auto"/>
                <w:left w:val="none" w:sz="0" w:space="0" w:color="auto"/>
                <w:bottom w:val="none" w:sz="0" w:space="0" w:color="auto"/>
                <w:right w:val="none" w:sz="0" w:space="0" w:color="auto"/>
              </w:divBdr>
            </w:div>
            <w:div w:id="564726251">
              <w:marLeft w:val="0"/>
              <w:marRight w:val="0"/>
              <w:marTop w:val="0"/>
              <w:marBottom w:val="0"/>
              <w:divBdr>
                <w:top w:val="none" w:sz="0" w:space="0" w:color="auto"/>
                <w:left w:val="none" w:sz="0" w:space="0" w:color="auto"/>
                <w:bottom w:val="none" w:sz="0" w:space="0" w:color="auto"/>
                <w:right w:val="none" w:sz="0" w:space="0" w:color="auto"/>
              </w:divBdr>
            </w:div>
            <w:div w:id="91366713">
              <w:marLeft w:val="0"/>
              <w:marRight w:val="0"/>
              <w:marTop w:val="0"/>
              <w:marBottom w:val="0"/>
              <w:divBdr>
                <w:top w:val="none" w:sz="0" w:space="0" w:color="auto"/>
                <w:left w:val="none" w:sz="0" w:space="0" w:color="auto"/>
                <w:bottom w:val="none" w:sz="0" w:space="0" w:color="auto"/>
                <w:right w:val="none" w:sz="0" w:space="0" w:color="auto"/>
              </w:divBdr>
            </w:div>
            <w:div w:id="162740823">
              <w:marLeft w:val="0"/>
              <w:marRight w:val="0"/>
              <w:marTop w:val="0"/>
              <w:marBottom w:val="0"/>
              <w:divBdr>
                <w:top w:val="none" w:sz="0" w:space="0" w:color="auto"/>
                <w:left w:val="none" w:sz="0" w:space="0" w:color="auto"/>
                <w:bottom w:val="none" w:sz="0" w:space="0" w:color="auto"/>
                <w:right w:val="none" w:sz="0" w:space="0" w:color="auto"/>
              </w:divBdr>
            </w:div>
            <w:div w:id="700401771">
              <w:marLeft w:val="0"/>
              <w:marRight w:val="0"/>
              <w:marTop w:val="0"/>
              <w:marBottom w:val="0"/>
              <w:divBdr>
                <w:top w:val="none" w:sz="0" w:space="0" w:color="auto"/>
                <w:left w:val="none" w:sz="0" w:space="0" w:color="auto"/>
                <w:bottom w:val="none" w:sz="0" w:space="0" w:color="auto"/>
                <w:right w:val="none" w:sz="0" w:space="0" w:color="auto"/>
              </w:divBdr>
            </w:div>
            <w:div w:id="1472359313">
              <w:marLeft w:val="0"/>
              <w:marRight w:val="0"/>
              <w:marTop w:val="0"/>
              <w:marBottom w:val="0"/>
              <w:divBdr>
                <w:top w:val="none" w:sz="0" w:space="0" w:color="auto"/>
                <w:left w:val="none" w:sz="0" w:space="0" w:color="auto"/>
                <w:bottom w:val="none" w:sz="0" w:space="0" w:color="auto"/>
                <w:right w:val="none" w:sz="0" w:space="0" w:color="auto"/>
              </w:divBdr>
            </w:div>
            <w:div w:id="978268456">
              <w:marLeft w:val="0"/>
              <w:marRight w:val="0"/>
              <w:marTop w:val="0"/>
              <w:marBottom w:val="0"/>
              <w:divBdr>
                <w:top w:val="none" w:sz="0" w:space="0" w:color="auto"/>
                <w:left w:val="none" w:sz="0" w:space="0" w:color="auto"/>
                <w:bottom w:val="none" w:sz="0" w:space="0" w:color="auto"/>
                <w:right w:val="none" w:sz="0" w:space="0" w:color="auto"/>
              </w:divBdr>
            </w:div>
            <w:div w:id="1558978896">
              <w:marLeft w:val="0"/>
              <w:marRight w:val="0"/>
              <w:marTop w:val="0"/>
              <w:marBottom w:val="0"/>
              <w:divBdr>
                <w:top w:val="none" w:sz="0" w:space="0" w:color="auto"/>
                <w:left w:val="none" w:sz="0" w:space="0" w:color="auto"/>
                <w:bottom w:val="none" w:sz="0" w:space="0" w:color="auto"/>
                <w:right w:val="none" w:sz="0" w:space="0" w:color="auto"/>
              </w:divBdr>
            </w:div>
            <w:div w:id="2116246811">
              <w:marLeft w:val="0"/>
              <w:marRight w:val="0"/>
              <w:marTop w:val="0"/>
              <w:marBottom w:val="0"/>
              <w:divBdr>
                <w:top w:val="none" w:sz="0" w:space="0" w:color="auto"/>
                <w:left w:val="none" w:sz="0" w:space="0" w:color="auto"/>
                <w:bottom w:val="none" w:sz="0" w:space="0" w:color="auto"/>
                <w:right w:val="none" w:sz="0" w:space="0" w:color="auto"/>
              </w:divBdr>
            </w:div>
            <w:div w:id="1897620456">
              <w:marLeft w:val="0"/>
              <w:marRight w:val="0"/>
              <w:marTop w:val="0"/>
              <w:marBottom w:val="0"/>
              <w:divBdr>
                <w:top w:val="none" w:sz="0" w:space="0" w:color="auto"/>
                <w:left w:val="none" w:sz="0" w:space="0" w:color="auto"/>
                <w:bottom w:val="none" w:sz="0" w:space="0" w:color="auto"/>
                <w:right w:val="none" w:sz="0" w:space="0" w:color="auto"/>
              </w:divBdr>
            </w:div>
            <w:div w:id="1679192031">
              <w:marLeft w:val="0"/>
              <w:marRight w:val="0"/>
              <w:marTop w:val="0"/>
              <w:marBottom w:val="0"/>
              <w:divBdr>
                <w:top w:val="none" w:sz="0" w:space="0" w:color="auto"/>
                <w:left w:val="none" w:sz="0" w:space="0" w:color="auto"/>
                <w:bottom w:val="none" w:sz="0" w:space="0" w:color="auto"/>
                <w:right w:val="none" w:sz="0" w:space="0" w:color="auto"/>
              </w:divBdr>
            </w:div>
            <w:div w:id="1498418773">
              <w:marLeft w:val="0"/>
              <w:marRight w:val="0"/>
              <w:marTop w:val="0"/>
              <w:marBottom w:val="0"/>
              <w:divBdr>
                <w:top w:val="none" w:sz="0" w:space="0" w:color="auto"/>
                <w:left w:val="none" w:sz="0" w:space="0" w:color="auto"/>
                <w:bottom w:val="none" w:sz="0" w:space="0" w:color="auto"/>
                <w:right w:val="none" w:sz="0" w:space="0" w:color="auto"/>
              </w:divBdr>
            </w:div>
            <w:div w:id="1461338839">
              <w:marLeft w:val="0"/>
              <w:marRight w:val="0"/>
              <w:marTop w:val="0"/>
              <w:marBottom w:val="0"/>
              <w:divBdr>
                <w:top w:val="none" w:sz="0" w:space="0" w:color="auto"/>
                <w:left w:val="none" w:sz="0" w:space="0" w:color="auto"/>
                <w:bottom w:val="none" w:sz="0" w:space="0" w:color="auto"/>
                <w:right w:val="none" w:sz="0" w:space="0" w:color="auto"/>
              </w:divBdr>
            </w:div>
            <w:div w:id="1573932664">
              <w:marLeft w:val="0"/>
              <w:marRight w:val="0"/>
              <w:marTop w:val="0"/>
              <w:marBottom w:val="0"/>
              <w:divBdr>
                <w:top w:val="none" w:sz="0" w:space="0" w:color="auto"/>
                <w:left w:val="none" w:sz="0" w:space="0" w:color="auto"/>
                <w:bottom w:val="none" w:sz="0" w:space="0" w:color="auto"/>
                <w:right w:val="none" w:sz="0" w:space="0" w:color="auto"/>
              </w:divBdr>
            </w:div>
            <w:div w:id="1672030614">
              <w:marLeft w:val="0"/>
              <w:marRight w:val="0"/>
              <w:marTop w:val="0"/>
              <w:marBottom w:val="0"/>
              <w:divBdr>
                <w:top w:val="none" w:sz="0" w:space="0" w:color="auto"/>
                <w:left w:val="none" w:sz="0" w:space="0" w:color="auto"/>
                <w:bottom w:val="none" w:sz="0" w:space="0" w:color="auto"/>
                <w:right w:val="none" w:sz="0" w:space="0" w:color="auto"/>
              </w:divBdr>
            </w:div>
            <w:div w:id="1870142818">
              <w:marLeft w:val="0"/>
              <w:marRight w:val="0"/>
              <w:marTop w:val="0"/>
              <w:marBottom w:val="0"/>
              <w:divBdr>
                <w:top w:val="none" w:sz="0" w:space="0" w:color="auto"/>
                <w:left w:val="none" w:sz="0" w:space="0" w:color="auto"/>
                <w:bottom w:val="none" w:sz="0" w:space="0" w:color="auto"/>
                <w:right w:val="none" w:sz="0" w:space="0" w:color="auto"/>
              </w:divBdr>
            </w:div>
            <w:div w:id="1150438460">
              <w:marLeft w:val="0"/>
              <w:marRight w:val="0"/>
              <w:marTop w:val="0"/>
              <w:marBottom w:val="0"/>
              <w:divBdr>
                <w:top w:val="none" w:sz="0" w:space="0" w:color="auto"/>
                <w:left w:val="none" w:sz="0" w:space="0" w:color="auto"/>
                <w:bottom w:val="none" w:sz="0" w:space="0" w:color="auto"/>
                <w:right w:val="none" w:sz="0" w:space="0" w:color="auto"/>
              </w:divBdr>
            </w:div>
            <w:div w:id="992488295">
              <w:marLeft w:val="0"/>
              <w:marRight w:val="0"/>
              <w:marTop w:val="0"/>
              <w:marBottom w:val="0"/>
              <w:divBdr>
                <w:top w:val="none" w:sz="0" w:space="0" w:color="auto"/>
                <w:left w:val="none" w:sz="0" w:space="0" w:color="auto"/>
                <w:bottom w:val="none" w:sz="0" w:space="0" w:color="auto"/>
                <w:right w:val="none" w:sz="0" w:space="0" w:color="auto"/>
              </w:divBdr>
            </w:div>
            <w:div w:id="736785783">
              <w:marLeft w:val="0"/>
              <w:marRight w:val="0"/>
              <w:marTop w:val="0"/>
              <w:marBottom w:val="0"/>
              <w:divBdr>
                <w:top w:val="none" w:sz="0" w:space="0" w:color="auto"/>
                <w:left w:val="none" w:sz="0" w:space="0" w:color="auto"/>
                <w:bottom w:val="none" w:sz="0" w:space="0" w:color="auto"/>
                <w:right w:val="none" w:sz="0" w:space="0" w:color="auto"/>
              </w:divBdr>
            </w:div>
            <w:div w:id="63183587">
              <w:marLeft w:val="0"/>
              <w:marRight w:val="0"/>
              <w:marTop w:val="0"/>
              <w:marBottom w:val="0"/>
              <w:divBdr>
                <w:top w:val="none" w:sz="0" w:space="0" w:color="auto"/>
                <w:left w:val="none" w:sz="0" w:space="0" w:color="auto"/>
                <w:bottom w:val="none" w:sz="0" w:space="0" w:color="auto"/>
                <w:right w:val="none" w:sz="0" w:space="0" w:color="auto"/>
              </w:divBdr>
            </w:div>
            <w:div w:id="145822012">
              <w:marLeft w:val="0"/>
              <w:marRight w:val="0"/>
              <w:marTop w:val="0"/>
              <w:marBottom w:val="0"/>
              <w:divBdr>
                <w:top w:val="none" w:sz="0" w:space="0" w:color="auto"/>
                <w:left w:val="none" w:sz="0" w:space="0" w:color="auto"/>
                <w:bottom w:val="none" w:sz="0" w:space="0" w:color="auto"/>
                <w:right w:val="none" w:sz="0" w:space="0" w:color="auto"/>
              </w:divBdr>
            </w:div>
            <w:div w:id="789977554">
              <w:marLeft w:val="0"/>
              <w:marRight w:val="0"/>
              <w:marTop w:val="0"/>
              <w:marBottom w:val="0"/>
              <w:divBdr>
                <w:top w:val="none" w:sz="0" w:space="0" w:color="auto"/>
                <w:left w:val="none" w:sz="0" w:space="0" w:color="auto"/>
                <w:bottom w:val="none" w:sz="0" w:space="0" w:color="auto"/>
                <w:right w:val="none" w:sz="0" w:space="0" w:color="auto"/>
              </w:divBdr>
            </w:div>
            <w:div w:id="311834448">
              <w:marLeft w:val="0"/>
              <w:marRight w:val="0"/>
              <w:marTop w:val="0"/>
              <w:marBottom w:val="0"/>
              <w:divBdr>
                <w:top w:val="none" w:sz="0" w:space="0" w:color="auto"/>
                <w:left w:val="none" w:sz="0" w:space="0" w:color="auto"/>
                <w:bottom w:val="none" w:sz="0" w:space="0" w:color="auto"/>
                <w:right w:val="none" w:sz="0" w:space="0" w:color="auto"/>
              </w:divBdr>
            </w:div>
            <w:div w:id="472790593">
              <w:marLeft w:val="0"/>
              <w:marRight w:val="0"/>
              <w:marTop w:val="0"/>
              <w:marBottom w:val="0"/>
              <w:divBdr>
                <w:top w:val="none" w:sz="0" w:space="0" w:color="auto"/>
                <w:left w:val="none" w:sz="0" w:space="0" w:color="auto"/>
                <w:bottom w:val="none" w:sz="0" w:space="0" w:color="auto"/>
                <w:right w:val="none" w:sz="0" w:space="0" w:color="auto"/>
              </w:divBdr>
            </w:div>
            <w:div w:id="1656640482">
              <w:marLeft w:val="0"/>
              <w:marRight w:val="0"/>
              <w:marTop w:val="0"/>
              <w:marBottom w:val="0"/>
              <w:divBdr>
                <w:top w:val="none" w:sz="0" w:space="0" w:color="auto"/>
                <w:left w:val="none" w:sz="0" w:space="0" w:color="auto"/>
                <w:bottom w:val="none" w:sz="0" w:space="0" w:color="auto"/>
                <w:right w:val="none" w:sz="0" w:space="0" w:color="auto"/>
              </w:divBdr>
            </w:div>
            <w:div w:id="933825494">
              <w:marLeft w:val="0"/>
              <w:marRight w:val="0"/>
              <w:marTop w:val="0"/>
              <w:marBottom w:val="0"/>
              <w:divBdr>
                <w:top w:val="none" w:sz="0" w:space="0" w:color="auto"/>
                <w:left w:val="none" w:sz="0" w:space="0" w:color="auto"/>
                <w:bottom w:val="none" w:sz="0" w:space="0" w:color="auto"/>
                <w:right w:val="none" w:sz="0" w:space="0" w:color="auto"/>
              </w:divBdr>
            </w:div>
            <w:div w:id="670839965">
              <w:marLeft w:val="0"/>
              <w:marRight w:val="0"/>
              <w:marTop w:val="0"/>
              <w:marBottom w:val="0"/>
              <w:divBdr>
                <w:top w:val="none" w:sz="0" w:space="0" w:color="auto"/>
                <w:left w:val="none" w:sz="0" w:space="0" w:color="auto"/>
                <w:bottom w:val="none" w:sz="0" w:space="0" w:color="auto"/>
                <w:right w:val="none" w:sz="0" w:space="0" w:color="auto"/>
              </w:divBdr>
            </w:div>
            <w:div w:id="197354506">
              <w:marLeft w:val="0"/>
              <w:marRight w:val="0"/>
              <w:marTop w:val="0"/>
              <w:marBottom w:val="0"/>
              <w:divBdr>
                <w:top w:val="none" w:sz="0" w:space="0" w:color="auto"/>
                <w:left w:val="none" w:sz="0" w:space="0" w:color="auto"/>
                <w:bottom w:val="none" w:sz="0" w:space="0" w:color="auto"/>
                <w:right w:val="none" w:sz="0" w:space="0" w:color="auto"/>
              </w:divBdr>
            </w:div>
            <w:div w:id="2079012620">
              <w:marLeft w:val="0"/>
              <w:marRight w:val="0"/>
              <w:marTop w:val="0"/>
              <w:marBottom w:val="0"/>
              <w:divBdr>
                <w:top w:val="none" w:sz="0" w:space="0" w:color="auto"/>
                <w:left w:val="none" w:sz="0" w:space="0" w:color="auto"/>
                <w:bottom w:val="none" w:sz="0" w:space="0" w:color="auto"/>
                <w:right w:val="none" w:sz="0" w:space="0" w:color="auto"/>
              </w:divBdr>
            </w:div>
            <w:div w:id="1427769290">
              <w:marLeft w:val="0"/>
              <w:marRight w:val="0"/>
              <w:marTop w:val="0"/>
              <w:marBottom w:val="0"/>
              <w:divBdr>
                <w:top w:val="none" w:sz="0" w:space="0" w:color="auto"/>
                <w:left w:val="none" w:sz="0" w:space="0" w:color="auto"/>
                <w:bottom w:val="none" w:sz="0" w:space="0" w:color="auto"/>
                <w:right w:val="none" w:sz="0" w:space="0" w:color="auto"/>
              </w:divBdr>
            </w:div>
            <w:div w:id="1227178611">
              <w:marLeft w:val="0"/>
              <w:marRight w:val="0"/>
              <w:marTop w:val="0"/>
              <w:marBottom w:val="0"/>
              <w:divBdr>
                <w:top w:val="none" w:sz="0" w:space="0" w:color="auto"/>
                <w:left w:val="none" w:sz="0" w:space="0" w:color="auto"/>
                <w:bottom w:val="none" w:sz="0" w:space="0" w:color="auto"/>
                <w:right w:val="none" w:sz="0" w:space="0" w:color="auto"/>
              </w:divBdr>
            </w:div>
            <w:div w:id="1270357632">
              <w:marLeft w:val="0"/>
              <w:marRight w:val="0"/>
              <w:marTop w:val="0"/>
              <w:marBottom w:val="0"/>
              <w:divBdr>
                <w:top w:val="none" w:sz="0" w:space="0" w:color="auto"/>
                <w:left w:val="none" w:sz="0" w:space="0" w:color="auto"/>
                <w:bottom w:val="none" w:sz="0" w:space="0" w:color="auto"/>
                <w:right w:val="none" w:sz="0" w:space="0" w:color="auto"/>
              </w:divBdr>
            </w:div>
            <w:div w:id="947659226">
              <w:marLeft w:val="0"/>
              <w:marRight w:val="0"/>
              <w:marTop w:val="0"/>
              <w:marBottom w:val="0"/>
              <w:divBdr>
                <w:top w:val="none" w:sz="0" w:space="0" w:color="auto"/>
                <w:left w:val="none" w:sz="0" w:space="0" w:color="auto"/>
                <w:bottom w:val="none" w:sz="0" w:space="0" w:color="auto"/>
                <w:right w:val="none" w:sz="0" w:space="0" w:color="auto"/>
              </w:divBdr>
            </w:div>
            <w:div w:id="1194415063">
              <w:marLeft w:val="0"/>
              <w:marRight w:val="0"/>
              <w:marTop w:val="0"/>
              <w:marBottom w:val="0"/>
              <w:divBdr>
                <w:top w:val="none" w:sz="0" w:space="0" w:color="auto"/>
                <w:left w:val="none" w:sz="0" w:space="0" w:color="auto"/>
                <w:bottom w:val="none" w:sz="0" w:space="0" w:color="auto"/>
                <w:right w:val="none" w:sz="0" w:space="0" w:color="auto"/>
              </w:divBdr>
            </w:div>
            <w:div w:id="2125534132">
              <w:marLeft w:val="0"/>
              <w:marRight w:val="0"/>
              <w:marTop w:val="0"/>
              <w:marBottom w:val="0"/>
              <w:divBdr>
                <w:top w:val="none" w:sz="0" w:space="0" w:color="auto"/>
                <w:left w:val="none" w:sz="0" w:space="0" w:color="auto"/>
                <w:bottom w:val="none" w:sz="0" w:space="0" w:color="auto"/>
                <w:right w:val="none" w:sz="0" w:space="0" w:color="auto"/>
              </w:divBdr>
            </w:div>
            <w:div w:id="1579900171">
              <w:marLeft w:val="0"/>
              <w:marRight w:val="0"/>
              <w:marTop w:val="0"/>
              <w:marBottom w:val="0"/>
              <w:divBdr>
                <w:top w:val="none" w:sz="0" w:space="0" w:color="auto"/>
                <w:left w:val="none" w:sz="0" w:space="0" w:color="auto"/>
                <w:bottom w:val="none" w:sz="0" w:space="0" w:color="auto"/>
                <w:right w:val="none" w:sz="0" w:space="0" w:color="auto"/>
              </w:divBdr>
            </w:div>
            <w:div w:id="371541002">
              <w:marLeft w:val="0"/>
              <w:marRight w:val="0"/>
              <w:marTop w:val="0"/>
              <w:marBottom w:val="0"/>
              <w:divBdr>
                <w:top w:val="none" w:sz="0" w:space="0" w:color="auto"/>
                <w:left w:val="none" w:sz="0" w:space="0" w:color="auto"/>
                <w:bottom w:val="none" w:sz="0" w:space="0" w:color="auto"/>
                <w:right w:val="none" w:sz="0" w:space="0" w:color="auto"/>
              </w:divBdr>
            </w:div>
            <w:div w:id="1021510775">
              <w:marLeft w:val="0"/>
              <w:marRight w:val="0"/>
              <w:marTop w:val="0"/>
              <w:marBottom w:val="0"/>
              <w:divBdr>
                <w:top w:val="none" w:sz="0" w:space="0" w:color="auto"/>
                <w:left w:val="none" w:sz="0" w:space="0" w:color="auto"/>
                <w:bottom w:val="none" w:sz="0" w:space="0" w:color="auto"/>
                <w:right w:val="none" w:sz="0" w:space="0" w:color="auto"/>
              </w:divBdr>
            </w:div>
            <w:div w:id="1441072379">
              <w:marLeft w:val="0"/>
              <w:marRight w:val="0"/>
              <w:marTop w:val="0"/>
              <w:marBottom w:val="0"/>
              <w:divBdr>
                <w:top w:val="none" w:sz="0" w:space="0" w:color="auto"/>
                <w:left w:val="none" w:sz="0" w:space="0" w:color="auto"/>
                <w:bottom w:val="none" w:sz="0" w:space="0" w:color="auto"/>
                <w:right w:val="none" w:sz="0" w:space="0" w:color="auto"/>
              </w:divBdr>
            </w:div>
            <w:div w:id="224684352">
              <w:marLeft w:val="0"/>
              <w:marRight w:val="0"/>
              <w:marTop w:val="0"/>
              <w:marBottom w:val="0"/>
              <w:divBdr>
                <w:top w:val="none" w:sz="0" w:space="0" w:color="auto"/>
                <w:left w:val="none" w:sz="0" w:space="0" w:color="auto"/>
                <w:bottom w:val="none" w:sz="0" w:space="0" w:color="auto"/>
                <w:right w:val="none" w:sz="0" w:space="0" w:color="auto"/>
              </w:divBdr>
            </w:div>
            <w:div w:id="1434321054">
              <w:marLeft w:val="0"/>
              <w:marRight w:val="0"/>
              <w:marTop w:val="0"/>
              <w:marBottom w:val="0"/>
              <w:divBdr>
                <w:top w:val="none" w:sz="0" w:space="0" w:color="auto"/>
                <w:left w:val="none" w:sz="0" w:space="0" w:color="auto"/>
                <w:bottom w:val="none" w:sz="0" w:space="0" w:color="auto"/>
                <w:right w:val="none" w:sz="0" w:space="0" w:color="auto"/>
              </w:divBdr>
            </w:div>
            <w:div w:id="1172598860">
              <w:marLeft w:val="0"/>
              <w:marRight w:val="0"/>
              <w:marTop w:val="0"/>
              <w:marBottom w:val="0"/>
              <w:divBdr>
                <w:top w:val="none" w:sz="0" w:space="0" w:color="auto"/>
                <w:left w:val="none" w:sz="0" w:space="0" w:color="auto"/>
                <w:bottom w:val="none" w:sz="0" w:space="0" w:color="auto"/>
                <w:right w:val="none" w:sz="0" w:space="0" w:color="auto"/>
              </w:divBdr>
            </w:div>
            <w:div w:id="1102143465">
              <w:marLeft w:val="0"/>
              <w:marRight w:val="0"/>
              <w:marTop w:val="0"/>
              <w:marBottom w:val="0"/>
              <w:divBdr>
                <w:top w:val="none" w:sz="0" w:space="0" w:color="auto"/>
                <w:left w:val="none" w:sz="0" w:space="0" w:color="auto"/>
                <w:bottom w:val="none" w:sz="0" w:space="0" w:color="auto"/>
                <w:right w:val="none" w:sz="0" w:space="0" w:color="auto"/>
              </w:divBdr>
            </w:div>
            <w:div w:id="261375606">
              <w:marLeft w:val="0"/>
              <w:marRight w:val="0"/>
              <w:marTop w:val="0"/>
              <w:marBottom w:val="0"/>
              <w:divBdr>
                <w:top w:val="none" w:sz="0" w:space="0" w:color="auto"/>
                <w:left w:val="none" w:sz="0" w:space="0" w:color="auto"/>
                <w:bottom w:val="none" w:sz="0" w:space="0" w:color="auto"/>
                <w:right w:val="none" w:sz="0" w:space="0" w:color="auto"/>
              </w:divBdr>
            </w:div>
            <w:div w:id="651909386">
              <w:marLeft w:val="0"/>
              <w:marRight w:val="0"/>
              <w:marTop w:val="0"/>
              <w:marBottom w:val="0"/>
              <w:divBdr>
                <w:top w:val="none" w:sz="0" w:space="0" w:color="auto"/>
                <w:left w:val="none" w:sz="0" w:space="0" w:color="auto"/>
                <w:bottom w:val="none" w:sz="0" w:space="0" w:color="auto"/>
                <w:right w:val="none" w:sz="0" w:space="0" w:color="auto"/>
              </w:divBdr>
            </w:div>
            <w:div w:id="1723359933">
              <w:marLeft w:val="0"/>
              <w:marRight w:val="0"/>
              <w:marTop w:val="0"/>
              <w:marBottom w:val="0"/>
              <w:divBdr>
                <w:top w:val="none" w:sz="0" w:space="0" w:color="auto"/>
                <w:left w:val="none" w:sz="0" w:space="0" w:color="auto"/>
                <w:bottom w:val="none" w:sz="0" w:space="0" w:color="auto"/>
                <w:right w:val="none" w:sz="0" w:space="0" w:color="auto"/>
              </w:divBdr>
            </w:div>
            <w:div w:id="225604930">
              <w:marLeft w:val="0"/>
              <w:marRight w:val="0"/>
              <w:marTop w:val="0"/>
              <w:marBottom w:val="0"/>
              <w:divBdr>
                <w:top w:val="none" w:sz="0" w:space="0" w:color="auto"/>
                <w:left w:val="none" w:sz="0" w:space="0" w:color="auto"/>
                <w:bottom w:val="none" w:sz="0" w:space="0" w:color="auto"/>
                <w:right w:val="none" w:sz="0" w:space="0" w:color="auto"/>
              </w:divBdr>
            </w:div>
            <w:div w:id="126704190">
              <w:marLeft w:val="0"/>
              <w:marRight w:val="0"/>
              <w:marTop w:val="0"/>
              <w:marBottom w:val="0"/>
              <w:divBdr>
                <w:top w:val="none" w:sz="0" w:space="0" w:color="auto"/>
                <w:left w:val="none" w:sz="0" w:space="0" w:color="auto"/>
                <w:bottom w:val="none" w:sz="0" w:space="0" w:color="auto"/>
                <w:right w:val="none" w:sz="0" w:space="0" w:color="auto"/>
              </w:divBdr>
            </w:div>
            <w:div w:id="471482048">
              <w:marLeft w:val="0"/>
              <w:marRight w:val="0"/>
              <w:marTop w:val="0"/>
              <w:marBottom w:val="0"/>
              <w:divBdr>
                <w:top w:val="none" w:sz="0" w:space="0" w:color="auto"/>
                <w:left w:val="none" w:sz="0" w:space="0" w:color="auto"/>
                <w:bottom w:val="none" w:sz="0" w:space="0" w:color="auto"/>
                <w:right w:val="none" w:sz="0" w:space="0" w:color="auto"/>
              </w:divBdr>
            </w:div>
            <w:div w:id="2038697836">
              <w:marLeft w:val="0"/>
              <w:marRight w:val="0"/>
              <w:marTop w:val="0"/>
              <w:marBottom w:val="0"/>
              <w:divBdr>
                <w:top w:val="none" w:sz="0" w:space="0" w:color="auto"/>
                <w:left w:val="none" w:sz="0" w:space="0" w:color="auto"/>
                <w:bottom w:val="none" w:sz="0" w:space="0" w:color="auto"/>
                <w:right w:val="none" w:sz="0" w:space="0" w:color="auto"/>
              </w:divBdr>
            </w:div>
            <w:div w:id="867916715">
              <w:marLeft w:val="0"/>
              <w:marRight w:val="0"/>
              <w:marTop w:val="0"/>
              <w:marBottom w:val="0"/>
              <w:divBdr>
                <w:top w:val="none" w:sz="0" w:space="0" w:color="auto"/>
                <w:left w:val="none" w:sz="0" w:space="0" w:color="auto"/>
                <w:bottom w:val="none" w:sz="0" w:space="0" w:color="auto"/>
                <w:right w:val="none" w:sz="0" w:space="0" w:color="auto"/>
              </w:divBdr>
            </w:div>
            <w:div w:id="1612545545">
              <w:marLeft w:val="0"/>
              <w:marRight w:val="0"/>
              <w:marTop w:val="0"/>
              <w:marBottom w:val="0"/>
              <w:divBdr>
                <w:top w:val="none" w:sz="0" w:space="0" w:color="auto"/>
                <w:left w:val="none" w:sz="0" w:space="0" w:color="auto"/>
                <w:bottom w:val="none" w:sz="0" w:space="0" w:color="auto"/>
                <w:right w:val="none" w:sz="0" w:space="0" w:color="auto"/>
              </w:divBdr>
            </w:div>
            <w:div w:id="1002469223">
              <w:marLeft w:val="0"/>
              <w:marRight w:val="0"/>
              <w:marTop w:val="0"/>
              <w:marBottom w:val="0"/>
              <w:divBdr>
                <w:top w:val="none" w:sz="0" w:space="0" w:color="auto"/>
                <w:left w:val="none" w:sz="0" w:space="0" w:color="auto"/>
                <w:bottom w:val="none" w:sz="0" w:space="0" w:color="auto"/>
                <w:right w:val="none" w:sz="0" w:space="0" w:color="auto"/>
              </w:divBdr>
            </w:div>
            <w:div w:id="1240865527">
              <w:marLeft w:val="0"/>
              <w:marRight w:val="0"/>
              <w:marTop w:val="0"/>
              <w:marBottom w:val="0"/>
              <w:divBdr>
                <w:top w:val="none" w:sz="0" w:space="0" w:color="auto"/>
                <w:left w:val="none" w:sz="0" w:space="0" w:color="auto"/>
                <w:bottom w:val="none" w:sz="0" w:space="0" w:color="auto"/>
                <w:right w:val="none" w:sz="0" w:space="0" w:color="auto"/>
              </w:divBdr>
            </w:div>
            <w:div w:id="21165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13384</Words>
  <Characters>76292</Characters>
  <Application>Microsoft Macintosh Word</Application>
  <DocSecurity>0</DocSecurity>
  <Lines>635</Lines>
  <Paragraphs>178</Paragraphs>
  <ScaleCrop>false</ScaleCrop>
  <Company>Università di Messina</Company>
  <LinksUpToDate>false</LinksUpToDate>
  <CharactersWithSpaces>89498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Mucosal healing in Inflammatory Bowel Disease: maintain or de-escalate therapy</dc:title>
  <dc:subject/>
  <dc:creator>Trays Ricciardi</dc:creator>
  <cp:keywords/>
  <dc:description/>
  <cp:lastModifiedBy>Na Ma</cp:lastModifiedBy>
  <cp:revision>2</cp:revision>
  <dcterms:created xsi:type="dcterms:W3CDTF">2015-12-07T18:23:00Z</dcterms:created>
  <dcterms:modified xsi:type="dcterms:W3CDTF">2015-12-07T18:23:00Z</dcterms:modified>
</cp:coreProperties>
</file>