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207BB" w14:textId="77777777" w:rsidR="008C6B41" w:rsidRPr="00977582" w:rsidRDefault="008C6B41" w:rsidP="0041646E">
      <w:pPr>
        <w:adjustRightInd w:val="0"/>
        <w:snapToGrid w:val="0"/>
        <w:spacing w:after="0" w:line="360" w:lineRule="auto"/>
        <w:jc w:val="both"/>
        <w:rPr>
          <w:rFonts w:ascii="Book Antiqua" w:eastAsia="Times New Roman" w:hAnsi="Book Antiqua" w:cs="SimSun"/>
          <w:i/>
          <w:color w:val="000000" w:themeColor="text1"/>
          <w:szCs w:val="21"/>
        </w:rPr>
      </w:pPr>
      <w:r w:rsidRPr="00977582">
        <w:rPr>
          <w:rFonts w:ascii="Book Antiqua" w:eastAsia="Times New Roman" w:hAnsi="Book Antiqua" w:cs="SimSun"/>
          <w:b/>
          <w:color w:val="000000" w:themeColor="text1"/>
          <w:szCs w:val="21"/>
        </w:rPr>
        <w:t xml:space="preserve">Name of journal: </w:t>
      </w:r>
      <w:bookmarkStart w:id="0" w:name="_GoBack"/>
      <w:r w:rsidRPr="00977582">
        <w:rPr>
          <w:rFonts w:ascii="Book Antiqua" w:eastAsia="Times New Roman" w:hAnsi="Book Antiqua" w:cs="SimSun"/>
          <w:b/>
          <w:color w:val="000000" w:themeColor="text1"/>
          <w:szCs w:val="21"/>
        </w:rPr>
        <w:t>World J</w:t>
      </w:r>
      <w:bookmarkEnd w:id="0"/>
      <w:r w:rsidRPr="00977582">
        <w:rPr>
          <w:rFonts w:ascii="Book Antiqua" w:eastAsia="Times New Roman" w:hAnsi="Book Antiqua" w:cs="SimSun"/>
          <w:b/>
          <w:color w:val="000000" w:themeColor="text1"/>
          <w:szCs w:val="21"/>
        </w:rPr>
        <w:t>ournal of Gastroenterology</w:t>
      </w:r>
    </w:p>
    <w:p w14:paraId="19AF7018" w14:textId="15613FDE" w:rsidR="008C6B41" w:rsidRPr="00977582" w:rsidRDefault="008C6B41" w:rsidP="0041646E">
      <w:pPr>
        <w:adjustRightInd w:val="0"/>
        <w:snapToGrid w:val="0"/>
        <w:spacing w:after="0" w:line="360" w:lineRule="auto"/>
        <w:jc w:val="both"/>
        <w:rPr>
          <w:rFonts w:ascii="Book Antiqua" w:hAnsi="Book Antiqua" w:cs="Arial"/>
          <w:b/>
          <w:color w:val="000000" w:themeColor="text1"/>
          <w:szCs w:val="21"/>
          <w:lang w:val="en" w:eastAsia="zh-CN"/>
        </w:rPr>
      </w:pPr>
      <w:r w:rsidRPr="00977582">
        <w:rPr>
          <w:rFonts w:ascii="Book Antiqua" w:hAnsi="Book Antiqua" w:cs="Arial"/>
          <w:b/>
          <w:color w:val="000000" w:themeColor="text1"/>
          <w:szCs w:val="21"/>
          <w:lang w:val="en"/>
        </w:rPr>
        <w:t xml:space="preserve">ESPS Manuscript NO: </w:t>
      </w:r>
      <w:r w:rsidRPr="00977582">
        <w:rPr>
          <w:rFonts w:ascii="Book Antiqua" w:hAnsi="Book Antiqua" w:cs="Arial" w:hint="eastAsia"/>
          <w:b/>
          <w:color w:val="000000" w:themeColor="text1"/>
          <w:szCs w:val="21"/>
          <w:lang w:val="en" w:eastAsia="zh-CN"/>
        </w:rPr>
        <w:t>21973</w:t>
      </w:r>
    </w:p>
    <w:p w14:paraId="7A6C166B" w14:textId="77777777" w:rsidR="008C6B41" w:rsidRPr="00977582" w:rsidRDefault="008C6B41" w:rsidP="0041646E">
      <w:pPr>
        <w:autoSpaceDE w:val="0"/>
        <w:autoSpaceDN w:val="0"/>
        <w:adjustRightInd w:val="0"/>
        <w:snapToGrid w:val="0"/>
        <w:spacing w:after="0" w:line="360" w:lineRule="auto"/>
        <w:jc w:val="both"/>
        <w:rPr>
          <w:rFonts w:ascii="Book Antiqua" w:hAnsi="Book Antiqua"/>
          <w:b/>
          <w:color w:val="000000" w:themeColor="text1"/>
          <w:szCs w:val="21"/>
        </w:rPr>
      </w:pPr>
      <w:r w:rsidRPr="00977582">
        <w:rPr>
          <w:rFonts w:ascii="Book Antiqua" w:hAnsi="Book Antiqua"/>
          <w:b/>
          <w:color w:val="000000" w:themeColor="text1"/>
          <w:szCs w:val="21"/>
        </w:rPr>
        <w:t>Columns: ORIGINAL ARTICLE</w:t>
      </w:r>
    </w:p>
    <w:p w14:paraId="156CD4C3" w14:textId="10A30C9F" w:rsidR="008C6B41" w:rsidRPr="004B26CF" w:rsidRDefault="008C6B41" w:rsidP="0041646E">
      <w:pPr>
        <w:adjustRightInd w:val="0"/>
        <w:snapToGrid w:val="0"/>
        <w:spacing w:after="0" w:line="360" w:lineRule="auto"/>
        <w:jc w:val="both"/>
        <w:rPr>
          <w:rFonts w:ascii="Book Antiqua" w:eastAsia="YouYuan" w:hAnsi="Book Antiqua"/>
          <w:b/>
          <w:i/>
          <w:color w:val="000000" w:themeColor="text1"/>
          <w:lang w:eastAsia="zh-CN"/>
        </w:rPr>
      </w:pPr>
      <w:r w:rsidRPr="00977582">
        <w:rPr>
          <w:rFonts w:ascii="Book Antiqua" w:eastAsia="YouYuan" w:hAnsi="Book Antiqua"/>
          <w:b/>
          <w:i/>
          <w:color w:val="000000" w:themeColor="text1"/>
        </w:rPr>
        <w:t>Retrospective Study</w:t>
      </w:r>
    </w:p>
    <w:p w14:paraId="72E54C42" w14:textId="544A24C9" w:rsidR="00827E74" w:rsidRPr="00977582" w:rsidRDefault="00A701C6" w:rsidP="0041646E">
      <w:pPr>
        <w:adjustRightInd w:val="0"/>
        <w:snapToGrid w:val="0"/>
        <w:spacing w:after="0" w:line="360" w:lineRule="auto"/>
        <w:jc w:val="both"/>
        <w:rPr>
          <w:rFonts w:ascii="Book Antiqua" w:hAnsi="Book Antiqua"/>
          <w:b/>
          <w:color w:val="000000" w:themeColor="text1"/>
          <w:lang w:eastAsia="zh-CN"/>
        </w:rPr>
      </w:pPr>
      <w:r w:rsidRPr="00977582">
        <w:rPr>
          <w:rFonts w:ascii="Book Antiqua" w:hAnsi="Book Antiqua"/>
          <w:b/>
          <w:color w:val="000000" w:themeColor="text1"/>
        </w:rPr>
        <w:t>Healthcar</w:t>
      </w:r>
      <w:r w:rsidR="006E770B" w:rsidRPr="00977582">
        <w:rPr>
          <w:rFonts w:ascii="Book Antiqua" w:hAnsi="Book Antiqua"/>
          <w:b/>
          <w:color w:val="000000" w:themeColor="text1"/>
        </w:rPr>
        <w:t>e and economic impact of diarrhea in patients with carcinoid syndrome</w:t>
      </w:r>
    </w:p>
    <w:p w14:paraId="6304C072" w14:textId="77777777"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p>
    <w:p w14:paraId="72E54C43" w14:textId="1A1D9AEB" w:rsidR="00EA7E59" w:rsidRPr="00977582" w:rsidRDefault="002E32C4"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hAnsi="Book Antiqua"/>
          <w:color w:val="000000" w:themeColor="text1"/>
        </w:rPr>
        <w:t xml:space="preserve">Broder MS </w:t>
      </w:r>
      <w:r w:rsidR="00B47EF9" w:rsidRPr="00977582">
        <w:rPr>
          <w:rFonts w:ascii="Book Antiqua" w:hAnsi="Book Antiqua"/>
          <w:i/>
          <w:color w:val="000000" w:themeColor="text1"/>
        </w:rPr>
        <w:t>et al</w:t>
      </w:r>
      <w:r w:rsidR="00B47EF9" w:rsidRPr="00977582">
        <w:rPr>
          <w:rFonts w:ascii="Book Antiqua" w:hAnsi="Book Antiqua" w:hint="eastAsia"/>
          <w:i/>
          <w:color w:val="000000" w:themeColor="text1"/>
          <w:lang w:eastAsia="zh-CN"/>
        </w:rPr>
        <w:t>.</w:t>
      </w:r>
      <w:r w:rsidRPr="00977582">
        <w:rPr>
          <w:rFonts w:ascii="Book Antiqua" w:hAnsi="Book Antiqua"/>
          <w:color w:val="000000" w:themeColor="text1"/>
        </w:rPr>
        <w:t xml:space="preserve"> </w:t>
      </w:r>
      <w:r w:rsidR="0005256F" w:rsidRPr="00977582">
        <w:rPr>
          <w:rFonts w:ascii="Book Antiqua" w:hAnsi="Book Antiqua"/>
          <w:color w:val="000000" w:themeColor="text1"/>
        </w:rPr>
        <w:t>Econ</w:t>
      </w:r>
      <w:r w:rsidR="00866D98" w:rsidRPr="00977582">
        <w:rPr>
          <w:rFonts w:ascii="Book Antiqua" w:hAnsi="Book Antiqua"/>
          <w:color w:val="000000" w:themeColor="text1"/>
        </w:rPr>
        <w:t>omic impact of di</w:t>
      </w:r>
      <w:r w:rsidR="00AF0BD1" w:rsidRPr="00977582">
        <w:rPr>
          <w:rFonts w:ascii="Book Antiqua" w:hAnsi="Book Antiqua"/>
          <w:color w:val="000000" w:themeColor="text1"/>
        </w:rPr>
        <w:t>arrhea in CS</w:t>
      </w:r>
    </w:p>
    <w:p w14:paraId="67A31A02" w14:textId="77777777" w:rsidR="008C6B41" w:rsidRPr="00977582" w:rsidRDefault="008C6B41" w:rsidP="0041646E">
      <w:pPr>
        <w:adjustRightInd w:val="0"/>
        <w:snapToGrid w:val="0"/>
        <w:spacing w:after="0" w:line="360" w:lineRule="auto"/>
        <w:jc w:val="both"/>
        <w:rPr>
          <w:rFonts w:ascii="Book Antiqua" w:hAnsi="Book Antiqua"/>
          <w:color w:val="000000" w:themeColor="text1"/>
          <w:lang w:eastAsia="zh-CN"/>
        </w:rPr>
      </w:pPr>
    </w:p>
    <w:p w14:paraId="72E54C44" w14:textId="4D830717" w:rsidR="00827E74" w:rsidRPr="00977582" w:rsidRDefault="00F96388"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eastAsia="MS Mincho" w:hAnsi="Book Antiqua"/>
          <w:color w:val="000000" w:themeColor="text1"/>
          <w:lang w:eastAsia="ja-JP"/>
        </w:rPr>
        <w:t>Michael S</w:t>
      </w:r>
      <w:r w:rsidR="00827E74" w:rsidRPr="00977582">
        <w:rPr>
          <w:rFonts w:ascii="Book Antiqua" w:eastAsia="MS Mincho" w:hAnsi="Book Antiqua"/>
          <w:color w:val="000000" w:themeColor="text1"/>
          <w:lang w:eastAsia="ja-JP"/>
        </w:rPr>
        <w:t xml:space="preserve"> </w:t>
      </w:r>
      <w:r w:rsidR="00827E74" w:rsidRPr="00977582">
        <w:rPr>
          <w:rFonts w:ascii="Book Antiqua" w:eastAsia="MS Mincho" w:hAnsi="Book Antiqua"/>
          <w:color w:val="000000" w:themeColor="text1"/>
        </w:rPr>
        <w:t xml:space="preserve">Broder, </w:t>
      </w:r>
      <w:r w:rsidR="00A701C6" w:rsidRPr="00977582">
        <w:rPr>
          <w:rFonts w:ascii="Book Antiqua" w:eastAsia="MS Mincho" w:hAnsi="Book Antiqua"/>
          <w:color w:val="000000" w:themeColor="text1"/>
        </w:rPr>
        <w:t xml:space="preserve">Eunice Chang, </w:t>
      </w:r>
      <w:r w:rsidR="00AA0579" w:rsidRPr="00977582">
        <w:rPr>
          <w:rFonts w:ascii="Book Antiqua" w:eastAsia="MS Mincho" w:hAnsi="Book Antiqua"/>
          <w:color w:val="000000" w:themeColor="text1"/>
        </w:rPr>
        <w:t xml:space="preserve">Dorothy Romanus, </w:t>
      </w:r>
      <w:r w:rsidR="00CE7EFC" w:rsidRPr="00977582">
        <w:rPr>
          <w:rFonts w:ascii="Book Antiqua" w:eastAsia="MS Mincho" w:hAnsi="Book Antiqua"/>
          <w:color w:val="000000" w:themeColor="text1"/>
        </w:rPr>
        <w:t xml:space="preserve">Dasha Cherepanov, </w:t>
      </w:r>
      <w:r w:rsidRPr="00977582">
        <w:rPr>
          <w:rFonts w:ascii="Book Antiqua" w:eastAsia="MS Mincho" w:hAnsi="Book Antiqua"/>
          <w:color w:val="000000" w:themeColor="text1"/>
        </w:rPr>
        <w:t>Maureen P</w:t>
      </w:r>
      <w:r w:rsidR="00A701C6" w:rsidRPr="00977582">
        <w:rPr>
          <w:rFonts w:ascii="Book Antiqua" w:eastAsia="MS Mincho" w:hAnsi="Book Antiqua"/>
          <w:color w:val="000000" w:themeColor="text1"/>
        </w:rPr>
        <w:t xml:space="preserve"> Neary</w:t>
      </w:r>
    </w:p>
    <w:p w14:paraId="77299CE9" w14:textId="77777777"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p>
    <w:p w14:paraId="1CF69B60" w14:textId="1AADBD65" w:rsidR="009A0386" w:rsidRPr="00977582" w:rsidRDefault="009A0386"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eastAsia="MS Mincho" w:hAnsi="Book Antiqua"/>
          <w:b/>
          <w:color w:val="000000" w:themeColor="text1"/>
          <w:lang w:eastAsia="ja-JP"/>
        </w:rPr>
        <w:t xml:space="preserve">Michael S </w:t>
      </w:r>
      <w:r w:rsidRPr="00977582">
        <w:rPr>
          <w:rFonts w:ascii="Book Antiqua" w:eastAsia="MS Mincho" w:hAnsi="Book Antiqua"/>
          <w:b/>
          <w:color w:val="000000" w:themeColor="text1"/>
        </w:rPr>
        <w:t xml:space="preserve">Broder, Eunice Chang, Dorothy Romanus, Dasha Cherepanov, </w:t>
      </w:r>
      <w:r w:rsidRPr="00977582">
        <w:rPr>
          <w:rFonts w:ascii="Book Antiqua" w:eastAsia="MS Mincho" w:hAnsi="Book Antiqua"/>
          <w:color w:val="000000" w:themeColor="text1"/>
          <w:lang w:eastAsia="ja-JP"/>
        </w:rPr>
        <w:t>Partnership for Health Analytic Research, LLC, Beverly Hills, CA 90212, U</w:t>
      </w:r>
      <w:r w:rsidRPr="00977582">
        <w:rPr>
          <w:rFonts w:ascii="Book Antiqua" w:hAnsi="Book Antiqua" w:hint="eastAsia"/>
          <w:color w:val="000000" w:themeColor="text1"/>
          <w:lang w:eastAsia="zh-CN"/>
        </w:rPr>
        <w:t>nited States</w:t>
      </w:r>
    </w:p>
    <w:p w14:paraId="641BC4AA" w14:textId="77777777"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p>
    <w:p w14:paraId="64989EC1" w14:textId="77777777" w:rsidR="009A0386" w:rsidRPr="00977582" w:rsidRDefault="009A0386"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eastAsia="MS Mincho" w:hAnsi="Book Antiqua"/>
          <w:b/>
          <w:color w:val="000000" w:themeColor="text1"/>
        </w:rPr>
        <w:t>Maureen P Neary</w:t>
      </w:r>
      <w:r w:rsidRPr="00977582">
        <w:rPr>
          <w:rFonts w:ascii="Book Antiqua" w:hAnsi="Book Antiqua"/>
          <w:b/>
          <w:color w:val="000000" w:themeColor="text1"/>
          <w:lang w:eastAsia="zh-CN"/>
        </w:rPr>
        <w:t xml:space="preserve">, </w:t>
      </w:r>
      <w:r w:rsidR="00827E74" w:rsidRPr="00977582">
        <w:rPr>
          <w:rFonts w:ascii="Book Antiqua" w:eastAsia="MS Mincho" w:hAnsi="Book Antiqua"/>
          <w:color w:val="000000" w:themeColor="text1"/>
          <w:lang w:eastAsia="ja-JP"/>
        </w:rPr>
        <w:t>Novartis Pharmaceuticals Corporation</w:t>
      </w:r>
      <w:r w:rsidR="005A4349" w:rsidRPr="00977582">
        <w:rPr>
          <w:rFonts w:ascii="Book Antiqua" w:eastAsia="MS Mincho" w:hAnsi="Book Antiqua"/>
          <w:color w:val="000000" w:themeColor="text1"/>
          <w:lang w:eastAsia="ja-JP"/>
        </w:rPr>
        <w:t>, East Hanover, NJ</w:t>
      </w:r>
      <w:r w:rsidR="00FF1037" w:rsidRPr="00977582">
        <w:rPr>
          <w:color w:val="000000" w:themeColor="text1"/>
        </w:rPr>
        <w:t xml:space="preserve"> </w:t>
      </w:r>
      <w:r w:rsidR="00FF1037" w:rsidRPr="00977582">
        <w:rPr>
          <w:rFonts w:ascii="Book Antiqua" w:eastAsia="MS Mincho" w:hAnsi="Book Antiqua"/>
          <w:color w:val="000000" w:themeColor="text1"/>
          <w:lang w:eastAsia="ja-JP"/>
        </w:rPr>
        <w:t xml:space="preserve">07936, </w:t>
      </w:r>
      <w:r w:rsidRPr="00977582">
        <w:rPr>
          <w:rFonts w:ascii="Book Antiqua" w:eastAsia="MS Mincho" w:hAnsi="Book Antiqua"/>
          <w:color w:val="000000" w:themeColor="text1"/>
          <w:lang w:eastAsia="ja-JP"/>
        </w:rPr>
        <w:t>U</w:t>
      </w:r>
      <w:r w:rsidRPr="00977582">
        <w:rPr>
          <w:rFonts w:ascii="Book Antiqua" w:hAnsi="Book Antiqua" w:hint="eastAsia"/>
          <w:color w:val="000000" w:themeColor="text1"/>
          <w:lang w:eastAsia="zh-CN"/>
        </w:rPr>
        <w:t>nited States</w:t>
      </w:r>
    </w:p>
    <w:p w14:paraId="4EDBDF8B" w14:textId="77777777"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p>
    <w:p w14:paraId="72E54C47" w14:textId="05BF6ECC" w:rsidR="00DA6E9B" w:rsidRPr="00977582" w:rsidRDefault="006B7F6B" w:rsidP="0041646E">
      <w:pPr>
        <w:adjustRightInd w:val="0"/>
        <w:snapToGrid w:val="0"/>
        <w:spacing w:after="0" w:line="360" w:lineRule="auto"/>
        <w:jc w:val="both"/>
        <w:rPr>
          <w:rFonts w:ascii="Book Antiqua" w:hAnsi="Book Antiqua" w:cs="TimesNewRomanPSMT"/>
          <w:color w:val="000000" w:themeColor="text1"/>
          <w:lang w:eastAsia="zh-CN"/>
        </w:rPr>
      </w:pPr>
      <w:r w:rsidRPr="00977582">
        <w:rPr>
          <w:rFonts w:ascii="Book Antiqua" w:eastAsia="MS Mincho" w:hAnsi="Book Antiqua"/>
          <w:b/>
          <w:color w:val="000000" w:themeColor="text1"/>
          <w:lang w:eastAsia="ja-JP"/>
        </w:rPr>
        <w:t>Author contributions</w:t>
      </w:r>
      <w:r w:rsidRPr="00977582">
        <w:rPr>
          <w:rFonts w:ascii="Book Antiqua" w:eastAsia="MS Mincho" w:hAnsi="Book Antiqua"/>
          <w:color w:val="000000" w:themeColor="text1"/>
          <w:lang w:eastAsia="ja-JP"/>
        </w:rPr>
        <w:t>:</w:t>
      </w:r>
      <w:r w:rsidR="00BD05A6" w:rsidRPr="00977582">
        <w:rPr>
          <w:rFonts w:ascii="Book Antiqua" w:eastAsia="MS Mincho" w:hAnsi="Book Antiqua"/>
          <w:color w:val="000000" w:themeColor="text1"/>
          <w:lang w:eastAsia="ja-JP"/>
        </w:rPr>
        <w:t xml:space="preserve"> </w:t>
      </w:r>
      <w:r w:rsidR="00DA6E9B" w:rsidRPr="00977582">
        <w:rPr>
          <w:rFonts w:ascii="Book Antiqua" w:hAnsi="Book Antiqua" w:cs="TimesNewRomanPSMT"/>
          <w:color w:val="000000" w:themeColor="text1"/>
        </w:rPr>
        <w:t>Broder MS</w:t>
      </w:r>
      <w:r w:rsidR="00812477" w:rsidRPr="00977582">
        <w:rPr>
          <w:rFonts w:ascii="Book Antiqua" w:hAnsi="Book Antiqua" w:cs="TimesNewRomanPSMT"/>
          <w:color w:val="000000" w:themeColor="text1"/>
        </w:rPr>
        <w:t>, Chang E,</w:t>
      </w:r>
      <w:r w:rsidR="00DA6E9B" w:rsidRPr="00977582">
        <w:rPr>
          <w:rFonts w:ascii="Book Antiqua" w:hAnsi="Book Antiqua" w:cs="TimesNewRomanPSMT"/>
          <w:color w:val="000000" w:themeColor="text1"/>
        </w:rPr>
        <w:t xml:space="preserve"> </w:t>
      </w:r>
      <w:r w:rsidR="00812477" w:rsidRPr="00977582">
        <w:rPr>
          <w:rFonts w:ascii="Book Antiqua" w:hAnsi="Book Antiqua" w:cs="TimesNewRomanPSMT"/>
          <w:color w:val="000000" w:themeColor="text1"/>
        </w:rPr>
        <w:t>Romanus D</w:t>
      </w:r>
      <w:r w:rsidR="00681BB5" w:rsidRPr="00977582">
        <w:rPr>
          <w:rFonts w:ascii="Book Antiqua" w:hAnsi="Book Antiqua" w:cs="TimesNewRomanPSMT"/>
          <w:color w:val="000000" w:themeColor="text1"/>
        </w:rPr>
        <w:t>, Cherepanov D</w:t>
      </w:r>
      <w:r w:rsidR="00812477" w:rsidRPr="00977582">
        <w:rPr>
          <w:rFonts w:ascii="Book Antiqua" w:hAnsi="Book Antiqua" w:cs="TimesNewRomanPSMT"/>
          <w:color w:val="000000" w:themeColor="text1"/>
        </w:rPr>
        <w:t xml:space="preserve"> and Neary MP </w:t>
      </w:r>
      <w:r w:rsidR="00DA6E9B" w:rsidRPr="00977582">
        <w:rPr>
          <w:rFonts w:ascii="Book Antiqua" w:hAnsi="Book Antiqua" w:cs="TimesNewRomanPSMT"/>
          <w:color w:val="000000" w:themeColor="text1"/>
        </w:rPr>
        <w:t>contributed substantially to conception, design, management</w:t>
      </w:r>
      <w:r w:rsidR="00BD05A6" w:rsidRPr="00977582">
        <w:rPr>
          <w:rFonts w:ascii="Book Antiqua" w:hAnsi="Book Antiqua" w:cs="TimesNewRomanPSMT"/>
          <w:color w:val="000000" w:themeColor="text1"/>
        </w:rPr>
        <w:t xml:space="preserve"> </w:t>
      </w:r>
      <w:r w:rsidR="00DA6E9B" w:rsidRPr="00977582">
        <w:rPr>
          <w:rFonts w:ascii="Book Antiqua" w:hAnsi="Book Antiqua" w:cs="TimesNewRomanPSMT"/>
          <w:color w:val="000000" w:themeColor="text1"/>
        </w:rPr>
        <w:t>of the study, interpretation of data, drafting of the manuscript,</w:t>
      </w:r>
      <w:r w:rsidR="00BD05A6" w:rsidRPr="00977582">
        <w:rPr>
          <w:rFonts w:ascii="Book Antiqua" w:hAnsi="Book Antiqua" w:cs="TimesNewRomanPSMT"/>
          <w:color w:val="000000" w:themeColor="text1"/>
        </w:rPr>
        <w:t xml:space="preserve"> </w:t>
      </w:r>
      <w:r w:rsidR="00812477" w:rsidRPr="00977582">
        <w:rPr>
          <w:rFonts w:ascii="Book Antiqua" w:hAnsi="Book Antiqua" w:cs="TimesNewRomanPSMT"/>
          <w:color w:val="000000" w:themeColor="text1"/>
        </w:rPr>
        <w:t xml:space="preserve">and </w:t>
      </w:r>
      <w:r w:rsidR="00DA6E9B" w:rsidRPr="00977582">
        <w:rPr>
          <w:rFonts w:ascii="Book Antiqua" w:hAnsi="Book Antiqua" w:cs="TimesNewRomanPSMT"/>
          <w:color w:val="000000" w:themeColor="text1"/>
        </w:rPr>
        <w:t>revising the manuscript critically for significant intellectual</w:t>
      </w:r>
      <w:r w:rsidR="00BD05A6" w:rsidRPr="00977582">
        <w:rPr>
          <w:rFonts w:ascii="Book Antiqua" w:hAnsi="Book Antiqua" w:cs="TimesNewRomanPSMT"/>
          <w:color w:val="000000" w:themeColor="text1"/>
        </w:rPr>
        <w:t xml:space="preserve"> </w:t>
      </w:r>
      <w:r w:rsidR="00DA6E9B" w:rsidRPr="00977582">
        <w:rPr>
          <w:rFonts w:ascii="Book Antiqua" w:hAnsi="Book Antiqua" w:cs="TimesNewRomanPSMT"/>
          <w:color w:val="000000" w:themeColor="text1"/>
        </w:rPr>
        <w:t xml:space="preserve">content; </w:t>
      </w:r>
      <w:r w:rsidR="00812477" w:rsidRPr="00977582">
        <w:rPr>
          <w:rFonts w:ascii="Book Antiqua" w:hAnsi="Book Antiqua" w:cs="TimesNewRomanPSMT"/>
          <w:color w:val="000000" w:themeColor="text1"/>
        </w:rPr>
        <w:t>Chang E conducted all statistical analyses</w:t>
      </w:r>
      <w:r w:rsidR="00DA6E9B" w:rsidRPr="00977582">
        <w:rPr>
          <w:rFonts w:ascii="Book Antiqua" w:hAnsi="Book Antiqua" w:cs="TimesNewRomanPSMT"/>
          <w:color w:val="000000" w:themeColor="text1"/>
        </w:rPr>
        <w:t>; all authors final approval of the</w:t>
      </w:r>
      <w:r w:rsidR="00BD05A6" w:rsidRPr="00977582">
        <w:rPr>
          <w:rFonts w:ascii="Book Antiqua" w:hAnsi="Book Antiqua" w:cs="TimesNewRomanPSMT"/>
          <w:color w:val="000000" w:themeColor="text1"/>
        </w:rPr>
        <w:t xml:space="preserve"> </w:t>
      </w:r>
      <w:r w:rsidR="00DA6E9B" w:rsidRPr="00977582">
        <w:rPr>
          <w:rFonts w:ascii="Book Antiqua" w:hAnsi="Book Antiqua" w:cs="TimesNewRomanPSMT"/>
          <w:color w:val="000000" w:themeColor="text1"/>
        </w:rPr>
        <w:t>manuscript submitted.</w:t>
      </w:r>
    </w:p>
    <w:p w14:paraId="1854A08D" w14:textId="77777777" w:rsidR="008C6B41" w:rsidRPr="00977582" w:rsidRDefault="008C6B41" w:rsidP="0041646E">
      <w:pPr>
        <w:adjustRightInd w:val="0"/>
        <w:snapToGrid w:val="0"/>
        <w:spacing w:after="0" w:line="360" w:lineRule="auto"/>
        <w:jc w:val="both"/>
        <w:rPr>
          <w:rFonts w:ascii="Book Antiqua" w:eastAsia="MS Mincho" w:hAnsi="Book Antiqua"/>
          <w:color w:val="000000" w:themeColor="text1"/>
          <w:lang w:eastAsia="zh-CN"/>
        </w:rPr>
      </w:pPr>
    </w:p>
    <w:p w14:paraId="72E54C48" w14:textId="77777777" w:rsidR="00DA6E9B" w:rsidRPr="00977582" w:rsidRDefault="002E32C4" w:rsidP="0041646E">
      <w:pPr>
        <w:adjustRightInd w:val="0"/>
        <w:snapToGrid w:val="0"/>
        <w:spacing w:afterLines="200" w:after="480" w:line="360" w:lineRule="auto"/>
        <w:jc w:val="both"/>
        <w:rPr>
          <w:rFonts w:ascii="Book Antiqua" w:hAnsi="Book Antiqua" w:cs="TimesNewRomanPSMT"/>
          <w:color w:val="000000" w:themeColor="text1"/>
          <w:lang w:eastAsia="zh-CN"/>
        </w:rPr>
      </w:pPr>
      <w:r w:rsidRPr="00977582">
        <w:rPr>
          <w:rFonts w:ascii="Book Antiqua" w:eastAsia="MS Mincho" w:hAnsi="Book Antiqua"/>
          <w:b/>
          <w:color w:val="000000" w:themeColor="text1"/>
          <w:lang w:eastAsia="ja-JP"/>
        </w:rPr>
        <w:t>Supported by</w:t>
      </w:r>
      <w:r w:rsidR="00DA6E9B" w:rsidRPr="00977582">
        <w:rPr>
          <w:rFonts w:ascii="Book Antiqua" w:eastAsia="MS Mincho" w:hAnsi="Book Antiqua"/>
          <w:color w:val="000000" w:themeColor="text1"/>
          <w:lang w:eastAsia="ja-JP"/>
        </w:rPr>
        <w:t xml:space="preserve"> </w:t>
      </w:r>
      <w:r w:rsidR="00DA6E9B" w:rsidRPr="00977582">
        <w:rPr>
          <w:rFonts w:ascii="Book Antiqua" w:hAnsi="Book Antiqua" w:cs="TimesNewRomanPSMT"/>
          <w:color w:val="000000" w:themeColor="text1"/>
        </w:rPr>
        <w:t>Novartis Pharmaceuticals Corporation, One Health Plaza, East Hanover, NJ 07936-1080, United States.</w:t>
      </w:r>
    </w:p>
    <w:p w14:paraId="57C18574" w14:textId="77777777" w:rsidR="008C6B41" w:rsidRPr="00977582" w:rsidRDefault="008C6B41" w:rsidP="0041646E">
      <w:pPr>
        <w:autoSpaceDE w:val="0"/>
        <w:autoSpaceDN w:val="0"/>
        <w:adjustRightInd w:val="0"/>
        <w:snapToGrid w:val="0"/>
        <w:spacing w:after="0" w:line="360" w:lineRule="auto"/>
        <w:jc w:val="both"/>
        <w:rPr>
          <w:rFonts w:ascii="Book Antiqua" w:hAnsi="Book Antiqua"/>
          <w:b/>
          <w:bCs/>
          <w:iCs/>
          <w:color w:val="000000" w:themeColor="text1"/>
          <w:lang w:eastAsia="zh-CN"/>
        </w:rPr>
      </w:pPr>
    </w:p>
    <w:p w14:paraId="41415961" w14:textId="73B5FFB5" w:rsidR="008C6B41" w:rsidRPr="00977582" w:rsidRDefault="008C6B41" w:rsidP="0041646E">
      <w:pPr>
        <w:adjustRightInd w:val="0"/>
        <w:snapToGrid w:val="0"/>
        <w:spacing w:after="0" w:line="360" w:lineRule="auto"/>
        <w:jc w:val="both"/>
        <w:rPr>
          <w:rFonts w:ascii="Book Antiqua" w:hAnsi="Book Antiqua"/>
          <w:b/>
          <w:bCs/>
          <w:iCs/>
          <w:color w:val="000000" w:themeColor="text1"/>
        </w:rPr>
      </w:pPr>
      <w:r w:rsidRPr="00977582">
        <w:rPr>
          <w:rFonts w:ascii="Book Antiqua" w:hAnsi="Book Antiqua"/>
          <w:b/>
          <w:bCs/>
          <w:iCs/>
          <w:color w:val="000000" w:themeColor="text1"/>
        </w:rPr>
        <w:lastRenderedPageBreak/>
        <w:t>Institutional review board statement:</w:t>
      </w:r>
      <w:r w:rsidR="00A031B6" w:rsidRPr="00977582">
        <w:rPr>
          <w:rFonts w:ascii="Book Antiqua" w:hAnsi="Book Antiqua"/>
          <w:b/>
          <w:bCs/>
          <w:iCs/>
          <w:color w:val="000000" w:themeColor="text1"/>
        </w:rPr>
        <w:t xml:space="preserve"> </w:t>
      </w:r>
      <w:r w:rsidR="00A031B6" w:rsidRPr="00977582">
        <w:rPr>
          <w:rFonts w:ascii="Book Antiqua" w:hAnsi="Book Antiqua"/>
          <w:color w:val="000000" w:themeColor="text1"/>
        </w:rPr>
        <w:t>We conducted a retrospective cohort study using the Truven Health Analytics MarketScan</w:t>
      </w:r>
      <w:r w:rsidR="00A031B6" w:rsidRPr="00977582">
        <w:rPr>
          <w:rFonts w:ascii="Book Antiqua" w:hAnsi="Book Antiqua"/>
          <w:color w:val="000000" w:themeColor="text1"/>
          <w:vertAlign w:val="superscript"/>
        </w:rPr>
        <w:t>®</w:t>
      </w:r>
      <w:r w:rsidR="00A031B6" w:rsidRPr="00977582">
        <w:rPr>
          <w:rFonts w:ascii="Book Antiqua" w:hAnsi="Book Antiqua"/>
          <w:color w:val="000000" w:themeColor="text1"/>
        </w:rPr>
        <w:t xml:space="preserve"> Database, a commercial health insurance claims database for employer-insured beneficiaries in the U</w:t>
      </w:r>
      <w:r w:rsidR="005B1623" w:rsidRPr="00977582">
        <w:rPr>
          <w:rFonts w:ascii="Book Antiqua" w:hAnsi="Book Antiqua" w:hint="eastAsia"/>
          <w:color w:val="000000" w:themeColor="text1"/>
          <w:lang w:eastAsia="zh-CN"/>
        </w:rPr>
        <w:t>nited States</w:t>
      </w:r>
      <w:r w:rsidR="005B1623" w:rsidRPr="00977582">
        <w:rPr>
          <w:rFonts w:ascii="Book Antiqua" w:hAnsi="Book Antiqua"/>
          <w:color w:val="000000" w:themeColor="text1"/>
        </w:rPr>
        <w:t>.</w:t>
      </w:r>
      <w:r w:rsidR="00A031B6" w:rsidRPr="00977582">
        <w:rPr>
          <w:rFonts w:ascii="Book Antiqua" w:hAnsi="Book Antiqua"/>
          <w:color w:val="000000" w:themeColor="text1"/>
        </w:rPr>
        <w:t xml:space="preserve"> The database is fully compliant with the Health Insurance Por</w:t>
      </w:r>
      <w:r w:rsidR="005B1623" w:rsidRPr="00977582">
        <w:rPr>
          <w:rFonts w:ascii="Book Antiqua" w:hAnsi="Book Antiqua"/>
          <w:color w:val="000000" w:themeColor="text1"/>
        </w:rPr>
        <w:t>tability and Accountability Act</w:t>
      </w:r>
      <w:r w:rsidR="00A031B6" w:rsidRPr="00977582">
        <w:rPr>
          <w:rFonts w:ascii="Book Antiqua" w:hAnsi="Book Antiqua"/>
          <w:color w:val="000000" w:themeColor="text1"/>
        </w:rPr>
        <w:t xml:space="preserve"> and meets the criteria for a limited-use dataset. Since the patient and provider data included in this analysis were fully de-identified, this study was exempt from the Institutional Review Board review. </w:t>
      </w:r>
    </w:p>
    <w:p w14:paraId="030EC246" w14:textId="77777777" w:rsidR="008C6B41" w:rsidRPr="00977582" w:rsidRDefault="008C6B41" w:rsidP="0041646E">
      <w:pPr>
        <w:autoSpaceDE w:val="0"/>
        <w:autoSpaceDN w:val="0"/>
        <w:adjustRightInd w:val="0"/>
        <w:snapToGrid w:val="0"/>
        <w:spacing w:after="0" w:line="360" w:lineRule="auto"/>
        <w:jc w:val="both"/>
        <w:rPr>
          <w:rFonts w:ascii="Book Antiqua" w:hAnsi="Book Antiqua"/>
          <w:b/>
          <w:bCs/>
          <w:iCs/>
          <w:color w:val="000000" w:themeColor="text1"/>
        </w:rPr>
      </w:pPr>
    </w:p>
    <w:p w14:paraId="683F9759" w14:textId="2C575B3C" w:rsidR="008C6B41" w:rsidRPr="00977582" w:rsidRDefault="008C6B41" w:rsidP="0041646E">
      <w:pPr>
        <w:adjustRightInd w:val="0"/>
        <w:snapToGrid w:val="0"/>
        <w:spacing w:after="0" w:line="360" w:lineRule="auto"/>
        <w:jc w:val="both"/>
        <w:rPr>
          <w:rFonts w:ascii="Book Antiqua" w:hAnsi="Book Antiqua"/>
          <w:color w:val="000000" w:themeColor="text1"/>
        </w:rPr>
      </w:pPr>
      <w:r w:rsidRPr="00977582">
        <w:rPr>
          <w:rFonts w:ascii="Book Antiqua" w:hAnsi="Book Antiqua"/>
          <w:b/>
          <w:bCs/>
          <w:iCs/>
          <w:color w:val="000000" w:themeColor="text1"/>
        </w:rPr>
        <w:t>Informed consent statement</w:t>
      </w:r>
      <w:r w:rsidRPr="00977582">
        <w:rPr>
          <w:rFonts w:ascii="Book Antiqua" w:hAnsi="Book Antiqua" w:hint="eastAsia"/>
          <w:b/>
          <w:bCs/>
          <w:iCs/>
          <w:color w:val="000000" w:themeColor="text1"/>
        </w:rPr>
        <w:t>:</w:t>
      </w:r>
      <w:r w:rsidRPr="00977582">
        <w:rPr>
          <w:rFonts w:ascii="Book Antiqua" w:hAnsi="Book Antiqua"/>
          <w:b/>
          <w:bCs/>
          <w:iCs/>
          <w:color w:val="000000" w:themeColor="text1"/>
        </w:rPr>
        <w:t xml:space="preserve"> </w:t>
      </w:r>
      <w:r w:rsidR="003A4223" w:rsidRPr="00977582">
        <w:rPr>
          <w:rFonts w:ascii="Book Antiqua" w:hAnsi="Book Antiqua"/>
          <w:bCs/>
          <w:iCs/>
          <w:color w:val="000000" w:themeColor="text1"/>
        </w:rPr>
        <w:t>T</w:t>
      </w:r>
      <w:r w:rsidR="00BC2CEE" w:rsidRPr="00977582">
        <w:rPr>
          <w:rFonts w:ascii="Book Antiqua" w:hAnsi="Book Antiqua"/>
          <w:bCs/>
          <w:iCs/>
          <w:color w:val="000000" w:themeColor="text1"/>
        </w:rPr>
        <w:t xml:space="preserve">his study involved analyses of a </w:t>
      </w:r>
      <w:r w:rsidR="005B1623" w:rsidRPr="00977582">
        <w:rPr>
          <w:rFonts w:ascii="Book Antiqua" w:hAnsi="Book Antiqua"/>
          <w:color w:val="000000" w:themeColor="text1"/>
        </w:rPr>
        <w:t>Health Insurance Portability and Accountability Act</w:t>
      </w:r>
      <w:r w:rsidR="00BC2CEE" w:rsidRPr="00977582">
        <w:rPr>
          <w:rFonts w:ascii="Book Antiqua" w:hAnsi="Book Antiqua"/>
          <w:bCs/>
          <w:iCs/>
          <w:color w:val="000000" w:themeColor="text1"/>
        </w:rPr>
        <w:t xml:space="preserve">-compliant secondary database, </w:t>
      </w:r>
      <w:r w:rsidR="00B33D26" w:rsidRPr="00977582">
        <w:rPr>
          <w:rFonts w:ascii="Book Antiqua" w:hAnsi="Book Antiqua"/>
          <w:color w:val="000000" w:themeColor="text1"/>
        </w:rPr>
        <w:t>Truven Health Analytics MarketScan</w:t>
      </w:r>
      <w:r w:rsidR="00B33D26" w:rsidRPr="00977582">
        <w:rPr>
          <w:rFonts w:ascii="Book Antiqua" w:hAnsi="Book Antiqua"/>
          <w:color w:val="000000" w:themeColor="text1"/>
          <w:vertAlign w:val="superscript"/>
        </w:rPr>
        <w:t>®</w:t>
      </w:r>
      <w:r w:rsidR="00B33D26" w:rsidRPr="00977582">
        <w:rPr>
          <w:rFonts w:ascii="Book Antiqua" w:hAnsi="Book Antiqua"/>
          <w:color w:val="000000" w:themeColor="text1"/>
        </w:rPr>
        <w:t xml:space="preserve"> Database, </w:t>
      </w:r>
      <w:r w:rsidR="003A4223" w:rsidRPr="00977582">
        <w:rPr>
          <w:rFonts w:ascii="Book Antiqua" w:hAnsi="Book Antiqua"/>
          <w:color w:val="000000" w:themeColor="text1"/>
        </w:rPr>
        <w:t xml:space="preserve">thus </w:t>
      </w:r>
      <w:r w:rsidR="00B33D26" w:rsidRPr="00977582">
        <w:rPr>
          <w:rFonts w:ascii="Book Antiqua" w:hAnsi="Book Antiqua"/>
          <w:color w:val="000000" w:themeColor="text1"/>
        </w:rPr>
        <w:t xml:space="preserve">no informed consent was </w:t>
      </w:r>
      <w:r w:rsidR="00BC2CEE" w:rsidRPr="00977582">
        <w:rPr>
          <w:rFonts w:ascii="Book Antiqua" w:hAnsi="Book Antiqua"/>
          <w:color w:val="000000" w:themeColor="text1"/>
        </w:rPr>
        <w:t xml:space="preserve">feasible or </w:t>
      </w:r>
      <w:r w:rsidR="00B33D26" w:rsidRPr="00977582">
        <w:rPr>
          <w:rFonts w:ascii="Book Antiqua" w:hAnsi="Book Antiqua"/>
          <w:color w:val="000000" w:themeColor="text1"/>
        </w:rPr>
        <w:t xml:space="preserve">necessary. </w:t>
      </w:r>
    </w:p>
    <w:p w14:paraId="6A9E19B5" w14:textId="77777777" w:rsidR="008C6B41" w:rsidRPr="00977582" w:rsidRDefault="008C6B41" w:rsidP="0041646E">
      <w:pPr>
        <w:autoSpaceDE w:val="0"/>
        <w:autoSpaceDN w:val="0"/>
        <w:adjustRightInd w:val="0"/>
        <w:snapToGrid w:val="0"/>
        <w:spacing w:after="0" w:line="360" w:lineRule="auto"/>
        <w:jc w:val="both"/>
        <w:rPr>
          <w:rFonts w:ascii="Book Antiqua" w:hAnsi="Book Antiqua" w:cs="TimesNewRomanPS-BoldItalicMT"/>
          <w:b/>
          <w:bCs/>
          <w:iCs/>
          <w:color w:val="000000" w:themeColor="text1"/>
        </w:rPr>
      </w:pPr>
    </w:p>
    <w:p w14:paraId="4E4D2692" w14:textId="07910EEB" w:rsidR="008C6B41" w:rsidRPr="00977582" w:rsidRDefault="008C6B41" w:rsidP="0041646E">
      <w:pPr>
        <w:adjustRightInd w:val="0"/>
        <w:snapToGrid w:val="0"/>
        <w:spacing w:after="0" w:line="360" w:lineRule="auto"/>
        <w:jc w:val="both"/>
        <w:rPr>
          <w:rFonts w:ascii="Book Antiqua" w:eastAsia="Times New Roman" w:hAnsi="Book Antiqua"/>
          <w:color w:val="000000" w:themeColor="text1"/>
        </w:rPr>
      </w:pPr>
      <w:r w:rsidRPr="00977582">
        <w:rPr>
          <w:rFonts w:ascii="Book Antiqua" w:hAnsi="Book Antiqua" w:cs="Tahoma"/>
          <w:b/>
          <w:bCs/>
          <w:color w:val="000000" w:themeColor="text1"/>
          <w:szCs w:val="21"/>
        </w:rPr>
        <w:t>Conflict-of-interest statement</w:t>
      </w:r>
      <w:r w:rsidRPr="00977582">
        <w:rPr>
          <w:rFonts w:ascii="Book Antiqua" w:hAnsi="Book Antiqua" w:cs="Tahoma"/>
          <w:b/>
          <w:bCs/>
          <w:color w:val="000000" w:themeColor="text1"/>
        </w:rPr>
        <w:t>:</w:t>
      </w:r>
      <w:r w:rsidR="005B1623" w:rsidRPr="00977582">
        <w:rPr>
          <w:rFonts w:ascii="Book Antiqua" w:hAnsi="Book Antiqua" w:cs="Tahoma"/>
          <w:b/>
          <w:bCs/>
          <w:i/>
          <w:color w:val="000000" w:themeColor="text1"/>
        </w:rPr>
        <w:t xml:space="preserve"> </w:t>
      </w:r>
      <w:r w:rsidR="00DE3289" w:rsidRPr="00977582">
        <w:rPr>
          <w:rFonts w:ascii="Book Antiqua" w:hAnsi="Book Antiqua" w:cs="TimesNewRomanPSMT"/>
          <w:color w:val="000000" w:themeColor="text1"/>
        </w:rPr>
        <w:t xml:space="preserve">Funding for this study was provided by Novartis Pharmaceuticals Corporation, One Health Plaza, East Hanover, NJ 07936-1080, United States. </w:t>
      </w:r>
      <w:r w:rsidR="00DE3289" w:rsidRPr="00977582">
        <w:rPr>
          <w:rFonts w:ascii="Book Antiqua" w:hAnsi="Book Antiqua" w:cs="Times-Roman"/>
          <w:color w:val="000000" w:themeColor="text1"/>
        </w:rPr>
        <w:t>Maureen P. Neary is an employee of Novartis Pharmaceuticals Corporation. Michael S. Broder, Eunice Chang, and Dasha Cherepanov are employees of the Partnership for Health Analytic Research, LLC (PHAR, LLC), a health services research company paid by Novartis to conduct this research; Dorothy Romanus is a former employee of PHAR, LLC.</w:t>
      </w:r>
    </w:p>
    <w:p w14:paraId="00CD8583" w14:textId="77777777" w:rsidR="008C6B41" w:rsidRPr="00977582" w:rsidRDefault="008C6B41" w:rsidP="0041646E">
      <w:pPr>
        <w:autoSpaceDE w:val="0"/>
        <w:autoSpaceDN w:val="0"/>
        <w:adjustRightInd w:val="0"/>
        <w:snapToGrid w:val="0"/>
        <w:spacing w:after="0" w:line="360" w:lineRule="auto"/>
        <w:jc w:val="both"/>
        <w:rPr>
          <w:rFonts w:ascii="Book Antiqua" w:hAnsi="Book Antiqua" w:cs="TimesNewRomanPS-BoldItalicMT"/>
          <w:b/>
          <w:bCs/>
          <w:iCs/>
          <w:color w:val="000000" w:themeColor="text1"/>
        </w:rPr>
      </w:pPr>
    </w:p>
    <w:p w14:paraId="6787973A" w14:textId="427C942E" w:rsidR="008C6B41" w:rsidRPr="00977582" w:rsidRDefault="008C6B41" w:rsidP="0041646E">
      <w:pPr>
        <w:adjustRightInd w:val="0"/>
        <w:snapToGrid w:val="0"/>
        <w:spacing w:after="0" w:line="360" w:lineRule="auto"/>
        <w:jc w:val="both"/>
        <w:rPr>
          <w:rFonts w:ascii="Book Antiqua" w:hAnsi="Book Antiqua" w:cs="TimesNewRomanPS-BoldItalicMT"/>
          <w:b/>
          <w:bCs/>
          <w:iCs/>
          <w:color w:val="000000" w:themeColor="text1"/>
        </w:rPr>
      </w:pPr>
      <w:r w:rsidRPr="00977582">
        <w:rPr>
          <w:rFonts w:ascii="Book Antiqua" w:hAnsi="Book Antiqua" w:cs="TimesNewRomanPS-BoldItalicMT"/>
          <w:b/>
          <w:bCs/>
          <w:iCs/>
          <w:color w:val="000000" w:themeColor="text1"/>
        </w:rPr>
        <w:t>Data sharing statement:</w:t>
      </w:r>
      <w:r w:rsidR="003A4223" w:rsidRPr="00977582">
        <w:rPr>
          <w:rFonts w:ascii="Book Antiqua" w:hAnsi="Book Antiqua" w:cs="TimesNewRomanPS-BoldItalicMT"/>
          <w:b/>
          <w:bCs/>
          <w:iCs/>
          <w:color w:val="000000" w:themeColor="text1"/>
        </w:rPr>
        <w:t xml:space="preserve"> </w:t>
      </w:r>
      <w:r w:rsidR="004D1A68" w:rsidRPr="00977582">
        <w:rPr>
          <w:rFonts w:ascii="Book Antiqua" w:hAnsi="Book Antiqua"/>
          <w:bCs/>
          <w:iCs/>
          <w:color w:val="000000" w:themeColor="text1"/>
        </w:rPr>
        <w:t xml:space="preserve">The study statistician, Eunice Change, conducted all analyses and data manipulation for this study using </w:t>
      </w:r>
      <w:r w:rsidR="003A4223" w:rsidRPr="00977582">
        <w:rPr>
          <w:rFonts w:ascii="Book Antiqua" w:hAnsi="Book Antiqua"/>
          <w:bCs/>
          <w:iCs/>
          <w:color w:val="000000" w:themeColor="text1"/>
        </w:rPr>
        <w:t xml:space="preserve">a </w:t>
      </w:r>
      <w:r w:rsidR="00700661" w:rsidRPr="00977582">
        <w:rPr>
          <w:rFonts w:ascii="Book Antiqua" w:hAnsi="Book Antiqua"/>
          <w:color w:val="000000" w:themeColor="text1"/>
        </w:rPr>
        <w:t>Health Insurance Portability and Accountability Act</w:t>
      </w:r>
      <w:r w:rsidR="003A4223" w:rsidRPr="00977582">
        <w:rPr>
          <w:rFonts w:ascii="Book Antiqua" w:hAnsi="Book Antiqua"/>
          <w:bCs/>
          <w:iCs/>
          <w:color w:val="000000" w:themeColor="text1"/>
        </w:rPr>
        <w:t xml:space="preserve">-compliant </w:t>
      </w:r>
      <w:r w:rsidR="00C00384" w:rsidRPr="00977582">
        <w:rPr>
          <w:rFonts w:ascii="Book Antiqua" w:hAnsi="Book Antiqua"/>
          <w:bCs/>
          <w:iCs/>
          <w:color w:val="000000" w:themeColor="text1"/>
        </w:rPr>
        <w:t>commercial-insurance</w:t>
      </w:r>
      <w:r w:rsidR="003A4223" w:rsidRPr="00977582">
        <w:rPr>
          <w:rFonts w:ascii="Book Antiqua" w:hAnsi="Book Antiqua"/>
          <w:bCs/>
          <w:iCs/>
          <w:color w:val="000000" w:themeColor="text1"/>
        </w:rPr>
        <w:t xml:space="preserve"> </w:t>
      </w:r>
      <w:r w:rsidR="00075187" w:rsidRPr="00977582">
        <w:rPr>
          <w:rFonts w:ascii="Book Antiqua" w:hAnsi="Book Antiqua"/>
          <w:bCs/>
          <w:iCs/>
          <w:color w:val="000000" w:themeColor="text1"/>
        </w:rPr>
        <w:t xml:space="preserve">secondary </w:t>
      </w:r>
      <w:r w:rsidR="003A4223" w:rsidRPr="00977582">
        <w:rPr>
          <w:rFonts w:ascii="Book Antiqua" w:hAnsi="Book Antiqua"/>
          <w:bCs/>
          <w:iCs/>
          <w:color w:val="000000" w:themeColor="text1"/>
        </w:rPr>
        <w:t xml:space="preserve">database, </w:t>
      </w:r>
      <w:r w:rsidR="003A4223" w:rsidRPr="00977582">
        <w:rPr>
          <w:rFonts w:ascii="Book Antiqua" w:hAnsi="Book Antiqua"/>
          <w:color w:val="000000" w:themeColor="text1"/>
        </w:rPr>
        <w:t>Truven Health Analytics MarketScan</w:t>
      </w:r>
      <w:r w:rsidR="003A4223" w:rsidRPr="00977582">
        <w:rPr>
          <w:rFonts w:ascii="Book Antiqua" w:hAnsi="Book Antiqua"/>
          <w:color w:val="000000" w:themeColor="text1"/>
          <w:vertAlign w:val="superscript"/>
        </w:rPr>
        <w:t>®</w:t>
      </w:r>
      <w:r w:rsidR="003A4223" w:rsidRPr="00977582">
        <w:rPr>
          <w:rFonts w:ascii="Book Antiqua" w:hAnsi="Book Antiqua"/>
          <w:color w:val="000000" w:themeColor="text1"/>
        </w:rPr>
        <w:t xml:space="preserve"> Database</w:t>
      </w:r>
      <w:r w:rsidR="00C00384" w:rsidRPr="00977582">
        <w:rPr>
          <w:rFonts w:ascii="Book Antiqua" w:hAnsi="Book Antiqua"/>
          <w:color w:val="000000" w:themeColor="text1"/>
        </w:rPr>
        <w:t>.</w:t>
      </w:r>
    </w:p>
    <w:p w14:paraId="00EEA8C8" w14:textId="77777777" w:rsidR="008C6B41" w:rsidRPr="00977582" w:rsidRDefault="008C6B41" w:rsidP="0041646E">
      <w:pPr>
        <w:adjustRightInd w:val="0"/>
        <w:snapToGrid w:val="0"/>
        <w:spacing w:after="0" w:line="360" w:lineRule="auto"/>
        <w:jc w:val="both"/>
        <w:rPr>
          <w:rFonts w:ascii="Book Antiqua" w:hAnsi="Book Antiqua" w:cs="Times-Roman"/>
          <w:color w:val="000000" w:themeColor="text1"/>
          <w:lang w:eastAsia="zh-CN"/>
        </w:rPr>
      </w:pPr>
    </w:p>
    <w:p w14:paraId="5F21FF1D" w14:textId="77777777" w:rsidR="00BB7A20" w:rsidRPr="00977582" w:rsidRDefault="00BB7A20" w:rsidP="0041646E">
      <w:pPr>
        <w:adjustRightInd w:val="0"/>
        <w:snapToGrid w:val="0"/>
        <w:spacing w:after="0" w:line="360" w:lineRule="auto"/>
        <w:jc w:val="both"/>
        <w:rPr>
          <w:color w:val="000000"/>
        </w:rPr>
      </w:pPr>
      <w:bookmarkStart w:id="1" w:name="OLE_LINK507"/>
      <w:bookmarkStart w:id="2" w:name="OLE_LINK506"/>
      <w:bookmarkStart w:id="3" w:name="OLE_LINK496"/>
      <w:bookmarkStart w:id="4" w:name="OLE_LINK479"/>
      <w:r w:rsidRPr="00977582">
        <w:rPr>
          <w:rFonts w:ascii="Book Antiqua" w:hAnsi="Book Antiqua"/>
          <w:b/>
          <w:color w:val="000000"/>
        </w:rPr>
        <w:t xml:space="preserve">Open-Access: </w:t>
      </w:r>
      <w:r w:rsidRPr="00977582">
        <w:rPr>
          <w:rFonts w:ascii="Book Antiqua" w:hAnsi="Book Antiqua"/>
          <w:color w:val="000000"/>
        </w:rPr>
        <w:t>This article is an open-access</w:t>
      </w:r>
      <w:r w:rsidRPr="00977582">
        <w:rPr>
          <w:rFonts w:ascii="Book Antiqua" w:hAnsi="Book Antiqua" w:hint="eastAsia"/>
          <w:color w:val="000000"/>
        </w:rPr>
        <w:t xml:space="preserve"> </w:t>
      </w:r>
      <w:r w:rsidRPr="00977582">
        <w:rPr>
          <w:rFonts w:ascii="Book Antiqua" w:hAnsi="Book Antiqua"/>
          <w:color w:val="000000"/>
        </w:rPr>
        <w:t>article</w:t>
      </w:r>
      <w:r w:rsidRPr="00977582">
        <w:rPr>
          <w:rFonts w:ascii="Book Antiqua" w:hAnsi="Book Antiqua" w:hint="eastAsia"/>
          <w:color w:val="000000"/>
        </w:rPr>
        <w:t xml:space="preserve"> </w:t>
      </w:r>
      <w:r w:rsidRPr="00977582">
        <w:rPr>
          <w:rFonts w:ascii="Book Antiqua" w:hAnsi="Book Antiqua"/>
          <w:color w:val="000000"/>
        </w:rPr>
        <w:t>which was selected by an in-house editor and fully peer-reviewed by external reviewers. It is distributed</w:t>
      </w:r>
      <w:r w:rsidRPr="00977582">
        <w:rPr>
          <w:rFonts w:ascii="Book Antiqua" w:hAnsi="Book Antiqua" w:hint="eastAsia"/>
          <w:color w:val="000000"/>
        </w:rPr>
        <w:t xml:space="preserve"> </w:t>
      </w:r>
      <w:r w:rsidRPr="00977582">
        <w:rPr>
          <w:rFonts w:ascii="Book Antiqua" w:hAnsi="Book Antiqua"/>
          <w:color w:val="000000"/>
        </w:rPr>
        <w:t>in</w:t>
      </w:r>
      <w:r w:rsidRPr="00977582">
        <w:rPr>
          <w:rFonts w:ascii="Book Antiqua" w:hAnsi="Book Antiqua" w:hint="eastAsia"/>
          <w:color w:val="000000"/>
        </w:rPr>
        <w:t xml:space="preserve"> </w:t>
      </w:r>
      <w:r w:rsidRPr="00977582">
        <w:rPr>
          <w:rFonts w:ascii="Book Antiqua" w:hAnsi="Book Antiqua"/>
          <w:color w:val="000000"/>
        </w:rPr>
        <w:t>accordance</w:t>
      </w:r>
      <w:r w:rsidRPr="00977582">
        <w:rPr>
          <w:rFonts w:ascii="Book Antiqua" w:hAnsi="Book Antiqua" w:hint="eastAsia"/>
          <w:color w:val="000000"/>
        </w:rPr>
        <w:t xml:space="preserve"> </w:t>
      </w:r>
      <w:r w:rsidRPr="00977582">
        <w:rPr>
          <w:rFonts w:ascii="Book Antiqua" w:hAnsi="Book Antiqua"/>
          <w:color w:val="000000"/>
        </w:rPr>
        <w:t>with the Creative Commons Attribution Non Commercial (CC BY-</w:t>
      </w:r>
      <w:r w:rsidRPr="00977582">
        <w:rPr>
          <w:rFonts w:ascii="Book Antiqua" w:hAnsi="Book Antiqua"/>
          <w:color w:val="000000"/>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69C47127" w14:textId="77777777" w:rsidR="001142B1" w:rsidRPr="00977582" w:rsidRDefault="001142B1" w:rsidP="0041646E">
      <w:pPr>
        <w:adjustRightInd w:val="0"/>
        <w:snapToGrid w:val="0"/>
        <w:spacing w:after="0" w:line="360" w:lineRule="auto"/>
        <w:jc w:val="both"/>
        <w:rPr>
          <w:rFonts w:ascii="Book Antiqua" w:eastAsia="MS Mincho" w:hAnsi="Book Antiqua"/>
          <w:b/>
          <w:color w:val="000000" w:themeColor="text1"/>
        </w:rPr>
      </w:pPr>
    </w:p>
    <w:p w14:paraId="1E6BE7F7" w14:textId="64F7A2C3" w:rsidR="008C6B41" w:rsidRPr="00977582" w:rsidRDefault="00BB7A20" w:rsidP="0041646E">
      <w:pPr>
        <w:adjustRightInd w:val="0"/>
        <w:snapToGrid w:val="0"/>
        <w:spacing w:after="0" w:line="360" w:lineRule="auto"/>
        <w:jc w:val="both"/>
        <w:rPr>
          <w:rStyle w:val="postbox-detected-content"/>
          <w:rFonts w:ascii="Book Antiqua" w:hAnsi="Book Antiqua"/>
          <w:color w:val="000000" w:themeColor="text1"/>
          <w:lang w:eastAsia="zh-CN"/>
        </w:rPr>
      </w:pPr>
      <w:r w:rsidRPr="00977582">
        <w:rPr>
          <w:rFonts w:ascii="Book Antiqua" w:eastAsia="MS Mincho" w:hAnsi="Book Antiqua"/>
          <w:b/>
          <w:color w:val="000000" w:themeColor="text1"/>
        </w:rPr>
        <w:t>Correspondence to:</w:t>
      </w:r>
      <w:r w:rsidRPr="00977582">
        <w:rPr>
          <w:rFonts w:ascii="Book Antiqua" w:hAnsi="Book Antiqua" w:hint="eastAsia"/>
          <w:b/>
          <w:color w:val="000000" w:themeColor="text1"/>
          <w:lang w:eastAsia="zh-CN"/>
        </w:rPr>
        <w:t xml:space="preserve"> </w:t>
      </w:r>
      <w:r w:rsidRPr="00977582">
        <w:rPr>
          <w:rFonts w:ascii="Book Antiqua" w:hAnsi="Book Antiqua"/>
          <w:b/>
          <w:color w:val="000000" w:themeColor="text1"/>
        </w:rPr>
        <w:t>Michael S</w:t>
      </w:r>
      <w:r w:rsidR="001142B1" w:rsidRPr="00977582">
        <w:rPr>
          <w:rFonts w:ascii="Book Antiqua" w:hAnsi="Book Antiqua"/>
          <w:b/>
          <w:color w:val="000000" w:themeColor="text1"/>
        </w:rPr>
        <w:t xml:space="preserve"> Broder, MD, MSHS, President, </w:t>
      </w:r>
      <w:r w:rsidR="001142B1" w:rsidRPr="00977582">
        <w:rPr>
          <w:rFonts w:ascii="Book Antiqua" w:hAnsi="Book Antiqua"/>
          <w:color w:val="000000" w:themeColor="text1"/>
        </w:rPr>
        <w:t xml:space="preserve">Partnership for Health Analytic Research, LLC, </w:t>
      </w:r>
      <w:r w:rsidR="001142B1" w:rsidRPr="00977582">
        <w:rPr>
          <w:rStyle w:val="postbox-detected-content"/>
          <w:rFonts w:ascii="Book Antiqua" w:hAnsi="Book Antiqua"/>
          <w:color w:val="000000" w:themeColor="text1"/>
        </w:rPr>
        <w:t>Beverly Hills, CA 90212</w:t>
      </w:r>
      <w:r w:rsidR="00700C3A" w:rsidRPr="00977582">
        <w:rPr>
          <w:rStyle w:val="postbox-detected-content"/>
          <w:rFonts w:ascii="Book Antiqua" w:hAnsi="Book Antiqua"/>
          <w:color w:val="000000" w:themeColor="text1"/>
        </w:rPr>
        <w:t xml:space="preserve"> U</w:t>
      </w:r>
      <w:r w:rsidRPr="00977582">
        <w:rPr>
          <w:rStyle w:val="postbox-detected-content"/>
          <w:rFonts w:ascii="Book Antiqua" w:hAnsi="Book Antiqua" w:hint="eastAsia"/>
          <w:color w:val="000000" w:themeColor="text1"/>
          <w:lang w:eastAsia="zh-CN"/>
        </w:rPr>
        <w:t>nited States</w:t>
      </w:r>
      <w:r w:rsidR="001142B1" w:rsidRPr="00977582">
        <w:rPr>
          <w:rStyle w:val="postbox-detected-content"/>
          <w:rFonts w:ascii="Book Antiqua" w:hAnsi="Book Antiqua"/>
          <w:color w:val="000000" w:themeColor="text1"/>
        </w:rPr>
        <w:t>.</w:t>
      </w:r>
      <w:r w:rsidRPr="00977582">
        <w:t xml:space="preserve"> </w:t>
      </w:r>
      <w:hyperlink r:id="rId11" w:history="1">
        <w:r w:rsidRPr="00977582">
          <w:rPr>
            <w:rStyle w:val="Hyperlink"/>
            <w:rFonts w:ascii="Book Antiqua" w:hAnsi="Book Antiqua"/>
            <w:color w:val="000000" w:themeColor="text1"/>
            <w:u w:val="none"/>
          </w:rPr>
          <w:t>mbroder@pharllc.com</w:t>
        </w:r>
      </w:hyperlink>
    </w:p>
    <w:p w14:paraId="2CAEB35E" w14:textId="10C80AD0" w:rsidR="008C6B41" w:rsidRPr="00977582" w:rsidRDefault="008C6B41" w:rsidP="0041646E">
      <w:pPr>
        <w:adjustRightInd w:val="0"/>
        <w:snapToGrid w:val="0"/>
        <w:spacing w:after="0" w:line="360" w:lineRule="auto"/>
        <w:jc w:val="both"/>
        <w:rPr>
          <w:color w:val="000000" w:themeColor="text1"/>
        </w:rPr>
      </w:pPr>
      <w:r w:rsidRPr="00977582">
        <w:rPr>
          <w:rFonts w:ascii="Book Antiqua" w:hAnsi="Book Antiqua"/>
          <w:b/>
          <w:color w:val="000000" w:themeColor="text1"/>
        </w:rPr>
        <w:t>Telephone:</w:t>
      </w:r>
      <w:r w:rsidR="005B1623" w:rsidRPr="00977582">
        <w:rPr>
          <w:rFonts w:ascii="Book Antiqua" w:hAnsi="Book Antiqua"/>
          <w:b/>
          <w:i/>
          <w:color w:val="000000" w:themeColor="text1"/>
        </w:rPr>
        <w:t xml:space="preserve"> </w:t>
      </w:r>
      <w:r w:rsidR="000D6A75" w:rsidRPr="00977582">
        <w:rPr>
          <w:color w:val="000000" w:themeColor="text1"/>
        </w:rPr>
        <w:t>+1-</w:t>
      </w:r>
      <w:r w:rsidR="00700C3A" w:rsidRPr="00977582">
        <w:rPr>
          <w:rStyle w:val="postbox-detected-content"/>
          <w:rFonts w:ascii="Book Antiqua" w:hAnsi="Book Antiqua"/>
          <w:color w:val="000000" w:themeColor="text1"/>
        </w:rPr>
        <w:t>310</w:t>
      </w:r>
      <w:r w:rsidR="00933AF0" w:rsidRPr="00977582">
        <w:rPr>
          <w:rStyle w:val="postbox-detected-content"/>
          <w:rFonts w:ascii="Book Antiqua" w:hAnsi="Book Antiqua"/>
          <w:color w:val="000000" w:themeColor="text1"/>
        </w:rPr>
        <w:t>-</w:t>
      </w:r>
      <w:r w:rsidR="00700C3A" w:rsidRPr="00977582">
        <w:rPr>
          <w:rStyle w:val="postbox-detected-content"/>
          <w:rFonts w:ascii="Book Antiqua" w:hAnsi="Book Antiqua"/>
          <w:color w:val="000000" w:themeColor="text1"/>
        </w:rPr>
        <w:t>8589555</w:t>
      </w:r>
    </w:p>
    <w:p w14:paraId="4523DF4F" w14:textId="4EB29801" w:rsidR="008C6B41" w:rsidRPr="00977582" w:rsidRDefault="008C6B41" w:rsidP="0041646E">
      <w:pPr>
        <w:adjustRightInd w:val="0"/>
        <w:snapToGrid w:val="0"/>
        <w:spacing w:after="0" w:line="360" w:lineRule="auto"/>
        <w:jc w:val="both"/>
        <w:rPr>
          <w:color w:val="000000" w:themeColor="text1"/>
        </w:rPr>
      </w:pPr>
      <w:r w:rsidRPr="00977582">
        <w:rPr>
          <w:rFonts w:ascii="Book Antiqua" w:hAnsi="Book Antiqua"/>
          <w:b/>
          <w:color w:val="000000" w:themeColor="text1"/>
        </w:rPr>
        <w:t>Fax:</w:t>
      </w:r>
      <w:r w:rsidR="005B1623" w:rsidRPr="00977582">
        <w:rPr>
          <w:rFonts w:ascii="Book Antiqua" w:hAnsi="Book Antiqua"/>
          <w:b/>
          <w:i/>
          <w:color w:val="000000" w:themeColor="text1"/>
        </w:rPr>
        <w:t xml:space="preserve"> </w:t>
      </w:r>
      <w:r w:rsidR="000D6A75" w:rsidRPr="00977582">
        <w:rPr>
          <w:rFonts w:ascii="Book Antiqua" w:hAnsi="Book Antiqua"/>
          <w:color w:val="000000" w:themeColor="text1"/>
        </w:rPr>
        <w:t>+1-</w:t>
      </w:r>
      <w:r w:rsidR="00700C3A" w:rsidRPr="00977582">
        <w:rPr>
          <w:rStyle w:val="postbox-detected-content"/>
          <w:rFonts w:ascii="Book Antiqua" w:hAnsi="Book Antiqua"/>
          <w:color w:val="000000" w:themeColor="text1"/>
        </w:rPr>
        <w:t>310</w:t>
      </w:r>
      <w:r w:rsidR="00933AF0" w:rsidRPr="00977582">
        <w:rPr>
          <w:rStyle w:val="postbox-detected-content"/>
          <w:rFonts w:ascii="Book Antiqua" w:hAnsi="Book Antiqua"/>
          <w:color w:val="000000" w:themeColor="text1"/>
        </w:rPr>
        <w:t>-</w:t>
      </w:r>
      <w:r w:rsidR="00700C3A" w:rsidRPr="00977582">
        <w:rPr>
          <w:rStyle w:val="postbox-detected-content"/>
          <w:rFonts w:ascii="Book Antiqua" w:hAnsi="Book Antiqua"/>
          <w:color w:val="000000" w:themeColor="text1"/>
        </w:rPr>
        <w:t>8589552</w:t>
      </w:r>
    </w:p>
    <w:p w14:paraId="0B2C0A34" w14:textId="77777777" w:rsidR="00BB7A20" w:rsidRPr="00977582" w:rsidRDefault="00BB7A20" w:rsidP="0041646E">
      <w:pPr>
        <w:adjustRightInd w:val="0"/>
        <w:snapToGrid w:val="0"/>
        <w:spacing w:after="0" w:line="360" w:lineRule="auto"/>
        <w:jc w:val="both"/>
        <w:rPr>
          <w:rFonts w:ascii="Book Antiqua" w:hAnsi="Book Antiqua"/>
          <w:b/>
          <w:color w:val="000000" w:themeColor="text1"/>
          <w:lang w:eastAsia="zh-CN"/>
        </w:rPr>
      </w:pPr>
    </w:p>
    <w:p w14:paraId="0C3AC274" w14:textId="77AEB7A2" w:rsidR="008C6B41" w:rsidRPr="00977582" w:rsidRDefault="008C6B41" w:rsidP="0041646E">
      <w:pPr>
        <w:adjustRightInd w:val="0"/>
        <w:snapToGrid w:val="0"/>
        <w:spacing w:after="0" w:line="360" w:lineRule="auto"/>
        <w:jc w:val="both"/>
        <w:rPr>
          <w:rFonts w:ascii="Book Antiqua" w:hAnsi="Book Antiqua"/>
          <w:b/>
          <w:color w:val="000000" w:themeColor="text1"/>
        </w:rPr>
      </w:pPr>
      <w:r w:rsidRPr="00977582">
        <w:rPr>
          <w:rFonts w:ascii="Book Antiqua" w:hAnsi="Book Antiqua"/>
          <w:b/>
          <w:color w:val="000000" w:themeColor="text1"/>
        </w:rPr>
        <w:t>Received:</w:t>
      </w:r>
      <w:r w:rsidR="005B1623" w:rsidRPr="00977582">
        <w:rPr>
          <w:rFonts w:ascii="Book Antiqua" w:hAnsi="Book Antiqua"/>
          <w:b/>
          <w:i/>
          <w:color w:val="000000" w:themeColor="text1"/>
        </w:rPr>
        <w:t xml:space="preserve"> </w:t>
      </w:r>
      <w:bookmarkStart w:id="5" w:name="OLE_LINK12"/>
      <w:bookmarkStart w:id="6" w:name="OLE_LINK13"/>
      <w:r w:rsidR="00A80C5D" w:rsidRPr="00977582">
        <w:rPr>
          <w:rFonts w:ascii="Book Antiqua" w:hAnsi="Book Antiqua"/>
        </w:rPr>
        <w:t>August</w:t>
      </w:r>
      <w:bookmarkEnd w:id="5"/>
      <w:bookmarkEnd w:id="6"/>
      <w:r w:rsidR="00A80C5D" w:rsidRPr="00977582">
        <w:rPr>
          <w:rFonts w:ascii="Book Antiqua" w:hAnsi="Book Antiqua" w:hint="eastAsia"/>
          <w:lang w:eastAsia="zh-CN"/>
        </w:rPr>
        <w:t xml:space="preserve"> 5, 2015</w:t>
      </w:r>
      <w:r w:rsidRPr="00977582">
        <w:rPr>
          <w:rFonts w:ascii="Book Antiqua" w:hAnsi="Book Antiqua"/>
          <w:b/>
          <w:color w:val="000000" w:themeColor="text1"/>
        </w:rPr>
        <w:t xml:space="preserve"> </w:t>
      </w:r>
    </w:p>
    <w:p w14:paraId="45428D12" w14:textId="28FA431D"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r w:rsidRPr="00977582">
        <w:rPr>
          <w:rFonts w:ascii="Book Antiqua" w:hAnsi="Book Antiqua"/>
          <w:b/>
          <w:color w:val="000000" w:themeColor="text1"/>
        </w:rPr>
        <w:t>Peer-review started:</w:t>
      </w:r>
      <w:r w:rsidR="00B638DC" w:rsidRPr="00977582">
        <w:rPr>
          <w:rFonts w:ascii="Book Antiqua" w:hAnsi="Book Antiqua" w:hint="eastAsia"/>
          <w:b/>
          <w:color w:val="000000" w:themeColor="text1"/>
          <w:lang w:eastAsia="zh-CN"/>
        </w:rPr>
        <w:t xml:space="preserve"> </w:t>
      </w:r>
      <w:r w:rsidR="00B638DC" w:rsidRPr="00977582">
        <w:rPr>
          <w:rFonts w:ascii="Book Antiqua" w:hAnsi="Book Antiqua"/>
        </w:rPr>
        <w:t>August</w:t>
      </w:r>
      <w:r w:rsidR="00B638DC" w:rsidRPr="00977582">
        <w:rPr>
          <w:rFonts w:ascii="Book Antiqua" w:hAnsi="Book Antiqua" w:hint="eastAsia"/>
          <w:lang w:eastAsia="zh-CN"/>
        </w:rPr>
        <w:t xml:space="preserve"> 5, 2015</w:t>
      </w:r>
    </w:p>
    <w:p w14:paraId="252AB678" w14:textId="2D141D02"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r w:rsidRPr="00977582">
        <w:rPr>
          <w:rFonts w:ascii="Book Antiqua" w:hAnsi="Book Antiqua"/>
          <w:b/>
          <w:color w:val="000000" w:themeColor="text1"/>
        </w:rPr>
        <w:t>First decision:</w:t>
      </w:r>
      <w:r w:rsidR="001B174B" w:rsidRPr="00977582">
        <w:rPr>
          <w:rFonts w:ascii="Book Antiqua" w:hAnsi="Book Antiqua" w:hint="eastAsia"/>
          <w:b/>
          <w:color w:val="000000" w:themeColor="text1"/>
          <w:lang w:eastAsia="zh-CN"/>
        </w:rPr>
        <w:t xml:space="preserve"> </w:t>
      </w:r>
      <w:r w:rsidR="001B174B" w:rsidRPr="00977582">
        <w:rPr>
          <w:rFonts w:ascii="Book Antiqua" w:hAnsi="Book Antiqua"/>
        </w:rPr>
        <w:t>September</w:t>
      </w:r>
      <w:r w:rsidR="001B174B" w:rsidRPr="00977582">
        <w:rPr>
          <w:rFonts w:ascii="Book Antiqua" w:hAnsi="Book Antiqua" w:hint="eastAsia"/>
          <w:lang w:eastAsia="zh-CN"/>
        </w:rPr>
        <w:t xml:space="preserve"> 9, 2015</w:t>
      </w:r>
    </w:p>
    <w:p w14:paraId="72A6E5A5" w14:textId="5EC3362A"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r w:rsidRPr="00977582">
        <w:rPr>
          <w:rFonts w:ascii="Book Antiqua" w:hAnsi="Book Antiqua"/>
          <w:b/>
          <w:color w:val="000000" w:themeColor="text1"/>
        </w:rPr>
        <w:t>Revised:</w:t>
      </w:r>
      <w:r w:rsidR="005B1623" w:rsidRPr="00977582">
        <w:rPr>
          <w:rFonts w:ascii="Book Antiqua" w:hAnsi="Book Antiqua"/>
          <w:b/>
          <w:i/>
          <w:color w:val="000000" w:themeColor="text1"/>
        </w:rPr>
        <w:t xml:space="preserve"> </w:t>
      </w:r>
      <w:r w:rsidR="0007625B" w:rsidRPr="00977582">
        <w:rPr>
          <w:rFonts w:ascii="Book Antiqua" w:hAnsi="Book Antiqua"/>
        </w:rPr>
        <w:t>November</w:t>
      </w:r>
      <w:r w:rsidR="0007625B" w:rsidRPr="00977582">
        <w:rPr>
          <w:rFonts w:ascii="Book Antiqua" w:hAnsi="Book Antiqua" w:hint="eastAsia"/>
          <w:lang w:eastAsia="zh-CN"/>
        </w:rPr>
        <w:t xml:space="preserve"> 26, 2015</w:t>
      </w:r>
    </w:p>
    <w:p w14:paraId="07C4D2CC" w14:textId="369035A8" w:rsidR="008C6B41" w:rsidRPr="00F57BF6" w:rsidRDefault="008C6B41" w:rsidP="00F57BF6">
      <w:pPr>
        <w:spacing w:line="360" w:lineRule="auto"/>
        <w:rPr>
          <w:rFonts w:ascii="Book Antiqua" w:hAnsi="Book Antiqua"/>
          <w:color w:val="000000" w:themeColor="text1"/>
        </w:rPr>
      </w:pPr>
      <w:r w:rsidRPr="00977582">
        <w:rPr>
          <w:rFonts w:ascii="Book Antiqua" w:hAnsi="Book Antiqua"/>
          <w:b/>
          <w:color w:val="000000" w:themeColor="text1"/>
        </w:rPr>
        <w:t>Accepted:</w:t>
      </w:r>
      <w:bookmarkStart w:id="7" w:name="OLE_LINK99"/>
      <w:bookmarkStart w:id="8" w:name="OLE_LINK104"/>
      <w:bookmarkStart w:id="9" w:name="OLE_LINK110"/>
      <w:bookmarkStart w:id="10" w:name="OLE_LINK111"/>
      <w:bookmarkStart w:id="11" w:name="OLE_LINK115"/>
      <w:bookmarkStart w:id="12" w:name="OLE_LINK116"/>
      <w:bookmarkStart w:id="13" w:name="OLE_LINK117"/>
      <w:bookmarkStart w:id="14" w:name="OLE_LINK118"/>
      <w:bookmarkStart w:id="15" w:name="OLE_LINK119"/>
      <w:bookmarkStart w:id="16" w:name="OLE_LINK120"/>
      <w:bookmarkStart w:id="17" w:name="OLE_LINK121"/>
      <w:bookmarkStart w:id="18" w:name="OLE_LINK122"/>
      <w:bookmarkStart w:id="19" w:name="OLE_LINK125"/>
      <w:bookmarkStart w:id="20" w:name="OLE_LINK126"/>
      <w:bookmarkStart w:id="21" w:name="OLE_LINK127"/>
      <w:bookmarkStart w:id="22" w:name="OLE_LINK129"/>
      <w:bookmarkStart w:id="23" w:name="OLE_LINK132"/>
      <w:bookmarkStart w:id="24" w:name="OLE_LINK134"/>
      <w:bookmarkStart w:id="25" w:name="OLE_LINK136"/>
      <w:bookmarkStart w:id="26" w:name="OLE_LINK137"/>
      <w:bookmarkStart w:id="27" w:name="OLE_LINK138"/>
      <w:bookmarkStart w:id="28" w:name="OLE_LINK139"/>
      <w:bookmarkStart w:id="29" w:name="OLE_LINK141"/>
      <w:bookmarkStart w:id="30" w:name="OLE_LINK142"/>
      <w:bookmarkStart w:id="31" w:name="OLE_LINK143"/>
      <w:bookmarkStart w:id="32" w:name="OLE_LINK144"/>
      <w:bookmarkStart w:id="33" w:name="OLE_LINK145"/>
      <w:bookmarkStart w:id="34" w:name="OLE_LINK146"/>
      <w:r w:rsidR="00F57BF6" w:rsidRPr="00F57BF6">
        <w:rPr>
          <w:rFonts w:ascii="Book Antiqua" w:hAnsi="Book Antiqua"/>
          <w:color w:val="000000" w:themeColor="text1"/>
        </w:rPr>
        <w:t xml:space="preserve"> </w:t>
      </w:r>
      <w:r w:rsidR="00F57BF6" w:rsidRPr="00F45817">
        <w:rPr>
          <w:rFonts w:ascii="Book Antiqua" w:hAnsi="Book Antiqua"/>
          <w:color w:val="000000" w:themeColor="text1"/>
        </w:rPr>
        <w:t>December 12, 2015</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5B1623" w:rsidRPr="00977582">
        <w:rPr>
          <w:rFonts w:ascii="Book Antiqua" w:hAnsi="Book Antiqua"/>
          <w:b/>
          <w:i/>
          <w:color w:val="000000" w:themeColor="text1"/>
        </w:rPr>
        <w:t xml:space="preserve"> </w:t>
      </w:r>
    </w:p>
    <w:p w14:paraId="24D78625" w14:textId="77777777" w:rsidR="008C6B41" w:rsidRPr="00977582" w:rsidRDefault="008C6B41" w:rsidP="0041646E">
      <w:pPr>
        <w:adjustRightInd w:val="0"/>
        <w:snapToGrid w:val="0"/>
        <w:spacing w:after="0" w:line="360" w:lineRule="auto"/>
        <w:jc w:val="both"/>
        <w:rPr>
          <w:rFonts w:ascii="Book Antiqua" w:hAnsi="Book Antiqua"/>
          <w:b/>
          <w:color w:val="000000" w:themeColor="text1"/>
        </w:rPr>
      </w:pPr>
      <w:r w:rsidRPr="00977582">
        <w:rPr>
          <w:rFonts w:ascii="Book Antiqua" w:hAnsi="Book Antiqua"/>
          <w:b/>
          <w:color w:val="000000" w:themeColor="text1"/>
        </w:rPr>
        <w:t>Article in press:</w:t>
      </w:r>
    </w:p>
    <w:p w14:paraId="7B420F75" w14:textId="77777777" w:rsidR="008C6B41" w:rsidRPr="00977582" w:rsidRDefault="008C6B41" w:rsidP="0041646E">
      <w:pPr>
        <w:adjustRightInd w:val="0"/>
        <w:snapToGrid w:val="0"/>
        <w:spacing w:after="0" w:line="360" w:lineRule="auto"/>
        <w:jc w:val="both"/>
        <w:rPr>
          <w:rFonts w:ascii="Book Antiqua" w:hAnsi="Book Antiqua"/>
          <w:color w:val="000000" w:themeColor="text1"/>
        </w:rPr>
      </w:pPr>
      <w:r w:rsidRPr="00977582">
        <w:rPr>
          <w:rFonts w:ascii="Book Antiqua" w:hAnsi="Book Antiqua"/>
          <w:b/>
          <w:color w:val="000000" w:themeColor="text1"/>
        </w:rPr>
        <w:t>Published online:</w:t>
      </w:r>
    </w:p>
    <w:p w14:paraId="72E54C4C" w14:textId="37A2C00F" w:rsidR="002B4B9F" w:rsidRPr="00977582" w:rsidRDefault="00355A38" w:rsidP="0041646E">
      <w:pPr>
        <w:adjustRightInd w:val="0"/>
        <w:snapToGrid w:val="0"/>
        <w:spacing w:after="0" w:line="360" w:lineRule="auto"/>
        <w:jc w:val="both"/>
        <w:rPr>
          <w:rFonts w:ascii="Book Antiqua" w:hAnsi="Book Antiqua"/>
          <w:b/>
          <w:color w:val="000000" w:themeColor="text1"/>
        </w:rPr>
      </w:pPr>
      <w:r w:rsidRPr="00977582">
        <w:rPr>
          <w:rFonts w:ascii="Book Antiqua" w:hAnsi="Book Antiqua"/>
          <w:b/>
          <w:color w:val="000000" w:themeColor="text1"/>
        </w:rPr>
        <w:br w:type="page"/>
      </w:r>
    </w:p>
    <w:p w14:paraId="4650B0E6" w14:textId="77777777" w:rsidR="008C6B41" w:rsidRPr="00977582" w:rsidRDefault="008C6B41" w:rsidP="0041646E">
      <w:pPr>
        <w:adjustRightInd w:val="0"/>
        <w:snapToGrid w:val="0"/>
        <w:spacing w:after="0" w:line="360" w:lineRule="auto"/>
        <w:jc w:val="both"/>
        <w:rPr>
          <w:rFonts w:ascii="Book Antiqua" w:hAnsi="Book Antiqua"/>
          <w:b/>
          <w:color w:val="000000" w:themeColor="text1"/>
          <w:lang w:eastAsia="zh-CN"/>
        </w:rPr>
      </w:pPr>
      <w:r w:rsidRPr="00977582">
        <w:rPr>
          <w:rFonts w:ascii="Book Antiqua" w:hAnsi="Book Antiqua"/>
          <w:b/>
          <w:color w:val="000000" w:themeColor="text1"/>
        </w:rPr>
        <w:lastRenderedPageBreak/>
        <w:t>Abstract</w:t>
      </w:r>
    </w:p>
    <w:p w14:paraId="72E54C4E" w14:textId="14193338" w:rsidR="00456173" w:rsidRPr="00977582" w:rsidRDefault="006B7F6B" w:rsidP="0041646E">
      <w:pPr>
        <w:adjustRightInd w:val="0"/>
        <w:snapToGrid w:val="0"/>
        <w:spacing w:after="0" w:line="360" w:lineRule="auto"/>
        <w:jc w:val="both"/>
        <w:rPr>
          <w:rFonts w:ascii="Book Antiqua" w:hAnsi="Book Antiqua" w:cs="Times New Roman"/>
          <w:bCs/>
          <w:color w:val="000000" w:themeColor="text1"/>
          <w:lang w:eastAsia="zh-CN"/>
        </w:rPr>
      </w:pPr>
      <w:r w:rsidRPr="00977582">
        <w:rPr>
          <w:rFonts w:ascii="Book Antiqua" w:hAnsi="Book Antiqua" w:cs="Times New Roman"/>
          <w:b/>
          <w:bCs/>
          <w:caps/>
          <w:color w:val="000000" w:themeColor="text1"/>
        </w:rPr>
        <w:t>Aim:</w:t>
      </w:r>
      <w:r w:rsidR="00A65A81" w:rsidRPr="00977582">
        <w:rPr>
          <w:rFonts w:ascii="Book Antiqua" w:hAnsi="Book Antiqua" w:cs="Times New Roman"/>
          <w:bCs/>
          <w:caps/>
          <w:color w:val="000000" w:themeColor="text1"/>
        </w:rPr>
        <w:t xml:space="preserve"> </w:t>
      </w:r>
      <w:r w:rsidR="003A691C" w:rsidRPr="00977582">
        <w:rPr>
          <w:rFonts w:ascii="Book Antiqua" w:hAnsi="Book Antiqua" w:cs="Times New Roman" w:hint="eastAsia"/>
          <w:bCs/>
          <w:color w:val="000000" w:themeColor="text1"/>
          <w:lang w:eastAsia="zh-CN"/>
        </w:rPr>
        <w:t xml:space="preserve">To </w:t>
      </w:r>
      <w:r w:rsidR="00456173" w:rsidRPr="00977582">
        <w:rPr>
          <w:rFonts w:ascii="Book Antiqua" w:hAnsi="Book Antiqua" w:cs="Times New Roman"/>
          <w:bCs/>
          <w:color w:val="000000" w:themeColor="text1"/>
        </w:rPr>
        <w:t>examine h</w:t>
      </w:r>
      <w:r w:rsidR="00456173" w:rsidRPr="00977582">
        <w:rPr>
          <w:rFonts w:ascii="Book Antiqua" w:hAnsi="Book Antiqua" w:cs="Times New Roman"/>
          <w:color w:val="000000" w:themeColor="text1"/>
        </w:rPr>
        <w:t xml:space="preserve">ealthcare resource utilization patterns and costs accrued by </w:t>
      </w:r>
      <w:r w:rsidR="00456173" w:rsidRPr="00977582">
        <w:rPr>
          <w:rFonts w:ascii="Book Antiqua" w:hAnsi="Book Antiqua" w:cs="Times New Roman"/>
          <w:bCs/>
          <w:color w:val="000000" w:themeColor="text1"/>
        </w:rPr>
        <w:t xml:space="preserve">carcinoid syndrome (CS) </w:t>
      </w:r>
      <w:r w:rsidR="00456173" w:rsidRPr="00977582">
        <w:rPr>
          <w:rFonts w:ascii="Book Antiqua" w:hAnsi="Book Antiqua" w:cs="Times New Roman"/>
          <w:color w:val="000000" w:themeColor="text1"/>
        </w:rPr>
        <w:t>patients with and without diarrhea</w:t>
      </w:r>
      <w:r w:rsidR="00456173" w:rsidRPr="00977582">
        <w:rPr>
          <w:rFonts w:ascii="Book Antiqua" w:hAnsi="Book Antiqua" w:cs="Times New Roman"/>
          <w:bCs/>
          <w:color w:val="000000" w:themeColor="text1"/>
        </w:rPr>
        <w:t>.</w:t>
      </w:r>
    </w:p>
    <w:p w14:paraId="5E76B8FD" w14:textId="77777777" w:rsidR="006E770B" w:rsidRPr="00977582" w:rsidRDefault="006E770B" w:rsidP="0041646E">
      <w:pPr>
        <w:adjustRightInd w:val="0"/>
        <w:snapToGrid w:val="0"/>
        <w:spacing w:after="0" w:line="360" w:lineRule="auto"/>
        <w:jc w:val="both"/>
        <w:rPr>
          <w:rFonts w:ascii="Book Antiqua" w:eastAsia="Cambria" w:hAnsi="Book Antiqua"/>
          <w:color w:val="000000" w:themeColor="text1"/>
          <w:lang w:eastAsia="zh-CN"/>
        </w:rPr>
      </w:pPr>
    </w:p>
    <w:p w14:paraId="72E54C4F" w14:textId="6A3BF87E" w:rsidR="00A65A81" w:rsidRPr="00977582" w:rsidRDefault="00A65A81" w:rsidP="0041646E">
      <w:pPr>
        <w:adjustRightInd w:val="0"/>
        <w:snapToGrid w:val="0"/>
        <w:spacing w:after="0" w:line="360" w:lineRule="auto"/>
        <w:jc w:val="both"/>
        <w:rPr>
          <w:rFonts w:ascii="Book Antiqua" w:hAnsi="Book Antiqua" w:cs="Times New Roman"/>
          <w:bCs/>
          <w:color w:val="000000" w:themeColor="text1"/>
          <w:lang w:eastAsia="zh-CN"/>
        </w:rPr>
      </w:pPr>
      <w:r w:rsidRPr="00977582">
        <w:rPr>
          <w:rFonts w:ascii="Book Antiqua" w:hAnsi="Book Antiqua" w:cs="Times New Roman"/>
          <w:b/>
          <w:bCs/>
          <w:caps/>
          <w:color w:val="000000" w:themeColor="text1"/>
        </w:rPr>
        <w:t>Methods:</w:t>
      </w:r>
      <w:r w:rsidRPr="00977582">
        <w:rPr>
          <w:rFonts w:ascii="Book Antiqua" w:hAnsi="Book Antiqua" w:cs="Times New Roman"/>
          <w:bCs/>
          <w:caps/>
          <w:color w:val="000000" w:themeColor="text1"/>
        </w:rPr>
        <w:t xml:space="preserve"> </w:t>
      </w:r>
      <w:r w:rsidRPr="00977582">
        <w:rPr>
          <w:rFonts w:ascii="Book Antiqua" w:hAnsi="Book Antiqua" w:cs="Times New Roman"/>
          <w:bCs/>
          <w:color w:val="000000" w:themeColor="text1"/>
        </w:rPr>
        <w:t>We conducted a retrospective cohort study using MarketScan</w:t>
      </w:r>
      <w:r w:rsidRPr="00977582">
        <w:rPr>
          <w:rFonts w:ascii="Book Antiqua" w:hAnsi="Book Antiqua" w:cs="Times New Roman"/>
          <w:bCs/>
          <w:color w:val="000000" w:themeColor="text1"/>
          <w:vertAlign w:val="superscript"/>
        </w:rPr>
        <w:t>®</w:t>
      </w:r>
      <w:r w:rsidRPr="00977582">
        <w:rPr>
          <w:rFonts w:ascii="Book Antiqua" w:hAnsi="Book Antiqua" w:cs="Times New Roman"/>
          <w:bCs/>
          <w:color w:val="000000" w:themeColor="text1"/>
        </w:rPr>
        <w:t xml:space="preserve"> data from 1/1/200</w:t>
      </w:r>
      <w:r w:rsidR="00B11077" w:rsidRPr="00977582">
        <w:rPr>
          <w:rFonts w:ascii="Book Antiqua" w:hAnsi="Book Antiqua" w:cs="Times New Roman"/>
          <w:bCs/>
          <w:color w:val="000000" w:themeColor="text1"/>
        </w:rPr>
        <w:t>2</w:t>
      </w:r>
      <w:r w:rsidR="004C46F5">
        <w:rPr>
          <w:rFonts w:ascii="Book Antiqua" w:hAnsi="Book Antiqua" w:cs="Times New Roman"/>
          <w:bCs/>
          <w:color w:val="000000" w:themeColor="text1"/>
        </w:rPr>
        <w:t>-</w:t>
      </w:r>
      <w:r w:rsidRPr="00977582">
        <w:rPr>
          <w:rFonts w:ascii="Book Antiqua" w:hAnsi="Book Antiqua" w:cs="Times New Roman"/>
          <w:bCs/>
          <w:color w:val="000000" w:themeColor="text1"/>
        </w:rPr>
        <w:t>12/31/2012. Newly diagnosed CS patients had 1 medical claim for CS (ICD-9-CM code 259.2) plus either ≥</w:t>
      </w:r>
      <w:r w:rsidR="003A691C" w:rsidRPr="00977582">
        <w:rPr>
          <w:rFonts w:ascii="Book Antiqua" w:hAnsi="Book Antiqua" w:cs="Times New Roman" w:hint="eastAsia"/>
          <w:bCs/>
          <w:color w:val="000000" w:themeColor="text1"/>
          <w:lang w:eastAsia="zh-CN"/>
        </w:rPr>
        <w:t xml:space="preserve"> </w:t>
      </w:r>
      <w:r w:rsidRPr="00977582">
        <w:rPr>
          <w:rFonts w:ascii="Book Antiqua" w:hAnsi="Book Antiqua" w:cs="Times New Roman"/>
          <w:bCs/>
          <w:color w:val="000000" w:themeColor="text1"/>
        </w:rPr>
        <w:t>1 additional claim for CS or for carcinoid tumors (ICD-9-CM 209.x), and had no evidence of CS for 1 year prior to index CS diagnosis</w:t>
      </w:r>
      <w:r w:rsidR="00BE1231" w:rsidRPr="00977582">
        <w:rPr>
          <w:rFonts w:ascii="Book Antiqua" w:hAnsi="Book Antiqua" w:cs="Times New Roman"/>
          <w:bCs/>
          <w:color w:val="000000" w:themeColor="text1"/>
        </w:rPr>
        <w:t>, in commercially-insured patients &lt;</w:t>
      </w:r>
      <w:r w:rsidR="003A691C" w:rsidRPr="00977582">
        <w:rPr>
          <w:rFonts w:ascii="Book Antiqua" w:hAnsi="Book Antiqua" w:cs="Times New Roman" w:hint="eastAsia"/>
          <w:bCs/>
          <w:color w:val="000000" w:themeColor="text1"/>
          <w:lang w:eastAsia="zh-CN"/>
        </w:rPr>
        <w:t xml:space="preserve"> </w:t>
      </w:r>
      <w:r w:rsidR="00BE1231" w:rsidRPr="00977582">
        <w:rPr>
          <w:rFonts w:ascii="Book Antiqua" w:hAnsi="Book Antiqua" w:cs="Times New Roman"/>
          <w:bCs/>
          <w:color w:val="000000" w:themeColor="text1"/>
        </w:rPr>
        <w:t>65 years old</w:t>
      </w:r>
      <w:r w:rsidRPr="00977582">
        <w:rPr>
          <w:rFonts w:ascii="Book Antiqua" w:hAnsi="Book Antiqua" w:cs="Times New Roman"/>
          <w:bCs/>
          <w:color w:val="000000" w:themeColor="text1"/>
        </w:rPr>
        <w:t xml:space="preserve">. </w:t>
      </w:r>
      <w:r w:rsidR="00470246" w:rsidRPr="00977582">
        <w:rPr>
          <w:rFonts w:ascii="Book Antiqua" w:hAnsi="Book Antiqua" w:cs="Times New Roman"/>
          <w:bCs/>
          <w:color w:val="000000" w:themeColor="text1"/>
        </w:rPr>
        <w:t>Patients were required to have continuous enrol</w:t>
      </w:r>
      <w:r w:rsidR="001E00AF" w:rsidRPr="00977582">
        <w:rPr>
          <w:rFonts w:ascii="Book Antiqua" w:hAnsi="Book Antiqua" w:cs="Times New Roman"/>
          <w:bCs/>
          <w:color w:val="000000" w:themeColor="text1"/>
        </w:rPr>
        <w:t>l</w:t>
      </w:r>
      <w:r w:rsidR="00470246" w:rsidRPr="00977582">
        <w:rPr>
          <w:rFonts w:ascii="Book Antiqua" w:hAnsi="Book Antiqua" w:cs="Times New Roman"/>
          <w:bCs/>
          <w:color w:val="000000" w:themeColor="text1"/>
        </w:rPr>
        <w:t>ment one year prior and after index date</w:t>
      </w:r>
      <w:r w:rsidR="009D4993" w:rsidRPr="00977582">
        <w:rPr>
          <w:rFonts w:ascii="Book Antiqua" w:hAnsi="Book Antiqua" w:cs="Times New Roman"/>
          <w:bCs/>
          <w:color w:val="000000" w:themeColor="text1"/>
        </w:rPr>
        <w:t xml:space="preserve"> (</w:t>
      </w:r>
      <w:r w:rsidR="009D4993" w:rsidRPr="00977582">
        <w:rPr>
          <w:rFonts w:ascii="Book Antiqua" w:hAnsi="Book Antiqua" w:cs="Times New Roman"/>
          <w:color w:val="000000" w:themeColor="text1"/>
        </w:rPr>
        <w:t>first claim with CS diagnosis in the ID period</w:t>
      </w:r>
      <w:r w:rsidR="009D4993" w:rsidRPr="00977582">
        <w:rPr>
          <w:rFonts w:ascii="Book Antiqua" w:hAnsi="Book Antiqua" w:cs="Times New Roman"/>
          <w:bCs/>
          <w:color w:val="000000" w:themeColor="text1"/>
        </w:rPr>
        <w:t>)</w:t>
      </w:r>
      <w:r w:rsidR="00470246" w:rsidRPr="00977582">
        <w:rPr>
          <w:rFonts w:ascii="Book Antiqua" w:hAnsi="Book Antiqua" w:cs="Times New Roman"/>
          <w:bCs/>
          <w:color w:val="000000" w:themeColor="text1"/>
        </w:rPr>
        <w:t xml:space="preserve">. </w:t>
      </w:r>
      <w:r w:rsidRPr="00977582">
        <w:rPr>
          <w:rFonts w:ascii="Book Antiqua" w:hAnsi="Book Antiqua" w:cs="Times New Roman"/>
          <w:bCs/>
          <w:color w:val="000000" w:themeColor="text1"/>
        </w:rPr>
        <w:t xml:space="preserve">We </w:t>
      </w:r>
      <w:r w:rsidR="00470246" w:rsidRPr="00977582">
        <w:rPr>
          <w:rFonts w:ascii="Book Antiqua" w:hAnsi="Book Antiqua" w:cs="Times New Roman"/>
          <w:bCs/>
          <w:color w:val="000000" w:themeColor="text1"/>
        </w:rPr>
        <w:t xml:space="preserve">identified </w:t>
      </w:r>
      <w:r w:rsidRPr="00977582">
        <w:rPr>
          <w:rFonts w:ascii="Book Antiqua" w:hAnsi="Book Antiqua" w:cs="Times New Roman"/>
          <w:bCs/>
          <w:color w:val="000000" w:themeColor="text1"/>
        </w:rPr>
        <w:t xml:space="preserve">patients </w:t>
      </w:r>
      <w:r w:rsidR="00470246" w:rsidRPr="00977582">
        <w:rPr>
          <w:rFonts w:ascii="Book Antiqua" w:hAnsi="Book Antiqua" w:cs="Times New Roman"/>
          <w:bCs/>
          <w:color w:val="000000" w:themeColor="text1"/>
        </w:rPr>
        <w:t xml:space="preserve">with </w:t>
      </w:r>
      <w:r w:rsidRPr="00977582">
        <w:rPr>
          <w:rFonts w:ascii="Book Antiqua" w:hAnsi="Book Antiqua" w:cs="Times New Roman"/>
          <w:bCs/>
          <w:color w:val="000000" w:themeColor="text1"/>
        </w:rPr>
        <w:t xml:space="preserve">evidence of non-infectious diarrhea (ICD-9-CM codes 564.5 and 787.91) within one year from the index </w:t>
      </w:r>
      <w:r w:rsidR="006B5A9A" w:rsidRPr="00977582">
        <w:rPr>
          <w:rFonts w:ascii="Book Antiqua" w:hAnsi="Book Antiqua" w:cs="Times New Roman"/>
          <w:bCs/>
          <w:color w:val="000000" w:themeColor="text1"/>
        </w:rPr>
        <w:t>date</w:t>
      </w:r>
      <w:r w:rsidRPr="00977582">
        <w:rPr>
          <w:rFonts w:ascii="Book Antiqua" w:hAnsi="Book Antiqua" w:cs="Times New Roman"/>
          <w:bCs/>
          <w:color w:val="000000" w:themeColor="text1"/>
        </w:rPr>
        <w:t>.</w:t>
      </w:r>
      <w:r w:rsidR="005B1623" w:rsidRPr="00977582">
        <w:rPr>
          <w:rFonts w:ascii="Book Antiqua" w:hAnsi="Book Antiqua" w:cs="Times New Roman"/>
          <w:bCs/>
          <w:i/>
          <w:color w:val="000000" w:themeColor="text1"/>
        </w:rPr>
        <w:t xml:space="preserve"> </w:t>
      </w:r>
      <w:r w:rsidRPr="00977582">
        <w:rPr>
          <w:rFonts w:ascii="Book Antiqua" w:hAnsi="Book Antiqua" w:cs="Times New Roman"/>
          <w:bCs/>
          <w:color w:val="000000" w:themeColor="text1"/>
        </w:rPr>
        <w:t xml:space="preserve">Overall and CS-related </w:t>
      </w:r>
      <w:r w:rsidR="00EF5FE1" w:rsidRPr="00977582">
        <w:rPr>
          <w:rFonts w:ascii="Book Antiqua" w:hAnsi="Book Antiqua" w:cs="Times New Roman"/>
          <w:bCs/>
          <w:color w:val="000000" w:themeColor="text1"/>
        </w:rPr>
        <w:t>h</w:t>
      </w:r>
      <w:r w:rsidR="00EF5FE1" w:rsidRPr="00977582">
        <w:rPr>
          <w:rFonts w:ascii="Book Antiqua" w:hAnsi="Book Antiqua" w:cs="Times New Roman"/>
          <w:color w:val="000000" w:themeColor="text1"/>
        </w:rPr>
        <w:t xml:space="preserve">ealthcare resource utilization </w:t>
      </w:r>
      <w:r w:rsidRPr="00977582">
        <w:rPr>
          <w:rFonts w:ascii="Book Antiqua" w:hAnsi="Book Antiqua" w:cs="Times New Roman"/>
          <w:bCs/>
          <w:color w:val="000000" w:themeColor="text1"/>
        </w:rPr>
        <w:t xml:space="preserve">and costs were compared between patients with and without </w:t>
      </w:r>
      <w:r w:rsidR="00D0359C" w:rsidRPr="00977582">
        <w:rPr>
          <w:rFonts w:ascii="Book Antiqua" w:hAnsi="Book Antiqua" w:cs="Times New Roman"/>
          <w:bCs/>
          <w:color w:val="000000" w:themeColor="text1"/>
        </w:rPr>
        <w:t>non-infectious diarrhea</w:t>
      </w:r>
      <w:r w:rsidR="00470246" w:rsidRPr="00977582">
        <w:rPr>
          <w:rFonts w:ascii="Book Antiqua" w:hAnsi="Book Antiqua" w:cs="Times New Roman"/>
          <w:bCs/>
          <w:color w:val="000000" w:themeColor="text1"/>
        </w:rPr>
        <w:t xml:space="preserve"> </w:t>
      </w:r>
      <w:r w:rsidR="00470246" w:rsidRPr="00977582">
        <w:rPr>
          <w:rFonts w:ascii="Book Antiqua" w:hAnsi="Book Antiqua" w:cs="Times New Roman"/>
          <w:color w:val="000000" w:themeColor="text1"/>
        </w:rPr>
        <w:t>during the one year period after the index date</w:t>
      </w:r>
      <w:r w:rsidRPr="00977582">
        <w:rPr>
          <w:rFonts w:ascii="Book Antiqua" w:hAnsi="Book Antiqua" w:cs="Times New Roman"/>
          <w:bCs/>
          <w:color w:val="000000" w:themeColor="text1"/>
        </w:rPr>
        <w:t xml:space="preserve">. </w:t>
      </w:r>
    </w:p>
    <w:p w14:paraId="0BA3AB30" w14:textId="77777777" w:rsidR="006E770B" w:rsidRPr="00977582" w:rsidRDefault="006E770B" w:rsidP="0041646E">
      <w:pPr>
        <w:adjustRightInd w:val="0"/>
        <w:snapToGrid w:val="0"/>
        <w:spacing w:after="0" w:line="360" w:lineRule="auto"/>
        <w:jc w:val="both"/>
        <w:rPr>
          <w:rFonts w:ascii="Book Antiqua" w:hAnsi="Book Antiqua" w:cs="Times New Roman"/>
          <w:bCs/>
          <w:color w:val="000000" w:themeColor="text1"/>
          <w:lang w:eastAsia="zh-CN"/>
        </w:rPr>
      </w:pPr>
    </w:p>
    <w:p w14:paraId="72E54C50" w14:textId="3C5BD8AC" w:rsidR="00A65A81" w:rsidRPr="00977582" w:rsidRDefault="00A65A81"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b/>
          <w:bCs/>
          <w:caps/>
          <w:color w:val="000000" w:themeColor="text1"/>
        </w:rPr>
        <w:t>Results:</w:t>
      </w:r>
      <w:r w:rsidRPr="00977582">
        <w:rPr>
          <w:rFonts w:ascii="Book Antiqua" w:hAnsi="Book Antiqua" w:cs="Times New Roman"/>
          <w:bCs/>
          <w:color w:val="000000" w:themeColor="text1"/>
        </w:rPr>
        <w:t xml:space="preserve"> </w:t>
      </w:r>
      <w:r w:rsidR="00B47EF9" w:rsidRPr="00977582">
        <w:rPr>
          <w:rFonts w:ascii="Book Antiqua" w:hAnsi="Book Antiqua" w:cs="Times New Roman"/>
          <w:color w:val="000000" w:themeColor="text1"/>
        </w:rPr>
        <w:t>There were 2</w:t>
      </w:r>
      <w:r w:rsidRPr="00977582">
        <w:rPr>
          <w:rFonts w:ascii="Book Antiqua" w:hAnsi="Book Antiqua" w:cs="Times New Roman"/>
          <w:color w:val="000000" w:themeColor="text1"/>
        </w:rPr>
        <w:t xml:space="preserve">822 newly diagnosed </w:t>
      </w:r>
      <w:r w:rsidR="00EF5FE1" w:rsidRPr="00977582">
        <w:rPr>
          <w:rFonts w:ascii="Book Antiqua" w:hAnsi="Book Antiqua" w:cs="Times New Roman"/>
          <w:color w:val="000000" w:themeColor="text1"/>
        </w:rPr>
        <w:t xml:space="preserve">CS </w:t>
      </w:r>
      <w:r w:rsidRPr="00977582">
        <w:rPr>
          <w:rFonts w:ascii="Book Antiqua" w:hAnsi="Book Antiqua" w:cs="Times New Roman"/>
          <w:color w:val="000000" w:themeColor="text1"/>
        </w:rPr>
        <w:t>patients; 53</w:t>
      </w:r>
      <w:r w:rsidR="00242527" w:rsidRPr="00977582">
        <w:rPr>
          <w:rFonts w:ascii="Book Antiqua" w:hAnsi="Book Antiqua" w:cs="Times New Roman"/>
          <w:color w:val="000000" w:themeColor="text1"/>
        </w:rPr>
        <w:t xml:space="preserve">4 (18.9%) had evidence of </w:t>
      </w:r>
      <w:r w:rsidR="00D0359C" w:rsidRPr="00977582">
        <w:rPr>
          <w:rFonts w:ascii="Book Antiqua" w:hAnsi="Book Antiqua" w:cs="Times New Roman"/>
          <w:bCs/>
          <w:color w:val="000000" w:themeColor="text1"/>
        </w:rPr>
        <w:t>non-infectious diarrhea</w:t>
      </w:r>
      <w:r w:rsidR="00242527" w:rsidRPr="00977582">
        <w:rPr>
          <w:rFonts w:ascii="Book Antiqua" w:hAnsi="Book Antiqua" w:cs="Times New Roman"/>
          <w:color w:val="000000" w:themeColor="text1"/>
        </w:rPr>
        <w:t xml:space="preserve">. Compared to </w:t>
      </w:r>
      <w:r w:rsidR="00F63502" w:rsidRPr="00977582">
        <w:rPr>
          <w:rFonts w:ascii="Book Antiqua" w:hAnsi="Book Antiqua" w:cs="Times New Roman"/>
          <w:color w:val="000000" w:themeColor="text1"/>
        </w:rPr>
        <w:t>patients without</w:t>
      </w:r>
      <w:r w:rsidR="00242527" w:rsidRPr="00977582">
        <w:rPr>
          <w:rFonts w:ascii="Book Antiqua" w:hAnsi="Book Antiqua" w:cs="Times New Roman"/>
          <w:color w:val="000000" w:themeColor="text1"/>
        </w:rPr>
        <w:t xml:space="preserve"> </w:t>
      </w:r>
      <w:r w:rsidR="00D0359C" w:rsidRPr="00977582">
        <w:rPr>
          <w:rFonts w:ascii="Book Antiqua" w:hAnsi="Book Antiqua" w:cs="Times New Roman"/>
          <w:bCs/>
          <w:color w:val="000000" w:themeColor="text1"/>
        </w:rPr>
        <w:t>non-infectious diarrhea</w:t>
      </w:r>
      <w:r w:rsidR="00242527" w:rsidRPr="00977582">
        <w:rPr>
          <w:rFonts w:ascii="Book Antiqua" w:hAnsi="Book Antiqua" w:cs="Times New Roman"/>
          <w:color w:val="000000" w:themeColor="text1"/>
        </w:rPr>
        <w:t xml:space="preserve">, </w:t>
      </w:r>
      <w:r w:rsidR="00D0359C" w:rsidRPr="00977582">
        <w:rPr>
          <w:rFonts w:ascii="Book Antiqua" w:hAnsi="Book Antiqua" w:cs="Times New Roman"/>
          <w:bCs/>
          <w:color w:val="000000" w:themeColor="text1"/>
        </w:rPr>
        <w:t>non-infectious diarrhea</w:t>
      </w:r>
      <w:r w:rsidR="00D0359C" w:rsidRPr="00977582">
        <w:rPr>
          <w:rFonts w:ascii="Book Antiqua" w:hAnsi="Book Antiqua" w:cs="Times New Roman"/>
          <w:color w:val="000000" w:themeColor="text1"/>
        </w:rPr>
        <w:t xml:space="preserve"> </w:t>
      </w:r>
      <w:r w:rsidR="00242527" w:rsidRPr="00977582">
        <w:rPr>
          <w:rFonts w:ascii="Book Antiqua" w:hAnsi="Book Antiqua" w:cs="Times New Roman"/>
          <w:color w:val="000000" w:themeColor="text1"/>
        </w:rPr>
        <w:t>patients more commonly had at ≥</w:t>
      </w:r>
      <w:r w:rsidR="00B47EF9" w:rsidRPr="00977582">
        <w:rPr>
          <w:rFonts w:ascii="Book Antiqua" w:hAnsi="Book Antiqua" w:cs="Times New Roman" w:hint="eastAsia"/>
          <w:color w:val="000000" w:themeColor="text1"/>
          <w:lang w:eastAsia="zh-CN"/>
        </w:rPr>
        <w:t xml:space="preserve"> </w:t>
      </w:r>
      <w:r w:rsidR="00242527" w:rsidRPr="00977582">
        <w:rPr>
          <w:rFonts w:ascii="Book Antiqua" w:hAnsi="Book Antiqua" w:cs="Times New Roman"/>
          <w:color w:val="000000" w:themeColor="text1"/>
        </w:rPr>
        <w:t xml:space="preserve">1 CS-related hospitalization (13.7% </w:t>
      </w:r>
      <w:r w:rsidR="003A691C" w:rsidRPr="00977582">
        <w:rPr>
          <w:rFonts w:ascii="Book Antiqua" w:hAnsi="Book Antiqua" w:cs="Times New Roman"/>
          <w:i/>
          <w:color w:val="000000" w:themeColor="text1"/>
        </w:rPr>
        <w:t>vs</w:t>
      </w:r>
      <w:r w:rsidR="00242527" w:rsidRPr="00977582">
        <w:rPr>
          <w:rFonts w:ascii="Book Antiqua" w:hAnsi="Book Antiqua" w:cs="Times New Roman"/>
          <w:color w:val="000000" w:themeColor="text1"/>
        </w:rPr>
        <w:t xml:space="preserve"> 7.2%), ≥</w:t>
      </w:r>
      <w:r w:rsidR="003A691C" w:rsidRPr="00977582">
        <w:rPr>
          <w:rFonts w:ascii="Book Antiqua" w:hAnsi="Book Antiqua" w:cs="Times New Roman" w:hint="eastAsia"/>
          <w:color w:val="000000" w:themeColor="text1"/>
          <w:lang w:eastAsia="zh-CN"/>
        </w:rPr>
        <w:t xml:space="preserve"> </w:t>
      </w:r>
      <w:r w:rsidR="00242527" w:rsidRPr="00977582">
        <w:rPr>
          <w:rFonts w:ascii="Book Antiqua" w:hAnsi="Book Antiqua" w:cs="Times New Roman"/>
          <w:color w:val="000000" w:themeColor="text1"/>
        </w:rPr>
        <w:t xml:space="preserve">1 CS-related ED visit (11.0% </w:t>
      </w:r>
      <w:r w:rsidR="003A691C" w:rsidRPr="00977582">
        <w:rPr>
          <w:rFonts w:ascii="Book Antiqua" w:hAnsi="Book Antiqua" w:cs="Times New Roman"/>
          <w:i/>
          <w:color w:val="000000" w:themeColor="text1"/>
        </w:rPr>
        <w:t>vs</w:t>
      </w:r>
      <w:r w:rsidR="00242527" w:rsidRPr="00977582">
        <w:rPr>
          <w:rFonts w:ascii="Book Antiqua" w:hAnsi="Book Antiqua" w:cs="Times New Roman"/>
          <w:color w:val="000000" w:themeColor="text1"/>
        </w:rPr>
        <w:t xml:space="preserve"> 4.4%), and CS-related office visits in one year (6.9 </w:t>
      </w:r>
      <w:r w:rsidR="003A691C" w:rsidRPr="00977582">
        <w:rPr>
          <w:rFonts w:ascii="Book Antiqua" w:hAnsi="Book Antiqua" w:cs="Times New Roman"/>
          <w:i/>
          <w:color w:val="000000" w:themeColor="text1"/>
        </w:rPr>
        <w:t>vs</w:t>
      </w:r>
      <w:r w:rsidR="00242527" w:rsidRPr="00977582">
        <w:rPr>
          <w:rFonts w:ascii="Book Antiqua" w:hAnsi="Book Antiqua" w:cs="Times New Roman"/>
          <w:color w:val="000000" w:themeColor="text1"/>
        </w:rPr>
        <w:t xml:space="preserve"> 4.1; all </w:t>
      </w:r>
      <w:r w:rsidR="003A691C" w:rsidRPr="00977582">
        <w:rPr>
          <w:rFonts w:ascii="Book Antiqua" w:hAnsi="Book Antiqua" w:cs="Times New Roman"/>
          <w:i/>
          <w:caps/>
          <w:color w:val="000000" w:themeColor="text1"/>
        </w:rPr>
        <w:t xml:space="preserve">p &lt; </w:t>
      </w:r>
      <w:r w:rsidR="003A691C" w:rsidRPr="00977582">
        <w:rPr>
          <w:rFonts w:ascii="Book Antiqua" w:hAnsi="Book Antiqua" w:cs="Times New Roman" w:hint="eastAsia"/>
          <w:caps/>
          <w:color w:val="000000" w:themeColor="text1"/>
          <w:lang w:eastAsia="zh-CN"/>
        </w:rPr>
        <w:t>0</w:t>
      </w:r>
      <w:r w:rsidR="00242527" w:rsidRPr="00977582">
        <w:rPr>
          <w:rFonts w:ascii="Book Antiqua" w:hAnsi="Book Antiqua" w:cs="Times New Roman"/>
          <w:color w:val="000000" w:themeColor="text1"/>
        </w:rPr>
        <w:t xml:space="preserve">.001). </w:t>
      </w:r>
      <w:r w:rsidRPr="00977582">
        <w:rPr>
          <w:rFonts w:ascii="Book Antiqua" w:hAnsi="Book Antiqua" w:cs="Times New Roman"/>
          <w:color w:val="000000" w:themeColor="text1"/>
        </w:rPr>
        <w:t xml:space="preserve">After adjusting for </w:t>
      </w:r>
      <w:r w:rsidR="00EF5FE1" w:rsidRPr="00977582">
        <w:rPr>
          <w:rFonts w:ascii="Book Antiqua" w:hAnsi="Book Antiqua" w:cs="Times New Roman"/>
          <w:color w:val="000000" w:themeColor="text1"/>
        </w:rPr>
        <w:t>demographics</w:t>
      </w:r>
      <w:r w:rsidRPr="00977582">
        <w:rPr>
          <w:rFonts w:ascii="Book Antiqua" w:hAnsi="Book Antiqua" w:cs="Times New Roman"/>
          <w:color w:val="000000" w:themeColor="text1"/>
        </w:rPr>
        <w:t xml:space="preserve">, region and chronic conditions, the proportions of patients with any and with CS-related hospitalizations were 9.6% and 6.8% higher, respectively, among </w:t>
      </w:r>
      <w:r w:rsidR="00D0359C" w:rsidRPr="00977582">
        <w:rPr>
          <w:rFonts w:ascii="Book Antiqua" w:hAnsi="Book Antiqua" w:cs="Times New Roman"/>
          <w:bCs/>
          <w:color w:val="000000" w:themeColor="text1"/>
        </w:rPr>
        <w:t>non-infectious diarrhea</w:t>
      </w:r>
      <w:r w:rsidR="00D0359C"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 xml:space="preserve">patients compared to those with </w:t>
      </w:r>
      <w:r w:rsidR="00F63502" w:rsidRPr="00977582">
        <w:rPr>
          <w:rFonts w:ascii="Book Antiqua" w:hAnsi="Book Antiqua" w:cs="Times New Roman"/>
          <w:color w:val="000000" w:themeColor="text1"/>
        </w:rPr>
        <w:t>without</w:t>
      </w:r>
      <w:r w:rsidRPr="00977582">
        <w:rPr>
          <w:rFonts w:ascii="Book Antiqua" w:hAnsi="Book Antiqua" w:cs="Times New Roman"/>
          <w:color w:val="000000" w:themeColor="text1"/>
        </w:rPr>
        <w:t xml:space="preserve"> </w:t>
      </w:r>
      <w:r w:rsidR="00F63502" w:rsidRPr="00977582">
        <w:rPr>
          <w:rFonts w:ascii="Book Antiqua" w:hAnsi="Book Antiqua" w:cs="Times New Roman"/>
          <w:bCs/>
          <w:color w:val="000000" w:themeColor="text1"/>
        </w:rPr>
        <w:t>non-infectious diarrhea</w:t>
      </w:r>
      <w:r w:rsidR="00F63502"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w:t>
      </w:r>
      <w:r w:rsidR="003A691C" w:rsidRPr="00977582">
        <w:rPr>
          <w:rFonts w:ascii="Book Antiqua" w:hAnsi="Book Antiqua" w:cs="Times New Roman"/>
          <w:i/>
          <w:caps/>
          <w:color w:val="000000" w:themeColor="text1"/>
        </w:rPr>
        <w:t xml:space="preserve">p &lt; </w:t>
      </w:r>
      <w:r w:rsidR="00B47EF9" w:rsidRPr="00977582">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.001).</w:t>
      </w:r>
      <w:r w:rsidR="005B1623" w:rsidRPr="00977582">
        <w:rPr>
          <w:rFonts w:ascii="Book Antiqua" w:hAnsi="Book Antiqua" w:cs="Times New Roman"/>
          <w:i/>
          <w:color w:val="000000" w:themeColor="text1"/>
        </w:rPr>
        <w:t xml:space="preserve"> </w:t>
      </w:r>
      <w:r w:rsidR="00242527" w:rsidRPr="00977582">
        <w:rPr>
          <w:rFonts w:ascii="Book Antiqua" w:hAnsi="Book Antiqua" w:cs="Times New Roman"/>
          <w:color w:val="000000" w:themeColor="text1"/>
        </w:rPr>
        <w:t xml:space="preserve">Unadjusted costs were significantly higher among </w:t>
      </w:r>
      <w:r w:rsidR="00D0359C" w:rsidRPr="00977582">
        <w:rPr>
          <w:rFonts w:ascii="Book Antiqua" w:hAnsi="Book Antiqua" w:cs="Times New Roman"/>
          <w:bCs/>
          <w:color w:val="000000" w:themeColor="text1"/>
        </w:rPr>
        <w:t>non-infectious diarrhea</w:t>
      </w:r>
      <w:r w:rsidR="00D0359C" w:rsidRPr="00977582">
        <w:rPr>
          <w:rFonts w:ascii="Book Antiqua" w:hAnsi="Book Antiqua" w:cs="Times New Roman"/>
          <w:color w:val="000000" w:themeColor="text1"/>
        </w:rPr>
        <w:t xml:space="preserve"> </w:t>
      </w:r>
      <w:r w:rsidR="00242527" w:rsidRPr="00977582">
        <w:rPr>
          <w:rFonts w:ascii="Book Antiqua" w:hAnsi="Book Antiqua" w:cs="Times New Roman"/>
          <w:color w:val="000000" w:themeColor="text1"/>
        </w:rPr>
        <w:t xml:space="preserve">patients </w:t>
      </w:r>
      <w:r w:rsidR="00EF5FE1" w:rsidRPr="00977582">
        <w:rPr>
          <w:rFonts w:ascii="Book Antiqua" w:hAnsi="Book Antiqua" w:cs="Times New Roman"/>
          <w:color w:val="000000" w:themeColor="text1"/>
        </w:rPr>
        <w:t>versus</w:t>
      </w:r>
      <w:r w:rsidR="00242527" w:rsidRPr="00977582">
        <w:rPr>
          <w:rFonts w:ascii="Book Antiqua" w:hAnsi="Book Antiqua" w:cs="Times New Roman"/>
          <w:color w:val="000000" w:themeColor="text1"/>
        </w:rPr>
        <w:t xml:space="preserve"> </w:t>
      </w:r>
      <w:r w:rsidR="00F63502" w:rsidRPr="00977582">
        <w:rPr>
          <w:rFonts w:ascii="Book Antiqua" w:hAnsi="Book Antiqua" w:cs="Times New Roman"/>
          <w:color w:val="000000" w:themeColor="text1"/>
        </w:rPr>
        <w:t>those without</w:t>
      </w:r>
      <w:r w:rsidR="00B75242" w:rsidRPr="00977582">
        <w:rPr>
          <w:rFonts w:ascii="Book Antiqua" w:hAnsi="Book Antiqua" w:cs="Times New Roman"/>
          <w:color w:val="000000" w:themeColor="text1"/>
        </w:rPr>
        <w:t xml:space="preserve"> </w:t>
      </w:r>
      <w:r w:rsidR="00D0359C" w:rsidRPr="00977582">
        <w:rPr>
          <w:rFonts w:ascii="Book Antiqua" w:hAnsi="Book Antiqua" w:cs="Times New Roman"/>
          <w:bCs/>
          <w:color w:val="000000" w:themeColor="text1"/>
        </w:rPr>
        <w:t>non-infectious diarrhea</w:t>
      </w:r>
      <w:r w:rsidR="00242527"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 xml:space="preserve">The </w:t>
      </w:r>
      <w:r w:rsidR="00D0359C" w:rsidRPr="00977582">
        <w:rPr>
          <w:rFonts w:ascii="Book Antiqua" w:hAnsi="Book Antiqua" w:cs="Times New Roman"/>
          <w:bCs/>
          <w:color w:val="000000" w:themeColor="text1"/>
        </w:rPr>
        <w:t>non-infectious diarrhea</w:t>
      </w:r>
      <w:r w:rsidR="00D0359C"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group was also more costly, with ad</w:t>
      </w:r>
      <w:r w:rsidR="00B47EF9" w:rsidRPr="00977582">
        <w:rPr>
          <w:rFonts w:ascii="Book Antiqua" w:hAnsi="Book Antiqua" w:cs="Times New Roman"/>
          <w:color w:val="000000" w:themeColor="text1"/>
        </w:rPr>
        <w:t>justed mean annual costs of $80600, compared to $51</w:t>
      </w:r>
      <w:r w:rsidRPr="00977582">
        <w:rPr>
          <w:rFonts w:ascii="Book Antiqua" w:hAnsi="Book Antiqua" w:cs="Times New Roman"/>
          <w:color w:val="000000" w:themeColor="text1"/>
        </w:rPr>
        <w:t xml:space="preserve">955 in the </w:t>
      </w:r>
      <w:r w:rsidR="00F63502" w:rsidRPr="00977582">
        <w:rPr>
          <w:rFonts w:ascii="Book Antiqua" w:hAnsi="Book Antiqua" w:cs="Times New Roman"/>
          <w:color w:val="000000" w:themeColor="text1"/>
        </w:rPr>
        <w:t>group without</w:t>
      </w:r>
      <w:r w:rsidRPr="00977582">
        <w:rPr>
          <w:rFonts w:ascii="Book Antiqua" w:hAnsi="Book Antiqua" w:cs="Times New Roman"/>
          <w:color w:val="000000" w:themeColor="text1"/>
        </w:rPr>
        <w:t xml:space="preserve"> </w:t>
      </w:r>
      <w:r w:rsidR="00D0359C" w:rsidRPr="00977582">
        <w:rPr>
          <w:rFonts w:ascii="Book Antiqua" w:hAnsi="Book Antiqua" w:cs="Times New Roman"/>
          <w:bCs/>
          <w:color w:val="000000" w:themeColor="text1"/>
        </w:rPr>
        <w:t>non-infectious diarrhea</w:t>
      </w:r>
      <w:r w:rsidR="00D0359C"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w:t>
      </w:r>
      <w:r w:rsidR="003A691C" w:rsidRPr="00977582">
        <w:rPr>
          <w:rFonts w:ascii="Book Antiqua" w:hAnsi="Book Antiqua" w:cs="Times New Roman"/>
          <w:i/>
          <w:caps/>
          <w:color w:val="000000" w:themeColor="text1"/>
        </w:rPr>
        <w:t xml:space="preserve">p &lt; </w:t>
      </w:r>
      <w:r w:rsidR="00B47EF9" w:rsidRPr="00977582">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w:t>
      </w:r>
    </w:p>
    <w:p w14:paraId="742FCC19" w14:textId="77777777" w:rsidR="006E770B" w:rsidRPr="00977582" w:rsidRDefault="006E770B" w:rsidP="0041646E">
      <w:pPr>
        <w:adjustRightInd w:val="0"/>
        <w:snapToGrid w:val="0"/>
        <w:spacing w:after="0" w:line="360" w:lineRule="auto"/>
        <w:jc w:val="both"/>
        <w:rPr>
          <w:rFonts w:ascii="Book Antiqua" w:hAnsi="Book Antiqua" w:cs="Times New Roman"/>
          <w:b/>
          <w:bCs/>
          <w:caps/>
          <w:color w:val="000000" w:themeColor="text1"/>
          <w:lang w:eastAsia="zh-CN"/>
        </w:rPr>
      </w:pPr>
    </w:p>
    <w:p w14:paraId="72E54C51" w14:textId="34747D09" w:rsidR="00A65A81" w:rsidRPr="00977582" w:rsidRDefault="00A65A81"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b/>
          <w:bCs/>
          <w:caps/>
          <w:color w:val="000000" w:themeColor="text1"/>
        </w:rPr>
        <w:t>Conclusion:</w:t>
      </w:r>
      <w:r w:rsidRPr="00977582">
        <w:rPr>
          <w:rFonts w:ascii="Book Antiqua" w:hAnsi="Book Antiqua" w:cs="Times New Roman"/>
          <w:bCs/>
          <w:caps/>
          <w:color w:val="000000" w:themeColor="text1"/>
        </w:rPr>
        <w:t xml:space="preserve"> </w:t>
      </w:r>
      <w:r w:rsidRPr="00977582">
        <w:rPr>
          <w:rFonts w:ascii="Book Antiqua" w:hAnsi="Book Antiqua" w:cs="Times New Roman"/>
          <w:color w:val="000000" w:themeColor="text1"/>
        </w:rPr>
        <w:t xml:space="preserve">Diarrhea is burdensome and costly </w:t>
      </w:r>
      <w:r w:rsidR="00107FD7" w:rsidRPr="00977582">
        <w:rPr>
          <w:rFonts w:ascii="Book Antiqua" w:hAnsi="Book Antiqua" w:cs="Times New Roman"/>
          <w:color w:val="000000" w:themeColor="text1"/>
        </w:rPr>
        <w:t>in</w:t>
      </w:r>
      <w:r w:rsidRPr="00977582">
        <w:rPr>
          <w:rFonts w:ascii="Book Antiqua" w:hAnsi="Book Antiqua" w:cs="Times New Roman"/>
          <w:color w:val="000000" w:themeColor="text1"/>
        </w:rPr>
        <w:t xml:space="preserve"> </w:t>
      </w:r>
      <w:r w:rsidR="00107FD7" w:rsidRPr="00977582">
        <w:rPr>
          <w:rFonts w:ascii="Book Antiqua" w:hAnsi="Book Antiqua" w:cs="Times New Roman"/>
          <w:color w:val="000000" w:themeColor="text1"/>
        </w:rPr>
        <w:t xml:space="preserve">CS </w:t>
      </w:r>
      <w:r w:rsidRPr="00977582">
        <w:rPr>
          <w:rFonts w:ascii="Book Antiqua" w:hAnsi="Book Antiqua" w:cs="Times New Roman"/>
          <w:color w:val="000000" w:themeColor="text1"/>
        </w:rPr>
        <w:t>patients.</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 xml:space="preserve">Reduction of </w:t>
      </w:r>
      <w:r w:rsidR="00107FD7" w:rsidRPr="00977582">
        <w:rPr>
          <w:rFonts w:ascii="Book Antiqua" w:hAnsi="Book Antiqua" w:cs="Times New Roman"/>
          <w:color w:val="000000" w:themeColor="text1"/>
        </w:rPr>
        <w:t xml:space="preserve">CS-related </w:t>
      </w:r>
      <w:r w:rsidRPr="00977582">
        <w:rPr>
          <w:rFonts w:ascii="Book Antiqua" w:hAnsi="Book Antiqua" w:cs="Times New Roman"/>
          <w:color w:val="000000" w:themeColor="text1"/>
        </w:rPr>
        <w:t>healthcare expenditures may be achievable through preventive treatment and appropriate management of diarrhea in</w:t>
      </w:r>
      <w:r w:rsidR="00107FD7" w:rsidRPr="00977582">
        <w:rPr>
          <w:rFonts w:ascii="Book Antiqua" w:hAnsi="Book Antiqua" w:cs="Times New Roman"/>
          <w:color w:val="000000" w:themeColor="text1"/>
        </w:rPr>
        <w:t xml:space="preserve"> CS</w:t>
      </w:r>
      <w:r w:rsidRPr="00977582">
        <w:rPr>
          <w:rFonts w:ascii="Book Antiqua" w:hAnsi="Book Antiqua" w:cs="Times New Roman"/>
          <w:color w:val="000000" w:themeColor="text1"/>
        </w:rPr>
        <w:t>.</w:t>
      </w:r>
    </w:p>
    <w:p w14:paraId="72E54C52" w14:textId="77777777" w:rsidR="00456173" w:rsidRPr="00977582" w:rsidRDefault="00456173" w:rsidP="0041646E">
      <w:pPr>
        <w:adjustRightInd w:val="0"/>
        <w:snapToGrid w:val="0"/>
        <w:spacing w:after="0" w:line="360" w:lineRule="auto"/>
        <w:jc w:val="both"/>
        <w:rPr>
          <w:rFonts w:ascii="Book Antiqua" w:eastAsia="Cambria" w:hAnsi="Book Antiqua"/>
          <w:b/>
          <w:color w:val="000000" w:themeColor="text1"/>
        </w:rPr>
      </w:pPr>
    </w:p>
    <w:p w14:paraId="72E54C53" w14:textId="2BEFB239" w:rsidR="006B7F6B" w:rsidRPr="00977582" w:rsidRDefault="006B7F6B"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eastAsia="Cambria" w:hAnsi="Book Antiqua"/>
          <w:b/>
          <w:color w:val="000000" w:themeColor="text1"/>
        </w:rPr>
        <w:t>Key</w:t>
      </w:r>
      <w:r w:rsidR="006E770B" w:rsidRPr="00977582">
        <w:rPr>
          <w:rFonts w:ascii="Book Antiqua" w:hAnsi="Book Antiqua" w:hint="eastAsia"/>
          <w:b/>
          <w:color w:val="000000" w:themeColor="text1"/>
          <w:lang w:eastAsia="zh-CN"/>
        </w:rPr>
        <w:t xml:space="preserve"> </w:t>
      </w:r>
      <w:r w:rsidRPr="00977582">
        <w:rPr>
          <w:rFonts w:ascii="Book Antiqua" w:eastAsia="Cambria" w:hAnsi="Book Antiqua"/>
          <w:b/>
          <w:color w:val="000000" w:themeColor="text1"/>
        </w:rPr>
        <w:t>words</w:t>
      </w:r>
      <w:r w:rsidRPr="00977582">
        <w:rPr>
          <w:rFonts w:ascii="Book Antiqua" w:eastAsia="Cambria" w:hAnsi="Book Antiqua"/>
          <w:color w:val="000000" w:themeColor="text1"/>
        </w:rPr>
        <w:t xml:space="preserve">: </w:t>
      </w:r>
      <w:r w:rsidR="00B47EF9" w:rsidRPr="00977582">
        <w:rPr>
          <w:rFonts w:ascii="Book Antiqua" w:eastAsia="Cambria" w:hAnsi="Book Antiqua"/>
          <w:color w:val="000000" w:themeColor="text1"/>
        </w:rPr>
        <w:t>Carcinoid</w:t>
      </w:r>
      <w:r w:rsidR="00B47EF9" w:rsidRPr="00977582">
        <w:rPr>
          <w:rFonts w:ascii="Book Antiqua" w:hAnsi="Book Antiqua" w:hint="eastAsia"/>
          <w:color w:val="000000" w:themeColor="text1"/>
          <w:lang w:eastAsia="zh-CN"/>
        </w:rPr>
        <w:t>;</w:t>
      </w:r>
      <w:r w:rsidRPr="00977582">
        <w:rPr>
          <w:rFonts w:ascii="Book Antiqua" w:eastAsia="Cambria" w:hAnsi="Book Antiqua"/>
          <w:color w:val="000000" w:themeColor="text1"/>
        </w:rPr>
        <w:t xml:space="preserve"> </w:t>
      </w:r>
      <w:r w:rsidR="00B47EF9" w:rsidRPr="00977582">
        <w:rPr>
          <w:rFonts w:ascii="Book Antiqua" w:eastAsia="Cambria" w:hAnsi="Book Antiqua"/>
          <w:color w:val="000000" w:themeColor="text1"/>
        </w:rPr>
        <w:t xml:space="preserve">Neuroendocrine </w:t>
      </w:r>
      <w:r w:rsidRPr="00977582">
        <w:rPr>
          <w:rFonts w:ascii="Book Antiqua" w:eastAsia="Cambria" w:hAnsi="Book Antiqua"/>
          <w:color w:val="000000" w:themeColor="text1"/>
        </w:rPr>
        <w:t>tumor</w:t>
      </w:r>
      <w:r w:rsidR="00B47EF9" w:rsidRPr="00977582">
        <w:rPr>
          <w:rFonts w:ascii="Book Antiqua" w:hAnsi="Book Antiqua" w:hint="eastAsia"/>
          <w:color w:val="000000" w:themeColor="text1"/>
          <w:lang w:eastAsia="zh-CN"/>
        </w:rPr>
        <w:t>;</w:t>
      </w:r>
      <w:r w:rsidRPr="00977582">
        <w:rPr>
          <w:rFonts w:ascii="Book Antiqua" w:eastAsia="Cambria" w:hAnsi="Book Antiqua"/>
          <w:color w:val="000000" w:themeColor="text1"/>
        </w:rPr>
        <w:t xml:space="preserve"> </w:t>
      </w:r>
      <w:r w:rsidR="00B47EF9" w:rsidRPr="00977582">
        <w:rPr>
          <w:rFonts w:ascii="Book Antiqua" w:eastAsia="Cambria" w:hAnsi="Book Antiqua"/>
          <w:color w:val="000000" w:themeColor="text1"/>
        </w:rPr>
        <w:t>Diarrhea</w:t>
      </w:r>
      <w:r w:rsidR="00B47EF9" w:rsidRPr="00977582">
        <w:rPr>
          <w:rFonts w:ascii="Book Antiqua" w:hAnsi="Book Antiqua" w:hint="eastAsia"/>
          <w:color w:val="000000" w:themeColor="text1"/>
          <w:lang w:eastAsia="zh-CN"/>
        </w:rPr>
        <w:t>;</w:t>
      </w:r>
      <w:r w:rsidRPr="00977582">
        <w:rPr>
          <w:rFonts w:ascii="Book Antiqua" w:eastAsia="Cambria" w:hAnsi="Book Antiqua"/>
          <w:color w:val="000000" w:themeColor="text1"/>
        </w:rPr>
        <w:t xml:space="preserve"> </w:t>
      </w:r>
      <w:r w:rsidR="00B47EF9" w:rsidRPr="00977582">
        <w:rPr>
          <w:rFonts w:ascii="Book Antiqua" w:eastAsia="Cambria" w:hAnsi="Book Antiqua"/>
          <w:color w:val="000000" w:themeColor="text1"/>
        </w:rPr>
        <w:t>Cost</w:t>
      </w:r>
      <w:r w:rsidR="00B47EF9" w:rsidRPr="00977582">
        <w:rPr>
          <w:rFonts w:ascii="Book Antiqua" w:hAnsi="Book Antiqua" w:hint="eastAsia"/>
          <w:color w:val="000000" w:themeColor="text1"/>
          <w:lang w:eastAsia="zh-CN"/>
        </w:rPr>
        <w:t>;</w:t>
      </w:r>
      <w:r w:rsidRPr="00977582">
        <w:rPr>
          <w:rFonts w:ascii="Book Antiqua" w:eastAsia="Cambria" w:hAnsi="Book Antiqua"/>
          <w:color w:val="000000" w:themeColor="text1"/>
        </w:rPr>
        <w:t xml:space="preserve"> </w:t>
      </w:r>
      <w:r w:rsidR="00B47EF9" w:rsidRPr="00977582">
        <w:rPr>
          <w:rFonts w:ascii="Book Antiqua" w:eastAsia="Cambria" w:hAnsi="Book Antiqua"/>
          <w:color w:val="000000" w:themeColor="text1"/>
        </w:rPr>
        <w:t xml:space="preserve">Healthcare </w:t>
      </w:r>
      <w:r w:rsidR="00FF5EA7" w:rsidRPr="00977582">
        <w:rPr>
          <w:rFonts w:ascii="Book Antiqua" w:eastAsia="Cambria" w:hAnsi="Book Antiqua"/>
          <w:color w:val="000000" w:themeColor="text1"/>
        </w:rPr>
        <w:t xml:space="preserve">resource </w:t>
      </w:r>
      <w:r w:rsidRPr="00977582">
        <w:rPr>
          <w:rFonts w:ascii="Book Antiqua" w:eastAsia="Cambria" w:hAnsi="Book Antiqua"/>
          <w:color w:val="000000" w:themeColor="text1"/>
        </w:rPr>
        <w:t>utilization</w:t>
      </w:r>
    </w:p>
    <w:p w14:paraId="1AE6F6FC" w14:textId="77777777" w:rsidR="008C6B41" w:rsidRPr="00977582" w:rsidRDefault="008C6B41" w:rsidP="0041646E">
      <w:pPr>
        <w:adjustRightInd w:val="0"/>
        <w:snapToGrid w:val="0"/>
        <w:spacing w:after="0" w:line="360" w:lineRule="auto"/>
        <w:jc w:val="both"/>
        <w:rPr>
          <w:rFonts w:ascii="Book Antiqua" w:hAnsi="Book Antiqua"/>
          <w:color w:val="000000" w:themeColor="text1"/>
          <w:lang w:eastAsia="zh-CN"/>
        </w:rPr>
      </w:pPr>
    </w:p>
    <w:p w14:paraId="63017A49" w14:textId="77777777" w:rsidR="008C6B41" w:rsidRPr="00977582" w:rsidRDefault="008C6B41" w:rsidP="0041646E">
      <w:pPr>
        <w:autoSpaceDE w:val="0"/>
        <w:autoSpaceDN w:val="0"/>
        <w:adjustRightInd w:val="0"/>
        <w:snapToGrid w:val="0"/>
        <w:spacing w:after="0" w:line="360" w:lineRule="auto"/>
        <w:jc w:val="both"/>
        <w:rPr>
          <w:rFonts w:ascii="Book Antiqua" w:hAnsi="Book Antiqua" w:cs="Arial Unicode MS"/>
          <w:color w:val="000000" w:themeColor="text1"/>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977582">
        <w:rPr>
          <w:rFonts w:ascii="Book Antiqua" w:hAnsi="Book Antiqua"/>
          <w:b/>
          <w:color w:val="000000" w:themeColor="text1"/>
          <w:lang w:val="en-GB"/>
        </w:rPr>
        <w:t xml:space="preserve">© </w:t>
      </w:r>
      <w:r w:rsidRPr="00977582">
        <w:rPr>
          <w:rFonts w:ascii="Book Antiqua" w:eastAsia="AdvTimes" w:hAnsi="Book Antiqua" w:cs="AdvTimes"/>
          <w:b/>
          <w:color w:val="000000" w:themeColor="text1"/>
        </w:rPr>
        <w:t>The Author(s) 2015.</w:t>
      </w:r>
      <w:r w:rsidRPr="00977582">
        <w:rPr>
          <w:rFonts w:ascii="Book Antiqua" w:eastAsia="AdvTimes" w:hAnsi="Book Antiqua" w:cs="AdvTimes"/>
          <w:color w:val="000000" w:themeColor="text1"/>
        </w:rPr>
        <w:t xml:space="preserve"> Published by </w:t>
      </w:r>
      <w:r w:rsidRPr="00977582">
        <w:rPr>
          <w:rFonts w:ascii="Book Antiqua" w:hAnsi="Book Antiqua" w:cs="Arial Unicode MS"/>
          <w:color w:val="000000" w:themeColor="text1"/>
          <w:lang w:val="en-GB"/>
        </w:rPr>
        <w:t>Baishideng Publishing Group Inc.</w:t>
      </w:r>
      <w:r w:rsidRPr="00977582">
        <w:rPr>
          <w:rFonts w:ascii="Book Antiqua" w:hAnsi="Book Antiqua" w:cs="Arial Unicode MS"/>
          <w:color w:val="000000" w:themeColor="text1"/>
        </w:rPr>
        <w:t xml:space="preserve"> 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ABD3336" w14:textId="77777777" w:rsidR="008C6B41" w:rsidRPr="00977582" w:rsidRDefault="008C6B41" w:rsidP="0041646E">
      <w:pPr>
        <w:adjustRightInd w:val="0"/>
        <w:snapToGrid w:val="0"/>
        <w:spacing w:after="0" w:line="360" w:lineRule="auto"/>
        <w:jc w:val="both"/>
        <w:rPr>
          <w:rFonts w:ascii="Book Antiqua" w:hAnsi="Book Antiqua"/>
          <w:b/>
          <w:color w:val="000000" w:themeColor="text1"/>
        </w:rPr>
      </w:pPr>
    </w:p>
    <w:p w14:paraId="7A42116C" w14:textId="157DABA5" w:rsidR="008C6B41" w:rsidRPr="00977582" w:rsidRDefault="008C6B41"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b/>
          <w:color w:val="000000" w:themeColor="text1"/>
        </w:rPr>
        <w:t>Core tip</w:t>
      </w:r>
      <w:r w:rsidRPr="00977582">
        <w:rPr>
          <w:rFonts w:ascii="Book Antiqua" w:hAnsi="Book Antiqua" w:cs="Times New Roman"/>
          <w:color w:val="000000" w:themeColor="text1"/>
        </w:rPr>
        <w:t xml:space="preserve">: </w:t>
      </w:r>
      <w:r w:rsidRPr="00977582">
        <w:rPr>
          <w:rFonts w:ascii="Book Antiqua" w:hAnsi="Book Antiqua" w:cs="Times New Roman"/>
          <w:bCs/>
          <w:color w:val="000000" w:themeColor="text1"/>
        </w:rPr>
        <w:t>H</w:t>
      </w:r>
      <w:r w:rsidRPr="00977582">
        <w:rPr>
          <w:rFonts w:ascii="Book Antiqua" w:hAnsi="Book Antiqua" w:cs="Times New Roman"/>
          <w:color w:val="000000" w:themeColor="text1"/>
        </w:rPr>
        <w:t xml:space="preserve">ealthcare resource utilization patterns and costs accrued by </w:t>
      </w:r>
      <w:r w:rsidRPr="00977582">
        <w:rPr>
          <w:rFonts w:ascii="Book Antiqua" w:hAnsi="Book Antiqua" w:cs="Times New Roman"/>
          <w:bCs/>
          <w:color w:val="000000" w:themeColor="text1"/>
        </w:rPr>
        <w:t xml:space="preserve">carcinoid syndrome (CS) </w:t>
      </w:r>
      <w:r w:rsidRPr="00977582">
        <w:rPr>
          <w:rFonts w:ascii="Book Antiqua" w:hAnsi="Book Antiqua" w:cs="Times New Roman"/>
          <w:color w:val="000000" w:themeColor="text1"/>
        </w:rPr>
        <w:t xml:space="preserve">patients with and without diarrhea </w:t>
      </w:r>
      <w:r w:rsidRPr="00977582">
        <w:rPr>
          <w:rFonts w:ascii="Book Antiqua" w:hAnsi="Book Antiqua" w:cs="Times New Roman"/>
          <w:bCs/>
          <w:color w:val="000000" w:themeColor="text1"/>
        </w:rPr>
        <w:t>have not been well described. We examined newly diagnosed CS patients using MarketScan</w:t>
      </w:r>
      <w:r w:rsidRPr="00977582">
        <w:rPr>
          <w:rFonts w:ascii="Book Antiqua" w:hAnsi="Book Antiqua" w:cs="Times New Roman"/>
          <w:bCs/>
          <w:color w:val="000000" w:themeColor="text1"/>
          <w:vertAlign w:val="superscript"/>
        </w:rPr>
        <w:t>®</w:t>
      </w:r>
      <w:r w:rsidRPr="00977582">
        <w:rPr>
          <w:rFonts w:ascii="Book Antiqua" w:hAnsi="Book Antiqua" w:cs="Times New Roman"/>
          <w:bCs/>
          <w:color w:val="000000" w:themeColor="text1"/>
        </w:rPr>
        <w:t xml:space="preserve"> commercial claims data from 2003-2012 and found that non-infectious diarrhea (NID) </w:t>
      </w:r>
      <w:r w:rsidRPr="00977582">
        <w:rPr>
          <w:rFonts w:ascii="Book Antiqua" w:hAnsi="Book Antiqua" w:cs="Times New Roman"/>
          <w:color w:val="000000" w:themeColor="text1"/>
        </w:rPr>
        <w:t>is particularly burdensome and costly in CS patients.</w:t>
      </w:r>
      <w:r w:rsidR="005B1623" w:rsidRPr="00977582">
        <w:rPr>
          <w:rFonts w:ascii="Book Antiqua" w:hAnsi="Book Antiqua" w:cs="Times New Roman"/>
          <w:i/>
          <w:color w:val="000000" w:themeColor="text1"/>
        </w:rPr>
        <w:t xml:space="preserve"> </w:t>
      </w:r>
      <w:r w:rsidRPr="00977582">
        <w:rPr>
          <w:rFonts w:ascii="Book Antiqua" w:hAnsi="Book Antiqua" w:cs="Times New Roman"/>
          <w:bCs/>
          <w:color w:val="000000" w:themeColor="text1"/>
        </w:rPr>
        <w:t>T</w:t>
      </w:r>
      <w:r w:rsidRPr="00977582">
        <w:rPr>
          <w:rFonts w:ascii="Book Antiqua" w:hAnsi="Book Antiqua" w:cs="Times New Roman"/>
          <w:color w:val="000000" w:themeColor="text1"/>
        </w:rPr>
        <w:t xml:space="preserve">he </w:t>
      </w:r>
      <w:r w:rsidR="00747FE5" w:rsidRPr="00977582">
        <w:rPr>
          <w:rFonts w:ascii="Book Antiqua" w:hAnsi="Book Antiqua" w:cs="Times New Roman"/>
          <w:color w:val="000000" w:themeColor="text1"/>
        </w:rPr>
        <w:t xml:space="preserve">adjusted </w:t>
      </w:r>
      <w:r w:rsidRPr="00977582">
        <w:rPr>
          <w:rFonts w:ascii="Book Antiqua" w:hAnsi="Book Antiqua" w:cs="Times New Roman"/>
          <w:color w:val="000000" w:themeColor="text1"/>
        </w:rPr>
        <w:t>proportions of patients with any</w:t>
      </w:r>
      <w:r w:rsidR="009A0313"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and with CS-related hospitalizations were</w:t>
      </w:r>
      <w:r w:rsidR="009A0313" w:rsidRPr="00977582">
        <w:rPr>
          <w:rFonts w:ascii="Book Antiqua" w:hAnsi="Book Antiqua" w:cs="Times New Roman"/>
          <w:color w:val="000000" w:themeColor="text1"/>
        </w:rPr>
        <w:t xml:space="preserve"> 9.6% and 6.8%</w:t>
      </w:r>
      <w:r w:rsidRPr="00977582">
        <w:rPr>
          <w:rFonts w:ascii="Book Antiqua" w:hAnsi="Book Antiqua" w:cs="Times New Roman"/>
          <w:color w:val="000000" w:themeColor="text1"/>
        </w:rPr>
        <w:t xml:space="preserve"> higher in patients with NID than in those with no NID</w:t>
      </w:r>
      <w:r w:rsidR="009A0313" w:rsidRPr="00977582">
        <w:rPr>
          <w:rFonts w:ascii="Book Antiqua" w:hAnsi="Book Antiqua" w:cs="Times New Roman"/>
          <w:color w:val="000000" w:themeColor="text1"/>
        </w:rPr>
        <w:t>, respectively</w:t>
      </w:r>
      <w:r w:rsidRPr="00977582">
        <w:rPr>
          <w:rFonts w:ascii="Book Antiqua" w:hAnsi="Book Antiqua" w:cs="Times New Roman"/>
          <w:color w:val="000000" w:themeColor="text1"/>
        </w:rPr>
        <w:t xml:space="preserve"> </w:t>
      </w:r>
      <w:r w:rsidR="009A0313" w:rsidRPr="00977582">
        <w:rPr>
          <w:rFonts w:ascii="Book Antiqua" w:hAnsi="Book Antiqua" w:cs="Times New Roman"/>
          <w:color w:val="000000" w:themeColor="text1"/>
        </w:rPr>
        <w:t>(</w:t>
      </w:r>
      <w:r w:rsidR="003A691C" w:rsidRPr="00977582">
        <w:rPr>
          <w:rFonts w:ascii="Book Antiqua" w:hAnsi="Book Antiqua" w:cs="Times New Roman"/>
          <w:i/>
          <w:caps/>
          <w:color w:val="000000" w:themeColor="text1"/>
        </w:rPr>
        <w:t xml:space="preserve">p &lt; </w:t>
      </w:r>
      <w:r w:rsidR="00B47EF9" w:rsidRPr="00977582">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.001).</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The NID group was also significantly more costly, with adjusted mean</w:t>
      </w:r>
      <w:r w:rsidR="00B47EF9" w:rsidRPr="00977582">
        <w:rPr>
          <w:rFonts w:ascii="Book Antiqua" w:hAnsi="Book Antiqua" w:cs="Times New Roman"/>
          <w:color w:val="000000" w:themeColor="text1"/>
        </w:rPr>
        <w:t xml:space="preserve"> annual healthcare costs of $80600, compared to $51</w:t>
      </w:r>
      <w:r w:rsidRPr="00977582">
        <w:rPr>
          <w:rFonts w:ascii="Book Antiqua" w:hAnsi="Book Antiqua" w:cs="Times New Roman"/>
          <w:color w:val="000000" w:themeColor="text1"/>
        </w:rPr>
        <w:t>955 in the no NID group (</w:t>
      </w:r>
      <w:r w:rsidR="003A691C" w:rsidRPr="00977582">
        <w:rPr>
          <w:rFonts w:ascii="Book Antiqua" w:hAnsi="Book Antiqua" w:cs="Times New Roman"/>
          <w:i/>
          <w:caps/>
          <w:color w:val="000000" w:themeColor="text1"/>
        </w:rPr>
        <w:t xml:space="preserve">p &lt; </w:t>
      </w:r>
      <w:r w:rsidR="00B47EF9" w:rsidRPr="00977582">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w:t>
      </w:r>
    </w:p>
    <w:p w14:paraId="59598D24" w14:textId="77777777" w:rsidR="00E35C54" w:rsidRPr="00977582" w:rsidRDefault="00E35C54" w:rsidP="0041646E">
      <w:pPr>
        <w:adjustRightInd w:val="0"/>
        <w:snapToGrid w:val="0"/>
        <w:spacing w:after="0" w:line="360" w:lineRule="auto"/>
        <w:jc w:val="both"/>
        <w:rPr>
          <w:rFonts w:ascii="Book Antiqua" w:hAnsi="Book Antiqua" w:cs="Times New Roman"/>
          <w:color w:val="000000" w:themeColor="text1"/>
        </w:rPr>
      </w:pPr>
    </w:p>
    <w:p w14:paraId="5366F29E" w14:textId="77777777" w:rsidR="00B47EF9" w:rsidRPr="00977582" w:rsidRDefault="00447CC8"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eastAsia="MS Mincho" w:hAnsi="Book Antiqua"/>
          <w:color w:val="000000" w:themeColor="text1"/>
          <w:lang w:eastAsia="ja-JP"/>
        </w:rPr>
        <w:t>Broder MS, Chang E, Romanus D</w:t>
      </w:r>
      <w:r w:rsidRPr="00977582">
        <w:rPr>
          <w:rFonts w:ascii="Book Antiqua" w:hAnsi="Book Antiqua"/>
          <w:color w:val="000000" w:themeColor="text1"/>
        </w:rPr>
        <w:t xml:space="preserve">, Neary MP. </w:t>
      </w:r>
      <w:r w:rsidR="00B47EF9" w:rsidRPr="00977582">
        <w:rPr>
          <w:rFonts w:ascii="Book Antiqua" w:hAnsi="Book Antiqua"/>
          <w:color w:val="000000" w:themeColor="text1"/>
        </w:rPr>
        <w:t>Healthcare and economic impact of diarrhea in patients with carcinoid syndrome.</w:t>
      </w:r>
      <w:r w:rsidR="00B47EF9" w:rsidRPr="00977582">
        <w:rPr>
          <w:rFonts w:ascii="Book Antiqua" w:hAnsi="Book Antiqua" w:hint="eastAsia"/>
          <w:color w:val="000000" w:themeColor="text1"/>
          <w:lang w:eastAsia="zh-CN"/>
        </w:rPr>
        <w:t xml:space="preserve"> </w:t>
      </w:r>
      <w:r w:rsidR="00B47EF9" w:rsidRPr="00977582">
        <w:rPr>
          <w:rFonts w:ascii="Book Antiqua" w:hAnsi="Book Antiqua"/>
          <w:i/>
          <w:color w:val="000000" w:themeColor="text1"/>
          <w:lang w:eastAsia="zh-CN"/>
        </w:rPr>
        <w:t>World J Gastroenterol</w:t>
      </w:r>
      <w:r w:rsidR="00B47EF9" w:rsidRPr="00977582">
        <w:rPr>
          <w:rFonts w:ascii="Book Antiqua" w:hAnsi="Book Antiqua"/>
          <w:color w:val="000000" w:themeColor="text1"/>
          <w:lang w:eastAsia="zh-CN"/>
        </w:rPr>
        <w:t xml:space="preserve"> 201</w:t>
      </w:r>
      <w:r w:rsidR="00B47EF9" w:rsidRPr="00977582">
        <w:rPr>
          <w:rFonts w:ascii="Book Antiqua" w:hAnsi="Book Antiqua" w:hint="eastAsia"/>
          <w:color w:val="000000" w:themeColor="text1"/>
          <w:lang w:eastAsia="zh-CN"/>
        </w:rPr>
        <w:t>5</w:t>
      </w:r>
      <w:r w:rsidR="00B47EF9" w:rsidRPr="00977582">
        <w:rPr>
          <w:rFonts w:ascii="Book Antiqua" w:hAnsi="Book Antiqua"/>
          <w:color w:val="000000" w:themeColor="text1"/>
          <w:lang w:eastAsia="zh-CN"/>
        </w:rPr>
        <w:t>; In press</w:t>
      </w:r>
    </w:p>
    <w:p w14:paraId="72E54C56" w14:textId="6E1D4118" w:rsidR="00B47EF9" w:rsidRPr="00977582" w:rsidRDefault="00B47EF9" w:rsidP="0041646E">
      <w:pPr>
        <w:adjustRightInd w:val="0"/>
        <w:snapToGrid w:val="0"/>
        <w:spacing w:after="0" w:line="360" w:lineRule="auto"/>
        <w:jc w:val="both"/>
        <w:rPr>
          <w:rFonts w:ascii="Book Antiqua" w:hAnsi="Book Antiqua"/>
          <w:color w:val="000000" w:themeColor="text1"/>
          <w:lang w:eastAsia="zh-CN"/>
        </w:rPr>
      </w:pPr>
      <w:r w:rsidRPr="00977582">
        <w:rPr>
          <w:rFonts w:ascii="Book Antiqua" w:hAnsi="Book Antiqua"/>
          <w:color w:val="000000" w:themeColor="text1"/>
          <w:lang w:eastAsia="zh-CN"/>
        </w:rPr>
        <w:br w:type="page"/>
      </w:r>
    </w:p>
    <w:p w14:paraId="72E54C58" w14:textId="77777777" w:rsidR="00FE6D70" w:rsidRPr="00977582" w:rsidRDefault="00A701C6"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lastRenderedPageBreak/>
        <w:t>INTRODUCTION</w:t>
      </w:r>
    </w:p>
    <w:p w14:paraId="72E54C59" w14:textId="754EDC83" w:rsidR="003B43EA" w:rsidRPr="00977582" w:rsidRDefault="006543A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Neuroendocrine tumors (NETs), historically known as carcinoid</w:t>
      </w:r>
      <w:r w:rsidR="002B3396" w:rsidRPr="00977582">
        <w:rPr>
          <w:rFonts w:ascii="Book Antiqua" w:hAnsi="Book Antiqua" w:cs="Times New Roman"/>
          <w:color w:val="000000" w:themeColor="text1"/>
        </w:rPr>
        <w:t>s</w:t>
      </w:r>
      <w:r w:rsidRPr="00977582">
        <w:rPr>
          <w:rFonts w:ascii="Book Antiqua" w:hAnsi="Book Antiqua" w:cs="Times New Roman"/>
          <w:color w:val="000000" w:themeColor="text1"/>
        </w:rPr>
        <w:t xml:space="preserve">, </w:t>
      </w:r>
      <w:r w:rsidR="009568C9" w:rsidRPr="00977582">
        <w:rPr>
          <w:rFonts w:ascii="Book Antiqua" w:hAnsi="Book Antiqua" w:cs="Times New Roman"/>
          <w:color w:val="000000" w:themeColor="text1"/>
        </w:rPr>
        <w:t>are</w:t>
      </w:r>
      <w:r w:rsidR="002B3396" w:rsidRPr="00977582">
        <w:rPr>
          <w:rFonts w:ascii="Book Antiqua" w:hAnsi="Book Antiqua" w:cs="Times New Roman"/>
          <w:color w:val="000000" w:themeColor="text1"/>
        </w:rPr>
        <w:t xml:space="preserve"> rare</w:t>
      </w:r>
      <w:r w:rsidR="009568C9" w:rsidRPr="00977582">
        <w:rPr>
          <w:rFonts w:ascii="Book Antiqua" w:hAnsi="Book Antiqua" w:cs="Times New Roman"/>
          <w:color w:val="000000" w:themeColor="text1"/>
        </w:rPr>
        <w:t xml:space="preserve"> </w:t>
      </w:r>
      <w:r w:rsidR="002B3396" w:rsidRPr="00977582">
        <w:rPr>
          <w:rFonts w:ascii="Book Antiqua" w:hAnsi="Book Antiqua" w:cs="Times New Roman"/>
          <w:color w:val="000000" w:themeColor="text1"/>
        </w:rPr>
        <w:t>lesions that originate in clusters of secretory cells in the gastrointestinal, respiratory, and urogenital tracts and are typically indolent in nature</w:t>
      </w:r>
      <w:r w:rsidR="00EA58FC" w:rsidRPr="00977582">
        <w:rPr>
          <w:rFonts w:ascii="Book Antiqua" w:hAnsi="Book Antiqua" w:cs="Times New Roman"/>
          <w:color w:val="000000" w:themeColor="text1"/>
          <w:vertAlign w:val="superscript"/>
        </w:rPr>
        <w:t>[1]</w:t>
      </w:r>
      <w:r w:rsidR="002B3396" w:rsidRPr="00977582">
        <w:rPr>
          <w:rFonts w:ascii="Book Antiqua" w:hAnsi="Book Antiqua" w:cs="Times New Roman"/>
          <w:color w:val="000000" w:themeColor="text1"/>
        </w:rPr>
        <w:t xml:space="preserve">. These </w:t>
      </w:r>
      <w:r w:rsidR="006621DE" w:rsidRPr="00977582">
        <w:rPr>
          <w:rFonts w:ascii="Book Antiqua" w:hAnsi="Book Antiqua" w:cs="Times New Roman"/>
          <w:color w:val="000000" w:themeColor="text1"/>
        </w:rPr>
        <w:t xml:space="preserve">neoplasms produce peptides and neuroamines </w:t>
      </w:r>
      <w:r w:rsidR="002B3396" w:rsidRPr="00977582">
        <w:rPr>
          <w:rFonts w:ascii="Book Antiqua" w:hAnsi="Book Antiqua" w:cs="Times New Roman"/>
          <w:color w:val="000000" w:themeColor="text1"/>
        </w:rPr>
        <w:t>that induce</w:t>
      </w:r>
      <w:r w:rsidR="006621DE" w:rsidRPr="00977582">
        <w:rPr>
          <w:rFonts w:ascii="Book Antiqua" w:hAnsi="Book Antiqua" w:cs="Times New Roman"/>
          <w:color w:val="000000" w:themeColor="text1"/>
        </w:rPr>
        <w:t xml:space="preserve"> characteristic hormonal syndromes, including carcinoid syndrome</w:t>
      </w:r>
      <w:r w:rsidR="00097986" w:rsidRPr="00977582">
        <w:rPr>
          <w:rFonts w:ascii="Book Antiqua" w:hAnsi="Book Antiqua" w:cs="Times New Roman"/>
          <w:color w:val="000000" w:themeColor="text1"/>
        </w:rPr>
        <w:t xml:space="preserve"> (CS)</w:t>
      </w:r>
      <w:r w:rsidR="00EA58FC" w:rsidRPr="00977582">
        <w:rPr>
          <w:rFonts w:ascii="Book Antiqua" w:hAnsi="Book Antiqua" w:cs="Times New Roman"/>
          <w:color w:val="000000" w:themeColor="text1"/>
          <w:vertAlign w:val="superscript"/>
        </w:rPr>
        <w:t>[2,3]</w:t>
      </w:r>
      <w:r w:rsidR="00EA58FC" w:rsidRPr="00977582">
        <w:rPr>
          <w:rFonts w:ascii="Book Antiqua" w:hAnsi="Book Antiqua" w:cs="Times New Roman"/>
          <w:color w:val="000000" w:themeColor="text1"/>
        </w:rPr>
        <w:t xml:space="preserve">. </w:t>
      </w:r>
      <w:r w:rsidR="00097986" w:rsidRPr="00977582">
        <w:rPr>
          <w:rFonts w:ascii="Book Antiqua" w:hAnsi="Book Antiqua" w:cs="Times New Roman"/>
          <w:color w:val="000000" w:themeColor="text1"/>
        </w:rPr>
        <w:t xml:space="preserve">NETs comprised 0.66% of </w:t>
      </w:r>
      <w:r w:rsidR="0038428C" w:rsidRPr="00977582">
        <w:rPr>
          <w:rFonts w:ascii="Book Antiqua" w:hAnsi="Book Antiqua" w:cs="Times New Roman"/>
          <w:color w:val="000000" w:themeColor="text1"/>
        </w:rPr>
        <w:t>malignancies</w:t>
      </w:r>
      <w:r w:rsidR="00097986" w:rsidRPr="00977582">
        <w:rPr>
          <w:rFonts w:ascii="Book Antiqua" w:hAnsi="Book Antiqua" w:cs="Times New Roman"/>
          <w:color w:val="000000" w:themeColor="text1"/>
        </w:rPr>
        <w:t xml:space="preserve"> in the United States from 1973 to 2004</w:t>
      </w:r>
      <w:r w:rsidR="00EA58FC" w:rsidRPr="00977582">
        <w:rPr>
          <w:rFonts w:ascii="Book Antiqua" w:hAnsi="Book Antiqua" w:cs="Times New Roman"/>
          <w:color w:val="000000" w:themeColor="text1"/>
          <w:vertAlign w:val="superscript"/>
        </w:rPr>
        <w:t>[1]</w:t>
      </w:r>
      <w:r w:rsidR="00097986" w:rsidRPr="00977582">
        <w:rPr>
          <w:rFonts w:ascii="Book Antiqua" w:hAnsi="Book Antiqua" w:cs="Times New Roman"/>
          <w:color w:val="000000" w:themeColor="text1"/>
        </w:rPr>
        <w:t xml:space="preserve">. </w:t>
      </w:r>
      <w:r w:rsidR="002B3396" w:rsidRPr="00977582">
        <w:rPr>
          <w:rFonts w:ascii="Book Antiqua" w:hAnsi="Book Antiqua" w:cs="Times New Roman"/>
          <w:color w:val="000000" w:themeColor="text1"/>
        </w:rPr>
        <w:t>An analysis of the Surveillance, Epidemiology, and End Results (SEER) database found</w:t>
      </w:r>
      <w:r w:rsidR="00097986" w:rsidRPr="00977582">
        <w:rPr>
          <w:rFonts w:ascii="Book Antiqua" w:hAnsi="Book Antiqua" w:cs="Times New Roman"/>
          <w:color w:val="000000" w:themeColor="text1"/>
        </w:rPr>
        <w:t xml:space="preserve"> that the incidence of NETs </w:t>
      </w:r>
      <w:r w:rsidR="004C2E36" w:rsidRPr="00977582">
        <w:rPr>
          <w:rFonts w:ascii="Book Antiqua" w:hAnsi="Book Antiqua" w:cs="Times New Roman"/>
          <w:color w:val="000000" w:themeColor="text1"/>
        </w:rPr>
        <w:t>has increased from 1.09</w:t>
      </w:r>
      <w:r w:rsidR="002B3396" w:rsidRPr="00977582">
        <w:rPr>
          <w:rFonts w:ascii="Book Antiqua" w:hAnsi="Book Antiqua" w:cs="Times New Roman"/>
          <w:color w:val="000000" w:themeColor="text1"/>
        </w:rPr>
        <w:t xml:space="preserve"> per </w:t>
      </w:r>
      <w:r w:rsidR="00B47EF9" w:rsidRPr="00977582">
        <w:rPr>
          <w:rFonts w:ascii="Book Antiqua" w:hAnsi="Book Antiqua" w:cs="Times New Roman"/>
          <w:color w:val="000000" w:themeColor="text1"/>
        </w:rPr>
        <w:t>100</w:t>
      </w:r>
      <w:r w:rsidR="004C2E36" w:rsidRPr="00977582">
        <w:rPr>
          <w:rFonts w:ascii="Book Antiqua" w:hAnsi="Book Antiqua" w:cs="Times New Roman"/>
          <w:color w:val="000000" w:themeColor="text1"/>
        </w:rPr>
        <w:t>000</w:t>
      </w:r>
      <w:r w:rsidR="002B3396" w:rsidRPr="00977582">
        <w:rPr>
          <w:rFonts w:ascii="Book Antiqua" w:hAnsi="Book Antiqua" w:cs="Times New Roman"/>
          <w:color w:val="000000" w:themeColor="text1"/>
        </w:rPr>
        <w:t xml:space="preserve"> individuals</w:t>
      </w:r>
      <w:r w:rsidR="004C2E36" w:rsidRPr="00977582">
        <w:rPr>
          <w:rFonts w:ascii="Book Antiqua" w:hAnsi="Book Antiqua" w:cs="Times New Roman"/>
          <w:color w:val="000000" w:themeColor="text1"/>
        </w:rPr>
        <w:t xml:space="preserve"> in 1973 to 5.25</w:t>
      </w:r>
      <w:r w:rsidR="002B3396" w:rsidRPr="00977582">
        <w:rPr>
          <w:rFonts w:ascii="Book Antiqua" w:hAnsi="Book Antiqua" w:cs="Times New Roman"/>
          <w:color w:val="000000" w:themeColor="text1"/>
        </w:rPr>
        <w:t xml:space="preserve"> per </w:t>
      </w:r>
      <w:r w:rsidR="00B47EF9" w:rsidRPr="00977582">
        <w:rPr>
          <w:rFonts w:ascii="Book Antiqua" w:hAnsi="Book Antiqua" w:cs="Times New Roman"/>
          <w:color w:val="000000" w:themeColor="text1"/>
        </w:rPr>
        <w:t>100</w:t>
      </w:r>
      <w:r w:rsidR="004C2E36" w:rsidRPr="00977582">
        <w:rPr>
          <w:rFonts w:ascii="Book Antiqua" w:hAnsi="Book Antiqua" w:cs="Times New Roman"/>
          <w:color w:val="000000" w:themeColor="text1"/>
        </w:rPr>
        <w:t>000 in 2004</w:t>
      </w:r>
      <w:r w:rsidR="0003483F" w:rsidRPr="00977582">
        <w:rPr>
          <w:rFonts w:ascii="Book Antiqua" w:hAnsi="Book Antiqua" w:cs="Times New Roman"/>
          <w:color w:val="000000" w:themeColor="text1"/>
        </w:rPr>
        <w:t xml:space="preserve">, </w:t>
      </w:r>
      <w:r w:rsidR="002F1EDF" w:rsidRPr="00977582">
        <w:rPr>
          <w:rFonts w:ascii="Book Antiqua" w:hAnsi="Book Antiqua" w:cs="Times New Roman"/>
          <w:color w:val="000000" w:themeColor="text1"/>
        </w:rPr>
        <w:t>with a</w:t>
      </w:r>
      <w:r w:rsidR="00097986" w:rsidRPr="00977582">
        <w:rPr>
          <w:rFonts w:ascii="Book Antiqua" w:hAnsi="Book Antiqua" w:cs="Times New Roman"/>
          <w:color w:val="000000" w:themeColor="text1"/>
        </w:rPr>
        <w:t xml:space="preserve"> prevalence </w:t>
      </w:r>
      <w:r w:rsidR="00D90554" w:rsidRPr="00977582">
        <w:rPr>
          <w:rFonts w:ascii="Book Antiqua" w:hAnsi="Book Antiqua" w:cs="Times New Roman"/>
          <w:color w:val="000000" w:themeColor="text1"/>
        </w:rPr>
        <w:t xml:space="preserve">of </w:t>
      </w:r>
      <w:r w:rsidR="00097986" w:rsidRPr="00977582">
        <w:rPr>
          <w:rFonts w:ascii="Book Antiqua" w:hAnsi="Book Antiqua" w:cs="Times New Roman"/>
          <w:color w:val="000000" w:themeColor="text1"/>
        </w:rPr>
        <w:t>NETs in the Un</w:t>
      </w:r>
      <w:r w:rsidR="00B47EF9" w:rsidRPr="00977582">
        <w:rPr>
          <w:rFonts w:ascii="Book Antiqua" w:hAnsi="Book Antiqua" w:cs="Times New Roman"/>
          <w:color w:val="000000" w:themeColor="text1"/>
        </w:rPr>
        <w:t>ited States may exceed 100</w:t>
      </w:r>
      <w:r w:rsidR="00EA58FC" w:rsidRPr="00977582">
        <w:rPr>
          <w:rFonts w:ascii="Book Antiqua" w:hAnsi="Book Antiqua" w:cs="Times New Roman"/>
          <w:color w:val="000000" w:themeColor="text1"/>
        </w:rPr>
        <w:t>000</w:t>
      </w:r>
      <w:r w:rsidR="00EA58FC" w:rsidRPr="00977582">
        <w:rPr>
          <w:rFonts w:ascii="Book Antiqua" w:hAnsi="Book Antiqua" w:cs="Times New Roman"/>
          <w:color w:val="000000" w:themeColor="text1"/>
          <w:vertAlign w:val="superscript"/>
        </w:rPr>
        <w:t>[4]</w:t>
      </w:r>
      <w:r w:rsidR="00EA58FC" w:rsidRPr="00977582">
        <w:rPr>
          <w:rFonts w:ascii="Book Antiqua" w:hAnsi="Book Antiqua" w:cs="Times New Roman"/>
          <w:color w:val="000000" w:themeColor="text1"/>
        </w:rPr>
        <w:t>.</w:t>
      </w:r>
    </w:p>
    <w:p w14:paraId="72E54C5A" w14:textId="6686D489" w:rsidR="003B43EA" w:rsidRPr="00977582" w:rsidRDefault="00A446AE"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The classic description of CS by Oberndofer</w:t>
      </w:r>
      <w:r w:rsidR="006B2144" w:rsidRPr="00977582">
        <w:rPr>
          <w:rFonts w:ascii="Book Antiqua" w:hAnsi="Book Antiqua" w:cs="Times New Roman"/>
          <w:color w:val="000000" w:themeColor="text1"/>
          <w:vertAlign w:val="superscript"/>
        </w:rPr>
        <w:t>[5,6]</w:t>
      </w:r>
      <w:r w:rsidRPr="00977582">
        <w:rPr>
          <w:rFonts w:ascii="Book Antiqua" w:hAnsi="Book Antiqua" w:cs="Times New Roman"/>
          <w:color w:val="000000" w:themeColor="text1"/>
        </w:rPr>
        <w:t xml:space="preserve"> in 1907 included the triad of diarrhea, flushing, and bronchospasm</w:t>
      </w:r>
      <w:r w:rsidR="003B43EA" w:rsidRPr="00977582">
        <w:rPr>
          <w:rFonts w:ascii="Book Antiqua" w:hAnsi="Book Antiqua" w:cs="Times New Roman"/>
          <w:color w:val="000000" w:themeColor="text1"/>
        </w:rPr>
        <w:t xml:space="preserve">. </w:t>
      </w:r>
      <w:r w:rsidR="00317820" w:rsidRPr="00977582">
        <w:rPr>
          <w:rFonts w:ascii="Book Antiqua" w:hAnsi="Book Antiqua" w:cs="Times New Roman"/>
          <w:color w:val="000000" w:themeColor="text1"/>
        </w:rPr>
        <w:t xml:space="preserve">In a prospective single-institution database of over 900 patients with NETs, Ter-Minassian </w:t>
      </w:r>
      <w:r w:rsidR="00B47EF9" w:rsidRPr="00977582">
        <w:rPr>
          <w:rFonts w:ascii="Book Antiqua" w:hAnsi="Book Antiqua" w:cs="Times New Roman"/>
          <w:i/>
          <w:color w:val="000000" w:themeColor="text1"/>
        </w:rPr>
        <w:t>et al</w:t>
      </w:r>
      <w:r w:rsidR="006B2144" w:rsidRPr="00977582">
        <w:rPr>
          <w:rFonts w:ascii="Book Antiqua" w:hAnsi="Book Antiqua" w:cs="Times New Roman"/>
          <w:color w:val="000000" w:themeColor="text1"/>
          <w:vertAlign w:val="superscript"/>
        </w:rPr>
        <w:t>[7]</w:t>
      </w:r>
      <w:r w:rsidR="00317820" w:rsidRPr="00977582">
        <w:rPr>
          <w:rFonts w:ascii="Book Antiqua" w:hAnsi="Book Antiqua" w:cs="Times New Roman"/>
          <w:color w:val="000000" w:themeColor="text1"/>
        </w:rPr>
        <w:t xml:space="preserve"> found that </w:t>
      </w:r>
      <w:r w:rsidR="00060EE3" w:rsidRPr="00977582">
        <w:rPr>
          <w:rFonts w:ascii="Book Antiqua" w:hAnsi="Book Antiqua" w:cs="Times New Roman"/>
          <w:color w:val="000000" w:themeColor="text1"/>
        </w:rPr>
        <w:t xml:space="preserve">diarrhea, </w:t>
      </w:r>
      <w:r w:rsidR="00317820" w:rsidRPr="00977582">
        <w:rPr>
          <w:rFonts w:ascii="Book Antiqua" w:hAnsi="Book Antiqua" w:cs="Times New Roman"/>
          <w:color w:val="000000" w:themeColor="text1"/>
        </w:rPr>
        <w:t>abdominal pain</w:t>
      </w:r>
      <w:r w:rsidR="00060EE3" w:rsidRPr="00977582">
        <w:rPr>
          <w:rFonts w:ascii="Book Antiqua" w:hAnsi="Book Antiqua" w:cs="Times New Roman"/>
          <w:color w:val="000000" w:themeColor="text1"/>
        </w:rPr>
        <w:t>, and flushing were</w:t>
      </w:r>
      <w:r w:rsidR="00317820" w:rsidRPr="00977582">
        <w:rPr>
          <w:rFonts w:ascii="Book Antiqua" w:hAnsi="Book Antiqua" w:cs="Times New Roman"/>
          <w:color w:val="000000" w:themeColor="text1"/>
        </w:rPr>
        <w:t xml:space="preserve"> the most common presenting symptom</w:t>
      </w:r>
      <w:r w:rsidR="00060EE3" w:rsidRPr="00977582">
        <w:rPr>
          <w:rFonts w:ascii="Book Antiqua" w:hAnsi="Book Antiqua" w:cs="Times New Roman"/>
          <w:color w:val="000000" w:themeColor="text1"/>
        </w:rPr>
        <w:t>s</w:t>
      </w:r>
      <w:r w:rsidR="00317820" w:rsidRPr="00977582">
        <w:rPr>
          <w:rFonts w:ascii="Book Antiqua" w:hAnsi="Book Antiqua" w:cs="Times New Roman"/>
          <w:color w:val="000000" w:themeColor="text1"/>
        </w:rPr>
        <w:t xml:space="preserve">. </w:t>
      </w:r>
      <w:r w:rsidR="00701FFD" w:rsidRPr="00977582">
        <w:rPr>
          <w:rFonts w:ascii="Book Antiqua" w:hAnsi="Book Antiqua" w:cs="Times New Roman"/>
          <w:color w:val="000000" w:themeColor="text1"/>
        </w:rPr>
        <w:t xml:space="preserve">Of the myriad of symptoms that afflict patients with CS, diarrhea appears to have a particularly profound impact on patients’ sense of well-being. </w:t>
      </w:r>
      <w:r w:rsidR="0087134C" w:rsidRPr="00977582">
        <w:rPr>
          <w:rFonts w:ascii="Book Antiqua" w:hAnsi="Book Antiqua" w:cs="Times New Roman"/>
          <w:color w:val="000000" w:themeColor="text1"/>
        </w:rPr>
        <w:t>Based on surveys using the RAND version of the Short Form-36 (SF-36) and the Patient-Reported Outcomes Measurement Information System (PROMIS-29), p</w:t>
      </w:r>
      <w:r w:rsidR="003B43EA" w:rsidRPr="00977582">
        <w:rPr>
          <w:rFonts w:ascii="Book Antiqua" w:hAnsi="Book Antiqua" w:cs="Times New Roman"/>
          <w:color w:val="000000" w:themeColor="text1"/>
        </w:rPr>
        <w:t xml:space="preserve">atients with </w:t>
      </w:r>
      <w:r w:rsidR="00097986" w:rsidRPr="00977582">
        <w:rPr>
          <w:rFonts w:ascii="Book Antiqua" w:hAnsi="Book Antiqua" w:cs="Times New Roman"/>
          <w:color w:val="000000" w:themeColor="text1"/>
        </w:rPr>
        <w:t>CS</w:t>
      </w:r>
      <w:r w:rsidR="003B43EA" w:rsidRPr="00977582">
        <w:rPr>
          <w:rFonts w:ascii="Book Antiqua" w:hAnsi="Book Antiqua" w:cs="Times New Roman"/>
          <w:color w:val="000000" w:themeColor="text1"/>
        </w:rPr>
        <w:t xml:space="preserve"> experience worse quality of life</w:t>
      </w:r>
      <w:r w:rsidR="00AA28FF" w:rsidRPr="00977582">
        <w:rPr>
          <w:rFonts w:ascii="Book Antiqua" w:hAnsi="Book Antiqua" w:cs="Times New Roman"/>
          <w:color w:val="000000" w:themeColor="text1"/>
        </w:rPr>
        <w:t xml:space="preserve"> (QOL)</w:t>
      </w:r>
      <w:r w:rsidR="003B43EA" w:rsidRPr="00977582">
        <w:rPr>
          <w:rFonts w:ascii="Book Antiqua" w:hAnsi="Book Antiqua" w:cs="Times New Roman"/>
          <w:color w:val="000000" w:themeColor="text1"/>
        </w:rPr>
        <w:t xml:space="preserve"> compared to the general population and to other cancer patients and survivors.</w:t>
      </w:r>
      <w:r w:rsidR="005B1623" w:rsidRPr="00977582">
        <w:rPr>
          <w:rFonts w:ascii="Book Antiqua" w:hAnsi="Book Antiqua" w:cs="Times New Roman"/>
          <w:i/>
          <w:color w:val="000000" w:themeColor="text1"/>
        </w:rPr>
        <w:t xml:space="preserve"> </w:t>
      </w:r>
      <w:r w:rsidR="0087134C" w:rsidRPr="00977582">
        <w:rPr>
          <w:rFonts w:ascii="Book Antiqua" w:hAnsi="Book Antiqua" w:cs="Times New Roman"/>
          <w:color w:val="000000" w:themeColor="text1"/>
        </w:rPr>
        <w:t>T</w:t>
      </w:r>
      <w:r w:rsidR="00701FFD" w:rsidRPr="00977582">
        <w:rPr>
          <w:rFonts w:ascii="Book Antiqua" w:hAnsi="Book Antiqua" w:cs="Times New Roman"/>
          <w:color w:val="000000" w:themeColor="text1"/>
        </w:rPr>
        <w:t>hose</w:t>
      </w:r>
      <w:r w:rsidR="003B43EA" w:rsidRPr="00977582">
        <w:rPr>
          <w:rFonts w:ascii="Book Antiqua" w:hAnsi="Book Antiqua" w:cs="Times New Roman"/>
          <w:color w:val="000000" w:themeColor="text1"/>
        </w:rPr>
        <w:t xml:space="preserve"> with</w:t>
      </w:r>
      <w:r w:rsidR="0003483F" w:rsidRPr="00977582">
        <w:rPr>
          <w:rFonts w:ascii="Book Antiqua" w:hAnsi="Book Antiqua" w:cs="Times New Roman"/>
          <w:color w:val="000000" w:themeColor="text1"/>
        </w:rPr>
        <w:t xml:space="preserve"> uncontrolled</w:t>
      </w:r>
      <w:r w:rsidR="003B43EA" w:rsidRPr="00977582">
        <w:rPr>
          <w:rFonts w:ascii="Book Antiqua" w:hAnsi="Book Antiqua" w:cs="Times New Roman"/>
          <w:color w:val="000000" w:themeColor="text1"/>
        </w:rPr>
        <w:t xml:space="preserve"> diarrhea have</w:t>
      </w:r>
      <w:r w:rsidR="00701FFD" w:rsidRPr="00977582">
        <w:rPr>
          <w:rFonts w:ascii="Book Antiqua" w:hAnsi="Book Antiqua" w:cs="Times New Roman"/>
          <w:color w:val="000000" w:themeColor="text1"/>
        </w:rPr>
        <w:t xml:space="preserve"> reported</w:t>
      </w:r>
      <w:r w:rsidR="003B43EA" w:rsidRPr="00977582">
        <w:rPr>
          <w:rFonts w:ascii="Book Antiqua" w:hAnsi="Book Antiqua" w:cs="Times New Roman"/>
          <w:color w:val="000000" w:themeColor="text1"/>
        </w:rPr>
        <w:t xml:space="preserve"> even poorer </w:t>
      </w:r>
      <w:r w:rsidR="00AA28FF" w:rsidRPr="00977582">
        <w:rPr>
          <w:rFonts w:ascii="Book Antiqua" w:hAnsi="Book Antiqua" w:cs="Times New Roman"/>
          <w:color w:val="000000" w:themeColor="text1"/>
        </w:rPr>
        <w:t>QOL</w:t>
      </w:r>
      <w:r w:rsidR="00EA58FC" w:rsidRPr="00977582">
        <w:rPr>
          <w:rFonts w:ascii="Book Antiqua" w:hAnsi="Book Antiqua" w:cs="Times New Roman"/>
          <w:color w:val="000000" w:themeColor="text1"/>
          <w:vertAlign w:val="superscript"/>
        </w:rPr>
        <w:t>[8]</w:t>
      </w:r>
      <w:r w:rsidR="00EA58FC" w:rsidRPr="00977582">
        <w:rPr>
          <w:rFonts w:ascii="Book Antiqua" w:hAnsi="Book Antiqua" w:cs="Times New Roman"/>
          <w:color w:val="000000" w:themeColor="text1"/>
        </w:rPr>
        <w:t>.</w:t>
      </w:r>
    </w:p>
    <w:p w14:paraId="72E54C5B" w14:textId="24FDF380" w:rsidR="00EA7E59" w:rsidRDefault="00D90554" w:rsidP="0041646E">
      <w:pPr>
        <w:adjustRightInd w:val="0"/>
        <w:snapToGrid w:val="0"/>
        <w:spacing w:after="0" w:line="360" w:lineRule="auto"/>
        <w:ind w:firstLine="720"/>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T</w:t>
      </w:r>
      <w:r w:rsidR="004C67BC" w:rsidRPr="00977582">
        <w:rPr>
          <w:rFonts w:ascii="Book Antiqua" w:hAnsi="Book Antiqua" w:cs="Times New Roman"/>
          <w:color w:val="000000" w:themeColor="text1"/>
        </w:rPr>
        <w:t>he healthcare and economic burden of diarrhea in CS patients has not been previously quantified.</w:t>
      </w:r>
      <w:r w:rsidR="003B43EA" w:rsidRPr="00977582">
        <w:rPr>
          <w:rFonts w:ascii="Book Antiqua" w:hAnsi="Book Antiqua" w:cs="Times New Roman"/>
          <w:color w:val="000000" w:themeColor="text1"/>
        </w:rPr>
        <w:t xml:space="preserve"> </w:t>
      </w:r>
      <w:r w:rsidR="00097986" w:rsidRPr="00977582">
        <w:rPr>
          <w:rFonts w:ascii="Book Antiqua" w:hAnsi="Book Antiqua" w:cs="Times New Roman"/>
          <w:color w:val="000000" w:themeColor="text1"/>
        </w:rPr>
        <w:t xml:space="preserve">The goal of the current study was to examine healthcare </w:t>
      </w:r>
      <w:r w:rsidR="00641EBF" w:rsidRPr="00977582">
        <w:rPr>
          <w:rFonts w:ascii="Book Antiqua" w:hAnsi="Book Antiqua" w:cs="Times New Roman"/>
          <w:color w:val="000000" w:themeColor="text1"/>
        </w:rPr>
        <w:t xml:space="preserve">resource </w:t>
      </w:r>
      <w:r w:rsidR="00097986" w:rsidRPr="00977582">
        <w:rPr>
          <w:rFonts w:ascii="Book Antiqua" w:hAnsi="Book Antiqua" w:cs="Times New Roman"/>
          <w:color w:val="000000" w:themeColor="text1"/>
        </w:rPr>
        <w:t xml:space="preserve">utilization </w:t>
      </w:r>
      <w:r w:rsidR="00641EBF" w:rsidRPr="00977582">
        <w:rPr>
          <w:rFonts w:ascii="Book Antiqua" w:hAnsi="Book Antiqua" w:cs="Times New Roman"/>
          <w:color w:val="000000" w:themeColor="text1"/>
        </w:rPr>
        <w:t xml:space="preserve">(HRU) </w:t>
      </w:r>
      <w:r w:rsidR="00097986" w:rsidRPr="00977582">
        <w:rPr>
          <w:rFonts w:ascii="Book Antiqua" w:hAnsi="Book Antiqua" w:cs="Times New Roman"/>
          <w:color w:val="000000" w:themeColor="text1"/>
        </w:rPr>
        <w:t xml:space="preserve">patterns and </w:t>
      </w:r>
      <w:r w:rsidR="00DE54E6" w:rsidRPr="00977582">
        <w:rPr>
          <w:rFonts w:ascii="Book Antiqua" w:hAnsi="Book Antiqua" w:cs="Times New Roman"/>
          <w:color w:val="000000" w:themeColor="text1"/>
        </w:rPr>
        <w:t xml:space="preserve">healthcare </w:t>
      </w:r>
      <w:r w:rsidR="00097986" w:rsidRPr="00977582">
        <w:rPr>
          <w:rFonts w:ascii="Book Antiqua" w:hAnsi="Book Antiqua" w:cs="Times New Roman"/>
          <w:color w:val="000000" w:themeColor="text1"/>
        </w:rPr>
        <w:t>costs accrued by CS patients with and without diarrhea in a</w:t>
      </w:r>
      <w:r w:rsidR="00B77B52" w:rsidRPr="00977582">
        <w:rPr>
          <w:rFonts w:ascii="Book Antiqua" w:hAnsi="Book Antiqua" w:cs="Times New Roman"/>
          <w:color w:val="000000" w:themeColor="text1"/>
        </w:rPr>
        <w:t>n</w:t>
      </w:r>
      <w:r w:rsidR="00097986" w:rsidRPr="00977582">
        <w:rPr>
          <w:rFonts w:ascii="Book Antiqua" w:hAnsi="Book Antiqua" w:cs="Times New Roman"/>
          <w:color w:val="000000" w:themeColor="text1"/>
        </w:rPr>
        <w:t xml:space="preserve"> insured </w:t>
      </w:r>
      <w:r w:rsidR="00977582">
        <w:rPr>
          <w:rFonts w:ascii="Book Antiqua" w:hAnsi="Book Antiqua" w:cs="Times New Roman" w:hint="eastAsia"/>
          <w:color w:val="000000" w:themeColor="text1"/>
          <w:lang w:eastAsia="zh-CN"/>
        </w:rPr>
        <w:t>United States</w:t>
      </w:r>
      <w:r w:rsidR="00097986" w:rsidRPr="00977582">
        <w:rPr>
          <w:rFonts w:ascii="Book Antiqua" w:hAnsi="Book Antiqua" w:cs="Times New Roman"/>
          <w:color w:val="000000" w:themeColor="text1"/>
        </w:rPr>
        <w:t xml:space="preserve"> population.</w:t>
      </w:r>
    </w:p>
    <w:p w14:paraId="6AA8EA60" w14:textId="77777777" w:rsidR="00977582" w:rsidRPr="00977582" w:rsidRDefault="00977582" w:rsidP="0041646E">
      <w:pPr>
        <w:adjustRightInd w:val="0"/>
        <w:snapToGrid w:val="0"/>
        <w:spacing w:after="0" w:line="360" w:lineRule="auto"/>
        <w:ind w:firstLine="720"/>
        <w:jc w:val="both"/>
        <w:rPr>
          <w:rFonts w:ascii="Book Antiqua" w:hAnsi="Book Antiqua" w:cs="Times New Roman"/>
          <w:color w:val="000000" w:themeColor="text1"/>
          <w:lang w:eastAsia="zh-CN"/>
        </w:rPr>
      </w:pPr>
    </w:p>
    <w:p w14:paraId="72E54C5C" w14:textId="77777777" w:rsidR="00DD4193" w:rsidRPr="00977582" w:rsidRDefault="00447CC8"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b/>
          <w:color w:val="000000" w:themeColor="text1"/>
        </w:rPr>
        <w:t xml:space="preserve">MATERIALS AND </w:t>
      </w:r>
      <w:r w:rsidR="00DD4193" w:rsidRPr="00977582">
        <w:rPr>
          <w:rFonts w:ascii="Book Antiqua" w:hAnsi="Book Antiqua" w:cs="Times New Roman"/>
          <w:b/>
          <w:color w:val="000000" w:themeColor="text1"/>
        </w:rPr>
        <w:t>METHODS</w:t>
      </w:r>
    </w:p>
    <w:p w14:paraId="72E54C5D" w14:textId="4DC6E29C" w:rsidR="008770B5" w:rsidRPr="003B5A7D" w:rsidRDefault="003B5A7D" w:rsidP="0041646E">
      <w:pPr>
        <w:adjustRightInd w:val="0"/>
        <w:snapToGrid w:val="0"/>
        <w:spacing w:after="0" w:line="360" w:lineRule="auto"/>
        <w:jc w:val="both"/>
        <w:rPr>
          <w:rFonts w:ascii="Book Antiqua" w:hAnsi="Book Antiqua" w:cs="Times New Roman"/>
          <w:b/>
          <w:i/>
          <w:color w:val="000000" w:themeColor="text1"/>
        </w:rPr>
      </w:pPr>
      <w:r w:rsidRPr="003B5A7D">
        <w:rPr>
          <w:rFonts w:ascii="Book Antiqua" w:hAnsi="Book Antiqua" w:cs="Times New Roman"/>
          <w:b/>
          <w:i/>
          <w:color w:val="000000" w:themeColor="text1"/>
        </w:rPr>
        <w:t>Data source</w:t>
      </w:r>
    </w:p>
    <w:p w14:paraId="72E54C5E" w14:textId="28EA1EB4" w:rsidR="008770B5" w:rsidRPr="00977582" w:rsidRDefault="004C67BC"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lastRenderedPageBreak/>
        <w:t xml:space="preserve">We conducted a </w:t>
      </w:r>
      <w:r w:rsidR="00391999" w:rsidRPr="00977582">
        <w:rPr>
          <w:rFonts w:ascii="Book Antiqua" w:hAnsi="Book Antiqua" w:cs="Times New Roman"/>
          <w:color w:val="000000" w:themeColor="text1"/>
        </w:rPr>
        <w:t xml:space="preserve">cross-sectional, </w:t>
      </w:r>
      <w:r w:rsidRPr="00977582">
        <w:rPr>
          <w:rFonts w:ascii="Book Antiqua" w:hAnsi="Book Antiqua" w:cs="Times New Roman"/>
          <w:color w:val="000000" w:themeColor="text1"/>
        </w:rPr>
        <w:t>retrospective cohort study</w:t>
      </w:r>
      <w:r w:rsidR="00003160" w:rsidRPr="00977582">
        <w:rPr>
          <w:rFonts w:ascii="Book Antiqua" w:hAnsi="Book Antiqua" w:cs="Times New Roman"/>
          <w:color w:val="000000" w:themeColor="text1"/>
        </w:rPr>
        <w:t xml:space="preserve"> of newly diagnosed patients with CS </w:t>
      </w:r>
      <w:r w:rsidRPr="00977582">
        <w:rPr>
          <w:rFonts w:ascii="Book Antiqua" w:hAnsi="Book Antiqua" w:cs="Times New Roman"/>
          <w:color w:val="000000" w:themeColor="text1"/>
        </w:rPr>
        <w:t xml:space="preserve">using </w:t>
      </w:r>
      <w:r w:rsidR="0038428C" w:rsidRPr="00977582">
        <w:rPr>
          <w:rFonts w:ascii="Book Antiqua" w:hAnsi="Book Antiqua" w:cs="Times New Roman"/>
          <w:color w:val="000000" w:themeColor="text1"/>
        </w:rPr>
        <w:t xml:space="preserve">the Truven Health Analytics </w:t>
      </w:r>
      <w:r w:rsidRPr="00977582">
        <w:rPr>
          <w:rFonts w:ascii="Book Antiqua" w:hAnsi="Book Antiqua" w:cs="Times New Roman"/>
          <w:color w:val="000000" w:themeColor="text1"/>
        </w:rPr>
        <w:t>MarketScan</w:t>
      </w:r>
      <w:r w:rsidRPr="003B5A7D">
        <w:rPr>
          <w:rFonts w:ascii="Book Antiqua" w:hAnsi="Book Antiqua" w:cs="Times New Roman"/>
          <w:color w:val="000000" w:themeColor="text1"/>
          <w:vertAlign w:val="superscript"/>
        </w:rPr>
        <w:t>®</w:t>
      </w:r>
      <w:r w:rsidRPr="00977582">
        <w:rPr>
          <w:rFonts w:ascii="Book Antiqua" w:hAnsi="Book Antiqua" w:cs="Times New Roman"/>
          <w:color w:val="000000" w:themeColor="text1"/>
        </w:rPr>
        <w:t xml:space="preserve"> </w:t>
      </w:r>
      <w:r w:rsidR="0038428C" w:rsidRPr="00977582">
        <w:rPr>
          <w:rFonts w:ascii="Book Antiqua" w:hAnsi="Book Antiqua" w:cs="Times New Roman"/>
          <w:color w:val="000000" w:themeColor="text1"/>
        </w:rPr>
        <w:t>Database</w:t>
      </w:r>
      <w:r w:rsidR="00086C4A" w:rsidRPr="00977582">
        <w:rPr>
          <w:rFonts w:ascii="Book Antiqua" w:hAnsi="Book Antiqua" w:cs="Times New Roman"/>
          <w:color w:val="000000" w:themeColor="text1"/>
        </w:rPr>
        <w:t>, using data between January 1, 2002 and December 31, 2012</w:t>
      </w:r>
      <w:r w:rsidR="00EA58FC" w:rsidRPr="00977582">
        <w:rPr>
          <w:rFonts w:ascii="Book Antiqua" w:hAnsi="Book Antiqua" w:cs="Times New Roman"/>
          <w:color w:val="000000" w:themeColor="text1"/>
        </w:rPr>
        <w:t xml:space="preserve">. </w:t>
      </w:r>
      <w:r w:rsidR="00616126" w:rsidRPr="00977582">
        <w:rPr>
          <w:rFonts w:ascii="Book Antiqua" w:hAnsi="Book Antiqua" w:cs="Times New Roman"/>
          <w:color w:val="000000" w:themeColor="text1"/>
        </w:rPr>
        <w:t>In 2007, this</w:t>
      </w:r>
      <w:r w:rsidR="00D50D8F" w:rsidRPr="00977582">
        <w:rPr>
          <w:rFonts w:ascii="Book Antiqua" w:hAnsi="Book Antiqua" w:cs="Times New Roman"/>
          <w:color w:val="000000" w:themeColor="text1"/>
        </w:rPr>
        <w:t xml:space="preserve"> claims</w:t>
      </w:r>
      <w:r w:rsidR="00616126" w:rsidRPr="00977582">
        <w:rPr>
          <w:rFonts w:ascii="Book Antiqua" w:hAnsi="Book Antiqua" w:cs="Times New Roman"/>
          <w:color w:val="000000" w:themeColor="text1"/>
        </w:rPr>
        <w:t xml:space="preserve"> database contained data for approximately 23 million employer-insured </w:t>
      </w:r>
      <w:r w:rsidR="000F3103" w:rsidRPr="00977582">
        <w:rPr>
          <w:rFonts w:ascii="Book Antiqua" w:hAnsi="Book Antiqua" w:cs="Times New Roman"/>
          <w:color w:val="000000" w:themeColor="text1"/>
        </w:rPr>
        <w:t>beneficiaries</w:t>
      </w:r>
      <w:r w:rsidR="00EA58FC" w:rsidRPr="00977582">
        <w:rPr>
          <w:rFonts w:ascii="Book Antiqua" w:hAnsi="Book Antiqua" w:cs="Times New Roman"/>
          <w:color w:val="000000" w:themeColor="text1"/>
        </w:rPr>
        <w:t xml:space="preserve"> in the U</w:t>
      </w:r>
      <w:r w:rsidR="003B5A7D">
        <w:rPr>
          <w:rFonts w:ascii="Book Antiqua" w:hAnsi="Book Antiqua" w:cs="Times New Roman" w:hint="eastAsia"/>
          <w:color w:val="000000" w:themeColor="text1"/>
          <w:lang w:eastAsia="zh-CN"/>
        </w:rPr>
        <w:t>nited States</w:t>
      </w:r>
      <w:r w:rsidR="00EA58FC" w:rsidRPr="00977582">
        <w:rPr>
          <w:rFonts w:ascii="Book Antiqua" w:hAnsi="Book Antiqua" w:cs="Times New Roman"/>
          <w:color w:val="000000" w:themeColor="text1"/>
        </w:rPr>
        <w:t>.</w:t>
      </w:r>
      <w:r w:rsidR="000F3103" w:rsidRPr="00977582">
        <w:rPr>
          <w:rFonts w:ascii="Book Antiqua" w:hAnsi="Book Antiqua" w:cs="Times New Roman"/>
          <w:color w:val="000000" w:themeColor="text1"/>
        </w:rPr>
        <w:t xml:space="preserve"> </w:t>
      </w:r>
      <w:r w:rsidR="00ED159C" w:rsidRPr="00977582">
        <w:rPr>
          <w:rFonts w:ascii="Book Antiqua" w:hAnsi="Book Antiqua" w:cs="Times New Roman"/>
          <w:color w:val="000000" w:themeColor="text1"/>
        </w:rPr>
        <w:t>The database</w:t>
      </w:r>
      <w:r w:rsidR="00D50D8F" w:rsidRPr="00977582">
        <w:rPr>
          <w:rFonts w:ascii="Book Antiqua" w:hAnsi="Book Antiqua" w:cs="Times New Roman"/>
          <w:color w:val="000000" w:themeColor="text1"/>
        </w:rPr>
        <w:t xml:space="preserve"> </w:t>
      </w:r>
      <w:r w:rsidR="008770B5" w:rsidRPr="00977582">
        <w:rPr>
          <w:rFonts w:ascii="Book Antiqua" w:hAnsi="Book Antiqua" w:cs="Times New Roman"/>
          <w:color w:val="000000" w:themeColor="text1"/>
        </w:rPr>
        <w:t xml:space="preserve">includes patient-level medical and pharmacy claims submitted by large employers, managed care organizations, hospitals, and Medicare </w:t>
      </w:r>
      <w:r w:rsidR="003E72FA" w:rsidRPr="00977582">
        <w:rPr>
          <w:rFonts w:ascii="Book Antiqua" w:hAnsi="Book Antiqua" w:cs="Times New Roman"/>
          <w:color w:val="000000" w:themeColor="text1"/>
        </w:rPr>
        <w:t>and Medica</w:t>
      </w:r>
      <w:r w:rsidR="00EA58FC" w:rsidRPr="00977582">
        <w:rPr>
          <w:rFonts w:ascii="Book Antiqua" w:hAnsi="Book Antiqua" w:cs="Times New Roman"/>
          <w:color w:val="000000" w:themeColor="text1"/>
        </w:rPr>
        <w:t xml:space="preserve">id programs. </w:t>
      </w:r>
      <w:r w:rsidR="003E72FA" w:rsidRPr="00977582">
        <w:rPr>
          <w:rFonts w:ascii="Book Antiqua" w:hAnsi="Book Antiqua" w:cs="Times New Roman"/>
          <w:color w:val="000000" w:themeColor="text1"/>
        </w:rPr>
        <w:t xml:space="preserve">It contains longitudinal records of reimbursable services by insurance, including </w:t>
      </w:r>
      <w:r w:rsidR="00616126" w:rsidRPr="00977582">
        <w:rPr>
          <w:rFonts w:ascii="Book Antiqua" w:hAnsi="Book Antiqua" w:cs="Times New Roman"/>
          <w:color w:val="000000" w:themeColor="text1"/>
        </w:rPr>
        <w:t>medical claims (</w:t>
      </w:r>
      <w:r w:rsidR="003E72FA" w:rsidRPr="00977582">
        <w:rPr>
          <w:rFonts w:ascii="Book Antiqua" w:hAnsi="Book Antiqua" w:cs="Times New Roman"/>
          <w:color w:val="000000" w:themeColor="text1"/>
        </w:rPr>
        <w:t>hospital stays, outpatient visits, emergency department visits, home care services, laboratory and imaging services</w:t>
      </w:r>
      <w:r w:rsidR="00616126" w:rsidRPr="00977582">
        <w:rPr>
          <w:rFonts w:ascii="Book Antiqua" w:hAnsi="Book Antiqua" w:cs="Times New Roman"/>
          <w:color w:val="000000" w:themeColor="text1"/>
        </w:rPr>
        <w:t>) and pharmacy claims (</w:t>
      </w:r>
      <w:r w:rsidR="003E72FA" w:rsidRPr="00977582">
        <w:rPr>
          <w:rFonts w:ascii="Book Antiqua" w:hAnsi="Book Antiqua" w:cs="Times New Roman"/>
          <w:color w:val="000000" w:themeColor="text1"/>
        </w:rPr>
        <w:t>outpatient prescription drug claims</w:t>
      </w:r>
      <w:r w:rsidR="00616126" w:rsidRPr="00977582">
        <w:rPr>
          <w:rFonts w:ascii="Book Antiqua" w:hAnsi="Book Antiqua" w:cs="Times New Roman"/>
          <w:color w:val="000000" w:themeColor="text1"/>
        </w:rPr>
        <w:t>)</w:t>
      </w:r>
      <w:r w:rsidR="00EA58FC" w:rsidRPr="00977582">
        <w:rPr>
          <w:rFonts w:ascii="Book Antiqua" w:hAnsi="Book Antiqua" w:cs="Times New Roman"/>
          <w:color w:val="000000" w:themeColor="text1"/>
        </w:rPr>
        <w:t xml:space="preserve">. </w:t>
      </w:r>
      <w:r w:rsidR="00616126" w:rsidRPr="00977582">
        <w:rPr>
          <w:rFonts w:ascii="Book Antiqua" w:hAnsi="Book Antiqua" w:cs="Times New Roman"/>
          <w:color w:val="000000" w:themeColor="text1"/>
        </w:rPr>
        <w:t>Claims include information on each physician visit, medical procedure, hospitalization, drugs dispensed, dates of service, number of days of medication supplied, test performed, and complete payment information</w:t>
      </w:r>
      <w:r w:rsidR="00EA58FC" w:rsidRPr="00977582">
        <w:rPr>
          <w:rFonts w:ascii="Book Antiqua" w:hAnsi="Book Antiqua" w:cs="Times New Roman"/>
          <w:color w:val="000000" w:themeColor="text1"/>
        </w:rPr>
        <w:t xml:space="preserve">. </w:t>
      </w:r>
      <w:r w:rsidR="00616126" w:rsidRPr="00977582">
        <w:rPr>
          <w:rFonts w:ascii="Book Antiqua" w:hAnsi="Book Antiqua" w:cs="Times New Roman"/>
          <w:color w:val="000000" w:themeColor="text1"/>
        </w:rPr>
        <w:t xml:space="preserve">Each medical claim has a principal </w:t>
      </w:r>
      <w:r w:rsidR="00D50D8F" w:rsidRPr="00977582">
        <w:rPr>
          <w:rFonts w:ascii="Book Antiqua" w:hAnsi="Book Antiqua" w:cs="Times New Roman"/>
          <w:color w:val="000000" w:themeColor="text1"/>
        </w:rPr>
        <w:t>diagnosis and secondary diagnose</w:t>
      </w:r>
      <w:r w:rsidR="00EA58FC" w:rsidRPr="00977582">
        <w:rPr>
          <w:rFonts w:ascii="Book Antiqua" w:hAnsi="Book Antiqua" w:cs="Times New Roman"/>
          <w:color w:val="000000" w:themeColor="text1"/>
        </w:rPr>
        <w:t xml:space="preserve">s codes associated with it. </w:t>
      </w:r>
      <w:r w:rsidR="00616126" w:rsidRPr="00977582">
        <w:rPr>
          <w:rFonts w:ascii="Book Antiqua" w:hAnsi="Book Antiqua" w:cs="Times New Roman"/>
          <w:color w:val="000000" w:themeColor="text1"/>
        </w:rPr>
        <w:t>Available p</w:t>
      </w:r>
      <w:r w:rsidR="003E72FA" w:rsidRPr="00977582">
        <w:rPr>
          <w:rFonts w:ascii="Book Antiqua" w:hAnsi="Book Antiqua" w:cs="Times New Roman"/>
          <w:color w:val="000000" w:themeColor="text1"/>
        </w:rPr>
        <w:t>atient demographic</w:t>
      </w:r>
      <w:r w:rsidR="00616126" w:rsidRPr="00977582">
        <w:rPr>
          <w:rFonts w:ascii="Book Antiqua" w:hAnsi="Book Antiqua" w:cs="Times New Roman"/>
          <w:color w:val="000000" w:themeColor="text1"/>
        </w:rPr>
        <w:t xml:space="preserve"> information includes age, gender, </w:t>
      </w:r>
      <w:r w:rsidR="00D50D8F" w:rsidRPr="00977582">
        <w:rPr>
          <w:rFonts w:ascii="Book Antiqua" w:hAnsi="Book Antiqua" w:cs="Times New Roman"/>
          <w:color w:val="000000" w:themeColor="text1"/>
        </w:rPr>
        <w:t xml:space="preserve">and </w:t>
      </w:r>
      <w:r w:rsidR="00EA58FC" w:rsidRPr="00977582">
        <w:rPr>
          <w:rFonts w:ascii="Book Antiqua" w:hAnsi="Book Antiqua" w:cs="Times New Roman"/>
          <w:color w:val="000000" w:themeColor="text1"/>
        </w:rPr>
        <w:t xml:space="preserve">geographic region. </w:t>
      </w:r>
      <w:r w:rsidR="00616126" w:rsidRPr="00977582">
        <w:rPr>
          <w:rFonts w:ascii="Book Antiqua" w:hAnsi="Book Antiqua" w:cs="Times New Roman"/>
          <w:color w:val="000000" w:themeColor="text1"/>
        </w:rPr>
        <w:t xml:space="preserve">The database also includes </w:t>
      </w:r>
      <w:r w:rsidR="003E72FA" w:rsidRPr="00977582">
        <w:rPr>
          <w:rFonts w:ascii="Book Antiqua" w:hAnsi="Book Antiqua" w:cs="Times New Roman"/>
          <w:color w:val="000000" w:themeColor="text1"/>
        </w:rPr>
        <w:t>enrollment in</w:t>
      </w:r>
      <w:r w:rsidR="00616126" w:rsidRPr="00977582">
        <w:rPr>
          <w:rFonts w:ascii="Book Antiqua" w:hAnsi="Book Antiqua" w:cs="Times New Roman"/>
          <w:color w:val="000000" w:themeColor="text1"/>
        </w:rPr>
        <w:t>formation such as date of</w:t>
      </w:r>
      <w:r w:rsidR="00EA58FC" w:rsidRPr="00977582">
        <w:rPr>
          <w:rFonts w:ascii="Book Antiqua" w:hAnsi="Book Antiqua" w:cs="Times New Roman"/>
          <w:color w:val="000000" w:themeColor="text1"/>
        </w:rPr>
        <w:t xml:space="preserve"> enrollment and disenrollment. </w:t>
      </w:r>
      <w:r w:rsidR="000F3103" w:rsidRPr="00977582">
        <w:rPr>
          <w:rFonts w:ascii="Book Antiqua" w:hAnsi="Book Antiqua" w:cs="Times New Roman"/>
          <w:color w:val="000000" w:themeColor="text1"/>
        </w:rPr>
        <w:t>The database is fully compliant with the Health Insurance Portability and Accountability Act (HIPAA) and meets the criter</w:t>
      </w:r>
      <w:r w:rsidR="00EA58FC" w:rsidRPr="00977582">
        <w:rPr>
          <w:rFonts w:ascii="Book Antiqua" w:hAnsi="Book Antiqua" w:cs="Times New Roman"/>
          <w:color w:val="000000" w:themeColor="text1"/>
        </w:rPr>
        <w:t xml:space="preserve">ia for a limited-use dataset. </w:t>
      </w:r>
      <w:r w:rsidR="000F3103" w:rsidRPr="00977582">
        <w:rPr>
          <w:rFonts w:ascii="Book Antiqua" w:hAnsi="Book Antiqua" w:cs="Times New Roman"/>
          <w:color w:val="000000" w:themeColor="text1"/>
        </w:rPr>
        <w:t>Since the patient and provider data included in this analysis were fully de-identified, this study was considered exempt from approval by the Institutional Review Board</w:t>
      </w:r>
      <w:r w:rsidR="00AA0579" w:rsidRPr="00977582">
        <w:rPr>
          <w:rFonts w:ascii="Book Antiqua" w:hAnsi="Book Antiqua" w:cs="Times New Roman"/>
          <w:color w:val="000000" w:themeColor="text1"/>
        </w:rPr>
        <w:t>.</w:t>
      </w:r>
    </w:p>
    <w:p w14:paraId="19398D94" w14:textId="77777777" w:rsidR="00390374" w:rsidRDefault="00390374" w:rsidP="0041646E">
      <w:pPr>
        <w:adjustRightInd w:val="0"/>
        <w:snapToGrid w:val="0"/>
        <w:spacing w:after="0" w:line="360" w:lineRule="auto"/>
        <w:jc w:val="both"/>
        <w:rPr>
          <w:rFonts w:ascii="Book Antiqua" w:hAnsi="Book Antiqua" w:cs="Times New Roman"/>
          <w:b/>
          <w:color w:val="000000" w:themeColor="text1"/>
          <w:lang w:eastAsia="zh-CN"/>
        </w:rPr>
      </w:pPr>
    </w:p>
    <w:p w14:paraId="72E54C5F" w14:textId="2170B9B5" w:rsidR="008770B5" w:rsidRPr="00390374" w:rsidRDefault="00290AAC" w:rsidP="0041646E">
      <w:pPr>
        <w:adjustRightInd w:val="0"/>
        <w:snapToGrid w:val="0"/>
        <w:spacing w:after="0" w:line="360" w:lineRule="auto"/>
        <w:jc w:val="both"/>
        <w:rPr>
          <w:rFonts w:ascii="Book Antiqua" w:hAnsi="Book Antiqua" w:cs="Times New Roman"/>
          <w:b/>
          <w:i/>
          <w:color w:val="000000" w:themeColor="text1"/>
        </w:rPr>
      </w:pPr>
      <w:r w:rsidRPr="00390374">
        <w:rPr>
          <w:rFonts w:ascii="Book Antiqua" w:hAnsi="Book Antiqua" w:cs="Times New Roman"/>
          <w:b/>
          <w:i/>
          <w:color w:val="000000" w:themeColor="text1"/>
        </w:rPr>
        <w:t>Coho</w:t>
      </w:r>
      <w:r w:rsidR="00390374" w:rsidRPr="00390374">
        <w:rPr>
          <w:rFonts w:ascii="Book Antiqua" w:hAnsi="Book Antiqua" w:cs="Times New Roman"/>
          <w:b/>
          <w:i/>
          <w:color w:val="000000" w:themeColor="text1"/>
        </w:rPr>
        <w:t>rt selection</w:t>
      </w:r>
    </w:p>
    <w:p w14:paraId="72E54C60" w14:textId="754BF0CB" w:rsidR="00B8652A" w:rsidRPr="00977582" w:rsidRDefault="00290AAC"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The study cohort comprised new</w:t>
      </w:r>
      <w:r w:rsidR="00EA58FC" w:rsidRPr="00977582">
        <w:rPr>
          <w:rFonts w:ascii="Book Antiqua" w:hAnsi="Book Antiqua" w:cs="Times New Roman"/>
          <w:color w:val="000000" w:themeColor="text1"/>
        </w:rPr>
        <w:t xml:space="preserve">ly diagnosed patients with CS. </w:t>
      </w:r>
      <w:r w:rsidRPr="00977582">
        <w:rPr>
          <w:rFonts w:ascii="Book Antiqua" w:hAnsi="Book Antiqua" w:cs="Times New Roman"/>
          <w:color w:val="000000" w:themeColor="text1"/>
        </w:rPr>
        <w:t>Patients with a diagnosis of</w:t>
      </w:r>
      <w:r w:rsidR="00BF1CF4" w:rsidRPr="00977582">
        <w:rPr>
          <w:rFonts w:ascii="Book Antiqua" w:hAnsi="Book Antiqua" w:cs="Times New Roman"/>
          <w:color w:val="000000" w:themeColor="text1"/>
        </w:rPr>
        <w:t xml:space="preserve"> CS </w:t>
      </w:r>
      <w:r w:rsidR="00730837" w:rsidRPr="00977582">
        <w:rPr>
          <w:rFonts w:ascii="Book Antiqua" w:hAnsi="Book Antiqua" w:cs="Times New Roman"/>
          <w:color w:val="000000" w:themeColor="text1"/>
        </w:rPr>
        <w:t xml:space="preserve">were </w:t>
      </w:r>
      <w:r w:rsidRPr="00977582">
        <w:rPr>
          <w:rFonts w:ascii="Book Antiqua" w:hAnsi="Book Antiqua" w:cs="Times New Roman"/>
          <w:color w:val="000000" w:themeColor="text1"/>
        </w:rPr>
        <w:t>i</w:t>
      </w:r>
      <w:r w:rsidR="00730837" w:rsidRPr="00977582">
        <w:rPr>
          <w:rFonts w:ascii="Book Antiqua" w:hAnsi="Book Antiqua" w:cs="Times New Roman"/>
          <w:color w:val="000000" w:themeColor="text1"/>
        </w:rPr>
        <w:t>de</w:t>
      </w:r>
      <w:r w:rsidRPr="00977582">
        <w:rPr>
          <w:rFonts w:ascii="Book Antiqua" w:hAnsi="Book Antiqua" w:cs="Times New Roman"/>
          <w:color w:val="000000" w:themeColor="text1"/>
        </w:rPr>
        <w:t xml:space="preserve">ntified </w:t>
      </w:r>
      <w:r w:rsidR="00B77B52" w:rsidRPr="00977582">
        <w:rPr>
          <w:rFonts w:ascii="Book Antiqua" w:hAnsi="Book Antiqua" w:cs="Times New Roman"/>
          <w:color w:val="000000" w:themeColor="text1"/>
        </w:rPr>
        <w:t xml:space="preserve">if they had a </w:t>
      </w:r>
      <w:r w:rsidRPr="00977582">
        <w:rPr>
          <w:rFonts w:ascii="Book Antiqua" w:hAnsi="Book Antiqua" w:cs="Times New Roman"/>
          <w:color w:val="000000" w:themeColor="text1"/>
        </w:rPr>
        <w:t xml:space="preserve">medical claim </w:t>
      </w:r>
      <w:r w:rsidR="00BF1CF4" w:rsidRPr="00977582">
        <w:rPr>
          <w:rFonts w:ascii="Book Antiqua" w:hAnsi="Book Antiqua" w:cs="Times New Roman"/>
          <w:color w:val="000000" w:themeColor="text1"/>
        </w:rPr>
        <w:t xml:space="preserve">for CS </w:t>
      </w:r>
      <w:r w:rsidR="00B50F67">
        <w:rPr>
          <w:rFonts w:ascii="Book Antiqua" w:hAnsi="Book Antiqua" w:cs="Times New Roman" w:hint="eastAsia"/>
          <w:color w:val="000000" w:themeColor="text1"/>
          <w:lang w:eastAsia="zh-CN"/>
        </w:rPr>
        <w:t>[</w:t>
      </w:r>
      <w:r w:rsidR="00BF1CF4" w:rsidRPr="00977582">
        <w:rPr>
          <w:rFonts w:ascii="Book Antiqua" w:hAnsi="Book Antiqua" w:cs="Times New Roman"/>
          <w:color w:val="000000" w:themeColor="text1"/>
        </w:rPr>
        <w:t xml:space="preserve">International Classification of Diseases, Ninth Revision, Clinical Modification </w:t>
      </w:r>
      <w:r w:rsidR="00B50F67">
        <w:rPr>
          <w:rFonts w:ascii="Book Antiqua" w:hAnsi="Book Antiqua" w:cs="Times New Roman" w:hint="eastAsia"/>
          <w:color w:val="000000" w:themeColor="text1"/>
          <w:lang w:eastAsia="zh-CN"/>
        </w:rPr>
        <w:t>(</w:t>
      </w:r>
      <w:r w:rsidR="00BF1CF4" w:rsidRPr="00977582">
        <w:rPr>
          <w:rFonts w:ascii="Book Antiqua" w:hAnsi="Book Antiqua" w:cs="Times New Roman"/>
          <w:color w:val="000000" w:themeColor="text1"/>
        </w:rPr>
        <w:t>ICD-9-CM</w:t>
      </w:r>
      <w:r w:rsidR="00B50F67">
        <w:rPr>
          <w:rFonts w:ascii="Book Antiqua" w:hAnsi="Book Antiqua" w:cs="Times New Roman" w:hint="eastAsia"/>
          <w:color w:val="000000" w:themeColor="text1"/>
          <w:lang w:eastAsia="zh-CN"/>
        </w:rPr>
        <w:t>)</w:t>
      </w:r>
      <w:r w:rsidR="00BF1CF4" w:rsidRPr="00977582">
        <w:rPr>
          <w:rFonts w:ascii="Book Antiqua" w:hAnsi="Book Antiqua" w:cs="Times New Roman"/>
          <w:color w:val="000000" w:themeColor="text1"/>
        </w:rPr>
        <w:t xml:space="preserve"> code 259.2</w:t>
      </w:r>
      <w:r w:rsidR="00B50F67">
        <w:rPr>
          <w:rFonts w:ascii="Book Antiqua" w:hAnsi="Book Antiqua" w:cs="Times New Roman" w:hint="eastAsia"/>
          <w:color w:val="000000" w:themeColor="text1"/>
          <w:lang w:eastAsia="zh-CN"/>
        </w:rPr>
        <w:t>]</w:t>
      </w:r>
      <w:r w:rsidR="00901A58" w:rsidRPr="00977582">
        <w:rPr>
          <w:rFonts w:ascii="Book Antiqua" w:hAnsi="Book Antiqua" w:cs="Times New Roman"/>
          <w:color w:val="000000" w:themeColor="text1"/>
        </w:rPr>
        <w:t xml:space="preserve"> between January 1, 2003 and December 31, 2011 </w:t>
      </w:r>
      <w:r w:rsidR="00C94451">
        <w:rPr>
          <w:rFonts w:ascii="Book Antiqua" w:hAnsi="Book Antiqua" w:cs="Times New Roman" w:hint="eastAsia"/>
          <w:color w:val="000000" w:themeColor="text1"/>
          <w:lang w:eastAsia="zh-CN"/>
        </w:rPr>
        <w:t>[</w:t>
      </w:r>
      <w:r w:rsidR="00901A58" w:rsidRPr="00977582">
        <w:rPr>
          <w:rFonts w:ascii="Book Antiqua" w:hAnsi="Book Antiqua" w:cs="Times New Roman"/>
          <w:color w:val="000000" w:themeColor="text1"/>
        </w:rPr>
        <w:t xml:space="preserve">the identification </w:t>
      </w:r>
      <w:r w:rsidR="00C94451">
        <w:rPr>
          <w:rFonts w:ascii="Book Antiqua" w:hAnsi="Book Antiqua" w:cs="Times New Roman" w:hint="eastAsia"/>
          <w:color w:val="000000" w:themeColor="text1"/>
          <w:lang w:eastAsia="zh-CN"/>
        </w:rPr>
        <w:t>(</w:t>
      </w:r>
      <w:r w:rsidR="00901A58" w:rsidRPr="00977582">
        <w:rPr>
          <w:rFonts w:ascii="Book Antiqua" w:hAnsi="Book Antiqua" w:cs="Times New Roman"/>
          <w:color w:val="000000" w:themeColor="text1"/>
        </w:rPr>
        <w:t>ID</w:t>
      </w:r>
      <w:r w:rsidR="00C94451">
        <w:rPr>
          <w:rFonts w:ascii="Book Antiqua" w:hAnsi="Book Antiqua" w:cs="Times New Roman" w:hint="eastAsia"/>
          <w:color w:val="000000" w:themeColor="text1"/>
          <w:lang w:eastAsia="zh-CN"/>
        </w:rPr>
        <w:t>)</w:t>
      </w:r>
      <w:r w:rsidR="00EA58FC" w:rsidRPr="00977582">
        <w:rPr>
          <w:rFonts w:ascii="Book Antiqua" w:hAnsi="Book Antiqua" w:cs="Times New Roman"/>
          <w:color w:val="000000" w:themeColor="text1"/>
        </w:rPr>
        <w:t xml:space="preserve"> period</w:t>
      </w:r>
      <w:r w:rsidR="00C94451">
        <w:rPr>
          <w:rFonts w:ascii="Book Antiqua" w:hAnsi="Book Antiqua" w:cs="Times New Roman" w:hint="eastAsia"/>
          <w:color w:val="000000" w:themeColor="text1"/>
          <w:lang w:eastAsia="zh-CN"/>
        </w:rPr>
        <w:t>]</w:t>
      </w:r>
      <w:r w:rsidR="00EA58FC" w:rsidRPr="00977582">
        <w:rPr>
          <w:rFonts w:ascii="Book Antiqua" w:hAnsi="Book Antiqua" w:cs="Times New Roman"/>
          <w:color w:val="000000" w:themeColor="text1"/>
          <w:vertAlign w:val="superscript"/>
        </w:rPr>
        <w:t>[9]</w:t>
      </w:r>
      <w:r w:rsidR="00EA58FC" w:rsidRPr="00977582">
        <w:rPr>
          <w:rFonts w:ascii="Book Antiqua" w:hAnsi="Book Antiqua" w:cs="Times New Roman"/>
          <w:color w:val="000000" w:themeColor="text1"/>
        </w:rPr>
        <w:t xml:space="preserve">. </w:t>
      </w:r>
      <w:r w:rsidR="00901A58" w:rsidRPr="00977582">
        <w:rPr>
          <w:rFonts w:ascii="Book Antiqua" w:hAnsi="Book Antiqua" w:cs="Times New Roman"/>
          <w:color w:val="000000" w:themeColor="text1"/>
        </w:rPr>
        <w:t>A single diagnosis code in claims m</w:t>
      </w:r>
      <w:r w:rsidR="00684FE4" w:rsidRPr="00977582">
        <w:rPr>
          <w:rFonts w:ascii="Book Antiqua" w:hAnsi="Book Antiqua" w:cs="Times New Roman"/>
          <w:color w:val="000000" w:themeColor="text1"/>
        </w:rPr>
        <w:t>a</w:t>
      </w:r>
      <w:r w:rsidR="00901A58" w:rsidRPr="00977582">
        <w:rPr>
          <w:rFonts w:ascii="Book Antiqua" w:hAnsi="Book Antiqua" w:cs="Times New Roman"/>
          <w:color w:val="000000" w:themeColor="text1"/>
        </w:rPr>
        <w:t>y represent services pro</w:t>
      </w:r>
      <w:r w:rsidR="00EA58FC" w:rsidRPr="00977582">
        <w:rPr>
          <w:rFonts w:ascii="Book Antiqua" w:hAnsi="Book Antiqua" w:cs="Times New Roman"/>
          <w:color w:val="000000" w:themeColor="text1"/>
        </w:rPr>
        <w:t xml:space="preserve">vided </w:t>
      </w:r>
      <w:r w:rsidR="00EA58FC" w:rsidRPr="00977582">
        <w:rPr>
          <w:rFonts w:ascii="Book Antiqua" w:hAnsi="Book Antiqua" w:cs="Times New Roman"/>
          <w:color w:val="000000" w:themeColor="text1"/>
        </w:rPr>
        <w:lastRenderedPageBreak/>
        <w:t xml:space="preserve">to rule out a diagnosis. </w:t>
      </w:r>
      <w:r w:rsidR="00901A58" w:rsidRPr="00977582">
        <w:rPr>
          <w:rFonts w:ascii="Book Antiqua" w:hAnsi="Book Antiqua" w:cs="Times New Roman"/>
          <w:color w:val="000000" w:themeColor="text1"/>
        </w:rPr>
        <w:t xml:space="preserve">To increase </w:t>
      </w:r>
      <w:r w:rsidR="00684FE4" w:rsidRPr="00977582">
        <w:rPr>
          <w:rFonts w:ascii="Book Antiqua" w:hAnsi="Book Antiqua" w:cs="Times New Roman"/>
          <w:color w:val="000000" w:themeColor="text1"/>
        </w:rPr>
        <w:t>the</w:t>
      </w:r>
      <w:r w:rsidR="00901A58" w:rsidRPr="00977582">
        <w:rPr>
          <w:rFonts w:ascii="Book Antiqua" w:hAnsi="Book Antiqua" w:cs="Times New Roman"/>
          <w:color w:val="000000" w:themeColor="text1"/>
        </w:rPr>
        <w:t xml:space="preserve"> specificity of our cohort selection algorithm, we further required that eligible patients have either </w:t>
      </w:r>
      <w:r w:rsidR="00ED7B55" w:rsidRPr="00977582">
        <w:rPr>
          <w:rFonts w:ascii="Book Antiqua" w:hAnsi="Book Antiqua" w:cs="Times New Roman"/>
          <w:color w:val="000000" w:themeColor="text1"/>
        </w:rPr>
        <w:t xml:space="preserve">at least one additional claim for </w:t>
      </w:r>
      <w:r w:rsidR="00C94451">
        <w:rPr>
          <w:rFonts w:ascii="Book Antiqua" w:hAnsi="Book Antiqua" w:cs="Times New Roman" w:hint="eastAsia"/>
          <w:color w:val="000000" w:themeColor="text1"/>
          <w:lang w:eastAsia="zh-CN"/>
        </w:rPr>
        <w:t>(</w:t>
      </w:r>
      <w:r w:rsidR="00901A58" w:rsidRPr="00977582">
        <w:rPr>
          <w:rFonts w:ascii="Book Antiqua" w:hAnsi="Book Antiqua" w:cs="Times New Roman"/>
          <w:color w:val="000000" w:themeColor="text1"/>
        </w:rPr>
        <w:t xml:space="preserve">1) </w:t>
      </w:r>
      <w:r w:rsidR="00BF1CF4" w:rsidRPr="00977582">
        <w:rPr>
          <w:rFonts w:ascii="Book Antiqua" w:hAnsi="Book Antiqua" w:cs="Times New Roman"/>
          <w:color w:val="000000" w:themeColor="text1"/>
        </w:rPr>
        <w:t>CS</w:t>
      </w:r>
      <w:r w:rsidR="00C94451">
        <w:rPr>
          <w:rFonts w:ascii="Book Antiqua" w:hAnsi="Book Antiqua" w:cs="Times New Roman" w:hint="eastAsia"/>
          <w:color w:val="000000" w:themeColor="text1"/>
          <w:lang w:eastAsia="zh-CN"/>
        </w:rPr>
        <w:t>;</w:t>
      </w:r>
      <w:r w:rsidR="00BF1CF4" w:rsidRPr="00977582">
        <w:rPr>
          <w:rFonts w:ascii="Book Antiqua" w:hAnsi="Book Antiqua" w:cs="Times New Roman"/>
          <w:color w:val="000000" w:themeColor="text1"/>
        </w:rPr>
        <w:t xml:space="preserve"> or </w:t>
      </w:r>
      <w:r w:rsidR="00C94451">
        <w:rPr>
          <w:rFonts w:ascii="Book Antiqua" w:hAnsi="Book Antiqua" w:cs="Times New Roman" w:hint="eastAsia"/>
          <w:color w:val="000000" w:themeColor="text1"/>
          <w:lang w:eastAsia="zh-CN"/>
        </w:rPr>
        <w:t>(</w:t>
      </w:r>
      <w:r w:rsidR="00901A58" w:rsidRPr="00977582">
        <w:rPr>
          <w:rFonts w:ascii="Book Antiqua" w:hAnsi="Book Antiqua" w:cs="Times New Roman"/>
          <w:color w:val="000000" w:themeColor="text1"/>
        </w:rPr>
        <w:t xml:space="preserve">2) </w:t>
      </w:r>
      <w:r w:rsidR="00BF1CF4" w:rsidRPr="00977582">
        <w:rPr>
          <w:rFonts w:ascii="Book Antiqua" w:hAnsi="Book Antiqua" w:cs="Times New Roman"/>
          <w:color w:val="000000" w:themeColor="text1"/>
        </w:rPr>
        <w:t>carcinoid tumors (ICD-9-CM 209.x), in any diagnostic field</w:t>
      </w:r>
      <w:r w:rsidR="00901A58" w:rsidRPr="00977582">
        <w:rPr>
          <w:rFonts w:ascii="Book Antiqua" w:hAnsi="Book Antiqua" w:cs="Times New Roman"/>
          <w:color w:val="000000" w:themeColor="text1"/>
        </w:rPr>
        <w:t xml:space="preserve"> during the ID period. </w:t>
      </w:r>
      <w:r w:rsidR="00E32ED4" w:rsidRPr="00977582">
        <w:rPr>
          <w:rFonts w:ascii="Book Antiqua" w:hAnsi="Book Antiqua" w:cs="Times New Roman"/>
          <w:color w:val="000000" w:themeColor="text1"/>
        </w:rPr>
        <w:t>The date of the first claim with a diagnosis code for CS in the ID period was defined as t</w:t>
      </w:r>
      <w:r w:rsidR="00BF1CF4" w:rsidRPr="00977582">
        <w:rPr>
          <w:rFonts w:ascii="Book Antiqua" w:hAnsi="Book Antiqua" w:cs="Times New Roman"/>
          <w:color w:val="000000" w:themeColor="text1"/>
        </w:rPr>
        <w:t>he index date</w:t>
      </w:r>
      <w:r w:rsidR="00E32ED4"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060EE3" w:rsidRPr="00977582">
        <w:rPr>
          <w:rFonts w:ascii="Book Antiqua" w:hAnsi="Book Antiqua" w:cs="Times New Roman"/>
          <w:color w:val="000000" w:themeColor="text1"/>
        </w:rPr>
        <w:t xml:space="preserve">To ensure the study population only included newly diagnosed cases of CS, </w:t>
      </w:r>
      <w:r w:rsidR="00BF1CF4" w:rsidRPr="00977582">
        <w:rPr>
          <w:rFonts w:ascii="Book Antiqua" w:hAnsi="Book Antiqua" w:cs="Times New Roman"/>
          <w:color w:val="000000" w:themeColor="text1"/>
        </w:rPr>
        <w:t xml:space="preserve">patients were </w:t>
      </w:r>
      <w:r w:rsidR="00730837" w:rsidRPr="00977582">
        <w:rPr>
          <w:rFonts w:ascii="Book Antiqua" w:hAnsi="Book Antiqua" w:cs="Times New Roman"/>
          <w:color w:val="000000" w:themeColor="text1"/>
        </w:rPr>
        <w:t xml:space="preserve">required to have no </w:t>
      </w:r>
      <w:r w:rsidR="00901A58" w:rsidRPr="00977582">
        <w:rPr>
          <w:rFonts w:ascii="Book Antiqua" w:hAnsi="Book Antiqua" w:cs="Times New Roman"/>
          <w:color w:val="000000" w:themeColor="text1"/>
        </w:rPr>
        <w:t xml:space="preserve">claims with a diagnosis code for </w:t>
      </w:r>
      <w:r w:rsidR="005401C4" w:rsidRPr="00977582">
        <w:rPr>
          <w:rFonts w:ascii="Book Antiqua" w:hAnsi="Book Antiqua" w:cs="Times New Roman"/>
          <w:color w:val="000000" w:themeColor="text1"/>
        </w:rPr>
        <w:t>CS</w:t>
      </w:r>
      <w:r w:rsidR="00730837" w:rsidRPr="00977582">
        <w:rPr>
          <w:rFonts w:ascii="Book Antiqua" w:hAnsi="Book Antiqua" w:cs="Times New Roman"/>
          <w:color w:val="000000" w:themeColor="text1"/>
        </w:rPr>
        <w:t xml:space="preserve"> </w:t>
      </w:r>
      <w:r w:rsidR="00901A58" w:rsidRPr="00977582">
        <w:rPr>
          <w:rFonts w:ascii="Book Antiqua" w:hAnsi="Book Antiqua" w:cs="Times New Roman"/>
          <w:color w:val="000000" w:themeColor="text1"/>
        </w:rPr>
        <w:t>during the</w:t>
      </w:r>
      <w:r w:rsidR="00730837" w:rsidRPr="00977582">
        <w:rPr>
          <w:rFonts w:ascii="Book Antiqua" w:hAnsi="Book Antiqua" w:cs="Times New Roman"/>
          <w:color w:val="000000" w:themeColor="text1"/>
        </w:rPr>
        <w:t xml:space="preserve"> year prior to the index date (disease</w:t>
      </w:r>
      <w:r w:rsidR="005401C4" w:rsidRPr="00977582">
        <w:rPr>
          <w:rFonts w:ascii="Book Antiqua" w:hAnsi="Book Antiqua" w:cs="Times New Roman"/>
          <w:color w:val="000000" w:themeColor="text1"/>
        </w:rPr>
        <w:t>-</w:t>
      </w:r>
      <w:r w:rsidR="00730837" w:rsidRPr="00977582">
        <w:rPr>
          <w:rFonts w:ascii="Book Antiqua" w:hAnsi="Book Antiqua" w:cs="Times New Roman"/>
          <w:color w:val="000000" w:themeColor="text1"/>
        </w:rPr>
        <w:t>free period)</w:t>
      </w:r>
      <w:r w:rsidR="00060EE3"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E32ED4" w:rsidRPr="00977582">
        <w:rPr>
          <w:rFonts w:ascii="Book Antiqua" w:hAnsi="Book Antiqua" w:cs="Times New Roman"/>
          <w:color w:val="000000" w:themeColor="text1"/>
        </w:rPr>
        <w:t xml:space="preserve">All </w:t>
      </w:r>
      <w:r w:rsidR="00684FE4" w:rsidRPr="00977582">
        <w:rPr>
          <w:rFonts w:ascii="Book Antiqua" w:hAnsi="Book Antiqua" w:cs="Times New Roman"/>
          <w:color w:val="000000" w:themeColor="text1"/>
        </w:rPr>
        <w:t>p</w:t>
      </w:r>
      <w:r w:rsidR="00060EE3" w:rsidRPr="00977582">
        <w:rPr>
          <w:rFonts w:ascii="Book Antiqua" w:hAnsi="Book Antiqua" w:cs="Times New Roman"/>
          <w:color w:val="000000" w:themeColor="text1"/>
        </w:rPr>
        <w:t xml:space="preserve">atients </w:t>
      </w:r>
      <w:r w:rsidR="00730837" w:rsidRPr="00977582">
        <w:rPr>
          <w:rFonts w:ascii="Book Antiqua" w:hAnsi="Book Antiqua" w:cs="Times New Roman"/>
          <w:color w:val="000000" w:themeColor="text1"/>
        </w:rPr>
        <w:t xml:space="preserve">were followed for </w:t>
      </w:r>
      <w:r w:rsidR="008E37C4" w:rsidRPr="00977582">
        <w:rPr>
          <w:rFonts w:ascii="Book Antiqua" w:hAnsi="Book Antiqua" w:cs="Times New Roman"/>
          <w:color w:val="000000" w:themeColor="text1"/>
        </w:rPr>
        <w:t>one</w:t>
      </w:r>
      <w:r w:rsidR="00730837" w:rsidRPr="00977582">
        <w:rPr>
          <w:rFonts w:ascii="Book Antiqua" w:hAnsi="Book Antiqua" w:cs="Times New Roman"/>
          <w:color w:val="000000" w:themeColor="text1"/>
        </w:rPr>
        <w:t xml:space="preserve"> year</w:t>
      </w:r>
      <w:r w:rsidR="00E32ED4" w:rsidRPr="00977582">
        <w:rPr>
          <w:rFonts w:ascii="Book Antiqua" w:hAnsi="Book Antiqua" w:cs="Times New Roman"/>
          <w:color w:val="000000" w:themeColor="text1"/>
        </w:rPr>
        <w:t xml:space="preserve"> after the index date</w:t>
      </w:r>
      <w:r w:rsidR="00ED7B55" w:rsidRPr="00977582">
        <w:rPr>
          <w:rFonts w:ascii="Book Antiqua" w:hAnsi="Book Antiqua" w:cs="Times New Roman"/>
          <w:color w:val="000000" w:themeColor="text1"/>
        </w:rPr>
        <w:t xml:space="preserve"> (</w:t>
      </w:r>
      <w:r w:rsidR="00391999" w:rsidRPr="00977582">
        <w:rPr>
          <w:rFonts w:ascii="Book Antiqua" w:hAnsi="Book Antiqua" w:cs="Times New Roman"/>
          <w:color w:val="000000" w:themeColor="text1"/>
        </w:rPr>
        <w:t>study</w:t>
      </w:r>
      <w:r w:rsidR="00ED7B55" w:rsidRPr="00977582">
        <w:rPr>
          <w:rFonts w:ascii="Book Antiqua" w:hAnsi="Book Antiqua" w:cs="Times New Roman"/>
          <w:color w:val="000000" w:themeColor="text1"/>
        </w:rPr>
        <w:t xml:space="preserve"> period)</w:t>
      </w:r>
      <w:r w:rsidR="00730837"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E32ED4" w:rsidRPr="00977582">
        <w:rPr>
          <w:rFonts w:ascii="Book Antiqua" w:hAnsi="Book Antiqua" w:cs="Times New Roman"/>
          <w:color w:val="000000" w:themeColor="text1"/>
        </w:rPr>
        <w:t>Patients were</w:t>
      </w:r>
      <w:r w:rsidR="00BF1CF4" w:rsidRPr="00977582">
        <w:rPr>
          <w:rFonts w:ascii="Book Antiqua" w:hAnsi="Book Antiqua" w:cs="Times New Roman"/>
          <w:color w:val="000000" w:themeColor="text1"/>
        </w:rPr>
        <w:t xml:space="preserve"> excluded </w:t>
      </w:r>
      <w:r w:rsidR="00535D0F" w:rsidRPr="00977582">
        <w:rPr>
          <w:rFonts w:ascii="Book Antiqua" w:hAnsi="Book Antiqua" w:cs="Times New Roman"/>
          <w:color w:val="000000" w:themeColor="text1"/>
        </w:rPr>
        <w:t xml:space="preserve">if they </w:t>
      </w:r>
      <w:r w:rsidR="00BF1CF4" w:rsidRPr="00977582">
        <w:rPr>
          <w:rFonts w:ascii="Book Antiqua" w:hAnsi="Book Antiqua" w:cs="Times New Roman"/>
          <w:color w:val="000000" w:themeColor="text1"/>
        </w:rPr>
        <w:t xml:space="preserve">were not continuously enrolled </w:t>
      </w:r>
      <w:r w:rsidR="00902335" w:rsidRPr="00977582">
        <w:rPr>
          <w:rFonts w:ascii="Book Antiqua" w:hAnsi="Book Antiqua" w:cs="Times New Roman"/>
          <w:color w:val="000000" w:themeColor="text1"/>
        </w:rPr>
        <w:t xml:space="preserve">both </w:t>
      </w:r>
      <w:r w:rsidR="00BF1CF4" w:rsidRPr="00977582">
        <w:rPr>
          <w:rFonts w:ascii="Book Antiqua" w:hAnsi="Book Antiqua" w:cs="Times New Roman"/>
          <w:color w:val="000000" w:themeColor="text1"/>
        </w:rPr>
        <w:t xml:space="preserve">during the </w:t>
      </w:r>
      <w:r w:rsidR="00902335" w:rsidRPr="00977582">
        <w:rPr>
          <w:rFonts w:ascii="Book Antiqua" w:hAnsi="Book Antiqua" w:cs="Times New Roman"/>
          <w:color w:val="000000" w:themeColor="text1"/>
        </w:rPr>
        <w:t>disease-free</w:t>
      </w:r>
      <w:r w:rsidR="00BF1CF4" w:rsidRPr="00977582">
        <w:rPr>
          <w:rFonts w:ascii="Book Antiqua" w:hAnsi="Book Antiqua" w:cs="Times New Roman"/>
          <w:color w:val="000000" w:themeColor="text1"/>
        </w:rPr>
        <w:t xml:space="preserve"> period </w:t>
      </w:r>
      <w:r w:rsidR="00902335" w:rsidRPr="00977582">
        <w:rPr>
          <w:rFonts w:ascii="Book Antiqua" w:hAnsi="Book Antiqua" w:cs="Times New Roman"/>
          <w:color w:val="000000" w:themeColor="text1"/>
        </w:rPr>
        <w:t>and</w:t>
      </w:r>
      <w:r w:rsidR="00BF1CF4" w:rsidRPr="00977582">
        <w:rPr>
          <w:rFonts w:ascii="Book Antiqua" w:hAnsi="Book Antiqua" w:cs="Times New Roman"/>
          <w:color w:val="000000" w:themeColor="text1"/>
        </w:rPr>
        <w:t xml:space="preserve"> for </w:t>
      </w:r>
      <w:r w:rsidR="008E37C4" w:rsidRPr="00977582">
        <w:rPr>
          <w:rFonts w:ascii="Book Antiqua" w:hAnsi="Book Antiqua" w:cs="Times New Roman"/>
          <w:color w:val="000000" w:themeColor="text1"/>
        </w:rPr>
        <w:t>one</w:t>
      </w:r>
      <w:r w:rsidR="00BF1CF4" w:rsidRPr="00977582">
        <w:rPr>
          <w:rFonts w:ascii="Book Antiqua" w:hAnsi="Book Antiqua" w:cs="Times New Roman"/>
          <w:color w:val="000000" w:themeColor="text1"/>
        </w:rPr>
        <w:t xml:space="preserve"> year </w:t>
      </w:r>
      <w:r w:rsidR="004F5F4B" w:rsidRPr="00977582">
        <w:rPr>
          <w:rFonts w:ascii="Book Antiqua" w:hAnsi="Book Antiqua" w:cs="Times New Roman"/>
          <w:color w:val="000000" w:themeColor="text1"/>
        </w:rPr>
        <w:t>following</w:t>
      </w:r>
      <w:r w:rsidR="00BF1CF4" w:rsidRPr="00977582">
        <w:rPr>
          <w:rFonts w:ascii="Book Antiqua" w:hAnsi="Book Antiqua" w:cs="Times New Roman"/>
          <w:color w:val="000000" w:themeColor="text1"/>
        </w:rPr>
        <w:t xml:space="preserve"> </w:t>
      </w:r>
      <w:r w:rsidR="00902335" w:rsidRPr="00977582">
        <w:rPr>
          <w:rFonts w:ascii="Book Antiqua" w:hAnsi="Book Antiqua" w:cs="Times New Roman"/>
          <w:color w:val="000000" w:themeColor="text1"/>
        </w:rPr>
        <w:t xml:space="preserve">the </w:t>
      </w:r>
      <w:r w:rsidR="00B8652A" w:rsidRPr="00977582">
        <w:rPr>
          <w:rFonts w:ascii="Book Antiqua" w:hAnsi="Book Antiqua" w:cs="Times New Roman"/>
          <w:color w:val="000000" w:themeColor="text1"/>
        </w:rPr>
        <w:t>index date.</w:t>
      </w:r>
      <w:r w:rsidR="005B1623" w:rsidRPr="00977582">
        <w:rPr>
          <w:rFonts w:ascii="Book Antiqua" w:hAnsi="Book Antiqua" w:cs="Times New Roman"/>
          <w:i/>
          <w:color w:val="000000" w:themeColor="text1"/>
        </w:rPr>
        <w:t xml:space="preserve"> </w:t>
      </w:r>
    </w:p>
    <w:p w14:paraId="31DDB7A5" w14:textId="77777777" w:rsidR="00C94451" w:rsidRDefault="00C94451" w:rsidP="0041646E">
      <w:pPr>
        <w:adjustRightInd w:val="0"/>
        <w:snapToGrid w:val="0"/>
        <w:spacing w:after="0" w:line="360" w:lineRule="auto"/>
        <w:jc w:val="both"/>
        <w:rPr>
          <w:rFonts w:ascii="Book Antiqua" w:hAnsi="Book Antiqua" w:cs="Times New Roman"/>
          <w:b/>
          <w:i/>
          <w:color w:val="000000" w:themeColor="text1"/>
          <w:lang w:eastAsia="zh-CN"/>
        </w:rPr>
      </w:pPr>
    </w:p>
    <w:p w14:paraId="72E54C61" w14:textId="24DC48B3" w:rsidR="00B8652A" w:rsidRPr="00C94451" w:rsidRDefault="00FE2A8C" w:rsidP="0041646E">
      <w:pPr>
        <w:adjustRightInd w:val="0"/>
        <w:snapToGrid w:val="0"/>
        <w:spacing w:after="0" w:line="360" w:lineRule="auto"/>
        <w:jc w:val="both"/>
        <w:rPr>
          <w:rFonts w:ascii="Book Antiqua" w:hAnsi="Book Antiqua" w:cs="Times New Roman"/>
          <w:b/>
          <w:i/>
          <w:color w:val="000000" w:themeColor="text1"/>
        </w:rPr>
      </w:pPr>
      <w:r w:rsidRPr="00C94451">
        <w:rPr>
          <w:rFonts w:ascii="Book Antiqua" w:hAnsi="Book Antiqua" w:cs="Times New Roman"/>
          <w:b/>
          <w:i/>
          <w:color w:val="000000" w:themeColor="text1"/>
        </w:rPr>
        <w:t xml:space="preserve">Study </w:t>
      </w:r>
      <w:r w:rsidR="00C94451" w:rsidRPr="00C94451">
        <w:rPr>
          <w:rFonts w:ascii="Book Antiqua" w:hAnsi="Book Antiqua" w:cs="Times New Roman"/>
          <w:b/>
          <w:i/>
          <w:color w:val="000000" w:themeColor="text1"/>
        </w:rPr>
        <w:t>measures</w:t>
      </w:r>
    </w:p>
    <w:p w14:paraId="72E54C62" w14:textId="4B42E4F1" w:rsidR="00B77B52" w:rsidRPr="00977582" w:rsidRDefault="00FC620E"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Among all identified newly diagnosed CS patients, we identified patients with at least one claim for non-infectious diarrhea (ICD-9-CM codes 564.5 and 787.91) in any diagnosis field.</w:t>
      </w:r>
      <w:r w:rsidR="005B1623" w:rsidRPr="00977582">
        <w:rPr>
          <w:rFonts w:ascii="Book Antiqua" w:hAnsi="Book Antiqua" w:cs="Times New Roman"/>
          <w:i/>
          <w:color w:val="000000" w:themeColor="text1"/>
        </w:rPr>
        <w:t xml:space="preserve"> </w:t>
      </w:r>
      <w:r w:rsidR="00141B0A" w:rsidRPr="00977582">
        <w:rPr>
          <w:rFonts w:ascii="Book Antiqua" w:hAnsi="Book Antiqua" w:cs="Times New Roman"/>
          <w:color w:val="000000" w:themeColor="text1"/>
        </w:rPr>
        <w:t xml:space="preserve">We grouped </w:t>
      </w:r>
      <w:r w:rsidR="00561DEF" w:rsidRPr="00977582">
        <w:rPr>
          <w:rFonts w:ascii="Book Antiqua" w:hAnsi="Book Antiqua" w:cs="Times New Roman"/>
          <w:color w:val="000000" w:themeColor="text1"/>
        </w:rPr>
        <w:t xml:space="preserve">CS </w:t>
      </w:r>
      <w:r w:rsidR="00141B0A" w:rsidRPr="00977582">
        <w:rPr>
          <w:rFonts w:ascii="Book Antiqua" w:hAnsi="Book Antiqua" w:cs="Times New Roman"/>
          <w:color w:val="000000" w:themeColor="text1"/>
        </w:rPr>
        <w:t xml:space="preserve">patients according to </w:t>
      </w:r>
      <w:r w:rsidR="00684FE4" w:rsidRPr="00977582">
        <w:rPr>
          <w:rFonts w:ascii="Book Antiqua" w:hAnsi="Book Antiqua" w:cs="Times New Roman"/>
          <w:color w:val="000000" w:themeColor="text1"/>
        </w:rPr>
        <w:t>whether or not they had experienced</w:t>
      </w:r>
      <w:r w:rsidR="00141B0A" w:rsidRPr="00977582">
        <w:rPr>
          <w:rFonts w:ascii="Book Antiqua" w:hAnsi="Book Antiqua" w:cs="Times New Roman"/>
          <w:color w:val="000000" w:themeColor="text1"/>
        </w:rPr>
        <w:t xml:space="preserve"> </w:t>
      </w:r>
      <w:r w:rsidR="00561DEF" w:rsidRPr="00977582">
        <w:rPr>
          <w:rFonts w:ascii="Book Antiqua" w:hAnsi="Book Antiqua" w:cs="Times New Roman"/>
          <w:color w:val="000000" w:themeColor="text1"/>
        </w:rPr>
        <w:t>non-infectious diarrhea</w:t>
      </w:r>
      <w:r w:rsidR="00141B0A"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p>
    <w:p w14:paraId="72E54C63" w14:textId="7287A4DB" w:rsidR="00FE2A8C" w:rsidRPr="00977582" w:rsidRDefault="00FE2A8C"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Patient demographic characteristics (age, gender, U</w:t>
      </w:r>
      <w:r w:rsidR="00C94451">
        <w:rPr>
          <w:rFonts w:ascii="Book Antiqua" w:hAnsi="Book Antiqua" w:cs="Times New Roman" w:hint="eastAsia"/>
          <w:color w:val="000000" w:themeColor="text1"/>
          <w:lang w:eastAsia="zh-CN"/>
        </w:rPr>
        <w:t>nited States</w:t>
      </w:r>
      <w:r w:rsidRPr="00977582">
        <w:rPr>
          <w:rFonts w:ascii="Book Antiqua" w:hAnsi="Book Antiqua" w:cs="Times New Roman"/>
          <w:color w:val="000000" w:themeColor="text1"/>
        </w:rPr>
        <w:t xml:space="preserve"> census region) were derived from the enrollment files.</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Baseline measures of disease burden were also included in the analysis.</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First, we calculated the Charlson Comorbidity Index by examining the ICD-9-CM di</w:t>
      </w:r>
      <w:r w:rsidR="004E393E" w:rsidRPr="00977582">
        <w:rPr>
          <w:rFonts w:ascii="Book Antiqua" w:hAnsi="Book Antiqua" w:cs="Times New Roman"/>
          <w:color w:val="000000" w:themeColor="text1"/>
        </w:rPr>
        <w:t xml:space="preserve">agnostic codes appearing in medical </w:t>
      </w:r>
      <w:r w:rsidRPr="00977582">
        <w:rPr>
          <w:rFonts w:ascii="Book Antiqua" w:hAnsi="Book Antiqua" w:cs="Times New Roman"/>
          <w:color w:val="000000" w:themeColor="text1"/>
        </w:rPr>
        <w:t>claim</w:t>
      </w:r>
      <w:r w:rsidR="004E393E" w:rsidRPr="00977582">
        <w:rPr>
          <w:rFonts w:ascii="Book Antiqua" w:hAnsi="Book Antiqua" w:cs="Times New Roman"/>
          <w:color w:val="000000" w:themeColor="text1"/>
        </w:rPr>
        <w:t>s</w:t>
      </w:r>
      <w:r w:rsidRPr="00977582">
        <w:rPr>
          <w:rFonts w:ascii="Book Antiqua" w:hAnsi="Book Antiqua" w:cs="Times New Roman"/>
          <w:color w:val="000000" w:themeColor="text1"/>
        </w:rPr>
        <w:t xml:space="preserve"> within one-year prior to the index date</w:t>
      </w:r>
      <w:r w:rsidR="00336F8A" w:rsidRPr="00977582">
        <w:rPr>
          <w:rFonts w:ascii="Book Antiqua" w:hAnsi="Book Antiqua" w:cs="Times New Roman"/>
          <w:color w:val="000000" w:themeColor="text1"/>
          <w:vertAlign w:val="superscript"/>
        </w:rPr>
        <w:t>[10]</w:t>
      </w:r>
      <w:r w:rsidR="00336F8A" w:rsidRPr="00977582">
        <w:rPr>
          <w:rFonts w:ascii="Book Antiqua" w:hAnsi="Book Antiqua" w:cs="Times New Roman"/>
          <w:color w:val="000000" w:themeColor="text1"/>
        </w:rPr>
        <w:t xml:space="preserve">. </w:t>
      </w:r>
      <w:r w:rsidR="00F062B3" w:rsidRPr="00977582">
        <w:rPr>
          <w:rFonts w:ascii="Book Antiqua" w:hAnsi="Book Antiqua" w:cs="Times New Roman"/>
          <w:color w:val="000000" w:themeColor="text1"/>
        </w:rPr>
        <w:t>The Charlson Comorbidity Index is calculated using weights for comorbidities derived from medical claims through a validated prediction formula for 1-year mortality.</w:t>
      </w:r>
      <w:r w:rsidR="005B1623" w:rsidRPr="00977582">
        <w:rPr>
          <w:rFonts w:ascii="Book Antiqua" w:hAnsi="Book Antiqua" w:cs="Times New Roman"/>
          <w:i/>
          <w:color w:val="000000" w:themeColor="text1"/>
        </w:rPr>
        <w:t xml:space="preserve"> </w:t>
      </w:r>
      <w:r w:rsidR="004E393E" w:rsidRPr="00977582">
        <w:rPr>
          <w:rFonts w:ascii="Book Antiqua" w:hAnsi="Book Antiqua" w:cs="Times New Roman"/>
          <w:color w:val="000000" w:themeColor="text1"/>
        </w:rPr>
        <w:t xml:space="preserve">Second, the number of chronic conditions experienced by each patient </w:t>
      </w:r>
      <w:bookmarkStart w:id="170" w:name="OLE_LINK39"/>
      <w:bookmarkStart w:id="171" w:name="OLE_LINK40"/>
      <w:bookmarkStart w:id="172" w:name="OLE_LINK41"/>
      <w:r w:rsidR="004E393E" w:rsidRPr="00977582">
        <w:rPr>
          <w:rFonts w:ascii="Book Antiqua" w:hAnsi="Book Antiqua" w:cs="Times New Roman"/>
          <w:color w:val="000000" w:themeColor="text1"/>
        </w:rPr>
        <w:t xml:space="preserve">within one-year prior to the index </w:t>
      </w:r>
      <w:bookmarkEnd w:id="170"/>
      <w:bookmarkEnd w:id="171"/>
      <w:bookmarkEnd w:id="172"/>
      <w:r w:rsidR="004E393E" w:rsidRPr="00977582">
        <w:rPr>
          <w:rFonts w:ascii="Book Antiqua" w:hAnsi="Book Antiqua" w:cs="Times New Roman"/>
          <w:color w:val="000000" w:themeColor="text1"/>
        </w:rPr>
        <w:t>date was calculated using the Healthcare Cost and Utilization Project Chronic Condition Indicator (CCI)</w:t>
      </w:r>
      <w:r w:rsidR="00336F8A" w:rsidRPr="00977582">
        <w:rPr>
          <w:rFonts w:ascii="Book Antiqua" w:hAnsi="Book Antiqua" w:cs="Times New Roman"/>
          <w:color w:val="000000" w:themeColor="text1"/>
          <w:vertAlign w:val="superscript"/>
        </w:rPr>
        <w:t>[9,11]</w:t>
      </w:r>
      <w:r w:rsidR="004E393E" w:rsidRPr="00977582">
        <w:rPr>
          <w:rFonts w:ascii="Book Antiqua" w:hAnsi="Book Antiqua" w:cs="Times New Roman"/>
          <w:color w:val="000000" w:themeColor="text1"/>
        </w:rPr>
        <w:t xml:space="preserve">. The CCI is a validated index which captures chronic conditions </w:t>
      </w:r>
      <w:r w:rsidR="00B971E4" w:rsidRPr="00977582">
        <w:rPr>
          <w:rFonts w:ascii="Book Antiqua" w:hAnsi="Book Antiqua" w:cs="Times New Roman"/>
          <w:color w:val="000000" w:themeColor="text1"/>
        </w:rPr>
        <w:t xml:space="preserve">that last at least one year, and </w:t>
      </w:r>
      <w:r w:rsidR="004E393E" w:rsidRPr="00977582">
        <w:rPr>
          <w:rFonts w:ascii="Book Antiqua" w:hAnsi="Book Antiqua" w:cs="Times New Roman"/>
          <w:color w:val="000000" w:themeColor="text1"/>
        </w:rPr>
        <w:t xml:space="preserve">place </w:t>
      </w:r>
      <w:r w:rsidR="004E393E" w:rsidRPr="00977582">
        <w:rPr>
          <w:rFonts w:ascii="Book Antiqua" w:hAnsi="Book Antiqua" w:cs="Times New Roman"/>
          <w:color w:val="000000" w:themeColor="text1"/>
        </w:rPr>
        <w:lastRenderedPageBreak/>
        <w:t xml:space="preserve">limitations on self-care, independent living, and social interactions, or </w:t>
      </w:r>
      <w:r w:rsidR="00B971E4" w:rsidRPr="00977582">
        <w:rPr>
          <w:rFonts w:ascii="Book Antiqua" w:hAnsi="Book Antiqua" w:cs="Times New Roman"/>
          <w:color w:val="000000" w:themeColor="text1"/>
        </w:rPr>
        <w:t>require ongoing medical care or special equipment.</w:t>
      </w:r>
    </w:p>
    <w:p w14:paraId="72E54C64" w14:textId="452D558F" w:rsidR="00472328" w:rsidRPr="00977582" w:rsidRDefault="00C94451" w:rsidP="0041646E">
      <w:pPr>
        <w:pStyle w:val="PHARParagraph"/>
        <w:snapToGrid w:val="0"/>
        <w:ind w:firstLine="720"/>
        <w:jc w:val="both"/>
        <w:rPr>
          <w:rFonts w:ascii="Book Antiqua" w:hAnsi="Book Antiqua" w:cs="Times New Roman"/>
          <w:sz w:val="24"/>
        </w:rPr>
      </w:pPr>
      <w:r>
        <w:rPr>
          <w:rFonts w:ascii="Book Antiqua" w:hAnsi="Book Antiqua" w:cs="Times New Roman"/>
          <w:sz w:val="24"/>
        </w:rPr>
        <w:t>HRU</w:t>
      </w:r>
      <w:r w:rsidR="00DB0DB1" w:rsidRPr="00977582">
        <w:rPr>
          <w:rFonts w:ascii="Book Antiqua" w:hAnsi="Book Antiqua" w:cs="Times New Roman"/>
          <w:sz w:val="24"/>
        </w:rPr>
        <w:t xml:space="preserve">, including hospitalizations, emergency department (ED) visits, and physician office visits, was identified in medical claims during the </w:t>
      </w:r>
      <w:r w:rsidR="00391999" w:rsidRPr="00977582">
        <w:rPr>
          <w:rFonts w:ascii="Book Antiqua" w:hAnsi="Book Antiqua" w:cs="Times New Roman"/>
          <w:sz w:val="24"/>
        </w:rPr>
        <w:t>study period</w:t>
      </w:r>
      <w:r w:rsidR="00DB0DB1" w:rsidRPr="00977582">
        <w:rPr>
          <w:rFonts w:ascii="Book Antiqua" w:hAnsi="Book Antiqua" w:cs="Times New Roman"/>
          <w:sz w:val="24"/>
        </w:rPr>
        <w:t>.</w:t>
      </w:r>
      <w:r w:rsidR="00F24230" w:rsidRPr="00977582">
        <w:rPr>
          <w:rFonts w:ascii="Book Antiqua" w:hAnsi="Book Antiqua" w:cs="Times New Roman"/>
          <w:sz w:val="24"/>
        </w:rPr>
        <w:t xml:space="preserve"> </w:t>
      </w:r>
      <w:r w:rsidR="00C0082B" w:rsidRPr="00977582">
        <w:rPr>
          <w:rFonts w:ascii="Book Antiqua" w:hAnsi="Book Antiqua" w:cs="Times New Roman"/>
          <w:sz w:val="24"/>
        </w:rPr>
        <w:t>W</w:t>
      </w:r>
      <w:r w:rsidR="00472328" w:rsidRPr="00977582">
        <w:rPr>
          <w:rFonts w:ascii="Book Antiqua" w:hAnsi="Book Antiqua" w:cs="Times New Roman"/>
          <w:sz w:val="24"/>
        </w:rPr>
        <w:t xml:space="preserve">e examined </w:t>
      </w:r>
      <w:r w:rsidR="00C0082B" w:rsidRPr="00977582">
        <w:rPr>
          <w:rFonts w:ascii="Book Antiqua" w:hAnsi="Book Antiqua" w:cs="Times New Roman"/>
          <w:sz w:val="24"/>
        </w:rPr>
        <w:t xml:space="preserve">the overall annual </w:t>
      </w:r>
      <w:r w:rsidR="00472328" w:rsidRPr="00977582">
        <w:rPr>
          <w:rFonts w:ascii="Book Antiqua" w:hAnsi="Book Antiqua" w:cs="Times New Roman"/>
          <w:sz w:val="24"/>
        </w:rPr>
        <w:t>HRU</w:t>
      </w:r>
      <w:r w:rsidR="00C0082B" w:rsidRPr="00977582">
        <w:rPr>
          <w:rFonts w:ascii="Book Antiqua" w:hAnsi="Book Antiqua" w:cs="Times New Roman"/>
          <w:sz w:val="24"/>
        </w:rPr>
        <w:t xml:space="preserve"> </w:t>
      </w:r>
      <w:r w:rsidR="00472328" w:rsidRPr="00977582">
        <w:rPr>
          <w:rFonts w:ascii="Book Antiqua" w:hAnsi="Book Antiqua" w:cs="Times New Roman"/>
          <w:sz w:val="24"/>
        </w:rPr>
        <w:t>related to any diagnosis</w:t>
      </w:r>
      <w:r w:rsidR="00C0082B" w:rsidRPr="00977582">
        <w:rPr>
          <w:rFonts w:ascii="Book Antiqua" w:hAnsi="Book Antiqua" w:cs="Times New Roman"/>
          <w:sz w:val="24"/>
        </w:rPr>
        <w:t xml:space="preserve"> </w:t>
      </w:r>
      <w:r w:rsidR="00684FE4" w:rsidRPr="00977582">
        <w:rPr>
          <w:rFonts w:ascii="Book Antiqua" w:hAnsi="Book Antiqua" w:cs="Times New Roman"/>
          <w:sz w:val="24"/>
        </w:rPr>
        <w:t>occurring</w:t>
      </w:r>
      <w:r w:rsidR="00C0082B" w:rsidRPr="00977582">
        <w:rPr>
          <w:rFonts w:ascii="Book Antiqua" w:hAnsi="Book Antiqua" w:cs="Times New Roman"/>
          <w:sz w:val="24"/>
        </w:rPr>
        <w:t xml:space="preserve"> in the </w:t>
      </w:r>
      <w:r w:rsidR="00391999" w:rsidRPr="00977582">
        <w:rPr>
          <w:rFonts w:ascii="Book Antiqua" w:hAnsi="Book Antiqua" w:cs="Times New Roman"/>
          <w:sz w:val="24"/>
        </w:rPr>
        <w:t>same</w:t>
      </w:r>
      <w:r w:rsidR="00C0082B" w:rsidRPr="00977582">
        <w:rPr>
          <w:rFonts w:ascii="Book Antiqua" w:hAnsi="Book Antiqua" w:cs="Times New Roman"/>
          <w:sz w:val="24"/>
        </w:rPr>
        <w:t xml:space="preserve"> period.</w:t>
      </w:r>
      <w:r w:rsidR="005B1623" w:rsidRPr="00977582">
        <w:rPr>
          <w:rFonts w:ascii="Book Antiqua" w:hAnsi="Book Antiqua" w:cs="Times New Roman"/>
          <w:i/>
          <w:sz w:val="24"/>
        </w:rPr>
        <w:t xml:space="preserve"> </w:t>
      </w:r>
      <w:r w:rsidR="00A27E44" w:rsidRPr="00977582">
        <w:rPr>
          <w:rFonts w:ascii="Book Antiqua" w:hAnsi="Book Antiqua" w:cs="Times New Roman"/>
          <w:sz w:val="24"/>
        </w:rPr>
        <w:t xml:space="preserve">In addition, we identified HRU related to CS based on claims with a primary diagnosis associated with carcinoid syndrome, </w:t>
      </w:r>
      <w:r w:rsidR="00862547" w:rsidRPr="00977582">
        <w:rPr>
          <w:rFonts w:ascii="Book Antiqua" w:hAnsi="Book Antiqua" w:cs="Times New Roman"/>
          <w:sz w:val="24"/>
        </w:rPr>
        <w:t xml:space="preserve">CS-related </w:t>
      </w:r>
      <w:r w:rsidR="00693456" w:rsidRPr="00977582">
        <w:rPr>
          <w:rFonts w:ascii="Book Antiqua" w:hAnsi="Book Antiqua" w:cs="Times New Roman"/>
          <w:sz w:val="24"/>
        </w:rPr>
        <w:t>symptoms</w:t>
      </w:r>
      <w:r w:rsidR="00862547" w:rsidRPr="00977582">
        <w:rPr>
          <w:rFonts w:ascii="Book Antiqua" w:hAnsi="Book Antiqua" w:cs="Times New Roman"/>
          <w:sz w:val="24"/>
        </w:rPr>
        <w:t>, or carcinoid tumor progression.</w:t>
      </w:r>
      <w:r w:rsidR="005B1623" w:rsidRPr="00977582">
        <w:rPr>
          <w:rFonts w:ascii="Book Antiqua" w:hAnsi="Book Antiqua" w:cs="Times New Roman"/>
          <w:i/>
          <w:sz w:val="24"/>
        </w:rPr>
        <w:t xml:space="preserve"> </w:t>
      </w:r>
      <w:r w:rsidR="005E75CF" w:rsidRPr="00977582">
        <w:rPr>
          <w:rFonts w:ascii="Book Antiqua" w:hAnsi="Book Antiqua" w:cs="Times New Roman"/>
          <w:sz w:val="24"/>
        </w:rPr>
        <w:t>CS</w:t>
      </w:r>
      <w:r w:rsidR="00862547" w:rsidRPr="00977582">
        <w:rPr>
          <w:rFonts w:ascii="Book Antiqua" w:hAnsi="Book Antiqua" w:cs="Times New Roman"/>
          <w:sz w:val="24"/>
        </w:rPr>
        <w:t xml:space="preserve">-related symptoms were </w:t>
      </w:r>
      <w:r w:rsidR="00693456" w:rsidRPr="00977582">
        <w:rPr>
          <w:rFonts w:ascii="Book Antiqua" w:hAnsi="Book Antiqua" w:cs="Times New Roman"/>
          <w:sz w:val="24"/>
        </w:rPr>
        <w:t>identified with claims for</w:t>
      </w:r>
      <w:r w:rsidR="00862547" w:rsidRPr="00977582">
        <w:rPr>
          <w:rFonts w:ascii="Book Antiqua" w:hAnsi="Book Antiqua" w:cs="Times New Roman"/>
          <w:sz w:val="24"/>
        </w:rPr>
        <w:t xml:space="preserve"> </w:t>
      </w:r>
      <w:r w:rsidR="00A27E44" w:rsidRPr="00977582">
        <w:rPr>
          <w:rFonts w:ascii="Book Antiqua" w:hAnsi="Book Antiqua" w:cs="Times New Roman"/>
          <w:sz w:val="24"/>
        </w:rPr>
        <w:t xml:space="preserve">non-infectious diarrhea (564.5, 787.91), nausea/vomiting (787.0x), flushing (782.62), asthma (493.x), dyspnea/wheezing (786.0x), cardiac palpitations (785.1), hypotension (458.x), asthenia/fatigue (728.87, 780.71, 780.79), </w:t>
      </w:r>
      <w:r w:rsidR="00853BA2" w:rsidRPr="00977582">
        <w:rPr>
          <w:rFonts w:ascii="Book Antiqua" w:hAnsi="Book Antiqua" w:cs="Times New Roman"/>
          <w:sz w:val="24"/>
        </w:rPr>
        <w:t xml:space="preserve">and </w:t>
      </w:r>
      <w:r w:rsidR="00A27E44" w:rsidRPr="00977582">
        <w:rPr>
          <w:rFonts w:ascii="Book Antiqua" w:hAnsi="Book Antiqua" w:cs="Times New Roman"/>
          <w:sz w:val="24"/>
        </w:rPr>
        <w:t>dizziness (780.4</w:t>
      </w:r>
      <w:r w:rsidR="00862547" w:rsidRPr="00977582">
        <w:rPr>
          <w:rFonts w:ascii="Book Antiqua" w:hAnsi="Book Antiqua" w:cs="Times New Roman"/>
          <w:sz w:val="24"/>
        </w:rPr>
        <w:t xml:space="preserve">). Carcinoid tumor </w:t>
      </w:r>
      <w:r w:rsidR="00A2066C" w:rsidRPr="00977582">
        <w:rPr>
          <w:rFonts w:ascii="Book Antiqua" w:hAnsi="Book Antiqua" w:cs="Times New Roman"/>
          <w:sz w:val="24"/>
        </w:rPr>
        <w:t>progression</w:t>
      </w:r>
      <w:r w:rsidR="00862547" w:rsidRPr="00977582">
        <w:rPr>
          <w:rFonts w:ascii="Book Antiqua" w:hAnsi="Book Antiqua" w:cs="Times New Roman"/>
          <w:sz w:val="24"/>
        </w:rPr>
        <w:t xml:space="preserve"> was identified with claims </w:t>
      </w:r>
      <w:r w:rsidR="00693456" w:rsidRPr="00977582">
        <w:rPr>
          <w:rFonts w:ascii="Book Antiqua" w:hAnsi="Book Antiqua" w:cs="Times New Roman"/>
          <w:sz w:val="24"/>
        </w:rPr>
        <w:t xml:space="preserve">for </w:t>
      </w:r>
      <w:r w:rsidR="00A27E44" w:rsidRPr="00977582">
        <w:rPr>
          <w:rFonts w:ascii="Book Antiqua" w:hAnsi="Book Antiqua" w:cs="Times New Roman"/>
          <w:sz w:val="24"/>
        </w:rPr>
        <w:t>intestinal obstruction (560.0, 560.2, 560.9)</w:t>
      </w:r>
      <w:r w:rsidR="00472328" w:rsidRPr="00977582">
        <w:rPr>
          <w:rFonts w:ascii="Book Antiqua" w:hAnsi="Book Antiqua" w:cs="Times New Roman"/>
          <w:sz w:val="24"/>
        </w:rPr>
        <w:t xml:space="preserve">. </w:t>
      </w:r>
    </w:p>
    <w:p w14:paraId="72E54C65" w14:textId="1817F98A" w:rsidR="00DB0DB1" w:rsidRPr="00977582" w:rsidRDefault="00472328" w:rsidP="0041646E">
      <w:pPr>
        <w:pStyle w:val="PHARParagraph"/>
        <w:snapToGrid w:val="0"/>
        <w:ind w:firstLine="720"/>
        <w:jc w:val="both"/>
        <w:rPr>
          <w:rFonts w:ascii="Book Antiqua" w:hAnsi="Book Antiqua" w:cs="Times New Roman"/>
          <w:sz w:val="24"/>
        </w:rPr>
      </w:pPr>
      <w:r w:rsidRPr="00977582">
        <w:rPr>
          <w:rFonts w:ascii="Book Antiqua" w:hAnsi="Book Antiqua" w:cs="Times New Roman"/>
          <w:sz w:val="24"/>
        </w:rPr>
        <w:t>Cumulative annual healthcare costs were summed up for each patient</w:t>
      </w:r>
      <w:r w:rsidR="00425368" w:rsidRPr="00977582">
        <w:rPr>
          <w:rFonts w:ascii="Book Antiqua" w:hAnsi="Book Antiqua" w:cs="Times New Roman"/>
          <w:sz w:val="24"/>
        </w:rPr>
        <w:t xml:space="preserve"> </w:t>
      </w:r>
      <w:r w:rsidRPr="00977582">
        <w:rPr>
          <w:rFonts w:ascii="Book Antiqua" w:hAnsi="Book Antiqua" w:cs="Times New Roman"/>
          <w:sz w:val="24"/>
        </w:rPr>
        <w:t>from the index date.</w:t>
      </w:r>
      <w:r w:rsidR="005B1623" w:rsidRPr="00977582">
        <w:rPr>
          <w:rFonts w:ascii="Book Antiqua" w:hAnsi="Book Antiqua" w:cs="Times New Roman"/>
          <w:i/>
          <w:sz w:val="24"/>
        </w:rPr>
        <w:t xml:space="preserve"> </w:t>
      </w:r>
      <w:r w:rsidRPr="00977582">
        <w:rPr>
          <w:rFonts w:ascii="Book Antiqua" w:hAnsi="Book Antiqua" w:cs="Times New Roman"/>
          <w:sz w:val="24"/>
        </w:rPr>
        <w:t xml:space="preserve">Costs were reported as </w:t>
      </w:r>
      <w:r w:rsidR="00C0082B" w:rsidRPr="00977582">
        <w:rPr>
          <w:rFonts w:ascii="Book Antiqua" w:hAnsi="Book Antiqua" w:cs="Times New Roman"/>
          <w:sz w:val="24"/>
        </w:rPr>
        <w:t>total costs.</w:t>
      </w:r>
      <w:r w:rsidR="005B1623" w:rsidRPr="00977582">
        <w:rPr>
          <w:rFonts w:ascii="Book Antiqua" w:hAnsi="Book Antiqua" w:cs="Times New Roman"/>
          <w:i/>
          <w:sz w:val="24"/>
        </w:rPr>
        <w:t xml:space="preserve"> </w:t>
      </w:r>
      <w:r w:rsidR="00C0082B" w:rsidRPr="00977582">
        <w:rPr>
          <w:rFonts w:ascii="Book Antiqua" w:hAnsi="Book Antiqua" w:cs="Times New Roman"/>
          <w:sz w:val="24"/>
        </w:rPr>
        <w:t xml:space="preserve">In addition, we disaggregated the costs into </w:t>
      </w:r>
      <w:r w:rsidR="00684FE4" w:rsidRPr="00977582">
        <w:rPr>
          <w:rFonts w:ascii="Book Antiqua" w:hAnsi="Book Antiqua" w:cs="Times New Roman"/>
          <w:sz w:val="24"/>
        </w:rPr>
        <w:t>medical costs (defined as costs related to medical claims)</w:t>
      </w:r>
      <w:r w:rsidR="001F43E2" w:rsidRPr="00977582">
        <w:rPr>
          <w:rFonts w:ascii="Book Antiqua" w:hAnsi="Book Antiqua" w:cs="Times New Roman"/>
          <w:sz w:val="24"/>
        </w:rPr>
        <w:t>,</w:t>
      </w:r>
      <w:r w:rsidR="00684FE4" w:rsidRPr="00977582">
        <w:rPr>
          <w:rFonts w:ascii="Book Antiqua" w:hAnsi="Book Antiqua" w:cs="Times New Roman"/>
          <w:sz w:val="24"/>
        </w:rPr>
        <w:t xml:space="preserve"> </w:t>
      </w:r>
      <w:r w:rsidRPr="00977582">
        <w:rPr>
          <w:rFonts w:ascii="Book Antiqua" w:hAnsi="Book Antiqua" w:cs="Times New Roman"/>
          <w:sz w:val="24"/>
        </w:rPr>
        <w:t>pharmacy</w:t>
      </w:r>
      <w:r w:rsidR="00C0082B" w:rsidRPr="00977582">
        <w:rPr>
          <w:rFonts w:ascii="Book Antiqua" w:hAnsi="Book Antiqua" w:cs="Times New Roman"/>
          <w:sz w:val="24"/>
        </w:rPr>
        <w:t xml:space="preserve"> costs</w:t>
      </w:r>
      <w:r w:rsidR="00684FE4" w:rsidRPr="00977582">
        <w:rPr>
          <w:rFonts w:ascii="Book Antiqua" w:hAnsi="Book Antiqua" w:cs="Times New Roman"/>
          <w:sz w:val="24"/>
        </w:rPr>
        <w:t xml:space="preserve"> (defined as related to</w:t>
      </w:r>
      <w:r w:rsidR="00C0082B" w:rsidRPr="00977582">
        <w:rPr>
          <w:rFonts w:ascii="Book Antiqua" w:hAnsi="Book Antiqua" w:cs="Times New Roman"/>
          <w:sz w:val="24"/>
        </w:rPr>
        <w:t xml:space="preserve"> pharmacy claims</w:t>
      </w:r>
      <w:r w:rsidR="00684FE4" w:rsidRPr="00977582">
        <w:rPr>
          <w:rFonts w:ascii="Book Antiqua" w:hAnsi="Book Antiqua" w:cs="Times New Roman"/>
          <w:sz w:val="24"/>
        </w:rPr>
        <w:t>)</w:t>
      </w:r>
      <w:r w:rsidR="001F43E2" w:rsidRPr="00977582">
        <w:rPr>
          <w:rFonts w:ascii="Book Antiqua" w:hAnsi="Book Antiqua" w:cs="Times New Roman"/>
          <w:sz w:val="24"/>
        </w:rPr>
        <w:t xml:space="preserve">, inpatient hospitalization costs, ED visit costs, and outpatient </w:t>
      </w:r>
      <w:r w:rsidR="00D56B64" w:rsidRPr="00977582">
        <w:rPr>
          <w:rFonts w:ascii="Book Antiqua" w:hAnsi="Book Antiqua" w:cs="Times New Roman"/>
          <w:sz w:val="24"/>
        </w:rPr>
        <w:t>(</w:t>
      </w:r>
      <w:r w:rsidR="001F43E2" w:rsidRPr="00977582">
        <w:rPr>
          <w:rFonts w:ascii="Book Antiqua" w:hAnsi="Book Antiqua" w:cs="Times New Roman"/>
          <w:sz w:val="24"/>
        </w:rPr>
        <w:t>non-ED</w:t>
      </w:r>
      <w:r w:rsidR="00D56B64" w:rsidRPr="00977582">
        <w:rPr>
          <w:rFonts w:ascii="Book Antiqua" w:hAnsi="Book Antiqua" w:cs="Times New Roman"/>
          <w:sz w:val="24"/>
        </w:rPr>
        <w:t>)</w:t>
      </w:r>
      <w:r w:rsidR="001F43E2" w:rsidRPr="00977582">
        <w:rPr>
          <w:rFonts w:ascii="Book Antiqua" w:hAnsi="Book Antiqua" w:cs="Times New Roman"/>
          <w:sz w:val="24"/>
        </w:rPr>
        <w:t xml:space="preserve"> costs</w:t>
      </w:r>
      <w:r w:rsidRPr="00977582">
        <w:rPr>
          <w:rFonts w:ascii="Book Antiqua" w:hAnsi="Book Antiqua" w:cs="Times New Roman"/>
          <w:sz w:val="24"/>
        </w:rPr>
        <w:t>.</w:t>
      </w:r>
    </w:p>
    <w:p w14:paraId="7462B42E" w14:textId="77777777" w:rsidR="008157ED" w:rsidRDefault="008157ED" w:rsidP="0041646E">
      <w:pPr>
        <w:adjustRightInd w:val="0"/>
        <w:snapToGrid w:val="0"/>
        <w:spacing w:after="0" w:line="360" w:lineRule="auto"/>
        <w:jc w:val="both"/>
        <w:rPr>
          <w:rFonts w:ascii="Book Antiqua" w:hAnsi="Book Antiqua" w:cs="Times New Roman"/>
          <w:b/>
          <w:color w:val="000000" w:themeColor="text1"/>
          <w:lang w:eastAsia="zh-CN"/>
        </w:rPr>
      </w:pPr>
    </w:p>
    <w:p w14:paraId="72E54C67" w14:textId="77777777" w:rsidR="00B77B52" w:rsidRPr="008157ED" w:rsidRDefault="00ED159C" w:rsidP="0041646E">
      <w:pPr>
        <w:adjustRightInd w:val="0"/>
        <w:snapToGrid w:val="0"/>
        <w:spacing w:after="0" w:line="360" w:lineRule="auto"/>
        <w:jc w:val="both"/>
        <w:rPr>
          <w:rFonts w:ascii="Book Antiqua" w:hAnsi="Book Antiqua" w:cs="Times New Roman"/>
          <w:b/>
          <w:i/>
          <w:color w:val="000000" w:themeColor="text1"/>
        </w:rPr>
      </w:pPr>
      <w:r w:rsidRPr="008157ED">
        <w:rPr>
          <w:rFonts w:ascii="Book Antiqua" w:hAnsi="Book Antiqua" w:cs="Times New Roman"/>
          <w:b/>
          <w:i/>
          <w:color w:val="000000" w:themeColor="text1"/>
        </w:rPr>
        <w:t>Analyses</w:t>
      </w:r>
    </w:p>
    <w:p w14:paraId="72E54C69" w14:textId="45FAC632" w:rsidR="008715E2" w:rsidRPr="00977582" w:rsidRDefault="00ED159C" w:rsidP="0041646E">
      <w:pPr>
        <w:pStyle w:val="PHARParagraph"/>
        <w:snapToGrid w:val="0"/>
        <w:jc w:val="both"/>
        <w:rPr>
          <w:rFonts w:ascii="Book Antiqua" w:hAnsi="Book Antiqua" w:cs="Times New Roman"/>
          <w:sz w:val="24"/>
        </w:rPr>
      </w:pPr>
      <w:r w:rsidRPr="00977582">
        <w:rPr>
          <w:rFonts w:ascii="Book Antiqua" w:hAnsi="Book Antiqua" w:cs="Times New Roman"/>
          <w:sz w:val="24"/>
        </w:rPr>
        <w:t xml:space="preserve">Descriptive statistics were conducted for all study measures. We reported means and standard deviations for continuous variables, and patient counts and percentages for categorical variables. </w:t>
      </w:r>
      <w:r w:rsidR="00066A18" w:rsidRPr="00977582">
        <w:rPr>
          <w:rFonts w:ascii="Book Antiqua" w:hAnsi="Book Antiqua" w:cs="Times New Roman"/>
          <w:sz w:val="24"/>
        </w:rPr>
        <w:t xml:space="preserve">To compare differences between groups with and without </w:t>
      </w:r>
      <w:r w:rsidR="00CC36C8" w:rsidRPr="00977582">
        <w:rPr>
          <w:rFonts w:ascii="Book Antiqua" w:hAnsi="Book Antiqua" w:cs="Times New Roman"/>
          <w:sz w:val="24"/>
        </w:rPr>
        <w:t>non-infectious diarrhea</w:t>
      </w:r>
      <w:r w:rsidRPr="00977582">
        <w:rPr>
          <w:rFonts w:ascii="Book Antiqua" w:hAnsi="Book Antiqua" w:cs="Times New Roman"/>
          <w:sz w:val="24"/>
        </w:rPr>
        <w:t xml:space="preserve">, chi-square tests or </w:t>
      </w:r>
      <w:r w:rsidRPr="008157ED">
        <w:rPr>
          <w:rFonts w:ascii="Book Antiqua" w:hAnsi="Book Antiqua" w:cs="Times New Roman"/>
          <w:i/>
          <w:sz w:val="24"/>
        </w:rPr>
        <w:t>t</w:t>
      </w:r>
      <w:r w:rsidRPr="00977582">
        <w:rPr>
          <w:rFonts w:ascii="Book Antiqua" w:hAnsi="Book Antiqua" w:cs="Times New Roman"/>
          <w:sz w:val="24"/>
        </w:rPr>
        <w:t>-tests were used for ca</w:t>
      </w:r>
      <w:r w:rsidR="00CC36C8" w:rsidRPr="00977582">
        <w:rPr>
          <w:rFonts w:ascii="Book Antiqua" w:hAnsi="Book Antiqua" w:cs="Times New Roman"/>
          <w:sz w:val="24"/>
        </w:rPr>
        <w:t>tegorical and continuous variables</w:t>
      </w:r>
      <w:r w:rsidRPr="00977582">
        <w:rPr>
          <w:rFonts w:ascii="Book Antiqua" w:hAnsi="Book Antiqua" w:cs="Times New Roman"/>
          <w:sz w:val="24"/>
        </w:rPr>
        <w:t xml:space="preserve">, respectively. </w:t>
      </w:r>
      <w:r w:rsidR="00BF4EF6" w:rsidRPr="00977582">
        <w:rPr>
          <w:rFonts w:ascii="Book Antiqua" w:hAnsi="Book Antiqua" w:cs="Times New Roman"/>
          <w:sz w:val="24"/>
        </w:rPr>
        <w:t>Our three key outcomes of interest were overall and CS-related hospitalizations, and total healthcare costs.</w:t>
      </w:r>
      <w:r w:rsidR="005B1623" w:rsidRPr="00977582">
        <w:rPr>
          <w:rFonts w:ascii="Book Antiqua" w:hAnsi="Book Antiqua" w:cs="Times New Roman"/>
          <w:i/>
          <w:sz w:val="24"/>
        </w:rPr>
        <w:t xml:space="preserve"> </w:t>
      </w:r>
      <w:r w:rsidR="00BF4EF6" w:rsidRPr="00977582">
        <w:rPr>
          <w:rFonts w:ascii="Book Antiqua" w:hAnsi="Book Antiqua" w:cs="Times New Roman"/>
          <w:sz w:val="24"/>
        </w:rPr>
        <w:t>We conducted multivariate analyses to compare the risk of overall and CS-related hospitalizations, and total healthcare costs between patients with and without non-infectious diarrhea.</w:t>
      </w:r>
      <w:r w:rsidR="005B1623" w:rsidRPr="00977582">
        <w:rPr>
          <w:rFonts w:ascii="Book Antiqua" w:hAnsi="Book Antiqua" w:cs="Times New Roman"/>
          <w:i/>
          <w:sz w:val="24"/>
        </w:rPr>
        <w:t xml:space="preserve"> </w:t>
      </w:r>
      <w:r w:rsidR="00056D1E" w:rsidRPr="00977582">
        <w:rPr>
          <w:rFonts w:ascii="Book Antiqua" w:hAnsi="Book Antiqua"/>
        </w:rPr>
        <w:t xml:space="preserve">To model number of inpatient hospitalizations and </w:t>
      </w:r>
      <w:r w:rsidR="00056D1E" w:rsidRPr="00977582">
        <w:rPr>
          <w:rFonts w:ascii="Book Antiqua" w:hAnsi="Book Antiqua"/>
        </w:rPr>
        <w:lastRenderedPageBreak/>
        <w:t xml:space="preserve">number of ED visits, we used negative binomial models. </w:t>
      </w:r>
      <w:r w:rsidR="008715E2" w:rsidRPr="00977582">
        <w:rPr>
          <w:rFonts w:ascii="Book Antiqua" w:hAnsi="Book Antiqua" w:cs="Times New Roman"/>
          <w:sz w:val="24"/>
        </w:rPr>
        <w:t xml:space="preserve">. </w:t>
      </w:r>
      <w:r w:rsidR="00BF4EF6" w:rsidRPr="00977582">
        <w:rPr>
          <w:rFonts w:ascii="Book Antiqua" w:hAnsi="Book Antiqua" w:cs="Times New Roman"/>
          <w:sz w:val="24"/>
        </w:rPr>
        <w:t xml:space="preserve">All models were adjusted for age, gender, CCI, and census region. </w:t>
      </w:r>
    </w:p>
    <w:p w14:paraId="72E54C6A" w14:textId="037262C1" w:rsidR="00ED159C" w:rsidRPr="00977582" w:rsidRDefault="008715E2" w:rsidP="0041646E">
      <w:pPr>
        <w:pStyle w:val="PHARParagraph"/>
        <w:snapToGrid w:val="0"/>
        <w:ind w:firstLine="720"/>
        <w:jc w:val="both"/>
        <w:rPr>
          <w:rFonts w:ascii="Book Antiqua" w:hAnsi="Book Antiqua" w:cs="Times New Roman"/>
          <w:sz w:val="24"/>
        </w:rPr>
      </w:pPr>
      <w:r w:rsidRPr="00977582">
        <w:rPr>
          <w:rFonts w:ascii="Book Antiqua" w:hAnsi="Book Antiqua" w:cs="Times New Roman"/>
          <w:sz w:val="24"/>
        </w:rPr>
        <w:t>C</w:t>
      </w:r>
      <w:r w:rsidR="00905B83" w:rsidRPr="00977582">
        <w:rPr>
          <w:rFonts w:ascii="Book Antiqua" w:hAnsi="Book Antiqua" w:cs="Times New Roman"/>
          <w:sz w:val="24"/>
        </w:rPr>
        <w:t>osts were adjusted to 2012 US dollars</w:t>
      </w:r>
      <w:r w:rsidR="005E75CF" w:rsidRPr="00977582">
        <w:rPr>
          <w:rFonts w:ascii="Book Antiqua" w:hAnsi="Book Antiqua" w:cs="Times New Roman"/>
          <w:sz w:val="24"/>
        </w:rPr>
        <w:t xml:space="preserve"> (the latest year of data in the study database)</w:t>
      </w:r>
      <w:r w:rsidR="00905B83" w:rsidRPr="00977582">
        <w:rPr>
          <w:rFonts w:ascii="Book Antiqua" w:hAnsi="Book Antiqua" w:cs="Times New Roman"/>
          <w:sz w:val="24"/>
        </w:rPr>
        <w:t xml:space="preserve"> using the medical care components of the Consumer Price Index.</w:t>
      </w:r>
      <w:r w:rsidR="005B1623" w:rsidRPr="00977582">
        <w:rPr>
          <w:rFonts w:ascii="Book Antiqua" w:hAnsi="Book Antiqua" w:cs="Times New Roman"/>
          <w:i/>
          <w:sz w:val="24"/>
        </w:rPr>
        <w:t xml:space="preserve"> </w:t>
      </w:r>
      <w:r w:rsidR="00ED159C" w:rsidRPr="00977582">
        <w:rPr>
          <w:rFonts w:ascii="Book Antiqua" w:hAnsi="Book Antiqua" w:cs="Times New Roman"/>
          <w:sz w:val="24"/>
        </w:rPr>
        <w:t xml:space="preserve">All </w:t>
      </w:r>
      <w:r w:rsidRPr="00977582">
        <w:rPr>
          <w:rFonts w:ascii="Book Antiqua" w:hAnsi="Book Antiqua" w:cs="Times New Roman"/>
          <w:sz w:val="24"/>
        </w:rPr>
        <w:t>reported p values are two-sided with a significance level of 0.05.</w:t>
      </w:r>
      <w:r w:rsidR="005B1623" w:rsidRPr="00977582">
        <w:rPr>
          <w:rFonts w:ascii="Book Antiqua" w:hAnsi="Book Antiqua" w:cs="Times New Roman"/>
          <w:i/>
          <w:sz w:val="24"/>
        </w:rPr>
        <w:t xml:space="preserve"> </w:t>
      </w:r>
      <w:r w:rsidR="005D5A88" w:rsidRPr="00977582">
        <w:rPr>
          <w:rFonts w:ascii="Book Antiqua" w:hAnsi="Book Antiqua"/>
        </w:rPr>
        <w:t xml:space="preserve">To compare costs between patients with and without non-infectious diarrhea, we used multivariate analyses to adjust for baseline characteristics, including age, gender, region, and number of chronic conditions. </w:t>
      </w:r>
      <w:r w:rsidR="003507A2" w:rsidRPr="00977582">
        <w:rPr>
          <w:rFonts w:ascii="Book Antiqua" w:hAnsi="Book Antiqua"/>
        </w:rPr>
        <w:t xml:space="preserve">We used linear regression models to estimate </w:t>
      </w:r>
      <w:r w:rsidR="005D5A88" w:rsidRPr="00977582">
        <w:rPr>
          <w:rFonts w:ascii="Book Antiqua" w:hAnsi="Book Antiqua"/>
        </w:rPr>
        <w:t xml:space="preserve">overall healthcare costs, </w:t>
      </w:r>
      <w:r w:rsidR="00BB6062" w:rsidRPr="00977582">
        <w:rPr>
          <w:rFonts w:ascii="Book Antiqua" w:hAnsi="Book Antiqua"/>
        </w:rPr>
        <w:t>pharmacy</w:t>
      </w:r>
      <w:r w:rsidR="005D5A88" w:rsidRPr="00977582">
        <w:rPr>
          <w:rFonts w:ascii="Book Antiqua" w:hAnsi="Book Antiqua"/>
        </w:rPr>
        <w:t xml:space="preserve"> costs, non-</w:t>
      </w:r>
      <w:r w:rsidR="00BB6062" w:rsidRPr="00977582">
        <w:rPr>
          <w:rFonts w:ascii="Book Antiqua" w:hAnsi="Book Antiqua"/>
        </w:rPr>
        <w:t xml:space="preserve">pharmacy </w:t>
      </w:r>
      <w:r w:rsidR="005D5A88" w:rsidRPr="00977582">
        <w:rPr>
          <w:rFonts w:ascii="Book Antiqua" w:hAnsi="Book Antiqua"/>
        </w:rPr>
        <w:t>costs, outpatient non-ED costs, and number of office visits</w:t>
      </w:r>
      <w:r w:rsidR="003507A2" w:rsidRPr="00977582">
        <w:rPr>
          <w:rFonts w:ascii="Book Antiqua" w:hAnsi="Book Antiqua"/>
        </w:rPr>
        <w:t>, and logistic regression models f</w:t>
      </w:r>
      <w:r w:rsidR="005D5A88" w:rsidRPr="00977582">
        <w:rPr>
          <w:rFonts w:ascii="Book Antiqua" w:hAnsi="Book Antiqua"/>
        </w:rPr>
        <w:t>or risk of inpatient hospitalization and ED visit</w:t>
      </w:r>
      <w:r w:rsidR="003507A2" w:rsidRPr="00977582">
        <w:rPr>
          <w:rFonts w:ascii="Book Antiqua" w:hAnsi="Book Antiqua"/>
        </w:rPr>
        <w:t>s. As</w:t>
      </w:r>
      <w:r w:rsidR="005D5A88" w:rsidRPr="00977582">
        <w:rPr>
          <w:rFonts w:ascii="Book Antiqua" w:hAnsi="Book Antiqua"/>
        </w:rPr>
        <w:t xml:space="preserve"> </w:t>
      </w:r>
      <w:r w:rsidR="003507A2" w:rsidRPr="00977582">
        <w:rPr>
          <w:rFonts w:ascii="Book Antiqua" w:hAnsi="Book Antiqua"/>
        </w:rPr>
        <w:t xml:space="preserve">the </w:t>
      </w:r>
      <w:r w:rsidR="005D5A88" w:rsidRPr="00977582">
        <w:rPr>
          <w:rFonts w:ascii="Book Antiqua" w:hAnsi="Book Antiqua"/>
        </w:rPr>
        <w:t>majority patients had no hospitalization or ED visit, we use</w:t>
      </w:r>
      <w:r w:rsidR="003507A2" w:rsidRPr="00977582">
        <w:rPr>
          <w:rFonts w:ascii="Book Antiqua" w:hAnsi="Book Antiqua"/>
        </w:rPr>
        <w:t>d</w:t>
      </w:r>
      <w:r w:rsidR="005D5A88" w:rsidRPr="00977582">
        <w:rPr>
          <w:rFonts w:ascii="Book Antiqua" w:hAnsi="Book Antiqua"/>
        </w:rPr>
        <w:t xml:space="preserve"> </w:t>
      </w:r>
      <w:r w:rsidR="003507A2" w:rsidRPr="00977582">
        <w:rPr>
          <w:rFonts w:ascii="Book Antiqua" w:hAnsi="Book Antiqua"/>
        </w:rPr>
        <w:t xml:space="preserve">a </w:t>
      </w:r>
      <w:r w:rsidR="005D5A88" w:rsidRPr="00977582">
        <w:rPr>
          <w:rFonts w:ascii="Book Antiqua" w:hAnsi="Book Antiqua"/>
        </w:rPr>
        <w:t xml:space="preserve">2-step approach to estimate adjusted inpatient and ED costs. We first conducted logistic regression models to estimate the risk of </w:t>
      </w:r>
      <w:r w:rsidR="003507A2" w:rsidRPr="00977582">
        <w:rPr>
          <w:rFonts w:ascii="Book Antiqua" w:hAnsi="Book Antiqua"/>
        </w:rPr>
        <w:t xml:space="preserve">an event </w:t>
      </w:r>
      <w:r w:rsidR="00C9134F" w:rsidRPr="00977582">
        <w:rPr>
          <w:rFonts w:ascii="Book Antiqua" w:hAnsi="Book Antiqua"/>
        </w:rPr>
        <w:t xml:space="preserve">then </w:t>
      </w:r>
      <w:r w:rsidR="003507A2" w:rsidRPr="00977582">
        <w:rPr>
          <w:rFonts w:ascii="Book Antiqua" w:hAnsi="Book Antiqua"/>
        </w:rPr>
        <w:t xml:space="preserve">used </w:t>
      </w:r>
      <w:r w:rsidR="005D5A88" w:rsidRPr="00977582">
        <w:rPr>
          <w:rFonts w:ascii="Book Antiqua" w:hAnsi="Book Antiqua"/>
        </w:rPr>
        <w:t>linear regression to estimate the adjusted costs among patients who had such event.</w:t>
      </w:r>
      <w:r w:rsidR="005B1623" w:rsidRPr="00977582">
        <w:rPr>
          <w:rFonts w:ascii="Book Antiqua" w:hAnsi="Book Antiqua"/>
          <w:i/>
        </w:rPr>
        <w:t xml:space="preserve"> </w:t>
      </w:r>
      <w:r w:rsidRPr="00977582">
        <w:rPr>
          <w:rFonts w:ascii="Book Antiqua" w:hAnsi="Book Antiqua" w:cs="Times New Roman"/>
          <w:sz w:val="24"/>
        </w:rPr>
        <w:t>D</w:t>
      </w:r>
      <w:r w:rsidR="00ED159C" w:rsidRPr="00977582">
        <w:rPr>
          <w:rFonts w:ascii="Book Antiqua" w:hAnsi="Book Antiqua" w:cs="Times New Roman"/>
          <w:sz w:val="24"/>
        </w:rPr>
        <w:t>ata transformations and statistical analyses were performed using SAS</w:t>
      </w:r>
      <w:r w:rsidR="00ED159C" w:rsidRPr="00977582">
        <w:rPr>
          <w:rFonts w:ascii="Book Antiqua" w:hAnsi="Book Antiqua" w:cs="Times New Roman"/>
          <w:sz w:val="24"/>
          <w:vertAlign w:val="superscript"/>
        </w:rPr>
        <w:t>®</w:t>
      </w:r>
      <w:r w:rsidR="00ED159C" w:rsidRPr="00977582">
        <w:rPr>
          <w:rFonts w:ascii="Book Antiqua" w:hAnsi="Book Antiqua" w:cs="Times New Roman"/>
          <w:sz w:val="24"/>
        </w:rPr>
        <w:t xml:space="preserve"> version 9.4 (SAS Institute, Cary, NC).</w:t>
      </w:r>
    </w:p>
    <w:p w14:paraId="72E54C6B" w14:textId="09A7428C" w:rsidR="00EA7E59" w:rsidRPr="00977582" w:rsidRDefault="00EA7E59" w:rsidP="0041646E">
      <w:pPr>
        <w:adjustRightInd w:val="0"/>
        <w:snapToGrid w:val="0"/>
        <w:spacing w:after="0" w:line="360" w:lineRule="auto"/>
        <w:jc w:val="both"/>
        <w:rPr>
          <w:rFonts w:ascii="Book Antiqua" w:hAnsi="Book Antiqua" w:cs="Times New Roman"/>
          <w:color w:val="000000" w:themeColor="text1"/>
        </w:rPr>
      </w:pPr>
    </w:p>
    <w:p w14:paraId="72E54C6C" w14:textId="77777777" w:rsidR="001B09E2" w:rsidRPr="00977582" w:rsidRDefault="00DD4193"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t>RESULTS</w:t>
      </w:r>
    </w:p>
    <w:p w14:paraId="72E54C6D" w14:textId="3BAAFA86" w:rsidR="001B09E2" w:rsidRPr="008157ED" w:rsidRDefault="001B09E2" w:rsidP="0041646E">
      <w:pPr>
        <w:adjustRightInd w:val="0"/>
        <w:snapToGrid w:val="0"/>
        <w:spacing w:after="0" w:line="360" w:lineRule="auto"/>
        <w:jc w:val="both"/>
        <w:rPr>
          <w:rFonts w:ascii="Book Antiqua" w:hAnsi="Book Antiqua" w:cs="Times New Roman"/>
          <w:b/>
          <w:i/>
          <w:color w:val="000000" w:themeColor="text1"/>
        </w:rPr>
      </w:pPr>
      <w:r w:rsidRPr="008157ED">
        <w:rPr>
          <w:rFonts w:ascii="Book Antiqua" w:hAnsi="Book Antiqua" w:cs="Times New Roman"/>
          <w:b/>
          <w:i/>
          <w:color w:val="000000" w:themeColor="text1"/>
        </w:rPr>
        <w:t>Baselin</w:t>
      </w:r>
      <w:r w:rsidR="008157ED" w:rsidRPr="008157ED">
        <w:rPr>
          <w:rFonts w:ascii="Book Antiqua" w:hAnsi="Book Antiqua" w:cs="Times New Roman"/>
          <w:b/>
          <w:i/>
          <w:color w:val="000000" w:themeColor="text1"/>
        </w:rPr>
        <w:t>e characteristics</w:t>
      </w:r>
    </w:p>
    <w:p w14:paraId="72E54C6E" w14:textId="250287AC"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The </w:t>
      </w:r>
      <w:r w:rsidR="008157ED">
        <w:rPr>
          <w:rFonts w:ascii="Book Antiqua" w:hAnsi="Book Antiqua" w:cs="Times New Roman"/>
          <w:color w:val="000000" w:themeColor="text1"/>
        </w:rPr>
        <w:t>overall study cohort included 2</w:t>
      </w:r>
      <w:r w:rsidRPr="00977582">
        <w:rPr>
          <w:rFonts w:ascii="Book Antiqua" w:hAnsi="Book Antiqua" w:cs="Times New Roman"/>
          <w:color w:val="000000" w:themeColor="text1"/>
        </w:rPr>
        <w:t>822 patients newly diagnosed with CS (</w:t>
      </w:r>
      <w:r w:rsidR="00AB15BA" w:rsidRPr="00977582">
        <w:rPr>
          <w:rFonts w:ascii="Book Antiqua" w:hAnsi="Book Antiqua" w:cs="Times New Roman"/>
          <w:color w:val="000000" w:themeColor="text1"/>
        </w:rPr>
        <w:t>Figure</w:t>
      </w:r>
      <w:r w:rsidR="00C2071F" w:rsidRPr="00977582">
        <w:rPr>
          <w:rFonts w:ascii="Book Antiqua" w:hAnsi="Book Antiqua" w:cs="Times New Roman"/>
          <w:color w:val="000000" w:themeColor="text1"/>
        </w:rPr>
        <w:t xml:space="preserve"> 1</w:t>
      </w:r>
      <w:r w:rsidRPr="00977582">
        <w:rPr>
          <w:rFonts w:ascii="Book Antiqua" w:hAnsi="Book Antiqua" w:cs="Times New Roman"/>
          <w:color w:val="000000" w:themeColor="text1"/>
        </w:rPr>
        <w:t xml:space="preserve">). Mean age among patients was 51.5 years, 56.9% were women and 43.0% lived in the southern United States. Patients had a mean </w:t>
      </w:r>
      <w:r w:rsidR="00F062B3" w:rsidRPr="00977582">
        <w:rPr>
          <w:rFonts w:ascii="Book Antiqua" w:hAnsi="Book Antiqua" w:cs="Times New Roman"/>
          <w:color w:val="000000" w:themeColor="text1"/>
        </w:rPr>
        <w:t xml:space="preserve">Charlson Comorbidity Index </w:t>
      </w:r>
      <w:r w:rsidRPr="00977582">
        <w:rPr>
          <w:rFonts w:ascii="Book Antiqua" w:hAnsi="Book Antiqua" w:cs="Times New Roman"/>
          <w:color w:val="000000" w:themeColor="text1"/>
        </w:rPr>
        <w:t xml:space="preserve">of 3.6 and were diagnosed with a mean 3.5 chronic conditions. Of the total study cohort, </w:t>
      </w:r>
      <w:r w:rsidR="00352317" w:rsidRPr="00977582">
        <w:rPr>
          <w:rFonts w:ascii="Book Antiqua" w:hAnsi="Book Antiqua" w:cs="Times New Roman"/>
          <w:color w:val="000000" w:themeColor="text1"/>
        </w:rPr>
        <w:t>534</w:t>
      </w:r>
      <w:r w:rsidRPr="00977582">
        <w:rPr>
          <w:rFonts w:ascii="Book Antiqua" w:hAnsi="Book Antiqua" w:cs="Times New Roman"/>
          <w:color w:val="000000" w:themeColor="text1"/>
        </w:rPr>
        <w:t xml:space="preserve"> patients (18.9%) had at least one claim associated with non-infectious diarrhea. There were no significant differences between those with non-infectious diarrhea and those without when considering age, geographic region and CCI. A significant</w:t>
      </w:r>
      <w:r w:rsidR="00325E24" w:rsidRPr="00977582">
        <w:rPr>
          <w:rFonts w:ascii="Book Antiqua" w:hAnsi="Book Antiqua" w:cs="Times New Roman"/>
          <w:color w:val="000000" w:themeColor="text1"/>
        </w:rPr>
        <w:t xml:space="preserve">ly higher </w:t>
      </w:r>
      <w:r w:rsidRPr="00977582">
        <w:rPr>
          <w:rFonts w:ascii="Book Antiqua" w:hAnsi="Book Antiqua" w:cs="Times New Roman"/>
          <w:color w:val="000000" w:themeColor="text1"/>
        </w:rPr>
        <w:t xml:space="preserve">number of chronic conditions was observed among those with diarrhea compared to those without (4.0 </w:t>
      </w:r>
      <w:r w:rsidRPr="008157ED">
        <w:rPr>
          <w:rFonts w:ascii="Book Antiqua" w:hAnsi="Book Antiqua" w:cs="Times New Roman"/>
          <w:i/>
          <w:color w:val="000000" w:themeColor="text1"/>
        </w:rPr>
        <w:t>vs</w:t>
      </w:r>
      <w:r w:rsidRPr="00977582">
        <w:rPr>
          <w:rFonts w:ascii="Book Antiqua" w:hAnsi="Book Antiqua" w:cs="Times New Roman"/>
          <w:color w:val="000000" w:themeColor="text1"/>
        </w:rPr>
        <w:t xml:space="preserve"> 3.4;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Additionally, a higher percentage of patients with diarrhea were female compared to those without (62.4%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55.6%; </w:t>
      </w:r>
      <w:r w:rsidRPr="008157ED">
        <w:rPr>
          <w:rFonts w:ascii="Book Antiqua" w:hAnsi="Book Antiqua" w:cs="Times New Roman"/>
          <w:i/>
          <w:caps/>
          <w:color w:val="000000" w:themeColor="text1"/>
        </w:rPr>
        <w:t>p</w:t>
      </w:r>
      <w:r w:rsidR="008157ED">
        <w:rPr>
          <w:rFonts w:ascii="Book Antiqua" w:hAnsi="Book Antiqua" w:cs="Times New Roman" w:hint="eastAsia"/>
          <w:i/>
          <w:caps/>
          <w:color w:val="000000" w:themeColor="text1"/>
          <w:lang w:eastAsia="zh-CN"/>
        </w:rPr>
        <w:t xml:space="preserve"> </w:t>
      </w:r>
      <w:r w:rsidRPr="00977582">
        <w:rPr>
          <w:rFonts w:ascii="Book Antiqua" w:hAnsi="Book Antiqua" w:cs="Times New Roman"/>
          <w:color w:val="000000" w:themeColor="text1"/>
        </w:rPr>
        <w:t>=</w:t>
      </w:r>
      <w:r w:rsidR="008157ED">
        <w:rPr>
          <w:rFonts w:ascii="Book Antiqua" w:hAnsi="Book Antiqua" w:cs="Times New Roman" w:hint="eastAsia"/>
          <w:color w:val="000000" w:themeColor="text1"/>
          <w:lang w:eastAsia="zh-CN"/>
        </w:rPr>
        <w:t xml:space="preserve"> </w:t>
      </w:r>
      <w:r w:rsidR="008157ED" w:rsidRPr="008157ED">
        <w:rPr>
          <w:rFonts w:ascii="Book Antiqua" w:hAnsi="Book Antiqua" w:cs="Times New Roman" w:hint="eastAsia"/>
          <w:color w:val="000000" w:themeColor="text1"/>
          <w:lang w:eastAsia="zh-CN"/>
        </w:rPr>
        <w:t>0</w:t>
      </w:r>
      <w:r w:rsidRPr="00977582">
        <w:rPr>
          <w:rFonts w:ascii="Book Antiqua" w:hAnsi="Book Antiqua" w:cs="Times New Roman"/>
          <w:color w:val="000000" w:themeColor="text1"/>
        </w:rPr>
        <w:t>.005)</w:t>
      </w:r>
      <w:r w:rsidR="00C2071F" w:rsidRPr="00977582">
        <w:rPr>
          <w:rFonts w:ascii="Book Antiqua" w:hAnsi="Book Antiqua" w:cs="Times New Roman"/>
          <w:color w:val="000000" w:themeColor="text1"/>
        </w:rPr>
        <w:t xml:space="preserve"> (Table 1)</w:t>
      </w:r>
      <w:r w:rsidRPr="00977582">
        <w:rPr>
          <w:rFonts w:ascii="Book Antiqua" w:hAnsi="Book Antiqua" w:cs="Times New Roman"/>
          <w:color w:val="000000" w:themeColor="text1"/>
        </w:rPr>
        <w:t>.</w:t>
      </w:r>
    </w:p>
    <w:p w14:paraId="6D1BAAF2" w14:textId="77777777" w:rsidR="008157ED" w:rsidRDefault="008157ED" w:rsidP="0041646E">
      <w:pPr>
        <w:adjustRightInd w:val="0"/>
        <w:snapToGrid w:val="0"/>
        <w:spacing w:after="0" w:line="360" w:lineRule="auto"/>
        <w:jc w:val="both"/>
        <w:rPr>
          <w:rFonts w:ascii="Book Antiqua" w:hAnsi="Book Antiqua" w:cs="Times New Roman"/>
          <w:b/>
          <w:color w:val="000000" w:themeColor="text1"/>
          <w:lang w:eastAsia="zh-CN"/>
        </w:rPr>
      </w:pPr>
    </w:p>
    <w:p w14:paraId="72E54C6F" w14:textId="389746AA" w:rsidR="001B09E2" w:rsidRPr="008157ED" w:rsidRDefault="001B09E2" w:rsidP="0041646E">
      <w:pPr>
        <w:adjustRightInd w:val="0"/>
        <w:snapToGrid w:val="0"/>
        <w:spacing w:after="0" w:line="360" w:lineRule="auto"/>
        <w:jc w:val="both"/>
        <w:rPr>
          <w:rFonts w:ascii="Book Antiqua" w:hAnsi="Book Antiqua" w:cs="Times New Roman"/>
          <w:b/>
          <w:i/>
          <w:color w:val="000000" w:themeColor="text1"/>
        </w:rPr>
      </w:pPr>
      <w:r w:rsidRPr="008157ED">
        <w:rPr>
          <w:rFonts w:ascii="Book Antiqua" w:hAnsi="Book Antiqua" w:cs="Times New Roman"/>
          <w:b/>
          <w:i/>
          <w:color w:val="000000" w:themeColor="text1"/>
        </w:rPr>
        <w:t>Unadjusted</w:t>
      </w:r>
      <w:r w:rsidR="008157ED" w:rsidRPr="008157ED">
        <w:rPr>
          <w:rFonts w:ascii="Book Antiqua" w:hAnsi="Book Antiqua" w:cs="Times New Roman"/>
          <w:b/>
          <w:i/>
          <w:color w:val="000000" w:themeColor="text1"/>
        </w:rPr>
        <w:t xml:space="preserve"> healthcare resource utilization and costs</w:t>
      </w:r>
    </w:p>
    <w:p w14:paraId="72E54C70" w14:textId="434081A6"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CS patients with diarrhea had significantly higher rates of unadjusted healthcare resource utilization compared to patients without diarrhea (Table 2). In comparison to those without diarrhea, those with diarrhea more commonly had at least one hospitalization (49.6%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39.6%,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at least one ED visit for any cause (13.4%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9.2%,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as well as more all-cause office visits in one year (25.5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18.7, </w:t>
      </w:r>
      <w:r w:rsidR="003A691C" w:rsidRPr="00977582">
        <w:rPr>
          <w:rFonts w:ascii="Book Antiqua" w:hAnsi="Book Antiqua" w:cs="Times New Roman"/>
          <w:i/>
          <w:caps/>
          <w:color w:val="000000" w:themeColor="text1"/>
        </w:rPr>
        <w:t xml:space="preserve">p &lt; </w:t>
      </w:r>
      <w:r w:rsidR="008157ED" w:rsidRP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Moreover, the mean duration of all-cause hospitalization among patients with diarrhea was longer than in those without diarrhea (11.6 </w:t>
      </w:r>
      <w:r w:rsidR="008157ED" w:rsidRPr="00977582">
        <w:rPr>
          <w:rFonts w:ascii="Book Antiqua" w:hAnsi="Book Antiqua" w:cs="Times New Roman"/>
          <w:color w:val="000000" w:themeColor="text1"/>
        </w:rPr>
        <w:t>d</w:t>
      </w:r>
      <w:r w:rsidR="008157ED" w:rsidRPr="00977582">
        <w:rPr>
          <w:rFonts w:ascii="Book Antiqua" w:hAnsi="Book Antiqua" w:cs="Times New Roman"/>
          <w:i/>
          <w:color w:val="000000" w:themeColor="text1"/>
        </w:rPr>
        <w:t xml:space="preserve">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8.0 d,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.001).</w:t>
      </w:r>
    </w:p>
    <w:p w14:paraId="72E54C71" w14:textId="5868D3E5" w:rsidR="001B09E2" w:rsidRPr="00977582" w:rsidRDefault="001B09E2"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 xml:space="preserve">Similar trends were observed in unadjusted CS-related healthcare resource utilization. Compared to patients without diarrhea, patients with diarrhea more commonly had at least one CS-related hospitalization (13.7%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7.2%,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at least one CS-related ED visit (11.0%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4.4%,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as well as more CS-related office visits in one year (6.9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4.1,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The mean duration of CS-related hospitalization among patients with diarrhea was also longer than in those without diarrhea (7.4 </w:t>
      </w:r>
      <w:r w:rsidR="008157ED">
        <w:rPr>
          <w:rFonts w:ascii="Book Antiqua" w:hAnsi="Book Antiqua" w:cs="Times New Roman" w:hint="eastAsia"/>
          <w:color w:val="000000" w:themeColor="text1"/>
          <w:lang w:eastAsia="zh-CN"/>
        </w:rPr>
        <w:t xml:space="preserve">d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 d,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.001).</w:t>
      </w:r>
    </w:p>
    <w:p w14:paraId="72E54C72" w14:textId="6616179D" w:rsidR="001B09E2" w:rsidRPr="00977582" w:rsidRDefault="001B09E2"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 xml:space="preserve">Unadjusted healthcare costs </w:t>
      </w:r>
      <w:r w:rsidR="00352317" w:rsidRPr="00977582">
        <w:rPr>
          <w:rFonts w:ascii="Book Antiqua" w:hAnsi="Book Antiqua" w:cs="Times New Roman"/>
          <w:color w:val="000000" w:themeColor="text1"/>
        </w:rPr>
        <w:t>–</w:t>
      </w:r>
      <w:r w:rsidRPr="00977582">
        <w:rPr>
          <w:rFonts w:ascii="Book Antiqua" w:hAnsi="Book Antiqua" w:cs="Times New Roman"/>
          <w:color w:val="000000" w:themeColor="text1"/>
        </w:rPr>
        <w:t xml:space="preserve"> </w:t>
      </w:r>
      <w:r w:rsidR="00352317" w:rsidRPr="00977582">
        <w:rPr>
          <w:rFonts w:ascii="Book Antiqua" w:hAnsi="Book Antiqua" w:cs="Times New Roman"/>
          <w:color w:val="000000" w:themeColor="text1"/>
        </w:rPr>
        <w:t xml:space="preserve">both </w:t>
      </w:r>
      <w:r w:rsidRPr="00977582">
        <w:rPr>
          <w:rFonts w:ascii="Book Antiqua" w:hAnsi="Book Antiqua" w:cs="Times New Roman"/>
          <w:color w:val="000000" w:themeColor="text1"/>
        </w:rPr>
        <w:t>in total</w:t>
      </w:r>
      <w:r w:rsidR="00352317" w:rsidRPr="00977582">
        <w:rPr>
          <w:rFonts w:ascii="Book Antiqua" w:hAnsi="Book Antiqua" w:cs="Times New Roman"/>
          <w:color w:val="000000" w:themeColor="text1"/>
        </w:rPr>
        <w:t>,</w:t>
      </w:r>
      <w:r w:rsidRPr="00977582">
        <w:rPr>
          <w:rFonts w:ascii="Book Antiqua" w:hAnsi="Book Antiqua" w:cs="Times New Roman"/>
          <w:color w:val="000000" w:themeColor="text1"/>
        </w:rPr>
        <w:t xml:space="preserve"> and divided </w:t>
      </w:r>
      <w:r w:rsidR="00352317" w:rsidRPr="00977582">
        <w:rPr>
          <w:rFonts w:ascii="Book Antiqua" w:hAnsi="Book Antiqua" w:cs="Times New Roman"/>
          <w:color w:val="000000" w:themeColor="text1"/>
        </w:rPr>
        <w:t>into</w:t>
      </w:r>
      <w:r w:rsidRPr="00977582">
        <w:rPr>
          <w:rFonts w:ascii="Book Antiqua" w:hAnsi="Book Antiqua" w:cs="Times New Roman"/>
          <w:color w:val="000000" w:themeColor="text1"/>
        </w:rPr>
        <w:t xml:space="preserve"> medical and pharmacy costs</w:t>
      </w:r>
      <w:r w:rsidR="004C46F5">
        <w:rPr>
          <w:rFonts w:ascii="Book Antiqua" w:hAnsi="Book Antiqua" w:cs="Times New Roman"/>
          <w:color w:val="000000" w:themeColor="text1"/>
        </w:rPr>
        <w:t>-</w:t>
      </w:r>
      <w:r w:rsidRPr="00977582">
        <w:rPr>
          <w:rFonts w:ascii="Book Antiqua" w:hAnsi="Book Antiqua" w:cs="Times New Roman"/>
          <w:color w:val="000000" w:themeColor="text1"/>
        </w:rPr>
        <w:t>were also significantly higher among patients with diarrhea compared to those without (Table 2). CS pati</w:t>
      </w:r>
      <w:r w:rsidR="008157ED">
        <w:rPr>
          <w:rFonts w:ascii="Book Antiqua" w:hAnsi="Book Antiqua" w:cs="Times New Roman"/>
          <w:color w:val="000000" w:themeColor="text1"/>
        </w:rPr>
        <w:t>ents with diarrhea incurred $82</w:t>
      </w:r>
      <w:r w:rsidRPr="00977582">
        <w:rPr>
          <w:rFonts w:ascii="Book Antiqua" w:hAnsi="Book Antiqua" w:cs="Times New Roman"/>
          <w:color w:val="000000" w:themeColor="text1"/>
        </w:rPr>
        <w:t>032 in annual total c</w:t>
      </w:r>
      <w:r w:rsidR="008157ED">
        <w:rPr>
          <w:rFonts w:ascii="Book Antiqua" w:hAnsi="Book Antiqua" w:cs="Times New Roman"/>
          <w:color w:val="000000" w:themeColor="text1"/>
        </w:rPr>
        <w:t>osts, 58.9% higher than the $51</w:t>
      </w:r>
      <w:r w:rsidRPr="00977582">
        <w:rPr>
          <w:rFonts w:ascii="Book Antiqua" w:hAnsi="Book Antiqua" w:cs="Times New Roman"/>
          <w:color w:val="000000" w:themeColor="text1"/>
        </w:rPr>
        <w:t>621 among those without diarrhea (</w:t>
      </w:r>
      <w:r w:rsidR="003A691C" w:rsidRPr="00977582">
        <w:rPr>
          <w:rFonts w:ascii="Book Antiqua" w:hAnsi="Book Antiqua" w:cs="Times New Roman"/>
          <w:i/>
          <w:caps/>
          <w:color w:val="000000" w:themeColor="text1"/>
        </w:rPr>
        <w:t>p &lt;</w:t>
      </w:r>
      <w:r w:rsidR="008157ED">
        <w:rPr>
          <w:rFonts w:ascii="Book Antiqua" w:hAnsi="Book Antiqua" w:cs="Times New Roman" w:hint="eastAsia"/>
          <w:i/>
          <w:caps/>
          <w:color w:val="000000" w:themeColor="text1"/>
          <w:lang w:eastAsia="zh-CN"/>
        </w:rPr>
        <w:t xml:space="preserve"> </w:t>
      </w:r>
      <w:r w:rsidR="008157ED" w:rsidRP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w:t>
      </w:r>
      <w:r w:rsidR="00BD7A35" w:rsidRPr="00977582">
        <w:rPr>
          <w:rFonts w:ascii="Book Antiqua" w:hAnsi="Book Antiqua" w:cs="Times New Roman"/>
          <w:color w:val="000000" w:themeColor="text1"/>
        </w:rPr>
        <w:t>In the one-year post index date, t</w:t>
      </w:r>
      <w:r w:rsidRPr="00977582">
        <w:rPr>
          <w:rFonts w:ascii="Book Antiqua" w:hAnsi="Book Antiqua" w:cs="Times New Roman"/>
          <w:color w:val="000000" w:themeColor="text1"/>
        </w:rPr>
        <w:t>hose with diarrh</w:t>
      </w:r>
      <w:r w:rsidR="008157ED">
        <w:rPr>
          <w:rFonts w:ascii="Book Antiqua" w:hAnsi="Book Antiqua" w:cs="Times New Roman"/>
          <w:color w:val="000000" w:themeColor="text1"/>
        </w:rPr>
        <w:t>ea also had higher medical ($74</w:t>
      </w:r>
      <w:r w:rsidRPr="00977582">
        <w:rPr>
          <w:rFonts w:ascii="Book Antiqua" w:hAnsi="Book Antiqua" w:cs="Times New Roman"/>
          <w:color w:val="000000" w:themeColor="text1"/>
        </w:rPr>
        <w:t xml:space="preserve">654 </w:t>
      </w:r>
      <w:r w:rsidR="003A691C" w:rsidRPr="00977582">
        <w:rPr>
          <w:rFonts w:ascii="Book Antiqua" w:hAnsi="Book Antiqua" w:cs="Times New Roman"/>
          <w:i/>
          <w:color w:val="000000" w:themeColor="text1"/>
        </w:rPr>
        <w:t>vs</w:t>
      </w:r>
      <w:r w:rsidR="008157ED">
        <w:rPr>
          <w:rFonts w:ascii="Book Antiqua" w:hAnsi="Book Antiqua" w:cs="Times New Roman"/>
          <w:color w:val="000000" w:themeColor="text1"/>
        </w:rPr>
        <w:t xml:space="preserve"> $47</w:t>
      </w:r>
      <w:r w:rsidRPr="00977582">
        <w:rPr>
          <w:rFonts w:ascii="Book Antiqua" w:hAnsi="Book Antiqua" w:cs="Times New Roman"/>
          <w:color w:val="000000" w:themeColor="text1"/>
        </w:rPr>
        <w:t xml:space="preserve">083,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8157ED">
        <w:rPr>
          <w:rFonts w:ascii="Book Antiqua" w:hAnsi="Book Antiqua" w:cs="Times New Roman"/>
          <w:color w:val="000000" w:themeColor="text1"/>
        </w:rPr>
        <w:t>.001) and pharmacy costs ($7</w:t>
      </w:r>
      <w:r w:rsidRPr="00977582">
        <w:rPr>
          <w:rFonts w:ascii="Book Antiqua" w:hAnsi="Book Antiqua" w:cs="Times New Roman"/>
          <w:color w:val="000000" w:themeColor="text1"/>
        </w:rPr>
        <w:t xml:space="preserve">378 </w:t>
      </w:r>
      <w:r w:rsidR="003A691C" w:rsidRPr="00977582">
        <w:rPr>
          <w:rFonts w:ascii="Book Antiqua" w:hAnsi="Book Antiqua" w:cs="Times New Roman"/>
          <w:i/>
          <w:color w:val="000000" w:themeColor="text1"/>
        </w:rPr>
        <w:t>vs</w:t>
      </w:r>
      <w:r w:rsidR="008157ED">
        <w:rPr>
          <w:rFonts w:ascii="Book Antiqua" w:hAnsi="Book Antiqua" w:cs="Times New Roman"/>
          <w:color w:val="000000" w:themeColor="text1"/>
        </w:rPr>
        <w:t xml:space="preserve"> $4</w:t>
      </w:r>
      <w:r w:rsidRPr="00977582">
        <w:rPr>
          <w:rFonts w:ascii="Book Antiqua" w:hAnsi="Book Antiqua" w:cs="Times New Roman"/>
          <w:color w:val="000000" w:themeColor="text1"/>
        </w:rPr>
        <w:t xml:space="preserve">538,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.001) compared to those without diarrhea.</w:t>
      </w:r>
      <w:r w:rsidR="00954485" w:rsidRPr="00977582">
        <w:rPr>
          <w:rFonts w:ascii="Book Antiqua" w:hAnsi="Book Antiqua" w:cs="Times New Roman"/>
          <w:color w:val="000000" w:themeColor="text1"/>
        </w:rPr>
        <w:t xml:space="preserve"> Components of medical cost also differed significantly between g</w:t>
      </w:r>
      <w:r w:rsidR="008157ED">
        <w:rPr>
          <w:rFonts w:ascii="Book Antiqua" w:hAnsi="Book Antiqua" w:cs="Times New Roman"/>
          <w:color w:val="000000" w:themeColor="text1"/>
        </w:rPr>
        <w:t>roups. Inpatient costs were $27</w:t>
      </w:r>
      <w:r w:rsidR="00954485" w:rsidRPr="00977582">
        <w:rPr>
          <w:rFonts w:ascii="Book Antiqua" w:hAnsi="Book Antiqua" w:cs="Times New Roman"/>
          <w:color w:val="000000" w:themeColor="text1"/>
        </w:rPr>
        <w:t>018 in patient</w:t>
      </w:r>
      <w:r w:rsidR="008157ED">
        <w:rPr>
          <w:rFonts w:ascii="Book Antiqua" w:hAnsi="Book Antiqua" w:cs="Times New Roman"/>
          <w:color w:val="000000" w:themeColor="text1"/>
        </w:rPr>
        <w:t>s with diarrhea compared to $16</w:t>
      </w:r>
      <w:r w:rsidR="00954485" w:rsidRPr="00977582">
        <w:rPr>
          <w:rFonts w:ascii="Book Antiqua" w:hAnsi="Book Antiqua" w:cs="Times New Roman"/>
          <w:color w:val="000000" w:themeColor="text1"/>
        </w:rPr>
        <w:t>609 in those without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954485" w:rsidRPr="00977582">
        <w:rPr>
          <w:rFonts w:ascii="Book Antiqua" w:hAnsi="Book Antiqua" w:cs="Times New Roman"/>
          <w:color w:val="000000" w:themeColor="text1"/>
        </w:rPr>
        <w:t>.001). Ou</w:t>
      </w:r>
      <w:r w:rsidR="008157ED">
        <w:rPr>
          <w:rFonts w:ascii="Book Antiqua" w:hAnsi="Book Antiqua" w:cs="Times New Roman"/>
          <w:color w:val="000000" w:themeColor="text1"/>
        </w:rPr>
        <w:t>tpatient medical costs were $46</w:t>
      </w:r>
      <w:r w:rsidR="00954485" w:rsidRPr="00977582">
        <w:rPr>
          <w:rFonts w:ascii="Book Antiqua" w:hAnsi="Book Antiqua" w:cs="Times New Roman"/>
          <w:color w:val="000000" w:themeColor="text1"/>
        </w:rPr>
        <w:t xml:space="preserve">917 </w:t>
      </w:r>
      <w:r w:rsidR="003A691C" w:rsidRPr="00977582">
        <w:rPr>
          <w:rFonts w:ascii="Book Antiqua" w:hAnsi="Book Antiqua" w:cs="Times New Roman"/>
          <w:i/>
          <w:color w:val="000000" w:themeColor="text1"/>
        </w:rPr>
        <w:t>vs</w:t>
      </w:r>
      <w:r w:rsidR="008157ED">
        <w:rPr>
          <w:rFonts w:ascii="Book Antiqua" w:hAnsi="Book Antiqua" w:cs="Times New Roman"/>
          <w:color w:val="000000" w:themeColor="text1"/>
        </w:rPr>
        <w:t xml:space="preserve"> $30</w:t>
      </w:r>
      <w:r w:rsidR="00954485" w:rsidRPr="00977582">
        <w:rPr>
          <w:rFonts w:ascii="Book Antiqua" w:hAnsi="Book Antiqua" w:cs="Times New Roman"/>
          <w:color w:val="000000" w:themeColor="text1"/>
        </w:rPr>
        <w:t>140 (</w:t>
      </w:r>
      <w:r w:rsidR="003A691C" w:rsidRPr="00977582">
        <w:rPr>
          <w:rFonts w:ascii="Book Antiqua" w:hAnsi="Book Antiqua" w:cs="Times New Roman"/>
          <w:i/>
          <w:caps/>
          <w:color w:val="000000" w:themeColor="text1"/>
        </w:rPr>
        <w:t xml:space="preserve">p &lt; </w:t>
      </w:r>
      <w:r w:rsidR="008157ED" w:rsidRPr="008157ED">
        <w:rPr>
          <w:rFonts w:ascii="Book Antiqua" w:hAnsi="Book Antiqua" w:cs="Times New Roman" w:hint="eastAsia"/>
          <w:caps/>
          <w:color w:val="000000" w:themeColor="text1"/>
          <w:lang w:eastAsia="zh-CN"/>
        </w:rPr>
        <w:t>0</w:t>
      </w:r>
      <w:r w:rsidR="00954485" w:rsidRPr="00977582">
        <w:rPr>
          <w:rFonts w:ascii="Book Antiqua" w:hAnsi="Book Antiqua" w:cs="Times New Roman"/>
          <w:color w:val="000000" w:themeColor="text1"/>
        </w:rPr>
        <w:t xml:space="preserve">.001), and ED costs were $719 </w:t>
      </w:r>
      <w:r w:rsidR="003A691C" w:rsidRPr="00977582">
        <w:rPr>
          <w:rFonts w:ascii="Book Antiqua" w:hAnsi="Book Antiqua" w:cs="Times New Roman"/>
          <w:i/>
          <w:color w:val="000000" w:themeColor="text1"/>
        </w:rPr>
        <w:t>vs</w:t>
      </w:r>
      <w:r w:rsidR="00954485" w:rsidRPr="00977582">
        <w:rPr>
          <w:rFonts w:ascii="Book Antiqua" w:hAnsi="Book Antiqua" w:cs="Times New Roman"/>
          <w:color w:val="000000" w:themeColor="text1"/>
        </w:rPr>
        <w:t xml:space="preserve"> $334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954485" w:rsidRPr="00977582">
        <w:rPr>
          <w:rFonts w:ascii="Book Antiqua" w:hAnsi="Book Antiqua" w:cs="Times New Roman"/>
          <w:color w:val="000000" w:themeColor="text1"/>
        </w:rPr>
        <w:t>.001)</w:t>
      </w:r>
      <w:r w:rsidR="00880304" w:rsidRPr="00977582">
        <w:rPr>
          <w:rFonts w:ascii="Book Antiqua" w:hAnsi="Book Antiqua" w:cs="Times New Roman"/>
          <w:color w:val="000000" w:themeColor="text1"/>
        </w:rPr>
        <w:t xml:space="preserve"> in CS patients with </w:t>
      </w:r>
      <w:r w:rsidR="003A691C" w:rsidRPr="00977582">
        <w:rPr>
          <w:rFonts w:ascii="Book Antiqua" w:hAnsi="Book Antiqua" w:cs="Times New Roman"/>
          <w:i/>
          <w:color w:val="000000" w:themeColor="text1"/>
        </w:rPr>
        <w:t>vs</w:t>
      </w:r>
      <w:r w:rsidR="00880304" w:rsidRPr="00977582">
        <w:rPr>
          <w:rFonts w:ascii="Book Antiqua" w:hAnsi="Book Antiqua" w:cs="Times New Roman"/>
          <w:color w:val="000000" w:themeColor="text1"/>
        </w:rPr>
        <w:t xml:space="preserve"> without diarrhea</w:t>
      </w:r>
      <w:r w:rsidR="00954485" w:rsidRPr="00977582">
        <w:rPr>
          <w:rFonts w:ascii="Book Antiqua" w:hAnsi="Book Antiqua" w:cs="Times New Roman"/>
          <w:color w:val="000000" w:themeColor="text1"/>
        </w:rPr>
        <w:t>.</w:t>
      </w:r>
    </w:p>
    <w:p w14:paraId="4E225E83" w14:textId="77777777" w:rsidR="008157ED" w:rsidRDefault="008157ED" w:rsidP="0041646E">
      <w:pPr>
        <w:tabs>
          <w:tab w:val="left" w:pos="4965"/>
        </w:tabs>
        <w:adjustRightInd w:val="0"/>
        <w:snapToGrid w:val="0"/>
        <w:spacing w:after="0" w:line="360" w:lineRule="auto"/>
        <w:jc w:val="both"/>
        <w:rPr>
          <w:rFonts w:ascii="Book Antiqua" w:hAnsi="Book Antiqua" w:cs="Times New Roman"/>
          <w:b/>
          <w:color w:val="000000" w:themeColor="text1"/>
          <w:lang w:eastAsia="zh-CN"/>
        </w:rPr>
      </w:pPr>
    </w:p>
    <w:p w14:paraId="72E54C73" w14:textId="2B1D64A1" w:rsidR="001B09E2" w:rsidRPr="008157ED" w:rsidRDefault="001B09E2" w:rsidP="0041646E">
      <w:pPr>
        <w:tabs>
          <w:tab w:val="left" w:pos="4965"/>
        </w:tabs>
        <w:adjustRightInd w:val="0"/>
        <w:snapToGrid w:val="0"/>
        <w:spacing w:after="0" w:line="360" w:lineRule="auto"/>
        <w:jc w:val="both"/>
        <w:rPr>
          <w:rFonts w:ascii="Book Antiqua" w:hAnsi="Book Antiqua" w:cs="Times New Roman"/>
          <w:b/>
          <w:i/>
          <w:color w:val="000000" w:themeColor="text1"/>
        </w:rPr>
      </w:pPr>
      <w:r w:rsidRPr="008157ED">
        <w:rPr>
          <w:rFonts w:ascii="Book Antiqua" w:hAnsi="Book Antiqua" w:cs="Times New Roman"/>
          <w:b/>
          <w:i/>
          <w:color w:val="000000" w:themeColor="text1"/>
        </w:rPr>
        <w:lastRenderedPageBreak/>
        <w:t>Adjusted</w:t>
      </w:r>
      <w:r w:rsidR="008157ED" w:rsidRPr="008157ED">
        <w:rPr>
          <w:rFonts w:ascii="Book Antiqua" w:hAnsi="Book Antiqua" w:cs="Times New Roman"/>
          <w:b/>
          <w:i/>
          <w:color w:val="000000" w:themeColor="text1"/>
        </w:rPr>
        <w:t xml:space="preserve"> healthcare resource utilization and costs</w:t>
      </w:r>
    </w:p>
    <w:p w14:paraId="72E54C74" w14:textId="0304C6F6"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After adjusting for age, gender, geographic region and number of chronic conditions, the differences in our primary outcomes of interest were still significant</w:t>
      </w:r>
      <w:r w:rsidR="00BD7A35" w:rsidRPr="00977582">
        <w:rPr>
          <w:rFonts w:ascii="Book Antiqua" w:hAnsi="Book Antiqua" w:cs="Times New Roman"/>
          <w:color w:val="000000" w:themeColor="text1"/>
        </w:rPr>
        <w:t xml:space="preserve"> in the one-year post index date</w:t>
      </w:r>
      <w:r w:rsidRPr="00977582">
        <w:rPr>
          <w:rFonts w:ascii="Book Antiqua" w:hAnsi="Book Antiqua" w:cs="Times New Roman"/>
          <w:color w:val="000000" w:themeColor="text1"/>
        </w:rPr>
        <w:t>. The odds of any hospitalization were 1</w:t>
      </w:r>
      <w:r w:rsidR="008157ED">
        <w:rPr>
          <w:rFonts w:ascii="Book Antiqua" w:hAnsi="Book Antiqua" w:cs="Times New Roman"/>
          <w:color w:val="000000" w:themeColor="text1"/>
        </w:rPr>
        <w:t>.48 (95%</w:t>
      </w:r>
      <w:r w:rsidR="00AB15BA" w:rsidRPr="00977582">
        <w:rPr>
          <w:rFonts w:ascii="Book Antiqua" w:hAnsi="Book Antiqua" w:cs="Times New Roman"/>
          <w:color w:val="000000" w:themeColor="text1"/>
        </w:rPr>
        <w:t>CI: 1.22</w:t>
      </w:r>
      <w:r w:rsidR="008157ED">
        <w:rPr>
          <w:rFonts w:ascii="Book Antiqua" w:hAnsi="Book Antiqua" w:cs="Times New Roman" w:hint="eastAsia"/>
          <w:color w:val="000000" w:themeColor="text1"/>
          <w:lang w:eastAsia="zh-CN"/>
        </w:rPr>
        <w:t>-</w:t>
      </w:r>
      <w:r w:rsidR="00AB15BA" w:rsidRPr="00977582">
        <w:rPr>
          <w:rFonts w:ascii="Book Antiqua" w:hAnsi="Book Antiqua" w:cs="Times New Roman"/>
          <w:color w:val="000000" w:themeColor="text1"/>
        </w:rPr>
        <w:t xml:space="preserve">1.79; </w:t>
      </w:r>
      <w:r w:rsidR="003A691C" w:rsidRPr="00977582">
        <w:rPr>
          <w:rFonts w:ascii="Book Antiqua" w:hAnsi="Book Antiqua" w:cs="Times New Roman"/>
          <w:i/>
          <w:caps/>
          <w:color w:val="000000" w:themeColor="text1"/>
        </w:rPr>
        <w:t xml:space="preserve">p &lt; </w:t>
      </w:r>
      <w:r w:rsidR="008157ED" w:rsidRPr="008157ED">
        <w:rPr>
          <w:rFonts w:ascii="Book Antiqua" w:hAnsi="Book Antiqua" w:cs="Times New Roman" w:hint="eastAsia"/>
          <w:caps/>
          <w:color w:val="000000" w:themeColor="text1"/>
          <w:lang w:eastAsia="zh-CN"/>
        </w:rPr>
        <w:t>0</w:t>
      </w:r>
      <w:r w:rsidR="00AB15BA" w:rsidRPr="00977582">
        <w:rPr>
          <w:rFonts w:ascii="Book Antiqua" w:hAnsi="Book Antiqua" w:cs="Times New Roman"/>
          <w:color w:val="000000" w:themeColor="text1"/>
        </w:rPr>
        <w:t>.001)</w:t>
      </w:r>
      <w:r w:rsidRPr="00977582">
        <w:rPr>
          <w:rFonts w:ascii="Book Antiqua" w:hAnsi="Book Antiqua" w:cs="Times New Roman"/>
          <w:color w:val="000000" w:themeColor="text1"/>
        </w:rPr>
        <w:t xml:space="preserve"> </w:t>
      </w:r>
      <w:r w:rsidR="00AB15BA" w:rsidRPr="00977582">
        <w:rPr>
          <w:rFonts w:ascii="Book Antiqua" w:hAnsi="Book Antiqua" w:cs="Times New Roman"/>
          <w:color w:val="000000" w:themeColor="text1"/>
        </w:rPr>
        <w:t>(</w:t>
      </w:r>
      <w:r w:rsidRPr="00977582">
        <w:rPr>
          <w:rFonts w:ascii="Book Antiqua" w:hAnsi="Book Antiqua" w:cs="Times New Roman"/>
          <w:color w:val="000000" w:themeColor="text1"/>
        </w:rPr>
        <w:t xml:space="preserve">Table 3) times greater among those with diarrhea compared to those without. The adjusted proportion of patients with any hospitalization was 9.6% higher among </w:t>
      </w:r>
      <w:r w:rsidR="008157ED">
        <w:rPr>
          <w:rFonts w:ascii="Book Antiqua" w:hAnsi="Book Antiqua" w:cs="Times New Roman"/>
          <w:color w:val="000000" w:themeColor="text1"/>
        </w:rPr>
        <w:t>those with diarrhea [49.3% (95%</w:t>
      </w:r>
      <w:r w:rsidRPr="00977582">
        <w:rPr>
          <w:rFonts w:ascii="Book Antiqua" w:hAnsi="Book Antiqua" w:cs="Times New Roman"/>
          <w:color w:val="000000" w:themeColor="text1"/>
        </w:rPr>
        <w:t>CI: 45.0%</w:t>
      </w:r>
      <w:r w:rsidR="008157ED">
        <w:rPr>
          <w:rFonts w:ascii="Book Antiqua" w:hAnsi="Book Antiqua" w:cs="Times New Roman" w:hint="eastAsia"/>
          <w:color w:val="000000" w:themeColor="text1"/>
          <w:lang w:eastAsia="zh-CN"/>
        </w:rPr>
        <w:t>-</w:t>
      </w:r>
      <w:r w:rsidRPr="00977582">
        <w:rPr>
          <w:rFonts w:ascii="Book Antiqua" w:hAnsi="Book Antiqua" w:cs="Times New Roman"/>
          <w:color w:val="000000" w:themeColor="text1"/>
        </w:rPr>
        <w:t xml:space="preserve">53.5%) </w:t>
      </w:r>
      <w:r w:rsidR="003A691C" w:rsidRPr="00977582">
        <w:rPr>
          <w:rFonts w:ascii="Book Antiqua" w:hAnsi="Book Antiqua" w:cs="Times New Roman"/>
          <w:i/>
          <w:color w:val="000000" w:themeColor="text1"/>
        </w:rPr>
        <w:t>vs</w:t>
      </w:r>
      <w:r w:rsidR="008157ED">
        <w:rPr>
          <w:rFonts w:ascii="Book Antiqua" w:hAnsi="Book Antiqua" w:cs="Times New Roman"/>
          <w:color w:val="000000" w:themeColor="text1"/>
        </w:rPr>
        <w:t xml:space="preserve"> 39.7% (95%</w:t>
      </w:r>
      <w:r w:rsidR="00AB15BA" w:rsidRPr="00977582">
        <w:rPr>
          <w:rFonts w:ascii="Book Antiqua" w:hAnsi="Book Antiqua" w:cs="Times New Roman"/>
          <w:color w:val="000000" w:themeColor="text1"/>
        </w:rPr>
        <w:t>CI: 37.7%</w:t>
      </w:r>
      <w:r w:rsidR="008157ED">
        <w:rPr>
          <w:rFonts w:ascii="Book Antiqua" w:hAnsi="Book Antiqua" w:cs="Times New Roman" w:hint="eastAsia"/>
          <w:color w:val="000000" w:themeColor="text1"/>
          <w:lang w:eastAsia="zh-CN"/>
        </w:rPr>
        <w:t>-</w:t>
      </w:r>
      <w:r w:rsidR="00AB15BA" w:rsidRPr="00977582">
        <w:rPr>
          <w:rFonts w:ascii="Book Antiqua" w:hAnsi="Book Antiqua" w:cs="Times New Roman"/>
          <w:color w:val="000000" w:themeColor="text1"/>
        </w:rPr>
        <w:t>41.7%)]</w:t>
      </w:r>
      <w:r w:rsidRPr="00977582">
        <w:rPr>
          <w:rFonts w:ascii="Book Antiqua" w:hAnsi="Book Antiqua" w:cs="Times New Roman"/>
          <w:color w:val="000000" w:themeColor="text1"/>
        </w:rPr>
        <w:t xml:space="preserve"> </w:t>
      </w:r>
      <w:r w:rsidR="00AB15BA" w:rsidRPr="00977582">
        <w:rPr>
          <w:rFonts w:ascii="Book Antiqua" w:hAnsi="Book Antiqua" w:cs="Times New Roman"/>
          <w:color w:val="000000" w:themeColor="text1"/>
        </w:rPr>
        <w:t>(</w:t>
      </w:r>
      <w:r w:rsidRPr="00977582">
        <w:rPr>
          <w:rFonts w:ascii="Book Antiqua" w:hAnsi="Book Antiqua" w:cs="Times New Roman"/>
          <w:color w:val="000000" w:themeColor="text1"/>
        </w:rPr>
        <w:t>Table 4, Figure 2</w:t>
      </w:r>
      <w:r w:rsidR="00AB15BA" w:rsidRPr="00977582">
        <w:rPr>
          <w:rFonts w:ascii="Book Antiqua" w:hAnsi="Book Antiqua" w:cs="Times New Roman"/>
          <w:color w:val="000000" w:themeColor="text1"/>
        </w:rPr>
        <w:t>)</w:t>
      </w:r>
      <w:r w:rsidRPr="00977582">
        <w:rPr>
          <w:rFonts w:ascii="Book Antiqua" w:hAnsi="Book Antiqua" w:cs="Times New Roman"/>
          <w:color w:val="000000" w:themeColor="text1"/>
        </w:rPr>
        <w:t xml:space="preserve">. </w:t>
      </w:r>
      <w:r w:rsidR="00893CFB" w:rsidRPr="00977582">
        <w:rPr>
          <w:rFonts w:ascii="Book Antiqua" w:hAnsi="Book Antiqua" w:cs="Times New Roman"/>
          <w:color w:val="000000" w:themeColor="text1"/>
        </w:rPr>
        <w:t>Patie</w:t>
      </w:r>
      <w:r w:rsidR="008157ED">
        <w:rPr>
          <w:rFonts w:ascii="Book Antiqua" w:hAnsi="Book Antiqua" w:cs="Times New Roman"/>
          <w:color w:val="000000" w:themeColor="text1"/>
        </w:rPr>
        <w:t>nts with diarrhea had 24.2 (95%</w:t>
      </w:r>
      <w:r w:rsidR="00893CFB" w:rsidRPr="00977582">
        <w:rPr>
          <w:rFonts w:ascii="Book Antiqua" w:hAnsi="Book Antiqua" w:cs="Times New Roman"/>
          <w:color w:val="000000" w:themeColor="text1"/>
        </w:rPr>
        <w:t xml:space="preserve">CI: </w:t>
      </w:r>
      <w:r w:rsidR="005275B1" w:rsidRPr="00977582">
        <w:rPr>
          <w:rFonts w:ascii="Book Antiqua" w:hAnsi="Book Antiqua" w:cs="Times New Roman"/>
          <w:color w:val="000000" w:themeColor="text1"/>
        </w:rPr>
        <w:t>22.9</w:t>
      </w:r>
      <w:r w:rsidR="008157ED">
        <w:rPr>
          <w:rFonts w:ascii="Book Antiqua" w:hAnsi="Book Antiqua" w:cs="Times New Roman" w:hint="eastAsia"/>
          <w:color w:val="000000" w:themeColor="text1"/>
          <w:lang w:eastAsia="zh-CN"/>
        </w:rPr>
        <w:t>-</w:t>
      </w:r>
      <w:r w:rsidR="005275B1" w:rsidRPr="00977582">
        <w:rPr>
          <w:rFonts w:ascii="Book Antiqua" w:hAnsi="Book Antiqua" w:cs="Times New Roman"/>
          <w:color w:val="000000" w:themeColor="text1"/>
        </w:rPr>
        <w:t>25.5</w:t>
      </w:r>
      <w:r w:rsidR="00893CFB" w:rsidRPr="00977582">
        <w:rPr>
          <w:rFonts w:ascii="Book Antiqua" w:hAnsi="Book Antiqua" w:cs="Times New Roman"/>
          <w:color w:val="000000" w:themeColor="text1"/>
        </w:rPr>
        <w:t xml:space="preserve">) office visits in the study period compared to </w:t>
      </w:r>
      <w:r w:rsidR="005275B1" w:rsidRPr="00977582">
        <w:rPr>
          <w:rFonts w:ascii="Book Antiqua" w:hAnsi="Book Antiqua" w:cs="Times New Roman"/>
          <w:color w:val="000000" w:themeColor="text1"/>
        </w:rPr>
        <w:t>19.0 (95%CI: 18.4</w:t>
      </w:r>
      <w:r w:rsidR="008157ED">
        <w:rPr>
          <w:rFonts w:ascii="Book Antiqua" w:hAnsi="Book Antiqua" w:cs="Times New Roman" w:hint="eastAsia"/>
          <w:color w:val="000000" w:themeColor="text1"/>
          <w:lang w:eastAsia="zh-CN"/>
        </w:rPr>
        <w:t>-</w:t>
      </w:r>
      <w:r w:rsidR="005275B1" w:rsidRPr="00977582">
        <w:rPr>
          <w:rFonts w:ascii="Book Antiqua" w:hAnsi="Book Antiqua" w:cs="Times New Roman"/>
          <w:color w:val="000000" w:themeColor="text1"/>
        </w:rPr>
        <w:t xml:space="preserve">19.7) in </w:t>
      </w:r>
      <w:r w:rsidR="00893CFB" w:rsidRPr="00977582">
        <w:rPr>
          <w:rFonts w:ascii="Book Antiqua" w:hAnsi="Book Antiqua" w:cs="Times New Roman"/>
          <w:color w:val="000000" w:themeColor="text1"/>
        </w:rPr>
        <w:t>those without</w:t>
      </w:r>
      <w:r w:rsidR="005275B1" w:rsidRPr="00977582">
        <w:rPr>
          <w:rFonts w:ascii="Book Antiqua" w:hAnsi="Book Antiqua" w:cs="Times New Roman"/>
          <w:color w:val="000000" w:themeColor="text1"/>
        </w:rPr>
        <w:t xml:space="preserve">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5275B1" w:rsidRPr="00977582">
        <w:rPr>
          <w:rFonts w:ascii="Book Antiqua" w:hAnsi="Book Antiqua" w:cs="Times New Roman"/>
          <w:color w:val="000000" w:themeColor="text1"/>
        </w:rPr>
        <w:t>.001)</w:t>
      </w:r>
      <w:r w:rsidR="00893CFB" w:rsidRPr="00977582">
        <w:rPr>
          <w:rFonts w:ascii="Book Antiqua" w:hAnsi="Book Antiqua" w:cs="Times New Roman"/>
          <w:color w:val="000000" w:themeColor="text1"/>
        </w:rPr>
        <w:t>.</w:t>
      </w:r>
    </w:p>
    <w:p w14:paraId="72E54C75" w14:textId="4FF12E2F" w:rsidR="001B09E2" w:rsidRPr="00977582" w:rsidRDefault="001B09E2" w:rsidP="0041646E">
      <w:pPr>
        <w:tabs>
          <w:tab w:val="left" w:pos="720"/>
        </w:tabs>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b/>
        <w:t xml:space="preserve">The difference in odds was </w:t>
      </w:r>
      <w:r w:rsidR="00F062B3" w:rsidRPr="00977582">
        <w:rPr>
          <w:rFonts w:ascii="Book Antiqua" w:hAnsi="Book Antiqua" w:cs="Times New Roman"/>
          <w:color w:val="000000" w:themeColor="text1"/>
        </w:rPr>
        <w:t xml:space="preserve">also significantly </w:t>
      </w:r>
      <w:r w:rsidRPr="00977582">
        <w:rPr>
          <w:rFonts w:ascii="Book Antiqua" w:hAnsi="Book Antiqua" w:cs="Times New Roman"/>
          <w:color w:val="000000" w:themeColor="text1"/>
        </w:rPr>
        <w:t>greater for CS-related hospitalizations. Those with diarrhea were at 2</w:t>
      </w:r>
      <w:r w:rsidR="008157ED">
        <w:rPr>
          <w:rFonts w:ascii="Book Antiqua" w:hAnsi="Book Antiqua" w:cs="Times New Roman"/>
          <w:color w:val="000000" w:themeColor="text1"/>
        </w:rPr>
        <w:t>.12 (95%</w:t>
      </w:r>
      <w:r w:rsidR="00AB15BA" w:rsidRPr="00977582">
        <w:rPr>
          <w:rFonts w:ascii="Book Antiqua" w:hAnsi="Book Antiqua" w:cs="Times New Roman"/>
          <w:color w:val="000000" w:themeColor="text1"/>
        </w:rPr>
        <w:t>CI: 1.58</w:t>
      </w:r>
      <w:r w:rsidR="008157ED">
        <w:rPr>
          <w:rFonts w:ascii="Book Antiqua" w:hAnsi="Book Antiqua" w:cs="Times New Roman" w:hint="eastAsia"/>
          <w:color w:val="000000" w:themeColor="text1"/>
          <w:lang w:eastAsia="zh-CN"/>
        </w:rPr>
        <w:t>-</w:t>
      </w:r>
      <w:r w:rsidR="00AB15BA" w:rsidRPr="00977582">
        <w:rPr>
          <w:rFonts w:ascii="Book Antiqua" w:hAnsi="Book Antiqua" w:cs="Times New Roman"/>
          <w:color w:val="000000" w:themeColor="text1"/>
        </w:rPr>
        <w:t xml:space="preserve">2.86;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AB15BA" w:rsidRPr="00977582">
        <w:rPr>
          <w:rFonts w:ascii="Book Antiqua" w:hAnsi="Book Antiqua" w:cs="Times New Roman"/>
          <w:color w:val="000000" w:themeColor="text1"/>
        </w:rPr>
        <w:t>.001) (</w:t>
      </w:r>
      <w:r w:rsidRPr="00977582">
        <w:rPr>
          <w:rFonts w:ascii="Book Antiqua" w:hAnsi="Book Antiqua" w:cs="Times New Roman"/>
          <w:color w:val="000000" w:themeColor="text1"/>
        </w:rPr>
        <w:t xml:space="preserve">Table 3) times greater odds of CS-related hospitalization compared to those without diarrhea. The adjusted proportion of patients with any CS-related hospitalization was 6.8% higher among </w:t>
      </w:r>
      <w:r w:rsidR="008157ED">
        <w:rPr>
          <w:rFonts w:ascii="Book Antiqua" w:hAnsi="Book Antiqua" w:cs="Times New Roman"/>
          <w:color w:val="000000" w:themeColor="text1"/>
        </w:rPr>
        <w:t>those with diarrhea [13.8% (95%</w:t>
      </w:r>
      <w:r w:rsidRPr="00977582">
        <w:rPr>
          <w:rFonts w:ascii="Book Antiqua" w:hAnsi="Book Antiqua" w:cs="Times New Roman"/>
          <w:color w:val="000000" w:themeColor="text1"/>
        </w:rPr>
        <w:t>CI: 11.1%</w:t>
      </w:r>
      <w:r w:rsidR="008157ED">
        <w:rPr>
          <w:rFonts w:ascii="Book Antiqua" w:hAnsi="Book Antiqua" w:cs="Times New Roman" w:hint="eastAsia"/>
          <w:color w:val="000000" w:themeColor="text1"/>
          <w:lang w:eastAsia="zh-CN"/>
        </w:rPr>
        <w:t>-</w:t>
      </w:r>
      <w:r w:rsidRPr="00977582">
        <w:rPr>
          <w:rFonts w:ascii="Book Antiqua" w:hAnsi="Book Antiqua" w:cs="Times New Roman"/>
          <w:color w:val="000000" w:themeColor="text1"/>
        </w:rPr>
        <w:t>1</w:t>
      </w:r>
      <w:r w:rsidR="00AB15BA" w:rsidRPr="00977582">
        <w:rPr>
          <w:rFonts w:ascii="Book Antiqua" w:hAnsi="Book Antiqua" w:cs="Times New Roman"/>
          <w:color w:val="000000" w:themeColor="text1"/>
        </w:rPr>
        <w:t xml:space="preserve">7.1%) </w:t>
      </w:r>
      <w:r w:rsidR="003A691C" w:rsidRPr="00977582">
        <w:rPr>
          <w:rFonts w:ascii="Book Antiqua" w:hAnsi="Book Antiqua" w:cs="Times New Roman"/>
          <w:i/>
          <w:color w:val="000000" w:themeColor="text1"/>
        </w:rPr>
        <w:t>vs</w:t>
      </w:r>
      <w:r w:rsidR="00AB15BA" w:rsidRPr="00977582">
        <w:rPr>
          <w:rFonts w:ascii="Book Antiqua" w:hAnsi="Book Antiqua" w:cs="Times New Roman"/>
          <w:color w:val="000000" w:themeColor="text1"/>
        </w:rPr>
        <w:t xml:space="preserve"> 7.0% (</w:t>
      </w:r>
      <w:r w:rsidR="008157ED">
        <w:rPr>
          <w:rFonts w:ascii="Book Antiqua" w:hAnsi="Book Antiqua" w:cs="Times New Roman" w:hint="eastAsia"/>
          <w:color w:val="000000" w:themeColor="text1"/>
          <w:lang w:eastAsia="zh-CN"/>
        </w:rPr>
        <w:t>95%</w:t>
      </w:r>
      <w:r w:rsidR="00AB15BA" w:rsidRPr="00977582">
        <w:rPr>
          <w:rFonts w:ascii="Book Antiqua" w:hAnsi="Book Antiqua" w:cs="Times New Roman"/>
          <w:color w:val="000000" w:themeColor="text1"/>
        </w:rPr>
        <w:t>CI: 6.0%</w:t>
      </w:r>
      <w:r w:rsidR="008157ED">
        <w:rPr>
          <w:rFonts w:ascii="Book Antiqua" w:hAnsi="Book Antiqua" w:cs="Times New Roman" w:hint="eastAsia"/>
          <w:color w:val="000000" w:themeColor="text1"/>
          <w:lang w:eastAsia="zh-CN"/>
        </w:rPr>
        <w:t>-</w:t>
      </w:r>
      <w:r w:rsidR="00AB15BA" w:rsidRPr="00977582">
        <w:rPr>
          <w:rFonts w:ascii="Book Antiqua" w:hAnsi="Book Antiqua" w:cs="Times New Roman"/>
          <w:color w:val="000000" w:themeColor="text1"/>
        </w:rPr>
        <w:t>8.2%)]</w:t>
      </w:r>
      <w:r w:rsidRPr="00977582">
        <w:rPr>
          <w:rFonts w:ascii="Book Antiqua" w:hAnsi="Book Antiqua" w:cs="Times New Roman"/>
          <w:color w:val="000000" w:themeColor="text1"/>
        </w:rPr>
        <w:t xml:space="preserve"> </w:t>
      </w:r>
      <w:r w:rsidR="00AB15BA" w:rsidRPr="00977582">
        <w:rPr>
          <w:rFonts w:ascii="Book Antiqua" w:hAnsi="Book Antiqua" w:cs="Times New Roman"/>
          <w:color w:val="000000" w:themeColor="text1"/>
        </w:rPr>
        <w:t>(</w:t>
      </w:r>
      <w:r w:rsidRPr="00977582">
        <w:rPr>
          <w:rFonts w:ascii="Book Antiqua" w:hAnsi="Book Antiqua" w:cs="Times New Roman"/>
          <w:color w:val="000000" w:themeColor="text1"/>
        </w:rPr>
        <w:t>Table 4, Figure 2</w:t>
      </w:r>
      <w:r w:rsidR="00AB15BA" w:rsidRPr="00977582">
        <w:rPr>
          <w:rFonts w:ascii="Book Antiqua" w:hAnsi="Book Antiqua" w:cs="Times New Roman"/>
          <w:color w:val="000000" w:themeColor="text1"/>
        </w:rPr>
        <w:t>)</w:t>
      </w:r>
      <w:r w:rsidRPr="00977582">
        <w:rPr>
          <w:rFonts w:ascii="Book Antiqua" w:hAnsi="Book Antiqua" w:cs="Times New Roman"/>
          <w:color w:val="000000" w:themeColor="text1"/>
        </w:rPr>
        <w:t>.</w:t>
      </w:r>
      <w:r w:rsidR="00893CFB" w:rsidRPr="00977582">
        <w:rPr>
          <w:rFonts w:ascii="Book Antiqua" w:hAnsi="Book Antiqua" w:cs="Times New Roman"/>
          <w:color w:val="000000" w:themeColor="text1"/>
        </w:rPr>
        <w:t xml:space="preserve"> </w:t>
      </w:r>
    </w:p>
    <w:p w14:paraId="72E54C76" w14:textId="7EB05C0A" w:rsidR="00032390" w:rsidRPr="00977582" w:rsidRDefault="001B09E2" w:rsidP="0041646E">
      <w:pPr>
        <w:tabs>
          <w:tab w:val="left" w:pos="720"/>
        </w:tabs>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b/>
        <w:t>The adjusted total healthcare costs were significantly higher, by $28,645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Pr="00977582">
        <w:rPr>
          <w:rFonts w:ascii="Book Antiqua" w:hAnsi="Book Antiqua" w:cs="Times New Roman"/>
          <w:color w:val="000000" w:themeColor="text1"/>
        </w:rPr>
        <w:t xml:space="preserve">.001) for those with diarrhea </w:t>
      </w:r>
      <w:r w:rsidR="008157ED">
        <w:rPr>
          <w:rFonts w:ascii="Book Antiqua" w:hAnsi="Book Antiqua" w:cs="Times New Roman"/>
          <w:color w:val="000000" w:themeColor="text1"/>
        </w:rPr>
        <w:t>at $80600 (95%CI: $74</w:t>
      </w:r>
      <w:r w:rsidRPr="00977582">
        <w:rPr>
          <w:rFonts w:ascii="Book Antiqua" w:hAnsi="Book Antiqua" w:cs="Times New Roman"/>
          <w:color w:val="000000" w:themeColor="text1"/>
        </w:rPr>
        <w:t>740</w:t>
      </w:r>
      <w:r w:rsidR="008157ED">
        <w:rPr>
          <w:rFonts w:ascii="Book Antiqua" w:hAnsi="Book Antiqua" w:cs="Times New Roman" w:hint="eastAsia"/>
          <w:color w:val="000000" w:themeColor="text1"/>
          <w:lang w:eastAsia="zh-CN"/>
        </w:rPr>
        <w:t>-</w:t>
      </w:r>
      <w:r w:rsidR="008157ED">
        <w:rPr>
          <w:rFonts w:ascii="Book Antiqua" w:hAnsi="Book Antiqua" w:cs="Times New Roman"/>
          <w:color w:val="000000" w:themeColor="text1"/>
        </w:rPr>
        <w:t>$86</w:t>
      </w:r>
      <w:r w:rsidRPr="00977582">
        <w:rPr>
          <w:rFonts w:ascii="Book Antiqua" w:hAnsi="Book Antiqua" w:cs="Times New Roman"/>
          <w:color w:val="000000" w:themeColor="text1"/>
        </w:rPr>
        <w:t>460) compared t</w:t>
      </w:r>
      <w:r w:rsidR="008157ED">
        <w:rPr>
          <w:rFonts w:ascii="Book Antiqua" w:hAnsi="Book Antiqua" w:cs="Times New Roman"/>
          <w:color w:val="000000" w:themeColor="text1"/>
        </w:rPr>
        <w:t>o those without diarrhea at $51955 (95%CI: $49140, $54</w:t>
      </w:r>
      <w:r w:rsidRPr="00977582">
        <w:rPr>
          <w:rFonts w:ascii="Book Antiqua" w:hAnsi="Book Antiqua" w:cs="Times New Roman"/>
          <w:color w:val="000000" w:themeColor="text1"/>
        </w:rPr>
        <w:t xml:space="preserve">770) (Table 3, Table 4, Figure 2). </w:t>
      </w:r>
      <w:r w:rsidR="007F6322" w:rsidRPr="00977582">
        <w:rPr>
          <w:rFonts w:cs="Arial"/>
          <w:color w:val="000000" w:themeColor="text1"/>
        </w:rPr>
        <w:t>P</w:t>
      </w:r>
      <w:r w:rsidR="00032390" w:rsidRPr="00977582">
        <w:rPr>
          <w:rFonts w:cs="Arial"/>
          <w:color w:val="000000" w:themeColor="text1"/>
        </w:rPr>
        <w:t xml:space="preserve">harmacy costs </w:t>
      </w:r>
      <w:r w:rsidR="00954485" w:rsidRPr="00977582">
        <w:rPr>
          <w:rFonts w:cs="Arial"/>
          <w:color w:val="000000" w:themeColor="text1"/>
        </w:rPr>
        <w:t xml:space="preserve">were </w:t>
      </w:r>
      <w:r w:rsidR="008157ED">
        <w:rPr>
          <w:rFonts w:cs="Arial"/>
          <w:color w:val="000000" w:themeColor="text1"/>
        </w:rPr>
        <w:t>$2</w:t>
      </w:r>
      <w:r w:rsidR="00032390" w:rsidRPr="00977582">
        <w:rPr>
          <w:rFonts w:cs="Arial"/>
          <w:color w:val="000000" w:themeColor="text1"/>
        </w:rPr>
        <w:t>441</w:t>
      </w:r>
      <w:r w:rsidR="007F6322" w:rsidRPr="00977582">
        <w:rPr>
          <w:rFonts w:cs="Arial"/>
          <w:color w:val="000000" w:themeColor="text1"/>
        </w:rPr>
        <w:t>(</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7F6322" w:rsidRPr="00977582">
        <w:rPr>
          <w:rFonts w:ascii="Book Antiqua" w:hAnsi="Book Antiqua" w:cs="Times New Roman"/>
          <w:color w:val="000000" w:themeColor="text1"/>
        </w:rPr>
        <w:t>.001)</w:t>
      </w:r>
      <w:r w:rsidR="00954485" w:rsidRPr="00977582">
        <w:rPr>
          <w:rFonts w:cs="Arial"/>
          <w:color w:val="000000" w:themeColor="text1"/>
        </w:rPr>
        <w:t xml:space="preserve"> more than </w:t>
      </w:r>
      <w:r w:rsidR="007F6322" w:rsidRPr="00977582">
        <w:rPr>
          <w:rFonts w:cs="Arial"/>
          <w:color w:val="000000" w:themeColor="text1"/>
        </w:rPr>
        <w:t>in patients without diarr</w:t>
      </w:r>
      <w:r w:rsidR="00954485" w:rsidRPr="00977582">
        <w:rPr>
          <w:rFonts w:cs="Arial"/>
          <w:color w:val="000000" w:themeColor="text1"/>
        </w:rPr>
        <w:t>hea</w:t>
      </w:r>
      <w:r w:rsidR="007F6322" w:rsidRPr="00977582">
        <w:rPr>
          <w:rFonts w:cs="Arial"/>
          <w:color w:val="000000" w:themeColor="text1"/>
        </w:rPr>
        <w:t>.</w:t>
      </w:r>
      <w:r w:rsidR="00954485" w:rsidRPr="00977582">
        <w:rPr>
          <w:rFonts w:cs="Arial"/>
          <w:color w:val="000000" w:themeColor="text1"/>
        </w:rPr>
        <w:t xml:space="preserve"> </w:t>
      </w:r>
      <w:r w:rsidR="007F6322" w:rsidRPr="00977582">
        <w:rPr>
          <w:rFonts w:cs="Arial"/>
          <w:color w:val="000000" w:themeColor="text1"/>
        </w:rPr>
        <w:t>M</w:t>
      </w:r>
      <w:r w:rsidR="00954485" w:rsidRPr="00977582">
        <w:rPr>
          <w:rFonts w:cs="Arial"/>
          <w:color w:val="000000" w:themeColor="text1"/>
        </w:rPr>
        <w:t xml:space="preserve">edical costs </w:t>
      </w:r>
      <w:r w:rsidR="007F6322" w:rsidRPr="00977582">
        <w:rPr>
          <w:rFonts w:cs="Arial"/>
          <w:color w:val="000000" w:themeColor="text1"/>
        </w:rPr>
        <w:t>were higher by $</w:t>
      </w:r>
      <w:r w:rsidR="008157ED">
        <w:rPr>
          <w:rFonts w:cs="Arial"/>
          <w:color w:val="000000" w:themeColor="text1"/>
        </w:rPr>
        <w:t>26</w:t>
      </w:r>
      <w:r w:rsidR="00032390" w:rsidRPr="00977582">
        <w:rPr>
          <w:rFonts w:cs="Arial"/>
          <w:color w:val="000000" w:themeColor="text1"/>
        </w:rPr>
        <w:t>205</w:t>
      </w:r>
      <w:r w:rsidR="007F6322" w:rsidRPr="00977582">
        <w:rPr>
          <w:rFonts w:cs="Arial"/>
          <w:color w:val="000000" w:themeColor="text1"/>
        </w:rPr>
        <w:t xml:space="preserve">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7F6322" w:rsidRPr="00977582">
        <w:rPr>
          <w:rFonts w:ascii="Book Antiqua" w:hAnsi="Book Antiqua" w:cs="Times New Roman"/>
          <w:color w:val="000000" w:themeColor="text1"/>
        </w:rPr>
        <w:t xml:space="preserve">.001). Medical costs comprised </w:t>
      </w:r>
      <w:r w:rsidR="007F6322" w:rsidRPr="00977582">
        <w:rPr>
          <w:rFonts w:cs="Arial"/>
          <w:color w:val="000000" w:themeColor="text1"/>
        </w:rPr>
        <w:t>o</w:t>
      </w:r>
      <w:r w:rsidR="00032390" w:rsidRPr="00977582">
        <w:rPr>
          <w:rFonts w:cs="Arial"/>
          <w:color w:val="000000" w:themeColor="text1"/>
        </w:rPr>
        <w:t>utpatient visit</w:t>
      </w:r>
      <w:r w:rsidR="007F6322" w:rsidRPr="00977582">
        <w:rPr>
          <w:rFonts w:cs="Arial"/>
          <w:color w:val="000000" w:themeColor="text1"/>
        </w:rPr>
        <w:t xml:space="preserve">s (cost of which </w:t>
      </w:r>
      <w:r w:rsidR="00AC7085" w:rsidRPr="00977582">
        <w:rPr>
          <w:rFonts w:cs="Arial"/>
          <w:color w:val="000000" w:themeColor="text1"/>
        </w:rPr>
        <w:t>was $</w:t>
      </w:r>
      <w:r w:rsidR="00032390" w:rsidRPr="00977582">
        <w:rPr>
          <w:rFonts w:cs="Arial"/>
          <w:color w:val="000000" w:themeColor="text1"/>
        </w:rPr>
        <w:t>15,71</w:t>
      </w:r>
      <w:r w:rsidR="004E7E25" w:rsidRPr="00977582">
        <w:rPr>
          <w:rFonts w:cs="Arial"/>
          <w:color w:val="000000" w:themeColor="text1"/>
        </w:rPr>
        <w:t>8</w:t>
      </w:r>
      <w:r w:rsidR="007F6322" w:rsidRPr="00977582">
        <w:rPr>
          <w:rFonts w:cs="Arial"/>
          <w:color w:val="000000" w:themeColor="text1"/>
        </w:rPr>
        <w:t xml:space="preserve"> higher)</w:t>
      </w:r>
      <w:r w:rsidR="00032390" w:rsidRPr="00977582">
        <w:rPr>
          <w:rFonts w:cs="Arial"/>
          <w:color w:val="000000" w:themeColor="text1"/>
        </w:rPr>
        <w:t xml:space="preserve"> and inpatient hospitalization </w:t>
      </w:r>
      <w:r w:rsidR="007F6322" w:rsidRPr="00977582">
        <w:rPr>
          <w:rFonts w:cs="Arial"/>
          <w:color w:val="000000" w:themeColor="text1"/>
        </w:rPr>
        <w:t>(</w:t>
      </w:r>
      <w:r w:rsidR="008157ED">
        <w:rPr>
          <w:rFonts w:cs="Arial"/>
          <w:color w:val="000000" w:themeColor="text1"/>
        </w:rPr>
        <w:t>$11</w:t>
      </w:r>
      <w:r w:rsidR="00032390" w:rsidRPr="00977582">
        <w:rPr>
          <w:rFonts w:cs="Arial"/>
          <w:color w:val="000000" w:themeColor="text1"/>
        </w:rPr>
        <w:t>42</w:t>
      </w:r>
      <w:r w:rsidR="004E7E25" w:rsidRPr="00977582">
        <w:rPr>
          <w:rFonts w:cs="Arial"/>
          <w:color w:val="000000" w:themeColor="text1"/>
        </w:rPr>
        <w:t>5</w:t>
      </w:r>
      <w:r w:rsidR="007F6322" w:rsidRPr="00977582">
        <w:rPr>
          <w:rFonts w:cs="Arial"/>
          <w:color w:val="000000" w:themeColor="text1"/>
        </w:rPr>
        <w:t xml:space="preserve"> higher) (</w:t>
      </w:r>
      <w:r w:rsidR="003A691C" w:rsidRPr="00977582">
        <w:rPr>
          <w:rFonts w:ascii="Book Antiqua" w:hAnsi="Book Antiqua" w:cs="Times New Roman"/>
          <w:i/>
          <w:caps/>
          <w:color w:val="000000" w:themeColor="text1"/>
        </w:rPr>
        <w:t>p &lt;</w:t>
      </w:r>
      <w:r w:rsidR="008157ED">
        <w:rPr>
          <w:rFonts w:ascii="Book Antiqua" w:hAnsi="Book Antiqua" w:cs="Times New Roman" w:hint="eastAsia"/>
          <w:caps/>
          <w:color w:val="000000" w:themeColor="text1"/>
          <w:lang w:eastAsia="zh-CN"/>
        </w:rPr>
        <w:t>0</w:t>
      </w:r>
      <w:r w:rsidR="003A691C" w:rsidRPr="00977582">
        <w:rPr>
          <w:rFonts w:ascii="Book Antiqua" w:hAnsi="Book Antiqua" w:cs="Times New Roman"/>
          <w:i/>
          <w:caps/>
          <w:color w:val="000000" w:themeColor="text1"/>
        </w:rPr>
        <w:t xml:space="preserve"> </w:t>
      </w:r>
      <w:r w:rsidR="007F6322" w:rsidRPr="00977582">
        <w:rPr>
          <w:rFonts w:ascii="Book Antiqua" w:hAnsi="Book Antiqua" w:cs="Times New Roman"/>
          <w:color w:val="000000" w:themeColor="text1"/>
        </w:rPr>
        <w:t>.00</w:t>
      </w:r>
      <w:r w:rsidR="00252973" w:rsidRPr="00977582">
        <w:rPr>
          <w:rFonts w:ascii="Book Antiqua" w:hAnsi="Book Antiqua" w:cs="Times New Roman"/>
          <w:color w:val="000000" w:themeColor="text1"/>
        </w:rPr>
        <w:t>4</w:t>
      </w:r>
      <w:r w:rsidR="007F6322" w:rsidRPr="00977582">
        <w:rPr>
          <w:rFonts w:ascii="Book Antiqua" w:hAnsi="Book Antiqua" w:cs="Times New Roman"/>
          <w:color w:val="000000" w:themeColor="text1"/>
        </w:rPr>
        <w:t>).</w:t>
      </w:r>
      <w:r w:rsidR="00032390" w:rsidRPr="00977582">
        <w:rPr>
          <w:rFonts w:cs="Arial"/>
          <w:color w:val="000000" w:themeColor="text1"/>
        </w:rPr>
        <w:t xml:space="preserve"> </w:t>
      </w:r>
    </w:p>
    <w:p w14:paraId="72E54C77" w14:textId="4EC7EEE8" w:rsidR="00EA7E59" w:rsidRPr="00977582" w:rsidRDefault="00EA7E59" w:rsidP="0041646E">
      <w:pPr>
        <w:tabs>
          <w:tab w:val="left" w:pos="720"/>
        </w:tabs>
        <w:adjustRightInd w:val="0"/>
        <w:snapToGrid w:val="0"/>
        <w:spacing w:after="0" w:line="360" w:lineRule="auto"/>
        <w:jc w:val="both"/>
        <w:rPr>
          <w:rFonts w:ascii="Book Antiqua" w:hAnsi="Book Antiqua" w:cs="Times New Roman"/>
          <w:color w:val="000000" w:themeColor="text1"/>
        </w:rPr>
      </w:pPr>
    </w:p>
    <w:p w14:paraId="72E54C78" w14:textId="77777777" w:rsidR="00DD4193" w:rsidRPr="00977582" w:rsidRDefault="00DD4193"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t>DISCUSSION</w:t>
      </w:r>
    </w:p>
    <w:p w14:paraId="6834939E" w14:textId="1177C1F2" w:rsidR="00A63196" w:rsidRPr="00977582" w:rsidRDefault="0087134C"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Beyond its deleterious influence on quality of life, our results demonstrate that</w:t>
      </w:r>
      <w:r w:rsidR="00275904" w:rsidRPr="00977582">
        <w:rPr>
          <w:rFonts w:ascii="Book Antiqua" w:hAnsi="Book Antiqua" w:cs="Times New Roman"/>
          <w:color w:val="000000" w:themeColor="text1"/>
        </w:rPr>
        <w:t xml:space="preserve"> </w:t>
      </w:r>
      <w:r w:rsidR="008E7D98" w:rsidRPr="00977582">
        <w:rPr>
          <w:rFonts w:ascii="Book Antiqua" w:hAnsi="Book Antiqua" w:cs="Times New Roman"/>
          <w:color w:val="000000" w:themeColor="text1"/>
        </w:rPr>
        <w:t>diarrhea</w:t>
      </w:r>
      <w:r w:rsidR="00275904"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 xml:space="preserve">in patients with CS </w:t>
      </w:r>
      <w:r w:rsidR="00275904" w:rsidRPr="00977582">
        <w:rPr>
          <w:rFonts w:ascii="Book Antiqua" w:hAnsi="Book Antiqua" w:cs="Times New Roman"/>
          <w:color w:val="000000" w:themeColor="text1"/>
        </w:rPr>
        <w:t xml:space="preserve">has a significant </w:t>
      </w:r>
      <w:r w:rsidR="00362BCE" w:rsidRPr="00977582">
        <w:rPr>
          <w:rFonts w:ascii="Book Antiqua" w:hAnsi="Book Antiqua" w:cs="Times New Roman"/>
          <w:color w:val="000000" w:themeColor="text1"/>
        </w:rPr>
        <w:t xml:space="preserve">medical and economic </w:t>
      </w:r>
      <w:r w:rsidR="00275904" w:rsidRPr="00977582">
        <w:rPr>
          <w:rFonts w:ascii="Book Antiqua" w:hAnsi="Book Antiqua" w:cs="Times New Roman"/>
          <w:color w:val="000000" w:themeColor="text1"/>
        </w:rPr>
        <w:t>impact</w:t>
      </w:r>
      <w:r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362BCE" w:rsidRPr="00977582">
        <w:rPr>
          <w:rFonts w:ascii="Book Antiqua" w:hAnsi="Book Antiqua" w:cs="Times New Roman"/>
          <w:color w:val="000000" w:themeColor="text1"/>
        </w:rPr>
        <w:t xml:space="preserve"> </w:t>
      </w:r>
      <w:r w:rsidR="009D7D7C" w:rsidRPr="00977582">
        <w:rPr>
          <w:rFonts w:ascii="Book Antiqua" w:hAnsi="Book Antiqua" w:cs="Times New Roman"/>
          <w:color w:val="000000" w:themeColor="text1"/>
        </w:rPr>
        <w:t>Our findings suggest that d</w:t>
      </w:r>
      <w:r w:rsidR="00503D74" w:rsidRPr="00977582">
        <w:rPr>
          <w:rFonts w:ascii="Book Antiqua" w:hAnsi="Book Antiqua" w:cs="Times New Roman"/>
          <w:color w:val="000000" w:themeColor="text1"/>
        </w:rPr>
        <w:t xml:space="preserve">iarrhea associated with CS accounts for 1.5-fold higher total healthcare spending and almost a 2-fold higher risk of CS-related </w:t>
      </w:r>
      <w:r w:rsidR="00503D74" w:rsidRPr="00977582">
        <w:rPr>
          <w:rFonts w:ascii="Book Antiqua" w:hAnsi="Book Antiqua" w:cs="Times New Roman"/>
          <w:color w:val="000000" w:themeColor="text1"/>
        </w:rPr>
        <w:lastRenderedPageBreak/>
        <w:t>hospitalizations compared to when diarrhea is not present.</w:t>
      </w:r>
      <w:r w:rsidR="005B1623" w:rsidRPr="00977582">
        <w:rPr>
          <w:rFonts w:ascii="Book Antiqua" w:hAnsi="Book Antiqua" w:cs="Times New Roman"/>
          <w:i/>
          <w:color w:val="000000" w:themeColor="text1"/>
        </w:rPr>
        <w:t xml:space="preserve"> </w:t>
      </w:r>
      <w:r w:rsidR="00503D74" w:rsidRPr="00977582">
        <w:rPr>
          <w:rFonts w:ascii="Book Antiqua" w:hAnsi="Book Antiqua" w:cs="Times New Roman"/>
          <w:color w:val="000000" w:themeColor="text1"/>
        </w:rPr>
        <w:t>The adjusted mean total healthcare</w:t>
      </w:r>
      <w:r w:rsidR="008157ED">
        <w:rPr>
          <w:rFonts w:ascii="Book Antiqua" w:hAnsi="Book Antiqua" w:cs="Times New Roman"/>
          <w:color w:val="000000" w:themeColor="text1"/>
        </w:rPr>
        <w:t xml:space="preserve"> costs in our analysis were $80600 compared to $51</w:t>
      </w:r>
      <w:r w:rsidR="00503D74" w:rsidRPr="00977582">
        <w:rPr>
          <w:rFonts w:ascii="Book Antiqua" w:hAnsi="Book Antiqua" w:cs="Times New Roman"/>
          <w:color w:val="000000" w:themeColor="text1"/>
        </w:rPr>
        <w:t xml:space="preserve">955 </w:t>
      </w:r>
      <w:r w:rsidR="009D7D7C" w:rsidRPr="00977582">
        <w:rPr>
          <w:rFonts w:ascii="Book Antiqua" w:hAnsi="Book Antiqua" w:cs="Times New Roman"/>
          <w:color w:val="000000" w:themeColor="text1"/>
        </w:rPr>
        <w:t>per year</w:t>
      </w:r>
      <w:r w:rsidR="00503D74" w:rsidRPr="00977582">
        <w:rPr>
          <w:rFonts w:ascii="Book Antiqua" w:hAnsi="Book Antiqua" w:cs="Times New Roman"/>
          <w:color w:val="000000" w:themeColor="text1"/>
        </w:rPr>
        <w:t xml:space="preserve"> among patients with CS wh</w:t>
      </w:r>
      <w:r w:rsidR="007F5949" w:rsidRPr="00977582">
        <w:rPr>
          <w:rFonts w:ascii="Book Antiqua" w:hAnsi="Book Antiqua" w:cs="Times New Roman"/>
          <w:color w:val="000000" w:themeColor="text1"/>
        </w:rPr>
        <w:t xml:space="preserve">o suffered from </w:t>
      </w:r>
      <w:r w:rsidR="009D7D7C" w:rsidRPr="00977582">
        <w:rPr>
          <w:rFonts w:ascii="Book Antiqua" w:hAnsi="Book Antiqua" w:cs="Times New Roman"/>
          <w:color w:val="000000" w:themeColor="text1"/>
        </w:rPr>
        <w:t xml:space="preserve">diarrhea </w:t>
      </w:r>
      <w:r w:rsidR="007F5949" w:rsidRPr="00977582">
        <w:rPr>
          <w:rFonts w:ascii="Book Antiqua" w:hAnsi="Book Antiqua" w:cs="Times New Roman"/>
          <w:color w:val="000000" w:themeColor="text1"/>
        </w:rPr>
        <w:t>compared to those who did not have</w:t>
      </w:r>
      <w:r w:rsidR="00503D74" w:rsidRPr="00977582">
        <w:rPr>
          <w:rFonts w:ascii="Book Antiqua" w:hAnsi="Book Antiqua" w:cs="Times New Roman"/>
          <w:color w:val="000000" w:themeColor="text1"/>
        </w:rPr>
        <w:t xml:space="preserve"> diarrhea</w:t>
      </w:r>
      <w:r w:rsidR="00901351" w:rsidRPr="00977582">
        <w:rPr>
          <w:rFonts w:ascii="Book Antiqua" w:hAnsi="Book Antiqua" w:cs="Times New Roman"/>
          <w:color w:val="000000" w:themeColor="text1"/>
        </w:rPr>
        <w:t xml:space="preserve">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901351" w:rsidRPr="00977582">
        <w:rPr>
          <w:rFonts w:ascii="Book Antiqua" w:hAnsi="Book Antiqua" w:cs="Times New Roman"/>
          <w:color w:val="000000" w:themeColor="text1"/>
        </w:rPr>
        <w:t>.001)</w:t>
      </w:r>
      <w:r w:rsidR="00503D74"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7F5949" w:rsidRPr="00977582">
        <w:rPr>
          <w:rFonts w:ascii="Book Antiqua" w:hAnsi="Book Antiqua" w:cs="Times New Roman"/>
          <w:color w:val="000000" w:themeColor="text1"/>
        </w:rPr>
        <w:t>The adjusted risk of CS-related hospitalizations increased from 7.0% among CS patients with no evidence of diarrhea to 13.8% who were diagnosed with diarrhea symptoms</w:t>
      </w:r>
      <w:r w:rsidR="00901351" w:rsidRPr="00977582">
        <w:rPr>
          <w:rFonts w:ascii="Book Antiqua" w:hAnsi="Book Antiqua" w:cs="Times New Roman"/>
          <w:color w:val="000000" w:themeColor="text1"/>
        </w:rPr>
        <w:t xml:space="preserve"> (</w:t>
      </w:r>
      <w:r w:rsidR="003A691C" w:rsidRPr="00977582">
        <w:rPr>
          <w:rFonts w:ascii="Book Antiqua" w:hAnsi="Book Antiqua" w:cs="Times New Roman"/>
          <w:i/>
          <w:caps/>
          <w:color w:val="000000" w:themeColor="text1"/>
        </w:rPr>
        <w:t xml:space="preserve">p &lt; </w:t>
      </w:r>
      <w:r w:rsidR="008157ED">
        <w:rPr>
          <w:rFonts w:ascii="Book Antiqua" w:hAnsi="Book Antiqua" w:cs="Times New Roman" w:hint="eastAsia"/>
          <w:caps/>
          <w:color w:val="000000" w:themeColor="text1"/>
          <w:lang w:eastAsia="zh-CN"/>
        </w:rPr>
        <w:t>0</w:t>
      </w:r>
      <w:r w:rsidR="00901351" w:rsidRPr="00977582">
        <w:rPr>
          <w:rFonts w:ascii="Book Antiqua" w:hAnsi="Book Antiqua" w:cs="Times New Roman"/>
          <w:color w:val="000000" w:themeColor="text1"/>
        </w:rPr>
        <w:t>.001)</w:t>
      </w:r>
      <w:r w:rsidR="007F5949"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8E7D98" w:rsidRPr="00977582">
        <w:rPr>
          <w:rFonts w:ascii="Book Antiqua" w:hAnsi="Book Antiqua" w:cs="Times New Roman"/>
          <w:color w:val="000000" w:themeColor="text1"/>
        </w:rPr>
        <w:t xml:space="preserve">Effective </w:t>
      </w:r>
      <w:r w:rsidR="009D7D7C" w:rsidRPr="00977582">
        <w:rPr>
          <w:rFonts w:ascii="Book Antiqua" w:hAnsi="Book Antiqua" w:cs="Times New Roman"/>
          <w:color w:val="000000" w:themeColor="text1"/>
        </w:rPr>
        <w:t xml:space="preserve">preventive </w:t>
      </w:r>
      <w:r w:rsidR="008E7D98" w:rsidRPr="00977582">
        <w:rPr>
          <w:rFonts w:ascii="Book Antiqua" w:hAnsi="Book Antiqua" w:cs="Times New Roman"/>
          <w:color w:val="000000" w:themeColor="text1"/>
        </w:rPr>
        <w:t xml:space="preserve">treatment of diarrhea in patients suffering from CS </w:t>
      </w:r>
      <w:r w:rsidR="00901628" w:rsidRPr="00977582">
        <w:rPr>
          <w:rFonts w:ascii="Book Antiqua" w:hAnsi="Book Antiqua" w:cs="Times New Roman"/>
          <w:color w:val="000000" w:themeColor="text1"/>
        </w:rPr>
        <w:t>would be a reasonable approach to reducing</w:t>
      </w:r>
      <w:r w:rsidR="008E7D98" w:rsidRPr="00977582">
        <w:rPr>
          <w:rFonts w:ascii="Book Antiqua" w:hAnsi="Book Antiqua" w:cs="Times New Roman"/>
          <w:color w:val="000000" w:themeColor="text1"/>
        </w:rPr>
        <w:t xml:space="preserve"> healthcare resource utilization and costs in this population.</w:t>
      </w:r>
      <w:r w:rsidR="00A63196" w:rsidRPr="00977582">
        <w:rPr>
          <w:rFonts w:ascii="Book Antiqua" w:hAnsi="Book Antiqua" w:cs="Times New Roman"/>
          <w:color w:val="000000" w:themeColor="text1"/>
        </w:rPr>
        <w:t xml:space="preserve"> </w:t>
      </w:r>
    </w:p>
    <w:p w14:paraId="72E54C7A" w14:textId="1D89ADFA" w:rsidR="007A04EB" w:rsidRPr="00977582" w:rsidRDefault="00065109"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Our results indicate that diarrhea symptoms</w:t>
      </w:r>
      <w:r w:rsidR="00764C79" w:rsidRPr="00977582">
        <w:rPr>
          <w:rFonts w:ascii="Book Antiqua" w:hAnsi="Book Antiqua" w:cs="Times New Roman"/>
          <w:color w:val="000000" w:themeColor="text1"/>
        </w:rPr>
        <w:t xml:space="preserve"> are common in patients with CS.</w:t>
      </w:r>
      <w:r w:rsidR="005B1623" w:rsidRPr="00977582">
        <w:rPr>
          <w:rFonts w:ascii="Book Antiqua" w:hAnsi="Book Antiqua" w:cs="Times New Roman"/>
          <w:i/>
          <w:color w:val="000000" w:themeColor="text1"/>
        </w:rPr>
        <w:t xml:space="preserve"> </w:t>
      </w:r>
      <w:r w:rsidR="00764C79" w:rsidRPr="00977582">
        <w:rPr>
          <w:rFonts w:ascii="Book Antiqua" w:hAnsi="Book Antiqua" w:cs="Times New Roman"/>
          <w:color w:val="000000" w:themeColor="text1"/>
        </w:rPr>
        <w:t xml:space="preserve">In the present analysis, we found </w:t>
      </w:r>
      <w:r w:rsidRPr="00977582">
        <w:rPr>
          <w:rFonts w:ascii="Book Antiqua" w:hAnsi="Book Antiqua" w:cs="Times New Roman"/>
          <w:color w:val="000000" w:themeColor="text1"/>
        </w:rPr>
        <w:t xml:space="preserve">18.9% of </w:t>
      </w:r>
      <w:r w:rsidR="00764C79" w:rsidRPr="00977582">
        <w:rPr>
          <w:rFonts w:ascii="Book Antiqua" w:hAnsi="Book Antiqua" w:cs="Times New Roman"/>
          <w:color w:val="000000" w:themeColor="text1"/>
        </w:rPr>
        <w:t>cases with</w:t>
      </w:r>
      <w:r w:rsidRPr="00977582">
        <w:rPr>
          <w:rFonts w:ascii="Book Antiqua" w:hAnsi="Book Antiqua" w:cs="Times New Roman"/>
          <w:color w:val="000000" w:themeColor="text1"/>
        </w:rPr>
        <w:t xml:space="preserve"> at least one claim for the diagnosis of non-infectious diarrhea</w:t>
      </w:r>
      <w:r w:rsidR="00764C79" w:rsidRPr="00977582">
        <w:rPr>
          <w:rFonts w:ascii="Book Antiqua" w:hAnsi="Book Antiqua" w:cs="Times New Roman"/>
          <w:color w:val="000000" w:themeColor="text1"/>
        </w:rPr>
        <w:t xml:space="preserve"> in the one-year </w:t>
      </w:r>
      <w:r w:rsidR="00391999" w:rsidRPr="00977582">
        <w:rPr>
          <w:rFonts w:ascii="Book Antiqua" w:hAnsi="Book Antiqua" w:cs="Times New Roman"/>
          <w:color w:val="000000" w:themeColor="text1"/>
        </w:rPr>
        <w:t>study</w:t>
      </w:r>
      <w:r w:rsidR="00764C79" w:rsidRPr="00977582">
        <w:rPr>
          <w:rFonts w:ascii="Book Antiqua" w:hAnsi="Book Antiqua" w:cs="Times New Roman"/>
          <w:color w:val="000000" w:themeColor="text1"/>
        </w:rPr>
        <w:t xml:space="preserve"> period</w:t>
      </w:r>
      <w:r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 xml:space="preserve">These findings are comparable to </w:t>
      </w:r>
      <w:r w:rsidR="00764C79" w:rsidRPr="00977582">
        <w:rPr>
          <w:rFonts w:ascii="Book Antiqua" w:hAnsi="Book Antiqua" w:cs="Times New Roman"/>
          <w:color w:val="000000" w:themeColor="text1"/>
        </w:rPr>
        <w:t xml:space="preserve">an analysis of commercially insured patients with NETs in which </w:t>
      </w:r>
      <w:r w:rsidRPr="00977582">
        <w:rPr>
          <w:rFonts w:ascii="Book Antiqua" w:hAnsi="Book Antiqua" w:cs="Times New Roman"/>
          <w:color w:val="000000" w:themeColor="text1"/>
        </w:rPr>
        <w:t>17.</w:t>
      </w:r>
      <w:r w:rsidR="00764C79" w:rsidRPr="00977582">
        <w:rPr>
          <w:rFonts w:ascii="Book Antiqua" w:hAnsi="Book Antiqua" w:cs="Times New Roman"/>
          <w:color w:val="000000" w:themeColor="text1"/>
        </w:rPr>
        <w:t xml:space="preserve">6% of </w:t>
      </w:r>
      <w:r w:rsidRPr="00977582">
        <w:rPr>
          <w:rFonts w:ascii="Book Antiqua" w:hAnsi="Book Antiqua" w:cs="Times New Roman"/>
          <w:color w:val="000000" w:themeColor="text1"/>
        </w:rPr>
        <w:t xml:space="preserve">patients </w:t>
      </w:r>
      <w:r w:rsidR="00764C79" w:rsidRPr="00977582">
        <w:rPr>
          <w:rFonts w:ascii="Book Antiqua" w:hAnsi="Book Antiqua" w:cs="Times New Roman"/>
          <w:color w:val="000000" w:themeColor="text1"/>
        </w:rPr>
        <w:t xml:space="preserve">had symptoms of diarrhea </w:t>
      </w:r>
      <w:r w:rsidR="002C1851" w:rsidRPr="00977582">
        <w:rPr>
          <w:rFonts w:ascii="Book Antiqua" w:hAnsi="Book Antiqua" w:cs="Times New Roman"/>
          <w:color w:val="000000" w:themeColor="text1"/>
        </w:rPr>
        <w:t xml:space="preserve">and up to 72% of patients had CS </w:t>
      </w:r>
      <w:r w:rsidR="00764C79" w:rsidRPr="00977582">
        <w:rPr>
          <w:rFonts w:ascii="Book Antiqua" w:hAnsi="Book Antiqua" w:cs="Times New Roman"/>
          <w:color w:val="000000" w:themeColor="text1"/>
        </w:rPr>
        <w:t>within the same time period</w:t>
      </w:r>
      <w:r w:rsidR="00170E16" w:rsidRPr="00977582">
        <w:rPr>
          <w:rFonts w:ascii="Book Antiqua" w:hAnsi="Book Antiqua" w:cs="Times New Roman"/>
          <w:color w:val="000000" w:themeColor="text1"/>
          <w:vertAlign w:val="superscript"/>
        </w:rPr>
        <w:t>[12]</w:t>
      </w:r>
      <w:r w:rsidR="00170E16" w:rsidRPr="00977582">
        <w:rPr>
          <w:rFonts w:ascii="Book Antiqua" w:hAnsi="Book Antiqua" w:cs="Times New Roman"/>
          <w:color w:val="000000" w:themeColor="text1"/>
        </w:rPr>
        <w:t xml:space="preserve">. </w:t>
      </w:r>
      <w:r w:rsidR="00764C79" w:rsidRPr="00977582">
        <w:rPr>
          <w:rFonts w:ascii="Book Antiqua" w:hAnsi="Book Antiqua" w:cs="Times New Roman"/>
          <w:color w:val="000000" w:themeColor="text1"/>
        </w:rPr>
        <w:t xml:space="preserve">In that analysis </w:t>
      </w:r>
      <w:r w:rsidR="002C1851" w:rsidRPr="00977582">
        <w:rPr>
          <w:rFonts w:ascii="Book Antiqua" w:hAnsi="Book Antiqua" w:cs="Times New Roman"/>
          <w:color w:val="000000" w:themeColor="text1"/>
        </w:rPr>
        <w:t>the annualized total healthcare costs for patients with NETs were estimated at appr</w:t>
      </w:r>
      <w:r w:rsidR="008157ED">
        <w:rPr>
          <w:rFonts w:ascii="Book Antiqua" w:hAnsi="Book Antiqua" w:cs="Times New Roman"/>
          <w:color w:val="000000" w:themeColor="text1"/>
        </w:rPr>
        <w:t>oximately $106</w:t>
      </w:r>
      <w:r w:rsidR="00170E16" w:rsidRPr="00977582">
        <w:rPr>
          <w:rFonts w:ascii="Book Antiqua" w:hAnsi="Book Antiqua" w:cs="Times New Roman"/>
          <w:color w:val="000000" w:themeColor="text1"/>
        </w:rPr>
        <w:t>000 (2011 U</w:t>
      </w:r>
      <w:r w:rsidR="008157ED">
        <w:rPr>
          <w:rFonts w:ascii="Book Antiqua" w:hAnsi="Book Antiqua" w:cs="Times New Roman" w:hint="eastAsia"/>
          <w:color w:val="000000" w:themeColor="text1"/>
          <w:lang w:eastAsia="zh-CN"/>
        </w:rPr>
        <w:t>nited States</w:t>
      </w:r>
      <w:r w:rsidR="00170E16" w:rsidRPr="00977582">
        <w:rPr>
          <w:rFonts w:ascii="Book Antiqua" w:hAnsi="Book Antiqua" w:cs="Times New Roman"/>
          <w:color w:val="000000" w:themeColor="text1"/>
        </w:rPr>
        <w:t xml:space="preserve"> $)</w:t>
      </w:r>
      <w:r w:rsidR="00170E16" w:rsidRPr="00977582">
        <w:rPr>
          <w:rFonts w:ascii="Book Antiqua" w:hAnsi="Book Antiqua" w:cs="Times New Roman"/>
          <w:color w:val="000000" w:themeColor="text1"/>
          <w:vertAlign w:val="superscript"/>
        </w:rPr>
        <w:t>[12]</w:t>
      </w:r>
      <w:r w:rsidR="00170E16" w:rsidRPr="00977582">
        <w:rPr>
          <w:rFonts w:ascii="Book Antiqua" w:hAnsi="Book Antiqua" w:cs="Times New Roman"/>
          <w:color w:val="000000" w:themeColor="text1"/>
        </w:rPr>
        <w:t>.</w:t>
      </w:r>
      <w:r w:rsidR="002C1851" w:rsidRPr="00977582">
        <w:rPr>
          <w:rFonts w:ascii="Book Antiqua" w:hAnsi="Book Antiqua" w:cs="Times New Roman"/>
          <w:color w:val="000000" w:themeColor="text1"/>
        </w:rPr>
        <w:t xml:space="preserve"> While those cost estimates were not disaggregated by CS symptoms, both analyses highlight the </w:t>
      </w:r>
      <w:r w:rsidR="007765EE" w:rsidRPr="00977582">
        <w:rPr>
          <w:rFonts w:ascii="Book Antiqua" w:hAnsi="Book Antiqua" w:cs="Times New Roman"/>
          <w:color w:val="000000" w:themeColor="text1"/>
        </w:rPr>
        <w:t xml:space="preserve">substantial economic burden associated with treatment of patients with CS. </w:t>
      </w:r>
    </w:p>
    <w:p w14:paraId="72E54C7B" w14:textId="192FFA8D" w:rsidR="00CC5053" w:rsidRPr="00977582" w:rsidRDefault="00AA28FF"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P</w:t>
      </w:r>
      <w:r w:rsidR="00D83220" w:rsidRPr="00977582">
        <w:rPr>
          <w:rFonts w:ascii="Book Antiqua" w:hAnsi="Book Antiqua" w:cs="Times New Roman"/>
          <w:color w:val="000000" w:themeColor="text1"/>
        </w:rPr>
        <w:t>atients with NETs ha</w:t>
      </w:r>
      <w:r w:rsidRPr="00977582">
        <w:rPr>
          <w:rFonts w:ascii="Book Antiqua" w:hAnsi="Book Antiqua" w:cs="Times New Roman"/>
          <w:color w:val="000000" w:themeColor="text1"/>
        </w:rPr>
        <w:t>ve</w:t>
      </w:r>
      <w:r w:rsidR="00D83220" w:rsidRPr="00977582">
        <w:rPr>
          <w:rFonts w:ascii="Book Antiqua" w:hAnsi="Book Antiqua" w:cs="Times New Roman"/>
          <w:color w:val="000000" w:themeColor="text1"/>
        </w:rPr>
        <w:t xml:space="preserve"> significantly higher rates of mortality and hepatic and gastrointestinal morbidities compared to</w:t>
      </w:r>
      <w:r w:rsidRPr="00977582">
        <w:rPr>
          <w:rFonts w:ascii="Book Antiqua" w:hAnsi="Book Antiqua" w:cs="Times New Roman"/>
          <w:color w:val="000000" w:themeColor="text1"/>
        </w:rPr>
        <w:t xml:space="preserve"> </w:t>
      </w:r>
      <w:r w:rsidR="00D83220" w:rsidRPr="00977582">
        <w:rPr>
          <w:rFonts w:ascii="Book Antiqua" w:hAnsi="Book Antiqua" w:cs="Times New Roman"/>
          <w:color w:val="000000" w:themeColor="text1"/>
        </w:rPr>
        <w:t>patients</w:t>
      </w:r>
      <w:r w:rsidRPr="00977582">
        <w:rPr>
          <w:rFonts w:ascii="Book Antiqua" w:hAnsi="Book Antiqua" w:cs="Times New Roman"/>
          <w:color w:val="000000" w:themeColor="text1"/>
        </w:rPr>
        <w:t xml:space="preserve"> without NETs or other cancers matched by age, sex, and year of diagnosis</w:t>
      </w:r>
      <w:r w:rsidR="00170E16" w:rsidRPr="00977582">
        <w:rPr>
          <w:rFonts w:ascii="Book Antiqua" w:hAnsi="Book Antiqua" w:cs="Times New Roman"/>
          <w:color w:val="000000" w:themeColor="text1"/>
          <w:vertAlign w:val="superscript"/>
        </w:rPr>
        <w:t>[13]</w:t>
      </w:r>
      <w:r w:rsidR="00170E16"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They also have worse</w:t>
      </w:r>
      <w:r w:rsidR="003754D6" w:rsidRPr="00977582">
        <w:rPr>
          <w:rFonts w:ascii="Book Antiqua" w:hAnsi="Book Antiqua" w:cs="Times New Roman"/>
          <w:color w:val="000000" w:themeColor="text1"/>
        </w:rPr>
        <w:t xml:space="preserve"> health-related </w:t>
      </w:r>
      <w:r w:rsidRPr="00977582">
        <w:rPr>
          <w:rFonts w:ascii="Book Antiqua" w:hAnsi="Book Antiqua" w:cs="Times New Roman"/>
          <w:color w:val="000000" w:themeColor="text1"/>
        </w:rPr>
        <w:t>QOL</w:t>
      </w:r>
      <w:r w:rsidR="003754D6" w:rsidRPr="00977582">
        <w:rPr>
          <w:rFonts w:ascii="Book Antiqua" w:hAnsi="Book Antiqua" w:cs="Times New Roman"/>
          <w:color w:val="000000" w:themeColor="text1"/>
        </w:rPr>
        <w:t xml:space="preserve"> than</w:t>
      </w:r>
      <w:r w:rsidR="00D57F37" w:rsidRPr="00977582">
        <w:rPr>
          <w:rFonts w:ascii="Book Antiqua" w:hAnsi="Book Antiqua" w:cs="Times New Roman"/>
          <w:color w:val="000000" w:themeColor="text1"/>
        </w:rPr>
        <w:t xml:space="preserve"> </w:t>
      </w:r>
      <w:r w:rsidR="003754D6" w:rsidRPr="00977582">
        <w:rPr>
          <w:rFonts w:ascii="Book Antiqua" w:hAnsi="Book Antiqua" w:cs="Times New Roman"/>
          <w:color w:val="000000" w:themeColor="text1"/>
        </w:rPr>
        <w:t>general population</w:t>
      </w:r>
      <w:r w:rsidR="00D57F37" w:rsidRPr="00977582">
        <w:rPr>
          <w:rFonts w:ascii="Book Antiqua" w:hAnsi="Book Antiqua" w:cs="Times New Roman"/>
          <w:color w:val="000000" w:themeColor="text1"/>
        </w:rPr>
        <w:t xml:space="preserve"> controls</w:t>
      </w:r>
      <w:r w:rsidRPr="00977582">
        <w:rPr>
          <w:rFonts w:ascii="Book Antiqua" w:hAnsi="Book Antiqua" w:cs="Times New Roman"/>
          <w:color w:val="000000" w:themeColor="text1"/>
        </w:rPr>
        <w:t xml:space="preserve">, </w:t>
      </w:r>
      <w:r w:rsidR="00B73FC7" w:rsidRPr="00977582">
        <w:rPr>
          <w:rFonts w:ascii="Book Antiqua" w:hAnsi="Book Antiqua" w:cs="Times New Roman"/>
          <w:color w:val="000000" w:themeColor="text1"/>
        </w:rPr>
        <w:t>with evidence that this is attributable to symptoms such as diarrhea, fatigue, and depression</w:t>
      </w:r>
      <w:r w:rsidR="00170E16" w:rsidRPr="00977582">
        <w:rPr>
          <w:rFonts w:ascii="Book Antiqua" w:hAnsi="Book Antiqua" w:cs="Times New Roman"/>
          <w:color w:val="000000" w:themeColor="text1"/>
          <w:vertAlign w:val="superscript"/>
        </w:rPr>
        <w:t>[14,15]</w:t>
      </w:r>
      <w:r w:rsidR="00170E16" w:rsidRPr="00977582">
        <w:rPr>
          <w:rFonts w:ascii="Book Antiqua" w:hAnsi="Book Antiqua" w:cs="Times New Roman"/>
          <w:color w:val="000000" w:themeColor="text1"/>
        </w:rPr>
        <w:t xml:space="preserve">. </w:t>
      </w:r>
      <w:r w:rsidR="00B73FC7" w:rsidRPr="00977582">
        <w:rPr>
          <w:rFonts w:ascii="Book Antiqua" w:hAnsi="Book Antiqua" w:cs="Times New Roman"/>
          <w:color w:val="000000" w:themeColor="text1"/>
        </w:rPr>
        <w:t xml:space="preserve">Frojd </w:t>
      </w:r>
      <w:r w:rsidR="00B47EF9" w:rsidRPr="00977582">
        <w:rPr>
          <w:rFonts w:ascii="Book Antiqua" w:hAnsi="Book Antiqua" w:cs="Times New Roman"/>
          <w:i/>
          <w:color w:val="000000" w:themeColor="text1"/>
        </w:rPr>
        <w:t>et al</w:t>
      </w:r>
      <w:r w:rsidR="006B2144" w:rsidRPr="00977582">
        <w:rPr>
          <w:rFonts w:ascii="Book Antiqua" w:hAnsi="Book Antiqua" w:cs="Times New Roman"/>
          <w:color w:val="000000" w:themeColor="text1"/>
          <w:vertAlign w:val="superscript"/>
        </w:rPr>
        <w:t>[14]</w:t>
      </w:r>
      <w:r w:rsidR="00B73FC7" w:rsidRPr="00977582">
        <w:rPr>
          <w:rFonts w:ascii="Book Antiqua" w:hAnsi="Book Antiqua" w:cs="Times New Roman"/>
          <w:color w:val="000000" w:themeColor="text1"/>
        </w:rPr>
        <w:t xml:space="preserve"> used the EORTC QLQ-C30 instrument to demonstrate that d</w:t>
      </w:r>
      <w:r w:rsidR="00275904" w:rsidRPr="00977582">
        <w:rPr>
          <w:rFonts w:ascii="Book Antiqua" w:hAnsi="Book Antiqua" w:cs="Times New Roman"/>
          <w:color w:val="000000" w:themeColor="text1"/>
        </w:rPr>
        <w:t>iarrhea, along with fatigue, had particularly promin</w:t>
      </w:r>
      <w:r w:rsidR="00B73FC7" w:rsidRPr="00977582">
        <w:rPr>
          <w:rFonts w:ascii="Book Antiqua" w:hAnsi="Book Antiqua" w:cs="Times New Roman"/>
          <w:color w:val="000000" w:themeColor="text1"/>
        </w:rPr>
        <w:t xml:space="preserve">ent adverse </w:t>
      </w:r>
      <w:r w:rsidR="00F062B3" w:rsidRPr="00977582">
        <w:rPr>
          <w:rFonts w:ascii="Book Antiqua" w:hAnsi="Book Antiqua" w:cs="Times New Roman"/>
          <w:color w:val="000000" w:themeColor="text1"/>
        </w:rPr>
        <w:t xml:space="preserve">impact </w:t>
      </w:r>
      <w:r w:rsidR="00B73FC7" w:rsidRPr="00977582">
        <w:rPr>
          <w:rFonts w:ascii="Book Antiqua" w:hAnsi="Book Antiqua" w:cs="Times New Roman"/>
          <w:color w:val="000000" w:themeColor="text1"/>
        </w:rPr>
        <w:t xml:space="preserve">on physical, emotional, </w:t>
      </w:r>
      <w:r w:rsidR="00275904" w:rsidRPr="00977582">
        <w:rPr>
          <w:rFonts w:ascii="Book Antiqua" w:hAnsi="Book Antiqua" w:cs="Times New Roman"/>
          <w:color w:val="000000" w:themeColor="text1"/>
        </w:rPr>
        <w:t xml:space="preserve">and social well-being in a </w:t>
      </w:r>
      <w:r w:rsidR="00B73FC7" w:rsidRPr="00977582">
        <w:rPr>
          <w:rFonts w:ascii="Book Antiqua" w:hAnsi="Book Antiqua" w:cs="Times New Roman"/>
          <w:color w:val="000000" w:themeColor="text1"/>
        </w:rPr>
        <w:t>cohort</w:t>
      </w:r>
      <w:r w:rsidR="00275904" w:rsidRPr="00977582">
        <w:rPr>
          <w:rFonts w:ascii="Book Antiqua" w:hAnsi="Book Antiqua" w:cs="Times New Roman"/>
          <w:color w:val="000000" w:themeColor="text1"/>
        </w:rPr>
        <w:t xml:space="preserve"> of Swedish patients</w:t>
      </w:r>
      <w:r w:rsidR="00B73FC7" w:rsidRPr="00977582">
        <w:rPr>
          <w:rFonts w:ascii="Book Antiqua" w:hAnsi="Book Antiqua" w:cs="Times New Roman"/>
          <w:color w:val="000000" w:themeColor="text1"/>
        </w:rPr>
        <w:t xml:space="preserve"> with NETs</w:t>
      </w:r>
      <w:r w:rsidR="006B2144" w:rsidRPr="00977582">
        <w:rPr>
          <w:rFonts w:ascii="Book Antiqua" w:hAnsi="Book Antiqua" w:cs="Times New Roman"/>
          <w:color w:val="000000" w:themeColor="text1"/>
        </w:rPr>
        <w:t>.</w:t>
      </w:r>
    </w:p>
    <w:p w14:paraId="06FC2F61" w14:textId="70432FC9" w:rsidR="00A63196" w:rsidRPr="00977582" w:rsidRDefault="003D7BD8" w:rsidP="0041646E">
      <w:pPr>
        <w:adjustRightInd w:val="0"/>
        <w:snapToGrid w:val="0"/>
        <w:spacing w:after="0" w:line="360" w:lineRule="auto"/>
        <w:ind w:firstLine="720"/>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Chronic s</w:t>
      </w:r>
      <w:r w:rsidR="00DD5422" w:rsidRPr="00977582">
        <w:rPr>
          <w:rFonts w:ascii="Book Antiqua" w:hAnsi="Book Antiqua" w:cs="Times New Roman"/>
          <w:color w:val="000000" w:themeColor="text1"/>
        </w:rPr>
        <w:t xml:space="preserve">ecretory diarrhea in patients with NETs results from imbalances in intestinal absorptive and secretory processes, leading to dehydration, renal insufficiency, and various serum electrolyte imbalances, </w:t>
      </w:r>
      <w:r w:rsidRPr="00977582">
        <w:rPr>
          <w:rFonts w:ascii="Book Antiqua" w:hAnsi="Book Antiqua" w:cs="Times New Roman"/>
          <w:color w:val="000000" w:themeColor="text1"/>
        </w:rPr>
        <w:t xml:space="preserve">and improper digestion </w:t>
      </w:r>
      <w:r w:rsidRPr="00977582">
        <w:rPr>
          <w:rFonts w:ascii="Book Antiqua" w:hAnsi="Book Antiqua" w:cs="Times New Roman"/>
          <w:color w:val="000000" w:themeColor="text1"/>
        </w:rPr>
        <w:lastRenderedPageBreak/>
        <w:t>of food</w:t>
      </w:r>
      <w:r w:rsidR="00170E16" w:rsidRPr="00977582">
        <w:rPr>
          <w:rFonts w:ascii="Book Antiqua" w:hAnsi="Book Antiqua" w:cs="Times New Roman"/>
          <w:color w:val="000000" w:themeColor="text1"/>
          <w:vertAlign w:val="superscript"/>
        </w:rPr>
        <w:t>[16]</w:t>
      </w:r>
      <w:r w:rsidRPr="00977582">
        <w:rPr>
          <w:rFonts w:ascii="Book Antiqua" w:hAnsi="Book Antiqua" w:cs="Times New Roman"/>
          <w:color w:val="000000" w:themeColor="text1"/>
        </w:rPr>
        <w:t>. Nutritional deficiencies caused by inadequate digestion may further exacerbate weight loss and fatigue caused by fluid and electrolyte loss</w:t>
      </w:r>
      <w:r w:rsidR="00170E16" w:rsidRPr="00977582">
        <w:rPr>
          <w:rFonts w:ascii="Book Antiqua" w:hAnsi="Book Antiqua" w:cs="Times New Roman"/>
          <w:color w:val="000000" w:themeColor="text1"/>
          <w:vertAlign w:val="superscript"/>
        </w:rPr>
        <w:t>[16]</w:t>
      </w:r>
      <w:r w:rsidRPr="00977582">
        <w:rPr>
          <w:rFonts w:ascii="Book Antiqua" w:hAnsi="Book Antiqua" w:cs="Times New Roman"/>
          <w:color w:val="000000" w:themeColor="text1"/>
        </w:rPr>
        <w:t xml:space="preserve">. </w:t>
      </w:r>
      <w:r w:rsidR="00CC5053" w:rsidRPr="00977582">
        <w:rPr>
          <w:rFonts w:ascii="Book Antiqua" w:hAnsi="Book Antiqua" w:cs="Times New Roman"/>
          <w:color w:val="000000" w:themeColor="text1"/>
        </w:rPr>
        <w:t>NETs are among eight different neoplastic diseases known to cause chronic diarrhea, but because these conditions as a group comprise less than 1% of all chronic diarrhea, they are often ignored in the differential diagnosis, w</w:t>
      </w:r>
      <w:r w:rsidR="00170E16" w:rsidRPr="00977582">
        <w:rPr>
          <w:rFonts w:ascii="Book Antiqua" w:hAnsi="Book Antiqua" w:cs="Times New Roman"/>
          <w:color w:val="000000" w:themeColor="text1"/>
        </w:rPr>
        <w:t>hich may lead to delay in care</w:t>
      </w:r>
      <w:r w:rsidR="00170E16" w:rsidRPr="00977582">
        <w:rPr>
          <w:rFonts w:ascii="Book Antiqua" w:hAnsi="Book Antiqua" w:cs="Times New Roman"/>
          <w:color w:val="000000" w:themeColor="text1"/>
          <w:vertAlign w:val="superscript"/>
        </w:rPr>
        <w:t>[17]</w:t>
      </w:r>
      <w:r w:rsidR="00170E16" w:rsidRPr="00977582">
        <w:rPr>
          <w:rFonts w:ascii="Book Antiqua" w:hAnsi="Book Antiqua" w:cs="Times New Roman"/>
          <w:color w:val="000000" w:themeColor="text1"/>
        </w:rPr>
        <w:t xml:space="preserve">. </w:t>
      </w:r>
      <w:r w:rsidR="00F062B3" w:rsidRPr="00977582">
        <w:rPr>
          <w:rFonts w:ascii="Book Antiqua" w:hAnsi="Book Antiqua" w:cs="Times New Roman"/>
          <w:color w:val="000000" w:themeColor="text1"/>
        </w:rPr>
        <w:t>P</w:t>
      </w:r>
      <w:r w:rsidR="000E3DFB" w:rsidRPr="00977582">
        <w:rPr>
          <w:rFonts w:ascii="Book Antiqua" w:hAnsi="Book Antiqua" w:cs="Times New Roman"/>
          <w:color w:val="000000" w:themeColor="text1"/>
        </w:rPr>
        <w:t xml:space="preserve">reventive treatment </w:t>
      </w:r>
      <w:r w:rsidR="00CC5053" w:rsidRPr="00977582">
        <w:rPr>
          <w:rFonts w:ascii="Book Antiqua" w:hAnsi="Book Antiqua" w:cs="Times New Roman"/>
          <w:color w:val="000000" w:themeColor="text1"/>
        </w:rPr>
        <w:t>and management o</w:t>
      </w:r>
      <w:r w:rsidR="003E6447" w:rsidRPr="00977582">
        <w:rPr>
          <w:rFonts w:ascii="Book Antiqua" w:hAnsi="Book Antiqua" w:cs="Times New Roman"/>
          <w:color w:val="000000" w:themeColor="text1"/>
        </w:rPr>
        <w:t xml:space="preserve">f non-infectious diarrhea in patients with CS </w:t>
      </w:r>
      <w:r w:rsidR="007A0251" w:rsidRPr="00977582">
        <w:rPr>
          <w:rFonts w:ascii="Book Antiqua" w:hAnsi="Book Antiqua" w:cs="Times New Roman"/>
          <w:color w:val="000000" w:themeColor="text1"/>
        </w:rPr>
        <w:t>could</w:t>
      </w:r>
      <w:r w:rsidR="00E07C86" w:rsidRPr="00977582">
        <w:rPr>
          <w:rFonts w:ascii="Book Antiqua" w:hAnsi="Book Antiqua" w:cs="Times New Roman"/>
          <w:color w:val="000000" w:themeColor="text1"/>
        </w:rPr>
        <w:t xml:space="preserve"> directly</w:t>
      </w:r>
      <w:r w:rsidR="003E6447" w:rsidRPr="00977582">
        <w:rPr>
          <w:rFonts w:ascii="Book Antiqua" w:hAnsi="Book Antiqua" w:cs="Times New Roman"/>
          <w:color w:val="000000" w:themeColor="text1"/>
        </w:rPr>
        <w:t xml:space="preserve"> </w:t>
      </w:r>
      <w:r w:rsidR="00E07C86" w:rsidRPr="00977582">
        <w:rPr>
          <w:rFonts w:ascii="Book Antiqua" w:hAnsi="Book Antiqua" w:cs="Times New Roman"/>
          <w:color w:val="000000" w:themeColor="text1"/>
        </w:rPr>
        <w:t xml:space="preserve">reduce health service </w:t>
      </w:r>
      <w:r w:rsidR="00067800" w:rsidRPr="00977582">
        <w:rPr>
          <w:rFonts w:ascii="Book Antiqua" w:hAnsi="Book Antiqua" w:cs="Times New Roman"/>
          <w:color w:val="000000" w:themeColor="text1"/>
        </w:rPr>
        <w:t>use and</w:t>
      </w:r>
      <w:r w:rsidRPr="00977582">
        <w:rPr>
          <w:rFonts w:ascii="Book Antiqua" w:hAnsi="Book Antiqua" w:cs="Times New Roman"/>
          <w:color w:val="000000" w:themeColor="text1"/>
        </w:rPr>
        <w:t xml:space="preserve"> cost, and it may also help resolve fatigue and other secondary consequences of the condition previously associated with CS. Effective management of diarrhea also could</w:t>
      </w:r>
      <w:r w:rsidR="00E07C86" w:rsidRPr="00977582">
        <w:rPr>
          <w:rFonts w:ascii="Book Antiqua" w:hAnsi="Book Antiqua" w:cs="Times New Roman"/>
          <w:color w:val="000000" w:themeColor="text1"/>
        </w:rPr>
        <w:t xml:space="preserve"> potentially contribut</w:t>
      </w:r>
      <w:r w:rsidRPr="00977582">
        <w:rPr>
          <w:rFonts w:ascii="Book Antiqua" w:hAnsi="Book Antiqua" w:cs="Times New Roman"/>
          <w:color w:val="000000" w:themeColor="text1"/>
        </w:rPr>
        <w:t>e</w:t>
      </w:r>
      <w:r w:rsidR="007A0251" w:rsidRPr="00977582">
        <w:rPr>
          <w:rFonts w:ascii="Book Antiqua" w:hAnsi="Book Antiqua" w:cs="Times New Roman"/>
          <w:color w:val="000000" w:themeColor="text1"/>
        </w:rPr>
        <w:t xml:space="preserve"> </w:t>
      </w:r>
      <w:r w:rsidR="003E6447" w:rsidRPr="00977582">
        <w:rPr>
          <w:rFonts w:ascii="Book Antiqua" w:hAnsi="Book Antiqua" w:cs="Times New Roman"/>
          <w:color w:val="000000" w:themeColor="text1"/>
        </w:rPr>
        <w:t xml:space="preserve">to </w:t>
      </w:r>
      <w:r w:rsidR="00E07C86" w:rsidRPr="00977582">
        <w:rPr>
          <w:rFonts w:ascii="Book Antiqua" w:hAnsi="Book Antiqua" w:cs="Times New Roman"/>
          <w:color w:val="000000" w:themeColor="text1"/>
        </w:rPr>
        <w:t xml:space="preserve">a </w:t>
      </w:r>
      <w:r w:rsidR="003E6447" w:rsidRPr="00977582">
        <w:rPr>
          <w:rFonts w:ascii="Book Antiqua" w:hAnsi="Book Antiqua" w:cs="Times New Roman"/>
          <w:color w:val="000000" w:themeColor="text1"/>
        </w:rPr>
        <w:t xml:space="preserve">reduction </w:t>
      </w:r>
      <w:r w:rsidR="00E07C86" w:rsidRPr="00977582">
        <w:rPr>
          <w:rFonts w:ascii="Book Antiqua" w:hAnsi="Book Antiqua" w:cs="Times New Roman"/>
          <w:color w:val="000000" w:themeColor="text1"/>
        </w:rPr>
        <w:t>in emotional distress</w:t>
      </w:r>
      <w:r w:rsidR="003E6447" w:rsidRPr="00977582">
        <w:rPr>
          <w:rFonts w:ascii="Book Antiqua" w:hAnsi="Book Antiqua" w:cs="Times New Roman"/>
          <w:color w:val="000000" w:themeColor="text1"/>
        </w:rPr>
        <w:t xml:space="preserve">, which </w:t>
      </w:r>
      <w:r w:rsidR="00E07C86" w:rsidRPr="00977582">
        <w:rPr>
          <w:rFonts w:ascii="Book Antiqua" w:hAnsi="Book Antiqua" w:cs="Times New Roman"/>
          <w:color w:val="000000" w:themeColor="text1"/>
        </w:rPr>
        <w:t xml:space="preserve">has </w:t>
      </w:r>
      <w:r w:rsidR="003E6447" w:rsidRPr="00977582">
        <w:rPr>
          <w:rFonts w:ascii="Book Antiqua" w:hAnsi="Book Antiqua" w:cs="Times New Roman"/>
          <w:color w:val="000000" w:themeColor="text1"/>
        </w:rPr>
        <w:t>been shown repeatedly to be associated with greater resource utilization in other populations</w:t>
      </w:r>
      <w:r w:rsidR="00170E16" w:rsidRPr="00977582">
        <w:rPr>
          <w:rFonts w:ascii="Book Antiqua" w:hAnsi="Book Antiqua" w:cs="Times New Roman"/>
          <w:color w:val="000000" w:themeColor="text1"/>
          <w:vertAlign w:val="superscript"/>
        </w:rPr>
        <w:t>[18-21]</w:t>
      </w:r>
      <w:r w:rsidR="003E6447" w:rsidRPr="00977582">
        <w:rPr>
          <w:rFonts w:ascii="Book Antiqua" w:hAnsi="Book Antiqua" w:cs="Times New Roman"/>
          <w:color w:val="000000" w:themeColor="text1"/>
        </w:rPr>
        <w:t xml:space="preserve">. </w:t>
      </w:r>
      <w:r w:rsidR="003400AA" w:rsidRPr="00977582">
        <w:rPr>
          <w:rFonts w:ascii="Book Antiqua" w:hAnsi="Book Antiqua" w:cs="Helvetica"/>
          <w:color w:val="000000" w:themeColor="text1"/>
        </w:rPr>
        <w:t xml:space="preserve">The </w:t>
      </w:r>
      <w:r w:rsidR="003400AA" w:rsidRPr="00977582">
        <w:rPr>
          <w:rFonts w:ascii="Book Antiqua" w:eastAsia="Times New Roman" w:hAnsi="Book Antiqua"/>
          <w:color w:val="000000" w:themeColor="text1"/>
        </w:rPr>
        <w:t xml:space="preserve">NCCN </w:t>
      </w:r>
      <w:r w:rsidR="00115B38" w:rsidRPr="00977582">
        <w:rPr>
          <w:rFonts w:ascii="Book Antiqua" w:eastAsia="Times New Roman" w:hAnsi="Book Antiqua"/>
          <w:color w:val="000000" w:themeColor="text1"/>
        </w:rPr>
        <w:t>Clinical</w:t>
      </w:r>
      <w:r w:rsidR="003400AA" w:rsidRPr="00977582">
        <w:rPr>
          <w:rFonts w:ascii="Book Antiqua" w:eastAsia="Times New Roman" w:hAnsi="Book Antiqua"/>
          <w:color w:val="000000" w:themeColor="text1"/>
        </w:rPr>
        <w:t xml:space="preserve"> Practice Guidelines in Oncology on NETs recommend the </w:t>
      </w:r>
      <w:r w:rsidR="003400AA" w:rsidRPr="00977582">
        <w:rPr>
          <w:rFonts w:ascii="Book Antiqua" w:hAnsi="Book Antiqua" w:cs="OTNEJMQuadraat"/>
          <w:color w:val="000000" w:themeColor="text1"/>
        </w:rPr>
        <w:t>use of the long-acting somatostatin analogues, octreotide and lanreotide, should result in improvement of diarrhea and flushing symptoms of carcinoid syndrome</w:t>
      </w:r>
      <w:r w:rsidR="008157ED" w:rsidRPr="008157ED">
        <w:rPr>
          <w:rFonts w:ascii="Book Antiqua" w:hAnsi="Book Antiqua" w:cs="OTNEJMQuadraat" w:hint="eastAsia"/>
          <w:color w:val="000000" w:themeColor="text1"/>
          <w:highlight w:val="yellow"/>
          <w:vertAlign w:val="superscript"/>
          <w:lang w:eastAsia="zh-CN"/>
        </w:rPr>
        <w:t>[</w:t>
      </w:r>
      <w:r w:rsidR="008157ED" w:rsidRPr="008157ED">
        <w:rPr>
          <w:rFonts w:ascii="Book Antiqua" w:hAnsi="Book Antiqua" w:cs="OTNEJMQuadraat"/>
          <w:color w:val="000000" w:themeColor="text1"/>
          <w:highlight w:val="yellow"/>
          <w:vertAlign w:val="superscript"/>
        </w:rPr>
        <w:t>25</w:t>
      </w:r>
      <w:r w:rsidR="008157ED" w:rsidRPr="008157ED">
        <w:rPr>
          <w:rFonts w:ascii="Book Antiqua" w:hAnsi="Book Antiqua" w:cs="OTNEJMQuadraat" w:hint="eastAsia"/>
          <w:color w:val="000000" w:themeColor="text1"/>
          <w:highlight w:val="yellow"/>
          <w:vertAlign w:val="superscript"/>
          <w:lang w:eastAsia="zh-CN"/>
        </w:rPr>
        <w:t>]</w:t>
      </w:r>
      <w:r w:rsidR="003400AA" w:rsidRPr="008157ED">
        <w:rPr>
          <w:rFonts w:ascii="Book Antiqua" w:hAnsi="Book Antiqua" w:cs="OTNEJMQuadraat"/>
          <w:color w:val="000000" w:themeColor="text1"/>
          <w:highlight w:val="yellow"/>
        </w:rPr>
        <w:t>.</w:t>
      </w:r>
      <w:r w:rsidR="005B1623" w:rsidRPr="00977582">
        <w:rPr>
          <w:rFonts w:ascii="Book Antiqua" w:hAnsi="Book Antiqua" w:cs="OTNEJMQuadraatCap-SC700"/>
          <w:i/>
          <w:color w:val="000000" w:themeColor="text1"/>
        </w:rPr>
        <w:t xml:space="preserve"> </w:t>
      </w:r>
      <w:r w:rsidR="003400AA" w:rsidRPr="00977582">
        <w:rPr>
          <w:rFonts w:ascii="Book Antiqua" w:hAnsi="Book Antiqua" w:cs="OTNEJMQuadraatCap-SC700"/>
          <w:color w:val="000000" w:themeColor="text1"/>
        </w:rPr>
        <w:t>O</w:t>
      </w:r>
      <w:r w:rsidR="003400AA" w:rsidRPr="00977582">
        <w:rPr>
          <w:rFonts w:ascii="Book Antiqua" w:hAnsi="Book Antiqua" w:cs="OTNEJMQuadraat"/>
          <w:color w:val="000000" w:themeColor="text1"/>
        </w:rPr>
        <w:t xml:space="preserve">ctreotide </w:t>
      </w:r>
      <w:r w:rsidR="003400AA" w:rsidRPr="00977582">
        <w:rPr>
          <w:rFonts w:ascii="Book Antiqua" w:hAnsi="Book Antiqua" w:cs="OTNEJMQuadraatCap-SC700"/>
          <w:color w:val="000000" w:themeColor="text1"/>
        </w:rPr>
        <w:t>LAR dose and frequency may be further increased for symptom control as needed</w:t>
      </w:r>
      <w:r w:rsidR="008157ED" w:rsidRPr="008157ED">
        <w:rPr>
          <w:rFonts w:ascii="Book Antiqua" w:hAnsi="Book Antiqua" w:cs="OTNEJMQuadraat" w:hint="eastAsia"/>
          <w:color w:val="000000" w:themeColor="text1"/>
          <w:highlight w:val="yellow"/>
          <w:vertAlign w:val="superscript"/>
          <w:lang w:eastAsia="zh-CN"/>
        </w:rPr>
        <w:t>[</w:t>
      </w:r>
      <w:r w:rsidR="008157ED" w:rsidRPr="008157ED">
        <w:rPr>
          <w:rFonts w:ascii="Book Antiqua" w:hAnsi="Book Antiqua" w:cs="OTNEJMQuadraat"/>
          <w:color w:val="000000" w:themeColor="text1"/>
          <w:highlight w:val="yellow"/>
          <w:vertAlign w:val="superscript"/>
        </w:rPr>
        <w:t>25</w:t>
      </w:r>
      <w:r w:rsidR="008157ED" w:rsidRPr="008157ED">
        <w:rPr>
          <w:rFonts w:ascii="Book Antiqua" w:hAnsi="Book Antiqua" w:cs="OTNEJMQuadraat" w:hint="eastAsia"/>
          <w:color w:val="000000" w:themeColor="text1"/>
          <w:highlight w:val="yellow"/>
          <w:vertAlign w:val="superscript"/>
          <w:lang w:eastAsia="zh-CN"/>
        </w:rPr>
        <w:t>]</w:t>
      </w:r>
      <w:r w:rsidR="003400AA" w:rsidRPr="008157ED">
        <w:rPr>
          <w:rFonts w:ascii="Book Antiqua" w:hAnsi="Book Antiqua" w:cs="OTNEJMQuadraat"/>
          <w:color w:val="000000" w:themeColor="text1"/>
          <w:highlight w:val="yellow"/>
        </w:rPr>
        <w:t>.</w:t>
      </w:r>
    </w:p>
    <w:p w14:paraId="72E54C7E" w14:textId="70FF1BC7" w:rsidR="00EA7E59" w:rsidRPr="00977582" w:rsidRDefault="000E3DFB"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 xml:space="preserve">The results of this study </w:t>
      </w:r>
      <w:r w:rsidR="0013489C" w:rsidRPr="00977582">
        <w:rPr>
          <w:rFonts w:ascii="Book Antiqua" w:hAnsi="Book Antiqua" w:cs="Times New Roman"/>
          <w:color w:val="000000" w:themeColor="text1"/>
        </w:rPr>
        <w:t>need to be interpreted in the context of several limitations.</w:t>
      </w:r>
      <w:r w:rsidR="005B1623" w:rsidRPr="00977582">
        <w:rPr>
          <w:rFonts w:ascii="Book Antiqua" w:hAnsi="Book Antiqua" w:cs="Times New Roman"/>
          <w:i/>
          <w:color w:val="000000" w:themeColor="text1"/>
        </w:rPr>
        <w:t xml:space="preserve"> </w:t>
      </w:r>
      <w:r w:rsidR="0013489C" w:rsidRPr="00977582">
        <w:rPr>
          <w:rFonts w:ascii="Book Antiqua" w:hAnsi="Book Antiqua" w:cs="Times New Roman"/>
          <w:color w:val="000000" w:themeColor="text1"/>
        </w:rPr>
        <w:t xml:space="preserve"> </w:t>
      </w:r>
      <w:r w:rsidR="00717A53" w:rsidRPr="00977582">
        <w:rPr>
          <w:rFonts w:ascii="Book Antiqua" w:hAnsi="Book Antiqua" w:cs="Times New Roman"/>
          <w:color w:val="000000" w:themeColor="text1"/>
        </w:rPr>
        <w:t>First, i</w:t>
      </w:r>
      <w:r w:rsidR="0013489C" w:rsidRPr="00977582">
        <w:rPr>
          <w:rFonts w:ascii="Book Antiqua" w:hAnsi="Book Antiqua" w:cs="Times New Roman"/>
          <w:color w:val="000000" w:themeColor="text1"/>
        </w:rPr>
        <w:t xml:space="preserve">n </w:t>
      </w:r>
      <w:r w:rsidR="00D57F37" w:rsidRPr="00977582">
        <w:rPr>
          <w:rFonts w:ascii="Book Antiqua" w:hAnsi="Book Antiqua" w:cs="Times New Roman"/>
          <w:color w:val="000000" w:themeColor="text1"/>
        </w:rPr>
        <w:t xml:space="preserve">our analysis </w:t>
      </w:r>
      <w:r w:rsidR="0013489C" w:rsidRPr="00977582">
        <w:rPr>
          <w:rFonts w:ascii="Book Antiqua" w:hAnsi="Book Antiqua" w:cs="Times New Roman"/>
          <w:color w:val="000000" w:themeColor="text1"/>
        </w:rPr>
        <w:t>we attributed</w:t>
      </w:r>
      <w:r w:rsidR="00D57F37" w:rsidRPr="00977582">
        <w:rPr>
          <w:rFonts w:ascii="Book Antiqua" w:hAnsi="Book Antiqua" w:cs="Times New Roman"/>
          <w:color w:val="000000" w:themeColor="text1"/>
        </w:rPr>
        <w:t xml:space="preserve"> </w:t>
      </w:r>
      <w:r w:rsidR="00352317" w:rsidRPr="00977582">
        <w:rPr>
          <w:rFonts w:ascii="Book Antiqua" w:hAnsi="Book Antiqua" w:cs="Times New Roman"/>
          <w:color w:val="000000" w:themeColor="text1"/>
        </w:rPr>
        <w:t xml:space="preserve">all </w:t>
      </w:r>
      <w:r w:rsidR="0013489C" w:rsidRPr="00977582">
        <w:rPr>
          <w:rFonts w:ascii="Book Antiqua" w:hAnsi="Book Antiqua" w:cs="Times New Roman"/>
          <w:color w:val="000000" w:themeColor="text1"/>
        </w:rPr>
        <w:t xml:space="preserve">diagnoses of </w:t>
      </w:r>
      <w:r w:rsidR="00D57F37" w:rsidRPr="00977582">
        <w:rPr>
          <w:rFonts w:ascii="Book Antiqua" w:hAnsi="Book Antiqua" w:cs="Times New Roman"/>
          <w:color w:val="000000" w:themeColor="text1"/>
        </w:rPr>
        <w:t xml:space="preserve">non-infectious diarrhea </w:t>
      </w:r>
      <w:r w:rsidR="0013489C" w:rsidRPr="00977582">
        <w:rPr>
          <w:rFonts w:ascii="Book Antiqua" w:hAnsi="Book Antiqua" w:cs="Times New Roman"/>
          <w:color w:val="000000" w:themeColor="text1"/>
        </w:rPr>
        <w:t xml:space="preserve">to </w:t>
      </w:r>
      <w:r w:rsidR="00D57F37" w:rsidRPr="00977582">
        <w:rPr>
          <w:rFonts w:ascii="Book Antiqua" w:hAnsi="Book Antiqua" w:cs="Times New Roman"/>
          <w:color w:val="000000" w:themeColor="text1"/>
        </w:rPr>
        <w:t xml:space="preserve">CS. </w:t>
      </w:r>
      <w:r w:rsidR="0013227E" w:rsidRPr="00977582">
        <w:rPr>
          <w:rFonts w:ascii="Book Antiqua" w:hAnsi="Book Antiqua" w:cs="Times New Roman"/>
          <w:color w:val="000000" w:themeColor="text1"/>
        </w:rPr>
        <w:t>We mitigated the possibility of misdiagnosis by excluding certain ICD-9-CM codes that were not clearly indicative of non-infectious diarrhea, such as gastroenteritis (</w:t>
      </w:r>
      <w:r w:rsidR="00F96388" w:rsidRPr="00977582">
        <w:rPr>
          <w:rFonts w:ascii="Book Antiqua" w:hAnsi="Book Antiqua" w:cs="Times New Roman"/>
          <w:i/>
          <w:color w:val="000000" w:themeColor="text1"/>
        </w:rPr>
        <w:t>e.g.</w:t>
      </w:r>
      <w:r w:rsidR="0013227E" w:rsidRPr="00977582">
        <w:rPr>
          <w:rFonts w:ascii="Book Antiqua" w:hAnsi="Book Antiqua" w:cs="Times New Roman"/>
          <w:color w:val="000000" w:themeColor="text1"/>
        </w:rPr>
        <w:t>, 558.9: other and unspecified noninfectious gastroenteritis and colitis). However, c</w:t>
      </w:r>
      <w:r w:rsidR="00352317" w:rsidRPr="00977582">
        <w:rPr>
          <w:rFonts w:ascii="Book Antiqua" w:hAnsi="Book Antiqua" w:cs="Times New Roman"/>
          <w:color w:val="000000" w:themeColor="text1"/>
        </w:rPr>
        <w:t xml:space="preserve">laims do not attribute diarrhea to a cause, they merely note the presence of the </w:t>
      </w:r>
      <w:r w:rsidR="0013227E" w:rsidRPr="00977582">
        <w:rPr>
          <w:rFonts w:ascii="Book Antiqua" w:hAnsi="Book Antiqua" w:cs="Times New Roman"/>
          <w:color w:val="000000" w:themeColor="text1"/>
        </w:rPr>
        <w:t xml:space="preserve">condition. Some cases of non-infectious diarrhea could have been from causes other than CS, </w:t>
      </w:r>
      <w:r w:rsidR="00556F9E" w:rsidRPr="00977582">
        <w:rPr>
          <w:rFonts w:ascii="Book Antiqua" w:hAnsi="Book Antiqua" w:cs="Times New Roman"/>
          <w:color w:val="000000" w:themeColor="text1"/>
        </w:rPr>
        <w:t>resulting in an</w:t>
      </w:r>
      <w:r w:rsidR="0013227E" w:rsidRPr="00977582">
        <w:rPr>
          <w:rFonts w:ascii="Book Antiqua" w:hAnsi="Book Antiqua" w:cs="Times New Roman"/>
          <w:color w:val="000000" w:themeColor="text1"/>
        </w:rPr>
        <w:t xml:space="preserve"> overestimate</w:t>
      </w:r>
      <w:r w:rsidR="00556F9E" w:rsidRPr="00977582">
        <w:rPr>
          <w:rFonts w:ascii="Book Antiqua" w:hAnsi="Book Antiqua" w:cs="Times New Roman"/>
          <w:color w:val="000000" w:themeColor="text1"/>
        </w:rPr>
        <w:t xml:space="preserve"> of</w:t>
      </w:r>
      <w:r w:rsidR="0013227E" w:rsidRPr="00977582">
        <w:rPr>
          <w:rFonts w:ascii="Book Antiqua" w:hAnsi="Book Antiqua" w:cs="Times New Roman"/>
          <w:color w:val="000000" w:themeColor="text1"/>
        </w:rPr>
        <w:t xml:space="preserve"> the presence of CS-related diarrhea. On the other hand, codes for infectious diarrhea may have been applied to CS-related diarrhea simply because clinicians were more familiar with them.</w:t>
      </w:r>
      <w:r w:rsidR="00352317" w:rsidRPr="00977582">
        <w:rPr>
          <w:rFonts w:ascii="Book Antiqua" w:hAnsi="Book Antiqua" w:cs="Times New Roman"/>
          <w:color w:val="000000" w:themeColor="text1"/>
        </w:rPr>
        <w:t xml:space="preserve"> </w:t>
      </w:r>
      <w:r w:rsidR="0013227E" w:rsidRPr="00977582">
        <w:rPr>
          <w:rFonts w:ascii="Book Antiqua" w:hAnsi="Book Antiqua" w:cs="Times New Roman"/>
          <w:color w:val="000000" w:themeColor="text1"/>
        </w:rPr>
        <w:t>S</w:t>
      </w:r>
      <w:r w:rsidR="00D7167B" w:rsidRPr="00977582">
        <w:rPr>
          <w:rFonts w:ascii="Book Antiqua" w:hAnsi="Book Antiqua" w:cs="Times New Roman"/>
          <w:color w:val="000000" w:themeColor="text1"/>
        </w:rPr>
        <w:t xml:space="preserve">tudies of diarrhea in other conditions </w:t>
      </w:r>
      <w:r w:rsidR="007A0251" w:rsidRPr="00977582">
        <w:rPr>
          <w:rFonts w:ascii="Book Antiqua" w:hAnsi="Book Antiqua" w:cs="Times New Roman"/>
          <w:color w:val="000000" w:themeColor="text1"/>
        </w:rPr>
        <w:t>have been</w:t>
      </w:r>
      <w:r w:rsidR="00D7167B" w:rsidRPr="00977582">
        <w:rPr>
          <w:rFonts w:ascii="Book Antiqua" w:hAnsi="Book Antiqua" w:cs="Times New Roman"/>
          <w:color w:val="000000" w:themeColor="text1"/>
        </w:rPr>
        <w:t xml:space="preserve"> inconsistent in the ICD-9-CM codes used for non-infectious diarrhea</w:t>
      </w:r>
      <w:r w:rsidR="00170E16" w:rsidRPr="00977582">
        <w:rPr>
          <w:rFonts w:ascii="Book Antiqua" w:hAnsi="Book Antiqua" w:cs="Times New Roman"/>
          <w:color w:val="000000" w:themeColor="text1"/>
          <w:vertAlign w:val="superscript"/>
        </w:rPr>
        <w:t>[22-2</w:t>
      </w:r>
      <w:r w:rsidR="008157ED">
        <w:rPr>
          <w:rFonts w:ascii="Book Antiqua" w:hAnsi="Book Antiqua" w:cs="Times New Roman" w:hint="eastAsia"/>
          <w:color w:val="000000" w:themeColor="text1"/>
          <w:vertAlign w:val="superscript"/>
          <w:lang w:eastAsia="zh-CN"/>
        </w:rPr>
        <w:t>4</w:t>
      </w:r>
      <w:r w:rsidR="00170E16" w:rsidRPr="00977582">
        <w:rPr>
          <w:rFonts w:ascii="Book Antiqua" w:hAnsi="Book Antiqua" w:cs="Times New Roman"/>
          <w:color w:val="000000" w:themeColor="text1"/>
          <w:vertAlign w:val="superscript"/>
        </w:rPr>
        <w:t>]</w:t>
      </w:r>
      <w:r w:rsidR="00D57F37" w:rsidRPr="00977582">
        <w:rPr>
          <w:rFonts w:ascii="Book Antiqua" w:hAnsi="Book Antiqua" w:cs="Times New Roman"/>
          <w:color w:val="000000" w:themeColor="text1"/>
        </w:rPr>
        <w:t>.</w:t>
      </w:r>
      <w:r w:rsidR="0013489C" w:rsidRPr="00977582">
        <w:rPr>
          <w:rFonts w:ascii="Book Antiqua" w:hAnsi="Book Antiqua" w:cs="Times New Roman"/>
          <w:color w:val="000000" w:themeColor="text1"/>
        </w:rPr>
        <w:t xml:space="preserve"> </w:t>
      </w:r>
      <w:r w:rsidR="0013227E" w:rsidRPr="00977582">
        <w:rPr>
          <w:rFonts w:ascii="Book Antiqua" w:hAnsi="Book Antiqua" w:cs="Times New Roman"/>
          <w:color w:val="000000" w:themeColor="text1"/>
        </w:rPr>
        <w:t>Nonetheless</w:t>
      </w:r>
      <w:r w:rsidR="0013489C" w:rsidRPr="00977582">
        <w:rPr>
          <w:rFonts w:ascii="Book Antiqua" w:hAnsi="Book Antiqua" w:cs="Times New Roman"/>
          <w:color w:val="000000" w:themeColor="text1"/>
        </w:rPr>
        <w:t xml:space="preserve">, our estimate of </w:t>
      </w:r>
      <w:r w:rsidR="00D36C47" w:rsidRPr="00977582">
        <w:rPr>
          <w:rFonts w:ascii="Book Antiqua" w:hAnsi="Book Antiqua" w:cs="Times New Roman"/>
          <w:color w:val="000000" w:themeColor="text1"/>
        </w:rPr>
        <w:t xml:space="preserve">an 18.9% </w:t>
      </w:r>
      <w:r w:rsidR="00385A7F" w:rsidRPr="00977582">
        <w:rPr>
          <w:rFonts w:ascii="Book Antiqua" w:hAnsi="Book Antiqua" w:cs="Times New Roman"/>
          <w:color w:val="000000" w:themeColor="text1"/>
        </w:rPr>
        <w:t xml:space="preserve">annual prevalence </w:t>
      </w:r>
      <w:r w:rsidR="00D36C47" w:rsidRPr="00977582">
        <w:rPr>
          <w:rFonts w:ascii="Book Antiqua" w:hAnsi="Book Antiqua" w:cs="Times New Roman"/>
          <w:color w:val="000000" w:themeColor="text1"/>
        </w:rPr>
        <w:t xml:space="preserve">of </w:t>
      </w:r>
      <w:r w:rsidR="0013489C" w:rsidRPr="00977582">
        <w:rPr>
          <w:rFonts w:ascii="Book Antiqua" w:hAnsi="Book Antiqua" w:cs="Times New Roman"/>
          <w:color w:val="000000" w:themeColor="text1"/>
        </w:rPr>
        <w:t xml:space="preserve">diarrhea was </w:t>
      </w:r>
      <w:r w:rsidR="0013489C" w:rsidRPr="00977582">
        <w:rPr>
          <w:rFonts w:ascii="Book Antiqua" w:hAnsi="Book Antiqua" w:cs="Times New Roman"/>
          <w:color w:val="000000" w:themeColor="text1"/>
        </w:rPr>
        <w:lastRenderedPageBreak/>
        <w:t xml:space="preserve">remarkably close to </w:t>
      </w:r>
      <w:r w:rsidR="00556F9E" w:rsidRPr="00977582">
        <w:rPr>
          <w:rFonts w:ascii="Book Antiqua" w:hAnsi="Book Antiqua" w:cs="Times New Roman"/>
          <w:color w:val="000000" w:themeColor="text1"/>
        </w:rPr>
        <w:t xml:space="preserve">another </w:t>
      </w:r>
      <w:r w:rsidR="0013489C" w:rsidRPr="00977582">
        <w:rPr>
          <w:rFonts w:ascii="Book Antiqua" w:hAnsi="Book Antiqua" w:cs="Times New Roman"/>
          <w:color w:val="000000" w:themeColor="text1"/>
        </w:rPr>
        <w:t>published estimate</w:t>
      </w:r>
      <w:r w:rsidR="00385A7F" w:rsidRPr="00977582">
        <w:rPr>
          <w:rFonts w:ascii="Book Antiqua" w:hAnsi="Book Antiqua" w:cs="Times New Roman"/>
          <w:color w:val="000000" w:themeColor="text1"/>
        </w:rPr>
        <w:t xml:space="preserve"> of 17.6% in a cohort of NET patients in which the majority had CS (72%)</w:t>
      </w:r>
      <w:r w:rsidR="00170E16" w:rsidRPr="00977582">
        <w:rPr>
          <w:rFonts w:ascii="Book Antiqua" w:hAnsi="Book Antiqua" w:cs="Times New Roman"/>
          <w:color w:val="000000" w:themeColor="text1"/>
          <w:vertAlign w:val="superscript"/>
        </w:rPr>
        <w:t>[12]</w:t>
      </w:r>
      <w:r w:rsidR="00170E16" w:rsidRPr="00977582">
        <w:rPr>
          <w:rFonts w:ascii="Book Antiqua" w:hAnsi="Book Antiqua" w:cs="Times New Roman"/>
          <w:color w:val="000000" w:themeColor="text1"/>
        </w:rPr>
        <w:t>.</w:t>
      </w:r>
      <w:r w:rsidR="0013489C" w:rsidRPr="00977582">
        <w:rPr>
          <w:rFonts w:ascii="Book Antiqua" w:hAnsi="Book Antiqua" w:cs="Times New Roman"/>
          <w:color w:val="000000" w:themeColor="text1"/>
        </w:rPr>
        <w:t xml:space="preserve"> </w:t>
      </w:r>
      <w:r w:rsidR="00717A53" w:rsidRPr="00977582">
        <w:rPr>
          <w:rFonts w:ascii="Book Antiqua" w:hAnsi="Book Antiqua" w:cs="Times New Roman"/>
          <w:color w:val="000000" w:themeColor="text1"/>
        </w:rPr>
        <w:t>Second</w:t>
      </w:r>
      <w:r w:rsidR="005E75CF" w:rsidRPr="00977582">
        <w:rPr>
          <w:rFonts w:ascii="Book Antiqua" w:hAnsi="Book Antiqua" w:cs="Times New Roman"/>
          <w:color w:val="000000" w:themeColor="text1"/>
        </w:rPr>
        <w:t>, we considered HRU to be CS-related if codes for a variety of conditions associated with CS were identified in the primary position on a claim. This may have overestimated utilization</w:t>
      </w:r>
      <w:r w:rsidR="00717A53" w:rsidRPr="00977582">
        <w:rPr>
          <w:rFonts w:ascii="Book Antiqua" w:hAnsi="Book Antiqua" w:cs="Times New Roman"/>
          <w:color w:val="000000" w:themeColor="text1"/>
        </w:rPr>
        <w:t>, although l</w:t>
      </w:r>
      <w:r w:rsidR="005E75CF" w:rsidRPr="00977582">
        <w:rPr>
          <w:rFonts w:ascii="Book Antiqua" w:hAnsi="Book Antiqua" w:cs="Times New Roman"/>
          <w:color w:val="000000" w:themeColor="text1"/>
        </w:rPr>
        <w:t xml:space="preserve">imiting the definition of CS-related to only those claims with CS in the primary position would </w:t>
      </w:r>
      <w:r w:rsidR="00694041" w:rsidRPr="00977582">
        <w:rPr>
          <w:rFonts w:ascii="Book Antiqua" w:hAnsi="Book Antiqua" w:cs="Times New Roman"/>
          <w:color w:val="000000" w:themeColor="text1"/>
        </w:rPr>
        <w:t xml:space="preserve">have </w:t>
      </w:r>
      <w:r w:rsidR="005E75CF" w:rsidRPr="00977582">
        <w:rPr>
          <w:rFonts w:ascii="Book Antiqua" w:hAnsi="Book Antiqua" w:cs="Times New Roman"/>
          <w:color w:val="000000" w:themeColor="text1"/>
        </w:rPr>
        <w:t xml:space="preserve">almost certainly </w:t>
      </w:r>
      <w:r w:rsidR="00E60048" w:rsidRPr="00977582">
        <w:rPr>
          <w:rFonts w:ascii="Book Antiqua" w:hAnsi="Book Antiqua" w:cs="Times New Roman"/>
          <w:color w:val="000000" w:themeColor="text1"/>
        </w:rPr>
        <w:t xml:space="preserve">have </w:t>
      </w:r>
      <w:r w:rsidR="005E75CF" w:rsidRPr="00977582">
        <w:rPr>
          <w:rFonts w:ascii="Book Antiqua" w:hAnsi="Book Antiqua" w:cs="Times New Roman"/>
          <w:color w:val="000000" w:themeColor="text1"/>
        </w:rPr>
        <w:t>underestimated utilization (</w:t>
      </w:r>
      <w:r w:rsidR="00F96388" w:rsidRPr="00977582">
        <w:rPr>
          <w:rFonts w:ascii="Book Antiqua" w:hAnsi="Book Antiqua" w:cs="Times New Roman"/>
          <w:i/>
          <w:color w:val="000000" w:themeColor="text1"/>
        </w:rPr>
        <w:t>e.g.</w:t>
      </w:r>
      <w:r w:rsidR="005E75CF" w:rsidRPr="00977582">
        <w:rPr>
          <w:rFonts w:ascii="Book Antiqua" w:hAnsi="Book Antiqua" w:cs="Times New Roman"/>
          <w:color w:val="000000" w:themeColor="text1"/>
        </w:rPr>
        <w:t>, a patient admitted</w:t>
      </w:r>
      <w:r w:rsidR="00CD7DD6" w:rsidRPr="00977582">
        <w:rPr>
          <w:rFonts w:ascii="Book Antiqua" w:hAnsi="Book Antiqua" w:cs="Times New Roman"/>
          <w:color w:val="000000" w:themeColor="text1"/>
        </w:rPr>
        <w:t xml:space="preserve"> for management of intestinal obstruction from a growing tumor would be likely to have obstruction, rather than CS, coded as the primary diagnosis).</w:t>
      </w:r>
      <w:r w:rsidR="00717A53" w:rsidRPr="00977582">
        <w:rPr>
          <w:rFonts w:ascii="Book Antiqua" w:hAnsi="Book Antiqua" w:cs="Times New Roman"/>
          <w:color w:val="000000" w:themeColor="text1"/>
        </w:rPr>
        <w:t xml:space="preserve"> Third, our patient identification algorithm allowed a relatively long interval to pass between the first and confirmatory diagnosis. This decision may have reduced the specificity of our algorithm, although such reduction should have affected both groups equally. Fourth, we adjusted for a variety of potential confounders in our comparisons, but we did not adjust for pre-diagnosis health care resource use or cost. We felt that although prior utilization can predict future utilization, the patients in this analysis were all newly diagnosed with CS and thus controlling for pre-diagnosis resource use would be of limited value. Finally, this </w:t>
      </w:r>
      <w:r w:rsidR="00D36C47" w:rsidRPr="00977582">
        <w:rPr>
          <w:rFonts w:ascii="Book Antiqua" w:hAnsi="Book Antiqua" w:cs="Times New Roman"/>
          <w:color w:val="000000" w:themeColor="text1"/>
        </w:rPr>
        <w:t>study included only patients with commercial insurance coverage.</w:t>
      </w:r>
      <w:r w:rsidR="005B1623" w:rsidRPr="00977582">
        <w:rPr>
          <w:rFonts w:ascii="Book Antiqua" w:hAnsi="Book Antiqua" w:cs="Times New Roman"/>
          <w:i/>
          <w:color w:val="000000" w:themeColor="text1"/>
        </w:rPr>
        <w:t xml:space="preserve"> </w:t>
      </w:r>
      <w:r w:rsidR="00D36C47" w:rsidRPr="00977582">
        <w:rPr>
          <w:rFonts w:ascii="Book Antiqua" w:hAnsi="Book Antiqua" w:cs="Times New Roman"/>
          <w:color w:val="000000" w:themeColor="text1"/>
        </w:rPr>
        <w:t xml:space="preserve">Our cohort of </w:t>
      </w:r>
      <w:r w:rsidR="006D1DF6" w:rsidRPr="00977582">
        <w:rPr>
          <w:rFonts w:ascii="Book Antiqua" w:hAnsi="Book Antiqua" w:cs="Times New Roman"/>
          <w:color w:val="000000" w:themeColor="text1"/>
        </w:rPr>
        <w:t xml:space="preserve">incident cases </w:t>
      </w:r>
      <w:r w:rsidR="00D36C47" w:rsidRPr="00977582">
        <w:rPr>
          <w:rFonts w:ascii="Book Antiqua" w:hAnsi="Book Antiqua" w:cs="Times New Roman"/>
          <w:color w:val="000000" w:themeColor="text1"/>
        </w:rPr>
        <w:t xml:space="preserve">with CS was younger (mean age: 52 years) </w:t>
      </w:r>
      <w:r w:rsidR="00CC5CD2" w:rsidRPr="00977582">
        <w:rPr>
          <w:rFonts w:ascii="Book Antiqua" w:hAnsi="Book Antiqua" w:cs="Times New Roman"/>
          <w:color w:val="000000" w:themeColor="text1"/>
        </w:rPr>
        <w:t>than</w:t>
      </w:r>
      <w:r w:rsidR="00D36C47" w:rsidRPr="00977582">
        <w:rPr>
          <w:rFonts w:ascii="Book Antiqua" w:hAnsi="Book Antiqua" w:cs="Times New Roman"/>
          <w:color w:val="000000" w:themeColor="text1"/>
        </w:rPr>
        <w:t xml:space="preserve"> a population-representative sample of </w:t>
      </w:r>
      <w:r w:rsidR="006D1DF6" w:rsidRPr="00977582">
        <w:rPr>
          <w:rFonts w:ascii="Book Antiqua" w:hAnsi="Book Antiqua" w:cs="Times New Roman"/>
          <w:color w:val="000000" w:themeColor="text1"/>
        </w:rPr>
        <w:t>incident NET cases from the Surveillance, Epidemiology, and End Results (SEER)</w:t>
      </w:r>
      <w:r w:rsidR="00170E16" w:rsidRPr="00977582">
        <w:rPr>
          <w:rFonts w:ascii="Book Antiqua" w:hAnsi="Book Antiqua" w:cs="Times New Roman"/>
          <w:color w:val="000000" w:themeColor="text1"/>
        </w:rPr>
        <w:t xml:space="preserve"> database (mean age: 62 years)</w:t>
      </w:r>
      <w:r w:rsidR="00170E16" w:rsidRPr="00977582">
        <w:rPr>
          <w:rFonts w:ascii="Book Antiqua" w:hAnsi="Book Antiqua" w:cs="Times New Roman"/>
          <w:color w:val="000000" w:themeColor="text1"/>
          <w:vertAlign w:val="superscript"/>
        </w:rPr>
        <w:t>[4]</w:t>
      </w:r>
      <w:r w:rsidR="00170E16" w:rsidRPr="00977582">
        <w:rPr>
          <w:rFonts w:ascii="Book Antiqua" w:hAnsi="Book Antiqua" w:cs="Times New Roman"/>
          <w:color w:val="000000" w:themeColor="text1"/>
        </w:rPr>
        <w:t>.</w:t>
      </w:r>
      <w:r w:rsidR="006D1DF6" w:rsidRPr="00977582">
        <w:rPr>
          <w:rFonts w:ascii="Book Antiqua" w:hAnsi="Book Antiqua" w:cs="Times New Roman"/>
          <w:color w:val="000000" w:themeColor="text1"/>
        </w:rPr>
        <w:t xml:space="preserve"> Our </w:t>
      </w:r>
      <w:r w:rsidR="00D36C47" w:rsidRPr="00977582">
        <w:rPr>
          <w:rFonts w:ascii="Book Antiqua" w:hAnsi="Book Antiqua" w:cs="Times New Roman"/>
          <w:color w:val="000000" w:themeColor="text1"/>
        </w:rPr>
        <w:t>results may not be generalizable to the U</w:t>
      </w:r>
      <w:r w:rsidR="008157ED">
        <w:rPr>
          <w:rFonts w:ascii="Book Antiqua" w:hAnsi="Book Antiqua" w:cs="Times New Roman" w:hint="eastAsia"/>
          <w:color w:val="000000" w:themeColor="text1"/>
          <w:lang w:eastAsia="zh-CN"/>
        </w:rPr>
        <w:t xml:space="preserve">nited States </w:t>
      </w:r>
      <w:r w:rsidR="00D36C47" w:rsidRPr="00977582">
        <w:rPr>
          <w:rFonts w:ascii="Book Antiqua" w:hAnsi="Book Antiqua" w:cs="Times New Roman"/>
          <w:color w:val="000000" w:themeColor="text1"/>
        </w:rPr>
        <w:t>population at large</w:t>
      </w:r>
      <w:r w:rsidR="006D1DF6" w:rsidRPr="00977582">
        <w:rPr>
          <w:rFonts w:ascii="Book Antiqua" w:hAnsi="Book Antiqua" w:cs="Times New Roman"/>
          <w:color w:val="000000" w:themeColor="text1"/>
        </w:rPr>
        <w:t>, but they are representative of a commercially-insured population.</w:t>
      </w:r>
      <w:r w:rsidR="005B1623" w:rsidRPr="00977582">
        <w:rPr>
          <w:rFonts w:ascii="Book Antiqua" w:hAnsi="Book Antiqua" w:cs="Times New Roman"/>
          <w:i/>
          <w:color w:val="000000" w:themeColor="text1"/>
        </w:rPr>
        <w:t xml:space="preserve"> </w:t>
      </w:r>
      <w:r w:rsidR="00D87E4B" w:rsidRPr="00977582" w:rsidDel="00D87E4B">
        <w:rPr>
          <w:rFonts w:ascii="Book Antiqua" w:hAnsi="Book Antiqua" w:cs="Times New Roman"/>
          <w:color w:val="000000" w:themeColor="text1"/>
        </w:rPr>
        <w:t xml:space="preserve"> </w:t>
      </w:r>
    </w:p>
    <w:p w14:paraId="72E54C81" w14:textId="4392F08A" w:rsidR="00BF0A63" w:rsidRPr="00977582" w:rsidRDefault="00B73FC7" w:rsidP="0041646E">
      <w:pPr>
        <w:adjustRightInd w:val="0"/>
        <w:snapToGrid w:val="0"/>
        <w:spacing w:after="0" w:line="360" w:lineRule="auto"/>
        <w:ind w:firstLine="720"/>
        <w:jc w:val="both"/>
        <w:rPr>
          <w:rFonts w:ascii="Book Antiqua" w:hAnsi="Book Antiqua" w:cs="Times New Roman"/>
          <w:color w:val="000000" w:themeColor="text1"/>
        </w:rPr>
      </w:pPr>
      <w:r w:rsidRPr="00977582">
        <w:rPr>
          <w:rFonts w:ascii="Book Antiqua" w:hAnsi="Book Antiqua" w:cs="Times New Roman"/>
          <w:color w:val="000000" w:themeColor="text1"/>
        </w:rPr>
        <w:t>Diarrhea is a particularly burdensome and costly symptom suffered by patients with CS. Our study demonstrates that h</w:t>
      </w:r>
      <w:r w:rsidR="006F6544" w:rsidRPr="00977582">
        <w:rPr>
          <w:rFonts w:ascii="Book Antiqua" w:hAnsi="Book Antiqua" w:cs="Times New Roman"/>
          <w:color w:val="000000" w:themeColor="text1"/>
        </w:rPr>
        <w:t>ealth care cost</w:t>
      </w:r>
      <w:r w:rsidRPr="00977582">
        <w:rPr>
          <w:rFonts w:ascii="Book Antiqua" w:hAnsi="Book Antiqua" w:cs="Times New Roman"/>
          <w:color w:val="000000" w:themeColor="text1"/>
        </w:rPr>
        <w:t>s</w:t>
      </w:r>
      <w:r w:rsidR="006F6544" w:rsidRPr="00977582">
        <w:rPr>
          <w:rFonts w:ascii="Book Antiqua" w:hAnsi="Book Antiqua" w:cs="Times New Roman"/>
          <w:color w:val="000000" w:themeColor="text1"/>
        </w:rPr>
        <w:t xml:space="preserve"> and resource utilization in newly diagnosed CS patients with diarrhea </w:t>
      </w:r>
      <w:r w:rsidRPr="00977582">
        <w:rPr>
          <w:rFonts w:ascii="Book Antiqua" w:hAnsi="Book Antiqua" w:cs="Times New Roman"/>
          <w:color w:val="000000" w:themeColor="text1"/>
        </w:rPr>
        <w:t>are</w:t>
      </w:r>
      <w:r w:rsidR="006F6544" w:rsidRPr="00977582">
        <w:rPr>
          <w:rFonts w:ascii="Book Antiqua" w:hAnsi="Book Antiqua" w:cs="Times New Roman"/>
          <w:color w:val="000000" w:themeColor="text1"/>
        </w:rPr>
        <w:t xml:space="preserve"> consistently </w:t>
      </w:r>
      <w:r w:rsidRPr="00977582">
        <w:rPr>
          <w:rFonts w:ascii="Book Antiqua" w:hAnsi="Book Antiqua" w:cs="Times New Roman"/>
          <w:color w:val="000000" w:themeColor="text1"/>
        </w:rPr>
        <w:t>and</w:t>
      </w:r>
      <w:r w:rsidR="006F6544" w:rsidRPr="00977582">
        <w:rPr>
          <w:rFonts w:ascii="Book Antiqua" w:hAnsi="Book Antiqua" w:cs="Times New Roman"/>
          <w:color w:val="000000" w:themeColor="text1"/>
        </w:rPr>
        <w:t xml:space="preserve"> significantly higher than in those without </w:t>
      </w:r>
      <w:r w:rsidRPr="00977582">
        <w:rPr>
          <w:rFonts w:ascii="Book Antiqua" w:hAnsi="Book Antiqua" w:cs="Times New Roman"/>
          <w:color w:val="000000" w:themeColor="text1"/>
        </w:rPr>
        <w:t>diarrhea</w:t>
      </w:r>
      <w:r w:rsidR="006F6544" w:rsidRPr="00977582">
        <w:rPr>
          <w:rFonts w:ascii="Book Antiqua" w:hAnsi="Book Antiqua" w:cs="Times New Roman"/>
          <w:color w:val="000000" w:themeColor="text1"/>
        </w:rPr>
        <w:t>.</w:t>
      </w:r>
      <w:r w:rsidR="005B1623" w:rsidRPr="00977582">
        <w:rPr>
          <w:rFonts w:ascii="Book Antiqua" w:hAnsi="Book Antiqua" w:cs="Times New Roman"/>
          <w:i/>
          <w:color w:val="000000" w:themeColor="text1"/>
        </w:rPr>
        <w:t xml:space="preserve"> </w:t>
      </w:r>
      <w:r w:rsidR="0034338B" w:rsidRPr="00977582">
        <w:rPr>
          <w:rFonts w:ascii="Book Antiqua" w:hAnsi="Book Antiqua" w:cs="Times New Roman"/>
          <w:color w:val="000000" w:themeColor="text1"/>
        </w:rPr>
        <w:t>Reduction of healthcare expenditures attributable to diarrhea may be achievable through preventive treatment and a</w:t>
      </w:r>
      <w:r w:rsidRPr="00977582">
        <w:rPr>
          <w:rFonts w:ascii="Book Antiqua" w:hAnsi="Book Antiqua" w:cs="Times New Roman"/>
          <w:color w:val="000000" w:themeColor="text1"/>
        </w:rPr>
        <w:t>ppropriate management</w:t>
      </w:r>
      <w:r w:rsidR="006F6544" w:rsidRPr="00977582">
        <w:rPr>
          <w:rFonts w:ascii="Book Antiqua" w:hAnsi="Book Antiqua" w:cs="Times New Roman"/>
          <w:color w:val="000000" w:themeColor="text1"/>
        </w:rPr>
        <w:t xml:space="preserve"> of diarrhea in patients with CS</w:t>
      </w:r>
      <w:r w:rsidR="0034338B" w:rsidRPr="00977582">
        <w:rPr>
          <w:rFonts w:ascii="Book Antiqua" w:hAnsi="Book Antiqua" w:cs="Times New Roman"/>
          <w:color w:val="000000" w:themeColor="text1"/>
        </w:rPr>
        <w:t>.</w:t>
      </w:r>
    </w:p>
    <w:p w14:paraId="72E54C82" w14:textId="5401C971" w:rsidR="00EA7E59" w:rsidRPr="00977582" w:rsidRDefault="00EA7E59" w:rsidP="0041646E">
      <w:pPr>
        <w:adjustRightInd w:val="0"/>
        <w:snapToGrid w:val="0"/>
        <w:spacing w:after="0" w:line="360" w:lineRule="auto"/>
        <w:jc w:val="both"/>
        <w:rPr>
          <w:rFonts w:ascii="Book Antiqua" w:hAnsi="Book Antiqua" w:cs="Times New Roman"/>
          <w:color w:val="000000" w:themeColor="text1"/>
          <w:lang w:eastAsia="zh-CN"/>
        </w:rPr>
      </w:pPr>
    </w:p>
    <w:p w14:paraId="72E54C83" w14:textId="77777777" w:rsidR="00BF0A63" w:rsidRPr="00977582" w:rsidRDefault="00BF0A63"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t>ACKNOWLEDGMENTS</w:t>
      </w:r>
    </w:p>
    <w:p w14:paraId="72E54C84" w14:textId="22A9C565" w:rsidR="001E148D" w:rsidRPr="00977582" w:rsidRDefault="00BF0A63"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The authors thank Gordon </w:t>
      </w:r>
      <w:r w:rsidR="004C69E0">
        <w:rPr>
          <w:rFonts w:ascii="Book Antiqua" w:hAnsi="Book Antiqua" w:cs="Times New Roman"/>
          <w:color w:val="000000" w:themeColor="text1"/>
        </w:rPr>
        <w:t>H</w:t>
      </w:r>
      <w:r w:rsidR="00F4369A"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Sun, MD</w:t>
      </w:r>
      <w:r w:rsidR="00F4369A" w:rsidRPr="00977582">
        <w:rPr>
          <w:rFonts w:ascii="Book Antiqua" w:hAnsi="Book Antiqua" w:cs="Times New Roman"/>
          <w:color w:val="000000" w:themeColor="text1"/>
        </w:rPr>
        <w:t>, MS</w:t>
      </w:r>
      <w:r w:rsidRPr="00977582">
        <w:rPr>
          <w:rFonts w:ascii="Book Antiqua" w:hAnsi="Book Antiqua" w:cs="Times New Roman"/>
          <w:color w:val="000000" w:themeColor="text1"/>
        </w:rPr>
        <w:t xml:space="preserve"> </w:t>
      </w:r>
      <w:r w:rsidR="001379C6" w:rsidRPr="00977582">
        <w:rPr>
          <w:rFonts w:ascii="Book Antiqua" w:hAnsi="Book Antiqua" w:cs="Times New Roman"/>
          <w:color w:val="000000" w:themeColor="text1"/>
        </w:rPr>
        <w:t>and Elya Papoyan, MPH</w:t>
      </w:r>
      <w:r w:rsidR="00493542" w:rsidRPr="00977582">
        <w:rPr>
          <w:rFonts w:ascii="Book Antiqua" w:hAnsi="Book Antiqua" w:cs="Times New Roman"/>
          <w:color w:val="000000" w:themeColor="text1"/>
        </w:rPr>
        <w:t xml:space="preserve"> </w:t>
      </w:r>
      <w:r w:rsidRPr="00977582">
        <w:rPr>
          <w:rFonts w:ascii="Book Antiqua" w:hAnsi="Book Antiqua" w:cs="Times New Roman"/>
          <w:color w:val="000000" w:themeColor="text1"/>
        </w:rPr>
        <w:t xml:space="preserve">for </w:t>
      </w:r>
      <w:r w:rsidR="00493542" w:rsidRPr="00977582">
        <w:rPr>
          <w:rFonts w:ascii="Book Antiqua" w:hAnsi="Book Antiqua" w:cs="Times New Roman"/>
          <w:color w:val="000000" w:themeColor="text1"/>
        </w:rPr>
        <w:t xml:space="preserve">their </w:t>
      </w:r>
      <w:r w:rsidRPr="00977582">
        <w:rPr>
          <w:rFonts w:ascii="Book Antiqua" w:hAnsi="Book Antiqua" w:cs="Times New Roman"/>
          <w:color w:val="000000" w:themeColor="text1"/>
        </w:rPr>
        <w:t>contributions to study design and drafting of the initial manuscript.</w:t>
      </w:r>
      <w:r w:rsidR="001E148D" w:rsidRPr="00977582">
        <w:rPr>
          <w:rFonts w:ascii="Book Antiqua" w:hAnsi="Book Antiqua" w:cs="Times New Roman"/>
          <w:color w:val="000000" w:themeColor="text1"/>
        </w:rPr>
        <w:t xml:space="preserve"> </w:t>
      </w:r>
    </w:p>
    <w:p w14:paraId="72E54C85" w14:textId="77777777" w:rsidR="000B21FF" w:rsidRPr="00977582" w:rsidRDefault="000B21FF" w:rsidP="0041646E">
      <w:pPr>
        <w:adjustRightInd w:val="0"/>
        <w:snapToGrid w:val="0"/>
        <w:spacing w:after="0" w:line="360" w:lineRule="auto"/>
        <w:jc w:val="both"/>
        <w:rPr>
          <w:rFonts w:ascii="Times New Roman" w:hAnsi="Times New Roman" w:cs="Times New Roman"/>
          <w:color w:val="000000" w:themeColor="text1"/>
          <w:lang w:eastAsia="zh-CN"/>
        </w:rPr>
      </w:pPr>
    </w:p>
    <w:p w14:paraId="400527C5" w14:textId="77777777" w:rsidR="008C6B41" w:rsidRPr="00977582" w:rsidRDefault="008C6B41" w:rsidP="0041646E">
      <w:pPr>
        <w:autoSpaceDE w:val="0"/>
        <w:autoSpaceDN w:val="0"/>
        <w:adjustRightInd w:val="0"/>
        <w:snapToGrid w:val="0"/>
        <w:spacing w:after="0" w:line="360" w:lineRule="auto"/>
        <w:jc w:val="both"/>
        <w:rPr>
          <w:rFonts w:ascii="Book Antiqua" w:hAnsi="Book Antiqua"/>
          <w:b/>
          <w:caps/>
          <w:color w:val="000000" w:themeColor="text1"/>
        </w:rPr>
      </w:pPr>
      <w:r w:rsidRPr="00977582">
        <w:rPr>
          <w:rFonts w:ascii="Book Antiqua" w:hAnsi="Book Antiqua"/>
          <w:b/>
          <w:caps/>
          <w:color w:val="000000" w:themeColor="text1"/>
        </w:rPr>
        <w:t>comments</w:t>
      </w:r>
    </w:p>
    <w:p w14:paraId="33E80478" w14:textId="77777777" w:rsidR="00EB6F17" w:rsidRPr="004C69E0" w:rsidRDefault="00EB6F17" w:rsidP="0041646E">
      <w:pPr>
        <w:adjustRightInd w:val="0"/>
        <w:snapToGrid w:val="0"/>
        <w:spacing w:after="0" w:line="360" w:lineRule="auto"/>
        <w:jc w:val="both"/>
        <w:rPr>
          <w:rFonts w:ascii="Book Antiqua" w:hAnsi="Book Antiqua"/>
          <w:b/>
          <w:bCs/>
          <w:i/>
          <w:color w:val="000000" w:themeColor="text1"/>
        </w:rPr>
      </w:pPr>
      <w:r w:rsidRPr="004C69E0">
        <w:rPr>
          <w:rFonts w:ascii="Book Antiqua" w:hAnsi="Book Antiqua"/>
          <w:b/>
          <w:bCs/>
          <w:i/>
          <w:color w:val="000000" w:themeColor="text1"/>
        </w:rPr>
        <w:t>Background</w:t>
      </w:r>
    </w:p>
    <w:p w14:paraId="5C04FB12" w14:textId="138E7B0A" w:rsidR="00A86DB9" w:rsidRPr="00977582" w:rsidRDefault="00FE30D3"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bCs/>
          <w:color w:val="000000" w:themeColor="text1"/>
        </w:rPr>
        <w:t>N</w:t>
      </w:r>
      <w:r w:rsidR="00A86DB9" w:rsidRPr="00977582">
        <w:rPr>
          <w:rFonts w:ascii="Book Antiqua" w:hAnsi="Book Antiqua" w:cs="Times New Roman"/>
          <w:bCs/>
          <w:color w:val="000000" w:themeColor="text1"/>
        </w:rPr>
        <w:t xml:space="preserve">on-infectious diarrhea (NID) </w:t>
      </w:r>
      <w:r w:rsidR="00A86DB9" w:rsidRPr="00977582">
        <w:rPr>
          <w:rFonts w:ascii="Book Antiqua" w:hAnsi="Book Antiqua" w:cs="Times New Roman"/>
          <w:color w:val="000000" w:themeColor="text1"/>
        </w:rPr>
        <w:t xml:space="preserve">is particularly burdensome and costly in </w:t>
      </w:r>
      <w:r w:rsidR="00E623CF" w:rsidRPr="00977582">
        <w:rPr>
          <w:rFonts w:ascii="Book Antiqua" w:hAnsi="Book Antiqua" w:cs="Times New Roman"/>
          <w:bCs/>
          <w:color w:val="000000" w:themeColor="text1"/>
        </w:rPr>
        <w:t>carcinoid syndrome (CS)</w:t>
      </w:r>
      <w:r w:rsidR="00E623CF">
        <w:rPr>
          <w:rFonts w:ascii="Book Antiqua" w:hAnsi="Book Antiqua" w:cs="Times New Roman" w:hint="eastAsia"/>
          <w:bCs/>
          <w:color w:val="000000" w:themeColor="text1"/>
          <w:lang w:eastAsia="zh-CN"/>
        </w:rPr>
        <w:t xml:space="preserve"> </w:t>
      </w:r>
      <w:r w:rsidR="00A86DB9" w:rsidRPr="00977582">
        <w:rPr>
          <w:rFonts w:ascii="Book Antiqua" w:hAnsi="Book Antiqua" w:cs="Times New Roman"/>
          <w:color w:val="000000" w:themeColor="text1"/>
        </w:rPr>
        <w:t>patients.</w:t>
      </w:r>
      <w:r w:rsidR="005B1623" w:rsidRPr="00977582">
        <w:rPr>
          <w:rFonts w:ascii="Book Antiqua" w:hAnsi="Book Antiqua" w:cs="Times New Roman"/>
          <w:i/>
          <w:color w:val="000000" w:themeColor="text1"/>
        </w:rPr>
        <w:t xml:space="preserve"> </w:t>
      </w:r>
      <w:r w:rsidR="00E623CF">
        <w:rPr>
          <w:rFonts w:ascii="Book Antiqua" w:hAnsi="Book Antiqua" w:cs="Times New Roman" w:hint="eastAsia"/>
          <w:color w:val="000000" w:themeColor="text1"/>
          <w:lang w:eastAsia="zh-CN"/>
        </w:rPr>
        <w:t>The authors</w:t>
      </w:r>
      <w:r w:rsidR="00D1240A" w:rsidRPr="00977582">
        <w:rPr>
          <w:rFonts w:ascii="Book Antiqua" w:hAnsi="Book Antiqua" w:cs="Times New Roman"/>
          <w:color w:val="000000" w:themeColor="text1"/>
        </w:rPr>
        <w:t xml:space="preserve"> found that </w:t>
      </w:r>
      <w:r w:rsidR="00D1240A" w:rsidRPr="00977582">
        <w:rPr>
          <w:rFonts w:ascii="Book Antiqua" w:hAnsi="Book Antiqua" w:cs="Times New Roman"/>
          <w:bCs/>
          <w:color w:val="000000" w:themeColor="text1"/>
        </w:rPr>
        <w:t xml:space="preserve">the </w:t>
      </w:r>
      <w:r w:rsidR="00A86DB9" w:rsidRPr="00977582">
        <w:rPr>
          <w:rFonts w:ascii="Book Antiqua" w:hAnsi="Book Antiqua" w:cs="Times New Roman"/>
          <w:color w:val="000000" w:themeColor="text1"/>
        </w:rPr>
        <w:t xml:space="preserve">proportions of patients with any and with CS-related hospitalizations were higher in patients with NID (9.6%) than in those with no NID (6.8%; </w:t>
      </w:r>
      <w:r w:rsidR="003A691C" w:rsidRPr="00977582">
        <w:rPr>
          <w:rFonts w:ascii="Book Antiqua" w:hAnsi="Book Antiqua" w:cs="Times New Roman"/>
          <w:i/>
          <w:caps/>
          <w:color w:val="000000" w:themeColor="text1"/>
        </w:rPr>
        <w:t xml:space="preserve">p &lt; </w:t>
      </w:r>
      <w:r w:rsidR="005C1163">
        <w:rPr>
          <w:rFonts w:ascii="Book Antiqua" w:hAnsi="Book Antiqua" w:cs="Times New Roman" w:hint="eastAsia"/>
          <w:caps/>
          <w:color w:val="000000" w:themeColor="text1"/>
          <w:lang w:eastAsia="zh-CN"/>
        </w:rPr>
        <w:t>0</w:t>
      </w:r>
      <w:r w:rsidR="00A86DB9" w:rsidRPr="00977582">
        <w:rPr>
          <w:rFonts w:ascii="Book Antiqua" w:hAnsi="Book Antiqua" w:cs="Times New Roman"/>
          <w:color w:val="000000" w:themeColor="text1"/>
        </w:rPr>
        <w:t>.001).</w:t>
      </w:r>
      <w:r w:rsidR="005B1623" w:rsidRPr="00977582">
        <w:rPr>
          <w:rFonts w:ascii="Book Antiqua" w:hAnsi="Book Antiqua" w:cs="Times New Roman"/>
          <w:i/>
          <w:color w:val="000000" w:themeColor="text1"/>
        </w:rPr>
        <w:t xml:space="preserve"> </w:t>
      </w:r>
      <w:r w:rsidR="00A86DB9" w:rsidRPr="00977582">
        <w:rPr>
          <w:rFonts w:ascii="Book Antiqua" w:hAnsi="Book Antiqua" w:cs="Times New Roman"/>
          <w:color w:val="000000" w:themeColor="text1"/>
        </w:rPr>
        <w:t>The NID group was also significantly more costly, with adjusted mean annual healthcare co</w:t>
      </w:r>
      <w:r w:rsidR="005C1163">
        <w:rPr>
          <w:rFonts w:ascii="Book Antiqua" w:hAnsi="Book Antiqua" w:cs="Times New Roman"/>
          <w:color w:val="000000" w:themeColor="text1"/>
        </w:rPr>
        <w:t>sts of $80600, compared to $51</w:t>
      </w:r>
      <w:r w:rsidR="00A86DB9" w:rsidRPr="00977582">
        <w:rPr>
          <w:rFonts w:ascii="Book Antiqua" w:hAnsi="Book Antiqua" w:cs="Times New Roman"/>
          <w:color w:val="000000" w:themeColor="text1"/>
        </w:rPr>
        <w:t>955 in the no NID group (</w:t>
      </w:r>
      <w:r w:rsidR="003A691C" w:rsidRPr="00977582">
        <w:rPr>
          <w:rFonts w:ascii="Book Antiqua" w:hAnsi="Book Antiqua" w:cs="Times New Roman"/>
          <w:i/>
          <w:caps/>
          <w:color w:val="000000" w:themeColor="text1"/>
        </w:rPr>
        <w:t xml:space="preserve">p &lt; </w:t>
      </w:r>
      <w:r w:rsidR="005C1163">
        <w:rPr>
          <w:rFonts w:ascii="Book Antiqua" w:hAnsi="Book Antiqua" w:cs="Times New Roman" w:hint="eastAsia"/>
          <w:caps/>
          <w:color w:val="000000" w:themeColor="text1"/>
          <w:lang w:eastAsia="zh-CN"/>
        </w:rPr>
        <w:t>0</w:t>
      </w:r>
      <w:r w:rsidR="00A86DB9" w:rsidRPr="00977582">
        <w:rPr>
          <w:rFonts w:ascii="Book Antiqua" w:hAnsi="Book Antiqua" w:cs="Times New Roman"/>
          <w:color w:val="000000" w:themeColor="text1"/>
        </w:rPr>
        <w:t xml:space="preserve">.001). </w:t>
      </w:r>
    </w:p>
    <w:p w14:paraId="5C12E0C2" w14:textId="77777777" w:rsidR="005C1163" w:rsidRDefault="005C1163" w:rsidP="0041646E">
      <w:pPr>
        <w:adjustRightInd w:val="0"/>
        <w:snapToGrid w:val="0"/>
        <w:spacing w:after="0" w:line="360" w:lineRule="auto"/>
        <w:jc w:val="both"/>
        <w:rPr>
          <w:rFonts w:ascii="Book Antiqua" w:hAnsi="Book Antiqua"/>
          <w:b/>
          <w:bCs/>
          <w:color w:val="000000" w:themeColor="text1"/>
          <w:lang w:eastAsia="zh-CN"/>
        </w:rPr>
      </w:pPr>
    </w:p>
    <w:p w14:paraId="0F590CA8" w14:textId="77777777" w:rsidR="00EB6F17" w:rsidRPr="005C1163" w:rsidRDefault="00EB6F17" w:rsidP="0041646E">
      <w:pPr>
        <w:adjustRightInd w:val="0"/>
        <w:snapToGrid w:val="0"/>
        <w:spacing w:after="0" w:line="360" w:lineRule="auto"/>
        <w:jc w:val="both"/>
        <w:rPr>
          <w:rFonts w:ascii="Book Antiqua" w:hAnsi="Book Antiqua"/>
          <w:b/>
          <w:bCs/>
          <w:i/>
          <w:color w:val="000000" w:themeColor="text1"/>
        </w:rPr>
      </w:pPr>
      <w:r w:rsidRPr="005C1163">
        <w:rPr>
          <w:rFonts w:ascii="Book Antiqua" w:hAnsi="Book Antiqua"/>
          <w:b/>
          <w:bCs/>
          <w:i/>
          <w:color w:val="000000" w:themeColor="text1"/>
        </w:rPr>
        <w:t>Research frontiers</w:t>
      </w:r>
    </w:p>
    <w:p w14:paraId="06CCA38D" w14:textId="16F08BBA" w:rsidR="007623EE" w:rsidRDefault="007623EE"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The healthcare and economic burden of diarrhea in CS patients has not been previously quantified.</w:t>
      </w:r>
    </w:p>
    <w:p w14:paraId="5B45602C" w14:textId="77777777" w:rsidR="005C1163" w:rsidRPr="00977582" w:rsidRDefault="005C1163" w:rsidP="0041646E">
      <w:pPr>
        <w:adjustRightInd w:val="0"/>
        <w:snapToGrid w:val="0"/>
        <w:spacing w:after="0" w:line="360" w:lineRule="auto"/>
        <w:jc w:val="both"/>
        <w:rPr>
          <w:rFonts w:ascii="Book Antiqua" w:hAnsi="Book Antiqua"/>
          <w:b/>
          <w:bCs/>
          <w:color w:val="000000" w:themeColor="text1"/>
          <w:lang w:eastAsia="zh-CN"/>
        </w:rPr>
      </w:pPr>
    </w:p>
    <w:p w14:paraId="57BAC3F2" w14:textId="77777777" w:rsidR="00EB6F17" w:rsidRPr="005C1163" w:rsidRDefault="00EB6F17" w:rsidP="0041646E">
      <w:pPr>
        <w:adjustRightInd w:val="0"/>
        <w:snapToGrid w:val="0"/>
        <w:spacing w:after="0" w:line="360" w:lineRule="auto"/>
        <w:jc w:val="both"/>
        <w:rPr>
          <w:rFonts w:ascii="Book Antiqua" w:hAnsi="Book Antiqua"/>
          <w:i/>
          <w:color w:val="000000" w:themeColor="text1"/>
        </w:rPr>
      </w:pPr>
      <w:r w:rsidRPr="005C1163">
        <w:rPr>
          <w:rFonts w:ascii="Book Antiqua" w:hAnsi="Book Antiqua"/>
          <w:b/>
          <w:bCs/>
          <w:i/>
          <w:color w:val="000000" w:themeColor="text1"/>
        </w:rPr>
        <w:t>Innovations and breakthroughs</w:t>
      </w:r>
    </w:p>
    <w:p w14:paraId="309F4F5A" w14:textId="5EE906EA" w:rsidR="00240447" w:rsidRPr="00977582" w:rsidRDefault="005C1163"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This</w:t>
      </w:r>
      <w:r w:rsidR="00240447" w:rsidRPr="00977582">
        <w:rPr>
          <w:rFonts w:ascii="Book Antiqua" w:hAnsi="Book Antiqua" w:cs="Times New Roman"/>
          <w:color w:val="000000" w:themeColor="text1"/>
        </w:rPr>
        <w:t xml:space="preserve"> study shows diarrhea is burdensome and costly in CS patients.</w:t>
      </w:r>
      <w:r w:rsidR="005B1623" w:rsidRPr="00977582">
        <w:rPr>
          <w:rFonts w:ascii="Book Antiqua" w:hAnsi="Book Antiqua" w:cs="Times New Roman"/>
          <w:i/>
          <w:color w:val="000000" w:themeColor="text1"/>
        </w:rPr>
        <w:t xml:space="preserve"> </w:t>
      </w:r>
    </w:p>
    <w:p w14:paraId="2CBB249D" w14:textId="77777777" w:rsidR="005C1163" w:rsidRDefault="005C1163" w:rsidP="0041646E">
      <w:pPr>
        <w:adjustRightInd w:val="0"/>
        <w:snapToGrid w:val="0"/>
        <w:spacing w:after="0" w:line="360" w:lineRule="auto"/>
        <w:jc w:val="both"/>
        <w:rPr>
          <w:rFonts w:ascii="Book Antiqua" w:hAnsi="Book Antiqua"/>
          <w:b/>
          <w:bCs/>
          <w:color w:val="000000" w:themeColor="text1"/>
          <w:lang w:eastAsia="zh-CN"/>
        </w:rPr>
      </w:pPr>
    </w:p>
    <w:p w14:paraId="0A47BAFE" w14:textId="6AB403B0" w:rsidR="00EB6F17" w:rsidRPr="005C1163" w:rsidRDefault="00EB6F17" w:rsidP="0041646E">
      <w:pPr>
        <w:adjustRightInd w:val="0"/>
        <w:snapToGrid w:val="0"/>
        <w:spacing w:after="0" w:line="360" w:lineRule="auto"/>
        <w:jc w:val="both"/>
        <w:rPr>
          <w:rFonts w:ascii="Book Antiqua" w:hAnsi="Book Antiqua"/>
          <w:b/>
          <w:bCs/>
          <w:i/>
          <w:color w:val="000000" w:themeColor="text1"/>
        </w:rPr>
      </w:pPr>
      <w:r w:rsidRPr="005C1163">
        <w:rPr>
          <w:rFonts w:ascii="Book Antiqua" w:hAnsi="Book Antiqua"/>
          <w:b/>
          <w:bCs/>
          <w:i/>
          <w:color w:val="000000" w:themeColor="text1"/>
        </w:rPr>
        <w:t xml:space="preserve">Applications </w:t>
      </w:r>
    </w:p>
    <w:p w14:paraId="644B4B46" w14:textId="77777777" w:rsidR="009371E7" w:rsidRDefault="009371E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Reduction of CS-related healthcare expenditures may be achievable through preventive treatment and appropriate management of diarrhea in CS.</w:t>
      </w:r>
    </w:p>
    <w:p w14:paraId="22785A34" w14:textId="77777777" w:rsidR="005C1163" w:rsidRPr="00977582" w:rsidRDefault="005C1163" w:rsidP="0041646E">
      <w:pPr>
        <w:adjustRightInd w:val="0"/>
        <w:snapToGrid w:val="0"/>
        <w:spacing w:after="0" w:line="360" w:lineRule="auto"/>
        <w:jc w:val="both"/>
        <w:rPr>
          <w:rFonts w:ascii="Book Antiqua" w:hAnsi="Book Antiqua" w:cs="Times New Roman"/>
          <w:color w:val="000000" w:themeColor="text1"/>
          <w:lang w:eastAsia="zh-CN"/>
        </w:rPr>
      </w:pPr>
    </w:p>
    <w:p w14:paraId="50D0C833" w14:textId="77777777" w:rsidR="00EB6F17" w:rsidRPr="005C1163" w:rsidRDefault="00EB6F17" w:rsidP="0041646E">
      <w:pPr>
        <w:adjustRightInd w:val="0"/>
        <w:snapToGrid w:val="0"/>
        <w:spacing w:after="0" w:line="360" w:lineRule="auto"/>
        <w:jc w:val="both"/>
        <w:rPr>
          <w:rFonts w:ascii="Book Antiqua" w:hAnsi="Book Antiqua"/>
          <w:b/>
          <w:bCs/>
          <w:i/>
          <w:color w:val="000000" w:themeColor="text1"/>
        </w:rPr>
      </w:pPr>
      <w:r w:rsidRPr="005C1163">
        <w:rPr>
          <w:rFonts w:ascii="Book Antiqua" w:hAnsi="Book Antiqua"/>
          <w:b/>
          <w:bCs/>
          <w:i/>
          <w:color w:val="000000" w:themeColor="text1"/>
        </w:rPr>
        <w:t>Terminology</w:t>
      </w:r>
    </w:p>
    <w:p w14:paraId="282564DA" w14:textId="11EA2B58" w:rsidR="002A59F6" w:rsidRDefault="002A59F6"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Neuroendocrine tumors that produce peptides and neuroamines induce characteristic hormonal syndromes, including </w:t>
      </w:r>
      <w:r w:rsidR="005C1163">
        <w:rPr>
          <w:rFonts w:ascii="Book Antiqua" w:hAnsi="Book Antiqua" w:cs="Times New Roman"/>
          <w:color w:val="000000" w:themeColor="text1"/>
        </w:rPr>
        <w:t>CS</w:t>
      </w:r>
      <w:r w:rsidRPr="00977582">
        <w:rPr>
          <w:rFonts w:ascii="Book Antiqua" w:hAnsi="Book Antiqua" w:cs="Times New Roman"/>
          <w:color w:val="000000" w:themeColor="text1"/>
        </w:rPr>
        <w:t xml:space="preserve">. Most common presenting symptoms of CS are diarrhea and flushing. Diarrhea appears to have a </w:t>
      </w:r>
      <w:r w:rsidRPr="00977582">
        <w:rPr>
          <w:rFonts w:ascii="Book Antiqua" w:hAnsi="Book Antiqua" w:cs="Times New Roman"/>
          <w:color w:val="000000" w:themeColor="text1"/>
        </w:rPr>
        <w:lastRenderedPageBreak/>
        <w:t>particularly profound impact on CS patients’ well-being.</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 xml:space="preserve">Given the lack of evidence about the economic burden of diarrhea in CS patients, we examined </w:t>
      </w:r>
      <w:r w:rsidR="005C1163">
        <w:rPr>
          <w:rFonts w:ascii="Book Antiqua" w:hAnsi="Book Antiqua" w:cs="Times New Roman"/>
          <w:color w:val="000000" w:themeColor="text1"/>
        </w:rPr>
        <w:t>healthcare resource utilization</w:t>
      </w:r>
      <w:r w:rsidRPr="00977582">
        <w:rPr>
          <w:rFonts w:ascii="Book Antiqua" w:hAnsi="Book Antiqua" w:cs="Times New Roman"/>
          <w:color w:val="000000" w:themeColor="text1"/>
        </w:rPr>
        <w:t xml:space="preserve"> patterns and healthcare costs accrued by CS patients with and without </w:t>
      </w:r>
      <w:r w:rsidR="005C1163">
        <w:rPr>
          <w:rFonts w:ascii="Book Antiqua" w:hAnsi="Book Antiqua" w:cs="Times New Roman"/>
          <w:color w:val="000000" w:themeColor="text1"/>
        </w:rPr>
        <w:t>NID</w:t>
      </w:r>
      <w:r w:rsidRPr="00977582">
        <w:rPr>
          <w:rFonts w:ascii="Book Antiqua" w:hAnsi="Book Antiqua" w:cs="Times New Roman"/>
          <w:color w:val="000000" w:themeColor="text1"/>
        </w:rPr>
        <w:t>.</w:t>
      </w:r>
    </w:p>
    <w:p w14:paraId="5F8D78C7" w14:textId="77777777" w:rsidR="005C1163" w:rsidRPr="00977582" w:rsidRDefault="005C1163" w:rsidP="0041646E">
      <w:pPr>
        <w:adjustRightInd w:val="0"/>
        <w:snapToGrid w:val="0"/>
        <w:spacing w:after="0" w:line="360" w:lineRule="auto"/>
        <w:jc w:val="both"/>
        <w:rPr>
          <w:rFonts w:ascii="Book Antiqua" w:hAnsi="Book Antiqua"/>
          <w:b/>
          <w:bCs/>
          <w:color w:val="000000" w:themeColor="text1"/>
          <w:lang w:eastAsia="zh-CN"/>
        </w:rPr>
      </w:pPr>
    </w:p>
    <w:p w14:paraId="4C5FAF9D" w14:textId="77777777" w:rsidR="00EB6F17" w:rsidRPr="005C1163" w:rsidRDefault="00EB6F17" w:rsidP="0041646E">
      <w:pPr>
        <w:adjustRightInd w:val="0"/>
        <w:snapToGrid w:val="0"/>
        <w:spacing w:after="0" w:line="360" w:lineRule="auto"/>
        <w:jc w:val="both"/>
        <w:rPr>
          <w:rFonts w:ascii="Book Antiqua" w:hAnsi="Book Antiqua"/>
          <w:b/>
          <w:bCs/>
          <w:i/>
          <w:color w:val="000000" w:themeColor="text1"/>
        </w:rPr>
      </w:pPr>
      <w:r w:rsidRPr="005C1163">
        <w:rPr>
          <w:rFonts w:ascii="Book Antiqua" w:hAnsi="Book Antiqua"/>
          <w:b/>
          <w:bCs/>
          <w:i/>
          <w:color w:val="000000" w:themeColor="text1"/>
        </w:rPr>
        <w:t>Peer- review</w:t>
      </w:r>
    </w:p>
    <w:p w14:paraId="50D0C67C" w14:textId="3A8159EC" w:rsidR="005C1163" w:rsidRPr="009F5F4E" w:rsidRDefault="009F5F4E" w:rsidP="0041646E">
      <w:pPr>
        <w:pStyle w:val="PlainText"/>
        <w:adjustRightInd w:val="0"/>
        <w:snapToGrid w:val="0"/>
        <w:spacing w:line="360" w:lineRule="auto"/>
        <w:jc w:val="both"/>
        <w:rPr>
          <w:rFonts w:ascii="Book Antiqua" w:eastAsia="SimSun" w:hAnsi="Book Antiqua" w:cs="Helvetica"/>
          <w:color w:val="000000" w:themeColor="text1"/>
          <w:sz w:val="24"/>
          <w:szCs w:val="24"/>
          <w:lang w:eastAsia="zh-CN"/>
        </w:rPr>
      </w:pPr>
      <w:r>
        <w:rPr>
          <w:rFonts w:ascii="Book Antiqua" w:eastAsia="SimSun" w:hAnsi="Book Antiqua" w:cs="Helvetica" w:hint="eastAsia"/>
          <w:color w:val="000000" w:themeColor="text1"/>
          <w:sz w:val="24"/>
          <w:szCs w:val="24"/>
          <w:lang w:eastAsia="zh-CN"/>
        </w:rPr>
        <w:t>This</w:t>
      </w:r>
      <w:r w:rsidRPr="009F5F4E">
        <w:rPr>
          <w:rFonts w:ascii="Book Antiqua" w:hAnsi="Book Antiqua" w:cs="Helvetica"/>
          <w:color w:val="000000" w:themeColor="text1"/>
          <w:sz w:val="24"/>
          <w:szCs w:val="24"/>
        </w:rPr>
        <w:t xml:space="preserve"> is an interesting research</w:t>
      </w:r>
      <w:r>
        <w:rPr>
          <w:rFonts w:ascii="Book Antiqua" w:eastAsia="SimSun" w:hAnsi="Book Antiqua" w:cs="Helvetica" w:hint="eastAsia"/>
          <w:color w:val="000000" w:themeColor="text1"/>
          <w:sz w:val="24"/>
          <w:szCs w:val="24"/>
          <w:lang w:eastAsia="zh-CN"/>
        </w:rPr>
        <w:t>,</w:t>
      </w:r>
      <w:r w:rsidRPr="009F5F4E">
        <w:rPr>
          <w:rFonts w:ascii="Book Antiqua" w:hAnsi="Book Antiqua" w:cs="Helvetica"/>
          <w:color w:val="000000" w:themeColor="text1"/>
          <w:sz w:val="24"/>
          <w:szCs w:val="24"/>
        </w:rPr>
        <w:t xml:space="preserve"> </w:t>
      </w:r>
      <w:r>
        <w:rPr>
          <w:rFonts w:ascii="Book Antiqua" w:eastAsia="SimSun" w:hAnsi="Book Antiqua" w:cs="Helvetica" w:hint="eastAsia"/>
          <w:color w:val="000000" w:themeColor="text1"/>
          <w:sz w:val="24"/>
          <w:szCs w:val="24"/>
          <w:lang w:eastAsia="zh-CN"/>
        </w:rPr>
        <w:t xml:space="preserve">and </w:t>
      </w:r>
      <w:r w:rsidRPr="009F5F4E">
        <w:rPr>
          <w:rFonts w:ascii="Book Antiqua" w:hAnsi="Book Antiqua" w:cs="Helvetica"/>
          <w:color w:val="000000" w:themeColor="text1"/>
          <w:sz w:val="24"/>
          <w:szCs w:val="24"/>
        </w:rPr>
        <w:t>it is well executed methodologically and clearly described.</w:t>
      </w:r>
    </w:p>
    <w:p w14:paraId="5F1DB99C" w14:textId="77777777" w:rsidR="005C1163" w:rsidRDefault="005C1163" w:rsidP="0041646E">
      <w:pPr>
        <w:adjustRightInd w:val="0"/>
        <w:snapToGrid w:val="0"/>
        <w:spacing w:after="0" w:line="360" w:lineRule="auto"/>
        <w:jc w:val="both"/>
        <w:rPr>
          <w:rFonts w:ascii="Book Antiqua" w:hAnsi="Book Antiqua" w:cs="Times New Roman"/>
          <w:b/>
          <w:color w:val="000000" w:themeColor="text1"/>
          <w:lang w:eastAsia="zh-CN"/>
        </w:rPr>
      </w:pPr>
      <w:r>
        <w:rPr>
          <w:rFonts w:ascii="Book Antiqua" w:hAnsi="Book Antiqua" w:cs="Times New Roman"/>
          <w:b/>
          <w:color w:val="000000" w:themeColor="text1"/>
          <w:lang w:eastAsia="zh-CN"/>
        </w:rPr>
        <w:br w:type="page"/>
      </w:r>
    </w:p>
    <w:p w14:paraId="72E54C87" w14:textId="728B252A" w:rsidR="00DD4193" w:rsidRDefault="00DD4193" w:rsidP="0041646E">
      <w:pPr>
        <w:adjustRightInd w:val="0"/>
        <w:snapToGrid w:val="0"/>
        <w:spacing w:after="0" w:line="360" w:lineRule="auto"/>
        <w:jc w:val="both"/>
        <w:rPr>
          <w:rFonts w:ascii="Book Antiqua" w:hAnsi="Book Antiqua" w:cs="Times New Roman"/>
          <w:b/>
          <w:color w:val="000000" w:themeColor="text1"/>
          <w:lang w:eastAsia="zh-CN"/>
        </w:rPr>
      </w:pPr>
      <w:r w:rsidRPr="00977582">
        <w:rPr>
          <w:rFonts w:ascii="Book Antiqua" w:hAnsi="Book Antiqua" w:cs="Times New Roman"/>
          <w:b/>
          <w:color w:val="000000" w:themeColor="text1"/>
        </w:rPr>
        <w:lastRenderedPageBreak/>
        <w:t>REFERENCES</w:t>
      </w:r>
    </w:p>
    <w:p w14:paraId="3DE95195"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1 </w:t>
      </w:r>
      <w:r w:rsidRPr="002038BD">
        <w:rPr>
          <w:rFonts w:ascii="Book Antiqua" w:hAnsi="Book Antiqua" w:cs="SimSun"/>
          <w:b/>
          <w:bCs/>
          <w:color w:val="000000"/>
        </w:rPr>
        <w:t>Gustafsson BI</w:t>
      </w:r>
      <w:r w:rsidRPr="002038BD">
        <w:rPr>
          <w:rFonts w:ascii="Book Antiqua" w:hAnsi="Book Antiqua" w:cs="SimSun"/>
          <w:color w:val="000000"/>
        </w:rPr>
        <w:t>, Kidd M, Modlin IM. Neuroendocrine tumors of the diffuse neuroendocrine system. </w:t>
      </w:r>
      <w:r w:rsidRPr="002038BD">
        <w:rPr>
          <w:rFonts w:ascii="Book Antiqua" w:hAnsi="Book Antiqua" w:cs="SimSun"/>
          <w:i/>
          <w:iCs/>
          <w:color w:val="000000"/>
        </w:rPr>
        <w:t>Curr Opin Oncol</w:t>
      </w:r>
      <w:r w:rsidRPr="002038BD">
        <w:rPr>
          <w:rFonts w:ascii="Book Antiqua" w:hAnsi="Book Antiqua" w:cs="SimSun"/>
          <w:color w:val="000000"/>
        </w:rPr>
        <w:t> 2008; </w:t>
      </w:r>
      <w:r w:rsidRPr="002038BD">
        <w:rPr>
          <w:rFonts w:ascii="Book Antiqua" w:hAnsi="Book Antiqua" w:cs="SimSun"/>
          <w:b/>
          <w:bCs/>
          <w:color w:val="000000"/>
        </w:rPr>
        <w:t>20</w:t>
      </w:r>
      <w:r w:rsidRPr="002038BD">
        <w:rPr>
          <w:rFonts w:ascii="Book Antiqua" w:hAnsi="Book Antiqua" w:cs="SimSun"/>
          <w:color w:val="000000"/>
        </w:rPr>
        <w:t>: 1-12 [PMID: 18043250]</w:t>
      </w:r>
    </w:p>
    <w:p w14:paraId="3AEBA263"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2 </w:t>
      </w:r>
      <w:r w:rsidRPr="002038BD">
        <w:rPr>
          <w:rFonts w:ascii="Book Antiqua" w:hAnsi="Book Antiqua" w:cs="SimSun"/>
          <w:b/>
          <w:bCs/>
          <w:color w:val="000000"/>
        </w:rPr>
        <w:t>Pearse AG</w:t>
      </w:r>
      <w:r w:rsidRPr="002038BD">
        <w:rPr>
          <w:rFonts w:ascii="Book Antiqua" w:hAnsi="Book Antiqua" w:cs="SimSun"/>
          <w:color w:val="000000"/>
        </w:rPr>
        <w:t>. The cytochemistry and ultrastructure of polypeptide hormone-producing cells of the APUD series and the embryologic, physiologic and pathologic implications of the concept. </w:t>
      </w:r>
      <w:r w:rsidRPr="002038BD">
        <w:rPr>
          <w:rFonts w:ascii="Book Antiqua" w:hAnsi="Book Antiqua" w:cs="SimSun"/>
          <w:i/>
          <w:iCs/>
          <w:color w:val="000000"/>
        </w:rPr>
        <w:t>J Histochem Cytochem</w:t>
      </w:r>
      <w:r w:rsidRPr="002038BD">
        <w:rPr>
          <w:rFonts w:ascii="Book Antiqua" w:hAnsi="Book Antiqua" w:cs="SimSun"/>
          <w:color w:val="000000"/>
        </w:rPr>
        <w:t> 1969; </w:t>
      </w:r>
      <w:r w:rsidRPr="002038BD">
        <w:rPr>
          <w:rFonts w:ascii="Book Antiqua" w:hAnsi="Book Antiqua" w:cs="SimSun"/>
          <w:b/>
          <w:bCs/>
          <w:color w:val="000000"/>
        </w:rPr>
        <w:t>17</w:t>
      </w:r>
      <w:r w:rsidRPr="002038BD">
        <w:rPr>
          <w:rFonts w:ascii="Book Antiqua" w:hAnsi="Book Antiqua" w:cs="SimSun"/>
          <w:color w:val="000000"/>
        </w:rPr>
        <w:t>: 303-313 [PMID: 4143745]</w:t>
      </w:r>
    </w:p>
    <w:p w14:paraId="7CC180F5"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3 </w:t>
      </w:r>
      <w:r w:rsidRPr="002038BD">
        <w:rPr>
          <w:rFonts w:ascii="Book Antiqua" w:hAnsi="Book Antiqua" w:cs="SimSun"/>
          <w:b/>
          <w:bCs/>
          <w:color w:val="000000"/>
        </w:rPr>
        <w:t>Moertel CG</w:t>
      </w:r>
      <w:r w:rsidRPr="002038BD">
        <w:rPr>
          <w:rFonts w:ascii="Book Antiqua" w:hAnsi="Book Antiqua" w:cs="SimSun"/>
          <w:color w:val="000000"/>
        </w:rPr>
        <w:t>. Karnofsky memorial lecture. An odyssey in the land of small tumors. </w:t>
      </w:r>
      <w:r w:rsidRPr="002038BD">
        <w:rPr>
          <w:rFonts w:ascii="Book Antiqua" w:hAnsi="Book Antiqua" w:cs="SimSun"/>
          <w:i/>
          <w:iCs/>
          <w:color w:val="000000"/>
        </w:rPr>
        <w:t>J Clin Oncol</w:t>
      </w:r>
      <w:r w:rsidRPr="002038BD">
        <w:rPr>
          <w:rFonts w:ascii="Book Antiqua" w:hAnsi="Book Antiqua" w:cs="SimSun"/>
          <w:color w:val="000000"/>
        </w:rPr>
        <w:t> 1987; </w:t>
      </w:r>
      <w:r w:rsidRPr="002038BD">
        <w:rPr>
          <w:rFonts w:ascii="Book Antiqua" w:hAnsi="Book Antiqua" w:cs="SimSun"/>
          <w:b/>
          <w:bCs/>
          <w:color w:val="000000"/>
        </w:rPr>
        <w:t>5</w:t>
      </w:r>
      <w:r w:rsidRPr="002038BD">
        <w:rPr>
          <w:rFonts w:ascii="Book Antiqua" w:hAnsi="Book Antiqua" w:cs="SimSun"/>
          <w:color w:val="000000"/>
        </w:rPr>
        <w:t>: 1502-1522 [PMID: 2443618]</w:t>
      </w:r>
    </w:p>
    <w:p w14:paraId="267D44C5"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4 </w:t>
      </w:r>
      <w:r w:rsidRPr="002038BD">
        <w:rPr>
          <w:rFonts w:ascii="Book Antiqua" w:hAnsi="Book Antiqua" w:cs="SimSun"/>
          <w:b/>
          <w:bCs/>
          <w:color w:val="000000"/>
        </w:rPr>
        <w:t>Yao JC</w:t>
      </w:r>
      <w:r w:rsidRPr="002038BD">
        <w:rPr>
          <w:rFonts w:ascii="Book Antiqua" w:hAnsi="Book Antiqua" w:cs="SimSun"/>
          <w:color w:val="000000"/>
        </w:rPr>
        <w:t>, Hassan M, Phan A, Dagohoy C, Leary C, Mares JE, Abdalla EK, Fleming JB, Vauthey JN, Rashid A, Evans DB. One hundred years after "carcinoid": epidemiology of and prognostic factors for neuroendocrine tumors in 35,825 cases in the United States. </w:t>
      </w:r>
      <w:r w:rsidRPr="002038BD">
        <w:rPr>
          <w:rFonts w:ascii="Book Antiqua" w:hAnsi="Book Antiqua" w:cs="SimSun"/>
          <w:i/>
          <w:iCs/>
          <w:color w:val="000000"/>
        </w:rPr>
        <w:t>J Clin Oncol</w:t>
      </w:r>
      <w:r w:rsidRPr="002038BD">
        <w:rPr>
          <w:rFonts w:ascii="Book Antiqua" w:hAnsi="Book Antiqua" w:cs="SimSun"/>
          <w:color w:val="000000"/>
        </w:rPr>
        <w:t> 2008; </w:t>
      </w:r>
      <w:r w:rsidRPr="002038BD">
        <w:rPr>
          <w:rFonts w:ascii="Book Antiqua" w:hAnsi="Book Antiqua" w:cs="SimSun"/>
          <w:b/>
          <w:bCs/>
          <w:color w:val="000000"/>
        </w:rPr>
        <w:t>26</w:t>
      </w:r>
      <w:r w:rsidRPr="002038BD">
        <w:rPr>
          <w:rFonts w:ascii="Book Antiqua" w:hAnsi="Book Antiqua" w:cs="SimSun"/>
          <w:color w:val="000000"/>
        </w:rPr>
        <w:t>: 3063-3072 [PMID: 18565894 DOI: 10.1200/JCO.2007.15.4377]</w:t>
      </w:r>
    </w:p>
    <w:p w14:paraId="2EC40685"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5 </w:t>
      </w:r>
      <w:r w:rsidRPr="002038BD">
        <w:rPr>
          <w:rFonts w:ascii="Book Antiqua" w:hAnsi="Book Antiqua" w:cs="SimSun"/>
          <w:b/>
          <w:bCs/>
          <w:color w:val="000000"/>
        </w:rPr>
        <w:t>Modlin IM</w:t>
      </w:r>
      <w:r w:rsidRPr="002038BD">
        <w:rPr>
          <w:rFonts w:ascii="Book Antiqua" w:hAnsi="Book Antiqua" w:cs="SimSun"/>
          <w:color w:val="000000"/>
        </w:rPr>
        <w:t>, Moss SF, Oberg K, Padbury R, Hicks RJ, Gustafsson BI, Wright NA, Kidd M. Gastrointestinal neuroendocrine (carcinoid) tumours: current diagnosis and management. </w:t>
      </w:r>
      <w:r w:rsidRPr="002038BD">
        <w:rPr>
          <w:rFonts w:ascii="Book Antiqua" w:hAnsi="Book Antiqua" w:cs="SimSun"/>
          <w:i/>
          <w:iCs/>
          <w:color w:val="000000"/>
        </w:rPr>
        <w:t>Med J Aust</w:t>
      </w:r>
      <w:r w:rsidRPr="002038BD">
        <w:rPr>
          <w:rFonts w:ascii="Book Antiqua" w:hAnsi="Book Antiqua" w:cs="SimSun"/>
          <w:color w:val="000000"/>
        </w:rPr>
        <w:t> 2010; </w:t>
      </w:r>
      <w:r w:rsidRPr="002038BD">
        <w:rPr>
          <w:rFonts w:ascii="Book Antiqua" w:hAnsi="Book Antiqua" w:cs="SimSun"/>
          <w:b/>
          <w:bCs/>
          <w:color w:val="000000"/>
        </w:rPr>
        <w:t>193</w:t>
      </w:r>
      <w:r w:rsidRPr="002038BD">
        <w:rPr>
          <w:rFonts w:ascii="Book Antiqua" w:hAnsi="Book Antiqua" w:cs="SimSun"/>
          <w:color w:val="000000"/>
        </w:rPr>
        <w:t>: 46-52 [PMID: 20618115]</w:t>
      </w:r>
    </w:p>
    <w:p w14:paraId="313AE4B3"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6 </w:t>
      </w:r>
      <w:r w:rsidRPr="002038BD">
        <w:rPr>
          <w:rFonts w:ascii="Book Antiqua" w:hAnsi="Book Antiqua" w:cs="SimSun"/>
          <w:b/>
          <w:bCs/>
          <w:color w:val="000000"/>
        </w:rPr>
        <w:t>Modlin IM</w:t>
      </w:r>
      <w:r w:rsidRPr="002038BD">
        <w:rPr>
          <w:rFonts w:ascii="Book Antiqua" w:hAnsi="Book Antiqua" w:cs="SimSun"/>
          <w:color w:val="000000"/>
        </w:rPr>
        <w:t>, Shapiro MD, Kidd M. Siegfried Oberndorfer: origins and perspectives of carcinoid tumors. </w:t>
      </w:r>
      <w:r w:rsidRPr="002038BD">
        <w:rPr>
          <w:rFonts w:ascii="Book Antiqua" w:hAnsi="Book Antiqua" w:cs="SimSun"/>
          <w:i/>
          <w:iCs/>
          <w:color w:val="000000"/>
        </w:rPr>
        <w:t>Hum Pathol</w:t>
      </w:r>
      <w:r w:rsidRPr="002038BD">
        <w:rPr>
          <w:rFonts w:ascii="Book Antiqua" w:hAnsi="Book Antiqua" w:cs="SimSun"/>
          <w:color w:val="000000"/>
        </w:rPr>
        <w:t> 2004; </w:t>
      </w:r>
      <w:r w:rsidRPr="002038BD">
        <w:rPr>
          <w:rFonts w:ascii="Book Antiqua" w:hAnsi="Book Antiqua" w:cs="SimSun"/>
          <w:b/>
          <w:bCs/>
          <w:color w:val="000000"/>
        </w:rPr>
        <w:t>35</w:t>
      </w:r>
      <w:r w:rsidRPr="002038BD">
        <w:rPr>
          <w:rFonts w:ascii="Book Antiqua" w:hAnsi="Book Antiqua" w:cs="SimSun"/>
          <w:color w:val="000000"/>
        </w:rPr>
        <w:t>: 1440-1451 [PMID: 15619202]</w:t>
      </w:r>
    </w:p>
    <w:p w14:paraId="3B646C56"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7 </w:t>
      </w:r>
      <w:r w:rsidRPr="002038BD">
        <w:rPr>
          <w:rFonts w:ascii="Book Antiqua" w:hAnsi="Book Antiqua" w:cs="SimSun"/>
          <w:b/>
          <w:bCs/>
          <w:color w:val="000000"/>
        </w:rPr>
        <w:t>Ter-Minassian M</w:t>
      </w:r>
      <w:r w:rsidRPr="002038BD">
        <w:rPr>
          <w:rFonts w:ascii="Book Antiqua" w:hAnsi="Book Antiqua" w:cs="SimSun"/>
          <w:color w:val="000000"/>
        </w:rPr>
        <w:t>, Chan JA, Hooshmand SM, Brais LK, Daskalova A, Heafield R, Buchanan L, Qian ZR, Fuchs CS, Lin X, Christiani DC, Kulke MH. Clinical presentation, recurrence, and survival in patients with neuroendocrine tumors: results from a prospective institutional database. </w:t>
      </w:r>
      <w:r w:rsidRPr="002038BD">
        <w:rPr>
          <w:rFonts w:ascii="Book Antiqua" w:hAnsi="Book Antiqua" w:cs="SimSun"/>
          <w:i/>
          <w:iCs/>
          <w:color w:val="000000"/>
        </w:rPr>
        <w:t>Endocr Relat Cancer</w:t>
      </w:r>
      <w:r w:rsidRPr="002038BD">
        <w:rPr>
          <w:rFonts w:ascii="Book Antiqua" w:hAnsi="Book Antiqua" w:cs="SimSun"/>
          <w:color w:val="000000"/>
        </w:rPr>
        <w:t> 2013; </w:t>
      </w:r>
      <w:r w:rsidRPr="002038BD">
        <w:rPr>
          <w:rFonts w:ascii="Book Antiqua" w:hAnsi="Book Antiqua" w:cs="SimSun"/>
          <w:b/>
          <w:bCs/>
          <w:color w:val="000000"/>
        </w:rPr>
        <w:t>20</w:t>
      </w:r>
      <w:r w:rsidRPr="002038BD">
        <w:rPr>
          <w:rFonts w:ascii="Book Antiqua" w:hAnsi="Book Antiqua" w:cs="SimSun"/>
          <w:color w:val="000000"/>
        </w:rPr>
        <w:t>: 187-196 [PMID: 23319495 DOI: 10.1530/ERC-12-0340]</w:t>
      </w:r>
    </w:p>
    <w:p w14:paraId="169CF9C2"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8 </w:t>
      </w:r>
      <w:r w:rsidRPr="002038BD">
        <w:rPr>
          <w:rFonts w:ascii="Book Antiqua" w:hAnsi="Book Antiqua" w:cs="SimSun"/>
          <w:b/>
          <w:bCs/>
          <w:color w:val="000000"/>
        </w:rPr>
        <w:t>Beaumont JL</w:t>
      </w:r>
      <w:r w:rsidRPr="002038BD">
        <w:rPr>
          <w:rFonts w:ascii="Book Antiqua" w:hAnsi="Book Antiqua" w:cs="SimSun"/>
          <w:color w:val="000000"/>
        </w:rPr>
        <w:t>, Cella D, Phan AT, Choi S, Liu Z, Yao JC. Comparison of health-related quality of life in patients with neuroendocrine tumors with quality of life in the general US population. </w:t>
      </w:r>
      <w:r w:rsidRPr="002038BD">
        <w:rPr>
          <w:rFonts w:ascii="Book Antiqua" w:hAnsi="Book Antiqua" w:cs="SimSun"/>
          <w:i/>
          <w:iCs/>
          <w:color w:val="000000"/>
        </w:rPr>
        <w:t>Pancreas</w:t>
      </w:r>
      <w:r w:rsidRPr="002038BD">
        <w:rPr>
          <w:rFonts w:ascii="Book Antiqua" w:hAnsi="Book Antiqua" w:cs="SimSun"/>
          <w:color w:val="000000"/>
        </w:rPr>
        <w:t> 2012; </w:t>
      </w:r>
      <w:r w:rsidRPr="002038BD">
        <w:rPr>
          <w:rFonts w:ascii="Book Antiqua" w:hAnsi="Book Antiqua" w:cs="SimSun"/>
          <w:b/>
          <w:bCs/>
          <w:color w:val="000000"/>
        </w:rPr>
        <w:t>41</w:t>
      </w:r>
      <w:r w:rsidRPr="002038BD">
        <w:rPr>
          <w:rFonts w:ascii="Book Antiqua" w:hAnsi="Book Antiqua" w:cs="SimSun"/>
          <w:color w:val="000000"/>
        </w:rPr>
        <w:t>: 461-466 [PMID: 22422138 DOI: 10.1097/MPA.0b013e3182328045]</w:t>
      </w:r>
    </w:p>
    <w:p w14:paraId="1F264B24"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lastRenderedPageBreak/>
        <w:t>9 Chronic Condition Indicator (CCI) for ICD-9-CM. Agency for Health Care Policy and Research, Rockville, MD; 2009. Available from: URL: http: //www.hcup-us.ahrq.gov/toolssoftware/chronic/chronic.jsp</w:t>
      </w:r>
    </w:p>
    <w:p w14:paraId="1B1D5861"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10 </w:t>
      </w:r>
      <w:r w:rsidRPr="002038BD">
        <w:rPr>
          <w:rFonts w:ascii="Book Antiqua" w:hAnsi="Book Antiqua" w:cs="SimSun"/>
          <w:b/>
          <w:bCs/>
          <w:color w:val="000000"/>
        </w:rPr>
        <w:t>Charlson ME</w:t>
      </w:r>
      <w:r w:rsidRPr="002038BD">
        <w:rPr>
          <w:rFonts w:ascii="Book Antiqua" w:hAnsi="Book Antiqua" w:cs="SimSun"/>
          <w:color w:val="000000"/>
        </w:rPr>
        <w:t>, Pompei P, Ales KL, MacKenzie CR. A new method of classifying prognostic comorbidity in longitudinal studies: development and validation. </w:t>
      </w:r>
      <w:r w:rsidRPr="002038BD">
        <w:rPr>
          <w:rFonts w:ascii="Book Antiqua" w:hAnsi="Book Antiqua" w:cs="SimSun"/>
          <w:i/>
          <w:iCs/>
          <w:color w:val="000000"/>
        </w:rPr>
        <w:t>J Chronic Dis</w:t>
      </w:r>
      <w:r w:rsidRPr="002038BD">
        <w:rPr>
          <w:rFonts w:ascii="Book Antiqua" w:hAnsi="Book Antiqua" w:cs="SimSun"/>
          <w:color w:val="000000"/>
        </w:rPr>
        <w:t> 1987; </w:t>
      </w:r>
      <w:r w:rsidRPr="002038BD">
        <w:rPr>
          <w:rFonts w:ascii="Book Antiqua" w:hAnsi="Book Antiqua" w:cs="SimSun"/>
          <w:b/>
          <w:bCs/>
          <w:color w:val="000000"/>
        </w:rPr>
        <w:t>40</w:t>
      </w:r>
      <w:r w:rsidRPr="002038BD">
        <w:rPr>
          <w:rFonts w:ascii="Book Antiqua" w:hAnsi="Book Antiqua" w:cs="SimSun"/>
          <w:color w:val="000000"/>
        </w:rPr>
        <w:t>: 373-383 [PMID: 3558716]</w:t>
      </w:r>
    </w:p>
    <w:p w14:paraId="4FD452D6"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11 </w:t>
      </w:r>
      <w:r w:rsidRPr="002038BD">
        <w:rPr>
          <w:rFonts w:ascii="Book Antiqua" w:hAnsi="Book Antiqua" w:cs="SimSun"/>
          <w:b/>
          <w:bCs/>
          <w:color w:val="000000"/>
        </w:rPr>
        <w:t>Hwang W</w:t>
      </w:r>
      <w:r w:rsidRPr="002038BD">
        <w:rPr>
          <w:rFonts w:ascii="Book Antiqua" w:hAnsi="Book Antiqua" w:cs="SimSun"/>
          <w:color w:val="000000"/>
        </w:rPr>
        <w:t>, Weller W, Ireys H, Anderson G. Out-of-pocket medical spending for care of chronic conditions. </w:t>
      </w:r>
      <w:r w:rsidRPr="002038BD">
        <w:rPr>
          <w:rFonts w:ascii="Book Antiqua" w:hAnsi="Book Antiqua" w:cs="SimSun"/>
          <w:i/>
          <w:iCs/>
          <w:color w:val="000000"/>
        </w:rPr>
        <w:t xml:space="preserve">Health Aff </w:t>
      </w:r>
      <w:r w:rsidRPr="002038BD">
        <w:rPr>
          <w:rFonts w:ascii="Book Antiqua" w:hAnsi="Book Antiqua" w:cs="SimSun"/>
          <w:iCs/>
          <w:color w:val="000000"/>
        </w:rPr>
        <w:t>(Millwood)</w:t>
      </w:r>
      <w:r w:rsidRPr="002038BD">
        <w:rPr>
          <w:rFonts w:ascii="Book Antiqua" w:hAnsi="Book Antiqua" w:cs="SimSun"/>
          <w:color w:val="000000"/>
        </w:rPr>
        <w:t> 2001; </w:t>
      </w:r>
      <w:r w:rsidRPr="002038BD">
        <w:rPr>
          <w:rFonts w:ascii="Book Antiqua" w:hAnsi="Book Antiqua" w:cs="SimSun"/>
          <w:b/>
          <w:bCs/>
          <w:color w:val="000000"/>
        </w:rPr>
        <w:t>20</w:t>
      </w:r>
      <w:r w:rsidRPr="002038BD">
        <w:rPr>
          <w:rFonts w:ascii="Book Antiqua" w:hAnsi="Book Antiqua" w:cs="SimSun"/>
          <w:color w:val="000000"/>
        </w:rPr>
        <w:t>: 267-278 [PMID: 11816667]</w:t>
      </w:r>
    </w:p>
    <w:p w14:paraId="1F7AAE2A"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12 </w:t>
      </w:r>
      <w:r w:rsidRPr="002038BD">
        <w:rPr>
          <w:rFonts w:ascii="Book Antiqua" w:hAnsi="Book Antiqua" w:cs="SimSun"/>
          <w:b/>
          <w:bCs/>
          <w:color w:val="000000"/>
        </w:rPr>
        <w:t>Chuang CC</w:t>
      </w:r>
      <w:r w:rsidRPr="002038BD">
        <w:rPr>
          <w:rFonts w:ascii="Book Antiqua" w:hAnsi="Book Antiqua" w:cs="SimSun"/>
          <w:color w:val="000000"/>
        </w:rPr>
        <w:t>, Bhurke S, Chen SY, Brulais S, Gabriel S. Clinical characteristics, treatment patterns, and economic burden in patients treated for neuroendocrine tumors in the United States: a retrospective cohort study. </w:t>
      </w:r>
      <w:r w:rsidRPr="002038BD">
        <w:rPr>
          <w:rFonts w:ascii="Book Antiqua" w:hAnsi="Book Antiqua" w:cs="SimSun"/>
          <w:i/>
          <w:iCs/>
          <w:color w:val="000000"/>
        </w:rPr>
        <w:t>J Med Econ</w:t>
      </w:r>
      <w:r w:rsidRPr="002038BD">
        <w:rPr>
          <w:rFonts w:ascii="Book Antiqua" w:hAnsi="Book Antiqua" w:cs="SimSun"/>
          <w:color w:val="000000"/>
        </w:rPr>
        <w:t> 2015; </w:t>
      </w:r>
      <w:r w:rsidRPr="002038BD">
        <w:rPr>
          <w:rFonts w:ascii="Book Antiqua" w:hAnsi="Book Antiqua" w:cs="SimSun"/>
          <w:b/>
          <w:bCs/>
          <w:color w:val="000000"/>
        </w:rPr>
        <w:t>18</w:t>
      </w:r>
      <w:r w:rsidRPr="002038BD">
        <w:rPr>
          <w:rFonts w:ascii="Book Antiqua" w:hAnsi="Book Antiqua" w:cs="SimSun"/>
          <w:color w:val="000000"/>
        </w:rPr>
        <w:t>: 126-136 [PMID: 25325180]</w:t>
      </w:r>
    </w:p>
    <w:p w14:paraId="4078539B"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13 </w:t>
      </w:r>
      <w:r w:rsidRPr="002038BD">
        <w:rPr>
          <w:rFonts w:ascii="Book Antiqua" w:hAnsi="Book Antiqua" w:cs="SimSun"/>
          <w:b/>
          <w:bCs/>
          <w:color w:val="000000"/>
        </w:rPr>
        <w:t>Hess GP</w:t>
      </w:r>
      <w:r w:rsidRPr="002038BD">
        <w:rPr>
          <w:rFonts w:ascii="Book Antiqua" w:hAnsi="Book Antiqua" w:cs="SimSun"/>
          <w:color w:val="000000"/>
        </w:rPr>
        <w:t>, Chen CC, Liu Z, Yao JC, Phan AT, Hill JW. Clinical burden of illness in patients with neuroendocrine tumors. </w:t>
      </w:r>
      <w:r w:rsidRPr="002038BD">
        <w:rPr>
          <w:rFonts w:ascii="Book Antiqua" w:hAnsi="Book Antiqua" w:cs="SimSun"/>
          <w:i/>
          <w:iCs/>
          <w:color w:val="000000"/>
        </w:rPr>
        <w:t>Pancreas</w:t>
      </w:r>
      <w:r w:rsidRPr="002038BD">
        <w:rPr>
          <w:rFonts w:ascii="Book Antiqua" w:hAnsi="Book Antiqua" w:cs="SimSun"/>
          <w:color w:val="000000"/>
        </w:rPr>
        <w:t> 2012; </w:t>
      </w:r>
      <w:r w:rsidRPr="002038BD">
        <w:rPr>
          <w:rFonts w:ascii="Book Antiqua" w:hAnsi="Book Antiqua" w:cs="SimSun"/>
          <w:b/>
          <w:bCs/>
          <w:color w:val="000000"/>
        </w:rPr>
        <w:t>41</w:t>
      </w:r>
      <w:r w:rsidRPr="002038BD">
        <w:rPr>
          <w:rFonts w:ascii="Book Antiqua" w:hAnsi="Book Antiqua" w:cs="SimSun"/>
          <w:color w:val="000000"/>
        </w:rPr>
        <w:t>: 1058-1062 [PMID: 22513292 DOI: 10.1097/MPA.0b013e318249d8f7]</w:t>
      </w:r>
    </w:p>
    <w:p w14:paraId="632C2CAF"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14 </w:t>
      </w:r>
      <w:r w:rsidRPr="002038BD">
        <w:rPr>
          <w:rFonts w:ascii="Book Antiqua" w:hAnsi="Book Antiqua" w:cs="SimSun"/>
          <w:b/>
          <w:bCs/>
          <w:color w:val="000000"/>
        </w:rPr>
        <w:t>Fröjd C</w:t>
      </w:r>
      <w:r w:rsidRPr="002038BD">
        <w:rPr>
          <w:rFonts w:ascii="Book Antiqua" w:hAnsi="Book Antiqua" w:cs="SimSun"/>
          <w:color w:val="000000"/>
        </w:rPr>
        <w:t>, Larsson G, Lampic C, von Essen L. Health related quality of life and psychosocial function among patients with carcinoid tumours. A longitudinal, prospective, and comparative study. </w:t>
      </w:r>
      <w:r w:rsidRPr="002038BD">
        <w:rPr>
          <w:rFonts w:ascii="Book Antiqua" w:hAnsi="Book Antiqua" w:cs="SimSun"/>
          <w:i/>
          <w:iCs/>
          <w:color w:val="000000"/>
        </w:rPr>
        <w:t>Health Qual Life Outcomes</w:t>
      </w:r>
      <w:r w:rsidRPr="002038BD">
        <w:rPr>
          <w:rFonts w:ascii="Book Antiqua" w:hAnsi="Book Antiqua" w:cs="SimSun"/>
          <w:color w:val="000000"/>
        </w:rPr>
        <w:t> 2007; </w:t>
      </w:r>
      <w:r w:rsidRPr="002038BD">
        <w:rPr>
          <w:rFonts w:ascii="Book Antiqua" w:hAnsi="Book Antiqua" w:cs="SimSun"/>
          <w:b/>
          <w:bCs/>
          <w:color w:val="000000"/>
        </w:rPr>
        <w:t>5</w:t>
      </w:r>
      <w:r w:rsidRPr="002038BD">
        <w:rPr>
          <w:rFonts w:ascii="Book Antiqua" w:hAnsi="Book Antiqua" w:cs="SimSun"/>
          <w:color w:val="000000"/>
        </w:rPr>
        <w:t>: 18 [PMID: 17428340]</w:t>
      </w:r>
    </w:p>
    <w:p w14:paraId="30BB2B70"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15 </w:t>
      </w:r>
      <w:r w:rsidRPr="002038BD">
        <w:rPr>
          <w:rFonts w:ascii="Book Antiqua" w:hAnsi="Book Antiqua" w:cs="SimSun"/>
          <w:b/>
          <w:bCs/>
          <w:color w:val="000000"/>
        </w:rPr>
        <w:t>Haugland T</w:t>
      </w:r>
      <w:r w:rsidRPr="002038BD">
        <w:rPr>
          <w:rFonts w:ascii="Book Antiqua" w:hAnsi="Book Antiqua" w:cs="SimSun"/>
          <w:color w:val="000000"/>
        </w:rPr>
        <w:t>, Vatn MH, Veenstra M, Wahl AK, Natvig GK. Health related quality of life in patients with neuroendocrine tumors compared with the general Norwegian population. </w:t>
      </w:r>
      <w:r w:rsidRPr="002038BD">
        <w:rPr>
          <w:rFonts w:ascii="Book Antiqua" w:hAnsi="Book Antiqua" w:cs="SimSun"/>
          <w:i/>
          <w:iCs/>
          <w:color w:val="000000"/>
        </w:rPr>
        <w:t>Qual Life Res</w:t>
      </w:r>
      <w:r w:rsidRPr="002038BD">
        <w:rPr>
          <w:rFonts w:ascii="Book Antiqua" w:hAnsi="Book Antiqua" w:cs="SimSun"/>
          <w:color w:val="000000"/>
        </w:rPr>
        <w:t> 2009; </w:t>
      </w:r>
      <w:r w:rsidRPr="002038BD">
        <w:rPr>
          <w:rFonts w:ascii="Book Antiqua" w:hAnsi="Book Antiqua" w:cs="SimSun"/>
          <w:b/>
          <w:bCs/>
          <w:color w:val="000000"/>
        </w:rPr>
        <w:t>18</w:t>
      </w:r>
      <w:r w:rsidRPr="002038BD">
        <w:rPr>
          <w:rFonts w:ascii="Book Antiqua" w:hAnsi="Book Antiqua" w:cs="SimSun"/>
          <w:color w:val="000000"/>
        </w:rPr>
        <w:t>: 719-726 [PMID: 19479341 DOI: 10.1007/s1113-009-9487-x]</w:t>
      </w:r>
    </w:p>
    <w:p w14:paraId="177E36D1"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 xml:space="preserve">16 </w:t>
      </w:r>
      <w:r w:rsidRPr="002038BD">
        <w:rPr>
          <w:rFonts w:ascii="Book Antiqua" w:hAnsi="Book Antiqua"/>
          <w:b/>
          <w:bCs/>
          <w:color w:val="000000"/>
        </w:rPr>
        <w:t>Harris AG</w:t>
      </w:r>
      <w:r w:rsidRPr="002038BD">
        <w:rPr>
          <w:rFonts w:ascii="Book Antiqua" w:hAnsi="Book Antiqua"/>
          <w:color w:val="000000"/>
        </w:rPr>
        <w:t>, O'Dorisio TM, Woltering EA, Anthony LB, Burton FR, Geller RB, Grendell JH, Levin B, Redfern JS. Consensus statement: octreotide dose titration in secretory diarrhea. Diarrhea Management Consensus Development Panel.</w:t>
      </w:r>
      <w:r w:rsidRPr="002038BD">
        <w:rPr>
          <w:rStyle w:val="apple-converted-space"/>
          <w:rFonts w:ascii="Book Antiqua" w:hAnsi="Book Antiqua"/>
          <w:color w:val="000000"/>
        </w:rPr>
        <w:t> </w:t>
      </w:r>
      <w:r w:rsidRPr="002038BD">
        <w:rPr>
          <w:rFonts w:ascii="Book Antiqua" w:hAnsi="Book Antiqua"/>
          <w:i/>
          <w:iCs/>
          <w:color w:val="000000"/>
        </w:rPr>
        <w:t>Dig Dis Sci</w:t>
      </w:r>
      <w:r w:rsidRPr="002038BD">
        <w:rPr>
          <w:rStyle w:val="apple-converted-space"/>
          <w:rFonts w:ascii="Book Antiqua" w:hAnsi="Book Antiqua"/>
          <w:color w:val="000000"/>
        </w:rPr>
        <w:t> </w:t>
      </w:r>
      <w:r w:rsidRPr="002038BD">
        <w:rPr>
          <w:rFonts w:ascii="Book Antiqua" w:hAnsi="Book Antiqua"/>
          <w:color w:val="000000"/>
        </w:rPr>
        <w:t>1995;</w:t>
      </w:r>
      <w:r w:rsidRPr="002038BD">
        <w:rPr>
          <w:rStyle w:val="apple-converted-space"/>
          <w:rFonts w:ascii="Book Antiqua" w:hAnsi="Book Antiqua"/>
          <w:color w:val="000000"/>
        </w:rPr>
        <w:t> </w:t>
      </w:r>
      <w:r w:rsidRPr="002038BD">
        <w:rPr>
          <w:rFonts w:ascii="Book Antiqua" w:hAnsi="Book Antiqua"/>
          <w:b/>
          <w:bCs/>
          <w:color w:val="000000"/>
        </w:rPr>
        <w:t>40</w:t>
      </w:r>
      <w:r w:rsidRPr="002038BD">
        <w:rPr>
          <w:rFonts w:ascii="Book Antiqua" w:hAnsi="Book Antiqua"/>
          <w:color w:val="000000"/>
        </w:rPr>
        <w:t>: 1464-1473 [PMID: 7628270]</w:t>
      </w:r>
    </w:p>
    <w:p w14:paraId="60099C35"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lastRenderedPageBreak/>
        <w:t>17 </w:t>
      </w:r>
      <w:r w:rsidRPr="002038BD">
        <w:rPr>
          <w:rFonts w:ascii="Book Antiqua" w:hAnsi="Book Antiqua" w:cs="SimSun"/>
          <w:b/>
          <w:bCs/>
          <w:color w:val="000000"/>
        </w:rPr>
        <w:t>Jensen RT</w:t>
      </w:r>
      <w:r w:rsidRPr="002038BD">
        <w:rPr>
          <w:rFonts w:ascii="Book Antiqua" w:hAnsi="Book Antiqua" w:cs="SimSun"/>
          <w:color w:val="000000"/>
        </w:rPr>
        <w:t>. Overview of chronic diarrhea caused by functional neuroendocrine neoplasms. </w:t>
      </w:r>
      <w:r w:rsidRPr="002038BD">
        <w:rPr>
          <w:rFonts w:ascii="Book Antiqua" w:hAnsi="Book Antiqua" w:cs="SimSun"/>
          <w:i/>
          <w:iCs/>
          <w:color w:val="000000"/>
        </w:rPr>
        <w:t>Semin Gastrointest Dis</w:t>
      </w:r>
      <w:r w:rsidRPr="002038BD">
        <w:rPr>
          <w:rFonts w:ascii="Book Antiqua" w:hAnsi="Book Antiqua" w:cs="SimSun"/>
          <w:color w:val="000000"/>
        </w:rPr>
        <w:t> 1999; </w:t>
      </w:r>
      <w:r w:rsidRPr="002038BD">
        <w:rPr>
          <w:rFonts w:ascii="Book Antiqua" w:hAnsi="Book Antiqua" w:cs="SimSun"/>
          <w:b/>
          <w:bCs/>
          <w:color w:val="000000"/>
        </w:rPr>
        <w:t>10</w:t>
      </w:r>
      <w:r w:rsidRPr="002038BD">
        <w:rPr>
          <w:rFonts w:ascii="Book Antiqua" w:hAnsi="Book Antiqua" w:cs="SimSun"/>
          <w:color w:val="000000"/>
        </w:rPr>
        <w:t>: 156-172 [PMID: 10548409]</w:t>
      </w:r>
    </w:p>
    <w:p w14:paraId="6BBA8481"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18 </w:t>
      </w:r>
      <w:r w:rsidRPr="002038BD">
        <w:rPr>
          <w:rFonts w:ascii="Book Antiqua" w:hAnsi="Book Antiqua" w:cs="SimSun"/>
          <w:b/>
          <w:bCs/>
          <w:color w:val="000000"/>
        </w:rPr>
        <w:t>Berghöfer A</w:t>
      </w:r>
      <w:r w:rsidRPr="002038BD">
        <w:rPr>
          <w:rFonts w:ascii="Book Antiqua" w:hAnsi="Book Antiqua" w:cs="SimSun"/>
          <w:color w:val="000000"/>
        </w:rPr>
        <w:t>, Roll S, Bauer M, Willich SN, Pfennig A. Screening for depression and high utilization of health care resources among patients in primary care. </w:t>
      </w:r>
      <w:r w:rsidRPr="002038BD">
        <w:rPr>
          <w:rFonts w:ascii="Book Antiqua" w:hAnsi="Book Antiqua" w:cs="SimSun"/>
          <w:i/>
          <w:iCs/>
          <w:color w:val="000000"/>
        </w:rPr>
        <w:t>Community Ment Health J</w:t>
      </w:r>
      <w:r w:rsidRPr="002038BD">
        <w:rPr>
          <w:rFonts w:ascii="Book Antiqua" w:hAnsi="Book Antiqua" w:cs="SimSun"/>
          <w:color w:val="000000"/>
        </w:rPr>
        <w:t> 2014; </w:t>
      </w:r>
      <w:r w:rsidRPr="002038BD">
        <w:rPr>
          <w:rFonts w:ascii="Book Antiqua" w:hAnsi="Book Antiqua" w:cs="SimSun"/>
          <w:b/>
          <w:bCs/>
          <w:color w:val="000000"/>
        </w:rPr>
        <w:t>50</w:t>
      </w:r>
      <w:r w:rsidRPr="002038BD">
        <w:rPr>
          <w:rFonts w:ascii="Book Antiqua" w:hAnsi="Book Antiqua" w:cs="SimSun"/>
          <w:color w:val="000000"/>
        </w:rPr>
        <w:t>: 753-758 [PMID: 24449430 DOI: 10.1007/s10597-014-9700-4]</w:t>
      </w:r>
    </w:p>
    <w:p w14:paraId="6D7A2E3D"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19 </w:t>
      </w:r>
      <w:r w:rsidRPr="002038BD">
        <w:rPr>
          <w:rFonts w:ascii="Book Antiqua" w:hAnsi="Book Antiqua" w:cs="SimSun"/>
          <w:b/>
          <w:bCs/>
          <w:color w:val="000000"/>
        </w:rPr>
        <w:t>Crown WH</w:t>
      </w:r>
      <w:r w:rsidRPr="002038BD">
        <w:rPr>
          <w:rFonts w:ascii="Book Antiqua" w:hAnsi="Book Antiqua" w:cs="SimSun"/>
          <w:color w:val="000000"/>
        </w:rPr>
        <w:t>, Finkelstein S, Berndt ER, Ling D, Poret AW, Rush AJ, Russell JM. The impact of treatment-resistant depression on health care utilization and costs. </w:t>
      </w:r>
      <w:r w:rsidRPr="002038BD">
        <w:rPr>
          <w:rFonts w:ascii="Book Antiqua" w:hAnsi="Book Antiqua" w:cs="SimSun"/>
          <w:i/>
          <w:iCs/>
          <w:color w:val="000000"/>
        </w:rPr>
        <w:t>J Clin Psychiatry</w:t>
      </w:r>
      <w:r w:rsidRPr="002038BD">
        <w:rPr>
          <w:rFonts w:ascii="Book Antiqua" w:hAnsi="Book Antiqua" w:cs="SimSun"/>
          <w:color w:val="000000"/>
        </w:rPr>
        <w:t> 2002; </w:t>
      </w:r>
      <w:r w:rsidRPr="002038BD">
        <w:rPr>
          <w:rFonts w:ascii="Book Antiqua" w:hAnsi="Book Antiqua" w:cs="SimSun"/>
          <w:b/>
          <w:bCs/>
          <w:color w:val="000000"/>
        </w:rPr>
        <w:t>63</w:t>
      </w:r>
      <w:r w:rsidRPr="002038BD">
        <w:rPr>
          <w:rFonts w:ascii="Book Antiqua" w:hAnsi="Book Antiqua" w:cs="SimSun"/>
          <w:color w:val="000000"/>
        </w:rPr>
        <w:t>: 963-971 [PMID: 12444808]</w:t>
      </w:r>
    </w:p>
    <w:p w14:paraId="034CD13A"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20 </w:t>
      </w:r>
      <w:r w:rsidRPr="002038BD">
        <w:rPr>
          <w:rFonts w:ascii="Book Antiqua" w:hAnsi="Book Antiqua" w:cs="SimSun"/>
          <w:b/>
          <w:bCs/>
          <w:color w:val="000000"/>
        </w:rPr>
        <w:t>Moraska AR</w:t>
      </w:r>
      <w:r w:rsidRPr="002038BD">
        <w:rPr>
          <w:rFonts w:ascii="Book Antiqua" w:hAnsi="Book Antiqua" w:cs="SimSun"/>
          <w:color w:val="000000"/>
        </w:rPr>
        <w:t>, Chamberlain AM, Shah ND, Vickers KS, Rummans TA, Dunlay SM, Spertus JA, Weston SA, McNallan SM, Redfield MM, Roger VL. Depression, healthcare utilization, and death in heart failure: a community study. </w:t>
      </w:r>
      <w:r w:rsidRPr="002038BD">
        <w:rPr>
          <w:rFonts w:ascii="Book Antiqua" w:hAnsi="Book Antiqua" w:cs="SimSun"/>
          <w:i/>
          <w:iCs/>
          <w:color w:val="000000"/>
        </w:rPr>
        <w:t>Circ Heart Fail</w:t>
      </w:r>
      <w:r w:rsidRPr="002038BD">
        <w:rPr>
          <w:rFonts w:ascii="Book Antiqua" w:hAnsi="Book Antiqua" w:cs="SimSun"/>
          <w:color w:val="000000"/>
        </w:rPr>
        <w:t> 2013; </w:t>
      </w:r>
      <w:r w:rsidRPr="002038BD">
        <w:rPr>
          <w:rFonts w:ascii="Book Antiqua" w:hAnsi="Book Antiqua" w:cs="SimSun"/>
          <w:b/>
          <w:bCs/>
          <w:color w:val="000000"/>
        </w:rPr>
        <w:t>6</w:t>
      </w:r>
      <w:r w:rsidRPr="002038BD">
        <w:rPr>
          <w:rFonts w:ascii="Book Antiqua" w:hAnsi="Book Antiqua" w:cs="SimSun"/>
          <w:color w:val="000000"/>
        </w:rPr>
        <w:t>: 387-394 [PMID: 23512984 DOI: 10.1161/CIRCHEARTFAILURE.112.000118]</w:t>
      </w:r>
    </w:p>
    <w:p w14:paraId="35034350" w14:textId="77777777" w:rsidR="00807E82" w:rsidRPr="002038BD" w:rsidRDefault="00807E82" w:rsidP="0041646E">
      <w:pPr>
        <w:adjustRightInd w:val="0"/>
        <w:snapToGrid w:val="0"/>
        <w:spacing w:after="0" w:line="360" w:lineRule="auto"/>
        <w:jc w:val="both"/>
        <w:rPr>
          <w:rFonts w:ascii="Book Antiqua" w:hAnsi="Book Antiqua"/>
          <w:color w:val="000000"/>
        </w:rPr>
      </w:pPr>
      <w:r w:rsidRPr="002038BD">
        <w:rPr>
          <w:rFonts w:ascii="Book Antiqua" w:hAnsi="Book Antiqua" w:cs="SimSun"/>
          <w:color w:val="000000"/>
        </w:rPr>
        <w:t xml:space="preserve">21 </w:t>
      </w:r>
      <w:r w:rsidRPr="002038BD">
        <w:rPr>
          <w:rFonts w:ascii="Book Antiqua" w:hAnsi="Book Antiqua"/>
          <w:b/>
          <w:bCs/>
          <w:color w:val="000000"/>
        </w:rPr>
        <w:t>Shippee ND</w:t>
      </w:r>
      <w:r w:rsidRPr="002038BD">
        <w:rPr>
          <w:rFonts w:ascii="Book Antiqua" w:hAnsi="Book Antiqua"/>
          <w:color w:val="000000"/>
        </w:rPr>
        <w:t>, Rosen BH, Angstman KB, Fuentes ME, DeJesus RS, Bruce SM, Williams MD. Baseline screening tools as indicators for symptom outcomes and health services utilization in a collaborative care model for depression in primary care: a practice-based observational study.</w:t>
      </w:r>
      <w:r w:rsidRPr="002038BD">
        <w:rPr>
          <w:rStyle w:val="apple-converted-space"/>
          <w:rFonts w:ascii="Book Antiqua" w:hAnsi="Book Antiqua"/>
          <w:color w:val="000000"/>
        </w:rPr>
        <w:t> </w:t>
      </w:r>
      <w:r w:rsidRPr="002038BD">
        <w:rPr>
          <w:rFonts w:ascii="Book Antiqua" w:hAnsi="Book Antiqua"/>
          <w:i/>
          <w:iCs/>
          <w:color w:val="000000"/>
        </w:rPr>
        <w:t>Gen Hosp Psychiatry</w:t>
      </w:r>
      <w:r w:rsidRPr="002038BD">
        <w:rPr>
          <w:rStyle w:val="apple-converted-space"/>
          <w:rFonts w:ascii="Book Antiqua" w:hAnsi="Book Antiqua"/>
          <w:color w:val="000000"/>
        </w:rPr>
        <w:t> 2014</w:t>
      </w:r>
      <w:r w:rsidRPr="002038BD">
        <w:rPr>
          <w:rFonts w:ascii="Book Antiqua" w:hAnsi="Book Antiqua"/>
          <w:color w:val="000000"/>
        </w:rPr>
        <w:t>;</w:t>
      </w:r>
      <w:r w:rsidRPr="002038BD">
        <w:rPr>
          <w:rStyle w:val="apple-converted-space"/>
          <w:rFonts w:ascii="Book Antiqua" w:hAnsi="Book Antiqua"/>
          <w:color w:val="000000"/>
        </w:rPr>
        <w:t> </w:t>
      </w:r>
      <w:r w:rsidRPr="002038BD">
        <w:rPr>
          <w:rFonts w:ascii="Book Antiqua" w:hAnsi="Book Antiqua"/>
          <w:b/>
          <w:bCs/>
          <w:color w:val="000000"/>
        </w:rPr>
        <w:t>36</w:t>
      </w:r>
      <w:r w:rsidRPr="002038BD">
        <w:rPr>
          <w:rFonts w:ascii="Book Antiqua" w:hAnsi="Book Antiqua"/>
          <w:color w:val="000000"/>
        </w:rPr>
        <w:t>: 563-569 [PMID: 25179215 DOI: 10.1016/j.genhossppsych.2014.06.014]</w:t>
      </w:r>
    </w:p>
    <w:p w14:paraId="593A121B"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22 </w:t>
      </w:r>
      <w:r w:rsidRPr="002038BD">
        <w:rPr>
          <w:rFonts w:ascii="Book Antiqua" w:hAnsi="Book Antiqua" w:cs="SimSun"/>
          <w:b/>
          <w:bCs/>
          <w:color w:val="000000"/>
        </w:rPr>
        <w:t>Bunnapradist S</w:t>
      </w:r>
      <w:r w:rsidRPr="002038BD">
        <w:rPr>
          <w:rFonts w:ascii="Book Antiqua" w:hAnsi="Book Antiqua" w:cs="SimSun"/>
          <w:color w:val="000000"/>
        </w:rPr>
        <w:t>, Neri L, Wong W, Lentine KL, Burroughs TE, Pinsky BW, Takemoto SK, Schnitzler MA. Incidence and risk factors for diarrhea following kidney transplantation and association with graft loss and mortality. </w:t>
      </w:r>
      <w:r w:rsidRPr="002038BD">
        <w:rPr>
          <w:rFonts w:ascii="Book Antiqua" w:hAnsi="Book Antiqua" w:cs="SimSun"/>
          <w:i/>
          <w:iCs/>
          <w:color w:val="000000"/>
        </w:rPr>
        <w:t>Am J Kidney Dis</w:t>
      </w:r>
      <w:r w:rsidRPr="002038BD">
        <w:rPr>
          <w:rFonts w:ascii="Book Antiqua" w:hAnsi="Book Antiqua" w:cs="SimSun"/>
          <w:color w:val="000000"/>
        </w:rPr>
        <w:t> 2008; </w:t>
      </w:r>
      <w:r w:rsidRPr="002038BD">
        <w:rPr>
          <w:rFonts w:ascii="Book Antiqua" w:hAnsi="Book Antiqua" w:cs="SimSun"/>
          <w:b/>
          <w:bCs/>
          <w:color w:val="000000"/>
        </w:rPr>
        <w:t>51</w:t>
      </w:r>
      <w:r w:rsidRPr="002038BD">
        <w:rPr>
          <w:rFonts w:ascii="Book Antiqua" w:hAnsi="Book Antiqua" w:cs="SimSun"/>
          <w:color w:val="000000"/>
        </w:rPr>
        <w:t>: 478-486 [PMID: 18295064 DOI: 10.1053/j.ajkd.2007.11.0.13]</w:t>
      </w:r>
    </w:p>
    <w:p w14:paraId="23D56F93"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23 </w:t>
      </w:r>
      <w:r w:rsidRPr="002038BD">
        <w:rPr>
          <w:rFonts w:ascii="Book Antiqua" w:hAnsi="Book Antiqua" w:cs="SimSun"/>
          <w:b/>
          <w:bCs/>
          <w:color w:val="000000"/>
        </w:rPr>
        <w:t>Cortes JE</w:t>
      </w:r>
      <w:r w:rsidRPr="002038BD">
        <w:rPr>
          <w:rFonts w:ascii="Book Antiqua" w:hAnsi="Book Antiqua" w:cs="SimSun"/>
          <w:color w:val="000000"/>
        </w:rPr>
        <w:t>, Curns AT, Tate JE, Parashar UD. Trends in healthcare utilization for diarrhea and rotavirus disease in privately insured US children &amp; lt; 5 years of age, 2001-2006. </w:t>
      </w:r>
      <w:r w:rsidRPr="002038BD">
        <w:rPr>
          <w:rFonts w:ascii="Book Antiqua" w:hAnsi="Book Antiqua" w:cs="SimSun"/>
          <w:i/>
          <w:iCs/>
          <w:color w:val="000000"/>
        </w:rPr>
        <w:t>Pediatr Infect Dis J</w:t>
      </w:r>
      <w:r w:rsidRPr="002038BD">
        <w:rPr>
          <w:rFonts w:ascii="Book Antiqua" w:hAnsi="Book Antiqua" w:cs="SimSun"/>
          <w:color w:val="000000"/>
        </w:rPr>
        <w:t> 2009; </w:t>
      </w:r>
      <w:r w:rsidRPr="002038BD">
        <w:rPr>
          <w:rFonts w:ascii="Book Antiqua" w:hAnsi="Book Antiqua" w:cs="SimSun"/>
          <w:b/>
          <w:bCs/>
          <w:color w:val="000000"/>
        </w:rPr>
        <w:t>28</w:t>
      </w:r>
      <w:r w:rsidRPr="002038BD">
        <w:rPr>
          <w:rFonts w:ascii="Book Antiqua" w:hAnsi="Book Antiqua" w:cs="SimSun"/>
          <w:color w:val="000000"/>
        </w:rPr>
        <w:t>: 874-878 [PMID: 19590460 DOI: 10.1097/INF.0b013e3181a653cd]</w:t>
      </w:r>
    </w:p>
    <w:p w14:paraId="4E26251B"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lastRenderedPageBreak/>
        <w:t>24 </w:t>
      </w:r>
      <w:r w:rsidRPr="002038BD">
        <w:rPr>
          <w:rFonts w:ascii="Book Antiqua" w:hAnsi="Book Antiqua" w:cs="SimSun"/>
          <w:b/>
          <w:bCs/>
          <w:color w:val="000000"/>
        </w:rPr>
        <w:t>Zimmerman CM</w:t>
      </w:r>
      <w:r w:rsidRPr="002038BD">
        <w:rPr>
          <w:rFonts w:ascii="Book Antiqua" w:hAnsi="Book Antiqua" w:cs="SimSun"/>
          <w:color w:val="000000"/>
        </w:rPr>
        <w:t>, Bresee JS, Parashar UD, Riggs TL, Holman RC, Glass RI. Cost of diarrhea-associated hospitalizations and outpatient visits in an insured population of young children in the United States. </w:t>
      </w:r>
      <w:r w:rsidRPr="002038BD">
        <w:rPr>
          <w:rFonts w:ascii="Book Antiqua" w:hAnsi="Book Antiqua" w:cs="SimSun"/>
          <w:i/>
          <w:iCs/>
          <w:color w:val="000000"/>
        </w:rPr>
        <w:t>Pediatr Infect Dis J</w:t>
      </w:r>
      <w:r w:rsidRPr="002038BD">
        <w:rPr>
          <w:rFonts w:ascii="Book Antiqua" w:hAnsi="Book Antiqua" w:cs="SimSun"/>
          <w:color w:val="000000"/>
        </w:rPr>
        <w:t> 2001; </w:t>
      </w:r>
      <w:r w:rsidRPr="002038BD">
        <w:rPr>
          <w:rFonts w:ascii="Book Antiqua" w:hAnsi="Book Antiqua" w:cs="SimSun"/>
          <w:b/>
          <w:bCs/>
          <w:color w:val="000000"/>
        </w:rPr>
        <w:t>20</w:t>
      </w:r>
      <w:r w:rsidRPr="002038BD">
        <w:rPr>
          <w:rFonts w:ascii="Book Antiqua" w:hAnsi="Book Antiqua" w:cs="SimSun"/>
          <w:color w:val="000000"/>
        </w:rPr>
        <w:t>: 14-19 [PMID: 11176561]</w:t>
      </w:r>
    </w:p>
    <w:p w14:paraId="286A5A52" w14:textId="77777777" w:rsidR="00807E82" w:rsidRPr="002038BD" w:rsidRDefault="00807E82" w:rsidP="0041646E">
      <w:pPr>
        <w:adjustRightInd w:val="0"/>
        <w:snapToGrid w:val="0"/>
        <w:spacing w:after="0" w:line="360" w:lineRule="auto"/>
        <w:jc w:val="both"/>
        <w:rPr>
          <w:rFonts w:ascii="Book Antiqua" w:hAnsi="Book Antiqua" w:cs="SimSun"/>
          <w:color w:val="000000"/>
        </w:rPr>
      </w:pPr>
      <w:r w:rsidRPr="002038BD">
        <w:rPr>
          <w:rFonts w:ascii="Book Antiqua" w:hAnsi="Book Antiqua" w:cs="SimSun"/>
          <w:color w:val="000000"/>
        </w:rPr>
        <w:t xml:space="preserve">25 </w:t>
      </w:r>
      <w:r w:rsidRPr="002038BD">
        <w:rPr>
          <w:rFonts w:ascii="Book Antiqua" w:hAnsi="Book Antiqua" w:cs="SimSun"/>
          <w:b/>
          <w:color w:val="000000"/>
        </w:rPr>
        <w:t>National Comprehensive Cancer Network.</w:t>
      </w:r>
      <w:r w:rsidRPr="002038BD">
        <w:rPr>
          <w:rFonts w:ascii="Book Antiqua" w:hAnsi="Book Antiqua" w:cs="SimSun"/>
          <w:color w:val="000000"/>
        </w:rPr>
        <w:t xml:space="preserve"> NCCN Clinical Practice Guidelines in Oncology (NCCN Guidelines</w:t>
      </w:r>
      <w:r w:rsidRPr="002038BD">
        <w:rPr>
          <w:rFonts w:ascii="Book Antiqua" w:hAnsi="Book Antiqua" w:cs="SimSun"/>
          <w:color w:val="000000"/>
          <w:vertAlign w:val="superscript"/>
        </w:rPr>
        <w:t>®</w:t>
      </w:r>
      <w:r w:rsidRPr="002038BD">
        <w:rPr>
          <w:rFonts w:ascii="Book Antiqua" w:hAnsi="Book Antiqua" w:cs="SimSun"/>
          <w:color w:val="000000"/>
        </w:rPr>
        <w:t>): Neuroendocrine Tumors. Version 1.2015. Available from: URL: www.nccn.org</w:t>
      </w:r>
    </w:p>
    <w:p w14:paraId="129F67DB" w14:textId="77777777" w:rsidR="00807E82" w:rsidRPr="002038BD" w:rsidRDefault="00807E82" w:rsidP="0041646E">
      <w:pPr>
        <w:adjustRightInd w:val="0"/>
        <w:snapToGrid w:val="0"/>
        <w:spacing w:after="0" w:line="360" w:lineRule="auto"/>
        <w:jc w:val="both"/>
        <w:rPr>
          <w:rFonts w:ascii="Book Antiqua" w:hAnsi="Book Antiqua"/>
          <w:lang w:eastAsia="zh-CN"/>
        </w:rPr>
      </w:pPr>
    </w:p>
    <w:p w14:paraId="648B0F4D" w14:textId="4671D2FF" w:rsidR="00807E82" w:rsidRDefault="00807E82" w:rsidP="0041646E">
      <w:pPr>
        <w:adjustRightInd w:val="0"/>
        <w:snapToGrid w:val="0"/>
        <w:spacing w:after="0" w:line="360" w:lineRule="auto"/>
        <w:jc w:val="right"/>
        <w:rPr>
          <w:rFonts w:ascii="Book Antiqua" w:hAnsi="Book Antiqua"/>
          <w:b/>
          <w:bCs/>
        </w:rPr>
      </w:pPr>
      <w:r w:rsidRPr="005F7DC3">
        <w:rPr>
          <w:rFonts w:ascii="Book Antiqua" w:hAnsi="Book Antiqua"/>
          <w:b/>
          <w:bCs/>
        </w:rPr>
        <w:t xml:space="preserve">P-Reviewer: </w:t>
      </w:r>
      <w:r w:rsidRPr="00807E82">
        <w:rPr>
          <w:rFonts w:ascii="Book Antiqua" w:hAnsi="Book Antiqua"/>
          <w:bCs/>
        </w:rPr>
        <w:t>Helfer</w:t>
      </w:r>
      <w:r w:rsidRPr="00807E82">
        <w:rPr>
          <w:rFonts w:ascii="Book Antiqua" w:hAnsi="Book Antiqua" w:hint="eastAsia"/>
          <w:bCs/>
          <w:lang w:eastAsia="zh-CN"/>
        </w:rPr>
        <w:t xml:space="preserve"> </w:t>
      </w:r>
      <w:r w:rsidRPr="00807E82">
        <w:rPr>
          <w:rFonts w:ascii="Book Antiqua" w:hAnsi="Book Antiqua"/>
          <w:bCs/>
        </w:rPr>
        <w:t>B</w:t>
      </w:r>
      <w:r w:rsidRPr="00807E82">
        <w:rPr>
          <w:rFonts w:ascii="Book Antiqua" w:hAnsi="Book Antiqua" w:hint="eastAsia"/>
          <w:bCs/>
          <w:lang w:eastAsia="zh-CN"/>
        </w:rPr>
        <w:t xml:space="preserve">, </w:t>
      </w:r>
      <w:r w:rsidRPr="00807E82">
        <w:rPr>
          <w:rFonts w:ascii="Book Antiqua" w:hAnsi="Book Antiqua"/>
          <w:bCs/>
          <w:lang w:eastAsia="zh-CN"/>
        </w:rPr>
        <w:t>Teramoto-Matsubara</w:t>
      </w:r>
      <w:r w:rsidRPr="00807E82">
        <w:rPr>
          <w:rFonts w:ascii="Book Antiqua" w:hAnsi="Book Antiqua" w:hint="eastAsia"/>
          <w:bCs/>
          <w:lang w:eastAsia="zh-CN"/>
        </w:rPr>
        <w:t xml:space="preserve"> OT</w:t>
      </w:r>
      <w:r w:rsidRPr="00807E82">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72E54CA0" w14:textId="51FAFC83" w:rsidR="00F40EFF" w:rsidRPr="00977582" w:rsidRDefault="008E0158" w:rsidP="0041646E">
      <w:pPr>
        <w:pStyle w:val="ListParagraph"/>
        <w:adjustRightInd w:val="0"/>
        <w:snapToGrid w:val="0"/>
        <w:spacing w:afterLines="200" w:after="480" w:line="360" w:lineRule="auto"/>
        <w:ind w:left="0"/>
        <w:contextualSpacing w:val="0"/>
        <w:jc w:val="both"/>
        <w:rPr>
          <w:rFonts w:ascii="Book Antiqua" w:hAnsi="Book Antiqua" w:cs="Times New Roman"/>
          <w:color w:val="000000" w:themeColor="text1"/>
        </w:rPr>
      </w:pPr>
      <w:r w:rsidRPr="00977582">
        <w:rPr>
          <w:rFonts w:ascii="Book Antiqua" w:hAnsi="Book Antiqua" w:cs="Times New Roman"/>
          <w:color w:val="000000" w:themeColor="text1"/>
        </w:rPr>
        <w:br w:type="page"/>
      </w:r>
    </w:p>
    <w:p w14:paraId="72E54CA1" w14:textId="77777777" w:rsidR="00F40EFF" w:rsidRPr="00977582" w:rsidRDefault="00F40EFF" w:rsidP="0041646E">
      <w:pPr>
        <w:adjustRightInd w:val="0"/>
        <w:snapToGrid w:val="0"/>
        <w:spacing w:after="0" w:line="360" w:lineRule="auto"/>
        <w:jc w:val="both"/>
        <w:rPr>
          <w:rFonts w:ascii="Book Antiqua" w:hAnsi="Book Antiqua" w:cs="Times New Roman"/>
          <w:b/>
          <w:color w:val="000000" w:themeColor="text1"/>
        </w:rPr>
      </w:pPr>
    </w:p>
    <w:p w14:paraId="72E54CA2" w14:textId="77777777" w:rsidR="00F40EFF" w:rsidRPr="00977582" w:rsidRDefault="0036346B" w:rsidP="0041646E">
      <w:pPr>
        <w:adjustRightInd w:val="0"/>
        <w:snapToGrid w:val="0"/>
        <w:spacing w:after="0" w:line="360" w:lineRule="auto"/>
        <w:jc w:val="both"/>
        <w:rPr>
          <w:rFonts w:ascii="Times New Roman" w:hAnsi="Times New Roman" w:cs="Times New Roman"/>
          <w:color w:val="000000" w:themeColor="text1"/>
          <w:sz w:val="16"/>
          <w:szCs w:val="16"/>
        </w:rPr>
      </w:pPr>
      <w:r w:rsidRPr="00977582">
        <w:rPr>
          <w:noProof/>
          <w:color w:val="000000" w:themeColor="text1"/>
          <w:lang w:eastAsia="zh-CN"/>
        </w:rPr>
        <mc:AlternateContent>
          <mc:Choice Requires="wpc">
            <w:drawing>
              <wp:inline distT="0" distB="0" distL="0" distR="0" wp14:anchorId="72E54E1D" wp14:editId="72E54E1E">
                <wp:extent cx="4935855" cy="5130800"/>
                <wp:effectExtent l="0" t="0" r="0" b="3810"/>
                <wp:docPr id="1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383104" y="171100"/>
                            <a:ext cx="1858021" cy="735300"/>
                          </a:xfrm>
                          <a:prstGeom prst="rect">
                            <a:avLst/>
                          </a:prstGeom>
                          <a:solidFill>
                            <a:srgbClr val="FFFFFF"/>
                          </a:solidFill>
                          <a:ln w="25400">
                            <a:solidFill>
                              <a:schemeClr val="bg1">
                                <a:lumMod val="65000"/>
                                <a:lumOff val="0"/>
                              </a:schemeClr>
                            </a:solidFill>
                            <a:miter lim="800000"/>
                            <a:headEnd/>
                            <a:tailEnd/>
                          </a:ln>
                        </wps:spPr>
                        <wps:txbx>
                          <w:txbxContent>
                            <w:p w14:paraId="72E54E38" w14:textId="7FB8FE28" w:rsidR="00EE0A75" w:rsidRDefault="00EE0A75" w:rsidP="00F40EFF">
                              <w:pPr>
                                <w:pStyle w:val="NormalWeb"/>
                                <w:spacing w:before="0" w:beforeAutospacing="0" w:after="0" w:afterAutospacing="0" w:line="276" w:lineRule="auto"/>
                                <w:jc w:val="center"/>
                                <w:rPr>
                                  <w:rFonts w:asciiTheme="minorHAnsi" w:eastAsia="MS PGothic" w:hAnsiTheme="minorHAnsi" w:cstheme="minorHAnsi"/>
                                  <w:sz w:val="18"/>
                                  <w:szCs w:val="18"/>
                                </w:rPr>
                              </w:pPr>
                              <w:r>
                                <w:rPr>
                                  <w:rFonts w:asciiTheme="minorHAnsi" w:eastAsia="MS PGothic" w:hAnsiTheme="minorHAnsi" w:cstheme="minorHAnsi"/>
                                  <w:sz w:val="18"/>
                                  <w:szCs w:val="18"/>
                                </w:rPr>
                                <w:t>12</w:t>
                              </w:r>
                              <w:r w:rsidRPr="00582759">
                                <w:rPr>
                                  <w:rFonts w:asciiTheme="minorHAnsi" w:eastAsia="MS PGothic" w:hAnsiTheme="minorHAnsi" w:cstheme="minorHAnsi"/>
                                  <w:sz w:val="18"/>
                                  <w:szCs w:val="18"/>
                                </w:rPr>
                                <w:t>279 Patients with at least one</w:t>
                              </w:r>
                              <w:r w:rsidRPr="005B1623">
                                <w:rPr>
                                  <w:rFonts w:asciiTheme="minorHAnsi" w:eastAsia="MS PGothic" w:hAnsiTheme="minorHAnsi" w:cstheme="minorHAnsi"/>
                                  <w:i/>
                                  <w:sz w:val="18"/>
                                  <w:szCs w:val="18"/>
                                </w:rPr>
                                <w:t xml:space="preserve">  </w:t>
                              </w:r>
                              <w:r>
                                <w:rPr>
                                  <w:rFonts w:asciiTheme="minorHAnsi" w:eastAsia="MS PGothic" w:hAnsiTheme="minorHAnsi" w:cstheme="minorHAnsi"/>
                                  <w:sz w:val="18"/>
                                  <w:szCs w:val="18"/>
                                </w:rPr>
                                <w:t>medical claim with diagnosis for</w:t>
                              </w:r>
                              <w:r w:rsidRPr="00582759">
                                <w:rPr>
                                  <w:rFonts w:asciiTheme="minorHAnsi" w:eastAsia="MS PGothic" w:hAnsiTheme="minorHAnsi" w:cstheme="minorHAnsi"/>
                                  <w:sz w:val="18"/>
                                  <w:szCs w:val="18"/>
                                </w:rPr>
                                <w:t xml:space="preserve"> carcinoid</w:t>
                              </w:r>
                              <w:r>
                                <w:rPr>
                                  <w:rFonts w:asciiTheme="minorHAnsi" w:eastAsia="MS PGothic" w:hAnsiTheme="minorHAnsi" w:cstheme="minorHAnsi"/>
                                  <w:sz w:val="22"/>
                                  <w:szCs w:val="22"/>
                                </w:rPr>
                                <w:t xml:space="preserve"> </w:t>
                              </w:r>
                              <w:r w:rsidRPr="00582759">
                                <w:rPr>
                                  <w:rFonts w:asciiTheme="minorHAnsi" w:eastAsia="MS PGothic" w:hAnsiTheme="minorHAnsi" w:cstheme="minorHAnsi"/>
                                  <w:sz w:val="18"/>
                                  <w:szCs w:val="18"/>
                                </w:rPr>
                                <w:t xml:space="preserve">syndrome in </w:t>
                              </w:r>
                            </w:p>
                            <w:p w14:paraId="72E54E39" w14:textId="77777777" w:rsidR="00EE0A75" w:rsidRPr="00681AC8" w:rsidRDefault="00EE0A75" w:rsidP="00F40EFF">
                              <w:pPr>
                                <w:pStyle w:val="NormalWeb"/>
                                <w:spacing w:before="0" w:beforeAutospacing="0" w:after="0" w:afterAutospacing="0" w:line="276" w:lineRule="auto"/>
                                <w:jc w:val="center"/>
                                <w:rPr>
                                  <w:rFonts w:asciiTheme="minorHAnsi" w:hAnsiTheme="minorHAnsi" w:cstheme="minorHAnsi"/>
                                </w:rPr>
                              </w:pPr>
                              <w:r>
                                <w:rPr>
                                  <w:rFonts w:asciiTheme="minorHAnsi" w:eastAsia="MS PGothic" w:hAnsiTheme="minorHAnsi" w:cstheme="minorHAnsi"/>
                                  <w:sz w:val="18"/>
                                  <w:szCs w:val="18"/>
                                </w:rPr>
                                <w:t>2003-2011</w:t>
                              </w:r>
                            </w:p>
                          </w:txbxContent>
                        </wps:txbx>
                        <wps:bodyPr rot="0" vert="horz" wrap="square" lIns="91440" tIns="45720" rIns="91440" bIns="45720" anchor="t" anchorCtr="0" upright="1">
                          <a:noAutofit/>
                        </wps:bodyPr>
                      </wps:wsp>
                      <wps:wsp>
                        <wps:cNvPr id="2" name="Straight Arrow Connector 46"/>
                        <wps:cNvCnPr>
                          <a:cxnSpLocks noChangeShapeType="1"/>
                        </wps:cNvCnPr>
                        <wps:spPr bwMode="auto">
                          <a:xfrm flipH="1">
                            <a:off x="1307715" y="906400"/>
                            <a:ext cx="4400" cy="896200"/>
                          </a:xfrm>
                          <a:prstGeom prst="straightConnector1">
                            <a:avLst/>
                          </a:prstGeom>
                          <a:noFill/>
                          <a:ln w="1905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 name="Text Box 28"/>
                        <wps:cNvSpPr txBox="1">
                          <a:spLocks noChangeArrowheads="1"/>
                        </wps:cNvSpPr>
                        <wps:spPr bwMode="auto">
                          <a:xfrm>
                            <a:off x="508806" y="1802600"/>
                            <a:ext cx="1597918" cy="240800"/>
                          </a:xfrm>
                          <a:prstGeom prst="rect">
                            <a:avLst/>
                          </a:prstGeom>
                          <a:solidFill>
                            <a:srgbClr val="FFFFFF"/>
                          </a:solidFill>
                          <a:ln w="25400">
                            <a:solidFill>
                              <a:schemeClr val="bg1">
                                <a:lumMod val="65000"/>
                                <a:lumOff val="0"/>
                              </a:schemeClr>
                            </a:solidFill>
                            <a:miter lim="800000"/>
                            <a:headEnd/>
                            <a:tailEnd/>
                          </a:ln>
                        </wps:spPr>
                        <wps:txbx>
                          <w:txbxContent>
                            <w:p w14:paraId="72E54E3A" w14:textId="1FBC9B27" w:rsidR="00EE0A75" w:rsidRPr="00FC31E7" w:rsidRDefault="00EE0A75" w:rsidP="00F40EFF">
                              <w:pPr>
                                <w:pStyle w:val="NormalWeb"/>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18"/>
                                  <w:szCs w:val="18"/>
                                </w:rPr>
                                <w:t>7</w:t>
                              </w:r>
                              <w:r w:rsidRPr="00582759">
                                <w:rPr>
                                  <w:rFonts w:asciiTheme="minorHAnsi" w:hAnsiTheme="minorHAnsi" w:cstheme="minorHAnsi"/>
                                  <w:sz w:val="18"/>
                                  <w:szCs w:val="18"/>
                                </w:rPr>
                                <w:t>253 Eligible for</w:t>
                              </w:r>
                              <w:r>
                                <w:rPr>
                                  <w:rFonts w:asciiTheme="minorHAnsi" w:hAnsiTheme="minorHAnsi" w:cstheme="minorHAnsi"/>
                                  <w:sz w:val="22"/>
                                  <w:szCs w:val="22"/>
                                </w:rPr>
                                <w:t xml:space="preserve"> </w:t>
                              </w:r>
                              <w:r w:rsidRPr="00582759">
                                <w:rPr>
                                  <w:rFonts w:asciiTheme="minorHAnsi" w:hAnsiTheme="minorHAnsi" w:cstheme="minorHAnsi"/>
                                  <w:sz w:val="18"/>
                                  <w:szCs w:val="18"/>
                                </w:rPr>
                                <w:t>inclusion</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667030" y="1032500"/>
                            <a:ext cx="1810320" cy="770200"/>
                          </a:xfrm>
                          <a:prstGeom prst="rect">
                            <a:avLst/>
                          </a:prstGeom>
                          <a:solidFill>
                            <a:srgbClr val="FFFFFF"/>
                          </a:solidFill>
                          <a:ln w="25400">
                            <a:solidFill>
                              <a:schemeClr val="bg1">
                                <a:lumMod val="65000"/>
                                <a:lumOff val="0"/>
                              </a:schemeClr>
                            </a:solidFill>
                            <a:miter lim="800000"/>
                            <a:headEnd/>
                            <a:tailEnd/>
                          </a:ln>
                        </wps:spPr>
                        <wps:txbx>
                          <w:txbxContent>
                            <w:p w14:paraId="72E54E3B" w14:textId="039514C0" w:rsidR="00EE0A75" w:rsidRPr="00582759" w:rsidRDefault="00EE0A75" w:rsidP="00F40EFF">
                              <w:pPr>
                                <w:pStyle w:val="NormalWeb"/>
                                <w:spacing w:before="0" w:beforeAutospacing="0" w:after="0" w:afterAutospacing="0" w:line="276" w:lineRule="auto"/>
                                <w:jc w:val="center"/>
                                <w:rPr>
                                  <w:rFonts w:asciiTheme="minorHAnsi" w:hAnsiTheme="minorHAnsi" w:cstheme="minorHAnsi"/>
                                  <w:sz w:val="18"/>
                                  <w:szCs w:val="18"/>
                                </w:rPr>
                              </w:pPr>
                              <w:r>
                                <w:rPr>
                                  <w:rFonts w:asciiTheme="minorHAnsi" w:eastAsia="Arial" w:hAnsiTheme="minorHAnsi" w:cstheme="minorHAnsi"/>
                                  <w:color w:val="474746"/>
                                  <w:sz w:val="18"/>
                                  <w:szCs w:val="18"/>
                                </w:rPr>
                                <w:t>5</w:t>
                              </w:r>
                              <w:r w:rsidRPr="00582759">
                                <w:rPr>
                                  <w:rFonts w:asciiTheme="minorHAnsi" w:eastAsia="Arial" w:hAnsiTheme="minorHAnsi" w:cstheme="minorHAnsi"/>
                                  <w:color w:val="474746"/>
                                  <w:sz w:val="18"/>
                                  <w:szCs w:val="18"/>
                                </w:rPr>
                                <w:t>026</w:t>
                              </w:r>
                              <w:r w:rsidRPr="005B1623">
                                <w:rPr>
                                  <w:rFonts w:asciiTheme="minorHAnsi" w:eastAsia="Arial" w:hAnsiTheme="minorHAnsi" w:cstheme="minorHAnsi"/>
                                  <w:i/>
                                  <w:color w:val="474746"/>
                                  <w:sz w:val="18"/>
                                  <w:szCs w:val="18"/>
                                </w:rPr>
                                <w:t xml:space="preserve"> </w:t>
                              </w:r>
                              <w:r>
                                <w:rPr>
                                  <w:rFonts w:asciiTheme="minorHAnsi" w:eastAsia="Arial" w:hAnsiTheme="minorHAnsi" w:cstheme="minorHAnsi"/>
                                  <w:color w:val="474746"/>
                                  <w:sz w:val="18"/>
                                  <w:szCs w:val="18"/>
                                </w:rPr>
                                <w:t xml:space="preserve">Patients </w:t>
                              </w:r>
                              <w:r w:rsidRPr="00582759">
                                <w:rPr>
                                  <w:rFonts w:asciiTheme="minorHAnsi" w:eastAsia="Arial" w:hAnsiTheme="minorHAnsi" w:cstheme="minorHAnsi"/>
                                  <w:color w:val="474746"/>
                                  <w:sz w:val="18"/>
                                  <w:szCs w:val="18"/>
                                </w:rPr>
                                <w:t xml:space="preserve">had no additional </w:t>
                              </w:r>
                              <w:r>
                                <w:rPr>
                                  <w:rFonts w:asciiTheme="minorHAnsi" w:eastAsia="Arial" w:hAnsiTheme="minorHAnsi" w:cstheme="minorHAnsi"/>
                                  <w:color w:val="474746"/>
                                  <w:sz w:val="18"/>
                                  <w:szCs w:val="18"/>
                                </w:rPr>
                                <w:t xml:space="preserve">medical </w:t>
                              </w:r>
                              <w:r w:rsidRPr="00582759">
                                <w:rPr>
                                  <w:rFonts w:asciiTheme="minorHAnsi" w:eastAsia="Arial" w:hAnsiTheme="minorHAnsi" w:cstheme="minorHAnsi"/>
                                  <w:color w:val="474746"/>
                                  <w:sz w:val="18"/>
                                  <w:szCs w:val="18"/>
                                </w:rPr>
                                <w:t xml:space="preserve">claim with </w:t>
                              </w:r>
                              <w:r>
                                <w:rPr>
                                  <w:rFonts w:asciiTheme="minorHAnsi" w:eastAsia="Arial" w:hAnsiTheme="minorHAnsi" w:cstheme="minorHAnsi"/>
                                  <w:color w:val="474746"/>
                                  <w:sz w:val="18"/>
                                  <w:szCs w:val="18"/>
                                </w:rPr>
                                <w:t>diagnosis for carcinoid syndrome</w:t>
                              </w:r>
                              <w:r w:rsidRPr="00582759">
                                <w:rPr>
                                  <w:rFonts w:asciiTheme="minorHAnsi" w:eastAsia="Arial" w:hAnsiTheme="minorHAnsi" w:cstheme="minorHAnsi"/>
                                  <w:color w:val="474746"/>
                                  <w:sz w:val="18"/>
                                  <w:szCs w:val="18"/>
                                </w:rPr>
                                <w:t xml:space="preserve"> or carcinoid tumor </w:t>
                              </w:r>
                            </w:p>
                          </w:txbxContent>
                        </wps:txbx>
                        <wps:bodyPr rot="0" vert="horz" wrap="square" lIns="91440" tIns="45720" rIns="91440" bIns="45720" anchor="t" anchorCtr="0" upright="1">
                          <a:noAutofit/>
                        </wps:bodyPr>
                      </wps:wsp>
                      <wps:wsp>
                        <wps:cNvPr id="5" name="Straight Arrow Connector 52"/>
                        <wps:cNvCnPr>
                          <a:cxnSpLocks noChangeShapeType="1"/>
                        </wps:cNvCnPr>
                        <wps:spPr bwMode="auto">
                          <a:xfrm flipH="1">
                            <a:off x="1307615" y="2043400"/>
                            <a:ext cx="200" cy="952700"/>
                          </a:xfrm>
                          <a:prstGeom prst="straightConnector1">
                            <a:avLst/>
                          </a:prstGeom>
                          <a:noFill/>
                          <a:ln w="1905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508706" y="2996100"/>
                            <a:ext cx="1597818" cy="240000"/>
                          </a:xfrm>
                          <a:prstGeom prst="rect">
                            <a:avLst/>
                          </a:prstGeom>
                          <a:solidFill>
                            <a:srgbClr val="FFFFFF"/>
                          </a:solidFill>
                          <a:ln w="25400">
                            <a:solidFill>
                              <a:schemeClr val="bg1">
                                <a:lumMod val="65000"/>
                                <a:lumOff val="0"/>
                              </a:schemeClr>
                            </a:solidFill>
                            <a:miter lim="800000"/>
                            <a:headEnd/>
                            <a:tailEnd/>
                          </a:ln>
                        </wps:spPr>
                        <wps:txbx>
                          <w:txbxContent>
                            <w:p w14:paraId="72E54E3C" w14:textId="6D2C68E5" w:rsidR="00EE0A75" w:rsidRPr="003F4057" w:rsidRDefault="00EE0A75" w:rsidP="00F40EFF">
                              <w:pPr>
                                <w:pStyle w:val="NormalWeb"/>
                                <w:spacing w:before="0" w:beforeAutospacing="0" w:after="0" w:afterAutospacing="0" w:line="276" w:lineRule="auto"/>
                                <w:jc w:val="center"/>
                                <w:rPr>
                                  <w:sz w:val="18"/>
                                  <w:szCs w:val="18"/>
                                </w:rPr>
                              </w:pPr>
                              <w:r w:rsidRPr="003F4057">
                                <w:rPr>
                                  <w:rFonts w:eastAsia="MS PGothic"/>
                                  <w:sz w:val="18"/>
                                  <w:szCs w:val="18"/>
                                </w:rPr>
                                <w:t> </w:t>
                              </w:r>
                              <w:r>
                                <w:rPr>
                                  <w:rFonts w:asciiTheme="minorHAnsi" w:hAnsiTheme="minorHAnsi" w:cstheme="minorHAnsi"/>
                                  <w:sz w:val="18"/>
                                  <w:szCs w:val="18"/>
                                </w:rPr>
                                <w:t>6</w:t>
                              </w:r>
                              <w:r w:rsidRPr="003F4057">
                                <w:rPr>
                                  <w:rFonts w:asciiTheme="minorHAnsi" w:hAnsiTheme="minorHAnsi" w:cstheme="minorHAnsi"/>
                                  <w:sz w:val="18"/>
                                  <w:szCs w:val="18"/>
                                </w:rPr>
                                <w:t>991 Eligible for inclusion</w:t>
                              </w:r>
                            </w:p>
                            <w:p w14:paraId="72E54E3D" w14:textId="77777777" w:rsidR="00EE0A75" w:rsidRDefault="00EE0A75" w:rsidP="00F40EFF">
                              <w:pPr>
                                <w:pStyle w:val="NormalWeb"/>
                                <w:spacing w:before="0" w:beforeAutospacing="0" w:after="0" w:afterAutospacing="0" w:line="360" w:lineRule="auto"/>
                                <w:jc w:val="center"/>
                              </w:pP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2667430" y="2364400"/>
                            <a:ext cx="1809820" cy="581100"/>
                          </a:xfrm>
                          <a:prstGeom prst="rect">
                            <a:avLst/>
                          </a:prstGeom>
                          <a:solidFill>
                            <a:srgbClr val="FFFFFF"/>
                          </a:solidFill>
                          <a:ln w="25400">
                            <a:solidFill>
                              <a:schemeClr val="bg1">
                                <a:lumMod val="65000"/>
                                <a:lumOff val="0"/>
                              </a:schemeClr>
                            </a:solidFill>
                            <a:miter lim="800000"/>
                            <a:headEnd/>
                            <a:tailEnd/>
                          </a:ln>
                        </wps:spPr>
                        <wps:txbx>
                          <w:txbxContent>
                            <w:p w14:paraId="72E54E3E" w14:textId="77777777" w:rsidR="00EE0A75" w:rsidRPr="003F4057" w:rsidRDefault="00EE0A75" w:rsidP="00F40EFF">
                              <w:pPr>
                                <w:pStyle w:val="NormalWeb"/>
                                <w:spacing w:before="0" w:beforeAutospacing="0" w:after="0" w:afterAutospacing="0" w:line="276" w:lineRule="auto"/>
                                <w:jc w:val="center"/>
                                <w:rPr>
                                  <w:rFonts w:asciiTheme="minorHAnsi" w:hAnsiTheme="minorHAnsi" w:cstheme="minorHAnsi"/>
                                  <w:sz w:val="18"/>
                                  <w:szCs w:val="18"/>
                                </w:rPr>
                              </w:pPr>
                              <w:r w:rsidRPr="003F4057">
                                <w:rPr>
                                  <w:rFonts w:asciiTheme="minorHAnsi" w:hAnsiTheme="minorHAnsi" w:cstheme="minorHAnsi"/>
                                  <w:sz w:val="18"/>
                                  <w:szCs w:val="18"/>
                                </w:rPr>
                                <w:t xml:space="preserve">262 </w:t>
                              </w:r>
                              <w:r>
                                <w:rPr>
                                  <w:rFonts w:asciiTheme="minorHAnsi" w:hAnsiTheme="minorHAnsi" w:cstheme="minorHAnsi"/>
                                  <w:sz w:val="18"/>
                                  <w:szCs w:val="18"/>
                                </w:rPr>
                                <w:t>Patients were not newly diagnosed with carcinoid syndrome</w:t>
                              </w:r>
                            </w:p>
                          </w:txbxContent>
                        </wps:txbx>
                        <wps:bodyPr rot="0" vert="horz" wrap="square" lIns="91440" tIns="45720" rIns="91440" bIns="45720" anchor="t" anchorCtr="0" upright="1">
                          <a:noAutofit/>
                        </wps:bodyPr>
                      </wps:wsp>
                      <wps:wsp>
                        <wps:cNvPr id="8" name="Straight Arrow Connector 58"/>
                        <wps:cNvCnPr>
                          <a:cxnSpLocks noChangeShapeType="1"/>
                        </wps:cNvCnPr>
                        <wps:spPr bwMode="auto">
                          <a:xfrm flipV="1">
                            <a:off x="1312115" y="1380000"/>
                            <a:ext cx="1354915" cy="8500"/>
                          </a:xfrm>
                          <a:prstGeom prst="straightConnector1">
                            <a:avLst/>
                          </a:prstGeom>
                          <a:noFill/>
                          <a:ln w="1270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59"/>
                        <wps:cNvCnPr>
                          <a:cxnSpLocks noChangeShapeType="1"/>
                        </wps:cNvCnPr>
                        <wps:spPr bwMode="auto">
                          <a:xfrm flipV="1">
                            <a:off x="1313315" y="2660700"/>
                            <a:ext cx="1354415" cy="8200"/>
                          </a:xfrm>
                          <a:prstGeom prst="straightConnector1">
                            <a:avLst/>
                          </a:prstGeom>
                          <a:noFill/>
                          <a:ln w="1270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60"/>
                        <wps:cNvCnPr>
                          <a:cxnSpLocks noChangeShapeType="1"/>
                        </wps:cNvCnPr>
                        <wps:spPr bwMode="auto">
                          <a:xfrm flipH="1">
                            <a:off x="1305815" y="3236100"/>
                            <a:ext cx="1800" cy="969800"/>
                          </a:xfrm>
                          <a:prstGeom prst="straightConnector1">
                            <a:avLst/>
                          </a:prstGeom>
                          <a:noFill/>
                          <a:ln w="1905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 name="Text Box 28"/>
                        <wps:cNvSpPr txBox="1">
                          <a:spLocks noChangeArrowheads="1"/>
                        </wps:cNvSpPr>
                        <wps:spPr bwMode="auto">
                          <a:xfrm>
                            <a:off x="553406" y="4205300"/>
                            <a:ext cx="1504317" cy="552900"/>
                          </a:xfrm>
                          <a:prstGeom prst="rect">
                            <a:avLst/>
                          </a:prstGeom>
                          <a:solidFill>
                            <a:srgbClr val="FFFFFF"/>
                          </a:solidFill>
                          <a:ln w="25400">
                            <a:solidFill>
                              <a:schemeClr val="bg1">
                                <a:lumMod val="65000"/>
                                <a:lumOff val="0"/>
                              </a:schemeClr>
                            </a:solidFill>
                            <a:miter lim="800000"/>
                            <a:headEnd/>
                            <a:tailEnd/>
                          </a:ln>
                        </wps:spPr>
                        <wps:txbx>
                          <w:txbxContent>
                            <w:p w14:paraId="72E54E3F" w14:textId="77777777" w:rsidR="00EE0A75" w:rsidRPr="00FC31E7" w:rsidRDefault="00EE0A75" w:rsidP="00F40EFF">
                              <w:pPr>
                                <w:pStyle w:val="NormalWeb"/>
                                <w:spacing w:before="0" w:beforeAutospacing="0" w:after="0" w:afterAutospacing="0" w:line="360" w:lineRule="auto"/>
                                <w:jc w:val="center"/>
                                <w:rPr>
                                  <w:rFonts w:asciiTheme="minorHAnsi" w:eastAsia="MS PGothic" w:hAnsiTheme="minorHAnsi" w:cstheme="minorHAnsi"/>
                                  <w:b/>
                                  <w:sz w:val="22"/>
                                  <w:szCs w:val="22"/>
                                </w:rPr>
                              </w:pPr>
                              <w:r>
                                <w:rPr>
                                  <w:rFonts w:asciiTheme="minorHAnsi" w:eastAsia="MS PGothic" w:hAnsiTheme="minorHAnsi" w:cstheme="minorHAnsi"/>
                                  <w:b/>
                                  <w:sz w:val="22"/>
                                  <w:szCs w:val="22"/>
                                </w:rPr>
                                <w:t>Study</w:t>
                              </w:r>
                              <w:r w:rsidRPr="00FC31E7">
                                <w:rPr>
                                  <w:rFonts w:asciiTheme="minorHAnsi" w:eastAsia="MS PGothic" w:hAnsiTheme="minorHAnsi" w:cstheme="minorHAnsi"/>
                                  <w:b/>
                                  <w:sz w:val="22"/>
                                  <w:szCs w:val="22"/>
                                </w:rPr>
                                <w:t xml:space="preserve"> Cohort</w:t>
                              </w:r>
                            </w:p>
                            <w:p w14:paraId="72E54E40" w14:textId="3F5B4CD7" w:rsidR="00EE0A75" w:rsidRDefault="00EE0A75" w:rsidP="00F40EFF">
                              <w:pPr>
                                <w:pStyle w:val="NormalWeb"/>
                                <w:spacing w:before="0" w:beforeAutospacing="0" w:after="0" w:afterAutospacing="0" w:line="360" w:lineRule="auto"/>
                                <w:jc w:val="center"/>
                              </w:pPr>
                              <w:r w:rsidRPr="00807E82">
                                <w:rPr>
                                  <w:rFonts w:asciiTheme="minorHAnsi" w:eastAsia="SimSun" w:hAnsiTheme="minorHAnsi" w:cstheme="minorHAnsi" w:hint="eastAsia"/>
                                  <w:i/>
                                  <w:sz w:val="22"/>
                                  <w:szCs w:val="22"/>
                                  <w:lang w:eastAsia="zh-CN"/>
                                </w:rPr>
                                <w:t>n</w:t>
                              </w:r>
                              <w:r>
                                <w:rPr>
                                  <w:rFonts w:asciiTheme="minorHAnsi" w:eastAsia="MS PGothic" w:hAnsiTheme="minorHAnsi" w:cstheme="minorHAnsi"/>
                                  <w:sz w:val="22"/>
                                  <w:szCs w:val="22"/>
                                </w:rPr>
                                <w:t xml:space="preserve"> = 2822</w:t>
                              </w:r>
                              <w:r>
                                <w:rPr>
                                  <w:rFonts w:eastAsia="MS PGothic"/>
                                </w:rPr>
                                <w:t> </w:t>
                              </w:r>
                            </w:p>
                          </w:txbxContent>
                        </wps:txbx>
                        <wps:bodyPr rot="0" vert="horz" wrap="square" lIns="91440" tIns="45720" rIns="91440" bIns="45720" anchor="t" anchorCtr="0" upright="1">
                          <a:noAutofit/>
                        </wps:bodyPr>
                      </wps:wsp>
                      <wps:wsp>
                        <wps:cNvPr id="12" name="Text Box 28"/>
                        <wps:cNvSpPr txBox="1">
                          <a:spLocks noChangeArrowheads="1"/>
                        </wps:cNvSpPr>
                        <wps:spPr bwMode="auto">
                          <a:xfrm>
                            <a:off x="2667630" y="3327100"/>
                            <a:ext cx="1809120" cy="712100"/>
                          </a:xfrm>
                          <a:prstGeom prst="rect">
                            <a:avLst/>
                          </a:prstGeom>
                          <a:solidFill>
                            <a:srgbClr val="FFFFFF"/>
                          </a:solidFill>
                          <a:ln w="25400">
                            <a:solidFill>
                              <a:schemeClr val="bg1">
                                <a:lumMod val="65000"/>
                                <a:lumOff val="0"/>
                              </a:schemeClr>
                            </a:solidFill>
                            <a:miter lim="800000"/>
                            <a:headEnd/>
                            <a:tailEnd/>
                          </a:ln>
                        </wps:spPr>
                        <wps:txbx>
                          <w:txbxContent>
                            <w:p w14:paraId="72E54E41" w14:textId="5F091314" w:rsidR="00EE0A75" w:rsidRPr="00807E82" w:rsidRDefault="00EE0A75" w:rsidP="00F40EFF">
                              <w:pPr>
                                <w:pStyle w:val="NormalWeb"/>
                                <w:spacing w:before="0" w:beforeAutospacing="0" w:after="0" w:afterAutospacing="0" w:line="276" w:lineRule="auto"/>
                                <w:jc w:val="center"/>
                                <w:rPr>
                                  <w:rFonts w:asciiTheme="minorHAnsi" w:eastAsia="SimSun" w:hAnsiTheme="minorHAnsi" w:cstheme="minorHAnsi"/>
                                  <w:sz w:val="18"/>
                                  <w:szCs w:val="18"/>
                                  <w:vertAlign w:val="superscript"/>
                                  <w:lang w:eastAsia="zh-CN"/>
                                </w:rPr>
                              </w:pPr>
                              <w:r>
                                <w:rPr>
                                  <w:rFonts w:asciiTheme="minorHAnsi" w:eastAsia="MS PGothic" w:hAnsiTheme="minorHAnsi" w:cstheme="minorHAnsi"/>
                                  <w:sz w:val="18"/>
                                  <w:szCs w:val="18"/>
                                </w:rPr>
                                <w:t>4</w:t>
                              </w:r>
                              <w:r w:rsidRPr="00A34673">
                                <w:rPr>
                                  <w:rFonts w:asciiTheme="minorHAnsi" w:eastAsia="MS PGothic" w:hAnsiTheme="minorHAnsi" w:cstheme="minorHAnsi"/>
                                  <w:sz w:val="18"/>
                                  <w:szCs w:val="18"/>
                                </w:rPr>
                                <w:t>169 Patients were not continuously enrolled starting</w:t>
                              </w:r>
                              <w:r>
                                <w:rPr>
                                  <w:rFonts w:asciiTheme="minorHAnsi" w:eastAsia="MS PGothic" w:hAnsiTheme="minorHAnsi" w:cstheme="minorHAnsi"/>
                                  <w:sz w:val="18"/>
                                  <w:szCs w:val="18"/>
                                </w:rPr>
                                <w:t xml:space="preserve"> from 1 y</w:t>
                              </w:r>
                              <w:r w:rsidRPr="00A34673">
                                <w:rPr>
                                  <w:rFonts w:asciiTheme="minorHAnsi" w:eastAsia="MS PGothic" w:hAnsiTheme="minorHAnsi" w:cstheme="minorHAnsi"/>
                                  <w:sz w:val="18"/>
                                  <w:szCs w:val="18"/>
                                </w:rPr>
                                <w:t>r pre-index date</w:t>
                              </w:r>
                              <w:r>
                                <w:rPr>
                                  <w:rFonts w:asciiTheme="minorHAnsi" w:eastAsia="MS PGothic" w:hAnsiTheme="minorHAnsi" w:cstheme="minorHAnsi"/>
                                  <w:sz w:val="18"/>
                                  <w:szCs w:val="18"/>
                                </w:rPr>
                                <w:t xml:space="preserve"> to</w:t>
                              </w:r>
                              <w:r>
                                <w:rPr>
                                  <w:rFonts w:asciiTheme="minorHAnsi" w:eastAsia="SimSun" w:hAnsiTheme="minorHAnsi" w:cstheme="minorHAnsi" w:hint="eastAsia"/>
                                  <w:i/>
                                  <w:sz w:val="18"/>
                                  <w:szCs w:val="18"/>
                                  <w:lang w:eastAsia="zh-CN"/>
                                </w:rPr>
                                <w:t xml:space="preserve"> </w:t>
                              </w:r>
                              <w:r>
                                <w:rPr>
                                  <w:rFonts w:asciiTheme="minorHAnsi" w:eastAsia="MS PGothic" w:hAnsiTheme="minorHAnsi" w:cstheme="minorHAnsi"/>
                                  <w:sz w:val="18"/>
                                  <w:szCs w:val="18"/>
                                </w:rPr>
                                <w:t>1 y</w:t>
                              </w:r>
                              <w:r w:rsidRPr="00A34673">
                                <w:rPr>
                                  <w:rFonts w:asciiTheme="minorHAnsi" w:eastAsia="MS PGothic" w:hAnsiTheme="minorHAnsi" w:cstheme="minorHAnsi"/>
                                  <w:sz w:val="18"/>
                                  <w:szCs w:val="18"/>
                                </w:rPr>
                                <w:t>r after the index date</w:t>
                              </w:r>
                              <w:r>
                                <w:rPr>
                                  <w:rFonts w:asciiTheme="minorHAnsi" w:eastAsia="SimSun" w:hAnsiTheme="minorHAnsi" w:cstheme="minorHAnsi" w:hint="eastAsia"/>
                                  <w:sz w:val="18"/>
                                  <w:szCs w:val="18"/>
                                  <w:vertAlign w:val="superscript"/>
                                  <w:lang w:eastAsia="zh-CN"/>
                                </w:rPr>
                                <w:t>1</w:t>
                              </w:r>
                            </w:p>
                          </w:txbxContent>
                        </wps:txbx>
                        <wps:bodyPr rot="0" vert="horz" wrap="square" lIns="91440" tIns="45720" rIns="91440" bIns="45720" anchor="t" anchorCtr="0" upright="1">
                          <a:noAutofit/>
                        </wps:bodyPr>
                      </wps:wsp>
                      <wps:wsp>
                        <wps:cNvPr id="13" name="Straight Arrow Connector 66"/>
                        <wps:cNvCnPr>
                          <a:cxnSpLocks noChangeShapeType="1"/>
                        </wps:cNvCnPr>
                        <wps:spPr bwMode="auto">
                          <a:xfrm flipV="1">
                            <a:off x="1305815" y="3871500"/>
                            <a:ext cx="1353815" cy="7600"/>
                          </a:xfrm>
                          <a:prstGeom prst="straightConnector1">
                            <a:avLst/>
                          </a:prstGeom>
                          <a:noFill/>
                          <a:ln w="12700">
                            <a:solidFill>
                              <a:schemeClr val="bg1">
                                <a:lumMod val="6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E54E1D" id="Canvas 44" o:spid="_x0000_s1026" editas="canvas" style="width:388.65pt;height:404pt;mso-position-horizontal-relative:char;mso-position-vertical-relative:line" coordsize="49358,5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58;height:51308;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3831;top:1711;width:18580;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jJcAA&#10;AADaAAAADwAAAGRycy9kb3ducmV2LnhtbERPPWvDMBDdA/0P4grdErkdTHEsm9Y0oUuHJlmyHdbV&#10;NrZORpITJ7++CgQyHY/3eXk5m0GcyPnOsoLXVQKCuLa640bBYb9ZvoPwAVnjYJkUXMhDWTwtcsy0&#10;PfMvnXahETGEfYYK2hDGTEpft2TQr+xIHLk/6wyGCF0jtcNzDDeDfEuSVBrsODa0OFLVUt3vJqNg&#10;m1Y/m8Z9TX5/7T+P6SiRr1Kpl+f5Yw0i0Bwe4rv7W8f5cHvldmX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fjJcAAAADaAAAADwAAAAAAAAAAAAAAAACYAgAAZHJzL2Rvd25y&#10;ZXYueG1sUEsFBgAAAAAEAAQA9QAAAIUDAAAAAA==&#10;" strokecolor="#a5a5a5 [2092]" strokeweight="2pt">
                  <v:textbox>
                    <w:txbxContent>
                      <w:p w14:paraId="72E54E38" w14:textId="7FB8FE28" w:rsidR="00EE0A75" w:rsidRDefault="00EE0A75" w:rsidP="00F40EFF">
                        <w:pPr>
                          <w:pStyle w:val="NormalWeb"/>
                          <w:spacing w:before="0" w:beforeAutospacing="0" w:after="0" w:afterAutospacing="0" w:line="276" w:lineRule="auto"/>
                          <w:jc w:val="center"/>
                          <w:rPr>
                            <w:rFonts w:asciiTheme="minorHAnsi" w:eastAsia="MS PGothic" w:hAnsiTheme="minorHAnsi" w:cstheme="minorHAnsi"/>
                            <w:sz w:val="18"/>
                            <w:szCs w:val="18"/>
                          </w:rPr>
                        </w:pPr>
                        <w:r>
                          <w:rPr>
                            <w:rFonts w:asciiTheme="minorHAnsi" w:eastAsia="MS PGothic" w:hAnsiTheme="minorHAnsi" w:cstheme="minorHAnsi"/>
                            <w:sz w:val="18"/>
                            <w:szCs w:val="18"/>
                          </w:rPr>
                          <w:t>12</w:t>
                        </w:r>
                        <w:r w:rsidRPr="00582759">
                          <w:rPr>
                            <w:rFonts w:asciiTheme="minorHAnsi" w:eastAsia="MS PGothic" w:hAnsiTheme="minorHAnsi" w:cstheme="minorHAnsi"/>
                            <w:sz w:val="18"/>
                            <w:szCs w:val="18"/>
                          </w:rPr>
                          <w:t>279 Patients with at least one</w:t>
                        </w:r>
                        <w:r w:rsidRPr="005B1623">
                          <w:rPr>
                            <w:rFonts w:asciiTheme="minorHAnsi" w:eastAsia="MS PGothic" w:hAnsiTheme="minorHAnsi" w:cstheme="minorHAnsi"/>
                            <w:i/>
                            <w:sz w:val="18"/>
                            <w:szCs w:val="18"/>
                          </w:rPr>
                          <w:t xml:space="preserve">  </w:t>
                        </w:r>
                        <w:r>
                          <w:rPr>
                            <w:rFonts w:asciiTheme="minorHAnsi" w:eastAsia="MS PGothic" w:hAnsiTheme="minorHAnsi" w:cstheme="minorHAnsi"/>
                            <w:sz w:val="18"/>
                            <w:szCs w:val="18"/>
                          </w:rPr>
                          <w:t>medical claim with diagnosis for</w:t>
                        </w:r>
                        <w:r w:rsidRPr="00582759">
                          <w:rPr>
                            <w:rFonts w:asciiTheme="minorHAnsi" w:eastAsia="MS PGothic" w:hAnsiTheme="minorHAnsi" w:cstheme="minorHAnsi"/>
                            <w:sz w:val="18"/>
                            <w:szCs w:val="18"/>
                          </w:rPr>
                          <w:t xml:space="preserve"> carcinoid</w:t>
                        </w:r>
                        <w:r>
                          <w:rPr>
                            <w:rFonts w:asciiTheme="minorHAnsi" w:eastAsia="MS PGothic" w:hAnsiTheme="minorHAnsi" w:cstheme="minorHAnsi"/>
                            <w:sz w:val="22"/>
                            <w:szCs w:val="22"/>
                          </w:rPr>
                          <w:t xml:space="preserve"> </w:t>
                        </w:r>
                        <w:r w:rsidRPr="00582759">
                          <w:rPr>
                            <w:rFonts w:asciiTheme="minorHAnsi" w:eastAsia="MS PGothic" w:hAnsiTheme="minorHAnsi" w:cstheme="minorHAnsi"/>
                            <w:sz w:val="18"/>
                            <w:szCs w:val="18"/>
                          </w:rPr>
                          <w:t xml:space="preserve">syndrome in </w:t>
                        </w:r>
                      </w:p>
                      <w:p w14:paraId="72E54E39" w14:textId="77777777" w:rsidR="00EE0A75" w:rsidRPr="00681AC8" w:rsidRDefault="00EE0A75" w:rsidP="00F40EFF">
                        <w:pPr>
                          <w:pStyle w:val="NormalWeb"/>
                          <w:spacing w:before="0" w:beforeAutospacing="0" w:after="0" w:afterAutospacing="0" w:line="276" w:lineRule="auto"/>
                          <w:jc w:val="center"/>
                          <w:rPr>
                            <w:rFonts w:asciiTheme="minorHAnsi" w:hAnsiTheme="minorHAnsi" w:cstheme="minorHAnsi"/>
                          </w:rPr>
                        </w:pPr>
                        <w:r>
                          <w:rPr>
                            <w:rFonts w:asciiTheme="minorHAnsi" w:eastAsia="MS PGothic" w:hAnsiTheme="minorHAnsi" w:cstheme="minorHAnsi"/>
                            <w:sz w:val="18"/>
                            <w:szCs w:val="18"/>
                          </w:rPr>
                          <w:t>2003-2011</w:t>
                        </w:r>
                      </w:p>
                    </w:txbxContent>
                  </v:textbox>
                </v:shape>
                <v:shapetype id="_x0000_t32" coordsize="21600,21600" o:spt="32" o:oned="t" path="m,l21600,21600e" filled="f">
                  <v:path arrowok="t" fillok="f" o:connecttype="none"/>
                  <o:lock v:ext="edit" shapetype="t"/>
                </v:shapetype>
                <v:shape id="Straight Arrow Connector 46" o:spid="_x0000_s1029" type="#_x0000_t32" style="position:absolute;left:13077;top:9064;width:44;height:8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Z48EAAADaAAAADwAAAGRycy9kb3ducmV2LnhtbESPQYvCMBSE7wv+h/AEb2uqB63VKCIK&#10;gnvY1v6AR/Nsi81LaWKt/94sCHscZuYbZrMbTCN66lxtWcFsGoEgLqyuuVSQX0/fMQjnkTU2lknB&#10;ixzstqOvDSbaPjmlPvOlCBB2CSqovG8TKV1RkUE3tS1x8G62M+iD7EqpO3wGuGnkPIoW0mDNYaHC&#10;lg4VFffsYRQY8vnvNespTvfL/Li6NHH6c1JqMh72axCeBv8f/rTPWsEc/q6EGyC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tnjwQAAANoAAAAPAAAAAAAAAAAAAAAA&#10;AKECAABkcnMvZG93bnJldi54bWxQSwUGAAAAAAQABAD5AAAAjwMAAAAA&#10;" strokecolor="#a5a5a5 [2092]" strokeweight="1.5pt">
                  <v:stroke endarrow="open"/>
                </v:shape>
                <v:shape id="Text Box 28" o:spid="_x0000_s1030" type="#_x0000_t202" style="position:absolute;left:5088;top:18026;width:15979;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YycIA&#10;AADaAAAADwAAAGRycy9kb3ducmV2LnhtbESPQWvCQBSE70L/w/IKvemmFYJEV2mlihcPNV68PbKv&#10;STD7NuxuTJpf7woFj8PMfMOsNoNpxI2cry0reJ8lIIgLq2suFZzz3XQBwgdkjY1lUvBHHjbrl8kK&#10;M217/qHbKZQiQthnqKAKoc2k9EVFBv3MtsTR+7XOYIjSlVI77CPcNPIjSVJpsOa4UGFL24qK66kz&#10;Cvbp9rgr3Xfn8/H6dUlbiTxKpd5eh88liEBDeIb/2wetY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djJwgAAANoAAAAPAAAAAAAAAAAAAAAAAJgCAABkcnMvZG93&#10;bnJldi54bWxQSwUGAAAAAAQABAD1AAAAhwMAAAAA&#10;" strokecolor="#a5a5a5 [2092]" strokeweight="2pt">
                  <v:textbox>
                    <w:txbxContent>
                      <w:p w14:paraId="72E54E3A" w14:textId="1FBC9B27" w:rsidR="00EE0A75" w:rsidRPr="00FC31E7" w:rsidRDefault="00EE0A75" w:rsidP="00F40EFF">
                        <w:pPr>
                          <w:pStyle w:val="NormalWeb"/>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18"/>
                            <w:szCs w:val="18"/>
                          </w:rPr>
                          <w:t>7</w:t>
                        </w:r>
                        <w:r w:rsidRPr="00582759">
                          <w:rPr>
                            <w:rFonts w:asciiTheme="minorHAnsi" w:hAnsiTheme="minorHAnsi" w:cstheme="minorHAnsi"/>
                            <w:sz w:val="18"/>
                            <w:szCs w:val="18"/>
                          </w:rPr>
                          <w:t>253 Eligible for</w:t>
                        </w:r>
                        <w:r>
                          <w:rPr>
                            <w:rFonts w:asciiTheme="minorHAnsi" w:hAnsiTheme="minorHAnsi" w:cstheme="minorHAnsi"/>
                            <w:sz w:val="22"/>
                            <w:szCs w:val="22"/>
                          </w:rPr>
                          <w:t xml:space="preserve"> </w:t>
                        </w:r>
                        <w:r w:rsidRPr="00582759">
                          <w:rPr>
                            <w:rFonts w:asciiTheme="minorHAnsi" w:hAnsiTheme="minorHAnsi" w:cstheme="minorHAnsi"/>
                            <w:sz w:val="18"/>
                            <w:szCs w:val="18"/>
                          </w:rPr>
                          <w:t>inclusion</w:t>
                        </w:r>
                      </w:p>
                    </w:txbxContent>
                  </v:textbox>
                </v:shape>
                <v:shape id="Text Box 28" o:spid="_x0000_s1031" type="#_x0000_t202" style="position:absolute;left:26670;top:10325;width:18103;height: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AvcIA&#10;AADaAAAADwAAAGRycy9kb3ducmV2LnhtbESPQWvCQBSE70L/w/IKvemmRYJEV2mlihcPNV68PbKv&#10;STD7NuxuTJpf7woFj8PMfMOsNoNpxI2cry0reJ8lIIgLq2suFZzz3XQBwgdkjY1lUvBHHjbrl8kK&#10;M217/qHbKZQiQthnqKAKoc2k9EVFBv3MtsTR+7XOYIjSlVI77CPcNPIjSVJpsOa4UGFL24qK66kz&#10;Cvbp9rgr3Xfn8/H6dUlbiTxKpd5eh88liEBDeIb/2wetY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EC9wgAAANoAAAAPAAAAAAAAAAAAAAAAAJgCAABkcnMvZG93&#10;bnJldi54bWxQSwUGAAAAAAQABAD1AAAAhwMAAAAA&#10;" strokecolor="#a5a5a5 [2092]" strokeweight="2pt">
                  <v:textbox>
                    <w:txbxContent>
                      <w:p w14:paraId="72E54E3B" w14:textId="039514C0" w:rsidR="00EE0A75" w:rsidRPr="00582759" w:rsidRDefault="00EE0A75" w:rsidP="00F40EFF">
                        <w:pPr>
                          <w:pStyle w:val="NormalWeb"/>
                          <w:spacing w:before="0" w:beforeAutospacing="0" w:after="0" w:afterAutospacing="0" w:line="276" w:lineRule="auto"/>
                          <w:jc w:val="center"/>
                          <w:rPr>
                            <w:rFonts w:asciiTheme="minorHAnsi" w:hAnsiTheme="minorHAnsi" w:cstheme="minorHAnsi"/>
                            <w:sz w:val="18"/>
                            <w:szCs w:val="18"/>
                          </w:rPr>
                        </w:pPr>
                        <w:r>
                          <w:rPr>
                            <w:rFonts w:asciiTheme="minorHAnsi" w:eastAsia="Arial" w:hAnsiTheme="minorHAnsi" w:cstheme="minorHAnsi"/>
                            <w:color w:val="474746"/>
                            <w:sz w:val="18"/>
                            <w:szCs w:val="18"/>
                          </w:rPr>
                          <w:t>5</w:t>
                        </w:r>
                        <w:r w:rsidRPr="00582759">
                          <w:rPr>
                            <w:rFonts w:asciiTheme="minorHAnsi" w:eastAsia="Arial" w:hAnsiTheme="minorHAnsi" w:cstheme="minorHAnsi"/>
                            <w:color w:val="474746"/>
                            <w:sz w:val="18"/>
                            <w:szCs w:val="18"/>
                          </w:rPr>
                          <w:t>026</w:t>
                        </w:r>
                        <w:r w:rsidRPr="005B1623">
                          <w:rPr>
                            <w:rFonts w:asciiTheme="minorHAnsi" w:eastAsia="Arial" w:hAnsiTheme="minorHAnsi" w:cstheme="minorHAnsi"/>
                            <w:i/>
                            <w:color w:val="474746"/>
                            <w:sz w:val="18"/>
                            <w:szCs w:val="18"/>
                          </w:rPr>
                          <w:t xml:space="preserve"> </w:t>
                        </w:r>
                        <w:r>
                          <w:rPr>
                            <w:rFonts w:asciiTheme="minorHAnsi" w:eastAsia="Arial" w:hAnsiTheme="minorHAnsi" w:cstheme="minorHAnsi"/>
                            <w:color w:val="474746"/>
                            <w:sz w:val="18"/>
                            <w:szCs w:val="18"/>
                          </w:rPr>
                          <w:t xml:space="preserve">Patients </w:t>
                        </w:r>
                        <w:r w:rsidRPr="00582759">
                          <w:rPr>
                            <w:rFonts w:asciiTheme="minorHAnsi" w:eastAsia="Arial" w:hAnsiTheme="minorHAnsi" w:cstheme="minorHAnsi"/>
                            <w:color w:val="474746"/>
                            <w:sz w:val="18"/>
                            <w:szCs w:val="18"/>
                          </w:rPr>
                          <w:t xml:space="preserve">had no additional </w:t>
                        </w:r>
                        <w:r>
                          <w:rPr>
                            <w:rFonts w:asciiTheme="minorHAnsi" w:eastAsia="Arial" w:hAnsiTheme="minorHAnsi" w:cstheme="minorHAnsi"/>
                            <w:color w:val="474746"/>
                            <w:sz w:val="18"/>
                            <w:szCs w:val="18"/>
                          </w:rPr>
                          <w:t xml:space="preserve">medical </w:t>
                        </w:r>
                        <w:r w:rsidRPr="00582759">
                          <w:rPr>
                            <w:rFonts w:asciiTheme="minorHAnsi" w:eastAsia="Arial" w:hAnsiTheme="minorHAnsi" w:cstheme="minorHAnsi"/>
                            <w:color w:val="474746"/>
                            <w:sz w:val="18"/>
                            <w:szCs w:val="18"/>
                          </w:rPr>
                          <w:t xml:space="preserve">claim with </w:t>
                        </w:r>
                        <w:r>
                          <w:rPr>
                            <w:rFonts w:asciiTheme="minorHAnsi" w:eastAsia="Arial" w:hAnsiTheme="minorHAnsi" w:cstheme="minorHAnsi"/>
                            <w:color w:val="474746"/>
                            <w:sz w:val="18"/>
                            <w:szCs w:val="18"/>
                          </w:rPr>
                          <w:t>diagnosis for carcinoid syndrome</w:t>
                        </w:r>
                        <w:r w:rsidRPr="00582759">
                          <w:rPr>
                            <w:rFonts w:asciiTheme="minorHAnsi" w:eastAsia="Arial" w:hAnsiTheme="minorHAnsi" w:cstheme="minorHAnsi"/>
                            <w:color w:val="474746"/>
                            <w:sz w:val="18"/>
                            <w:szCs w:val="18"/>
                          </w:rPr>
                          <w:t xml:space="preserve"> or carcinoid tumor </w:t>
                        </w:r>
                      </w:p>
                    </w:txbxContent>
                  </v:textbox>
                </v:shape>
                <v:shape id="Straight Arrow Connector 52" o:spid="_x0000_s1032" type="#_x0000_t32" style="position:absolute;left:13076;top:20434;width:2;height:95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dBl8EAAADaAAAADwAAAGRycy9kb3ducmV2LnhtbESP0YrCMBRE34X9h3AX9k3TFVZrNYos&#10;Kwj6YGs/4NJc22JzU5pYu39vBMHHYWbOMKvNYBrRU+dqywq+JxEI4sLqmksF+Xk3jkE4j6yxsUwK&#10;/snBZv0xWmGi7Z1T6jNfigBhl6CCyvs2kdIVFRl0E9sSB+9iO4M+yK6UusN7gJtGTqNoJg3WHBYq&#10;bOm3ouKa3YwCQz4/nbOe4nQ7z/8WhyZOjzulvj6H7RKEp8G/w6/2Xiv4geeVc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d0GXwQAAANoAAAAPAAAAAAAAAAAAAAAA&#10;AKECAABkcnMvZG93bnJldi54bWxQSwUGAAAAAAQABAD5AAAAjwMAAAAA&#10;" strokecolor="#a5a5a5 [2092]" strokeweight="1.5pt">
                  <v:stroke endarrow="open"/>
                </v:shape>
                <v:shape id="Text Box 28" o:spid="_x0000_s1033" type="#_x0000_t202" style="position:absolute;left:5087;top:29961;width:1597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7UcAA&#10;AADaAAAADwAAAGRycy9kb3ducmV2LnhtbESPzarCMBSE94LvEI7gTlPvokg1iope3LjwZ+Pu0Bzb&#10;YnNSkqjVpzeC4HKYmW+Y6bw1tbiT85VlBaNhAoI4t7riQsHpuBmMQfiArLG2TAqe5GE+63ammGn7&#10;4D3dD6EQEcI+QwVlCE0mpc9LMuiHtiGO3sU6gyFKV0jt8BHhppZ/SZJKgxXHhRIbWpWUXw83o+A/&#10;Xe02hVvf/PF1XZ7TRiK/pFL9XruYgAjUhl/4295qBSl8rsQb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7UcAAAADaAAAADwAAAAAAAAAAAAAAAACYAgAAZHJzL2Rvd25y&#10;ZXYueG1sUEsFBgAAAAAEAAQA9QAAAIUDAAAAAA==&#10;" strokecolor="#a5a5a5 [2092]" strokeweight="2pt">
                  <v:textbox>
                    <w:txbxContent>
                      <w:p w14:paraId="72E54E3C" w14:textId="6D2C68E5" w:rsidR="00EE0A75" w:rsidRPr="003F4057" w:rsidRDefault="00EE0A75" w:rsidP="00F40EFF">
                        <w:pPr>
                          <w:pStyle w:val="NormalWeb"/>
                          <w:spacing w:before="0" w:beforeAutospacing="0" w:after="0" w:afterAutospacing="0" w:line="276" w:lineRule="auto"/>
                          <w:jc w:val="center"/>
                          <w:rPr>
                            <w:sz w:val="18"/>
                            <w:szCs w:val="18"/>
                          </w:rPr>
                        </w:pPr>
                        <w:r w:rsidRPr="003F4057">
                          <w:rPr>
                            <w:rFonts w:eastAsia="MS PGothic"/>
                            <w:sz w:val="18"/>
                            <w:szCs w:val="18"/>
                          </w:rPr>
                          <w:t> </w:t>
                        </w:r>
                        <w:r>
                          <w:rPr>
                            <w:rFonts w:asciiTheme="minorHAnsi" w:hAnsiTheme="minorHAnsi" w:cstheme="minorHAnsi"/>
                            <w:sz w:val="18"/>
                            <w:szCs w:val="18"/>
                          </w:rPr>
                          <w:t>6</w:t>
                        </w:r>
                        <w:r w:rsidRPr="003F4057">
                          <w:rPr>
                            <w:rFonts w:asciiTheme="minorHAnsi" w:hAnsiTheme="minorHAnsi" w:cstheme="minorHAnsi"/>
                            <w:sz w:val="18"/>
                            <w:szCs w:val="18"/>
                          </w:rPr>
                          <w:t>991 Eligible for inclusion</w:t>
                        </w:r>
                      </w:p>
                      <w:p w14:paraId="72E54E3D" w14:textId="77777777" w:rsidR="00EE0A75" w:rsidRDefault="00EE0A75" w:rsidP="00F40EFF">
                        <w:pPr>
                          <w:pStyle w:val="NormalWeb"/>
                          <w:spacing w:before="0" w:beforeAutospacing="0" w:after="0" w:afterAutospacing="0" w:line="360" w:lineRule="auto"/>
                          <w:jc w:val="center"/>
                        </w:pPr>
                      </w:p>
                    </w:txbxContent>
                  </v:textbox>
                </v:shape>
                <v:shape id="Text Box 28" o:spid="_x0000_s1034" type="#_x0000_t202" style="position:absolute;left:26674;top:23644;width:18098;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eysMA&#10;AADaAAAADwAAAGRycy9kb3ducmV2LnhtbESPMWvDMBSE90L/g3iFbI3cDm5wIoc21KFLhiZZsj2s&#10;V9vYejKSYrv+9VGhkPG4u++4zXYynRjI+caygpdlAoK4tLrhSsH5VDyvQPiArLGzTAp+ycM2f3zY&#10;YKbtyN80HEMlIoR9hgrqEPpMSl/WZNAvbU8cvR/rDIYoXSW1wzHCTSdfkySVBhuOCzX2tKupbI9X&#10;o2Cf7g5F5T6v/jS3H5e0l8izVGrxNL2vQQSawj383/7SCt7g70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eysMAAADaAAAADwAAAAAAAAAAAAAAAACYAgAAZHJzL2Rv&#10;d25yZXYueG1sUEsFBgAAAAAEAAQA9QAAAIgDAAAAAA==&#10;" strokecolor="#a5a5a5 [2092]" strokeweight="2pt">
                  <v:textbox>
                    <w:txbxContent>
                      <w:p w14:paraId="72E54E3E" w14:textId="77777777" w:rsidR="00EE0A75" w:rsidRPr="003F4057" w:rsidRDefault="00EE0A75" w:rsidP="00F40EFF">
                        <w:pPr>
                          <w:pStyle w:val="NormalWeb"/>
                          <w:spacing w:before="0" w:beforeAutospacing="0" w:after="0" w:afterAutospacing="0" w:line="276" w:lineRule="auto"/>
                          <w:jc w:val="center"/>
                          <w:rPr>
                            <w:rFonts w:asciiTheme="minorHAnsi" w:hAnsiTheme="minorHAnsi" w:cstheme="minorHAnsi"/>
                            <w:sz w:val="18"/>
                            <w:szCs w:val="18"/>
                          </w:rPr>
                        </w:pPr>
                        <w:r w:rsidRPr="003F4057">
                          <w:rPr>
                            <w:rFonts w:asciiTheme="minorHAnsi" w:hAnsiTheme="minorHAnsi" w:cstheme="minorHAnsi"/>
                            <w:sz w:val="18"/>
                            <w:szCs w:val="18"/>
                          </w:rPr>
                          <w:t xml:space="preserve">262 </w:t>
                        </w:r>
                        <w:r>
                          <w:rPr>
                            <w:rFonts w:asciiTheme="minorHAnsi" w:hAnsiTheme="minorHAnsi" w:cstheme="minorHAnsi"/>
                            <w:sz w:val="18"/>
                            <w:szCs w:val="18"/>
                          </w:rPr>
                          <w:t>Patients were not newly diagnosed with carcinoid syndrome</w:t>
                        </w:r>
                      </w:p>
                    </w:txbxContent>
                  </v:textbox>
                </v:shape>
                <v:shape id="Straight Arrow Connector 58" o:spid="_x0000_s1035" type="#_x0000_t32" style="position:absolute;left:13121;top:13800;width:13549;height: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MwMEAAADaAAAADwAAAGRycy9kb3ducmV2LnhtbERPS2vCQBC+F/wPywi9FN20hyLRVUQa&#10;bQ8iPuh5mp0modnZkF1j6q93DoLHj+89W/SuVh21ofJs4HWcgCLOva24MHA6ZqMJqBCRLdaeycA/&#10;BVjMB08zTK2/8J66QyyUhHBI0UAZY5NqHfKSHIaxb4iF+/WtwyiwLbRt8SLhrtZvSfKuHVYsDSU2&#10;tCop/zucnZR8f7xkm91q/ZN9nbtrcw1bv5wY8zzsl1NQkfr4EN/dn9aAbJUrcgP0/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eEzAwQAAANoAAAAPAAAAAAAAAAAAAAAA&#10;AKECAABkcnMvZG93bnJldi54bWxQSwUGAAAAAAQABAD5AAAAjwMAAAAA&#10;" strokecolor="#a5a5a5 [2092]" strokeweight="1pt">
                  <v:stroke endarrow="open"/>
                </v:shape>
                <v:shape id="Straight Arrow Connector 59" o:spid="_x0000_s1036" type="#_x0000_t32" style="position:absolute;left:13133;top:26607;width:13544;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W8QAAADaAAAADwAAAGRycy9kb3ducmV2LnhtbESPzWrCQBSF90LfYbiFbqRO7EI0dRJE&#10;GtsupDSWrq+ZaxKauRMyY4w+fUcQXB7Oz8dZpoNpRE+dqy0rmE4iEMSF1TWXCn522fMchPPIGhvL&#10;pOBMDtLkYbTEWNsTf1Of+1KEEXYxKqi8b2MpXVGRQTexLXHwDrYz6IPsSqk7PIVx08iXKJpJgzUH&#10;QoUtrSsq/vKjCZDft3H2/rXe7LPPY39pL25rV3Olnh6H1SsIT4O/h2/tD61gAdcr4Qb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OlbxAAAANoAAAAPAAAAAAAAAAAA&#10;AAAAAKECAABkcnMvZG93bnJldi54bWxQSwUGAAAAAAQABAD5AAAAkgMAAAAA&#10;" strokecolor="#a5a5a5 [2092]" strokeweight="1pt">
                  <v:stroke endarrow="open"/>
                </v:shape>
                <v:shape id="Straight Arrow Connector 60" o:spid="_x0000_s1037" type="#_x0000_t32" style="position:absolute;left:13058;top:32361;width:18;height:9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Dm8MAAADbAAAADwAAAGRycy9kb3ducmV2LnhtbESPQWvCQBCF74L/YZmCN93Ug8boKiIK&#10;hXpoYn7AkJ0modnZkN3G9N93DoXeZnhv3vvmcJpcp0YaQuvZwOsqAUVcedtybaB83JYpqBCRLXae&#10;ycAPBTgd57MDZtY/OaexiLWSEA4ZGmhi7DOtQ9WQw7DyPbFon35wGGUdam0HfEq46/Q6STbaYcvS&#10;0GBPl4aqr+LbGXAUy49HMVKan7fldffepfn9ZsziZTrvQUWa4r/57/rNCr7Qyy8ygD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w5vDAAAA2wAAAA8AAAAAAAAAAAAA&#10;AAAAoQIAAGRycy9kb3ducmV2LnhtbFBLBQYAAAAABAAEAPkAAACRAwAAAAA=&#10;" strokecolor="#a5a5a5 [2092]" strokeweight="1.5pt">
                  <v:stroke endarrow="open"/>
                </v:shape>
                <v:shape id="Text Box 28" o:spid="_x0000_s1038" type="#_x0000_t202" style="position:absolute;left:5534;top:42053;width:15043;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pMEA&#10;AADbAAAADwAAAGRycy9kb3ducmV2LnhtbERPPW/CMBDdK/EfrKvUrTjpEFUBg2gEFQtDAwvbKT6S&#10;iPgc2QZCfn2NhMR2T+/z5svBdOJKzreWFaTTBARxZXXLtYLDfvP5DcIHZI2dZVJwJw/LxeRtjrm2&#10;N/6jaxlqEUPY56igCaHPpfRVQwb91PbEkTtZZzBE6GqpHd5iuOnkV5Jk0mDLsaHBnoqGqnN5MQp+&#10;s2K3qd364vfj+eeY9RJ5lEp9vA+rGYhAQ3iJn+6tjvNTePw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BqTBAAAA2wAAAA8AAAAAAAAAAAAAAAAAmAIAAGRycy9kb3du&#10;cmV2LnhtbFBLBQYAAAAABAAEAPUAAACGAwAAAAA=&#10;" strokecolor="#a5a5a5 [2092]" strokeweight="2pt">
                  <v:textbox>
                    <w:txbxContent>
                      <w:p w14:paraId="72E54E3F" w14:textId="77777777" w:rsidR="00EE0A75" w:rsidRPr="00FC31E7" w:rsidRDefault="00EE0A75" w:rsidP="00F40EFF">
                        <w:pPr>
                          <w:pStyle w:val="NormalWeb"/>
                          <w:spacing w:before="0" w:beforeAutospacing="0" w:after="0" w:afterAutospacing="0" w:line="360" w:lineRule="auto"/>
                          <w:jc w:val="center"/>
                          <w:rPr>
                            <w:rFonts w:asciiTheme="minorHAnsi" w:eastAsia="MS PGothic" w:hAnsiTheme="minorHAnsi" w:cstheme="minorHAnsi"/>
                            <w:b/>
                            <w:sz w:val="22"/>
                            <w:szCs w:val="22"/>
                          </w:rPr>
                        </w:pPr>
                        <w:r>
                          <w:rPr>
                            <w:rFonts w:asciiTheme="minorHAnsi" w:eastAsia="MS PGothic" w:hAnsiTheme="minorHAnsi" w:cstheme="minorHAnsi"/>
                            <w:b/>
                            <w:sz w:val="22"/>
                            <w:szCs w:val="22"/>
                          </w:rPr>
                          <w:t>Study</w:t>
                        </w:r>
                        <w:r w:rsidRPr="00FC31E7">
                          <w:rPr>
                            <w:rFonts w:asciiTheme="minorHAnsi" w:eastAsia="MS PGothic" w:hAnsiTheme="minorHAnsi" w:cstheme="minorHAnsi"/>
                            <w:b/>
                            <w:sz w:val="22"/>
                            <w:szCs w:val="22"/>
                          </w:rPr>
                          <w:t xml:space="preserve"> Cohort</w:t>
                        </w:r>
                      </w:p>
                      <w:p w14:paraId="72E54E40" w14:textId="3F5B4CD7" w:rsidR="00EE0A75" w:rsidRDefault="00EE0A75" w:rsidP="00F40EFF">
                        <w:pPr>
                          <w:pStyle w:val="NormalWeb"/>
                          <w:spacing w:before="0" w:beforeAutospacing="0" w:after="0" w:afterAutospacing="0" w:line="360" w:lineRule="auto"/>
                          <w:jc w:val="center"/>
                        </w:pPr>
                        <w:r w:rsidRPr="00807E82">
                          <w:rPr>
                            <w:rFonts w:asciiTheme="minorHAnsi" w:eastAsia="SimSun" w:hAnsiTheme="minorHAnsi" w:cstheme="minorHAnsi" w:hint="eastAsia"/>
                            <w:i/>
                            <w:sz w:val="22"/>
                            <w:szCs w:val="22"/>
                            <w:lang w:eastAsia="zh-CN"/>
                          </w:rPr>
                          <w:t>n</w:t>
                        </w:r>
                        <w:r>
                          <w:rPr>
                            <w:rFonts w:asciiTheme="minorHAnsi" w:eastAsia="MS PGothic" w:hAnsiTheme="minorHAnsi" w:cstheme="minorHAnsi"/>
                            <w:sz w:val="22"/>
                            <w:szCs w:val="22"/>
                          </w:rPr>
                          <w:t xml:space="preserve"> = 2822</w:t>
                        </w:r>
                        <w:r>
                          <w:rPr>
                            <w:rFonts w:eastAsia="MS PGothic"/>
                          </w:rPr>
                          <w:t> </w:t>
                        </w:r>
                      </w:p>
                    </w:txbxContent>
                  </v:textbox>
                </v:shape>
                <v:shape id="Text Box 28" o:spid="_x0000_s1039" type="#_x0000_t202" style="position:absolute;left:26676;top:33271;width:18091;height:7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Y078A&#10;AADbAAAADwAAAGRycy9kb3ducmV2LnhtbERPTYvCMBC9C/6HMII3m+qhLNUoKipe9rDqxdvQjG2x&#10;mZQkavXXmwXB2zze58wWnWnEnZyvLSsYJykI4sLqmksFp+N29APCB2SNjWVS8CQPi3m/N8Nc2wf/&#10;0f0QShFD2OeooAqhzaX0RUUGfWJb4shdrDMYInSl1A4fMdw0cpKmmTRYc2yosKV1RcX1cDMKdtn6&#10;d1u6zc0fX9fVOWsl8ksqNRx0yymIQF34ij/uvY7zJ/D/Szx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5jTvwAAANsAAAAPAAAAAAAAAAAAAAAAAJgCAABkcnMvZG93bnJl&#10;di54bWxQSwUGAAAAAAQABAD1AAAAhAMAAAAA&#10;" strokecolor="#a5a5a5 [2092]" strokeweight="2pt">
                  <v:textbox>
                    <w:txbxContent>
                      <w:p w14:paraId="72E54E41" w14:textId="5F091314" w:rsidR="00EE0A75" w:rsidRPr="00807E82" w:rsidRDefault="00EE0A75" w:rsidP="00F40EFF">
                        <w:pPr>
                          <w:pStyle w:val="NormalWeb"/>
                          <w:spacing w:before="0" w:beforeAutospacing="0" w:after="0" w:afterAutospacing="0" w:line="276" w:lineRule="auto"/>
                          <w:jc w:val="center"/>
                          <w:rPr>
                            <w:rFonts w:asciiTheme="minorHAnsi" w:eastAsia="SimSun" w:hAnsiTheme="minorHAnsi" w:cstheme="minorHAnsi"/>
                            <w:sz w:val="18"/>
                            <w:szCs w:val="18"/>
                            <w:vertAlign w:val="superscript"/>
                            <w:lang w:eastAsia="zh-CN"/>
                          </w:rPr>
                        </w:pPr>
                        <w:r>
                          <w:rPr>
                            <w:rFonts w:asciiTheme="minorHAnsi" w:eastAsia="MS PGothic" w:hAnsiTheme="minorHAnsi" w:cstheme="minorHAnsi"/>
                            <w:sz w:val="18"/>
                            <w:szCs w:val="18"/>
                          </w:rPr>
                          <w:t>4</w:t>
                        </w:r>
                        <w:r w:rsidRPr="00A34673">
                          <w:rPr>
                            <w:rFonts w:asciiTheme="minorHAnsi" w:eastAsia="MS PGothic" w:hAnsiTheme="minorHAnsi" w:cstheme="minorHAnsi"/>
                            <w:sz w:val="18"/>
                            <w:szCs w:val="18"/>
                          </w:rPr>
                          <w:t>169 Patients were not continuously enrolled starting</w:t>
                        </w:r>
                        <w:r>
                          <w:rPr>
                            <w:rFonts w:asciiTheme="minorHAnsi" w:eastAsia="MS PGothic" w:hAnsiTheme="minorHAnsi" w:cstheme="minorHAnsi"/>
                            <w:sz w:val="18"/>
                            <w:szCs w:val="18"/>
                          </w:rPr>
                          <w:t xml:space="preserve"> from 1 y</w:t>
                        </w:r>
                        <w:r w:rsidRPr="00A34673">
                          <w:rPr>
                            <w:rFonts w:asciiTheme="minorHAnsi" w:eastAsia="MS PGothic" w:hAnsiTheme="minorHAnsi" w:cstheme="minorHAnsi"/>
                            <w:sz w:val="18"/>
                            <w:szCs w:val="18"/>
                          </w:rPr>
                          <w:t>r pre-index date</w:t>
                        </w:r>
                        <w:r>
                          <w:rPr>
                            <w:rFonts w:asciiTheme="minorHAnsi" w:eastAsia="MS PGothic" w:hAnsiTheme="minorHAnsi" w:cstheme="minorHAnsi"/>
                            <w:sz w:val="18"/>
                            <w:szCs w:val="18"/>
                          </w:rPr>
                          <w:t xml:space="preserve"> to</w:t>
                        </w:r>
                        <w:r>
                          <w:rPr>
                            <w:rFonts w:asciiTheme="minorHAnsi" w:eastAsia="SimSun" w:hAnsiTheme="minorHAnsi" w:cstheme="minorHAnsi" w:hint="eastAsia"/>
                            <w:i/>
                            <w:sz w:val="18"/>
                            <w:szCs w:val="18"/>
                            <w:lang w:eastAsia="zh-CN"/>
                          </w:rPr>
                          <w:t xml:space="preserve"> </w:t>
                        </w:r>
                        <w:r>
                          <w:rPr>
                            <w:rFonts w:asciiTheme="minorHAnsi" w:eastAsia="MS PGothic" w:hAnsiTheme="minorHAnsi" w:cstheme="minorHAnsi"/>
                            <w:sz w:val="18"/>
                            <w:szCs w:val="18"/>
                          </w:rPr>
                          <w:t>1 y</w:t>
                        </w:r>
                        <w:r w:rsidRPr="00A34673">
                          <w:rPr>
                            <w:rFonts w:asciiTheme="minorHAnsi" w:eastAsia="MS PGothic" w:hAnsiTheme="minorHAnsi" w:cstheme="minorHAnsi"/>
                            <w:sz w:val="18"/>
                            <w:szCs w:val="18"/>
                          </w:rPr>
                          <w:t>r after the index date</w:t>
                        </w:r>
                        <w:r>
                          <w:rPr>
                            <w:rFonts w:asciiTheme="minorHAnsi" w:eastAsia="SimSun" w:hAnsiTheme="minorHAnsi" w:cstheme="minorHAnsi" w:hint="eastAsia"/>
                            <w:sz w:val="18"/>
                            <w:szCs w:val="18"/>
                            <w:vertAlign w:val="superscript"/>
                            <w:lang w:eastAsia="zh-CN"/>
                          </w:rPr>
                          <w:t>1</w:t>
                        </w:r>
                      </w:p>
                    </w:txbxContent>
                  </v:textbox>
                </v:shape>
                <v:shape id="Straight Arrow Connector 66" o:spid="_x0000_s1040" type="#_x0000_t32" style="position:absolute;left:13058;top:38715;width:13538;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V8sYAAADbAAAADwAAAGRycy9kb3ducmV2LnhtbESPQWvCQBCF70L/wzKFXqRurCCSugki&#10;jW0PUoyl5zE7JqHZ2ZBdY/TXdwWhtxnem/e9WaaDaURPnastK5hOIhDEhdU1lwq+99nzAoTzyBob&#10;y6TgQg7S5GG0xFjbM++oz30pQgi7GBVU3rexlK6oyKCb2JY4aEfbGfRh7UqpOzyHcNPIlyiaS4M1&#10;B0KFLa0rKn7zkwmQn7dx9v613hyyz1N/ba9ua1cLpZ4eh9UrCE+D/zffrz90qD+D2y9hAJ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rlfLGAAAA2wAAAA8AAAAAAAAA&#10;AAAAAAAAoQIAAGRycy9kb3ducmV2LnhtbFBLBQYAAAAABAAEAPkAAACUAwAAAAA=&#10;" strokecolor="#a5a5a5 [2092]" strokeweight="1pt">
                  <v:stroke endarrow="open"/>
                </v:shape>
                <w10:anchorlock/>
              </v:group>
            </w:pict>
          </mc:Fallback>
        </mc:AlternateContent>
      </w:r>
    </w:p>
    <w:p w14:paraId="72E54CA3" w14:textId="77777777" w:rsidR="00F40EFF" w:rsidRPr="00977582" w:rsidRDefault="00F40EFF" w:rsidP="0041646E">
      <w:pPr>
        <w:adjustRightInd w:val="0"/>
        <w:snapToGrid w:val="0"/>
        <w:spacing w:after="0" w:line="360" w:lineRule="auto"/>
        <w:jc w:val="both"/>
        <w:rPr>
          <w:rFonts w:ascii="Times New Roman" w:hAnsi="Times New Roman" w:cs="Times New Roman"/>
          <w:color w:val="000000" w:themeColor="text1"/>
          <w:sz w:val="16"/>
          <w:szCs w:val="16"/>
        </w:rPr>
      </w:pPr>
    </w:p>
    <w:p w14:paraId="72E54CA5" w14:textId="765FDBA4" w:rsidR="00F40EFF" w:rsidRPr="00807E82" w:rsidRDefault="00F40EFF"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b/>
          <w:color w:val="000000" w:themeColor="text1"/>
        </w:rPr>
        <w:t>Figure 1 Flo</w:t>
      </w:r>
      <w:r w:rsidR="00807E82" w:rsidRPr="00977582">
        <w:rPr>
          <w:rFonts w:ascii="Book Antiqua" w:hAnsi="Book Antiqua" w:cs="Times New Roman"/>
          <w:b/>
          <w:color w:val="000000" w:themeColor="text1"/>
        </w:rPr>
        <w:t>w diagram of study coho</w:t>
      </w:r>
      <w:r w:rsidR="00807E82">
        <w:rPr>
          <w:rFonts w:ascii="Book Antiqua" w:hAnsi="Book Antiqua" w:cs="Times New Roman"/>
          <w:b/>
          <w:color w:val="000000" w:themeColor="text1"/>
        </w:rPr>
        <w:t>rt</w:t>
      </w:r>
      <w:r w:rsidR="00807E82">
        <w:rPr>
          <w:rFonts w:ascii="Book Antiqua" w:hAnsi="Book Antiqua" w:cs="Times New Roman" w:hint="eastAsia"/>
          <w:b/>
          <w:color w:val="000000" w:themeColor="text1"/>
          <w:lang w:eastAsia="zh-CN"/>
        </w:rPr>
        <w:t xml:space="preserve">. </w:t>
      </w:r>
      <w:r w:rsidR="00807E82" w:rsidRPr="00807E82">
        <w:rPr>
          <w:rFonts w:ascii="Book Antiqua" w:hAnsi="Book Antiqua" w:cs="Times New Roman" w:hint="eastAsia"/>
          <w:color w:val="000000" w:themeColor="text1"/>
          <w:vertAlign w:val="superscript"/>
          <w:lang w:eastAsia="zh-CN"/>
        </w:rPr>
        <w:t>1</w:t>
      </w:r>
      <w:r w:rsidRPr="00807E82">
        <w:rPr>
          <w:rFonts w:ascii="Book Antiqua" w:hAnsi="Book Antiqua" w:cs="Times New Roman"/>
          <w:caps/>
          <w:color w:val="000000" w:themeColor="text1"/>
        </w:rPr>
        <w:t>t</w:t>
      </w:r>
      <w:r w:rsidRPr="00807E82">
        <w:rPr>
          <w:rFonts w:ascii="Book Antiqua" w:hAnsi="Book Antiqua" w:cs="Times New Roman"/>
          <w:color w:val="000000" w:themeColor="text1"/>
        </w:rPr>
        <w:t>he first claim with a diagnosis code for carcinoid syndrome during 2003-2011 was defined as the index date</w:t>
      </w:r>
      <w:r w:rsidR="00807E82">
        <w:rPr>
          <w:rFonts w:ascii="Book Antiqua" w:hAnsi="Book Antiqua" w:cs="Times New Roman" w:hint="eastAsia"/>
          <w:color w:val="000000" w:themeColor="text1"/>
          <w:lang w:eastAsia="zh-CN"/>
        </w:rPr>
        <w:t>.</w:t>
      </w:r>
    </w:p>
    <w:p w14:paraId="72E54CA6" w14:textId="77777777" w:rsidR="00F40EFF" w:rsidRPr="00977582" w:rsidRDefault="00F40EFF" w:rsidP="0041646E">
      <w:pPr>
        <w:adjustRightInd w:val="0"/>
        <w:snapToGrid w:val="0"/>
        <w:spacing w:after="0" w:line="360" w:lineRule="auto"/>
        <w:jc w:val="both"/>
        <w:rPr>
          <w:rFonts w:ascii="Times New Roman" w:hAnsi="Times New Roman" w:cs="Times New Roman"/>
          <w:color w:val="000000" w:themeColor="text1"/>
          <w:sz w:val="16"/>
          <w:szCs w:val="16"/>
        </w:rPr>
      </w:pPr>
    </w:p>
    <w:p w14:paraId="72E54CA7" w14:textId="77777777" w:rsidR="00F40EFF" w:rsidRPr="00977582" w:rsidRDefault="00F40EFF" w:rsidP="0041646E">
      <w:pPr>
        <w:adjustRightInd w:val="0"/>
        <w:snapToGrid w:val="0"/>
        <w:spacing w:after="0" w:line="360" w:lineRule="auto"/>
        <w:jc w:val="both"/>
        <w:rPr>
          <w:rFonts w:ascii="Times New Roman" w:hAnsi="Times New Roman" w:cs="Times New Roman"/>
          <w:color w:val="000000" w:themeColor="text1"/>
          <w:sz w:val="16"/>
          <w:szCs w:val="16"/>
        </w:rPr>
      </w:pPr>
    </w:p>
    <w:p w14:paraId="72E54CA8" w14:textId="77777777" w:rsidR="00F40EFF" w:rsidRPr="00977582" w:rsidRDefault="00F40EFF" w:rsidP="0041646E">
      <w:pPr>
        <w:adjustRightInd w:val="0"/>
        <w:snapToGrid w:val="0"/>
        <w:spacing w:after="0" w:line="360" w:lineRule="auto"/>
        <w:jc w:val="both"/>
        <w:rPr>
          <w:rFonts w:ascii="Times New Roman" w:hAnsi="Times New Roman" w:cs="Times New Roman"/>
          <w:color w:val="000000" w:themeColor="text1"/>
          <w:sz w:val="16"/>
          <w:szCs w:val="16"/>
        </w:rPr>
      </w:pPr>
    </w:p>
    <w:p w14:paraId="72E54CA9" w14:textId="77777777" w:rsidR="00E80720" w:rsidRPr="00977582" w:rsidRDefault="00E80720" w:rsidP="0041646E">
      <w:pPr>
        <w:adjustRightInd w:val="0"/>
        <w:snapToGrid w:val="0"/>
        <w:spacing w:after="0" w:line="360" w:lineRule="auto"/>
        <w:jc w:val="both"/>
        <w:rPr>
          <w:rFonts w:ascii="Times New Roman" w:hAnsi="Times New Roman" w:cs="Times New Roman"/>
          <w:color w:val="000000" w:themeColor="text1"/>
          <w:sz w:val="16"/>
          <w:szCs w:val="16"/>
        </w:rPr>
        <w:sectPr w:rsidR="00E80720" w:rsidRPr="00977582" w:rsidSect="00F40EFF">
          <w:footerReference w:type="default" r:id="rId12"/>
          <w:pgSz w:w="12240" w:h="15840"/>
          <w:pgMar w:top="1440" w:right="1800" w:bottom="1440" w:left="1800" w:header="720" w:footer="720" w:gutter="0"/>
          <w:cols w:space="720"/>
        </w:sectPr>
      </w:pPr>
    </w:p>
    <w:p w14:paraId="72E54CAA" w14:textId="77777777" w:rsidR="00F40EFF" w:rsidRPr="00977582" w:rsidRDefault="00F40EFF" w:rsidP="0041646E">
      <w:pPr>
        <w:adjustRightInd w:val="0"/>
        <w:snapToGrid w:val="0"/>
        <w:spacing w:after="0" w:line="360" w:lineRule="auto"/>
        <w:jc w:val="both"/>
        <w:rPr>
          <w:rFonts w:ascii="Times New Roman" w:hAnsi="Times New Roman" w:cs="Times New Roman"/>
          <w:color w:val="000000" w:themeColor="text1"/>
          <w:sz w:val="16"/>
          <w:szCs w:val="16"/>
        </w:rPr>
        <w:sectPr w:rsidR="00F40EFF" w:rsidRPr="00977582" w:rsidSect="00E80720">
          <w:type w:val="continuous"/>
          <w:pgSz w:w="12240" w:h="15840"/>
          <w:pgMar w:top="1440" w:right="1800" w:bottom="1440" w:left="1800" w:header="720" w:footer="720" w:gutter="0"/>
          <w:cols w:space="720"/>
        </w:sectPr>
      </w:pPr>
    </w:p>
    <w:p w14:paraId="72E54CAB" w14:textId="77777777" w:rsidR="00F40EFF" w:rsidRPr="00977582" w:rsidRDefault="00F40EFF" w:rsidP="0041646E">
      <w:pPr>
        <w:framePr w:hSpace="180" w:wrap="around" w:vAnchor="page" w:hAnchor="margin" w:y="1801"/>
        <w:adjustRightInd w:val="0"/>
        <w:snapToGrid w:val="0"/>
        <w:spacing w:after="0" w:line="360" w:lineRule="auto"/>
        <w:jc w:val="both"/>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6116"/>
      </w:tblGrid>
      <w:tr w:rsidR="006E770B" w:rsidRPr="00977582" w14:paraId="72E54CAE" w14:textId="77777777" w:rsidTr="00F40EFF">
        <w:tc>
          <w:tcPr>
            <w:tcW w:w="4505" w:type="dxa"/>
          </w:tcPr>
          <w:p w14:paraId="72E54CAC" w14:textId="77777777" w:rsidR="00F40EFF" w:rsidRPr="00977582" w:rsidRDefault="00F40EFF" w:rsidP="0041646E">
            <w:pPr>
              <w:adjustRightInd w:val="0"/>
              <w:snapToGrid w:val="0"/>
              <w:spacing w:line="360" w:lineRule="auto"/>
              <w:jc w:val="both"/>
              <w:rPr>
                <w:rFonts w:ascii="Times New Roman" w:hAnsi="Times New Roman" w:cs="Times New Roman"/>
                <w:color w:val="000000" w:themeColor="text1"/>
                <w:sz w:val="16"/>
                <w:szCs w:val="16"/>
              </w:rPr>
            </w:pPr>
            <w:r w:rsidRPr="00977582">
              <w:rPr>
                <w:rFonts w:ascii="Times New Roman" w:hAnsi="Times New Roman" w:cs="Times New Roman"/>
                <w:color w:val="000000" w:themeColor="text1"/>
                <w:sz w:val="16"/>
                <w:szCs w:val="16"/>
              </w:rPr>
              <w:t>A</w:t>
            </w:r>
          </w:p>
        </w:tc>
        <w:tc>
          <w:tcPr>
            <w:tcW w:w="4351" w:type="dxa"/>
          </w:tcPr>
          <w:p w14:paraId="72E54CAD" w14:textId="77777777" w:rsidR="00F40EFF" w:rsidRPr="00977582" w:rsidRDefault="00F40EFF" w:rsidP="0041646E">
            <w:pPr>
              <w:adjustRightInd w:val="0"/>
              <w:snapToGrid w:val="0"/>
              <w:spacing w:line="360" w:lineRule="auto"/>
              <w:jc w:val="both"/>
              <w:rPr>
                <w:rFonts w:ascii="Times New Roman" w:hAnsi="Times New Roman" w:cs="Times New Roman"/>
                <w:color w:val="000000" w:themeColor="text1"/>
                <w:sz w:val="16"/>
                <w:szCs w:val="16"/>
              </w:rPr>
            </w:pPr>
            <w:r w:rsidRPr="00977582">
              <w:rPr>
                <w:rFonts w:ascii="Times New Roman" w:hAnsi="Times New Roman" w:cs="Times New Roman"/>
                <w:color w:val="000000" w:themeColor="text1"/>
                <w:sz w:val="16"/>
                <w:szCs w:val="16"/>
              </w:rPr>
              <w:t>B</w:t>
            </w:r>
          </w:p>
        </w:tc>
      </w:tr>
      <w:tr w:rsidR="006E770B" w:rsidRPr="00977582" w14:paraId="72E54CB1" w14:textId="77777777" w:rsidTr="00F40EFF">
        <w:tc>
          <w:tcPr>
            <w:tcW w:w="4505" w:type="dxa"/>
          </w:tcPr>
          <w:p w14:paraId="72E54CAF" w14:textId="77777777" w:rsidR="00F40EFF" w:rsidRPr="00977582" w:rsidRDefault="00F40EFF" w:rsidP="0041646E">
            <w:pPr>
              <w:adjustRightInd w:val="0"/>
              <w:snapToGrid w:val="0"/>
              <w:spacing w:line="360" w:lineRule="auto"/>
              <w:jc w:val="both"/>
              <w:rPr>
                <w:rFonts w:ascii="Times New Roman" w:hAnsi="Times New Roman" w:cs="Times New Roman"/>
                <w:color w:val="000000" w:themeColor="text1"/>
                <w:sz w:val="16"/>
                <w:szCs w:val="16"/>
              </w:rPr>
            </w:pPr>
            <w:r w:rsidRPr="00977582">
              <w:rPr>
                <w:noProof/>
                <w:color w:val="000000" w:themeColor="text1"/>
                <w:lang w:eastAsia="zh-CN"/>
              </w:rPr>
              <w:drawing>
                <wp:inline distT="0" distB="0" distL="0" distR="0" wp14:anchorId="72E54E1F" wp14:editId="72E54E20">
                  <wp:extent cx="3886200" cy="337820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351" w:type="dxa"/>
          </w:tcPr>
          <w:p w14:paraId="72E54CB0" w14:textId="77777777" w:rsidR="00F40EFF" w:rsidRPr="00977582" w:rsidRDefault="00F40EFF" w:rsidP="0041646E">
            <w:pPr>
              <w:adjustRightInd w:val="0"/>
              <w:snapToGrid w:val="0"/>
              <w:spacing w:line="360" w:lineRule="auto"/>
              <w:jc w:val="both"/>
              <w:rPr>
                <w:rFonts w:ascii="Times New Roman" w:hAnsi="Times New Roman" w:cs="Times New Roman"/>
                <w:color w:val="000000" w:themeColor="text1"/>
                <w:sz w:val="16"/>
                <w:szCs w:val="16"/>
              </w:rPr>
            </w:pPr>
            <w:r w:rsidRPr="00977582">
              <w:rPr>
                <w:noProof/>
                <w:color w:val="000000" w:themeColor="text1"/>
                <w:lang w:eastAsia="zh-CN"/>
              </w:rPr>
              <w:drawing>
                <wp:inline distT="0" distB="0" distL="0" distR="0" wp14:anchorId="72E54E21" wp14:editId="72E54E22">
                  <wp:extent cx="3746500" cy="3378200"/>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2E54CB4" w14:textId="52C50BD5" w:rsidR="00F40EFF" w:rsidRPr="00BD1A40" w:rsidRDefault="00F40EFF" w:rsidP="0041646E">
      <w:pPr>
        <w:adjustRightInd w:val="0"/>
        <w:snapToGrid w:val="0"/>
        <w:spacing w:after="0" w:line="360" w:lineRule="auto"/>
        <w:jc w:val="both"/>
        <w:rPr>
          <w:rFonts w:ascii="Book Antiqua" w:hAnsi="Book Antiqua" w:cs="Times New Roman"/>
          <w:b/>
          <w:color w:val="000000" w:themeColor="text1"/>
          <w:lang w:eastAsia="zh-CN"/>
        </w:rPr>
      </w:pPr>
      <w:r w:rsidRPr="00977582">
        <w:rPr>
          <w:rFonts w:ascii="Book Antiqua" w:hAnsi="Book Antiqua" w:cs="Times New Roman"/>
          <w:b/>
          <w:color w:val="000000" w:themeColor="text1"/>
        </w:rPr>
        <w:t xml:space="preserve">Figure 2 Adjusted </w:t>
      </w:r>
      <w:r w:rsidR="00BD1A40" w:rsidRPr="00977582">
        <w:rPr>
          <w:rFonts w:ascii="Book Antiqua" w:hAnsi="Book Antiqua" w:cs="Times New Roman"/>
          <w:b/>
          <w:color w:val="000000" w:themeColor="text1"/>
        </w:rPr>
        <w:t>proportions of overall and carcinoid syndrome-related hospitalization and mean total c</w:t>
      </w:r>
      <w:r w:rsidRPr="00977582">
        <w:rPr>
          <w:rFonts w:ascii="Book Antiqua" w:hAnsi="Book Antiqua" w:cs="Times New Roman"/>
          <w:b/>
          <w:color w:val="000000" w:themeColor="text1"/>
        </w:rPr>
        <w:t>osts</w:t>
      </w:r>
      <w:r w:rsidR="00BD1A40">
        <w:rPr>
          <w:rFonts w:ascii="Book Antiqua" w:hAnsi="Book Antiqua" w:cs="Times New Roman" w:hint="eastAsia"/>
          <w:b/>
          <w:color w:val="000000" w:themeColor="text1"/>
          <w:lang w:eastAsia="zh-CN"/>
        </w:rPr>
        <w:t xml:space="preserve">. </w:t>
      </w:r>
      <w:r w:rsidRPr="00977582">
        <w:rPr>
          <w:rFonts w:ascii="Book Antiqua" w:hAnsi="Book Antiqua" w:cs="Times New Roman"/>
          <w:color w:val="000000" w:themeColor="text1"/>
        </w:rPr>
        <w:t>Panel A depicts the adjusted proportion of patients with any hospitalization and carcinoid syndrome-related hospitalization by evidence of non-infectious diarrhea</w:t>
      </w:r>
      <w:r w:rsidR="00BD1A40">
        <w:rPr>
          <w:rFonts w:ascii="Book Antiqua" w:hAnsi="Book Antiqua" w:cs="Times New Roman" w:hint="eastAsia"/>
          <w:color w:val="000000" w:themeColor="text1"/>
          <w:lang w:eastAsia="zh-CN"/>
        </w:rPr>
        <w:t>;</w:t>
      </w:r>
      <w:r w:rsidR="005B1623" w:rsidRPr="00977582">
        <w:rPr>
          <w:rFonts w:ascii="Book Antiqua" w:hAnsi="Book Antiqua" w:cs="Times New Roman"/>
          <w:i/>
          <w:color w:val="000000" w:themeColor="text1"/>
        </w:rPr>
        <w:t xml:space="preserve"> </w:t>
      </w:r>
      <w:r w:rsidRPr="00977582">
        <w:rPr>
          <w:rFonts w:ascii="Book Antiqua" w:hAnsi="Book Antiqua" w:cs="Times New Roman"/>
          <w:color w:val="000000" w:themeColor="text1"/>
        </w:rPr>
        <w:t>Panel B depicts adjusted mean total annual costs by evidence of non-infectious diarrhea. Results were adjusted by age, gender, region and number of chronic conditions.</w:t>
      </w:r>
    </w:p>
    <w:p w14:paraId="72E54CB5" w14:textId="77777777" w:rsidR="00E80720" w:rsidRPr="00977582" w:rsidRDefault="00F40EFF" w:rsidP="0041646E">
      <w:pPr>
        <w:adjustRightInd w:val="0"/>
        <w:snapToGrid w:val="0"/>
        <w:spacing w:after="0" w:line="360" w:lineRule="auto"/>
        <w:jc w:val="both"/>
        <w:rPr>
          <w:rFonts w:ascii="Book Antiqua" w:hAnsi="Book Antiqua" w:cs="Times New Roman"/>
          <w:color w:val="000000" w:themeColor="text1"/>
        </w:rPr>
        <w:sectPr w:rsidR="00E80720" w:rsidRPr="00977582" w:rsidSect="007F7831">
          <w:pgSz w:w="15840" w:h="12240" w:orient="landscape"/>
          <w:pgMar w:top="1800" w:right="1440" w:bottom="1800" w:left="1440" w:header="720" w:footer="720" w:gutter="0"/>
          <w:cols w:space="720"/>
          <w:docGrid w:linePitch="326"/>
        </w:sectPr>
      </w:pPr>
      <w:r w:rsidRPr="00977582">
        <w:rPr>
          <w:rFonts w:ascii="Book Antiqua" w:hAnsi="Book Antiqua" w:cs="Times New Roman"/>
          <w:color w:val="000000" w:themeColor="text1"/>
        </w:rPr>
        <w:br w:type="page"/>
      </w:r>
    </w:p>
    <w:p w14:paraId="72E54CB6" w14:textId="0C264790"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b/>
          <w:color w:val="000000" w:themeColor="text1"/>
        </w:rPr>
        <w:lastRenderedPageBreak/>
        <w:t>Table 1</w:t>
      </w:r>
      <w:r w:rsidRPr="00977582">
        <w:rPr>
          <w:rFonts w:ascii="Book Antiqua" w:hAnsi="Book Antiqua" w:cs="Times New Roman"/>
          <w:color w:val="000000" w:themeColor="text1"/>
        </w:rPr>
        <w:t xml:space="preserve"> </w:t>
      </w:r>
      <w:r w:rsidRPr="00977582">
        <w:rPr>
          <w:rFonts w:ascii="Book Antiqua" w:hAnsi="Book Antiqua" w:cs="Times New Roman"/>
          <w:b/>
          <w:color w:val="000000" w:themeColor="text1"/>
        </w:rPr>
        <w:t xml:space="preserve">Baseline </w:t>
      </w:r>
      <w:r w:rsidR="00F25512" w:rsidRPr="00977582">
        <w:rPr>
          <w:rFonts w:ascii="Book Antiqua" w:hAnsi="Book Antiqua" w:cs="Times New Roman"/>
          <w:b/>
          <w:color w:val="000000" w:themeColor="text1"/>
        </w:rPr>
        <w:t xml:space="preserve">characteristics of patients with carcinoid syndrome, </w:t>
      </w:r>
      <w:bookmarkStart w:id="173" w:name="OLE_LINK31"/>
      <w:bookmarkStart w:id="174" w:name="OLE_LINK32"/>
      <w:r w:rsidR="00F25512" w:rsidRPr="00977582">
        <w:rPr>
          <w:rFonts w:ascii="Book Antiqua" w:hAnsi="Book Antiqua" w:cs="Times New Roman"/>
          <w:b/>
          <w:color w:val="000000" w:themeColor="text1"/>
        </w:rPr>
        <w:t>stratified by evidence of non-infectious d</w:t>
      </w:r>
      <w:r w:rsidRPr="00977582">
        <w:rPr>
          <w:rFonts w:ascii="Book Antiqua" w:hAnsi="Book Antiqua" w:cs="Times New Roman"/>
          <w:b/>
          <w:color w:val="000000" w:themeColor="text1"/>
        </w:rPr>
        <w:t>iarrhea</w:t>
      </w:r>
      <w:r w:rsidR="00F25512">
        <w:rPr>
          <w:rFonts w:ascii="Book Antiqua" w:hAnsi="Book Antiqua" w:cs="Times New Roman" w:hint="eastAsia"/>
          <w:b/>
          <w:color w:val="000000" w:themeColor="text1"/>
          <w:lang w:eastAsia="zh-CN"/>
        </w:rPr>
        <w:t xml:space="preserve"> </w:t>
      </w:r>
      <w:r w:rsidR="00F25512" w:rsidRPr="00F25512">
        <w:rPr>
          <w:rFonts w:ascii="Book Antiqua" w:hAnsi="Book Antiqua" w:cs="Times New Roman" w:hint="eastAsia"/>
          <w:b/>
          <w:i/>
          <w:color w:val="000000" w:themeColor="text1"/>
          <w:lang w:eastAsia="zh-CN"/>
        </w:rPr>
        <w:t>n</w:t>
      </w:r>
      <w:r w:rsidR="00F25512">
        <w:rPr>
          <w:rFonts w:ascii="Book Antiqua" w:hAnsi="Book Antiqua" w:cs="Times New Roman" w:hint="eastAsia"/>
          <w:b/>
          <w:color w:val="000000" w:themeColor="text1"/>
          <w:lang w:eastAsia="zh-CN"/>
        </w:rPr>
        <w:t xml:space="preserve"> (%)</w:t>
      </w:r>
    </w:p>
    <w:bookmarkEnd w:id="173"/>
    <w:bookmarkEnd w:id="174"/>
    <w:tbl>
      <w:tblPr>
        <w:tblW w:w="4352" w:type="pct"/>
        <w:jc w:val="center"/>
        <w:tblCellMar>
          <w:left w:w="0" w:type="dxa"/>
          <w:right w:w="0" w:type="dxa"/>
        </w:tblCellMar>
        <w:tblLook w:val="0000" w:firstRow="0" w:lastRow="0" w:firstColumn="0" w:lastColumn="0" w:noHBand="0" w:noVBand="0"/>
      </w:tblPr>
      <w:tblGrid>
        <w:gridCol w:w="1976"/>
        <w:gridCol w:w="1551"/>
        <w:gridCol w:w="1691"/>
        <w:gridCol w:w="1639"/>
        <w:gridCol w:w="830"/>
      </w:tblGrid>
      <w:tr w:rsidR="006E770B" w:rsidRPr="00F25512" w14:paraId="72E54CBF" w14:textId="77777777" w:rsidTr="001B09E2">
        <w:trPr>
          <w:cantSplit/>
          <w:trHeight w:val="897"/>
          <w:jc w:val="center"/>
        </w:trPr>
        <w:tc>
          <w:tcPr>
            <w:tcW w:w="1285" w:type="pct"/>
            <w:tcBorders>
              <w:top w:val="single" w:sz="12" w:space="0" w:color="auto"/>
              <w:left w:val="nil"/>
              <w:bottom w:val="single" w:sz="8" w:space="0" w:color="auto"/>
              <w:right w:val="nil"/>
            </w:tcBorders>
            <w:shd w:val="clear" w:color="auto" w:fill="FFFFFF"/>
            <w:tcMar>
              <w:left w:w="96" w:type="dxa"/>
              <w:right w:w="96" w:type="dxa"/>
            </w:tcMar>
          </w:tcPr>
          <w:p w14:paraId="72E54CB7" w14:textId="77777777" w:rsidR="001B09E2" w:rsidRPr="00F25512" w:rsidRDefault="001B09E2" w:rsidP="0041646E">
            <w:pPr>
              <w:adjustRightInd w:val="0"/>
              <w:snapToGrid w:val="0"/>
              <w:spacing w:after="0" w:line="360" w:lineRule="auto"/>
              <w:jc w:val="both"/>
              <w:rPr>
                <w:rFonts w:ascii="Book Antiqua" w:hAnsi="Book Antiqua" w:cs="Times New Roman"/>
                <w:b/>
                <w:bCs/>
                <w:color w:val="000000" w:themeColor="text1"/>
              </w:rPr>
            </w:pPr>
          </w:p>
        </w:tc>
        <w:tc>
          <w:tcPr>
            <w:tcW w:w="1009"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CB8" w14:textId="1DA97F80" w:rsidR="001B09E2" w:rsidRPr="00F25512" w:rsidRDefault="001B09E2" w:rsidP="0041646E">
            <w:pPr>
              <w:adjustRightInd w:val="0"/>
              <w:snapToGrid w:val="0"/>
              <w:spacing w:after="0" w:line="360" w:lineRule="auto"/>
              <w:jc w:val="both"/>
              <w:rPr>
                <w:rFonts w:ascii="Book Antiqua" w:hAnsi="Book Antiqua" w:cs="Times New Roman"/>
                <w:b/>
                <w:bCs/>
                <w:color w:val="000000" w:themeColor="text1"/>
              </w:rPr>
            </w:pPr>
            <w:r w:rsidRPr="00F25512">
              <w:rPr>
                <w:rFonts w:ascii="Book Antiqua" w:hAnsi="Book Antiqua" w:cs="Times New Roman"/>
                <w:b/>
                <w:bCs/>
                <w:color w:val="000000" w:themeColor="text1"/>
              </w:rPr>
              <w:t>With</w:t>
            </w:r>
            <w:r w:rsidR="00F25512" w:rsidRPr="00F25512">
              <w:rPr>
                <w:rFonts w:ascii="Book Antiqua" w:hAnsi="Book Antiqua" w:cs="Times New Roman"/>
                <w:b/>
                <w:bCs/>
                <w:color w:val="000000" w:themeColor="text1"/>
              </w:rPr>
              <w:t xml:space="preserve"> non-infectious diarrhe</w:t>
            </w:r>
            <w:r w:rsidRPr="00F25512">
              <w:rPr>
                <w:rFonts w:ascii="Book Antiqua" w:hAnsi="Book Antiqua" w:cs="Times New Roman"/>
                <w:b/>
                <w:bCs/>
                <w:color w:val="000000" w:themeColor="text1"/>
              </w:rPr>
              <w:t>a</w:t>
            </w:r>
          </w:p>
          <w:p w14:paraId="72E54CB9" w14:textId="794BC58F" w:rsidR="001B09E2" w:rsidRPr="00F25512" w:rsidRDefault="00F2551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olor w:val="000000" w:themeColor="text1"/>
              </w:rPr>
              <w:t xml:space="preserve">n = </w:t>
            </w:r>
            <w:r w:rsidR="001B09E2" w:rsidRPr="00F25512">
              <w:rPr>
                <w:rFonts w:ascii="Book Antiqua" w:hAnsi="Book Antiqua" w:cs="Times New Roman"/>
                <w:b/>
                <w:bCs/>
                <w:color w:val="000000" w:themeColor="text1"/>
              </w:rPr>
              <w:t xml:space="preserve">534 </w:t>
            </w:r>
          </w:p>
        </w:tc>
        <w:tc>
          <w:tcPr>
            <w:tcW w:w="1100"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CBA" w14:textId="2348A506" w:rsidR="001B09E2" w:rsidRPr="00F25512" w:rsidRDefault="001B09E2" w:rsidP="0041646E">
            <w:pPr>
              <w:adjustRightInd w:val="0"/>
              <w:snapToGrid w:val="0"/>
              <w:spacing w:after="0" w:line="360" w:lineRule="auto"/>
              <w:jc w:val="both"/>
              <w:rPr>
                <w:rFonts w:ascii="Book Antiqua" w:hAnsi="Book Antiqua" w:cs="Times New Roman"/>
                <w:b/>
                <w:bCs/>
                <w:color w:val="000000" w:themeColor="text1"/>
              </w:rPr>
            </w:pPr>
            <w:r w:rsidRPr="00F25512">
              <w:rPr>
                <w:rFonts w:ascii="Book Antiqua" w:hAnsi="Book Antiqua" w:cs="Times New Roman"/>
                <w:b/>
                <w:bCs/>
                <w:color w:val="000000" w:themeColor="text1"/>
              </w:rPr>
              <w:t>Witho</w:t>
            </w:r>
            <w:r w:rsidR="00F25512" w:rsidRPr="00F25512">
              <w:rPr>
                <w:rFonts w:ascii="Book Antiqua" w:hAnsi="Book Antiqua" w:cs="Times New Roman"/>
                <w:b/>
                <w:bCs/>
                <w:color w:val="000000" w:themeColor="text1"/>
              </w:rPr>
              <w:t>ut non-infectious diarrh</w:t>
            </w:r>
            <w:r w:rsidRPr="00F25512">
              <w:rPr>
                <w:rFonts w:ascii="Book Antiqua" w:hAnsi="Book Antiqua" w:cs="Times New Roman"/>
                <w:b/>
                <w:bCs/>
                <w:color w:val="000000" w:themeColor="text1"/>
              </w:rPr>
              <w:t>ea</w:t>
            </w:r>
          </w:p>
          <w:p w14:paraId="72E54CBB" w14:textId="38DD63AD" w:rsidR="001B09E2" w:rsidRPr="00F25512" w:rsidRDefault="00F2551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olor w:val="000000" w:themeColor="text1"/>
              </w:rPr>
              <w:t>n</w:t>
            </w:r>
            <w:r w:rsidRPr="00F25512">
              <w:rPr>
                <w:rFonts w:ascii="Book Antiqua" w:hAnsi="Book Antiqua" w:cs="Times New Roman"/>
                <w:b/>
                <w:bCs/>
                <w:color w:val="000000" w:themeColor="text1"/>
              </w:rPr>
              <w:t xml:space="preserve"> = 2</w:t>
            </w:r>
            <w:r w:rsidR="001B09E2" w:rsidRPr="00F25512">
              <w:rPr>
                <w:rFonts w:ascii="Book Antiqua" w:hAnsi="Book Antiqua" w:cs="Times New Roman"/>
                <w:b/>
                <w:bCs/>
                <w:color w:val="000000" w:themeColor="text1"/>
              </w:rPr>
              <w:t xml:space="preserve">288 </w:t>
            </w:r>
          </w:p>
        </w:tc>
        <w:tc>
          <w:tcPr>
            <w:tcW w:w="1066"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CBC" w14:textId="1F9F6494" w:rsidR="001B09E2" w:rsidRPr="00F25512" w:rsidRDefault="001B09E2" w:rsidP="0041646E">
            <w:pPr>
              <w:adjustRightInd w:val="0"/>
              <w:snapToGrid w:val="0"/>
              <w:spacing w:after="0" w:line="360" w:lineRule="auto"/>
              <w:jc w:val="both"/>
              <w:rPr>
                <w:rFonts w:ascii="Book Antiqua" w:hAnsi="Book Antiqua" w:cs="Times New Roman"/>
                <w:b/>
                <w:bCs/>
                <w:color w:val="000000" w:themeColor="text1"/>
              </w:rPr>
            </w:pPr>
            <w:r w:rsidRPr="00F25512">
              <w:rPr>
                <w:rFonts w:ascii="Book Antiqua" w:hAnsi="Book Antiqua" w:cs="Times New Roman"/>
                <w:b/>
                <w:bCs/>
                <w:color w:val="000000" w:themeColor="text1"/>
              </w:rPr>
              <w:t xml:space="preserve">All </w:t>
            </w:r>
            <w:r w:rsidR="00F25512" w:rsidRPr="00F25512">
              <w:rPr>
                <w:rFonts w:ascii="Book Antiqua" w:hAnsi="Book Antiqua" w:cs="Times New Roman"/>
                <w:b/>
                <w:bCs/>
                <w:color w:val="000000" w:themeColor="text1"/>
              </w:rPr>
              <w:t>newly diagno</w:t>
            </w:r>
            <w:r w:rsidRPr="00F25512">
              <w:rPr>
                <w:rFonts w:ascii="Book Antiqua" w:hAnsi="Book Antiqua" w:cs="Times New Roman"/>
                <w:b/>
                <w:bCs/>
                <w:color w:val="000000" w:themeColor="text1"/>
              </w:rPr>
              <w:t xml:space="preserve">sed CS </w:t>
            </w:r>
            <w:r w:rsidR="00F25512" w:rsidRPr="00F25512">
              <w:rPr>
                <w:rFonts w:ascii="Book Antiqua" w:hAnsi="Book Antiqua" w:cs="Times New Roman"/>
                <w:b/>
                <w:bCs/>
                <w:color w:val="000000" w:themeColor="text1"/>
              </w:rPr>
              <w:t>p</w:t>
            </w:r>
            <w:r w:rsidRPr="00F25512">
              <w:rPr>
                <w:rFonts w:ascii="Book Antiqua" w:hAnsi="Book Antiqua" w:cs="Times New Roman"/>
                <w:b/>
                <w:bCs/>
                <w:color w:val="000000" w:themeColor="text1"/>
              </w:rPr>
              <w:t>atients</w:t>
            </w:r>
          </w:p>
          <w:p w14:paraId="72E54CBD" w14:textId="0FB7F827" w:rsidR="001B09E2" w:rsidRPr="00F25512" w:rsidRDefault="00F2551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olor w:val="000000" w:themeColor="text1"/>
              </w:rPr>
              <w:t>n</w:t>
            </w:r>
            <w:r w:rsidRPr="00F25512">
              <w:rPr>
                <w:rFonts w:ascii="Book Antiqua" w:hAnsi="Book Antiqua" w:cs="Times New Roman"/>
                <w:b/>
                <w:bCs/>
                <w:color w:val="000000" w:themeColor="text1"/>
              </w:rPr>
              <w:t xml:space="preserve"> = </w:t>
            </w:r>
            <w:r>
              <w:rPr>
                <w:rFonts w:ascii="Book Antiqua" w:hAnsi="Book Antiqua" w:cs="Times New Roman"/>
                <w:b/>
                <w:bCs/>
                <w:color w:val="000000" w:themeColor="text1"/>
              </w:rPr>
              <w:t>2</w:t>
            </w:r>
            <w:r w:rsidR="001B09E2" w:rsidRPr="00F25512">
              <w:rPr>
                <w:rFonts w:ascii="Book Antiqua" w:hAnsi="Book Antiqua" w:cs="Times New Roman"/>
                <w:b/>
                <w:bCs/>
                <w:color w:val="000000" w:themeColor="text1"/>
              </w:rPr>
              <w:t>822</w:t>
            </w:r>
          </w:p>
        </w:tc>
        <w:tc>
          <w:tcPr>
            <w:tcW w:w="540"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CBE" w14:textId="2EFDD570" w:rsidR="001B09E2" w:rsidRPr="00F25512" w:rsidRDefault="001B09E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aps/>
                <w:color w:val="000000" w:themeColor="text1"/>
              </w:rPr>
              <w:t>p</w:t>
            </w:r>
            <w:r w:rsidR="00F25512" w:rsidRPr="00F25512">
              <w:rPr>
                <w:rFonts w:ascii="Book Antiqua" w:hAnsi="Book Antiqua" w:cs="Times New Roman" w:hint="eastAsia"/>
                <w:b/>
                <w:bCs/>
                <w:i/>
                <w:color w:val="000000" w:themeColor="text1"/>
                <w:lang w:eastAsia="zh-CN"/>
              </w:rPr>
              <w:t>-</w:t>
            </w:r>
            <w:r w:rsidRPr="00F25512">
              <w:rPr>
                <w:rFonts w:ascii="Book Antiqua" w:hAnsi="Book Antiqua" w:cs="Times New Roman"/>
                <w:b/>
                <w:bCs/>
                <w:color w:val="000000" w:themeColor="text1"/>
              </w:rPr>
              <w:t>value</w:t>
            </w:r>
          </w:p>
        </w:tc>
      </w:tr>
      <w:tr w:rsidR="006E770B" w:rsidRPr="00977582" w14:paraId="72E54CC9" w14:textId="77777777" w:rsidTr="001B09E2">
        <w:trPr>
          <w:cantSplit/>
          <w:jc w:val="center"/>
        </w:trPr>
        <w:tc>
          <w:tcPr>
            <w:tcW w:w="1285" w:type="pct"/>
            <w:tcBorders>
              <w:left w:val="nil"/>
              <w:right w:val="nil"/>
            </w:tcBorders>
            <w:shd w:val="clear" w:color="auto" w:fill="FFFFFF"/>
            <w:tcMar>
              <w:left w:w="96" w:type="dxa"/>
              <w:right w:w="96" w:type="dxa"/>
            </w:tcMar>
          </w:tcPr>
          <w:p w14:paraId="72E54CC4"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Age in years</w:t>
            </w:r>
          </w:p>
        </w:tc>
        <w:tc>
          <w:tcPr>
            <w:tcW w:w="1009" w:type="pct"/>
            <w:tcBorders>
              <w:left w:val="nil"/>
              <w:right w:val="nil"/>
            </w:tcBorders>
            <w:shd w:val="clear" w:color="auto" w:fill="FFFFFF"/>
            <w:tcMar>
              <w:left w:w="96" w:type="dxa"/>
              <w:right w:w="96" w:type="dxa"/>
            </w:tcMar>
            <w:vAlign w:val="bottom"/>
          </w:tcPr>
          <w:p w14:paraId="72E54CC5" w14:textId="04CD8727"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51.3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9.9</w:t>
            </w:r>
          </w:p>
        </w:tc>
        <w:tc>
          <w:tcPr>
            <w:tcW w:w="1100" w:type="pct"/>
            <w:tcBorders>
              <w:left w:val="nil"/>
              <w:right w:val="nil"/>
            </w:tcBorders>
            <w:shd w:val="clear" w:color="auto" w:fill="FFFFFF"/>
            <w:tcMar>
              <w:left w:w="96" w:type="dxa"/>
              <w:right w:w="96" w:type="dxa"/>
            </w:tcMar>
            <w:vAlign w:val="bottom"/>
          </w:tcPr>
          <w:p w14:paraId="72E54CC6" w14:textId="7D252C79"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51.6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10.1</w:t>
            </w:r>
          </w:p>
        </w:tc>
        <w:tc>
          <w:tcPr>
            <w:tcW w:w="1066" w:type="pct"/>
            <w:tcBorders>
              <w:left w:val="nil"/>
              <w:right w:val="nil"/>
            </w:tcBorders>
            <w:shd w:val="clear" w:color="auto" w:fill="FFFFFF"/>
            <w:tcMar>
              <w:left w:w="96" w:type="dxa"/>
              <w:right w:w="96" w:type="dxa"/>
            </w:tcMar>
            <w:vAlign w:val="bottom"/>
          </w:tcPr>
          <w:p w14:paraId="72E54CC7" w14:textId="04DCA994"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51.5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10.1</w:t>
            </w:r>
          </w:p>
        </w:tc>
        <w:tc>
          <w:tcPr>
            <w:tcW w:w="540" w:type="pct"/>
            <w:tcBorders>
              <w:left w:val="nil"/>
              <w:right w:val="nil"/>
            </w:tcBorders>
            <w:shd w:val="clear" w:color="auto" w:fill="FFFFFF"/>
            <w:tcMar>
              <w:left w:w="96" w:type="dxa"/>
              <w:right w:w="96" w:type="dxa"/>
            </w:tcMar>
            <w:vAlign w:val="bottom"/>
          </w:tcPr>
          <w:p w14:paraId="72E54CC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0.639</w:t>
            </w:r>
          </w:p>
        </w:tc>
      </w:tr>
      <w:tr w:rsidR="006E770B" w:rsidRPr="00977582" w14:paraId="72E54CCF" w14:textId="77777777" w:rsidTr="001B09E2">
        <w:trPr>
          <w:cantSplit/>
          <w:jc w:val="center"/>
        </w:trPr>
        <w:tc>
          <w:tcPr>
            <w:tcW w:w="1285" w:type="pct"/>
            <w:tcBorders>
              <w:left w:val="nil"/>
              <w:right w:val="nil"/>
            </w:tcBorders>
            <w:shd w:val="clear" w:color="auto" w:fill="FFFFFF"/>
            <w:tcMar>
              <w:left w:w="96" w:type="dxa"/>
              <w:right w:w="96" w:type="dxa"/>
            </w:tcMar>
          </w:tcPr>
          <w:p w14:paraId="72E54CCA"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Charlson comorbidity index</w:t>
            </w:r>
          </w:p>
        </w:tc>
        <w:tc>
          <w:tcPr>
            <w:tcW w:w="1009" w:type="pct"/>
            <w:tcBorders>
              <w:left w:val="nil"/>
              <w:right w:val="nil"/>
            </w:tcBorders>
            <w:shd w:val="clear" w:color="auto" w:fill="FFFFFF"/>
            <w:tcMar>
              <w:left w:w="96" w:type="dxa"/>
              <w:right w:w="96" w:type="dxa"/>
            </w:tcMar>
            <w:vAlign w:val="bottom"/>
          </w:tcPr>
          <w:p w14:paraId="72E54CCB" w14:textId="609A5587"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3.7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3.9</w:t>
            </w:r>
          </w:p>
        </w:tc>
        <w:tc>
          <w:tcPr>
            <w:tcW w:w="1100" w:type="pct"/>
            <w:tcBorders>
              <w:left w:val="nil"/>
              <w:right w:val="nil"/>
            </w:tcBorders>
            <w:shd w:val="clear" w:color="auto" w:fill="FFFFFF"/>
            <w:tcMar>
              <w:left w:w="96" w:type="dxa"/>
              <w:right w:w="96" w:type="dxa"/>
            </w:tcMar>
            <w:vAlign w:val="bottom"/>
          </w:tcPr>
          <w:p w14:paraId="72E54CCC" w14:textId="1AF7185A"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3.6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3.8</w:t>
            </w:r>
          </w:p>
        </w:tc>
        <w:tc>
          <w:tcPr>
            <w:tcW w:w="1066" w:type="pct"/>
            <w:tcBorders>
              <w:left w:val="nil"/>
              <w:right w:val="nil"/>
            </w:tcBorders>
            <w:shd w:val="clear" w:color="auto" w:fill="FFFFFF"/>
            <w:tcMar>
              <w:left w:w="96" w:type="dxa"/>
              <w:right w:w="96" w:type="dxa"/>
            </w:tcMar>
            <w:vAlign w:val="bottom"/>
          </w:tcPr>
          <w:p w14:paraId="72E54CCD" w14:textId="537E3A5B"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3.6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3.8</w:t>
            </w:r>
          </w:p>
        </w:tc>
        <w:tc>
          <w:tcPr>
            <w:tcW w:w="540" w:type="pct"/>
            <w:tcBorders>
              <w:left w:val="nil"/>
              <w:right w:val="nil"/>
            </w:tcBorders>
            <w:shd w:val="clear" w:color="auto" w:fill="FFFFFF"/>
            <w:tcMar>
              <w:left w:w="96" w:type="dxa"/>
              <w:right w:w="96" w:type="dxa"/>
            </w:tcMar>
            <w:vAlign w:val="bottom"/>
          </w:tcPr>
          <w:p w14:paraId="72E54CC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0.643</w:t>
            </w:r>
          </w:p>
        </w:tc>
      </w:tr>
      <w:tr w:rsidR="006E770B" w:rsidRPr="00977582" w14:paraId="72E54CD5" w14:textId="77777777" w:rsidTr="001B09E2">
        <w:trPr>
          <w:cantSplit/>
          <w:jc w:val="center"/>
        </w:trPr>
        <w:tc>
          <w:tcPr>
            <w:tcW w:w="1285" w:type="pct"/>
            <w:tcBorders>
              <w:left w:val="nil"/>
              <w:right w:val="nil"/>
            </w:tcBorders>
            <w:shd w:val="clear" w:color="auto" w:fill="FFFFFF"/>
            <w:tcMar>
              <w:left w:w="96" w:type="dxa"/>
              <w:right w:w="96" w:type="dxa"/>
            </w:tcMar>
          </w:tcPr>
          <w:p w14:paraId="72E54CD0"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No. of chronic conditions</w:t>
            </w:r>
          </w:p>
        </w:tc>
        <w:tc>
          <w:tcPr>
            <w:tcW w:w="1009" w:type="pct"/>
            <w:tcBorders>
              <w:left w:val="nil"/>
              <w:right w:val="nil"/>
            </w:tcBorders>
            <w:shd w:val="clear" w:color="auto" w:fill="FFFFFF"/>
            <w:tcMar>
              <w:left w:w="96" w:type="dxa"/>
              <w:right w:w="96" w:type="dxa"/>
            </w:tcMar>
            <w:vAlign w:val="bottom"/>
          </w:tcPr>
          <w:p w14:paraId="72E54CD1" w14:textId="0DEBDFF3"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4.0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2.4</w:t>
            </w:r>
          </w:p>
        </w:tc>
        <w:tc>
          <w:tcPr>
            <w:tcW w:w="1100" w:type="pct"/>
            <w:tcBorders>
              <w:left w:val="nil"/>
              <w:right w:val="nil"/>
            </w:tcBorders>
            <w:shd w:val="clear" w:color="auto" w:fill="FFFFFF"/>
            <w:tcMar>
              <w:left w:w="96" w:type="dxa"/>
              <w:right w:w="96" w:type="dxa"/>
            </w:tcMar>
            <w:vAlign w:val="bottom"/>
          </w:tcPr>
          <w:p w14:paraId="72E54CD2" w14:textId="73DADCE1"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3.4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2.0</w:t>
            </w:r>
          </w:p>
        </w:tc>
        <w:tc>
          <w:tcPr>
            <w:tcW w:w="1066" w:type="pct"/>
            <w:tcBorders>
              <w:left w:val="nil"/>
              <w:right w:val="nil"/>
            </w:tcBorders>
            <w:shd w:val="clear" w:color="auto" w:fill="FFFFFF"/>
            <w:tcMar>
              <w:left w:w="96" w:type="dxa"/>
              <w:right w:w="96" w:type="dxa"/>
            </w:tcMar>
            <w:vAlign w:val="bottom"/>
          </w:tcPr>
          <w:p w14:paraId="72E54CD3" w14:textId="5E08B685" w:rsidR="001B09E2" w:rsidRPr="00977582" w:rsidRDefault="001B09E2"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3.5 </w:t>
            </w:r>
            <w:r w:rsidR="00F25512" w:rsidRPr="00F25512">
              <w:rPr>
                <w:rFonts w:ascii="Book Antiqua" w:hAnsi="Book Antiqua" w:cs="Times New Roman"/>
                <w:color w:val="000000" w:themeColor="text1"/>
                <w:lang w:eastAsia="zh-CN"/>
              </w:rPr>
              <w:t>±</w:t>
            </w:r>
            <w:r w:rsidR="00F25512">
              <w:rPr>
                <w:rFonts w:ascii="Book Antiqua" w:hAnsi="Book Antiqua" w:cs="Times New Roman" w:hint="eastAsia"/>
                <w:color w:val="000000" w:themeColor="text1"/>
                <w:lang w:eastAsia="zh-CN"/>
              </w:rPr>
              <w:t xml:space="preserve"> </w:t>
            </w:r>
            <w:r w:rsidR="00F25512">
              <w:rPr>
                <w:rFonts w:ascii="Book Antiqua" w:hAnsi="Book Antiqua" w:cs="Times New Roman"/>
                <w:color w:val="000000" w:themeColor="text1"/>
              </w:rPr>
              <w:t>2.1</w:t>
            </w:r>
          </w:p>
        </w:tc>
        <w:tc>
          <w:tcPr>
            <w:tcW w:w="540" w:type="pct"/>
            <w:tcBorders>
              <w:left w:val="nil"/>
              <w:right w:val="nil"/>
            </w:tcBorders>
            <w:shd w:val="clear" w:color="auto" w:fill="FFFFFF"/>
            <w:tcMar>
              <w:left w:w="96" w:type="dxa"/>
              <w:right w:w="96" w:type="dxa"/>
            </w:tcMar>
            <w:vAlign w:val="bottom"/>
          </w:tcPr>
          <w:p w14:paraId="72E54CD4" w14:textId="1FB7A226"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6E770B" w:rsidRPr="00977582" w14:paraId="72E54CDF"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D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Age group (in years)</w:t>
            </w:r>
          </w:p>
        </w:tc>
        <w:tc>
          <w:tcPr>
            <w:tcW w:w="1009" w:type="pct"/>
            <w:tcBorders>
              <w:top w:val="nil"/>
              <w:left w:val="nil"/>
              <w:right w:val="nil"/>
            </w:tcBorders>
            <w:shd w:val="clear" w:color="auto" w:fill="FFFFFF"/>
            <w:tcMar>
              <w:left w:w="96" w:type="dxa"/>
              <w:right w:w="96" w:type="dxa"/>
            </w:tcMar>
            <w:vAlign w:val="bottom"/>
          </w:tcPr>
          <w:p w14:paraId="72E54CD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00" w:type="pct"/>
            <w:tcBorders>
              <w:top w:val="nil"/>
              <w:left w:val="nil"/>
              <w:right w:val="nil"/>
            </w:tcBorders>
            <w:shd w:val="clear" w:color="auto" w:fill="FFFFFF"/>
            <w:tcMar>
              <w:left w:w="96" w:type="dxa"/>
              <w:right w:w="96" w:type="dxa"/>
            </w:tcMar>
            <w:vAlign w:val="bottom"/>
          </w:tcPr>
          <w:p w14:paraId="72E54CD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066" w:type="pct"/>
            <w:tcBorders>
              <w:top w:val="nil"/>
              <w:left w:val="nil"/>
              <w:right w:val="nil"/>
            </w:tcBorders>
            <w:shd w:val="clear" w:color="auto" w:fill="FFFFFF"/>
            <w:tcMar>
              <w:left w:w="96" w:type="dxa"/>
              <w:right w:w="96" w:type="dxa"/>
            </w:tcMar>
            <w:vAlign w:val="bottom"/>
          </w:tcPr>
          <w:p w14:paraId="72E54CDD"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540" w:type="pct"/>
            <w:tcBorders>
              <w:top w:val="nil"/>
              <w:left w:val="nil"/>
              <w:right w:val="nil"/>
            </w:tcBorders>
            <w:shd w:val="clear" w:color="auto" w:fill="FFFFFF"/>
            <w:tcMar>
              <w:left w:w="96" w:type="dxa"/>
              <w:right w:w="96" w:type="dxa"/>
            </w:tcMar>
            <w:vAlign w:val="bottom"/>
          </w:tcPr>
          <w:p w14:paraId="72E54CD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0.120</w:t>
            </w:r>
          </w:p>
        </w:tc>
      </w:tr>
      <w:tr w:rsidR="006E770B" w:rsidRPr="00977582" w14:paraId="72E54CE5"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E0" w14:textId="0F4EE8C8" w:rsidR="001B09E2" w:rsidRPr="00977582" w:rsidRDefault="007F7831"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w:t>
            </w:r>
            <w:r w:rsidR="00F25512">
              <w:rPr>
                <w:rFonts w:ascii="Book Antiqua" w:hAnsi="Book Antiqua" w:cs="Times New Roman" w:hint="eastAsia"/>
                <w:color w:val="000000" w:themeColor="text1"/>
                <w:lang w:eastAsia="zh-CN"/>
              </w:rPr>
              <w:t xml:space="preserve"> </w:t>
            </w:r>
            <w:r w:rsidR="001B09E2" w:rsidRPr="00977582">
              <w:rPr>
                <w:rFonts w:ascii="Book Antiqua" w:hAnsi="Book Antiqua" w:cs="Times New Roman"/>
                <w:color w:val="000000" w:themeColor="text1"/>
              </w:rPr>
              <w:t>17</w:t>
            </w:r>
          </w:p>
        </w:tc>
        <w:tc>
          <w:tcPr>
            <w:tcW w:w="1009" w:type="pct"/>
            <w:tcBorders>
              <w:top w:val="nil"/>
              <w:left w:val="nil"/>
              <w:right w:val="nil"/>
            </w:tcBorders>
            <w:shd w:val="clear" w:color="auto" w:fill="FFFFFF"/>
            <w:tcMar>
              <w:left w:w="96" w:type="dxa"/>
              <w:right w:w="96" w:type="dxa"/>
            </w:tcMar>
            <w:vAlign w:val="bottom"/>
          </w:tcPr>
          <w:p w14:paraId="72E54CE1"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 (0.2)</w:t>
            </w:r>
          </w:p>
        </w:tc>
        <w:tc>
          <w:tcPr>
            <w:tcW w:w="1100" w:type="pct"/>
            <w:tcBorders>
              <w:top w:val="nil"/>
              <w:left w:val="nil"/>
              <w:right w:val="nil"/>
            </w:tcBorders>
            <w:shd w:val="clear" w:color="auto" w:fill="FFFFFF"/>
            <w:tcMar>
              <w:left w:w="96" w:type="dxa"/>
              <w:right w:w="96" w:type="dxa"/>
            </w:tcMar>
            <w:vAlign w:val="bottom"/>
          </w:tcPr>
          <w:p w14:paraId="72E54CE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22 (1.0)</w:t>
            </w:r>
          </w:p>
        </w:tc>
        <w:tc>
          <w:tcPr>
            <w:tcW w:w="1066" w:type="pct"/>
            <w:tcBorders>
              <w:top w:val="nil"/>
              <w:left w:val="nil"/>
              <w:right w:val="nil"/>
            </w:tcBorders>
            <w:shd w:val="clear" w:color="auto" w:fill="FFFFFF"/>
            <w:tcMar>
              <w:left w:w="96" w:type="dxa"/>
              <w:right w:w="96" w:type="dxa"/>
            </w:tcMar>
            <w:vAlign w:val="bottom"/>
          </w:tcPr>
          <w:p w14:paraId="72E54CE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23 (0.8)</w:t>
            </w:r>
          </w:p>
        </w:tc>
        <w:tc>
          <w:tcPr>
            <w:tcW w:w="540" w:type="pct"/>
            <w:tcBorders>
              <w:top w:val="nil"/>
              <w:left w:val="nil"/>
              <w:right w:val="nil"/>
            </w:tcBorders>
            <w:shd w:val="clear" w:color="auto" w:fill="FFFFFF"/>
            <w:tcMar>
              <w:left w:w="96" w:type="dxa"/>
              <w:right w:w="96" w:type="dxa"/>
            </w:tcMar>
            <w:vAlign w:val="bottom"/>
          </w:tcPr>
          <w:p w14:paraId="72E54CE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CEB"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E6"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18-24</w:t>
            </w:r>
          </w:p>
        </w:tc>
        <w:tc>
          <w:tcPr>
            <w:tcW w:w="1009" w:type="pct"/>
            <w:tcBorders>
              <w:top w:val="nil"/>
              <w:left w:val="nil"/>
              <w:right w:val="nil"/>
            </w:tcBorders>
            <w:shd w:val="clear" w:color="auto" w:fill="FFFFFF"/>
            <w:tcMar>
              <w:left w:w="96" w:type="dxa"/>
              <w:right w:w="96" w:type="dxa"/>
            </w:tcMar>
            <w:vAlign w:val="bottom"/>
          </w:tcPr>
          <w:p w14:paraId="72E54CE7"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8 (1.5)</w:t>
            </w:r>
          </w:p>
        </w:tc>
        <w:tc>
          <w:tcPr>
            <w:tcW w:w="1100" w:type="pct"/>
            <w:tcBorders>
              <w:top w:val="nil"/>
              <w:left w:val="nil"/>
              <w:right w:val="nil"/>
            </w:tcBorders>
            <w:shd w:val="clear" w:color="auto" w:fill="FFFFFF"/>
            <w:tcMar>
              <w:left w:w="96" w:type="dxa"/>
              <w:right w:w="96" w:type="dxa"/>
            </w:tcMar>
            <w:vAlign w:val="bottom"/>
          </w:tcPr>
          <w:p w14:paraId="72E54CE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30 (1.3)</w:t>
            </w:r>
          </w:p>
        </w:tc>
        <w:tc>
          <w:tcPr>
            <w:tcW w:w="1066" w:type="pct"/>
            <w:tcBorders>
              <w:top w:val="nil"/>
              <w:left w:val="nil"/>
              <w:right w:val="nil"/>
            </w:tcBorders>
            <w:shd w:val="clear" w:color="auto" w:fill="FFFFFF"/>
            <w:tcMar>
              <w:left w:w="96" w:type="dxa"/>
              <w:right w:w="96" w:type="dxa"/>
            </w:tcMar>
            <w:vAlign w:val="bottom"/>
          </w:tcPr>
          <w:p w14:paraId="72E54CE9"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38 (1.3)</w:t>
            </w:r>
          </w:p>
        </w:tc>
        <w:tc>
          <w:tcPr>
            <w:tcW w:w="540" w:type="pct"/>
            <w:tcBorders>
              <w:top w:val="nil"/>
              <w:left w:val="nil"/>
              <w:right w:val="nil"/>
            </w:tcBorders>
            <w:shd w:val="clear" w:color="auto" w:fill="FFFFFF"/>
            <w:tcMar>
              <w:left w:w="96" w:type="dxa"/>
              <w:right w:w="96" w:type="dxa"/>
            </w:tcMar>
            <w:vAlign w:val="bottom"/>
          </w:tcPr>
          <w:p w14:paraId="72E54CE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CF1"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EC"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25-34</w:t>
            </w:r>
          </w:p>
        </w:tc>
        <w:tc>
          <w:tcPr>
            <w:tcW w:w="1009" w:type="pct"/>
            <w:tcBorders>
              <w:top w:val="nil"/>
              <w:left w:val="nil"/>
              <w:right w:val="nil"/>
            </w:tcBorders>
            <w:shd w:val="clear" w:color="auto" w:fill="FFFFFF"/>
            <w:tcMar>
              <w:left w:w="96" w:type="dxa"/>
              <w:right w:w="96" w:type="dxa"/>
            </w:tcMar>
            <w:vAlign w:val="bottom"/>
          </w:tcPr>
          <w:p w14:paraId="72E54CED"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33 (6.2)</w:t>
            </w:r>
          </w:p>
        </w:tc>
        <w:tc>
          <w:tcPr>
            <w:tcW w:w="1100" w:type="pct"/>
            <w:tcBorders>
              <w:top w:val="nil"/>
              <w:left w:val="nil"/>
              <w:right w:val="nil"/>
            </w:tcBorders>
            <w:shd w:val="clear" w:color="auto" w:fill="FFFFFF"/>
            <w:tcMar>
              <w:left w:w="96" w:type="dxa"/>
              <w:right w:w="96" w:type="dxa"/>
            </w:tcMar>
            <w:vAlign w:val="bottom"/>
          </w:tcPr>
          <w:p w14:paraId="72E54CE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114 (5.0)</w:t>
            </w:r>
          </w:p>
        </w:tc>
        <w:tc>
          <w:tcPr>
            <w:tcW w:w="1066" w:type="pct"/>
            <w:tcBorders>
              <w:top w:val="nil"/>
              <w:left w:val="nil"/>
              <w:right w:val="nil"/>
            </w:tcBorders>
            <w:shd w:val="clear" w:color="auto" w:fill="FFFFFF"/>
            <w:tcMar>
              <w:left w:w="96" w:type="dxa"/>
              <w:right w:w="96" w:type="dxa"/>
            </w:tcMar>
            <w:vAlign w:val="bottom"/>
          </w:tcPr>
          <w:p w14:paraId="72E54CE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147 (5.2)</w:t>
            </w:r>
          </w:p>
        </w:tc>
        <w:tc>
          <w:tcPr>
            <w:tcW w:w="540" w:type="pct"/>
            <w:tcBorders>
              <w:top w:val="nil"/>
              <w:left w:val="nil"/>
              <w:right w:val="nil"/>
            </w:tcBorders>
            <w:shd w:val="clear" w:color="auto" w:fill="FFFFFF"/>
            <w:tcMar>
              <w:left w:w="96" w:type="dxa"/>
              <w:right w:w="96" w:type="dxa"/>
            </w:tcMar>
            <w:vAlign w:val="bottom"/>
          </w:tcPr>
          <w:p w14:paraId="72E54CF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CF7"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F2"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35-44</w:t>
            </w:r>
          </w:p>
        </w:tc>
        <w:tc>
          <w:tcPr>
            <w:tcW w:w="1009" w:type="pct"/>
            <w:tcBorders>
              <w:top w:val="nil"/>
              <w:left w:val="nil"/>
              <w:right w:val="nil"/>
            </w:tcBorders>
            <w:shd w:val="clear" w:color="auto" w:fill="FFFFFF"/>
            <w:tcMar>
              <w:left w:w="96" w:type="dxa"/>
              <w:right w:w="96" w:type="dxa"/>
            </w:tcMar>
            <w:vAlign w:val="bottom"/>
          </w:tcPr>
          <w:p w14:paraId="72E54CF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80 (15.0)</w:t>
            </w:r>
          </w:p>
        </w:tc>
        <w:tc>
          <w:tcPr>
            <w:tcW w:w="1100" w:type="pct"/>
            <w:tcBorders>
              <w:top w:val="nil"/>
              <w:left w:val="nil"/>
              <w:right w:val="nil"/>
            </w:tcBorders>
            <w:shd w:val="clear" w:color="auto" w:fill="FFFFFF"/>
            <w:tcMar>
              <w:left w:w="96" w:type="dxa"/>
              <w:right w:w="96" w:type="dxa"/>
            </w:tcMar>
            <w:vAlign w:val="bottom"/>
          </w:tcPr>
          <w:p w14:paraId="72E54CF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279 (12.2)</w:t>
            </w:r>
          </w:p>
        </w:tc>
        <w:tc>
          <w:tcPr>
            <w:tcW w:w="1066" w:type="pct"/>
            <w:tcBorders>
              <w:top w:val="nil"/>
              <w:left w:val="nil"/>
              <w:right w:val="nil"/>
            </w:tcBorders>
            <w:shd w:val="clear" w:color="auto" w:fill="FFFFFF"/>
            <w:tcMar>
              <w:left w:w="96" w:type="dxa"/>
              <w:right w:w="96" w:type="dxa"/>
            </w:tcMar>
            <w:vAlign w:val="bottom"/>
          </w:tcPr>
          <w:p w14:paraId="72E54CF5"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359 (12.7)</w:t>
            </w:r>
          </w:p>
        </w:tc>
        <w:tc>
          <w:tcPr>
            <w:tcW w:w="540" w:type="pct"/>
            <w:tcBorders>
              <w:top w:val="nil"/>
              <w:left w:val="nil"/>
              <w:right w:val="nil"/>
            </w:tcBorders>
            <w:shd w:val="clear" w:color="auto" w:fill="FFFFFF"/>
            <w:tcMar>
              <w:left w:w="96" w:type="dxa"/>
              <w:right w:w="96" w:type="dxa"/>
            </w:tcMar>
            <w:vAlign w:val="bottom"/>
          </w:tcPr>
          <w:p w14:paraId="72E54CF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CFD"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F8"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45-54</w:t>
            </w:r>
          </w:p>
        </w:tc>
        <w:tc>
          <w:tcPr>
            <w:tcW w:w="1009" w:type="pct"/>
            <w:tcBorders>
              <w:top w:val="nil"/>
              <w:left w:val="nil"/>
              <w:right w:val="nil"/>
            </w:tcBorders>
            <w:shd w:val="clear" w:color="auto" w:fill="FFFFFF"/>
            <w:tcMar>
              <w:left w:w="96" w:type="dxa"/>
              <w:right w:w="96" w:type="dxa"/>
            </w:tcMar>
            <w:vAlign w:val="bottom"/>
          </w:tcPr>
          <w:p w14:paraId="72E54CF9"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157 (29.4)</w:t>
            </w:r>
          </w:p>
        </w:tc>
        <w:tc>
          <w:tcPr>
            <w:tcW w:w="1100" w:type="pct"/>
            <w:tcBorders>
              <w:top w:val="nil"/>
              <w:left w:val="nil"/>
              <w:right w:val="nil"/>
            </w:tcBorders>
            <w:shd w:val="clear" w:color="auto" w:fill="FFFFFF"/>
            <w:tcMar>
              <w:left w:w="96" w:type="dxa"/>
              <w:right w:w="96" w:type="dxa"/>
            </w:tcMar>
            <w:vAlign w:val="bottom"/>
          </w:tcPr>
          <w:p w14:paraId="72E54CF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752 (32.9)</w:t>
            </w:r>
          </w:p>
        </w:tc>
        <w:tc>
          <w:tcPr>
            <w:tcW w:w="1066" w:type="pct"/>
            <w:tcBorders>
              <w:top w:val="nil"/>
              <w:left w:val="nil"/>
              <w:right w:val="nil"/>
            </w:tcBorders>
            <w:shd w:val="clear" w:color="auto" w:fill="FFFFFF"/>
            <w:tcMar>
              <w:left w:w="96" w:type="dxa"/>
              <w:right w:w="96" w:type="dxa"/>
            </w:tcMar>
            <w:vAlign w:val="bottom"/>
          </w:tcPr>
          <w:p w14:paraId="72E54CF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909 (32.2)</w:t>
            </w:r>
          </w:p>
        </w:tc>
        <w:tc>
          <w:tcPr>
            <w:tcW w:w="540" w:type="pct"/>
            <w:tcBorders>
              <w:top w:val="nil"/>
              <w:left w:val="nil"/>
              <w:right w:val="nil"/>
            </w:tcBorders>
            <w:shd w:val="clear" w:color="auto" w:fill="FFFFFF"/>
            <w:tcMar>
              <w:left w:w="96" w:type="dxa"/>
              <w:right w:w="96" w:type="dxa"/>
            </w:tcMar>
            <w:vAlign w:val="bottom"/>
          </w:tcPr>
          <w:p w14:paraId="72E54CF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03"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CFE"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55-64</w:t>
            </w:r>
          </w:p>
        </w:tc>
        <w:tc>
          <w:tcPr>
            <w:tcW w:w="1009" w:type="pct"/>
            <w:tcBorders>
              <w:top w:val="nil"/>
              <w:left w:val="nil"/>
              <w:right w:val="nil"/>
            </w:tcBorders>
            <w:shd w:val="clear" w:color="auto" w:fill="FFFFFF"/>
            <w:tcMar>
              <w:left w:w="96" w:type="dxa"/>
              <w:right w:w="96" w:type="dxa"/>
            </w:tcMar>
            <w:vAlign w:val="bottom"/>
          </w:tcPr>
          <w:p w14:paraId="72E54CF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255 (47.8)</w:t>
            </w:r>
          </w:p>
        </w:tc>
        <w:tc>
          <w:tcPr>
            <w:tcW w:w="1100" w:type="pct"/>
            <w:tcBorders>
              <w:top w:val="nil"/>
              <w:left w:val="nil"/>
              <w:right w:val="nil"/>
            </w:tcBorders>
            <w:shd w:val="clear" w:color="auto" w:fill="FFFFFF"/>
            <w:tcMar>
              <w:left w:w="96" w:type="dxa"/>
              <w:right w:w="96" w:type="dxa"/>
            </w:tcMar>
            <w:vAlign w:val="bottom"/>
          </w:tcPr>
          <w:p w14:paraId="72E54D0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1,091 (47.7)</w:t>
            </w:r>
          </w:p>
        </w:tc>
        <w:tc>
          <w:tcPr>
            <w:tcW w:w="1066" w:type="pct"/>
            <w:tcBorders>
              <w:top w:val="nil"/>
              <w:left w:val="nil"/>
              <w:right w:val="nil"/>
            </w:tcBorders>
            <w:shd w:val="clear" w:color="auto" w:fill="FFFFFF"/>
            <w:tcMar>
              <w:left w:w="96" w:type="dxa"/>
              <w:right w:w="96" w:type="dxa"/>
            </w:tcMar>
            <w:vAlign w:val="bottom"/>
          </w:tcPr>
          <w:p w14:paraId="72E54D01"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1,346 (47.7)</w:t>
            </w:r>
          </w:p>
        </w:tc>
        <w:tc>
          <w:tcPr>
            <w:tcW w:w="540" w:type="pct"/>
            <w:tcBorders>
              <w:top w:val="nil"/>
              <w:left w:val="nil"/>
              <w:right w:val="nil"/>
            </w:tcBorders>
            <w:shd w:val="clear" w:color="auto" w:fill="FFFFFF"/>
            <w:tcMar>
              <w:left w:w="96" w:type="dxa"/>
              <w:right w:w="96" w:type="dxa"/>
            </w:tcMar>
            <w:vAlign w:val="bottom"/>
          </w:tcPr>
          <w:p w14:paraId="72E54D0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09"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04"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Sex</w:t>
            </w:r>
          </w:p>
        </w:tc>
        <w:tc>
          <w:tcPr>
            <w:tcW w:w="1009" w:type="pct"/>
            <w:tcBorders>
              <w:top w:val="nil"/>
              <w:left w:val="nil"/>
              <w:right w:val="nil"/>
            </w:tcBorders>
            <w:shd w:val="clear" w:color="auto" w:fill="FFFFFF"/>
            <w:tcMar>
              <w:left w:w="96" w:type="dxa"/>
              <w:right w:w="96" w:type="dxa"/>
            </w:tcMar>
            <w:vAlign w:val="bottom"/>
          </w:tcPr>
          <w:p w14:paraId="72E54D05"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00" w:type="pct"/>
            <w:tcBorders>
              <w:top w:val="nil"/>
              <w:left w:val="nil"/>
              <w:right w:val="nil"/>
            </w:tcBorders>
            <w:shd w:val="clear" w:color="auto" w:fill="FFFFFF"/>
            <w:tcMar>
              <w:left w:w="96" w:type="dxa"/>
              <w:right w:w="96" w:type="dxa"/>
            </w:tcMar>
            <w:vAlign w:val="bottom"/>
          </w:tcPr>
          <w:p w14:paraId="72E54D0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066" w:type="pct"/>
            <w:tcBorders>
              <w:top w:val="nil"/>
              <w:left w:val="nil"/>
              <w:right w:val="nil"/>
            </w:tcBorders>
            <w:shd w:val="clear" w:color="auto" w:fill="FFFFFF"/>
            <w:tcMar>
              <w:left w:w="96" w:type="dxa"/>
              <w:right w:w="96" w:type="dxa"/>
            </w:tcMar>
            <w:vAlign w:val="bottom"/>
          </w:tcPr>
          <w:p w14:paraId="72E54D07"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540" w:type="pct"/>
            <w:tcBorders>
              <w:top w:val="nil"/>
              <w:left w:val="nil"/>
              <w:right w:val="nil"/>
            </w:tcBorders>
            <w:shd w:val="clear" w:color="auto" w:fill="FFFFFF"/>
            <w:tcMar>
              <w:left w:w="96" w:type="dxa"/>
              <w:right w:w="96" w:type="dxa"/>
            </w:tcMar>
            <w:vAlign w:val="bottom"/>
          </w:tcPr>
          <w:p w14:paraId="72E54D0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0.005</w:t>
            </w:r>
          </w:p>
        </w:tc>
      </w:tr>
      <w:tr w:rsidR="006E770B" w:rsidRPr="00977582" w14:paraId="72E54D0F"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0A" w14:textId="77777777" w:rsidR="001B09E2" w:rsidRPr="00977582" w:rsidRDefault="001B09E2" w:rsidP="0041646E">
            <w:pPr>
              <w:adjustRightInd w:val="0"/>
              <w:snapToGrid w:val="0"/>
              <w:spacing w:after="0" w:line="360" w:lineRule="auto"/>
              <w:ind w:firstLine="209"/>
              <w:jc w:val="both"/>
              <w:rPr>
                <w:rFonts w:ascii="Book Antiqua" w:hAnsi="Book Antiqua" w:cs="Times New Roman"/>
                <w:bCs/>
                <w:color w:val="000000" w:themeColor="text1"/>
              </w:rPr>
            </w:pPr>
            <w:r w:rsidRPr="00977582">
              <w:rPr>
                <w:rFonts w:ascii="Book Antiqua" w:hAnsi="Book Antiqua" w:cs="Times New Roman"/>
                <w:bCs/>
                <w:color w:val="000000" w:themeColor="text1"/>
              </w:rPr>
              <w:t>Female</w:t>
            </w:r>
          </w:p>
        </w:tc>
        <w:tc>
          <w:tcPr>
            <w:tcW w:w="1009" w:type="pct"/>
            <w:tcBorders>
              <w:top w:val="nil"/>
              <w:left w:val="nil"/>
              <w:right w:val="nil"/>
            </w:tcBorders>
            <w:shd w:val="clear" w:color="auto" w:fill="FFFFFF"/>
            <w:tcMar>
              <w:left w:w="96" w:type="dxa"/>
              <w:right w:w="96" w:type="dxa"/>
            </w:tcMar>
            <w:vAlign w:val="bottom"/>
          </w:tcPr>
          <w:p w14:paraId="72E54D0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333 (62.4)</w:t>
            </w:r>
          </w:p>
        </w:tc>
        <w:tc>
          <w:tcPr>
            <w:tcW w:w="1100" w:type="pct"/>
            <w:tcBorders>
              <w:top w:val="nil"/>
              <w:left w:val="nil"/>
              <w:right w:val="nil"/>
            </w:tcBorders>
            <w:shd w:val="clear" w:color="auto" w:fill="FFFFFF"/>
            <w:tcMar>
              <w:left w:w="96" w:type="dxa"/>
              <w:right w:w="96" w:type="dxa"/>
            </w:tcMar>
            <w:vAlign w:val="bottom"/>
          </w:tcPr>
          <w:p w14:paraId="72E54D0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1,273 (55.6)</w:t>
            </w:r>
          </w:p>
        </w:tc>
        <w:tc>
          <w:tcPr>
            <w:tcW w:w="1066" w:type="pct"/>
            <w:tcBorders>
              <w:top w:val="nil"/>
              <w:left w:val="nil"/>
              <w:right w:val="nil"/>
            </w:tcBorders>
            <w:shd w:val="clear" w:color="auto" w:fill="FFFFFF"/>
            <w:tcMar>
              <w:left w:w="96" w:type="dxa"/>
              <w:right w:w="96" w:type="dxa"/>
            </w:tcMar>
            <w:vAlign w:val="bottom"/>
          </w:tcPr>
          <w:p w14:paraId="72E54D0D"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1,606 (56.9)</w:t>
            </w:r>
          </w:p>
        </w:tc>
        <w:tc>
          <w:tcPr>
            <w:tcW w:w="540" w:type="pct"/>
            <w:tcBorders>
              <w:top w:val="nil"/>
              <w:left w:val="nil"/>
              <w:right w:val="nil"/>
            </w:tcBorders>
            <w:shd w:val="clear" w:color="auto" w:fill="FFFFFF"/>
            <w:tcMar>
              <w:left w:w="96" w:type="dxa"/>
              <w:right w:w="96" w:type="dxa"/>
            </w:tcMar>
            <w:vAlign w:val="bottom"/>
          </w:tcPr>
          <w:p w14:paraId="72E54D0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15"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10"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Region</w:t>
            </w:r>
          </w:p>
        </w:tc>
        <w:tc>
          <w:tcPr>
            <w:tcW w:w="1009" w:type="pct"/>
            <w:tcBorders>
              <w:top w:val="nil"/>
              <w:left w:val="nil"/>
              <w:right w:val="nil"/>
            </w:tcBorders>
            <w:shd w:val="clear" w:color="auto" w:fill="FFFFFF"/>
            <w:tcMar>
              <w:left w:w="96" w:type="dxa"/>
              <w:right w:w="96" w:type="dxa"/>
            </w:tcMar>
            <w:vAlign w:val="bottom"/>
          </w:tcPr>
          <w:p w14:paraId="72E54D11"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00" w:type="pct"/>
            <w:tcBorders>
              <w:top w:val="nil"/>
              <w:left w:val="nil"/>
              <w:right w:val="nil"/>
            </w:tcBorders>
            <w:shd w:val="clear" w:color="auto" w:fill="FFFFFF"/>
            <w:tcMar>
              <w:left w:w="96" w:type="dxa"/>
              <w:right w:w="96" w:type="dxa"/>
            </w:tcMar>
            <w:vAlign w:val="bottom"/>
          </w:tcPr>
          <w:p w14:paraId="72E54D1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066" w:type="pct"/>
            <w:tcBorders>
              <w:top w:val="nil"/>
              <w:left w:val="nil"/>
              <w:right w:val="nil"/>
            </w:tcBorders>
            <w:shd w:val="clear" w:color="auto" w:fill="FFFFFF"/>
            <w:tcMar>
              <w:left w:w="96" w:type="dxa"/>
              <w:right w:w="96" w:type="dxa"/>
            </w:tcMar>
            <w:vAlign w:val="bottom"/>
          </w:tcPr>
          <w:p w14:paraId="72E54D1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540" w:type="pct"/>
            <w:tcBorders>
              <w:top w:val="nil"/>
              <w:left w:val="nil"/>
              <w:right w:val="nil"/>
            </w:tcBorders>
            <w:shd w:val="clear" w:color="auto" w:fill="FFFFFF"/>
            <w:tcMar>
              <w:left w:w="96" w:type="dxa"/>
              <w:right w:w="96" w:type="dxa"/>
            </w:tcMar>
            <w:vAlign w:val="bottom"/>
          </w:tcPr>
          <w:p w14:paraId="72E54D1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0.961</w:t>
            </w:r>
          </w:p>
        </w:tc>
      </w:tr>
      <w:tr w:rsidR="006E770B" w:rsidRPr="00977582" w14:paraId="72E54D1B"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16"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North Central</w:t>
            </w:r>
          </w:p>
        </w:tc>
        <w:tc>
          <w:tcPr>
            <w:tcW w:w="1009" w:type="pct"/>
            <w:tcBorders>
              <w:top w:val="nil"/>
              <w:left w:val="nil"/>
              <w:right w:val="nil"/>
            </w:tcBorders>
            <w:shd w:val="clear" w:color="auto" w:fill="FFFFFF"/>
            <w:tcMar>
              <w:left w:w="96" w:type="dxa"/>
              <w:right w:w="96" w:type="dxa"/>
            </w:tcMar>
            <w:vAlign w:val="bottom"/>
          </w:tcPr>
          <w:p w14:paraId="72E54D17"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134 (25.1)</w:t>
            </w:r>
          </w:p>
        </w:tc>
        <w:tc>
          <w:tcPr>
            <w:tcW w:w="1100" w:type="pct"/>
            <w:tcBorders>
              <w:top w:val="nil"/>
              <w:left w:val="nil"/>
              <w:right w:val="nil"/>
            </w:tcBorders>
            <w:shd w:val="clear" w:color="auto" w:fill="FFFFFF"/>
            <w:tcMar>
              <w:left w:w="96" w:type="dxa"/>
              <w:right w:w="96" w:type="dxa"/>
            </w:tcMar>
            <w:vAlign w:val="bottom"/>
          </w:tcPr>
          <w:p w14:paraId="72E54D1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563 (24.6)</w:t>
            </w:r>
          </w:p>
        </w:tc>
        <w:tc>
          <w:tcPr>
            <w:tcW w:w="1066" w:type="pct"/>
            <w:tcBorders>
              <w:top w:val="nil"/>
              <w:left w:val="nil"/>
              <w:right w:val="nil"/>
            </w:tcBorders>
            <w:shd w:val="clear" w:color="auto" w:fill="FFFFFF"/>
            <w:tcMar>
              <w:left w:w="96" w:type="dxa"/>
              <w:right w:w="96" w:type="dxa"/>
            </w:tcMar>
            <w:vAlign w:val="bottom"/>
          </w:tcPr>
          <w:p w14:paraId="72E54D19"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697 (24.7)</w:t>
            </w:r>
          </w:p>
        </w:tc>
        <w:tc>
          <w:tcPr>
            <w:tcW w:w="540" w:type="pct"/>
            <w:tcBorders>
              <w:top w:val="nil"/>
              <w:left w:val="nil"/>
              <w:right w:val="nil"/>
            </w:tcBorders>
            <w:shd w:val="clear" w:color="auto" w:fill="FFFFFF"/>
            <w:tcMar>
              <w:left w:w="96" w:type="dxa"/>
              <w:right w:w="96" w:type="dxa"/>
            </w:tcMar>
            <w:vAlign w:val="bottom"/>
          </w:tcPr>
          <w:p w14:paraId="72E54D1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21"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1C"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Northeast</w:t>
            </w:r>
          </w:p>
        </w:tc>
        <w:tc>
          <w:tcPr>
            <w:tcW w:w="1009" w:type="pct"/>
            <w:tcBorders>
              <w:top w:val="nil"/>
              <w:left w:val="nil"/>
              <w:right w:val="nil"/>
            </w:tcBorders>
            <w:shd w:val="clear" w:color="auto" w:fill="FFFFFF"/>
            <w:tcMar>
              <w:left w:w="96" w:type="dxa"/>
              <w:right w:w="96" w:type="dxa"/>
            </w:tcMar>
            <w:vAlign w:val="bottom"/>
          </w:tcPr>
          <w:p w14:paraId="72E54D1D"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86 (16.1)</w:t>
            </w:r>
          </w:p>
        </w:tc>
        <w:tc>
          <w:tcPr>
            <w:tcW w:w="1100" w:type="pct"/>
            <w:tcBorders>
              <w:top w:val="nil"/>
              <w:left w:val="nil"/>
              <w:right w:val="nil"/>
            </w:tcBorders>
            <w:shd w:val="clear" w:color="auto" w:fill="FFFFFF"/>
            <w:tcMar>
              <w:left w:w="96" w:type="dxa"/>
              <w:right w:w="96" w:type="dxa"/>
            </w:tcMar>
            <w:vAlign w:val="bottom"/>
          </w:tcPr>
          <w:p w14:paraId="72E54D1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358 (15.6)</w:t>
            </w:r>
          </w:p>
        </w:tc>
        <w:tc>
          <w:tcPr>
            <w:tcW w:w="1066" w:type="pct"/>
            <w:tcBorders>
              <w:top w:val="nil"/>
              <w:left w:val="nil"/>
              <w:right w:val="nil"/>
            </w:tcBorders>
            <w:shd w:val="clear" w:color="auto" w:fill="FFFFFF"/>
            <w:tcMar>
              <w:left w:w="96" w:type="dxa"/>
              <w:right w:w="96" w:type="dxa"/>
            </w:tcMar>
            <w:vAlign w:val="bottom"/>
          </w:tcPr>
          <w:p w14:paraId="72E54D1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444 (15.7)</w:t>
            </w:r>
          </w:p>
        </w:tc>
        <w:tc>
          <w:tcPr>
            <w:tcW w:w="540" w:type="pct"/>
            <w:tcBorders>
              <w:top w:val="nil"/>
              <w:left w:val="nil"/>
              <w:right w:val="nil"/>
            </w:tcBorders>
            <w:shd w:val="clear" w:color="auto" w:fill="FFFFFF"/>
            <w:tcMar>
              <w:left w:w="96" w:type="dxa"/>
              <w:right w:w="96" w:type="dxa"/>
            </w:tcMar>
            <w:vAlign w:val="bottom"/>
          </w:tcPr>
          <w:p w14:paraId="72E54D2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27" w14:textId="77777777" w:rsidTr="001B09E2">
        <w:trPr>
          <w:cantSplit/>
          <w:jc w:val="center"/>
        </w:trPr>
        <w:tc>
          <w:tcPr>
            <w:tcW w:w="1285" w:type="pct"/>
            <w:tcBorders>
              <w:top w:val="nil"/>
              <w:left w:val="nil"/>
              <w:right w:val="nil"/>
            </w:tcBorders>
            <w:shd w:val="clear" w:color="auto" w:fill="FFFFFF"/>
            <w:tcMar>
              <w:left w:w="96" w:type="dxa"/>
              <w:right w:w="96" w:type="dxa"/>
            </w:tcMar>
          </w:tcPr>
          <w:p w14:paraId="72E54D22"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South</w:t>
            </w:r>
          </w:p>
        </w:tc>
        <w:tc>
          <w:tcPr>
            <w:tcW w:w="1009" w:type="pct"/>
            <w:tcBorders>
              <w:top w:val="nil"/>
              <w:left w:val="nil"/>
              <w:right w:val="nil"/>
            </w:tcBorders>
            <w:shd w:val="clear" w:color="auto" w:fill="FFFFFF"/>
            <w:tcMar>
              <w:left w:w="96" w:type="dxa"/>
              <w:right w:w="96" w:type="dxa"/>
            </w:tcMar>
            <w:vAlign w:val="bottom"/>
          </w:tcPr>
          <w:p w14:paraId="72E54D2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224 (41.9)</w:t>
            </w:r>
          </w:p>
        </w:tc>
        <w:tc>
          <w:tcPr>
            <w:tcW w:w="1100" w:type="pct"/>
            <w:tcBorders>
              <w:top w:val="nil"/>
              <w:left w:val="nil"/>
              <w:right w:val="nil"/>
            </w:tcBorders>
            <w:shd w:val="clear" w:color="auto" w:fill="FFFFFF"/>
            <w:tcMar>
              <w:left w:w="96" w:type="dxa"/>
              <w:right w:w="96" w:type="dxa"/>
            </w:tcMar>
            <w:vAlign w:val="bottom"/>
          </w:tcPr>
          <w:p w14:paraId="72E54D2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989 (43.2)</w:t>
            </w:r>
          </w:p>
        </w:tc>
        <w:tc>
          <w:tcPr>
            <w:tcW w:w="1066" w:type="pct"/>
            <w:tcBorders>
              <w:top w:val="nil"/>
              <w:left w:val="nil"/>
              <w:right w:val="nil"/>
            </w:tcBorders>
            <w:shd w:val="clear" w:color="auto" w:fill="FFFFFF"/>
            <w:tcMar>
              <w:left w:w="96" w:type="dxa"/>
              <w:right w:w="96" w:type="dxa"/>
            </w:tcMar>
            <w:vAlign w:val="bottom"/>
          </w:tcPr>
          <w:p w14:paraId="72E54D25"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1,213 (43.0)</w:t>
            </w:r>
          </w:p>
        </w:tc>
        <w:tc>
          <w:tcPr>
            <w:tcW w:w="540" w:type="pct"/>
            <w:tcBorders>
              <w:top w:val="nil"/>
              <w:left w:val="nil"/>
              <w:right w:val="nil"/>
            </w:tcBorders>
            <w:shd w:val="clear" w:color="auto" w:fill="FFFFFF"/>
            <w:tcMar>
              <w:left w:w="96" w:type="dxa"/>
              <w:right w:w="96" w:type="dxa"/>
            </w:tcMar>
            <w:vAlign w:val="bottom"/>
          </w:tcPr>
          <w:p w14:paraId="72E54D2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2D" w14:textId="77777777" w:rsidTr="001B09E2">
        <w:trPr>
          <w:cantSplit/>
          <w:jc w:val="center"/>
        </w:trPr>
        <w:tc>
          <w:tcPr>
            <w:tcW w:w="1285" w:type="pct"/>
            <w:tcBorders>
              <w:left w:val="nil"/>
              <w:bottom w:val="single" w:sz="12" w:space="0" w:color="auto"/>
              <w:right w:val="nil"/>
            </w:tcBorders>
            <w:shd w:val="clear" w:color="auto" w:fill="FFFFFF"/>
            <w:tcMar>
              <w:left w:w="96" w:type="dxa"/>
              <w:right w:w="96" w:type="dxa"/>
            </w:tcMar>
          </w:tcPr>
          <w:p w14:paraId="72E54D28" w14:textId="77777777"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West</w:t>
            </w:r>
          </w:p>
        </w:tc>
        <w:tc>
          <w:tcPr>
            <w:tcW w:w="1009" w:type="pct"/>
            <w:tcBorders>
              <w:left w:val="nil"/>
              <w:bottom w:val="single" w:sz="12" w:space="0" w:color="auto"/>
              <w:right w:val="nil"/>
            </w:tcBorders>
            <w:shd w:val="clear" w:color="auto" w:fill="FFFFFF"/>
            <w:tcMar>
              <w:left w:w="96" w:type="dxa"/>
              <w:right w:w="96" w:type="dxa"/>
            </w:tcMar>
            <w:vAlign w:val="bottom"/>
          </w:tcPr>
          <w:p w14:paraId="72E54D29"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90 (16.9)</w:t>
            </w:r>
          </w:p>
        </w:tc>
        <w:tc>
          <w:tcPr>
            <w:tcW w:w="1100" w:type="pct"/>
            <w:tcBorders>
              <w:left w:val="nil"/>
              <w:bottom w:val="single" w:sz="12" w:space="0" w:color="auto"/>
              <w:right w:val="nil"/>
            </w:tcBorders>
            <w:shd w:val="clear" w:color="auto" w:fill="FFFFFF"/>
            <w:tcMar>
              <w:left w:w="96" w:type="dxa"/>
              <w:right w:w="96" w:type="dxa"/>
            </w:tcMar>
            <w:vAlign w:val="bottom"/>
          </w:tcPr>
          <w:p w14:paraId="72E54D2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378 (16.5)</w:t>
            </w:r>
          </w:p>
        </w:tc>
        <w:tc>
          <w:tcPr>
            <w:tcW w:w="1066" w:type="pct"/>
            <w:tcBorders>
              <w:left w:val="nil"/>
              <w:bottom w:val="single" w:sz="12" w:space="0" w:color="auto"/>
              <w:right w:val="nil"/>
            </w:tcBorders>
            <w:shd w:val="clear" w:color="auto" w:fill="FFFFFF"/>
            <w:tcMar>
              <w:left w:w="96" w:type="dxa"/>
              <w:right w:w="96" w:type="dxa"/>
            </w:tcMar>
            <w:vAlign w:val="bottom"/>
          </w:tcPr>
          <w:p w14:paraId="72E54D2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468 (16.6)</w:t>
            </w:r>
          </w:p>
        </w:tc>
        <w:tc>
          <w:tcPr>
            <w:tcW w:w="540" w:type="pct"/>
            <w:tcBorders>
              <w:left w:val="nil"/>
              <w:bottom w:val="single" w:sz="12" w:space="0" w:color="auto"/>
              <w:right w:val="nil"/>
            </w:tcBorders>
            <w:shd w:val="clear" w:color="auto" w:fill="FFFFFF"/>
            <w:tcMar>
              <w:left w:w="96" w:type="dxa"/>
              <w:right w:w="96" w:type="dxa"/>
            </w:tcMar>
            <w:vAlign w:val="bottom"/>
          </w:tcPr>
          <w:p w14:paraId="72E54D2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2F" w14:textId="77777777" w:rsidTr="001B09E2">
        <w:trPr>
          <w:cantSplit/>
          <w:jc w:val="center"/>
        </w:trPr>
        <w:tc>
          <w:tcPr>
            <w:tcW w:w="5000" w:type="pct"/>
            <w:gridSpan w:val="5"/>
            <w:tcBorders>
              <w:top w:val="single" w:sz="12" w:space="0" w:color="auto"/>
              <w:left w:val="nil"/>
              <w:bottom w:val="nil"/>
              <w:right w:val="nil"/>
            </w:tcBorders>
            <w:shd w:val="clear" w:color="auto" w:fill="FFFFFF"/>
            <w:tcMar>
              <w:left w:w="96" w:type="dxa"/>
              <w:right w:w="96" w:type="dxa"/>
            </w:tcMar>
          </w:tcPr>
          <w:p w14:paraId="72E54D2E" w14:textId="77978DC2" w:rsidR="001B09E2" w:rsidRPr="00977582" w:rsidRDefault="001B09E2" w:rsidP="0041646E">
            <w:pPr>
              <w:pStyle w:val="FootnoteText"/>
              <w:adjustRightInd w:val="0"/>
              <w:snapToGrid w:val="0"/>
              <w:spacing w:line="360" w:lineRule="auto"/>
              <w:jc w:val="both"/>
              <w:rPr>
                <w:rFonts w:ascii="Book Antiqua" w:hAnsi="Book Antiqua" w:cs="Times New Roman"/>
                <w:color w:val="000000" w:themeColor="text1"/>
                <w:sz w:val="24"/>
                <w:szCs w:val="24"/>
                <w:lang w:eastAsia="zh-CN"/>
              </w:rPr>
            </w:pPr>
            <w:r w:rsidRPr="00977582">
              <w:rPr>
                <w:rFonts w:ascii="Book Antiqua" w:hAnsi="Book Antiqua" w:cs="Times New Roman"/>
                <w:color w:val="000000" w:themeColor="text1"/>
                <w:sz w:val="24"/>
                <w:szCs w:val="24"/>
              </w:rPr>
              <w:t xml:space="preserve">CS: Carcinoid </w:t>
            </w:r>
            <w:r w:rsidR="00F25512" w:rsidRPr="00977582">
              <w:rPr>
                <w:rFonts w:ascii="Book Antiqua" w:hAnsi="Book Antiqua" w:cs="Times New Roman"/>
                <w:color w:val="000000" w:themeColor="text1"/>
                <w:sz w:val="24"/>
                <w:szCs w:val="24"/>
              </w:rPr>
              <w:t>s</w:t>
            </w:r>
            <w:r w:rsidRPr="00977582">
              <w:rPr>
                <w:rFonts w:ascii="Book Antiqua" w:hAnsi="Book Antiqua" w:cs="Times New Roman"/>
                <w:color w:val="000000" w:themeColor="text1"/>
                <w:sz w:val="24"/>
                <w:szCs w:val="24"/>
              </w:rPr>
              <w:t>yndrome</w:t>
            </w:r>
            <w:r w:rsidR="00F25512">
              <w:rPr>
                <w:rFonts w:ascii="Book Antiqua" w:hAnsi="Book Antiqua" w:cs="Times New Roman" w:hint="eastAsia"/>
                <w:color w:val="000000" w:themeColor="text1"/>
                <w:sz w:val="24"/>
                <w:szCs w:val="24"/>
                <w:lang w:eastAsia="zh-CN"/>
              </w:rPr>
              <w:t>.</w:t>
            </w:r>
          </w:p>
        </w:tc>
      </w:tr>
    </w:tbl>
    <w:p w14:paraId="72E54D3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br w:type="page"/>
      </w:r>
    </w:p>
    <w:p w14:paraId="72E54D33" w14:textId="243CD476" w:rsidR="00F40EFF" w:rsidRPr="00977582" w:rsidRDefault="00F40EFF"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lastRenderedPageBreak/>
        <w:t xml:space="preserve">Table 2 </w:t>
      </w:r>
      <w:r w:rsidR="007F7831" w:rsidRPr="00977582">
        <w:rPr>
          <w:rFonts w:ascii="Book Antiqua" w:hAnsi="Book Antiqua" w:cs="Times New Roman"/>
          <w:b/>
          <w:color w:val="000000" w:themeColor="text1"/>
        </w:rPr>
        <w:t xml:space="preserve">Annual </w:t>
      </w:r>
      <w:r w:rsidR="00F25512" w:rsidRPr="00977582">
        <w:rPr>
          <w:rFonts w:ascii="Book Antiqua" w:hAnsi="Book Antiqua" w:cs="Times New Roman"/>
          <w:b/>
          <w:color w:val="000000" w:themeColor="text1"/>
        </w:rPr>
        <w:t>unadjusted healthcare utilization and costs in patients with carcinoid syndrome, stratified by evidence of non-infectious diarrhea</w:t>
      </w:r>
    </w:p>
    <w:tbl>
      <w:tblPr>
        <w:tblpPr w:leftFromText="180" w:rightFromText="180" w:vertAnchor="text" w:horzAnchor="page" w:tblpX="2257" w:tblpY="962"/>
        <w:tblW w:w="4068" w:type="pct"/>
        <w:tblCellMar>
          <w:left w:w="0" w:type="dxa"/>
          <w:right w:w="0" w:type="dxa"/>
        </w:tblCellMar>
        <w:tblLook w:val="0000" w:firstRow="0" w:lastRow="0" w:firstColumn="0" w:lastColumn="0" w:noHBand="0" w:noVBand="0"/>
      </w:tblPr>
      <w:tblGrid>
        <w:gridCol w:w="2641"/>
        <w:gridCol w:w="1955"/>
        <w:gridCol w:w="1797"/>
        <w:gridCol w:w="793"/>
      </w:tblGrid>
      <w:tr w:rsidR="00D5513E" w:rsidRPr="00F25512" w14:paraId="72E54D3A" w14:textId="77777777" w:rsidTr="00D5513E">
        <w:trPr>
          <w:cantSplit/>
          <w:trHeight w:val="902"/>
        </w:trPr>
        <w:tc>
          <w:tcPr>
            <w:tcW w:w="1838" w:type="pct"/>
            <w:tcBorders>
              <w:top w:val="single" w:sz="12" w:space="0" w:color="auto"/>
              <w:left w:val="nil"/>
              <w:bottom w:val="single" w:sz="8" w:space="0" w:color="auto"/>
              <w:right w:val="nil"/>
            </w:tcBorders>
            <w:shd w:val="clear" w:color="auto" w:fill="FFFFFF"/>
            <w:tcMar>
              <w:left w:w="96" w:type="dxa"/>
              <w:right w:w="96" w:type="dxa"/>
            </w:tcMar>
            <w:vAlign w:val="center"/>
          </w:tcPr>
          <w:p w14:paraId="72E54D34" w14:textId="77777777" w:rsidR="00642397" w:rsidRPr="00977582" w:rsidRDefault="00642397" w:rsidP="0041646E">
            <w:pPr>
              <w:adjustRightInd w:val="0"/>
              <w:snapToGrid w:val="0"/>
              <w:spacing w:after="0" w:line="360" w:lineRule="auto"/>
              <w:jc w:val="both"/>
              <w:rPr>
                <w:rFonts w:ascii="Book Antiqua" w:hAnsi="Book Antiqua" w:cs="Times New Roman"/>
                <w:b/>
                <w:bCs/>
                <w:color w:val="000000" w:themeColor="text1"/>
              </w:rPr>
            </w:pPr>
          </w:p>
        </w:tc>
        <w:tc>
          <w:tcPr>
            <w:tcW w:w="1360"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D35" w14:textId="7B7E8947" w:rsidR="00642397" w:rsidRPr="00F25512" w:rsidRDefault="00642397" w:rsidP="0041646E">
            <w:pPr>
              <w:adjustRightInd w:val="0"/>
              <w:snapToGrid w:val="0"/>
              <w:spacing w:after="0" w:line="360" w:lineRule="auto"/>
              <w:jc w:val="both"/>
              <w:rPr>
                <w:rFonts w:ascii="Book Antiqua" w:hAnsi="Book Antiqua" w:cs="Times New Roman"/>
                <w:b/>
                <w:bCs/>
                <w:color w:val="000000" w:themeColor="text1"/>
              </w:rPr>
            </w:pPr>
            <w:r w:rsidRPr="00F25512">
              <w:rPr>
                <w:rFonts w:ascii="Book Antiqua" w:hAnsi="Book Antiqua" w:cs="Times New Roman"/>
                <w:b/>
                <w:bCs/>
                <w:color w:val="000000" w:themeColor="text1"/>
              </w:rPr>
              <w:t>With</w:t>
            </w:r>
            <w:r w:rsidR="00F25512" w:rsidRPr="00F25512">
              <w:rPr>
                <w:rFonts w:ascii="Book Antiqua" w:hAnsi="Book Antiqua" w:cs="Times New Roman"/>
                <w:b/>
                <w:bCs/>
                <w:color w:val="000000" w:themeColor="text1"/>
              </w:rPr>
              <w:t xml:space="preserve"> non-infectious diarrh</w:t>
            </w:r>
            <w:r w:rsidRPr="00F25512">
              <w:rPr>
                <w:rFonts w:ascii="Book Antiqua" w:hAnsi="Book Antiqua" w:cs="Times New Roman"/>
                <w:b/>
                <w:bCs/>
                <w:color w:val="000000" w:themeColor="text1"/>
              </w:rPr>
              <w:t>ea</w:t>
            </w:r>
          </w:p>
          <w:p w14:paraId="72E54D36" w14:textId="192E2C15" w:rsidR="00642397" w:rsidRPr="00F25512" w:rsidRDefault="00F2551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olor w:val="000000" w:themeColor="text1"/>
              </w:rPr>
              <w:t>n</w:t>
            </w:r>
            <w:r w:rsidRPr="00F25512">
              <w:rPr>
                <w:rFonts w:ascii="Book Antiqua" w:hAnsi="Book Antiqua" w:cs="Times New Roman"/>
                <w:b/>
                <w:bCs/>
                <w:color w:val="000000" w:themeColor="text1"/>
              </w:rPr>
              <w:t xml:space="preserve"> = </w:t>
            </w:r>
            <w:r w:rsidR="00642397" w:rsidRPr="00F25512">
              <w:rPr>
                <w:rFonts w:ascii="Book Antiqua" w:hAnsi="Book Antiqua" w:cs="Times New Roman"/>
                <w:b/>
                <w:bCs/>
                <w:color w:val="000000" w:themeColor="text1"/>
              </w:rPr>
              <w:t>534</w:t>
            </w:r>
          </w:p>
        </w:tc>
        <w:tc>
          <w:tcPr>
            <w:tcW w:w="1250"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D37" w14:textId="7E6E1329" w:rsidR="00642397" w:rsidRPr="00F25512" w:rsidRDefault="00642397" w:rsidP="0041646E">
            <w:pPr>
              <w:adjustRightInd w:val="0"/>
              <w:snapToGrid w:val="0"/>
              <w:spacing w:after="0" w:line="360" w:lineRule="auto"/>
              <w:jc w:val="both"/>
              <w:rPr>
                <w:rFonts w:ascii="Book Antiqua" w:hAnsi="Book Antiqua" w:cs="Times New Roman"/>
                <w:b/>
                <w:bCs/>
                <w:color w:val="000000" w:themeColor="text1"/>
              </w:rPr>
            </w:pPr>
            <w:r w:rsidRPr="00F25512">
              <w:rPr>
                <w:rFonts w:ascii="Book Antiqua" w:hAnsi="Book Antiqua" w:cs="Times New Roman"/>
                <w:b/>
                <w:bCs/>
                <w:color w:val="000000" w:themeColor="text1"/>
              </w:rPr>
              <w:t>Witho</w:t>
            </w:r>
            <w:r w:rsidR="00F25512" w:rsidRPr="00F25512">
              <w:rPr>
                <w:rFonts w:ascii="Book Antiqua" w:hAnsi="Book Antiqua" w:cs="Times New Roman"/>
                <w:b/>
                <w:bCs/>
                <w:color w:val="000000" w:themeColor="text1"/>
              </w:rPr>
              <w:t>ut non-infectious diarrh</w:t>
            </w:r>
            <w:r w:rsidRPr="00F25512">
              <w:rPr>
                <w:rFonts w:ascii="Book Antiqua" w:hAnsi="Book Antiqua" w:cs="Times New Roman"/>
                <w:b/>
                <w:bCs/>
                <w:color w:val="000000" w:themeColor="text1"/>
              </w:rPr>
              <w:t>ea</w:t>
            </w:r>
          </w:p>
          <w:p w14:paraId="72E54D38" w14:textId="2C6B0612" w:rsidR="00642397" w:rsidRPr="00F25512" w:rsidRDefault="00F25512"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olor w:val="000000" w:themeColor="text1"/>
              </w:rPr>
              <w:t>n</w:t>
            </w:r>
            <w:r w:rsidRPr="00F25512">
              <w:rPr>
                <w:rFonts w:ascii="Book Antiqua" w:hAnsi="Book Antiqua" w:cs="Times New Roman"/>
                <w:b/>
                <w:bCs/>
                <w:color w:val="000000" w:themeColor="text1"/>
              </w:rPr>
              <w:t xml:space="preserve"> = 2</w:t>
            </w:r>
            <w:r w:rsidR="00642397" w:rsidRPr="00F25512">
              <w:rPr>
                <w:rFonts w:ascii="Book Antiqua" w:hAnsi="Book Antiqua" w:cs="Times New Roman"/>
                <w:b/>
                <w:bCs/>
                <w:color w:val="000000" w:themeColor="text1"/>
              </w:rPr>
              <w:t>288</w:t>
            </w:r>
          </w:p>
        </w:tc>
        <w:tc>
          <w:tcPr>
            <w:tcW w:w="552" w:type="pct"/>
            <w:tcBorders>
              <w:top w:val="single" w:sz="12" w:space="0" w:color="auto"/>
              <w:left w:val="nil"/>
              <w:bottom w:val="single" w:sz="8" w:space="0" w:color="auto"/>
              <w:right w:val="nil"/>
            </w:tcBorders>
            <w:shd w:val="clear" w:color="auto" w:fill="FFFFFF"/>
            <w:tcMar>
              <w:left w:w="96" w:type="dxa"/>
              <w:right w:w="96" w:type="dxa"/>
            </w:tcMar>
            <w:vAlign w:val="bottom"/>
          </w:tcPr>
          <w:p w14:paraId="72E54D39" w14:textId="1836387F" w:rsidR="00642397" w:rsidRPr="00F25512" w:rsidRDefault="00642397" w:rsidP="0041646E">
            <w:pPr>
              <w:adjustRightInd w:val="0"/>
              <w:snapToGrid w:val="0"/>
              <w:spacing w:after="0" w:line="360" w:lineRule="auto"/>
              <w:jc w:val="both"/>
              <w:rPr>
                <w:rFonts w:ascii="Book Antiqua" w:hAnsi="Book Antiqua" w:cs="Times New Roman"/>
                <w:b/>
                <w:color w:val="000000" w:themeColor="text1"/>
              </w:rPr>
            </w:pPr>
            <w:r w:rsidRPr="00F25512">
              <w:rPr>
                <w:rFonts w:ascii="Book Antiqua" w:hAnsi="Book Antiqua" w:cs="Times New Roman"/>
                <w:b/>
                <w:bCs/>
                <w:i/>
                <w:caps/>
                <w:color w:val="000000" w:themeColor="text1"/>
              </w:rPr>
              <w:t>p</w:t>
            </w:r>
            <w:r w:rsidR="00F25512" w:rsidRPr="00F25512">
              <w:rPr>
                <w:rFonts w:ascii="Book Antiqua" w:hAnsi="Book Antiqua" w:cs="Times New Roman" w:hint="eastAsia"/>
                <w:b/>
                <w:bCs/>
                <w:color w:val="000000" w:themeColor="text1"/>
                <w:lang w:eastAsia="zh-CN"/>
              </w:rPr>
              <w:t>-</w:t>
            </w:r>
            <w:r w:rsidRPr="00F25512">
              <w:rPr>
                <w:rFonts w:ascii="Book Antiqua" w:hAnsi="Book Antiqua" w:cs="Times New Roman"/>
                <w:b/>
                <w:bCs/>
                <w:color w:val="000000" w:themeColor="text1"/>
              </w:rPr>
              <w:t>value</w:t>
            </w:r>
          </w:p>
        </w:tc>
      </w:tr>
      <w:tr w:rsidR="006E770B" w:rsidRPr="00977582" w14:paraId="72E54D3C" w14:textId="77777777" w:rsidTr="00511239">
        <w:trPr>
          <w:cantSplit/>
          <w:trHeight w:val="382"/>
        </w:trPr>
        <w:tc>
          <w:tcPr>
            <w:tcW w:w="5000" w:type="pct"/>
            <w:gridSpan w:val="4"/>
            <w:tcBorders>
              <w:left w:val="nil"/>
              <w:right w:val="nil"/>
            </w:tcBorders>
            <w:shd w:val="clear" w:color="auto" w:fill="FFFFFF"/>
            <w:tcMar>
              <w:left w:w="96" w:type="dxa"/>
              <w:right w:w="96" w:type="dxa"/>
            </w:tcMar>
            <w:vAlign w:val="bottom"/>
          </w:tcPr>
          <w:p w14:paraId="72E54D3B" w14:textId="77777777" w:rsidR="00642397" w:rsidRPr="00977582" w:rsidRDefault="00642397"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t>Overall healthcare utilization</w:t>
            </w:r>
          </w:p>
        </w:tc>
      </w:tr>
      <w:tr w:rsidR="00D5513E" w:rsidRPr="00977582" w14:paraId="72E54D41" w14:textId="77777777" w:rsidTr="00D5513E">
        <w:trPr>
          <w:cantSplit/>
          <w:trHeight w:val="402"/>
        </w:trPr>
        <w:tc>
          <w:tcPr>
            <w:tcW w:w="1838" w:type="pct"/>
            <w:tcBorders>
              <w:left w:val="nil"/>
              <w:right w:val="nil"/>
            </w:tcBorders>
            <w:shd w:val="clear" w:color="auto" w:fill="FFFFFF"/>
            <w:tcMar>
              <w:left w:w="96" w:type="dxa"/>
              <w:right w:w="96" w:type="dxa"/>
            </w:tcMar>
            <w:vAlign w:val="bottom"/>
          </w:tcPr>
          <w:p w14:paraId="72E54D3D" w14:textId="42F11B3D"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Patients with hospitalizations</w:t>
            </w:r>
          </w:p>
        </w:tc>
        <w:tc>
          <w:tcPr>
            <w:tcW w:w="1360" w:type="pct"/>
            <w:tcBorders>
              <w:left w:val="nil"/>
              <w:right w:val="nil"/>
            </w:tcBorders>
            <w:shd w:val="clear" w:color="auto" w:fill="FFFFFF"/>
            <w:tcMar>
              <w:left w:w="96" w:type="dxa"/>
              <w:right w:w="96" w:type="dxa"/>
            </w:tcMar>
            <w:vAlign w:val="center"/>
          </w:tcPr>
          <w:p w14:paraId="72E54D3E"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265 (49.6)</w:t>
            </w:r>
          </w:p>
        </w:tc>
        <w:tc>
          <w:tcPr>
            <w:tcW w:w="1250" w:type="pct"/>
            <w:tcBorders>
              <w:left w:val="nil"/>
              <w:right w:val="nil"/>
            </w:tcBorders>
            <w:shd w:val="clear" w:color="auto" w:fill="FFFFFF"/>
            <w:tcMar>
              <w:left w:w="96" w:type="dxa"/>
              <w:right w:w="96" w:type="dxa"/>
            </w:tcMar>
            <w:vAlign w:val="center"/>
          </w:tcPr>
          <w:p w14:paraId="72E54D3F"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907 (39.6)</w:t>
            </w:r>
          </w:p>
        </w:tc>
        <w:tc>
          <w:tcPr>
            <w:tcW w:w="552" w:type="pct"/>
            <w:tcBorders>
              <w:left w:val="nil"/>
              <w:right w:val="nil"/>
            </w:tcBorders>
            <w:shd w:val="clear" w:color="auto" w:fill="FFFFFF"/>
            <w:tcMar>
              <w:left w:w="96" w:type="dxa"/>
              <w:right w:w="96" w:type="dxa"/>
            </w:tcMar>
            <w:vAlign w:val="center"/>
          </w:tcPr>
          <w:p w14:paraId="72E54D40" w14:textId="4065616E"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46" w14:textId="77777777" w:rsidTr="00D5513E">
        <w:trPr>
          <w:cantSplit/>
          <w:trHeight w:val="633"/>
        </w:trPr>
        <w:tc>
          <w:tcPr>
            <w:tcW w:w="1838" w:type="pct"/>
            <w:tcBorders>
              <w:left w:val="nil"/>
              <w:right w:val="nil"/>
            </w:tcBorders>
            <w:shd w:val="clear" w:color="auto" w:fill="FFFFFF"/>
            <w:tcMar>
              <w:left w:w="96" w:type="dxa"/>
              <w:right w:w="96" w:type="dxa"/>
            </w:tcMar>
            <w:vAlign w:val="bottom"/>
          </w:tcPr>
          <w:p w14:paraId="72E54D42" w14:textId="36D27577"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Average LOS among hospitalized patients</w:t>
            </w:r>
            <w:r w:rsidR="007F7831" w:rsidRPr="00977582">
              <w:rPr>
                <w:rFonts w:ascii="Book Antiqua" w:hAnsi="Book Antiqua" w:cs="Times New Roman"/>
                <w:color w:val="000000" w:themeColor="text1"/>
              </w:rPr>
              <w:t xml:space="preserve"> (d)</w:t>
            </w:r>
          </w:p>
        </w:tc>
        <w:tc>
          <w:tcPr>
            <w:tcW w:w="1360" w:type="pct"/>
            <w:tcBorders>
              <w:left w:val="nil"/>
              <w:right w:val="nil"/>
            </w:tcBorders>
            <w:shd w:val="clear" w:color="auto" w:fill="FFFFFF"/>
            <w:tcMar>
              <w:left w:w="96" w:type="dxa"/>
              <w:right w:w="96" w:type="dxa"/>
            </w:tcMar>
            <w:vAlign w:val="center"/>
          </w:tcPr>
          <w:p w14:paraId="72E54D43" w14:textId="593DF6F6"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11.6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13.4</w:t>
            </w:r>
          </w:p>
        </w:tc>
        <w:tc>
          <w:tcPr>
            <w:tcW w:w="1250" w:type="pct"/>
            <w:tcBorders>
              <w:left w:val="nil"/>
              <w:right w:val="nil"/>
            </w:tcBorders>
            <w:shd w:val="clear" w:color="auto" w:fill="FFFFFF"/>
            <w:tcMar>
              <w:left w:w="96" w:type="dxa"/>
              <w:right w:w="96" w:type="dxa"/>
            </w:tcMar>
            <w:vAlign w:val="center"/>
          </w:tcPr>
          <w:p w14:paraId="72E54D44" w14:textId="7761AD2A"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8.0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9.2</w:t>
            </w:r>
          </w:p>
        </w:tc>
        <w:tc>
          <w:tcPr>
            <w:tcW w:w="552" w:type="pct"/>
            <w:tcBorders>
              <w:left w:val="nil"/>
              <w:right w:val="nil"/>
            </w:tcBorders>
            <w:shd w:val="clear" w:color="auto" w:fill="FFFFFF"/>
            <w:tcMar>
              <w:left w:w="96" w:type="dxa"/>
              <w:right w:w="96" w:type="dxa"/>
            </w:tcMar>
            <w:vAlign w:val="center"/>
          </w:tcPr>
          <w:p w14:paraId="72E54D45" w14:textId="0C577D60"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4B" w14:textId="77777777" w:rsidTr="00D5513E">
        <w:trPr>
          <w:cantSplit/>
          <w:trHeight w:val="382"/>
        </w:trPr>
        <w:tc>
          <w:tcPr>
            <w:tcW w:w="1838" w:type="pct"/>
            <w:tcBorders>
              <w:left w:val="nil"/>
              <w:right w:val="nil"/>
            </w:tcBorders>
            <w:shd w:val="clear" w:color="auto" w:fill="FFFFFF"/>
            <w:tcMar>
              <w:left w:w="96" w:type="dxa"/>
              <w:right w:w="96" w:type="dxa"/>
            </w:tcMar>
            <w:vAlign w:val="bottom"/>
          </w:tcPr>
          <w:p w14:paraId="72E54D47" w14:textId="66FEF5F8"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Patients with ED visits</w:t>
            </w:r>
          </w:p>
        </w:tc>
        <w:tc>
          <w:tcPr>
            <w:tcW w:w="1360" w:type="pct"/>
            <w:tcBorders>
              <w:left w:val="nil"/>
              <w:right w:val="nil"/>
            </w:tcBorders>
            <w:shd w:val="clear" w:color="auto" w:fill="FFFFFF"/>
            <w:tcMar>
              <w:left w:w="96" w:type="dxa"/>
              <w:right w:w="96" w:type="dxa"/>
            </w:tcMar>
            <w:vAlign w:val="center"/>
          </w:tcPr>
          <w:p w14:paraId="72E54D48"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201 (37.6)</w:t>
            </w:r>
          </w:p>
        </w:tc>
        <w:tc>
          <w:tcPr>
            <w:tcW w:w="1250" w:type="pct"/>
            <w:tcBorders>
              <w:left w:val="nil"/>
              <w:right w:val="nil"/>
            </w:tcBorders>
            <w:shd w:val="clear" w:color="auto" w:fill="FFFFFF"/>
            <w:tcMar>
              <w:left w:w="96" w:type="dxa"/>
              <w:right w:w="96" w:type="dxa"/>
            </w:tcMar>
            <w:vAlign w:val="center"/>
          </w:tcPr>
          <w:p w14:paraId="72E54D49"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479 (20.9)</w:t>
            </w:r>
          </w:p>
        </w:tc>
        <w:tc>
          <w:tcPr>
            <w:tcW w:w="552" w:type="pct"/>
            <w:tcBorders>
              <w:left w:val="nil"/>
              <w:right w:val="nil"/>
            </w:tcBorders>
            <w:shd w:val="clear" w:color="auto" w:fill="FFFFFF"/>
            <w:tcMar>
              <w:left w:w="96" w:type="dxa"/>
              <w:right w:w="96" w:type="dxa"/>
            </w:tcMar>
            <w:vAlign w:val="center"/>
          </w:tcPr>
          <w:p w14:paraId="72E54D4A" w14:textId="13717922"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50" w14:textId="77777777" w:rsidTr="00D5513E">
        <w:trPr>
          <w:cantSplit/>
          <w:trHeight w:val="198"/>
        </w:trPr>
        <w:tc>
          <w:tcPr>
            <w:tcW w:w="1838" w:type="pct"/>
            <w:tcBorders>
              <w:left w:val="nil"/>
              <w:right w:val="nil"/>
            </w:tcBorders>
            <w:shd w:val="clear" w:color="auto" w:fill="FFFFFF"/>
            <w:tcMar>
              <w:left w:w="96" w:type="dxa"/>
              <w:right w:w="96" w:type="dxa"/>
            </w:tcMar>
            <w:vAlign w:val="bottom"/>
          </w:tcPr>
          <w:p w14:paraId="72E54D4C" w14:textId="3FE2485D"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Outpatient physician visits</w:t>
            </w:r>
          </w:p>
        </w:tc>
        <w:tc>
          <w:tcPr>
            <w:tcW w:w="1360" w:type="pct"/>
            <w:tcBorders>
              <w:left w:val="nil"/>
              <w:right w:val="nil"/>
            </w:tcBorders>
            <w:shd w:val="clear" w:color="auto" w:fill="FFFFFF"/>
            <w:tcMar>
              <w:left w:w="96" w:type="dxa"/>
              <w:right w:w="96" w:type="dxa"/>
            </w:tcMar>
            <w:vAlign w:val="center"/>
          </w:tcPr>
          <w:p w14:paraId="72E54D4D" w14:textId="702C0C79"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25.5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18.4</w:t>
            </w:r>
          </w:p>
        </w:tc>
        <w:tc>
          <w:tcPr>
            <w:tcW w:w="1250" w:type="pct"/>
            <w:tcBorders>
              <w:left w:val="nil"/>
              <w:right w:val="nil"/>
            </w:tcBorders>
            <w:shd w:val="clear" w:color="auto" w:fill="FFFFFF"/>
            <w:vAlign w:val="center"/>
          </w:tcPr>
          <w:p w14:paraId="72E54D4E" w14:textId="12B714FB"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18.7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15.8</w:t>
            </w:r>
          </w:p>
        </w:tc>
        <w:tc>
          <w:tcPr>
            <w:tcW w:w="552" w:type="pct"/>
            <w:tcBorders>
              <w:left w:val="nil"/>
              <w:right w:val="nil"/>
            </w:tcBorders>
            <w:shd w:val="clear" w:color="auto" w:fill="FFFFFF"/>
            <w:vAlign w:val="center"/>
          </w:tcPr>
          <w:p w14:paraId="72E54D4F" w14:textId="0340DC1B"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6E770B" w:rsidRPr="00977582" w14:paraId="72E54D52" w14:textId="77777777" w:rsidTr="00511239">
        <w:trPr>
          <w:cantSplit/>
          <w:trHeight w:val="360"/>
        </w:trPr>
        <w:tc>
          <w:tcPr>
            <w:tcW w:w="5000" w:type="pct"/>
            <w:gridSpan w:val="4"/>
            <w:tcBorders>
              <w:left w:val="nil"/>
              <w:right w:val="nil"/>
            </w:tcBorders>
            <w:shd w:val="clear" w:color="auto" w:fill="FFFFFF"/>
            <w:tcMar>
              <w:left w:w="96" w:type="dxa"/>
              <w:right w:w="96" w:type="dxa"/>
            </w:tcMar>
            <w:vAlign w:val="bottom"/>
          </w:tcPr>
          <w:p w14:paraId="72E54D51" w14:textId="06CEA024" w:rsidR="00642397" w:rsidRPr="00977582" w:rsidRDefault="00642397" w:rsidP="0041646E">
            <w:pPr>
              <w:adjustRightInd w:val="0"/>
              <w:snapToGrid w:val="0"/>
              <w:spacing w:after="0" w:line="360" w:lineRule="auto"/>
              <w:jc w:val="both"/>
              <w:rPr>
                <w:rFonts w:ascii="Book Antiqua" w:hAnsi="Book Antiqua" w:cs="Times New Roman"/>
                <w:b/>
                <w:color w:val="000000" w:themeColor="text1"/>
                <w:vertAlign w:val="superscript"/>
                <w:lang w:eastAsia="zh-CN"/>
              </w:rPr>
            </w:pPr>
            <w:r w:rsidRPr="00977582">
              <w:rPr>
                <w:rFonts w:ascii="Book Antiqua" w:hAnsi="Book Antiqua" w:cs="Times New Roman"/>
                <w:b/>
                <w:color w:val="000000" w:themeColor="text1"/>
              </w:rPr>
              <w:t>CS-related utilization</w:t>
            </w:r>
            <w:r w:rsidR="00D5513E">
              <w:rPr>
                <w:rFonts w:ascii="Book Antiqua" w:hAnsi="Book Antiqua" w:cs="Times New Roman" w:hint="eastAsia"/>
                <w:b/>
                <w:color w:val="000000" w:themeColor="text1"/>
                <w:vertAlign w:val="superscript"/>
                <w:lang w:eastAsia="zh-CN"/>
              </w:rPr>
              <w:t>1</w:t>
            </w:r>
          </w:p>
        </w:tc>
      </w:tr>
      <w:tr w:rsidR="00D5513E" w:rsidRPr="00977582" w14:paraId="72E54D57" w14:textId="77777777" w:rsidTr="00D5513E">
        <w:trPr>
          <w:cantSplit/>
          <w:trHeight w:val="382"/>
        </w:trPr>
        <w:tc>
          <w:tcPr>
            <w:tcW w:w="1838" w:type="pct"/>
            <w:tcBorders>
              <w:top w:val="nil"/>
              <w:left w:val="nil"/>
              <w:right w:val="nil"/>
            </w:tcBorders>
            <w:shd w:val="clear" w:color="auto" w:fill="FFFFFF"/>
            <w:tcMar>
              <w:left w:w="96" w:type="dxa"/>
              <w:right w:w="96" w:type="dxa"/>
            </w:tcMar>
            <w:vAlign w:val="bottom"/>
          </w:tcPr>
          <w:p w14:paraId="72E54D53" w14:textId="74ED2CC6"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Patients with hospitalizations</w:t>
            </w:r>
          </w:p>
        </w:tc>
        <w:tc>
          <w:tcPr>
            <w:tcW w:w="1360" w:type="pct"/>
            <w:tcBorders>
              <w:top w:val="nil"/>
              <w:left w:val="nil"/>
              <w:right w:val="nil"/>
            </w:tcBorders>
            <w:shd w:val="clear" w:color="auto" w:fill="FFFFFF"/>
            <w:tcMar>
              <w:left w:w="96" w:type="dxa"/>
              <w:right w:w="96" w:type="dxa"/>
            </w:tcMar>
            <w:vAlign w:val="center"/>
          </w:tcPr>
          <w:p w14:paraId="72E54D54"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73 (13.7)</w:t>
            </w:r>
          </w:p>
        </w:tc>
        <w:tc>
          <w:tcPr>
            <w:tcW w:w="1250" w:type="pct"/>
            <w:tcBorders>
              <w:top w:val="nil"/>
              <w:left w:val="nil"/>
              <w:right w:val="nil"/>
            </w:tcBorders>
            <w:shd w:val="clear" w:color="auto" w:fill="FFFFFF"/>
            <w:tcMar>
              <w:left w:w="96" w:type="dxa"/>
              <w:right w:w="96" w:type="dxa"/>
            </w:tcMar>
            <w:vAlign w:val="center"/>
          </w:tcPr>
          <w:p w14:paraId="72E54D55"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165 (7.2)</w:t>
            </w:r>
          </w:p>
        </w:tc>
        <w:tc>
          <w:tcPr>
            <w:tcW w:w="552" w:type="pct"/>
            <w:tcBorders>
              <w:top w:val="nil"/>
              <w:left w:val="nil"/>
              <w:right w:val="nil"/>
            </w:tcBorders>
            <w:shd w:val="clear" w:color="auto" w:fill="FFFFFF"/>
            <w:tcMar>
              <w:left w:w="96" w:type="dxa"/>
              <w:right w:w="96" w:type="dxa"/>
            </w:tcMar>
            <w:vAlign w:val="center"/>
          </w:tcPr>
          <w:p w14:paraId="72E54D56" w14:textId="6A48A79C"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5C" w14:textId="77777777" w:rsidTr="00D5513E">
        <w:trPr>
          <w:cantSplit/>
          <w:trHeight w:val="425"/>
        </w:trPr>
        <w:tc>
          <w:tcPr>
            <w:tcW w:w="1838" w:type="pct"/>
            <w:tcBorders>
              <w:top w:val="nil"/>
              <w:left w:val="nil"/>
              <w:right w:val="nil"/>
            </w:tcBorders>
            <w:shd w:val="clear" w:color="auto" w:fill="FFFFFF"/>
            <w:tcMar>
              <w:left w:w="96" w:type="dxa"/>
              <w:right w:w="96" w:type="dxa"/>
            </w:tcMar>
            <w:vAlign w:val="bottom"/>
          </w:tcPr>
          <w:p w14:paraId="72E54D58" w14:textId="36AED82A"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Average LOS among hospitalized patients</w:t>
            </w:r>
            <w:r w:rsidR="00F06C10" w:rsidRPr="00977582">
              <w:rPr>
                <w:rFonts w:ascii="Book Antiqua" w:hAnsi="Book Antiqua" w:cs="Times New Roman"/>
                <w:color w:val="000000" w:themeColor="text1"/>
              </w:rPr>
              <w:t xml:space="preserve"> (d)</w:t>
            </w:r>
          </w:p>
        </w:tc>
        <w:tc>
          <w:tcPr>
            <w:tcW w:w="1360" w:type="pct"/>
            <w:tcBorders>
              <w:top w:val="nil"/>
              <w:left w:val="nil"/>
              <w:right w:val="nil"/>
            </w:tcBorders>
            <w:shd w:val="clear" w:color="auto" w:fill="FFFFFF"/>
            <w:tcMar>
              <w:left w:w="96" w:type="dxa"/>
              <w:right w:w="96" w:type="dxa"/>
            </w:tcMar>
            <w:vAlign w:val="center"/>
          </w:tcPr>
          <w:p w14:paraId="72E54D59" w14:textId="1EC72591"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7.4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7.1</w:t>
            </w:r>
          </w:p>
        </w:tc>
        <w:tc>
          <w:tcPr>
            <w:tcW w:w="1250" w:type="pct"/>
            <w:tcBorders>
              <w:top w:val="nil"/>
              <w:left w:val="nil"/>
              <w:right w:val="nil"/>
            </w:tcBorders>
            <w:shd w:val="clear" w:color="auto" w:fill="FFFFFF"/>
            <w:tcMar>
              <w:left w:w="96" w:type="dxa"/>
              <w:right w:w="96" w:type="dxa"/>
            </w:tcMar>
            <w:vAlign w:val="center"/>
          </w:tcPr>
          <w:p w14:paraId="72E54D5A" w14:textId="52497F80"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5.5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Pr="00977582">
              <w:rPr>
                <w:rFonts w:ascii="Book Antiqua" w:hAnsi="Book Antiqua" w:cs="Times New Roman"/>
                <w:color w:val="000000" w:themeColor="text1"/>
              </w:rPr>
              <w:t>3.6)</w:t>
            </w:r>
          </w:p>
        </w:tc>
        <w:tc>
          <w:tcPr>
            <w:tcW w:w="552" w:type="pct"/>
            <w:tcBorders>
              <w:top w:val="nil"/>
              <w:left w:val="nil"/>
              <w:right w:val="nil"/>
            </w:tcBorders>
            <w:shd w:val="clear" w:color="auto" w:fill="FFFFFF"/>
            <w:tcMar>
              <w:left w:w="96" w:type="dxa"/>
              <w:right w:w="96" w:type="dxa"/>
            </w:tcMar>
            <w:vAlign w:val="center"/>
          </w:tcPr>
          <w:p w14:paraId="72E54D5B"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0.029</w:t>
            </w:r>
          </w:p>
        </w:tc>
      </w:tr>
      <w:tr w:rsidR="00D5513E" w:rsidRPr="00977582" w14:paraId="72E54D61" w14:textId="77777777" w:rsidTr="00D5513E">
        <w:trPr>
          <w:cantSplit/>
          <w:trHeight w:val="402"/>
        </w:trPr>
        <w:tc>
          <w:tcPr>
            <w:tcW w:w="1838" w:type="pct"/>
            <w:tcBorders>
              <w:top w:val="nil"/>
              <w:left w:val="nil"/>
              <w:right w:val="nil"/>
            </w:tcBorders>
            <w:shd w:val="clear" w:color="auto" w:fill="FFFFFF"/>
            <w:tcMar>
              <w:left w:w="96" w:type="dxa"/>
              <w:right w:w="96" w:type="dxa"/>
            </w:tcMar>
            <w:vAlign w:val="bottom"/>
          </w:tcPr>
          <w:p w14:paraId="72E54D5D" w14:textId="0E58765A"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Patients with ED visits</w:t>
            </w:r>
          </w:p>
        </w:tc>
        <w:tc>
          <w:tcPr>
            <w:tcW w:w="1360" w:type="pct"/>
            <w:tcBorders>
              <w:top w:val="nil"/>
              <w:left w:val="nil"/>
              <w:right w:val="nil"/>
            </w:tcBorders>
            <w:shd w:val="clear" w:color="auto" w:fill="FFFFFF"/>
            <w:tcMar>
              <w:left w:w="96" w:type="dxa"/>
              <w:right w:w="96" w:type="dxa"/>
            </w:tcMar>
            <w:vAlign w:val="center"/>
          </w:tcPr>
          <w:p w14:paraId="72E54D5E"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59 (11.0)</w:t>
            </w:r>
          </w:p>
        </w:tc>
        <w:tc>
          <w:tcPr>
            <w:tcW w:w="1250" w:type="pct"/>
            <w:tcBorders>
              <w:top w:val="nil"/>
              <w:left w:val="nil"/>
              <w:right w:val="nil"/>
            </w:tcBorders>
            <w:shd w:val="clear" w:color="auto" w:fill="FFFFFF"/>
            <w:tcMar>
              <w:left w:w="96" w:type="dxa"/>
              <w:right w:w="96" w:type="dxa"/>
            </w:tcMar>
            <w:vAlign w:val="center"/>
          </w:tcPr>
          <w:p w14:paraId="72E54D5F" w14:textId="77777777"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101 (4.4)</w:t>
            </w:r>
          </w:p>
        </w:tc>
        <w:tc>
          <w:tcPr>
            <w:tcW w:w="552" w:type="pct"/>
            <w:tcBorders>
              <w:top w:val="nil"/>
              <w:left w:val="nil"/>
              <w:right w:val="nil"/>
            </w:tcBorders>
            <w:shd w:val="clear" w:color="auto" w:fill="FFFFFF"/>
            <w:tcMar>
              <w:left w:w="96" w:type="dxa"/>
              <w:right w:w="96" w:type="dxa"/>
            </w:tcMar>
            <w:vAlign w:val="center"/>
          </w:tcPr>
          <w:p w14:paraId="72E54D60" w14:textId="00530789"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66" w14:textId="77777777" w:rsidTr="00D5513E">
        <w:trPr>
          <w:cantSplit/>
          <w:trHeight w:val="402"/>
        </w:trPr>
        <w:tc>
          <w:tcPr>
            <w:tcW w:w="1838" w:type="pct"/>
            <w:tcBorders>
              <w:left w:val="nil"/>
              <w:right w:val="nil"/>
            </w:tcBorders>
            <w:shd w:val="clear" w:color="auto" w:fill="FFFFFF"/>
            <w:tcMar>
              <w:left w:w="96" w:type="dxa"/>
              <w:right w:w="96" w:type="dxa"/>
            </w:tcMar>
            <w:vAlign w:val="bottom"/>
          </w:tcPr>
          <w:p w14:paraId="72E54D62" w14:textId="58820075"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Outpatient physician visits</w:t>
            </w:r>
          </w:p>
        </w:tc>
        <w:tc>
          <w:tcPr>
            <w:tcW w:w="1360" w:type="pct"/>
            <w:tcBorders>
              <w:left w:val="nil"/>
              <w:right w:val="nil"/>
            </w:tcBorders>
            <w:shd w:val="clear" w:color="auto" w:fill="FFFFFF"/>
            <w:tcMar>
              <w:left w:w="96" w:type="dxa"/>
              <w:right w:w="96" w:type="dxa"/>
            </w:tcMar>
            <w:vAlign w:val="center"/>
          </w:tcPr>
          <w:p w14:paraId="72E54D63" w14:textId="4D8DFAC3"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6.9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7.8</w:t>
            </w:r>
          </w:p>
        </w:tc>
        <w:tc>
          <w:tcPr>
            <w:tcW w:w="1250" w:type="pct"/>
            <w:tcBorders>
              <w:left w:val="nil"/>
              <w:right w:val="nil"/>
            </w:tcBorders>
            <w:shd w:val="clear" w:color="auto" w:fill="FFFFFF"/>
            <w:tcMar>
              <w:left w:w="96" w:type="dxa"/>
              <w:right w:w="96" w:type="dxa"/>
            </w:tcMar>
            <w:vAlign w:val="center"/>
          </w:tcPr>
          <w:p w14:paraId="72E54D64" w14:textId="11397532"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 xml:space="preserve">4.1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6.1</w:t>
            </w:r>
          </w:p>
        </w:tc>
        <w:tc>
          <w:tcPr>
            <w:tcW w:w="552" w:type="pct"/>
            <w:tcBorders>
              <w:left w:val="nil"/>
              <w:right w:val="nil"/>
            </w:tcBorders>
            <w:shd w:val="clear" w:color="auto" w:fill="FFFFFF"/>
            <w:tcMar>
              <w:left w:w="96" w:type="dxa"/>
              <w:right w:w="96" w:type="dxa"/>
            </w:tcMar>
            <w:vAlign w:val="center"/>
          </w:tcPr>
          <w:p w14:paraId="72E54D65" w14:textId="0C54C08E"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6E770B" w:rsidRPr="00977582" w14:paraId="72E54D68" w14:textId="77777777" w:rsidTr="00511239">
        <w:trPr>
          <w:cantSplit/>
          <w:trHeight w:val="382"/>
        </w:trPr>
        <w:tc>
          <w:tcPr>
            <w:tcW w:w="5000" w:type="pct"/>
            <w:gridSpan w:val="4"/>
            <w:tcBorders>
              <w:left w:val="nil"/>
              <w:right w:val="nil"/>
            </w:tcBorders>
            <w:shd w:val="clear" w:color="auto" w:fill="FFFFFF"/>
            <w:tcMar>
              <w:left w:w="96" w:type="dxa"/>
              <w:right w:w="96" w:type="dxa"/>
            </w:tcMar>
            <w:vAlign w:val="bottom"/>
          </w:tcPr>
          <w:p w14:paraId="72E54D67" w14:textId="77777777" w:rsidR="00642397" w:rsidRPr="00977582" w:rsidRDefault="00642397"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b/>
                <w:color w:val="000000" w:themeColor="text1"/>
              </w:rPr>
              <w:lastRenderedPageBreak/>
              <w:t>Healthcare costs</w:t>
            </w:r>
            <w:r w:rsidR="00F06C10" w:rsidRPr="00977582">
              <w:rPr>
                <w:rFonts w:ascii="Book Antiqua" w:hAnsi="Book Antiqua" w:cs="Times New Roman"/>
                <w:b/>
                <w:color w:val="000000" w:themeColor="text1"/>
              </w:rPr>
              <w:t xml:space="preserve"> (USD)</w:t>
            </w:r>
          </w:p>
        </w:tc>
      </w:tr>
      <w:tr w:rsidR="00D5513E" w:rsidRPr="00977582" w14:paraId="72E54D6D" w14:textId="77777777" w:rsidTr="00D5513E">
        <w:trPr>
          <w:cantSplit/>
          <w:trHeight w:val="382"/>
        </w:trPr>
        <w:tc>
          <w:tcPr>
            <w:tcW w:w="1838" w:type="pct"/>
            <w:tcBorders>
              <w:top w:val="nil"/>
              <w:left w:val="nil"/>
              <w:right w:val="nil"/>
            </w:tcBorders>
            <w:shd w:val="clear" w:color="auto" w:fill="FFFFFF"/>
            <w:tcMar>
              <w:left w:w="96" w:type="dxa"/>
              <w:right w:w="96" w:type="dxa"/>
            </w:tcMar>
            <w:vAlign w:val="bottom"/>
          </w:tcPr>
          <w:p w14:paraId="72E54D69" w14:textId="43EC3A36"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Total costs</w:t>
            </w:r>
          </w:p>
        </w:tc>
        <w:tc>
          <w:tcPr>
            <w:tcW w:w="1360" w:type="pct"/>
            <w:tcBorders>
              <w:top w:val="nil"/>
              <w:left w:val="nil"/>
              <w:right w:val="nil"/>
            </w:tcBorders>
            <w:shd w:val="clear" w:color="auto" w:fill="FFFFFF"/>
            <w:tcMar>
              <w:left w:w="96" w:type="dxa"/>
              <w:right w:w="96" w:type="dxa"/>
            </w:tcMar>
            <w:vAlign w:val="center"/>
          </w:tcPr>
          <w:p w14:paraId="72E54D6A" w14:textId="7CFE64DF" w:rsidR="00642397" w:rsidRPr="00977582" w:rsidRDefault="00D5513E"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 xml:space="preserve">82032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90181.7</w:t>
            </w:r>
          </w:p>
        </w:tc>
        <w:tc>
          <w:tcPr>
            <w:tcW w:w="1250" w:type="pct"/>
            <w:tcBorders>
              <w:top w:val="nil"/>
              <w:left w:val="nil"/>
              <w:right w:val="nil"/>
            </w:tcBorders>
            <w:shd w:val="clear" w:color="auto" w:fill="FFFFFF"/>
            <w:tcMar>
              <w:left w:w="96" w:type="dxa"/>
              <w:right w:w="96" w:type="dxa"/>
            </w:tcMar>
            <w:vAlign w:val="center"/>
          </w:tcPr>
          <w:p w14:paraId="72E54D6B" w14:textId="6EC62E54" w:rsidR="00642397" w:rsidRPr="00977582" w:rsidRDefault="00F25512"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51</w:t>
            </w:r>
            <w:r w:rsidR="00642397" w:rsidRPr="00977582">
              <w:rPr>
                <w:rFonts w:ascii="Book Antiqua" w:hAnsi="Book Antiqua" w:cs="Times New Roman"/>
                <w:color w:val="000000" w:themeColor="text1"/>
              </w:rPr>
              <w:t xml:space="preserve">621 </w:t>
            </w:r>
            <w:r w:rsidR="00D5513E" w:rsidRPr="00F25512">
              <w:rPr>
                <w:rFonts w:ascii="Book Antiqua" w:hAnsi="Book Antiqua" w:cs="Times New Roman"/>
                <w:color w:val="000000" w:themeColor="text1"/>
                <w:lang w:eastAsia="zh-CN"/>
              </w:rPr>
              <w:t>±</w:t>
            </w:r>
            <w:r w:rsidR="00D5513E">
              <w:rPr>
                <w:rFonts w:ascii="Book Antiqua" w:hAnsi="Book Antiqua" w:cs="Times New Roman" w:hint="eastAsia"/>
                <w:color w:val="000000" w:themeColor="text1"/>
                <w:lang w:eastAsia="zh-CN"/>
              </w:rPr>
              <w:t xml:space="preserve"> </w:t>
            </w:r>
            <w:r w:rsidR="00D5513E">
              <w:rPr>
                <w:rFonts w:ascii="Book Antiqua" w:hAnsi="Book Antiqua" w:cs="Times New Roman"/>
                <w:color w:val="000000" w:themeColor="text1"/>
              </w:rPr>
              <w:t>63890.8</w:t>
            </w:r>
          </w:p>
        </w:tc>
        <w:tc>
          <w:tcPr>
            <w:tcW w:w="552" w:type="pct"/>
            <w:tcBorders>
              <w:top w:val="nil"/>
              <w:left w:val="nil"/>
              <w:right w:val="nil"/>
            </w:tcBorders>
            <w:shd w:val="clear" w:color="auto" w:fill="FFFFFF"/>
            <w:tcMar>
              <w:left w:w="96" w:type="dxa"/>
              <w:right w:w="96" w:type="dxa"/>
            </w:tcMar>
            <w:vAlign w:val="center"/>
          </w:tcPr>
          <w:p w14:paraId="72E54D6C" w14:textId="2A6BBA64"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F25512">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72" w14:textId="77777777" w:rsidTr="00D5513E">
        <w:trPr>
          <w:cantSplit/>
          <w:trHeight w:val="382"/>
        </w:trPr>
        <w:tc>
          <w:tcPr>
            <w:tcW w:w="1838" w:type="pct"/>
            <w:tcBorders>
              <w:top w:val="nil"/>
              <w:left w:val="nil"/>
              <w:right w:val="nil"/>
            </w:tcBorders>
            <w:shd w:val="clear" w:color="auto" w:fill="FFFFFF"/>
            <w:tcMar>
              <w:left w:w="96" w:type="dxa"/>
              <w:right w:w="96" w:type="dxa"/>
            </w:tcMar>
            <w:vAlign w:val="bottom"/>
          </w:tcPr>
          <w:p w14:paraId="72E54D6E" w14:textId="36A4D961" w:rsidR="00642397" w:rsidRPr="00977582" w:rsidRDefault="00642397" w:rsidP="0041646E">
            <w:pPr>
              <w:adjustRightInd w:val="0"/>
              <w:snapToGrid w:val="0"/>
              <w:spacing w:after="0" w:line="360" w:lineRule="auto"/>
              <w:jc w:val="both"/>
              <w:rPr>
                <w:rFonts w:ascii="Book Antiqua" w:hAnsi="Book Antiqua" w:cs="Times New Roman"/>
                <w:color w:val="000000" w:themeColor="text1"/>
                <w:lang w:eastAsia="zh-CN"/>
              </w:rPr>
            </w:pPr>
            <w:r w:rsidRPr="00977582">
              <w:rPr>
                <w:rFonts w:ascii="Book Antiqua" w:hAnsi="Book Antiqua" w:cs="Times New Roman"/>
                <w:color w:val="000000" w:themeColor="text1"/>
              </w:rPr>
              <w:t>Total medical costs</w:t>
            </w:r>
          </w:p>
        </w:tc>
        <w:tc>
          <w:tcPr>
            <w:tcW w:w="1360" w:type="pct"/>
            <w:tcBorders>
              <w:top w:val="nil"/>
              <w:left w:val="nil"/>
              <w:right w:val="nil"/>
            </w:tcBorders>
            <w:shd w:val="clear" w:color="auto" w:fill="FFFFFF"/>
            <w:tcMar>
              <w:left w:w="96" w:type="dxa"/>
              <w:right w:w="96" w:type="dxa"/>
            </w:tcMar>
            <w:vAlign w:val="center"/>
          </w:tcPr>
          <w:p w14:paraId="72E54D6F" w14:textId="36EC2C7B" w:rsidR="00642397" w:rsidRPr="00977582" w:rsidRDefault="00D5513E"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74</w:t>
            </w:r>
            <w:r w:rsidR="00642397" w:rsidRPr="00977582">
              <w:rPr>
                <w:rFonts w:ascii="Book Antiqua" w:hAnsi="Book Antiqua" w:cs="Times New Roman"/>
                <w:color w:val="000000" w:themeColor="text1"/>
              </w:rPr>
              <w:t xml:space="preserve">654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86742.3</w:t>
            </w:r>
          </w:p>
        </w:tc>
        <w:tc>
          <w:tcPr>
            <w:tcW w:w="1250" w:type="pct"/>
            <w:tcBorders>
              <w:top w:val="nil"/>
              <w:left w:val="nil"/>
              <w:right w:val="nil"/>
            </w:tcBorders>
            <w:shd w:val="clear" w:color="auto" w:fill="FFFFFF"/>
            <w:tcMar>
              <w:left w:w="96" w:type="dxa"/>
              <w:right w:w="96" w:type="dxa"/>
            </w:tcMar>
            <w:vAlign w:val="center"/>
          </w:tcPr>
          <w:p w14:paraId="72E54D70" w14:textId="0766884B" w:rsidR="00642397" w:rsidRPr="00977582" w:rsidRDefault="00D5513E"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47</w:t>
            </w:r>
            <w:r w:rsidR="00642397" w:rsidRPr="00977582">
              <w:rPr>
                <w:rFonts w:ascii="Book Antiqua" w:hAnsi="Book Antiqua" w:cs="Times New Roman"/>
                <w:color w:val="000000" w:themeColor="text1"/>
              </w:rPr>
              <w:t xml:space="preserve">083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61214.0</w:t>
            </w:r>
          </w:p>
        </w:tc>
        <w:tc>
          <w:tcPr>
            <w:tcW w:w="552" w:type="pct"/>
            <w:tcBorders>
              <w:top w:val="nil"/>
              <w:left w:val="nil"/>
              <w:right w:val="nil"/>
            </w:tcBorders>
            <w:shd w:val="clear" w:color="auto" w:fill="FFFFFF"/>
            <w:tcMar>
              <w:left w:w="96" w:type="dxa"/>
              <w:right w:w="96" w:type="dxa"/>
            </w:tcMar>
            <w:vAlign w:val="center"/>
          </w:tcPr>
          <w:p w14:paraId="72E54D71" w14:textId="134D7EDF"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D5513E">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r w:rsidR="00D5513E" w:rsidRPr="00977582" w14:paraId="72E54D77" w14:textId="77777777" w:rsidTr="00D5513E">
        <w:trPr>
          <w:cantSplit/>
          <w:trHeight w:val="382"/>
        </w:trPr>
        <w:tc>
          <w:tcPr>
            <w:tcW w:w="1838" w:type="pct"/>
            <w:tcBorders>
              <w:left w:val="nil"/>
              <w:bottom w:val="single" w:sz="12" w:space="0" w:color="auto"/>
              <w:right w:val="nil"/>
            </w:tcBorders>
            <w:shd w:val="clear" w:color="auto" w:fill="FFFFFF"/>
            <w:tcMar>
              <w:left w:w="96" w:type="dxa"/>
              <w:right w:w="96" w:type="dxa"/>
            </w:tcMar>
            <w:vAlign w:val="bottom"/>
          </w:tcPr>
          <w:p w14:paraId="72E54D73" w14:textId="1F08FB7E"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Total pharmacy costs</w:t>
            </w:r>
          </w:p>
        </w:tc>
        <w:tc>
          <w:tcPr>
            <w:tcW w:w="1360" w:type="pct"/>
            <w:tcBorders>
              <w:left w:val="nil"/>
              <w:bottom w:val="single" w:sz="12" w:space="0" w:color="auto"/>
              <w:right w:val="nil"/>
            </w:tcBorders>
            <w:shd w:val="clear" w:color="auto" w:fill="FFFFFF"/>
            <w:tcMar>
              <w:left w:w="96" w:type="dxa"/>
              <w:right w:w="96" w:type="dxa"/>
            </w:tcMar>
            <w:vAlign w:val="center"/>
          </w:tcPr>
          <w:p w14:paraId="72E54D74" w14:textId="488C392B" w:rsidR="00642397" w:rsidRPr="00977582" w:rsidRDefault="00D5513E"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7</w:t>
            </w:r>
            <w:r w:rsidR="00642397" w:rsidRPr="00977582">
              <w:rPr>
                <w:rFonts w:ascii="Book Antiqua" w:hAnsi="Book Antiqua" w:cs="Times New Roman"/>
                <w:color w:val="000000" w:themeColor="text1"/>
              </w:rPr>
              <w:t xml:space="preserve">378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13949.8</w:t>
            </w:r>
          </w:p>
        </w:tc>
        <w:tc>
          <w:tcPr>
            <w:tcW w:w="1250" w:type="pct"/>
            <w:tcBorders>
              <w:left w:val="nil"/>
              <w:bottom w:val="single" w:sz="12" w:space="0" w:color="auto"/>
              <w:right w:val="nil"/>
            </w:tcBorders>
            <w:shd w:val="clear" w:color="auto" w:fill="FFFFFF"/>
            <w:tcMar>
              <w:left w:w="96" w:type="dxa"/>
              <w:right w:w="96" w:type="dxa"/>
            </w:tcMar>
            <w:vAlign w:val="center"/>
          </w:tcPr>
          <w:p w14:paraId="72E54D75" w14:textId="2A0B8338" w:rsidR="00642397" w:rsidRPr="00977582" w:rsidRDefault="00D5513E"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4</w:t>
            </w:r>
            <w:r w:rsidR="00642397" w:rsidRPr="00977582">
              <w:rPr>
                <w:rFonts w:ascii="Book Antiqua" w:hAnsi="Book Antiqua" w:cs="Times New Roman"/>
                <w:color w:val="000000" w:themeColor="text1"/>
              </w:rPr>
              <w:t xml:space="preserve">538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10</w:t>
            </w:r>
            <w:r w:rsidR="00642397" w:rsidRPr="00977582">
              <w:rPr>
                <w:rFonts w:ascii="Book Antiqua" w:hAnsi="Book Antiqua" w:cs="Times New Roman"/>
                <w:color w:val="000000" w:themeColor="text1"/>
              </w:rPr>
              <w:t>3</w:t>
            </w:r>
            <w:r>
              <w:rPr>
                <w:rFonts w:ascii="Book Antiqua" w:hAnsi="Book Antiqua" w:cs="Times New Roman"/>
                <w:color w:val="000000" w:themeColor="text1"/>
              </w:rPr>
              <w:t>14.2</w:t>
            </w:r>
          </w:p>
        </w:tc>
        <w:tc>
          <w:tcPr>
            <w:tcW w:w="552" w:type="pct"/>
            <w:tcBorders>
              <w:left w:val="nil"/>
              <w:bottom w:val="single" w:sz="12" w:space="0" w:color="auto"/>
              <w:right w:val="nil"/>
            </w:tcBorders>
            <w:shd w:val="clear" w:color="auto" w:fill="FFFFFF"/>
            <w:tcMar>
              <w:left w:w="96" w:type="dxa"/>
              <w:right w:w="96" w:type="dxa"/>
            </w:tcMar>
            <w:vAlign w:val="center"/>
          </w:tcPr>
          <w:p w14:paraId="72E54D76" w14:textId="58A37F0A" w:rsidR="00642397" w:rsidRPr="00977582" w:rsidRDefault="00642397"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D5513E">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.001</w:t>
            </w:r>
          </w:p>
        </w:tc>
      </w:tr>
    </w:tbl>
    <w:p w14:paraId="72E54D7E" w14:textId="77777777" w:rsidR="00F40EFF" w:rsidRPr="00977582" w:rsidRDefault="00642397" w:rsidP="0041646E">
      <w:pPr>
        <w:adjustRightInd w:val="0"/>
        <w:snapToGrid w:val="0"/>
        <w:spacing w:after="0" w:line="360" w:lineRule="auto"/>
        <w:ind w:hanging="864"/>
        <w:jc w:val="both"/>
        <w:rPr>
          <w:rFonts w:ascii="Book Antiqua" w:hAnsi="Book Antiqua" w:cs="Times New Roman"/>
          <w:b/>
          <w:color w:val="000000" w:themeColor="text1"/>
        </w:rPr>
      </w:pPr>
      <w:r w:rsidRPr="00977582">
        <w:rPr>
          <w:rFonts w:ascii="Book Antiqua" w:hAnsi="Book Antiqua" w:cs="Times New Roman"/>
          <w:b/>
          <w:color w:val="000000" w:themeColor="text1"/>
        </w:rPr>
        <w:t xml:space="preserve"> </w:t>
      </w:r>
    </w:p>
    <w:p w14:paraId="72E54D7F" w14:textId="77777777" w:rsidR="00F40EFF" w:rsidRPr="00977582" w:rsidRDefault="00F40EFF" w:rsidP="0041646E">
      <w:pPr>
        <w:adjustRightInd w:val="0"/>
        <w:snapToGrid w:val="0"/>
        <w:spacing w:after="0" w:line="360" w:lineRule="auto"/>
        <w:ind w:hanging="864"/>
        <w:jc w:val="both"/>
        <w:rPr>
          <w:rFonts w:ascii="Book Antiqua" w:hAnsi="Book Antiqua" w:cs="Times New Roman"/>
          <w:b/>
          <w:color w:val="000000" w:themeColor="text1"/>
        </w:rPr>
      </w:pPr>
    </w:p>
    <w:p w14:paraId="72E54D80" w14:textId="77777777" w:rsidR="001B09E2" w:rsidRPr="00977582" w:rsidRDefault="001B09E2" w:rsidP="0041646E">
      <w:pPr>
        <w:adjustRightInd w:val="0"/>
        <w:snapToGrid w:val="0"/>
        <w:spacing w:after="0" w:line="360" w:lineRule="auto"/>
        <w:ind w:hanging="864"/>
        <w:jc w:val="both"/>
        <w:rPr>
          <w:rFonts w:ascii="Book Antiqua" w:hAnsi="Book Antiqua" w:cs="Times New Roman"/>
          <w:color w:val="000000" w:themeColor="text1"/>
        </w:rPr>
      </w:pPr>
    </w:p>
    <w:p w14:paraId="55DAD672" w14:textId="77777777" w:rsidR="00D5513E" w:rsidRDefault="00D5513E" w:rsidP="0041646E">
      <w:pPr>
        <w:tabs>
          <w:tab w:val="left" w:pos="8550"/>
        </w:tabs>
        <w:adjustRightInd w:val="0"/>
        <w:snapToGrid w:val="0"/>
        <w:spacing w:after="0" w:line="360" w:lineRule="auto"/>
        <w:ind w:hanging="864"/>
        <w:jc w:val="both"/>
        <w:rPr>
          <w:rFonts w:ascii="Times New Roman" w:hAnsi="Times New Roman" w:cs="Times New Roman"/>
          <w:color w:val="000000" w:themeColor="text1"/>
          <w:sz w:val="16"/>
          <w:szCs w:val="16"/>
          <w:lang w:eastAsia="zh-CN"/>
        </w:rPr>
      </w:pPr>
    </w:p>
    <w:p w14:paraId="1A497469" w14:textId="77777777" w:rsidR="00C53966" w:rsidRDefault="00C53966" w:rsidP="0041646E">
      <w:pPr>
        <w:tabs>
          <w:tab w:val="left" w:pos="8550"/>
        </w:tabs>
        <w:adjustRightInd w:val="0"/>
        <w:snapToGrid w:val="0"/>
        <w:spacing w:after="0" w:line="360" w:lineRule="auto"/>
        <w:jc w:val="both"/>
        <w:rPr>
          <w:rFonts w:ascii="Book Antiqua" w:hAnsi="Book Antiqua" w:cs="Times New Roman"/>
          <w:color w:val="000000" w:themeColor="text1"/>
          <w:vertAlign w:val="superscript"/>
          <w:lang w:eastAsia="zh-CN"/>
        </w:rPr>
      </w:pPr>
    </w:p>
    <w:p w14:paraId="0F03B0D8" w14:textId="77777777" w:rsidR="00C53966" w:rsidRDefault="00C53966" w:rsidP="0041646E">
      <w:pPr>
        <w:tabs>
          <w:tab w:val="left" w:pos="8550"/>
        </w:tabs>
        <w:adjustRightInd w:val="0"/>
        <w:snapToGrid w:val="0"/>
        <w:spacing w:after="0" w:line="360" w:lineRule="auto"/>
        <w:jc w:val="both"/>
        <w:rPr>
          <w:rFonts w:ascii="Book Antiqua" w:hAnsi="Book Antiqua" w:cs="Times New Roman"/>
          <w:color w:val="000000" w:themeColor="text1"/>
          <w:vertAlign w:val="superscript"/>
          <w:lang w:eastAsia="zh-CN"/>
        </w:rPr>
      </w:pPr>
    </w:p>
    <w:p w14:paraId="1BA41A00" w14:textId="77777777" w:rsidR="00C53966" w:rsidRDefault="00C53966" w:rsidP="0041646E">
      <w:pPr>
        <w:tabs>
          <w:tab w:val="left" w:pos="8550"/>
        </w:tabs>
        <w:adjustRightInd w:val="0"/>
        <w:snapToGrid w:val="0"/>
        <w:spacing w:after="0" w:line="360" w:lineRule="auto"/>
        <w:jc w:val="both"/>
        <w:rPr>
          <w:rFonts w:ascii="Book Antiqua" w:hAnsi="Book Antiqua" w:cs="Times New Roman"/>
          <w:color w:val="000000" w:themeColor="text1"/>
          <w:vertAlign w:val="superscript"/>
          <w:lang w:eastAsia="zh-CN"/>
        </w:rPr>
      </w:pPr>
    </w:p>
    <w:p w14:paraId="01862914" w14:textId="77777777" w:rsidR="00C53966" w:rsidRDefault="00C53966" w:rsidP="0041646E">
      <w:pPr>
        <w:tabs>
          <w:tab w:val="left" w:pos="8550"/>
        </w:tabs>
        <w:adjustRightInd w:val="0"/>
        <w:snapToGrid w:val="0"/>
        <w:spacing w:after="0" w:line="360" w:lineRule="auto"/>
        <w:jc w:val="both"/>
        <w:rPr>
          <w:rFonts w:ascii="Book Antiqua" w:hAnsi="Book Antiqua" w:cs="Times New Roman"/>
          <w:color w:val="000000" w:themeColor="text1"/>
          <w:vertAlign w:val="superscript"/>
          <w:lang w:eastAsia="zh-CN"/>
        </w:rPr>
      </w:pPr>
    </w:p>
    <w:p w14:paraId="12E284CA" w14:textId="77777777" w:rsidR="00C53966" w:rsidRDefault="00C53966" w:rsidP="0041646E">
      <w:pPr>
        <w:tabs>
          <w:tab w:val="left" w:pos="8550"/>
        </w:tabs>
        <w:adjustRightInd w:val="0"/>
        <w:snapToGrid w:val="0"/>
        <w:spacing w:after="0" w:line="360" w:lineRule="auto"/>
        <w:jc w:val="both"/>
        <w:rPr>
          <w:rFonts w:ascii="Book Antiqua" w:hAnsi="Book Antiqua" w:cs="Times New Roman"/>
          <w:color w:val="000000" w:themeColor="text1"/>
          <w:vertAlign w:val="superscript"/>
          <w:lang w:eastAsia="zh-CN"/>
        </w:rPr>
      </w:pPr>
    </w:p>
    <w:p w14:paraId="1C047645" w14:textId="5A037272" w:rsidR="00D5513E" w:rsidRDefault="00D5513E" w:rsidP="0041646E">
      <w:pPr>
        <w:tabs>
          <w:tab w:val="left" w:pos="8550"/>
        </w:tabs>
        <w:adjustRightInd w:val="0"/>
        <w:snapToGrid w:val="0"/>
        <w:spacing w:after="0" w:line="360" w:lineRule="auto"/>
        <w:jc w:val="both"/>
        <w:rPr>
          <w:rFonts w:ascii="Times New Roman" w:hAnsi="Times New Roman" w:cs="Times New Roman"/>
          <w:color w:val="000000" w:themeColor="text1"/>
          <w:sz w:val="16"/>
          <w:szCs w:val="16"/>
          <w:lang w:eastAsia="zh-CN"/>
        </w:rPr>
      </w:pPr>
      <w:r w:rsidRPr="00D5513E">
        <w:rPr>
          <w:rFonts w:ascii="Book Antiqua" w:hAnsi="Book Antiqua" w:cs="Times New Roman" w:hint="eastAsia"/>
          <w:color w:val="000000" w:themeColor="text1"/>
          <w:vertAlign w:val="superscript"/>
        </w:rPr>
        <w:t>1</w:t>
      </w:r>
      <w:r w:rsidRPr="00D5513E">
        <w:rPr>
          <w:rFonts w:ascii="Book Antiqua" w:hAnsi="Book Antiqua" w:cs="Times New Roman"/>
          <w:color w:val="000000" w:themeColor="text1"/>
        </w:rPr>
        <w:t>Claims with primary diagnosis of CS, CS-related syndrome, or carcinoid tumor progression</w:t>
      </w:r>
      <w:r w:rsidRPr="00D5513E">
        <w:rPr>
          <w:rFonts w:ascii="Book Antiqua" w:hAnsi="Book Antiqua" w:cs="Times New Roman" w:hint="eastAsia"/>
          <w:color w:val="000000" w:themeColor="text1"/>
        </w:rPr>
        <w:t xml:space="preserve">. </w:t>
      </w:r>
      <w:r w:rsidRPr="00977582">
        <w:rPr>
          <w:rFonts w:ascii="Book Antiqua" w:hAnsi="Book Antiqua" w:cs="Times New Roman"/>
          <w:color w:val="000000" w:themeColor="text1"/>
        </w:rPr>
        <w:t xml:space="preserve">All costs were adjusted to 2012 </w:t>
      </w:r>
      <w:r>
        <w:rPr>
          <w:rFonts w:ascii="Book Antiqua" w:hAnsi="Book Antiqua" w:cs="Times New Roman" w:hint="eastAsia"/>
          <w:color w:val="000000" w:themeColor="text1"/>
          <w:lang w:eastAsia="zh-CN"/>
        </w:rPr>
        <w:t>United States</w:t>
      </w:r>
      <w:r w:rsidRPr="00977582">
        <w:rPr>
          <w:rFonts w:ascii="Book Antiqua" w:hAnsi="Book Antiqua" w:cs="Times New Roman"/>
          <w:color w:val="000000" w:themeColor="text1"/>
        </w:rPr>
        <w:t xml:space="preserve"> dollars using the medical care components of the Consumer Price Index</w:t>
      </w:r>
      <w:r>
        <w:rPr>
          <w:rFonts w:ascii="Book Antiqua" w:hAnsi="Book Antiqua" w:cs="Times New Roman" w:hint="eastAsia"/>
          <w:color w:val="000000" w:themeColor="text1"/>
          <w:lang w:eastAsia="zh-CN"/>
        </w:rPr>
        <w:t xml:space="preserve">. </w:t>
      </w:r>
      <w:r w:rsidRPr="00D5513E">
        <w:rPr>
          <w:rFonts w:ascii="Book Antiqua" w:hAnsi="Book Antiqua" w:cs="Times New Roman"/>
          <w:color w:val="000000" w:themeColor="text1"/>
        </w:rPr>
        <w:t xml:space="preserve">CS: </w:t>
      </w:r>
      <w:r w:rsidRPr="00D5513E">
        <w:rPr>
          <w:rFonts w:ascii="Book Antiqua" w:hAnsi="Book Antiqua" w:cs="Times New Roman"/>
          <w:caps/>
          <w:color w:val="000000" w:themeColor="text1"/>
        </w:rPr>
        <w:t>c</w:t>
      </w:r>
      <w:r w:rsidRPr="00D5513E">
        <w:rPr>
          <w:rFonts w:ascii="Book Antiqua" w:hAnsi="Book Antiqua" w:cs="Times New Roman"/>
          <w:color w:val="000000" w:themeColor="text1"/>
        </w:rPr>
        <w:t xml:space="preserve">arcinoid syndrome; ED: </w:t>
      </w:r>
      <w:r w:rsidRPr="00D5513E">
        <w:rPr>
          <w:rFonts w:ascii="Book Antiqua" w:hAnsi="Book Antiqua" w:cs="Times New Roman"/>
          <w:caps/>
          <w:color w:val="000000" w:themeColor="text1"/>
        </w:rPr>
        <w:t>e</w:t>
      </w:r>
      <w:r w:rsidRPr="00D5513E">
        <w:rPr>
          <w:rFonts w:ascii="Book Antiqua" w:hAnsi="Book Antiqua" w:cs="Times New Roman"/>
          <w:color w:val="000000" w:themeColor="text1"/>
        </w:rPr>
        <w:t xml:space="preserve">mergency department; LOS: </w:t>
      </w:r>
      <w:r w:rsidRPr="00D5513E">
        <w:rPr>
          <w:rFonts w:ascii="Book Antiqua" w:hAnsi="Book Antiqua" w:cs="Times New Roman"/>
          <w:caps/>
          <w:color w:val="000000" w:themeColor="text1"/>
        </w:rPr>
        <w:t>l</w:t>
      </w:r>
      <w:r w:rsidRPr="00D5513E">
        <w:rPr>
          <w:rFonts w:ascii="Book Antiqua" w:hAnsi="Book Antiqua" w:cs="Times New Roman"/>
          <w:color w:val="000000" w:themeColor="text1"/>
        </w:rPr>
        <w:t>ength of stay</w:t>
      </w:r>
      <w:r>
        <w:rPr>
          <w:rFonts w:ascii="Book Antiqua" w:hAnsi="Book Antiqua" w:cs="Times New Roman" w:hint="eastAsia"/>
          <w:color w:val="000000" w:themeColor="text1"/>
          <w:lang w:eastAsia="zh-CN"/>
        </w:rPr>
        <w:t>.</w:t>
      </w:r>
    </w:p>
    <w:p w14:paraId="72E54D81" w14:textId="2B431708" w:rsidR="001B09E2" w:rsidRPr="00977582" w:rsidRDefault="00503A55" w:rsidP="0041646E">
      <w:pPr>
        <w:tabs>
          <w:tab w:val="left" w:pos="8550"/>
        </w:tabs>
        <w:adjustRightInd w:val="0"/>
        <w:snapToGrid w:val="0"/>
        <w:spacing w:after="0" w:line="360" w:lineRule="auto"/>
        <w:jc w:val="both"/>
        <w:rPr>
          <w:rFonts w:ascii="Book Antiqua" w:hAnsi="Book Antiqua" w:cs="Times New Roman"/>
          <w:color w:val="000000" w:themeColor="text1"/>
        </w:rPr>
      </w:pPr>
      <w:r w:rsidRPr="00977582">
        <w:rPr>
          <w:rFonts w:ascii="Times New Roman" w:hAnsi="Times New Roman" w:cs="Times New Roman"/>
          <w:color w:val="000000" w:themeColor="text1"/>
          <w:sz w:val="16"/>
          <w:szCs w:val="16"/>
        </w:rPr>
        <w:br w:type="page"/>
      </w:r>
      <w:r w:rsidR="00AC7C16" w:rsidRPr="00977582">
        <w:rPr>
          <w:rFonts w:ascii="Book Antiqua" w:hAnsi="Book Antiqua" w:cs="Times New Roman"/>
          <w:b/>
          <w:color w:val="000000" w:themeColor="text1"/>
        </w:rPr>
        <w:lastRenderedPageBreak/>
        <w:t xml:space="preserve">Table 3 </w:t>
      </w:r>
      <w:r w:rsidR="001B09E2" w:rsidRPr="00977582">
        <w:rPr>
          <w:rFonts w:ascii="Book Antiqua" w:hAnsi="Book Antiqua" w:cs="Times New Roman"/>
          <w:b/>
          <w:color w:val="000000" w:themeColor="text1"/>
        </w:rPr>
        <w:t xml:space="preserve">Multivariate </w:t>
      </w:r>
      <w:r w:rsidR="004C46F5" w:rsidRPr="00977582">
        <w:rPr>
          <w:rFonts w:ascii="Book Antiqua" w:hAnsi="Book Antiqua" w:cs="Times New Roman"/>
          <w:b/>
          <w:color w:val="000000" w:themeColor="text1"/>
        </w:rPr>
        <w:t>analyses of annual overall and carcinoid syndrome-related hospitalization and total costs</w:t>
      </w:r>
    </w:p>
    <w:tbl>
      <w:tblPr>
        <w:tblW w:w="4759" w:type="pct"/>
        <w:tblInd w:w="-168" w:type="dxa"/>
        <w:tblLayout w:type="fixed"/>
        <w:tblCellMar>
          <w:left w:w="0" w:type="dxa"/>
          <w:right w:w="0" w:type="dxa"/>
        </w:tblCellMar>
        <w:tblLook w:val="0000" w:firstRow="0" w:lastRow="0" w:firstColumn="0" w:lastColumn="0" w:noHBand="0" w:noVBand="0"/>
      </w:tblPr>
      <w:tblGrid>
        <w:gridCol w:w="2243"/>
        <w:gridCol w:w="1332"/>
        <w:gridCol w:w="666"/>
        <w:gridCol w:w="1332"/>
        <w:gridCol w:w="666"/>
        <w:gridCol w:w="1501"/>
        <w:gridCol w:w="666"/>
      </w:tblGrid>
      <w:tr w:rsidR="006E770B" w:rsidRPr="00977582" w14:paraId="72E54D86" w14:textId="77777777" w:rsidTr="004C46F5">
        <w:trPr>
          <w:cantSplit/>
          <w:trHeight w:val="474"/>
        </w:trPr>
        <w:tc>
          <w:tcPr>
            <w:tcW w:w="1335" w:type="pct"/>
            <w:tcBorders>
              <w:top w:val="single" w:sz="12" w:space="0" w:color="auto"/>
              <w:left w:val="nil"/>
              <w:right w:val="nil"/>
            </w:tcBorders>
            <w:shd w:val="clear" w:color="auto" w:fill="FFFFFF"/>
            <w:tcMar>
              <w:left w:w="96" w:type="dxa"/>
              <w:right w:w="96" w:type="dxa"/>
            </w:tcMar>
          </w:tcPr>
          <w:p w14:paraId="72E54D82" w14:textId="77777777" w:rsidR="001B09E2" w:rsidRPr="00EE0A75" w:rsidRDefault="001B09E2" w:rsidP="0041646E">
            <w:pPr>
              <w:adjustRightInd w:val="0"/>
              <w:snapToGrid w:val="0"/>
              <w:spacing w:after="0" w:line="360" w:lineRule="auto"/>
              <w:jc w:val="both"/>
              <w:rPr>
                <w:rFonts w:ascii="Book Antiqua" w:hAnsi="Book Antiqua" w:cs="Times New Roman"/>
                <w:b/>
                <w:bCs/>
                <w:color w:val="000000" w:themeColor="text1"/>
              </w:rPr>
            </w:pPr>
          </w:p>
        </w:tc>
        <w:tc>
          <w:tcPr>
            <w:tcW w:w="1188" w:type="pct"/>
            <w:gridSpan w:val="2"/>
            <w:tcBorders>
              <w:top w:val="single" w:sz="8" w:space="0" w:color="auto"/>
              <w:left w:val="nil"/>
              <w:bottom w:val="single" w:sz="4" w:space="0" w:color="auto"/>
            </w:tcBorders>
            <w:shd w:val="clear" w:color="auto" w:fill="FFFFFF"/>
            <w:tcMar>
              <w:left w:w="96" w:type="dxa"/>
              <w:right w:w="96" w:type="dxa"/>
            </w:tcMar>
            <w:vAlign w:val="center"/>
          </w:tcPr>
          <w:p w14:paraId="72E54D83" w14:textId="57D561B0" w:rsidR="001B09E2" w:rsidRPr="00EE0A75" w:rsidRDefault="001B09E2" w:rsidP="0041646E">
            <w:pPr>
              <w:adjustRightInd w:val="0"/>
              <w:snapToGrid w:val="0"/>
              <w:spacing w:after="0" w:line="360" w:lineRule="auto"/>
              <w:jc w:val="both"/>
              <w:rPr>
                <w:rFonts w:ascii="Book Antiqua" w:hAnsi="Book Antiqua" w:cs="Times New Roman"/>
                <w:b/>
                <w:color w:val="000000" w:themeColor="text1"/>
              </w:rPr>
            </w:pPr>
            <w:r w:rsidRPr="00EE0A75">
              <w:rPr>
                <w:rFonts w:ascii="Book Antiqua" w:hAnsi="Book Antiqua" w:cs="Times New Roman"/>
                <w:b/>
                <w:bCs/>
                <w:color w:val="000000" w:themeColor="text1"/>
              </w:rPr>
              <w:t xml:space="preserve">Any </w:t>
            </w:r>
            <w:r w:rsidR="004C46F5" w:rsidRPr="00EE0A75">
              <w:rPr>
                <w:rFonts w:ascii="Book Antiqua" w:hAnsi="Book Antiqua" w:cs="Times New Roman"/>
                <w:b/>
                <w:bCs/>
                <w:color w:val="000000" w:themeColor="text1"/>
              </w:rPr>
              <w:t>ho</w:t>
            </w:r>
            <w:r w:rsidRPr="00EE0A75">
              <w:rPr>
                <w:rFonts w:ascii="Book Antiqua" w:hAnsi="Book Antiqua" w:cs="Times New Roman"/>
                <w:b/>
                <w:bCs/>
                <w:color w:val="000000" w:themeColor="text1"/>
              </w:rPr>
              <w:t>spitalization</w:t>
            </w:r>
          </w:p>
        </w:tc>
        <w:tc>
          <w:tcPr>
            <w:tcW w:w="1188" w:type="pct"/>
            <w:gridSpan w:val="2"/>
            <w:tcBorders>
              <w:top w:val="single" w:sz="8" w:space="0" w:color="auto"/>
              <w:left w:val="nil"/>
              <w:bottom w:val="single" w:sz="4" w:space="0" w:color="auto"/>
            </w:tcBorders>
            <w:shd w:val="clear" w:color="auto" w:fill="FFFFFF"/>
            <w:tcMar>
              <w:left w:w="96" w:type="dxa"/>
              <w:right w:w="96" w:type="dxa"/>
            </w:tcMar>
            <w:vAlign w:val="center"/>
          </w:tcPr>
          <w:p w14:paraId="72E54D84" w14:textId="3BFFEE79" w:rsidR="001B09E2" w:rsidRPr="00EE0A75" w:rsidRDefault="001B09E2" w:rsidP="0041646E">
            <w:pPr>
              <w:adjustRightInd w:val="0"/>
              <w:snapToGrid w:val="0"/>
              <w:spacing w:after="0" w:line="360" w:lineRule="auto"/>
              <w:jc w:val="both"/>
              <w:rPr>
                <w:rFonts w:ascii="Book Antiqua" w:hAnsi="Book Antiqua" w:cs="Times New Roman"/>
                <w:b/>
                <w:color w:val="000000" w:themeColor="text1"/>
                <w:lang w:eastAsia="zh-CN"/>
              </w:rPr>
            </w:pPr>
            <w:r w:rsidRPr="00EE0A75">
              <w:rPr>
                <w:rFonts w:ascii="Book Antiqua" w:hAnsi="Book Antiqua" w:cs="Times New Roman"/>
                <w:b/>
                <w:bCs/>
                <w:color w:val="000000" w:themeColor="text1"/>
              </w:rPr>
              <w:t>Any CS-</w:t>
            </w:r>
            <w:r w:rsidR="004C46F5" w:rsidRPr="00EE0A75">
              <w:rPr>
                <w:rFonts w:ascii="Book Antiqua" w:hAnsi="Book Antiqua" w:cs="Times New Roman"/>
                <w:b/>
                <w:bCs/>
                <w:color w:val="000000" w:themeColor="text1"/>
              </w:rPr>
              <w:t>related hospitaliz</w:t>
            </w:r>
            <w:r w:rsidRPr="00EE0A75">
              <w:rPr>
                <w:rFonts w:ascii="Book Antiqua" w:hAnsi="Book Antiqua" w:cs="Times New Roman"/>
                <w:b/>
                <w:bCs/>
                <w:color w:val="000000" w:themeColor="text1"/>
              </w:rPr>
              <w:t>ation</w:t>
            </w:r>
            <w:r w:rsidR="00EE0A75" w:rsidRPr="00EE0A75">
              <w:rPr>
                <w:rFonts w:ascii="Book Antiqua" w:hAnsi="Book Antiqua" w:cs="Times New Roman" w:hint="eastAsia"/>
                <w:b/>
                <w:bCs/>
                <w:color w:val="000000" w:themeColor="text1"/>
                <w:vertAlign w:val="superscript"/>
                <w:lang w:eastAsia="zh-CN"/>
              </w:rPr>
              <w:t>1</w:t>
            </w:r>
          </w:p>
        </w:tc>
        <w:tc>
          <w:tcPr>
            <w:tcW w:w="1288" w:type="pct"/>
            <w:gridSpan w:val="2"/>
            <w:tcBorders>
              <w:top w:val="single" w:sz="8" w:space="0" w:color="auto"/>
              <w:left w:val="nil"/>
              <w:bottom w:val="single" w:sz="4" w:space="0" w:color="auto"/>
              <w:right w:val="nil"/>
            </w:tcBorders>
            <w:shd w:val="clear" w:color="auto" w:fill="FFFFFF"/>
            <w:tcMar>
              <w:left w:w="96" w:type="dxa"/>
              <w:right w:w="96" w:type="dxa"/>
            </w:tcMar>
            <w:vAlign w:val="center"/>
          </w:tcPr>
          <w:p w14:paraId="72E54D85" w14:textId="3D0B6ED1" w:rsidR="001B09E2" w:rsidRPr="00EE0A75" w:rsidRDefault="001B09E2" w:rsidP="0041646E">
            <w:pPr>
              <w:adjustRightInd w:val="0"/>
              <w:snapToGrid w:val="0"/>
              <w:spacing w:after="0" w:line="360" w:lineRule="auto"/>
              <w:jc w:val="both"/>
              <w:rPr>
                <w:rFonts w:ascii="Book Antiqua" w:hAnsi="Book Antiqua" w:cs="Times New Roman"/>
                <w:b/>
                <w:color w:val="000000" w:themeColor="text1"/>
              </w:rPr>
            </w:pPr>
            <w:r w:rsidRPr="00EE0A75">
              <w:rPr>
                <w:rFonts w:ascii="Book Antiqua" w:hAnsi="Book Antiqua" w:cs="Times New Roman"/>
                <w:b/>
                <w:bCs/>
                <w:color w:val="000000" w:themeColor="text1"/>
              </w:rPr>
              <w:t xml:space="preserve">Total </w:t>
            </w:r>
            <w:r w:rsidR="004C46F5" w:rsidRPr="00EE0A75">
              <w:rPr>
                <w:rFonts w:ascii="Book Antiqua" w:hAnsi="Book Antiqua" w:cs="Times New Roman"/>
                <w:b/>
                <w:bCs/>
                <w:color w:val="000000" w:themeColor="text1"/>
              </w:rPr>
              <w:t>c</w:t>
            </w:r>
            <w:r w:rsidRPr="00EE0A75">
              <w:rPr>
                <w:rFonts w:ascii="Book Antiqua" w:hAnsi="Book Antiqua" w:cs="Times New Roman"/>
                <w:b/>
                <w:bCs/>
                <w:color w:val="000000" w:themeColor="text1"/>
              </w:rPr>
              <w:t>osts</w:t>
            </w:r>
          </w:p>
        </w:tc>
      </w:tr>
      <w:tr w:rsidR="006E770B" w:rsidRPr="00977582" w14:paraId="72E54D8E" w14:textId="77777777" w:rsidTr="004C46F5">
        <w:trPr>
          <w:cantSplit/>
          <w:trHeight w:val="232"/>
        </w:trPr>
        <w:tc>
          <w:tcPr>
            <w:tcW w:w="1335" w:type="pct"/>
            <w:tcBorders>
              <w:left w:val="nil"/>
              <w:bottom w:val="single" w:sz="8" w:space="0" w:color="auto"/>
              <w:right w:val="nil"/>
            </w:tcBorders>
            <w:shd w:val="clear" w:color="auto" w:fill="FFFFFF"/>
            <w:tcMar>
              <w:left w:w="96" w:type="dxa"/>
              <w:right w:w="96" w:type="dxa"/>
            </w:tcMar>
          </w:tcPr>
          <w:p w14:paraId="72E54D87" w14:textId="77777777" w:rsidR="001B09E2" w:rsidRPr="00EE0A75" w:rsidRDefault="001B09E2" w:rsidP="0041646E">
            <w:pPr>
              <w:adjustRightInd w:val="0"/>
              <w:snapToGrid w:val="0"/>
              <w:spacing w:after="0" w:line="360" w:lineRule="auto"/>
              <w:jc w:val="both"/>
              <w:rPr>
                <w:rFonts w:ascii="Book Antiqua" w:hAnsi="Book Antiqua" w:cs="Times New Roman"/>
                <w:b/>
                <w:bCs/>
                <w:color w:val="000000" w:themeColor="text1"/>
              </w:rPr>
            </w:pPr>
          </w:p>
        </w:tc>
        <w:tc>
          <w:tcPr>
            <w:tcW w:w="792" w:type="pct"/>
            <w:tcBorders>
              <w:top w:val="single" w:sz="4" w:space="0" w:color="auto"/>
              <w:left w:val="nil"/>
              <w:bottom w:val="single" w:sz="8" w:space="0" w:color="auto"/>
              <w:right w:val="nil"/>
            </w:tcBorders>
            <w:shd w:val="clear" w:color="auto" w:fill="FFFFFF"/>
            <w:tcMar>
              <w:left w:w="96" w:type="dxa"/>
              <w:right w:w="96" w:type="dxa"/>
            </w:tcMar>
            <w:vAlign w:val="bottom"/>
          </w:tcPr>
          <w:p w14:paraId="72E54D88" w14:textId="302E0715" w:rsidR="001B09E2" w:rsidRPr="00EE0A75" w:rsidRDefault="00EE0A75" w:rsidP="0041646E">
            <w:pPr>
              <w:adjustRightInd w:val="0"/>
              <w:snapToGrid w:val="0"/>
              <w:spacing w:after="0"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OR (95%</w:t>
            </w:r>
            <w:r w:rsidR="001B09E2" w:rsidRPr="00EE0A75">
              <w:rPr>
                <w:rFonts w:ascii="Book Antiqua" w:hAnsi="Book Antiqua" w:cs="Times New Roman"/>
                <w:b/>
                <w:bCs/>
                <w:color w:val="000000" w:themeColor="text1"/>
              </w:rPr>
              <w:t>CI)</w:t>
            </w:r>
          </w:p>
        </w:tc>
        <w:tc>
          <w:tcPr>
            <w:tcW w:w="396" w:type="pct"/>
            <w:tcBorders>
              <w:top w:val="single" w:sz="4" w:space="0" w:color="auto"/>
              <w:left w:val="nil"/>
              <w:bottom w:val="single" w:sz="8" w:space="0" w:color="auto"/>
            </w:tcBorders>
            <w:shd w:val="clear" w:color="auto" w:fill="FFFFFF"/>
            <w:vAlign w:val="bottom"/>
          </w:tcPr>
          <w:p w14:paraId="72E54D89" w14:textId="298ABC04" w:rsidR="001B09E2" w:rsidRPr="00EE0A75" w:rsidRDefault="001B09E2" w:rsidP="0041646E">
            <w:pPr>
              <w:adjustRightInd w:val="0"/>
              <w:snapToGrid w:val="0"/>
              <w:spacing w:after="0" w:line="360" w:lineRule="auto"/>
              <w:jc w:val="both"/>
              <w:rPr>
                <w:rFonts w:ascii="Book Antiqua" w:hAnsi="Book Antiqua" w:cs="Times New Roman"/>
                <w:b/>
                <w:bCs/>
                <w:i/>
                <w:color w:val="000000" w:themeColor="text1"/>
              </w:rPr>
            </w:pPr>
            <w:r w:rsidRPr="00EE0A75">
              <w:rPr>
                <w:rFonts w:ascii="Book Antiqua" w:hAnsi="Book Antiqua" w:cs="Times New Roman"/>
                <w:b/>
                <w:bCs/>
                <w:i/>
                <w:caps/>
                <w:color w:val="000000" w:themeColor="text1"/>
              </w:rPr>
              <w:t>p</w:t>
            </w:r>
            <w:r w:rsidR="004C46F5" w:rsidRPr="00EE0A75">
              <w:rPr>
                <w:rFonts w:ascii="Book Antiqua" w:hAnsi="Book Antiqua" w:cs="Times New Roman" w:hint="eastAsia"/>
                <w:b/>
                <w:bCs/>
                <w:i/>
                <w:color w:val="000000" w:themeColor="text1"/>
                <w:lang w:eastAsia="zh-CN"/>
              </w:rPr>
              <w:t>-</w:t>
            </w:r>
            <w:r w:rsidRPr="00EE0A75">
              <w:rPr>
                <w:rFonts w:ascii="Book Antiqua" w:hAnsi="Book Antiqua" w:cs="Times New Roman"/>
                <w:b/>
                <w:bCs/>
                <w:color w:val="000000" w:themeColor="text1"/>
              </w:rPr>
              <w:t>value</w:t>
            </w:r>
          </w:p>
        </w:tc>
        <w:tc>
          <w:tcPr>
            <w:tcW w:w="792" w:type="pct"/>
            <w:tcBorders>
              <w:top w:val="single" w:sz="4" w:space="0" w:color="auto"/>
              <w:left w:val="nil"/>
              <w:bottom w:val="single" w:sz="8" w:space="0" w:color="auto"/>
              <w:right w:val="nil"/>
            </w:tcBorders>
            <w:shd w:val="clear" w:color="auto" w:fill="FFFFFF"/>
            <w:vAlign w:val="bottom"/>
          </w:tcPr>
          <w:p w14:paraId="72E54D8A" w14:textId="28C9F64C" w:rsidR="001B09E2" w:rsidRPr="00EE0A75" w:rsidRDefault="004C46F5" w:rsidP="0041646E">
            <w:pPr>
              <w:adjustRightInd w:val="0"/>
              <w:snapToGrid w:val="0"/>
              <w:spacing w:after="0" w:line="360" w:lineRule="auto"/>
              <w:jc w:val="both"/>
              <w:rPr>
                <w:rFonts w:ascii="Book Antiqua" w:hAnsi="Book Antiqua" w:cs="Times New Roman"/>
                <w:b/>
                <w:bCs/>
                <w:color w:val="000000" w:themeColor="text1"/>
              </w:rPr>
            </w:pPr>
            <w:r w:rsidRPr="00EE0A75">
              <w:rPr>
                <w:rFonts w:ascii="Book Antiqua" w:hAnsi="Book Antiqua" w:cs="Times New Roman"/>
                <w:b/>
                <w:bCs/>
                <w:color w:val="000000" w:themeColor="text1"/>
              </w:rPr>
              <w:t>OR (95%</w:t>
            </w:r>
            <w:r w:rsidR="001B09E2" w:rsidRPr="00EE0A75">
              <w:rPr>
                <w:rFonts w:ascii="Book Antiqua" w:hAnsi="Book Antiqua" w:cs="Times New Roman"/>
                <w:b/>
                <w:bCs/>
                <w:color w:val="000000" w:themeColor="text1"/>
              </w:rPr>
              <w:t>CI)</w:t>
            </w:r>
          </w:p>
        </w:tc>
        <w:tc>
          <w:tcPr>
            <w:tcW w:w="396" w:type="pct"/>
            <w:tcBorders>
              <w:top w:val="single" w:sz="4" w:space="0" w:color="auto"/>
              <w:left w:val="nil"/>
              <w:bottom w:val="single" w:sz="8" w:space="0" w:color="auto"/>
            </w:tcBorders>
            <w:shd w:val="clear" w:color="auto" w:fill="FFFFFF"/>
            <w:vAlign w:val="bottom"/>
          </w:tcPr>
          <w:p w14:paraId="72E54D8B" w14:textId="6E576744" w:rsidR="001B09E2" w:rsidRPr="00EE0A75" w:rsidRDefault="001B09E2" w:rsidP="0041646E">
            <w:pPr>
              <w:adjustRightInd w:val="0"/>
              <w:snapToGrid w:val="0"/>
              <w:spacing w:after="0" w:line="360" w:lineRule="auto"/>
              <w:jc w:val="both"/>
              <w:rPr>
                <w:rFonts w:ascii="Book Antiqua" w:hAnsi="Book Antiqua" w:cs="Times New Roman"/>
                <w:b/>
                <w:bCs/>
                <w:i/>
                <w:color w:val="000000" w:themeColor="text1"/>
              </w:rPr>
            </w:pPr>
            <w:r w:rsidRPr="00EE0A75">
              <w:rPr>
                <w:rFonts w:ascii="Book Antiqua" w:hAnsi="Book Antiqua" w:cs="Times New Roman"/>
                <w:b/>
                <w:bCs/>
                <w:i/>
                <w:caps/>
                <w:color w:val="000000" w:themeColor="text1"/>
              </w:rPr>
              <w:t>p</w:t>
            </w:r>
            <w:r w:rsidR="004C46F5" w:rsidRPr="00EE0A75">
              <w:rPr>
                <w:rFonts w:ascii="Book Antiqua" w:hAnsi="Book Antiqua" w:cs="Times New Roman" w:hint="eastAsia"/>
                <w:b/>
                <w:bCs/>
                <w:i/>
                <w:color w:val="000000" w:themeColor="text1"/>
                <w:lang w:eastAsia="zh-CN"/>
              </w:rPr>
              <w:t>-</w:t>
            </w:r>
            <w:r w:rsidRPr="00EE0A75">
              <w:rPr>
                <w:rFonts w:ascii="Book Antiqua" w:hAnsi="Book Antiqua" w:cs="Times New Roman"/>
                <w:b/>
                <w:bCs/>
                <w:color w:val="000000" w:themeColor="text1"/>
              </w:rPr>
              <w:t>value</w:t>
            </w:r>
          </w:p>
        </w:tc>
        <w:tc>
          <w:tcPr>
            <w:tcW w:w="893" w:type="pct"/>
            <w:tcBorders>
              <w:top w:val="single" w:sz="4" w:space="0" w:color="auto"/>
              <w:left w:val="nil"/>
              <w:bottom w:val="single" w:sz="8" w:space="0" w:color="auto"/>
              <w:right w:val="nil"/>
            </w:tcBorders>
            <w:shd w:val="clear" w:color="auto" w:fill="FFFFFF"/>
            <w:vAlign w:val="bottom"/>
          </w:tcPr>
          <w:p w14:paraId="72E54D8C" w14:textId="2A218A39" w:rsidR="001B09E2" w:rsidRPr="00EE0A75" w:rsidRDefault="001B09E2" w:rsidP="0041646E">
            <w:pPr>
              <w:adjustRightInd w:val="0"/>
              <w:snapToGrid w:val="0"/>
              <w:spacing w:after="0" w:line="360" w:lineRule="auto"/>
              <w:jc w:val="both"/>
              <w:rPr>
                <w:rFonts w:ascii="Book Antiqua" w:hAnsi="Book Antiqua" w:cs="Times New Roman"/>
                <w:b/>
                <w:bCs/>
                <w:i/>
                <w:color w:val="000000" w:themeColor="text1"/>
              </w:rPr>
            </w:pPr>
          </w:p>
        </w:tc>
        <w:tc>
          <w:tcPr>
            <w:tcW w:w="395" w:type="pct"/>
            <w:tcBorders>
              <w:top w:val="single" w:sz="4" w:space="0" w:color="auto"/>
              <w:left w:val="nil"/>
              <w:bottom w:val="single" w:sz="8" w:space="0" w:color="auto"/>
              <w:right w:val="nil"/>
            </w:tcBorders>
            <w:shd w:val="clear" w:color="auto" w:fill="FFFFFF"/>
            <w:vAlign w:val="bottom"/>
          </w:tcPr>
          <w:p w14:paraId="72E54D8D" w14:textId="756314EE" w:rsidR="001B09E2" w:rsidRPr="00EE0A75" w:rsidRDefault="001B09E2" w:rsidP="0041646E">
            <w:pPr>
              <w:adjustRightInd w:val="0"/>
              <w:snapToGrid w:val="0"/>
              <w:spacing w:after="0" w:line="360" w:lineRule="auto"/>
              <w:jc w:val="both"/>
              <w:rPr>
                <w:rFonts w:ascii="Book Antiqua" w:hAnsi="Book Antiqua" w:cs="Times New Roman"/>
                <w:b/>
                <w:bCs/>
                <w:i/>
                <w:color w:val="000000" w:themeColor="text1"/>
              </w:rPr>
            </w:pPr>
            <w:r w:rsidRPr="00EE0A75">
              <w:rPr>
                <w:rFonts w:ascii="Book Antiqua" w:hAnsi="Book Antiqua" w:cs="Times New Roman"/>
                <w:b/>
                <w:bCs/>
                <w:i/>
                <w:caps/>
                <w:color w:val="000000" w:themeColor="text1"/>
              </w:rPr>
              <w:t>p</w:t>
            </w:r>
            <w:r w:rsidR="004C46F5" w:rsidRPr="00EE0A75">
              <w:rPr>
                <w:rFonts w:ascii="Book Antiqua" w:hAnsi="Book Antiqua" w:cs="Times New Roman" w:hint="eastAsia"/>
                <w:b/>
                <w:bCs/>
                <w:i/>
                <w:color w:val="000000" w:themeColor="text1"/>
                <w:lang w:eastAsia="zh-CN"/>
              </w:rPr>
              <w:t>-</w:t>
            </w:r>
            <w:r w:rsidRPr="00EE0A75">
              <w:rPr>
                <w:rFonts w:ascii="Book Antiqua" w:hAnsi="Book Antiqua" w:cs="Times New Roman"/>
                <w:b/>
                <w:bCs/>
                <w:color w:val="000000" w:themeColor="text1"/>
              </w:rPr>
              <w:t>value</w:t>
            </w:r>
          </w:p>
        </w:tc>
      </w:tr>
      <w:tr w:rsidR="006E770B" w:rsidRPr="00977582" w14:paraId="72E54D93" w14:textId="77777777" w:rsidTr="00D75286">
        <w:trPr>
          <w:cantSplit/>
        </w:trPr>
        <w:tc>
          <w:tcPr>
            <w:tcW w:w="1335" w:type="pct"/>
            <w:tcBorders>
              <w:top w:val="single" w:sz="8" w:space="0" w:color="auto"/>
              <w:left w:val="nil"/>
              <w:right w:val="nil"/>
            </w:tcBorders>
            <w:shd w:val="clear" w:color="auto" w:fill="FFFFFF"/>
            <w:tcMar>
              <w:left w:w="96" w:type="dxa"/>
              <w:right w:w="96" w:type="dxa"/>
            </w:tcMar>
          </w:tcPr>
          <w:p w14:paraId="72E54D8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Age group (in years)</w:t>
            </w:r>
          </w:p>
        </w:tc>
        <w:tc>
          <w:tcPr>
            <w:tcW w:w="1188" w:type="pct"/>
            <w:gridSpan w:val="2"/>
            <w:tcBorders>
              <w:top w:val="single" w:sz="8" w:space="0" w:color="auto"/>
              <w:left w:val="nil"/>
            </w:tcBorders>
            <w:shd w:val="clear" w:color="auto" w:fill="FFFFFF"/>
            <w:tcMar>
              <w:left w:w="96" w:type="dxa"/>
              <w:right w:w="96" w:type="dxa"/>
            </w:tcMar>
            <w:vAlign w:val="center"/>
          </w:tcPr>
          <w:p w14:paraId="72E54D9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88" w:type="pct"/>
            <w:gridSpan w:val="2"/>
            <w:tcBorders>
              <w:top w:val="single" w:sz="8" w:space="0" w:color="auto"/>
              <w:left w:val="nil"/>
            </w:tcBorders>
            <w:shd w:val="clear" w:color="auto" w:fill="FFFFFF"/>
            <w:vAlign w:val="center"/>
          </w:tcPr>
          <w:p w14:paraId="72E54D91"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288" w:type="pct"/>
            <w:gridSpan w:val="2"/>
            <w:tcBorders>
              <w:top w:val="single" w:sz="8" w:space="0" w:color="auto"/>
              <w:left w:val="nil"/>
              <w:right w:val="nil"/>
            </w:tcBorders>
            <w:shd w:val="clear" w:color="auto" w:fill="FFFFFF"/>
            <w:vAlign w:val="center"/>
          </w:tcPr>
          <w:p w14:paraId="72E54D9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9B" w14:textId="77777777" w:rsidTr="00642397">
        <w:trPr>
          <w:cantSplit/>
        </w:trPr>
        <w:tc>
          <w:tcPr>
            <w:tcW w:w="1335" w:type="pct"/>
            <w:tcBorders>
              <w:top w:val="nil"/>
              <w:left w:val="nil"/>
              <w:right w:val="nil"/>
            </w:tcBorders>
            <w:shd w:val="clear" w:color="auto" w:fill="FFFFFF"/>
            <w:tcMar>
              <w:left w:w="96" w:type="dxa"/>
              <w:right w:w="96" w:type="dxa"/>
            </w:tcMar>
          </w:tcPr>
          <w:p w14:paraId="72E54D94" w14:textId="14A2AE8F" w:rsidR="001B09E2" w:rsidRPr="00977582" w:rsidRDefault="00F06C10"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w:t>
            </w:r>
            <w:r w:rsidR="004C46F5">
              <w:rPr>
                <w:rFonts w:ascii="Book Antiqua" w:hAnsi="Book Antiqua" w:cs="Times New Roman" w:hint="eastAsia"/>
                <w:color w:val="000000" w:themeColor="text1"/>
                <w:lang w:eastAsia="zh-CN"/>
              </w:rPr>
              <w:t xml:space="preserve"> </w:t>
            </w:r>
            <w:r w:rsidR="001B09E2" w:rsidRPr="00977582">
              <w:rPr>
                <w:rFonts w:ascii="Book Antiqua" w:hAnsi="Book Antiqua" w:cs="Times New Roman"/>
                <w:color w:val="000000" w:themeColor="text1"/>
              </w:rPr>
              <w:t xml:space="preserve">17 </w:t>
            </w:r>
            <w:r w:rsidR="003A691C" w:rsidRPr="00977582">
              <w:rPr>
                <w:rFonts w:ascii="Book Antiqua" w:hAnsi="Book Antiqua" w:cs="Times New Roman"/>
                <w:i/>
                <w:color w:val="000000" w:themeColor="text1"/>
              </w:rPr>
              <w:t>vs</w:t>
            </w:r>
            <w:r w:rsidR="001B09E2" w:rsidRPr="00977582">
              <w:rPr>
                <w:rFonts w:ascii="Book Antiqua" w:hAnsi="Book Antiqua" w:cs="Times New Roman"/>
                <w:color w:val="000000" w:themeColor="text1"/>
              </w:rPr>
              <w:t xml:space="preserve"> 55-64</w:t>
            </w:r>
          </w:p>
        </w:tc>
        <w:tc>
          <w:tcPr>
            <w:tcW w:w="792" w:type="pct"/>
            <w:tcBorders>
              <w:left w:val="nil"/>
              <w:right w:val="nil"/>
            </w:tcBorders>
            <w:shd w:val="clear" w:color="auto" w:fill="FFFFFF"/>
            <w:tcMar>
              <w:left w:w="96" w:type="dxa"/>
              <w:right w:w="96" w:type="dxa"/>
            </w:tcMar>
            <w:vAlign w:val="center"/>
          </w:tcPr>
          <w:p w14:paraId="72E54D95" w14:textId="00EC248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0.81 (0.34</w:t>
            </w:r>
            <w:r w:rsidR="004C46F5">
              <w:rPr>
                <w:rFonts w:ascii="Book Antiqua" w:hAnsi="Book Antiqua" w:cs="Times New Roman"/>
                <w:color w:val="000000" w:themeColor="text1"/>
              </w:rPr>
              <w:t>-</w:t>
            </w:r>
            <w:r w:rsidRPr="00977582">
              <w:rPr>
                <w:rFonts w:ascii="Book Antiqua" w:hAnsi="Book Antiqua" w:cs="Times New Roman"/>
                <w:color w:val="000000" w:themeColor="text1"/>
              </w:rPr>
              <w:t>1.94)</w:t>
            </w:r>
          </w:p>
        </w:tc>
        <w:tc>
          <w:tcPr>
            <w:tcW w:w="396" w:type="pct"/>
            <w:tcBorders>
              <w:left w:val="nil"/>
            </w:tcBorders>
            <w:shd w:val="clear" w:color="auto" w:fill="FFFFFF"/>
            <w:vAlign w:val="center"/>
          </w:tcPr>
          <w:p w14:paraId="72E54D9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0.6376</w:t>
            </w:r>
          </w:p>
        </w:tc>
        <w:tc>
          <w:tcPr>
            <w:tcW w:w="792" w:type="pct"/>
            <w:tcBorders>
              <w:left w:val="nil"/>
              <w:right w:val="nil"/>
            </w:tcBorders>
            <w:shd w:val="clear" w:color="auto" w:fill="FFFFFF"/>
            <w:vAlign w:val="center"/>
          </w:tcPr>
          <w:p w14:paraId="72E54D97" w14:textId="0E26298F"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2.42 (0.80</w:t>
            </w:r>
            <w:r w:rsidR="004C46F5">
              <w:rPr>
                <w:rFonts w:ascii="Book Antiqua" w:hAnsi="Book Antiqua" w:cs="Times New Roman"/>
                <w:color w:val="000000" w:themeColor="text1"/>
              </w:rPr>
              <w:t>-</w:t>
            </w:r>
            <w:r w:rsidRPr="00977582">
              <w:rPr>
                <w:rFonts w:ascii="Book Antiqua" w:hAnsi="Book Antiqua" w:cs="Times New Roman"/>
                <w:color w:val="000000" w:themeColor="text1"/>
              </w:rPr>
              <w:t>7.33)</w:t>
            </w:r>
          </w:p>
        </w:tc>
        <w:tc>
          <w:tcPr>
            <w:tcW w:w="396" w:type="pct"/>
            <w:tcBorders>
              <w:left w:val="nil"/>
            </w:tcBorders>
            <w:shd w:val="clear" w:color="auto" w:fill="FFFFFF"/>
            <w:vAlign w:val="center"/>
          </w:tcPr>
          <w:p w14:paraId="72E54D9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0.1184</w:t>
            </w:r>
          </w:p>
        </w:tc>
        <w:tc>
          <w:tcPr>
            <w:tcW w:w="893" w:type="pct"/>
            <w:tcBorders>
              <w:left w:val="nil"/>
              <w:right w:val="nil"/>
            </w:tcBorders>
            <w:shd w:val="clear" w:color="auto" w:fill="FFFFFF"/>
            <w:vAlign w:val="center"/>
          </w:tcPr>
          <w:p w14:paraId="72E54D99" w14:textId="287B22F0" w:rsidR="001B09E2" w:rsidRPr="00977582" w:rsidRDefault="004C46F5"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$-19</w:t>
            </w:r>
            <w:r w:rsidR="001B09E2" w:rsidRPr="00977582">
              <w:rPr>
                <w:rFonts w:ascii="Book Antiqua" w:hAnsi="Book Antiqua" w:cs="Times New Roman"/>
                <w:color w:val="000000" w:themeColor="text1"/>
              </w:rPr>
              <w:t xml:space="preserve">255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14478.9</w:t>
            </w:r>
          </w:p>
        </w:tc>
        <w:tc>
          <w:tcPr>
            <w:tcW w:w="395" w:type="pct"/>
            <w:tcBorders>
              <w:left w:val="nil"/>
              <w:right w:val="nil"/>
            </w:tcBorders>
            <w:shd w:val="clear" w:color="auto" w:fill="FFFFFF"/>
            <w:vAlign w:val="center"/>
          </w:tcPr>
          <w:p w14:paraId="72E54D9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0.1837</w:t>
            </w:r>
          </w:p>
        </w:tc>
      </w:tr>
      <w:tr w:rsidR="006E770B" w:rsidRPr="00977582" w14:paraId="72E54DA3" w14:textId="77777777" w:rsidTr="00642397">
        <w:trPr>
          <w:cantSplit/>
        </w:trPr>
        <w:tc>
          <w:tcPr>
            <w:tcW w:w="1335" w:type="pct"/>
            <w:tcBorders>
              <w:top w:val="nil"/>
              <w:left w:val="nil"/>
              <w:right w:val="nil"/>
            </w:tcBorders>
            <w:shd w:val="clear" w:color="auto" w:fill="FFFFFF"/>
            <w:tcMar>
              <w:left w:w="96" w:type="dxa"/>
              <w:right w:w="96" w:type="dxa"/>
            </w:tcMar>
          </w:tcPr>
          <w:p w14:paraId="72E54D9C" w14:textId="3756934E"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18-24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55-64</w:t>
            </w:r>
          </w:p>
        </w:tc>
        <w:tc>
          <w:tcPr>
            <w:tcW w:w="792" w:type="pct"/>
            <w:tcBorders>
              <w:left w:val="nil"/>
              <w:right w:val="nil"/>
            </w:tcBorders>
            <w:shd w:val="clear" w:color="auto" w:fill="FFFFFF"/>
            <w:tcMar>
              <w:left w:w="96" w:type="dxa"/>
              <w:right w:w="96" w:type="dxa"/>
            </w:tcMar>
            <w:vAlign w:val="center"/>
          </w:tcPr>
          <w:p w14:paraId="72E54D9D" w14:textId="69E03005"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1.30 (0.68</w:t>
            </w:r>
            <w:r w:rsidR="004C46F5">
              <w:rPr>
                <w:rFonts w:ascii="Book Antiqua" w:hAnsi="Book Antiqua" w:cs="Times New Roman"/>
                <w:color w:val="000000" w:themeColor="text1"/>
              </w:rPr>
              <w:t>-</w:t>
            </w:r>
            <w:r w:rsidRPr="00977582">
              <w:rPr>
                <w:rFonts w:ascii="Book Antiqua" w:hAnsi="Book Antiqua" w:cs="Times New Roman"/>
                <w:color w:val="000000" w:themeColor="text1"/>
              </w:rPr>
              <w:t>2.50)</w:t>
            </w:r>
          </w:p>
        </w:tc>
        <w:tc>
          <w:tcPr>
            <w:tcW w:w="396" w:type="pct"/>
            <w:tcBorders>
              <w:left w:val="nil"/>
            </w:tcBorders>
            <w:shd w:val="clear" w:color="auto" w:fill="FFFFFF"/>
            <w:vAlign w:val="center"/>
          </w:tcPr>
          <w:p w14:paraId="72E54D9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0.4306</w:t>
            </w:r>
          </w:p>
        </w:tc>
        <w:tc>
          <w:tcPr>
            <w:tcW w:w="792" w:type="pct"/>
            <w:tcBorders>
              <w:left w:val="nil"/>
              <w:right w:val="nil"/>
            </w:tcBorders>
            <w:shd w:val="clear" w:color="auto" w:fill="FFFFFF"/>
            <w:vAlign w:val="center"/>
          </w:tcPr>
          <w:p w14:paraId="72E54D9F" w14:textId="6E4CBE20"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0.81 (0.24</w:t>
            </w:r>
            <w:r w:rsidR="004C46F5">
              <w:rPr>
                <w:rFonts w:ascii="Book Antiqua" w:hAnsi="Book Antiqua" w:cs="Times New Roman"/>
                <w:color w:val="000000" w:themeColor="text1"/>
              </w:rPr>
              <w:t>-</w:t>
            </w:r>
            <w:r w:rsidRPr="00977582">
              <w:rPr>
                <w:rFonts w:ascii="Book Antiqua" w:hAnsi="Book Antiqua" w:cs="Times New Roman"/>
                <w:color w:val="000000" w:themeColor="text1"/>
              </w:rPr>
              <w:t>2.73)</w:t>
            </w:r>
          </w:p>
        </w:tc>
        <w:tc>
          <w:tcPr>
            <w:tcW w:w="396" w:type="pct"/>
            <w:tcBorders>
              <w:left w:val="nil"/>
            </w:tcBorders>
            <w:shd w:val="clear" w:color="auto" w:fill="FFFFFF"/>
            <w:vAlign w:val="center"/>
          </w:tcPr>
          <w:p w14:paraId="72E54DA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0.7396</w:t>
            </w:r>
          </w:p>
        </w:tc>
        <w:tc>
          <w:tcPr>
            <w:tcW w:w="893" w:type="pct"/>
            <w:tcBorders>
              <w:left w:val="nil"/>
              <w:right w:val="nil"/>
            </w:tcBorders>
            <w:shd w:val="clear" w:color="auto" w:fill="FFFFFF"/>
            <w:vAlign w:val="center"/>
          </w:tcPr>
          <w:p w14:paraId="72E54DA1" w14:textId="53BF0BE6" w:rsidR="001B09E2" w:rsidRPr="00977582" w:rsidRDefault="004C46F5"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$-15</w:t>
            </w:r>
            <w:r w:rsidR="001B09E2" w:rsidRPr="00977582">
              <w:rPr>
                <w:rFonts w:ascii="Book Antiqua" w:hAnsi="Book Antiqua" w:cs="Times New Roman"/>
                <w:color w:val="000000" w:themeColor="text1"/>
              </w:rPr>
              <w:t xml:space="preserve">513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11349.7</w:t>
            </w:r>
          </w:p>
        </w:tc>
        <w:tc>
          <w:tcPr>
            <w:tcW w:w="395" w:type="pct"/>
            <w:tcBorders>
              <w:left w:val="nil"/>
              <w:right w:val="nil"/>
            </w:tcBorders>
            <w:shd w:val="clear" w:color="auto" w:fill="FFFFFF"/>
            <w:vAlign w:val="center"/>
          </w:tcPr>
          <w:p w14:paraId="72E54DA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0.1718</w:t>
            </w:r>
          </w:p>
        </w:tc>
      </w:tr>
      <w:tr w:rsidR="006E770B" w:rsidRPr="00977582" w14:paraId="72E54DAB" w14:textId="77777777" w:rsidTr="00642397">
        <w:trPr>
          <w:cantSplit/>
        </w:trPr>
        <w:tc>
          <w:tcPr>
            <w:tcW w:w="1335" w:type="pct"/>
            <w:tcBorders>
              <w:top w:val="nil"/>
              <w:left w:val="nil"/>
              <w:right w:val="nil"/>
            </w:tcBorders>
            <w:shd w:val="clear" w:color="auto" w:fill="FFFFFF"/>
            <w:tcMar>
              <w:left w:w="96" w:type="dxa"/>
              <w:right w:w="96" w:type="dxa"/>
            </w:tcMar>
          </w:tcPr>
          <w:p w14:paraId="72E54DA4" w14:textId="222DDAB2"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25-34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55-64</w:t>
            </w:r>
          </w:p>
        </w:tc>
        <w:tc>
          <w:tcPr>
            <w:tcW w:w="792" w:type="pct"/>
            <w:tcBorders>
              <w:left w:val="nil"/>
              <w:right w:val="nil"/>
            </w:tcBorders>
            <w:shd w:val="clear" w:color="auto" w:fill="FFFFFF"/>
            <w:tcMar>
              <w:left w:w="96" w:type="dxa"/>
              <w:right w:w="96" w:type="dxa"/>
            </w:tcMar>
            <w:vAlign w:val="center"/>
          </w:tcPr>
          <w:p w14:paraId="72E54DA5" w14:textId="14AC390C"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0.90 (0.63</w:t>
            </w:r>
            <w:r w:rsidR="004C46F5">
              <w:rPr>
                <w:rFonts w:ascii="Book Antiqua" w:hAnsi="Book Antiqua" w:cs="Times New Roman"/>
                <w:color w:val="000000" w:themeColor="text1"/>
              </w:rPr>
              <w:t>-</w:t>
            </w:r>
            <w:r w:rsidRPr="00977582">
              <w:rPr>
                <w:rFonts w:ascii="Book Antiqua" w:hAnsi="Book Antiqua" w:cs="Times New Roman"/>
                <w:color w:val="000000" w:themeColor="text1"/>
              </w:rPr>
              <w:t>1.29)</w:t>
            </w:r>
          </w:p>
        </w:tc>
        <w:tc>
          <w:tcPr>
            <w:tcW w:w="396" w:type="pct"/>
            <w:tcBorders>
              <w:left w:val="nil"/>
            </w:tcBorders>
            <w:shd w:val="clear" w:color="auto" w:fill="FFFFFF"/>
            <w:vAlign w:val="center"/>
          </w:tcPr>
          <w:p w14:paraId="72E54DA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0.5827</w:t>
            </w:r>
          </w:p>
        </w:tc>
        <w:tc>
          <w:tcPr>
            <w:tcW w:w="792" w:type="pct"/>
            <w:tcBorders>
              <w:left w:val="nil"/>
              <w:right w:val="nil"/>
            </w:tcBorders>
            <w:shd w:val="clear" w:color="auto" w:fill="FFFFFF"/>
            <w:vAlign w:val="center"/>
          </w:tcPr>
          <w:p w14:paraId="72E54DA7" w14:textId="010E4B19"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0.53 (0.25</w:t>
            </w:r>
            <w:r w:rsidR="004C46F5">
              <w:rPr>
                <w:rFonts w:ascii="Book Antiqua" w:hAnsi="Book Antiqua" w:cs="Times New Roman"/>
                <w:color w:val="000000" w:themeColor="text1"/>
              </w:rPr>
              <w:t>-</w:t>
            </w:r>
            <w:r w:rsidRPr="00977582">
              <w:rPr>
                <w:rFonts w:ascii="Book Antiqua" w:hAnsi="Book Antiqua" w:cs="Times New Roman"/>
                <w:color w:val="000000" w:themeColor="text1"/>
              </w:rPr>
              <w:t>1.11)</w:t>
            </w:r>
          </w:p>
        </w:tc>
        <w:tc>
          <w:tcPr>
            <w:tcW w:w="396" w:type="pct"/>
            <w:tcBorders>
              <w:left w:val="nil"/>
            </w:tcBorders>
            <w:shd w:val="clear" w:color="auto" w:fill="FFFFFF"/>
            <w:vAlign w:val="center"/>
          </w:tcPr>
          <w:p w14:paraId="72E54DA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0.0927</w:t>
            </w:r>
          </w:p>
        </w:tc>
        <w:tc>
          <w:tcPr>
            <w:tcW w:w="893" w:type="pct"/>
            <w:tcBorders>
              <w:left w:val="nil"/>
              <w:right w:val="nil"/>
            </w:tcBorders>
            <w:shd w:val="clear" w:color="auto" w:fill="FFFFFF"/>
            <w:vAlign w:val="center"/>
          </w:tcPr>
          <w:p w14:paraId="72E54DA9" w14:textId="2757F94F" w:rsidR="001B09E2" w:rsidRPr="00977582" w:rsidRDefault="004C46F5"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$-18</w:t>
            </w:r>
            <w:r w:rsidR="001B09E2" w:rsidRPr="00977582">
              <w:rPr>
                <w:rFonts w:ascii="Book Antiqua" w:hAnsi="Book Antiqua" w:cs="Times New Roman"/>
                <w:color w:val="000000" w:themeColor="text1"/>
              </w:rPr>
              <w:t xml:space="preserve">489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6065.9</w:t>
            </w:r>
          </w:p>
        </w:tc>
        <w:tc>
          <w:tcPr>
            <w:tcW w:w="395" w:type="pct"/>
            <w:tcBorders>
              <w:left w:val="nil"/>
              <w:right w:val="nil"/>
            </w:tcBorders>
            <w:shd w:val="clear" w:color="auto" w:fill="FFFFFF"/>
            <w:vAlign w:val="center"/>
          </w:tcPr>
          <w:p w14:paraId="72E54DA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0.0023</w:t>
            </w:r>
          </w:p>
        </w:tc>
      </w:tr>
      <w:tr w:rsidR="006E770B" w:rsidRPr="00977582" w14:paraId="72E54DB3" w14:textId="77777777" w:rsidTr="00642397">
        <w:trPr>
          <w:cantSplit/>
        </w:trPr>
        <w:tc>
          <w:tcPr>
            <w:tcW w:w="1335" w:type="pct"/>
            <w:tcBorders>
              <w:top w:val="nil"/>
              <w:left w:val="nil"/>
              <w:right w:val="nil"/>
            </w:tcBorders>
            <w:shd w:val="clear" w:color="auto" w:fill="FFFFFF"/>
            <w:tcMar>
              <w:left w:w="96" w:type="dxa"/>
              <w:right w:w="96" w:type="dxa"/>
            </w:tcMar>
          </w:tcPr>
          <w:p w14:paraId="72E54DAC" w14:textId="26E2BD21"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35-44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55-64</w:t>
            </w:r>
          </w:p>
        </w:tc>
        <w:tc>
          <w:tcPr>
            <w:tcW w:w="792" w:type="pct"/>
            <w:tcBorders>
              <w:left w:val="nil"/>
              <w:right w:val="nil"/>
            </w:tcBorders>
            <w:shd w:val="clear" w:color="auto" w:fill="FFFFFF"/>
            <w:tcMar>
              <w:left w:w="96" w:type="dxa"/>
              <w:right w:w="96" w:type="dxa"/>
            </w:tcMar>
            <w:vAlign w:val="center"/>
          </w:tcPr>
          <w:p w14:paraId="72E54DAD" w14:textId="34891030"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0.95 (0.75</w:t>
            </w:r>
            <w:r w:rsidR="004C46F5">
              <w:rPr>
                <w:rFonts w:ascii="Book Antiqua" w:hAnsi="Book Antiqua" w:cs="Times New Roman"/>
                <w:color w:val="000000" w:themeColor="text1"/>
              </w:rPr>
              <w:t>-</w:t>
            </w:r>
            <w:r w:rsidRPr="00977582">
              <w:rPr>
                <w:rFonts w:ascii="Book Antiqua" w:hAnsi="Book Antiqua" w:cs="Times New Roman"/>
                <w:color w:val="000000" w:themeColor="text1"/>
              </w:rPr>
              <w:t>1.21)</w:t>
            </w:r>
          </w:p>
        </w:tc>
        <w:tc>
          <w:tcPr>
            <w:tcW w:w="396" w:type="pct"/>
            <w:tcBorders>
              <w:left w:val="nil"/>
            </w:tcBorders>
            <w:shd w:val="clear" w:color="auto" w:fill="FFFFFF"/>
            <w:vAlign w:val="center"/>
          </w:tcPr>
          <w:p w14:paraId="72E54DA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0.6827</w:t>
            </w:r>
          </w:p>
        </w:tc>
        <w:tc>
          <w:tcPr>
            <w:tcW w:w="792" w:type="pct"/>
            <w:tcBorders>
              <w:left w:val="nil"/>
              <w:right w:val="nil"/>
            </w:tcBorders>
            <w:shd w:val="clear" w:color="auto" w:fill="FFFFFF"/>
            <w:vAlign w:val="center"/>
          </w:tcPr>
          <w:p w14:paraId="72E54DAF" w14:textId="4A737FC8"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0.81 (0.52</w:t>
            </w:r>
            <w:r w:rsidR="004C46F5">
              <w:rPr>
                <w:rFonts w:ascii="Book Antiqua" w:hAnsi="Book Antiqua" w:cs="Times New Roman"/>
                <w:color w:val="000000" w:themeColor="text1"/>
              </w:rPr>
              <w:t>-</w:t>
            </w:r>
            <w:r w:rsidRPr="00977582">
              <w:rPr>
                <w:rFonts w:ascii="Book Antiqua" w:hAnsi="Book Antiqua" w:cs="Times New Roman"/>
                <w:color w:val="000000" w:themeColor="text1"/>
              </w:rPr>
              <w:t>1.25)</w:t>
            </w:r>
          </w:p>
        </w:tc>
        <w:tc>
          <w:tcPr>
            <w:tcW w:w="396" w:type="pct"/>
            <w:tcBorders>
              <w:left w:val="nil"/>
            </w:tcBorders>
            <w:shd w:val="clear" w:color="auto" w:fill="FFFFFF"/>
            <w:vAlign w:val="center"/>
          </w:tcPr>
          <w:p w14:paraId="72E54DB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0.3303</w:t>
            </w:r>
          </w:p>
        </w:tc>
        <w:tc>
          <w:tcPr>
            <w:tcW w:w="893" w:type="pct"/>
            <w:tcBorders>
              <w:left w:val="nil"/>
              <w:right w:val="nil"/>
            </w:tcBorders>
            <w:shd w:val="clear" w:color="auto" w:fill="FFFFFF"/>
            <w:vAlign w:val="center"/>
          </w:tcPr>
          <w:p w14:paraId="72E54DB1" w14:textId="6AC7AACE" w:rsidR="001B09E2" w:rsidRPr="00977582" w:rsidRDefault="004C46F5"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$-10</w:t>
            </w:r>
            <w:r w:rsidR="001B09E2" w:rsidRPr="00977582">
              <w:rPr>
                <w:rFonts w:ascii="Book Antiqua" w:hAnsi="Book Antiqua" w:cs="Times New Roman"/>
                <w:color w:val="000000" w:themeColor="text1"/>
              </w:rPr>
              <w:t xml:space="preserve">289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4130.3</w:t>
            </w:r>
          </w:p>
        </w:tc>
        <w:tc>
          <w:tcPr>
            <w:tcW w:w="395" w:type="pct"/>
            <w:tcBorders>
              <w:left w:val="nil"/>
              <w:right w:val="nil"/>
            </w:tcBorders>
            <w:shd w:val="clear" w:color="auto" w:fill="FFFFFF"/>
            <w:vAlign w:val="center"/>
          </w:tcPr>
          <w:p w14:paraId="72E54DB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0.0128</w:t>
            </w:r>
          </w:p>
        </w:tc>
      </w:tr>
      <w:tr w:rsidR="006E770B" w:rsidRPr="00977582" w14:paraId="72E54DBB" w14:textId="77777777" w:rsidTr="00642397">
        <w:trPr>
          <w:cantSplit/>
        </w:trPr>
        <w:tc>
          <w:tcPr>
            <w:tcW w:w="1335" w:type="pct"/>
            <w:tcBorders>
              <w:top w:val="nil"/>
              <w:left w:val="nil"/>
              <w:right w:val="nil"/>
            </w:tcBorders>
            <w:shd w:val="clear" w:color="auto" w:fill="FFFFFF"/>
            <w:tcMar>
              <w:left w:w="96" w:type="dxa"/>
              <w:right w:w="96" w:type="dxa"/>
            </w:tcMar>
          </w:tcPr>
          <w:p w14:paraId="72E54DB4" w14:textId="0537FBFC"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45-54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55-64</w:t>
            </w:r>
          </w:p>
        </w:tc>
        <w:tc>
          <w:tcPr>
            <w:tcW w:w="792" w:type="pct"/>
            <w:tcBorders>
              <w:left w:val="nil"/>
              <w:right w:val="nil"/>
            </w:tcBorders>
            <w:shd w:val="clear" w:color="auto" w:fill="FFFFFF"/>
            <w:tcMar>
              <w:left w:w="96" w:type="dxa"/>
              <w:right w:w="96" w:type="dxa"/>
            </w:tcMar>
            <w:vAlign w:val="center"/>
          </w:tcPr>
          <w:p w14:paraId="72E54DB5" w14:textId="4EA69248"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0.92 (0.78</w:t>
            </w:r>
            <w:r w:rsidR="004C46F5">
              <w:rPr>
                <w:rFonts w:ascii="Book Antiqua" w:hAnsi="Book Antiqua" w:cs="Times New Roman"/>
                <w:color w:val="000000" w:themeColor="text1"/>
              </w:rPr>
              <w:t>-</w:t>
            </w:r>
            <w:r w:rsidRPr="00977582">
              <w:rPr>
                <w:rFonts w:ascii="Book Antiqua" w:hAnsi="Book Antiqua" w:cs="Times New Roman"/>
                <w:color w:val="000000" w:themeColor="text1"/>
              </w:rPr>
              <w:t>1.10)</w:t>
            </w:r>
          </w:p>
        </w:tc>
        <w:tc>
          <w:tcPr>
            <w:tcW w:w="396" w:type="pct"/>
            <w:tcBorders>
              <w:left w:val="nil"/>
            </w:tcBorders>
            <w:shd w:val="clear" w:color="auto" w:fill="FFFFFF"/>
            <w:vAlign w:val="center"/>
          </w:tcPr>
          <w:p w14:paraId="72E54DB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0.3631</w:t>
            </w:r>
          </w:p>
        </w:tc>
        <w:tc>
          <w:tcPr>
            <w:tcW w:w="792" w:type="pct"/>
            <w:tcBorders>
              <w:left w:val="nil"/>
              <w:right w:val="nil"/>
            </w:tcBorders>
            <w:shd w:val="clear" w:color="auto" w:fill="FFFFFF"/>
            <w:vAlign w:val="center"/>
          </w:tcPr>
          <w:p w14:paraId="72E54DB7" w14:textId="1F06705F"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0.86 (0.63</w:t>
            </w:r>
            <w:r w:rsidR="004C46F5">
              <w:rPr>
                <w:rFonts w:ascii="Book Antiqua" w:hAnsi="Book Antiqua" w:cs="Times New Roman"/>
                <w:color w:val="000000" w:themeColor="text1"/>
              </w:rPr>
              <w:t>-</w:t>
            </w:r>
            <w:r w:rsidRPr="00977582">
              <w:rPr>
                <w:rFonts w:ascii="Book Antiqua" w:hAnsi="Book Antiqua" w:cs="Times New Roman"/>
                <w:color w:val="000000" w:themeColor="text1"/>
              </w:rPr>
              <w:t>1.16)</w:t>
            </w:r>
          </w:p>
        </w:tc>
        <w:tc>
          <w:tcPr>
            <w:tcW w:w="396" w:type="pct"/>
            <w:tcBorders>
              <w:left w:val="nil"/>
            </w:tcBorders>
            <w:shd w:val="clear" w:color="auto" w:fill="FFFFFF"/>
            <w:vAlign w:val="center"/>
          </w:tcPr>
          <w:p w14:paraId="72E54DB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0.3187</w:t>
            </w:r>
          </w:p>
        </w:tc>
        <w:tc>
          <w:tcPr>
            <w:tcW w:w="893" w:type="pct"/>
            <w:tcBorders>
              <w:left w:val="nil"/>
              <w:right w:val="nil"/>
            </w:tcBorders>
            <w:shd w:val="clear" w:color="auto" w:fill="FFFFFF"/>
            <w:vAlign w:val="center"/>
          </w:tcPr>
          <w:p w14:paraId="72E54DB9" w14:textId="5A9A8E09"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$-4</w:t>
            </w:r>
            <w:r w:rsidR="001B09E2" w:rsidRPr="00977582">
              <w:rPr>
                <w:rFonts w:ascii="Book Antiqua" w:hAnsi="Book Antiqua" w:cs="Times New Roman"/>
                <w:color w:val="000000" w:themeColor="text1"/>
              </w:rPr>
              <w:t xml:space="preserve">680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2</w:t>
            </w:r>
            <w:r w:rsidR="001B09E2" w:rsidRPr="00977582">
              <w:rPr>
                <w:rFonts w:ascii="Book Antiqua" w:hAnsi="Book Antiqua" w:cs="Times New Roman"/>
                <w:color w:val="000000" w:themeColor="text1"/>
              </w:rPr>
              <w:t>959.6)</w:t>
            </w:r>
          </w:p>
        </w:tc>
        <w:tc>
          <w:tcPr>
            <w:tcW w:w="395" w:type="pct"/>
            <w:tcBorders>
              <w:left w:val="nil"/>
              <w:right w:val="nil"/>
            </w:tcBorders>
            <w:shd w:val="clear" w:color="auto" w:fill="FFFFFF"/>
            <w:vAlign w:val="center"/>
          </w:tcPr>
          <w:p w14:paraId="72E54DB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0.1139</w:t>
            </w:r>
          </w:p>
        </w:tc>
      </w:tr>
      <w:tr w:rsidR="006E770B" w:rsidRPr="00977582" w14:paraId="72E54DC0" w14:textId="77777777" w:rsidTr="00642397">
        <w:trPr>
          <w:cantSplit/>
        </w:trPr>
        <w:tc>
          <w:tcPr>
            <w:tcW w:w="1335" w:type="pct"/>
            <w:tcBorders>
              <w:top w:val="nil"/>
              <w:left w:val="nil"/>
              <w:right w:val="nil"/>
            </w:tcBorders>
            <w:shd w:val="clear" w:color="auto" w:fill="FFFFFF"/>
            <w:tcMar>
              <w:left w:w="96" w:type="dxa"/>
              <w:right w:w="96" w:type="dxa"/>
            </w:tcMar>
          </w:tcPr>
          <w:p w14:paraId="72E54DBC"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Sex</w:t>
            </w:r>
          </w:p>
        </w:tc>
        <w:tc>
          <w:tcPr>
            <w:tcW w:w="1188" w:type="pct"/>
            <w:gridSpan w:val="2"/>
            <w:tcBorders>
              <w:left w:val="nil"/>
            </w:tcBorders>
            <w:shd w:val="clear" w:color="auto" w:fill="FFFFFF"/>
            <w:tcMar>
              <w:left w:w="96" w:type="dxa"/>
              <w:right w:w="96" w:type="dxa"/>
            </w:tcMar>
            <w:vAlign w:val="center"/>
          </w:tcPr>
          <w:p w14:paraId="72E54DBD"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88" w:type="pct"/>
            <w:gridSpan w:val="2"/>
            <w:tcBorders>
              <w:left w:val="nil"/>
            </w:tcBorders>
            <w:shd w:val="clear" w:color="auto" w:fill="FFFFFF"/>
            <w:vAlign w:val="center"/>
          </w:tcPr>
          <w:p w14:paraId="72E54DB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288" w:type="pct"/>
            <w:gridSpan w:val="2"/>
            <w:tcBorders>
              <w:left w:val="nil"/>
              <w:right w:val="nil"/>
            </w:tcBorders>
            <w:shd w:val="clear" w:color="auto" w:fill="FFFFFF"/>
            <w:vAlign w:val="center"/>
          </w:tcPr>
          <w:p w14:paraId="72E54DB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C8" w14:textId="77777777" w:rsidTr="00642397">
        <w:trPr>
          <w:cantSplit/>
        </w:trPr>
        <w:tc>
          <w:tcPr>
            <w:tcW w:w="1335" w:type="pct"/>
            <w:tcBorders>
              <w:top w:val="nil"/>
              <w:left w:val="nil"/>
              <w:right w:val="nil"/>
            </w:tcBorders>
            <w:shd w:val="clear" w:color="auto" w:fill="FFFFFF"/>
            <w:tcMar>
              <w:left w:w="96" w:type="dxa"/>
              <w:right w:w="96" w:type="dxa"/>
            </w:tcMar>
          </w:tcPr>
          <w:p w14:paraId="72E54DC1" w14:textId="2CAC01B7" w:rsidR="001B09E2" w:rsidRPr="00977582" w:rsidRDefault="001B09E2" w:rsidP="0041646E">
            <w:pPr>
              <w:adjustRightInd w:val="0"/>
              <w:snapToGrid w:val="0"/>
              <w:spacing w:after="0" w:line="360" w:lineRule="auto"/>
              <w:ind w:firstLine="209"/>
              <w:jc w:val="both"/>
              <w:rPr>
                <w:rFonts w:ascii="Book Antiqua" w:hAnsi="Book Antiqua" w:cs="Times New Roman"/>
                <w:bCs/>
                <w:color w:val="000000" w:themeColor="text1"/>
              </w:rPr>
            </w:pPr>
            <w:r w:rsidRPr="00977582">
              <w:rPr>
                <w:rFonts w:ascii="Book Antiqua" w:hAnsi="Book Antiqua" w:cs="Times New Roman"/>
                <w:bCs/>
                <w:color w:val="000000" w:themeColor="text1"/>
              </w:rPr>
              <w:t xml:space="preserve">Female </w:t>
            </w:r>
            <w:r w:rsidR="003A691C" w:rsidRPr="00977582">
              <w:rPr>
                <w:rFonts w:ascii="Book Antiqua" w:hAnsi="Book Antiqua" w:cs="Times New Roman"/>
                <w:bCs/>
                <w:i/>
                <w:color w:val="000000" w:themeColor="text1"/>
              </w:rPr>
              <w:t>vs</w:t>
            </w:r>
            <w:r w:rsidRPr="00977582">
              <w:rPr>
                <w:rFonts w:ascii="Book Antiqua" w:hAnsi="Book Antiqua" w:cs="Times New Roman"/>
                <w:bCs/>
                <w:color w:val="000000" w:themeColor="text1"/>
              </w:rPr>
              <w:t xml:space="preserve"> Male</w:t>
            </w:r>
          </w:p>
        </w:tc>
        <w:tc>
          <w:tcPr>
            <w:tcW w:w="792" w:type="pct"/>
            <w:tcBorders>
              <w:left w:val="nil"/>
              <w:right w:val="nil"/>
            </w:tcBorders>
            <w:shd w:val="clear" w:color="auto" w:fill="FFFFFF"/>
            <w:tcMar>
              <w:left w:w="96" w:type="dxa"/>
              <w:right w:w="96" w:type="dxa"/>
            </w:tcMar>
            <w:vAlign w:val="center"/>
          </w:tcPr>
          <w:p w14:paraId="72E54DC2" w14:textId="1FB7E425"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0.87 (0.75</w:t>
            </w:r>
            <w:r w:rsidR="004C46F5">
              <w:rPr>
                <w:rFonts w:ascii="Book Antiqua" w:hAnsi="Book Antiqua" w:cs="Times New Roman"/>
                <w:color w:val="000000" w:themeColor="text1"/>
              </w:rPr>
              <w:t>-</w:t>
            </w:r>
            <w:r w:rsidRPr="00977582">
              <w:rPr>
                <w:rFonts w:ascii="Book Antiqua" w:hAnsi="Book Antiqua" w:cs="Times New Roman"/>
                <w:color w:val="000000" w:themeColor="text1"/>
              </w:rPr>
              <w:t>1.02)</w:t>
            </w:r>
          </w:p>
        </w:tc>
        <w:tc>
          <w:tcPr>
            <w:tcW w:w="396" w:type="pct"/>
            <w:tcBorders>
              <w:left w:val="nil"/>
            </w:tcBorders>
            <w:shd w:val="clear" w:color="auto" w:fill="FFFFFF"/>
            <w:vAlign w:val="center"/>
          </w:tcPr>
          <w:p w14:paraId="72E54DC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0.0780</w:t>
            </w:r>
          </w:p>
        </w:tc>
        <w:tc>
          <w:tcPr>
            <w:tcW w:w="792" w:type="pct"/>
            <w:tcBorders>
              <w:left w:val="nil"/>
              <w:right w:val="nil"/>
            </w:tcBorders>
            <w:shd w:val="clear" w:color="auto" w:fill="FFFFFF"/>
            <w:vAlign w:val="center"/>
          </w:tcPr>
          <w:p w14:paraId="72E54DC4" w14:textId="70388AD2"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0.89 (0.68</w:t>
            </w:r>
            <w:r w:rsidR="004C46F5">
              <w:rPr>
                <w:rFonts w:ascii="Book Antiqua" w:hAnsi="Book Antiqua" w:cs="Times New Roman"/>
                <w:color w:val="000000" w:themeColor="text1"/>
              </w:rPr>
              <w:t>-</w:t>
            </w:r>
            <w:r w:rsidRPr="00977582">
              <w:rPr>
                <w:rFonts w:ascii="Book Antiqua" w:hAnsi="Book Antiqua" w:cs="Times New Roman"/>
                <w:color w:val="000000" w:themeColor="text1"/>
              </w:rPr>
              <w:t>1.17)</w:t>
            </w:r>
          </w:p>
        </w:tc>
        <w:tc>
          <w:tcPr>
            <w:tcW w:w="396" w:type="pct"/>
            <w:tcBorders>
              <w:left w:val="nil"/>
            </w:tcBorders>
            <w:shd w:val="clear" w:color="auto" w:fill="FFFFFF"/>
            <w:vAlign w:val="center"/>
          </w:tcPr>
          <w:p w14:paraId="72E54DC5"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0.4139</w:t>
            </w:r>
          </w:p>
        </w:tc>
        <w:tc>
          <w:tcPr>
            <w:tcW w:w="893" w:type="pct"/>
            <w:tcBorders>
              <w:left w:val="nil"/>
              <w:right w:val="nil"/>
            </w:tcBorders>
            <w:shd w:val="clear" w:color="auto" w:fill="FFFFFF"/>
            <w:vAlign w:val="center"/>
          </w:tcPr>
          <w:p w14:paraId="72E54DC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$-8,963 (2,632.8)</w:t>
            </w:r>
          </w:p>
        </w:tc>
        <w:tc>
          <w:tcPr>
            <w:tcW w:w="395" w:type="pct"/>
            <w:tcBorders>
              <w:left w:val="nil"/>
              <w:right w:val="nil"/>
            </w:tcBorders>
            <w:shd w:val="clear" w:color="auto" w:fill="FFFFFF"/>
            <w:vAlign w:val="center"/>
          </w:tcPr>
          <w:p w14:paraId="72E54DC7"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0.0007</w:t>
            </w:r>
          </w:p>
        </w:tc>
      </w:tr>
      <w:tr w:rsidR="006E770B" w:rsidRPr="00977582" w14:paraId="72E54DCD" w14:textId="77777777" w:rsidTr="00642397">
        <w:trPr>
          <w:cantSplit/>
        </w:trPr>
        <w:tc>
          <w:tcPr>
            <w:tcW w:w="1335" w:type="pct"/>
            <w:tcBorders>
              <w:top w:val="nil"/>
              <w:left w:val="nil"/>
              <w:right w:val="nil"/>
            </w:tcBorders>
            <w:shd w:val="clear" w:color="auto" w:fill="FFFFFF"/>
            <w:tcMar>
              <w:left w:w="96" w:type="dxa"/>
              <w:right w:w="96" w:type="dxa"/>
            </w:tcMar>
          </w:tcPr>
          <w:p w14:paraId="72E54DC9" w14:textId="77777777" w:rsidR="001B09E2" w:rsidRPr="00977582" w:rsidRDefault="001B09E2" w:rsidP="0041646E">
            <w:pPr>
              <w:adjustRightInd w:val="0"/>
              <w:snapToGrid w:val="0"/>
              <w:spacing w:after="0" w:line="360" w:lineRule="auto"/>
              <w:jc w:val="both"/>
              <w:rPr>
                <w:rFonts w:ascii="Book Antiqua" w:hAnsi="Book Antiqua" w:cs="Times New Roman"/>
                <w:bCs/>
                <w:color w:val="000000" w:themeColor="text1"/>
              </w:rPr>
            </w:pPr>
            <w:r w:rsidRPr="00977582">
              <w:rPr>
                <w:rFonts w:ascii="Book Antiqua" w:hAnsi="Book Antiqua" w:cs="Times New Roman"/>
                <w:bCs/>
                <w:color w:val="000000" w:themeColor="text1"/>
              </w:rPr>
              <w:t>Region</w:t>
            </w:r>
          </w:p>
        </w:tc>
        <w:tc>
          <w:tcPr>
            <w:tcW w:w="1188" w:type="pct"/>
            <w:gridSpan w:val="2"/>
            <w:tcBorders>
              <w:left w:val="nil"/>
            </w:tcBorders>
            <w:shd w:val="clear" w:color="auto" w:fill="FFFFFF"/>
            <w:tcMar>
              <w:left w:w="96" w:type="dxa"/>
              <w:right w:w="96" w:type="dxa"/>
            </w:tcMar>
            <w:vAlign w:val="center"/>
          </w:tcPr>
          <w:p w14:paraId="72E54DC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88" w:type="pct"/>
            <w:gridSpan w:val="2"/>
            <w:tcBorders>
              <w:left w:val="nil"/>
            </w:tcBorders>
            <w:shd w:val="clear" w:color="auto" w:fill="FFFFFF"/>
            <w:vAlign w:val="center"/>
          </w:tcPr>
          <w:p w14:paraId="72E54DC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288" w:type="pct"/>
            <w:gridSpan w:val="2"/>
            <w:tcBorders>
              <w:left w:val="nil"/>
              <w:right w:val="nil"/>
            </w:tcBorders>
            <w:shd w:val="clear" w:color="auto" w:fill="FFFFFF"/>
            <w:vAlign w:val="center"/>
          </w:tcPr>
          <w:p w14:paraId="72E54DC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D5" w14:textId="77777777" w:rsidTr="00642397">
        <w:trPr>
          <w:cantSplit/>
        </w:trPr>
        <w:tc>
          <w:tcPr>
            <w:tcW w:w="1335" w:type="pct"/>
            <w:tcBorders>
              <w:top w:val="nil"/>
              <w:left w:val="nil"/>
              <w:right w:val="nil"/>
            </w:tcBorders>
            <w:shd w:val="clear" w:color="auto" w:fill="FFFFFF"/>
            <w:tcMar>
              <w:left w:w="96" w:type="dxa"/>
              <w:right w:w="96" w:type="dxa"/>
            </w:tcMar>
          </w:tcPr>
          <w:p w14:paraId="72E54DCE" w14:textId="3F533035"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North Central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West</w:t>
            </w:r>
          </w:p>
        </w:tc>
        <w:tc>
          <w:tcPr>
            <w:tcW w:w="792" w:type="pct"/>
            <w:tcBorders>
              <w:left w:val="nil"/>
              <w:right w:val="nil"/>
            </w:tcBorders>
            <w:shd w:val="clear" w:color="auto" w:fill="FFFFFF"/>
            <w:tcMar>
              <w:left w:w="96" w:type="dxa"/>
              <w:right w:w="96" w:type="dxa"/>
            </w:tcMar>
            <w:vAlign w:val="center"/>
          </w:tcPr>
          <w:p w14:paraId="72E54DCF" w14:textId="61F68132"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1.01 (0.80</w:t>
            </w:r>
            <w:r w:rsidR="004C46F5">
              <w:rPr>
                <w:rFonts w:ascii="Book Antiqua" w:hAnsi="Book Antiqua" w:cs="Times New Roman"/>
                <w:color w:val="000000" w:themeColor="text1"/>
              </w:rPr>
              <w:t>-</w:t>
            </w:r>
            <w:r w:rsidRPr="00977582">
              <w:rPr>
                <w:rFonts w:ascii="Book Antiqua" w:hAnsi="Book Antiqua" w:cs="Times New Roman"/>
                <w:color w:val="000000" w:themeColor="text1"/>
              </w:rPr>
              <w:t>1.28)</w:t>
            </w:r>
          </w:p>
        </w:tc>
        <w:tc>
          <w:tcPr>
            <w:tcW w:w="396" w:type="pct"/>
            <w:tcBorders>
              <w:left w:val="nil"/>
            </w:tcBorders>
            <w:shd w:val="clear" w:color="auto" w:fill="FFFFFF"/>
            <w:vAlign w:val="center"/>
          </w:tcPr>
          <w:p w14:paraId="72E54DD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0.9325</w:t>
            </w:r>
          </w:p>
        </w:tc>
        <w:tc>
          <w:tcPr>
            <w:tcW w:w="792" w:type="pct"/>
            <w:tcBorders>
              <w:left w:val="nil"/>
              <w:right w:val="nil"/>
            </w:tcBorders>
            <w:shd w:val="clear" w:color="auto" w:fill="FFFFFF"/>
            <w:vAlign w:val="center"/>
          </w:tcPr>
          <w:p w14:paraId="72E54DD1" w14:textId="1E320E90"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0.88 (0.58</w:t>
            </w:r>
            <w:r w:rsidR="004C46F5">
              <w:rPr>
                <w:rFonts w:ascii="Book Antiqua" w:hAnsi="Book Antiqua" w:cs="Times New Roman"/>
                <w:color w:val="000000" w:themeColor="text1"/>
              </w:rPr>
              <w:t>-</w:t>
            </w:r>
            <w:r w:rsidRPr="00977582">
              <w:rPr>
                <w:rFonts w:ascii="Book Antiqua" w:hAnsi="Book Antiqua" w:cs="Times New Roman"/>
                <w:color w:val="000000" w:themeColor="text1"/>
              </w:rPr>
              <w:t>1.34)</w:t>
            </w:r>
          </w:p>
        </w:tc>
        <w:tc>
          <w:tcPr>
            <w:tcW w:w="396" w:type="pct"/>
            <w:tcBorders>
              <w:left w:val="nil"/>
            </w:tcBorders>
            <w:shd w:val="clear" w:color="auto" w:fill="FFFFFF"/>
            <w:vAlign w:val="center"/>
          </w:tcPr>
          <w:p w14:paraId="72E54DD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0.5577</w:t>
            </w:r>
          </w:p>
        </w:tc>
        <w:tc>
          <w:tcPr>
            <w:tcW w:w="893" w:type="pct"/>
            <w:tcBorders>
              <w:left w:val="nil"/>
              <w:right w:val="nil"/>
            </w:tcBorders>
            <w:shd w:val="clear" w:color="auto" w:fill="FFFFFF"/>
            <w:vAlign w:val="center"/>
          </w:tcPr>
          <w:p w14:paraId="72E54DD3" w14:textId="6B59E758"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$-5</w:t>
            </w:r>
            <w:r w:rsidR="001B09E2" w:rsidRPr="00977582">
              <w:rPr>
                <w:rFonts w:ascii="Book Antiqua" w:hAnsi="Book Antiqua" w:cs="Times New Roman"/>
                <w:color w:val="000000" w:themeColor="text1"/>
              </w:rPr>
              <w:t xml:space="preserve">821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4</w:t>
            </w:r>
            <w:r w:rsidR="001B09E2" w:rsidRPr="00977582">
              <w:rPr>
                <w:rFonts w:ascii="Book Antiqua" w:hAnsi="Book Antiqua" w:cs="Times New Roman"/>
                <w:color w:val="000000" w:themeColor="text1"/>
              </w:rPr>
              <w:t>104.1)</w:t>
            </w:r>
          </w:p>
        </w:tc>
        <w:tc>
          <w:tcPr>
            <w:tcW w:w="395" w:type="pct"/>
            <w:tcBorders>
              <w:left w:val="nil"/>
              <w:right w:val="nil"/>
            </w:tcBorders>
            <w:shd w:val="clear" w:color="auto" w:fill="FFFFFF"/>
            <w:vAlign w:val="center"/>
          </w:tcPr>
          <w:p w14:paraId="72E54DD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0.1562</w:t>
            </w:r>
          </w:p>
        </w:tc>
      </w:tr>
      <w:tr w:rsidR="006E770B" w:rsidRPr="00977582" w14:paraId="72E54DDD" w14:textId="77777777" w:rsidTr="00642397">
        <w:trPr>
          <w:cantSplit/>
        </w:trPr>
        <w:tc>
          <w:tcPr>
            <w:tcW w:w="1335" w:type="pct"/>
            <w:tcBorders>
              <w:top w:val="nil"/>
              <w:left w:val="nil"/>
              <w:right w:val="nil"/>
            </w:tcBorders>
            <w:shd w:val="clear" w:color="auto" w:fill="FFFFFF"/>
            <w:tcMar>
              <w:left w:w="96" w:type="dxa"/>
              <w:right w:w="96" w:type="dxa"/>
            </w:tcMar>
          </w:tcPr>
          <w:p w14:paraId="72E54DD6" w14:textId="78C06D90"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Northeast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West</w:t>
            </w:r>
          </w:p>
        </w:tc>
        <w:tc>
          <w:tcPr>
            <w:tcW w:w="792" w:type="pct"/>
            <w:tcBorders>
              <w:left w:val="nil"/>
              <w:right w:val="nil"/>
            </w:tcBorders>
            <w:shd w:val="clear" w:color="auto" w:fill="FFFFFF"/>
            <w:tcMar>
              <w:left w:w="96" w:type="dxa"/>
              <w:right w:w="96" w:type="dxa"/>
            </w:tcMar>
            <w:vAlign w:val="center"/>
          </w:tcPr>
          <w:p w14:paraId="72E54DD7" w14:textId="2A726D0C"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0.90 (0.69</w:t>
            </w:r>
            <w:r w:rsidR="004C46F5">
              <w:rPr>
                <w:rFonts w:ascii="Book Antiqua" w:hAnsi="Book Antiqua" w:cs="Times New Roman"/>
                <w:color w:val="000000" w:themeColor="text1"/>
              </w:rPr>
              <w:t>-</w:t>
            </w:r>
            <w:r w:rsidRPr="00977582">
              <w:rPr>
                <w:rFonts w:ascii="Book Antiqua" w:hAnsi="Book Antiqua" w:cs="Times New Roman"/>
                <w:color w:val="000000" w:themeColor="text1"/>
              </w:rPr>
              <w:t>1.18)</w:t>
            </w:r>
          </w:p>
        </w:tc>
        <w:tc>
          <w:tcPr>
            <w:tcW w:w="396" w:type="pct"/>
            <w:tcBorders>
              <w:left w:val="nil"/>
            </w:tcBorders>
            <w:shd w:val="clear" w:color="auto" w:fill="FFFFFF"/>
            <w:vAlign w:val="center"/>
          </w:tcPr>
          <w:p w14:paraId="72E54DD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0.4565</w:t>
            </w:r>
          </w:p>
        </w:tc>
        <w:tc>
          <w:tcPr>
            <w:tcW w:w="792" w:type="pct"/>
            <w:tcBorders>
              <w:left w:val="nil"/>
              <w:right w:val="nil"/>
            </w:tcBorders>
            <w:shd w:val="clear" w:color="auto" w:fill="FFFFFF"/>
            <w:vAlign w:val="center"/>
          </w:tcPr>
          <w:p w14:paraId="72E54DD9" w14:textId="38BDF9DB"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1.19 (0.76</w:t>
            </w:r>
            <w:r w:rsidR="004C46F5">
              <w:rPr>
                <w:rFonts w:ascii="Book Antiqua" w:hAnsi="Book Antiqua" w:cs="Times New Roman"/>
                <w:color w:val="000000" w:themeColor="text1"/>
              </w:rPr>
              <w:t>-</w:t>
            </w:r>
            <w:r w:rsidRPr="00977582">
              <w:rPr>
                <w:rFonts w:ascii="Book Antiqua" w:hAnsi="Book Antiqua" w:cs="Times New Roman"/>
                <w:color w:val="000000" w:themeColor="text1"/>
              </w:rPr>
              <w:t>1.86)</w:t>
            </w:r>
          </w:p>
        </w:tc>
        <w:tc>
          <w:tcPr>
            <w:tcW w:w="396" w:type="pct"/>
            <w:tcBorders>
              <w:left w:val="nil"/>
            </w:tcBorders>
            <w:shd w:val="clear" w:color="auto" w:fill="FFFFFF"/>
            <w:vAlign w:val="center"/>
          </w:tcPr>
          <w:p w14:paraId="72E54DD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0.4535</w:t>
            </w:r>
          </w:p>
        </w:tc>
        <w:tc>
          <w:tcPr>
            <w:tcW w:w="893" w:type="pct"/>
            <w:tcBorders>
              <w:left w:val="nil"/>
              <w:right w:val="nil"/>
            </w:tcBorders>
            <w:shd w:val="clear" w:color="auto" w:fill="FFFFFF"/>
            <w:vAlign w:val="center"/>
          </w:tcPr>
          <w:p w14:paraId="72E54DDB" w14:textId="645969B8"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$-8</w:t>
            </w:r>
            <w:r w:rsidR="001B09E2" w:rsidRPr="00977582">
              <w:rPr>
                <w:rFonts w:ascii="Book Antiqua" w:hAnsi="Book Antiqua" w:cs="Times New Roman"/>
                <w:color w:val="000000" w:themeColor="text1"/>
              </w:rPr>
              <w:t xml:space="preserve">791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4</w:t>
            </w:r>
            <w:r w:rsidR="001B09E2" w:rsidRPr="00977582">
              <w:rPr>
                <w:rFonts w:ascii="Book Antiqua" w:hAnsi="Book Antiqua" w:cs="Times New Roman"/>
                <w:color w:val="000000" w:themeColor="text1"/>
              </w:rPr>
              <w:t>558.9)</w:t>
            </w:r>
          </w:p>
        </w:tc>
        <w:tc>
          <w:tcPr>
            <w:tcW w:w="395" w:type="pct"/>
            <w:tcBorders>
              <w:left w:val="nil"/>
              <w:right w:val="nil"/>
            </w:tcBorders>
            <w:shd w:val="clear" w:color="auto" w:fill="FFFFFF"/>
            <w:vAlign w:val="center"/>
          </w:tcPr>
          <w:p w14:paraId="72E54DD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0.0539</w:t>
            </w:r>
          </w:p>
        </w:tc>
      </w:tr>
      <w:tr w:rsidR="006E770B" w:rsidRPr="00977582" w14:paraId="72E54DE5" w14:textId="77777777" w:rsidTr="00642397">
        <w:trPr>
          <w:cantSplit/>
        </w:trPr>
        <w:tc>
          <w:tcPr>
            <w:tcW w:w="1335" w:type="pct"/>
            <w:tcBorders>
              <w:top w:val="nil"/>
              <w:left w:val="nil"/>
              <w:right w:val="nil"/>
            </w:tcBorders>
            <w:shd w:val="clear" w:color="auto" w:fill="FFFFFF"/>
            <w:tcMar>
              <w:left w:w="96" w:type="dxa"/>
              <w:right w:w="96" w:type="dxa"/>
            </w:tcMar>
          </w:tcPr>
          <w:p w14:paraId="72E54DDE" w14:textId="49C14383"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South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West</w:t>
            </w:r>
          </w:p>
        </w:tc>
        <w:tc>
          <w:tcPr>
            <w:tcW w:w="792" w:type="pct"/>
            <w:tcBorders>
              <w:left w:val="nil"/>
              <w:right w:val="nil"/>
            </w:tcBorders>
            <w:shd w:val="clear" w:color="auto" w:fill="FFFFFF"/>
            <w:tcMar>
              <w:left w:w="96" w:type="dxa"/>
              <w:right w:w="96" w:type="dxa"/>
            </w:tcMar>
            <w:vAlign w:val="center"/>
          </w:tcPr>
          <w:p w14:paraId="72E54DDF" w14:textId="54512171"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1.02 (0.82</w:t>
            </w:r>
            <w:r w:rsidR="004C46F5">
              <w:rPr>
                <w:rFonts w:ascii="Book Antiqua" w:hAnsi="Book Antiqua" w:cs="Times New Roman"/>
                <w:color w:val="000000" w:themeColor="text1"/>
              </w:rPr>
              <w:t>-</w:t>
            </w:r>
            <w:r w:rsidRPr="00977582">
              <w:rPr>
                <w:rFonts w:ascii="Book Antiqua" w:hAnsi="Book Antiqua" w:cs="Times New Roman"/>
                <w:color w:val="000000" w:themeColor="text1"/>
              </w:rPr>
              <w:t>1.27)</w:t>
            </w:r>
          </w:p>
        </w:tc>
        <w:tc>
          <w:tcPr>
            <w:tcW w:w="396" w:type="pct"/>
            <w:tcBorders>
              <w:left w:val="nil"/>
            </w:tcBorders>
            <w:shd w:val="clear" w:color="auto" w:fill="FFFFFF"/>
            <w:vAlign w:val="center"/>
          </w:tcPr>
          <w:p w14:paraId="72E54DE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0.8456</w:t>
            </w:r>
          </w:p>
        </w:tc>
        <w:tc>
          <w:tcPr>
            <w:tcW w:w="792" w:type="pct"/>
            <w:tcBorders>
              <w:left w:val="nil"/>
              <w:right w:val="nil"/>
            </w:tcBorders>
            <w:shd w:val="clear" w:color="auto" w:fill="FFFFFF"/>
            <w:vAlign w:val="center"/>
          </w:tcPr>
          <w:p w14:paraId="72E54DE1" w14:textId="18F44B2D"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0.88 (0.60</w:t>
            </w:r>
            <w:r w:rsidR="004C46F5">
              <w:rPr>
                <w:rFonts w:ascii="Book Antiqua" w:hAnsi="Book Antiqua" w:cs="Times New Roman"/>
                <w:color w:val="000000" w:themeColor="text1"/>
              </w:rPr>
              <w:t>-</w:t>
            </w:r>
            <w:r w:rsidRPr="00977582">
              <w:rPr>
                <w:rFonts w:ascii="Book Antiqua" w:hAnsi="Book Antiqua" w:cs="Times New Roman"/>
                <w:color w:val="000000" w:themeColor="text1"/>
              </w:rPr>
              <w:t>1.29)</w:t>
            </w:r>
          </w:p>
        </w:tc>
        <w:tc>
          <w:tcPr>
            <w:tcW w:w="396" w:type="pct"/>
            <w:tcBorders>
              <w:left w:val="nil"/>
            </w:tcBorders>
            <w:shd w:val="clear" w:color="auto" w:fill="FFFFFF"/>
            <w:vAlign w:val="center"/>
          </w:tcPr>
          <w:p w14:paraId="72E54DE2"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0.5197</w:t>
            </w:r>
          </w:p>
        </w:tc>
        <w:tc>
          <w:tcPr>
            <w:tcW w:w="893" w:type="pct"/>
            <w:tcBorders>
              <w:left w:val="nil"/>
              <w:right w:val="nil"/>
            </w:tcBorders>
            <w:shd w:val="clear" w:color="auto" w:fill="FFFFFF"/>
            <w:vAlign w:val="center"/>
          </w:tcPr>
          <w:p w14:paraId="72E54DE3" w14:textId="32BB380D"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$-11</w:t>
            </w:r>
            <w:r w:rsidR="001B09E2" w:rsidRPr="00977582">
              <w:rPr>
                <w:rFonts w:ascii="Book Antiqua" w:hAnsi="Book Antiqua" w:cs="Times New Roman"/>
                <w:color w:val="000000" w:themeColor="text1"/>
              </w:rPr>
              <w:t xml:space="preserve">517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3</w:t>
            </w:r>
            <w:r w:rsidR="001B09E2" w:rsidRPr="00977582">
              <w:rPr>
                <w:rFonts w:ascii="Book Antiqua" w:hAnsi="Book Antiqua" w:cs="Times New Roman"/>
                <w:color w:val="000000" w:themeColor="text1"/>
              </w:rPr>
              <w:t>737.4)</w:t>
            </w:r>
          </w:p>
        </w:tc>
        <w:tc>
          <w:tcPr>
            <w:tcW w:w="395" w:type="pct"/>
            <w:tcBorders>
              <w:left w:val="nil"/>
              <w:right w:val="nil"/>
            </w:tcBorders>
            <w:shd w:val="clear" w:color="auto" w:fill="FFFFFF"/>
            <w:vAlign w:val="center"/>
          </w:tcPr>
          <w:p w14:paraId="72E54DE4"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0.0021</w:t>
            </w:r>
          </w:p>
        </w:tc>
      </w:tr>
      <w:tr w:rsidR="006E770B" w:rsidRPr="00977582" w14:paraId="72E54DED" w14:textId="77777777" w:rsidTr="00642397">
        <w:trPr>
          <w:cantSplit/>
        </w:trPr>
        <w:tc>
          <w:tcPr>
            <w:tcW w:w="1335" w:type="pct"/>
            <w:tcBorders>
              <w:top w:val="nil"/>
              <w:left w:val="nil"/>
              <w:right w:val="nil"/>
            </w:tcBorders>
            <w:shd w:val="clear" w:color="auto" w:fill="FFFFFF"/>
            <w:tcMar>
              <w:left w:w="96" w:type="dxa"/>
              <w:right w:w="96" w:type="dxa"/>
            </w:tcMar>
          </w:tcPr>
          <w:p w14:paraId="72E54DE6"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lastRenderedPageBreak/>
              <w:t>No. of chronic conditions</w:t>
            </w:r>
          </w:p>
        </w:tc>
        <w:tc>
          <w:tcPr>
            <w:tcW w:w="792" w:type="pct"/>
            <w:tcBorders>
              <w:left w:val="nil"/>
              <w:right w:val="nil"/>
            </w:tcBorders>
            <w:shd w:val="clear" w:color="auto" w:fill="FFFFFF"/>
            <w:tcMar>
              <w:left w:w="96" w:type="dxa"/>
              <w:right w:w="96" w:type="dxa"/>
            </w:tcMar>
            <w:vAlign w:val="center"/>
          </w:tcPr>
          <w:p w14:paraId="72E54DE7" w14:textId="3C80DCB4"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1.05 (1.01</w:t>
            </w:r>
            <w:r w:rsidR="004C46F5">
              <w:rPr>
                <w:rFonts w:ascii="Book Antiqua" w:hAnsi="Book Antiqua" w:cs="Times New Roman"/>
                <w:color w:val="000000" w:themeColor="text1"/>
              </w:rPr>
              <w:t>-</w:t>
            </w:r>
            <w:r w:rsidRPr="00977582">
              <w:rPr>
                <w:rFonts w:ascii="Book Antiqua" w:hAnsi="Book Antiqua" w:cs="Times New Roman"/>
                <w:color w:val="000000" w:themeColor="text1"/>
              </w:rPr>
              <w:t>1.09)</w:t>
            </w:r>
          </w:p>
        </w:tc>
        <w:tc>
          <w:tcPr>
            <w:tcW w:w="396" w:type="pct"/>
            <w:tcBorders>
              <w:left w:val="nil"/>
            </w:tcBorders>
            <w:shd w:val="clear" w:color="auto" w:fill="FFFFFF"/>
            <w:vAlign w:val="center"/>
          </w:tcPr>
          <w:p w14:paraId="72E54DE8"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0.0216</w:t>
            </w:r>
          </w:p>
        </w:tc>
        <w:tc>
          <w:tcPr>
            <w:tcW w:w="792" w:type="pct"/>
            <w:tcBorders>
              <w:left w:val="nil"/>
              <w:right w:val="nil"/>
            </w:tcBorders>
            <w:shd w:val="clear" w:color="auto" w:fill="FFFFFF"/>
            <w:vAlign w:val="center"/>
          </w:tcPr>
          <w:p w14:paraId="72E54DE9" w14:textId="295B4D6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0.97 (0.91</w:t>
            </w:r>
            <w:r w:rsidR="004C46F5">
              <w:rPr>
                <w:rFonts w:ascii="Book Antiqua" w:hAnsi="Book Antiqua" w:cs="Times New Roman"/>
                <w:color w:val="000000" w:themeColor="text1"/>
              </w:rPr>
              <w:t>-</w:t>
            </w:r>
            <w:r w:rsidRPr="00977582">
              <w:rPr>
                <w:rFonts w:ascii="Book Antiqua" w:hAnsi="Book Antiqua" w:cs="Times New Roman"/>
                <w:color w:val="000000" w:themeColor="text1"/>
              </w:rPr>
              <w:t>1.04)</w:t>
            </w:r>
          </w:p>
        </w:tc>
        <w:tc>
          <w:tcPr>
            <w:tcW w:w="396" w:type="pct"/>
            <w:tcBorders>
              <w:left w:val="nil"/>
            </w:tcBorders>
            <w:shd w:val="clear" w:color="auto" w:fill="FFFFFF"/>
            <w:vAlign w:val="center"/>
          </w:tcPr>
          <w:p w14:paraId="72E54DEA"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0.4006</w:t>
            </w:r>
          </w:p>
        </w:tc>
        <w:tc>
          <w:tcPr>
            <w:tcW w:w="893" w:type="pct"/>
            <w:tcBorders>
              <w:left w:val="nil"/>
              <w:right w:val="nil"/>
            </w:tcBorders>
            <w:shd w:val="clear" w:color="auto" w:fill="FFFFFF"/>
            <w:vAlign w:val="center"/>
          </w:tcPr>
          <w:p w14:paraId="72E54DEB" w14:textId="7173C401"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$4</w:t>
            </w:r>
            <w:r w:rsidR="001B09E2" w:rsidRPr="00977582">
              <w:rPr>
                <w:rFonts w:ascii="Book Antiqua" w:hAnsi="Book Antiqua" w:cs="Times New Roman"/>
                <w:color w:val="000000" w:themeColor="text1"/>
              </w:rPr>
              <w:t xml:space="preserve">433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sidR="001B09E2" w:rsidRPr="00977582">
              <w:rPr>
                <w:rFonts w:ascii="Book Antiqua" w:hAnsi="Book Antiqua" w:cs="Times New Roman"/>
                <w:color w:val="000000" w:themeColor="text1"/>
              </w:rPr>
              <w:t>650.2</w:t>
            </w:r>
          </w:p>
        </w:tc>
        <w:tc>
          <w:tcPr>
            <w:tcW w:w="395" w:type="pct"/>
            <w:tcBorders>
              <w:left w:val="nil"/>
              <w:right w:val="nil"/>
            </w:tcBorders>
            <w:shd w:val="clear" w:color="auto" w:fill="FFFFFF"/>
            <w:vAlign w:val="center"/>
          </w:tcPr>
          <w:p w14:paraId="72E54DEC" w14:textId="01336103"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&lt;</w:t>
            </w:r>
            <w:r w:rsidR="004C46F5">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.0001</w:t>
            </w:r>
          </w:p>
        </w:tc>
      </w:tr>
      <w:tr w:rsidR="006E770B" w:rsidRPr="00977582" w14:paraId="72E54DF2" w14:textId="77777777" w:rsidTr="00642397">
        <w:trPr>
          <w:cantSplit/>
        </w:trPr>
        <w:tc>
          <w:tcPr>
            <w:tcW w:w="1335" w:type="pct"/>
            <w:tcBorders>
              <w:top w:val="nil"/>
              <w:left w:val="nil"/>
              <w:right w:val="nil"/>
            </w:tcBorders>
            <w:shd w:val="clear" w:color="auto" w:fill="FFFFFF"/>
            <w:tcMar>
              <w:left w:w="96" w:type="dxa"/>
              <w:right w:w="96" w:type="dxa"/>
            </w:tcMar>
          </w:tcPr>
          <w:p w14:paraId="72E54DE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Non-infectious diarrhea</w:t>
            </w:r>
          </w:p>
        </w:tc>
        <w:tc>
          <w:tcPr>
            <w:tcW w:w="1188" w:type="pct"/>
            <w:gridSpan w:val="2"/>
            <w:tcBorders>
              <w:left w:val="nil"/>
            </w:tcBorders>
            <w:shd w:val="clear" w:color="auto" w:fill="FFFFFF"/>
            <w:tcMar>
              <w:left w:w="96" w:type="dxa"/>
              <w:right w:w="96" w:type="dxa"/>
            </w:tcMar>
            <w:vAlign w:val="center"/>
          </w:tcPr>
          <w:p w14:paraId="72E54DEF"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188" w:type="pct"/>
            <w:gridSpan w:val="2"/>
            <w:tcBorders>
              <w:left w:val="nil"/>
            </w:tcBorders>
            <w:shd w:val="clear" w:color="auto" w:fill="FFFFFF"/>
            <w:vAlign w:val="center"/>
          </w:tcPr>
          <w:p w14:paraId="72E54DF0"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c>
          <w:tcPr>
            <w:tcW w:w="1288" w:type="pct"/>
            <w:gridSpan w:val="2"/>
            <w:tcBorders>
              <w:left w:val="nil"/>
              <w:right w:val="nil"/>
            </w:tcBorders>
            <w:shd w:val="clear" w:color="auto" w:fill="FFFFFF"/>
            <w:vAlign w:val="center"/>
          </w:tcPr>
          <w:p w14:paraId="72E54DF1"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DFA" w14:textId="77777777" w:rsidTr="00642397">
        <w:trPr>
          <w:cantSplit/>
        </w:trPr>
        <w:tc>
          <w:tcPr>
            <w:tcW w:w="1335" w:type="pct"/>
            <w:tcBorders>
              <w:top w:val="nil"/>
              <w:left w:val="nil"/>
              <w:bottom w:val="single" w:sz="8" w:space="0" w:color="auto"/>
              <w:right w:val="nil"/>
            </w:tcBorders>
            <w:shd w:val="clear" w:color="auto" w:fill="FFFFFF"/>
            <w:tcMar>
              <w:left w:w="96" w:type="dxa"/>
              <w:right w:w="96" w:type="dxa"/>
            </w:tcMar>
          </w:tcPr>
          <w:p w14:paraId="72E54DF3" w14:textId="5D26EEB5" w:rsidR="001B09E2" w:rsidRPr="00977582" w:rsidRDefault="001B09E2" w:rsidP="0041646E">
            <w:pPr>
              <w:adjustRightInd w:val="0"/>
              <w:snapToGrid w:val="0"/>
              <w:spacing w:after="0" w:line="360" w:lineRule="auto"/>
              <w:ind w:firstLine="230"/>
              <w:jc w:val="both"/>
              <w:rPr>
                <w:rFonts w:ascii="Book Antiqua" w:hAnsi="Book Antiqua" w:cs="Times New Roman"/>
                <w:color w:val="000000" w:themeColor="text1"/>
              </w:rPr>
            </w:pPr>
            <w:r w:rsidRPr="00977582">
              <w:rPr>
                <w:rFonts w:ascii="Book Antiqua" w:hAnsi="Book Antiqua" w:cs="Times New Roman"/>
                <w:color w:val="000000" w:themeColor="text1"/>
              </w:rPr>
              <w:t xml:space="preserve">Yes </w:t>
            </w:r>
            <w:r w:rsidR="003A691C" w:rsidRPr="00977582">
              <w:rPr>
                <w:rFonts w:ascii="Book Antiqua" w:hAnsi="Book Antiqua" w:cs="Times New Roman"/>
                <w:i/>
                <w:color w:val="000000" w:themeColor="text1"/>
              </w:rPr>
              <w:t>vs</w:t>
            </w:r>
            <w:r w:rsidRPr="00977582">
              <w:rPr>
                <w:rFonts w:ascii="Book Antiqua" w:hAnsi="Book Antiqua" w:cs="Times New Roman"/>
                <w:color w:val="000000" w:themeColor="text1"/>
              </w:rPr>
              <w:t xml:space="preserve"> No</w:t>
            </w:r>
          </w:p>
        </w:tc>
        <w:tc>
          <w:tcPr>
            <w:tcW w:w="792" w:type="pct"/>
            <w:tcBorders>
              <w:left w:val="nil"/>
              <w:bottom w:val="single" w:sz="8" w:space="0" w:color="auto"/>
              <w:right w:val="nil"/>
            </w:tcBorders>
            <w:shd w:val="clear" w:color="auto" w:fill="FFFFFF"/>
            <w:tcMar>
              <w:left w:w="96" w:type="dxa"/>
              <w:right w:w="96" w:type="dxa"/>
            </w:tcMar>
            <w:vAlign w:val="center"/>
          </w:tcPr>
          <w:p w14:paraId="72E54DF4" w14:textId="7557EDB9"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1.48 (1.22</w:t>
            </w:r>
            <w:r w:rsidR="004C46F5">
              <w:rPr>
                <w:rFonts w:ascii="Book Antiqua" w:hAnsi="Book Antiqua" w:cs="Times New Roman"/>
                <w:color w:val="000000" w:themeColor="text1"/>
              </w:rPr>
              <w:t>-</w:t>
            </w:r>
            <w:r w:rsidRPr="00977582">
              <w:rPr>
                <w:rFonts w:ascii="Book Antiqua" w:hAnsi="Book Antiqua" w:cs="Times New Roman"/>
                <w:color w:val="000000" w:themeColor="text1"/>
              </w:rPr>
              <w:t>1.79)</w:t>
            </w:r>
          </w:p>
        </w:tc>
        <w:tc>
          <w:tcPr>
            <w:tcW w:w="396" w:type="pct"/>
            <w:tcBorders>
              <w:left w:val="nil"/>
              <w:bottom w:val="single" w:sz="8" w:space="0" w:color="auto"/>
            </w:tcBorders>
            <w:shd w:val="clear" w:color="auto" w:fill="FFFFFF"/>
            <w:vAlign w:val="center"/>
          </w:tcPr>
          <w:p w14:paraId="72E54DF5" w14:textId="2A3E815B"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&lt;</w:t>
            </w:r>
            <w:r w:rsidR="004C46F5">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.0001</w:t>
            </w:r>
          </w:p>
        </w:tc>
        <w:tc>
          <w:tcPr>
            <w:tcW w:w="792" w:type="pct"/>
            <w:tcBorders>
              <w:left w:val="nil"/>
              <w:bottom w:val="single" w:sz="8" w:space="0" w:color="auto"/>
              <w:right w:val="nil"/>
            </w:tcBorders>
            <w:shd w:val="clear" w:color="auto" w:fill="FFFFFF"/>
            <w:vAlign w:val="center"/>
          </w:tcPr>
          <w:p w14:paraId="72E54DF6" w14:textId="60CAB5A2"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2.12 (1.58</w:t>
            </w:r>
            <w:r w:rsidR="004C46F5">
              <w:rPr>
                <w:rFonts w:ascii="Book Antiqua" w:hAnsi="Book Antiqua" w:cs="Times New Roman"/>
                <w:color w:val="000000" w:themeColor="text1"/>
              </w:rPr>
              <w:t>-</w:t>
            </w:r>
            <w:r w:rsidRPr="00977582">
              <w:rPr>
                <w:rFonts w:ascii="Book Antiqua" w:hAnsi="Book Antiqua" w:cs="Times New Roman"/>
                <w:color w:val="000000" w:themeColor="text1"/>
              </w:rPr>
              <w:t>2.86)</w:t>
            </w:r>
          </w:p>
        </w:tc>
        <w:tc>
          <w:tcPr>
            <w:tcW w:w="396" w:type="pct"/>
            <w:tcBorders>
              <w:left w:val="nil"/>
              <w:bottom w:val="single" w:sz="8" w:space="0" w:color="auto"/>
            </w:tcBorders>
            <w:shd w:val="clear" w:color="auto" w:fill="FFFFFF"/>
            <w:vAlign w:val="center"/>
          </w:tcPr>
          <w:p w14:paraId="72E54DF7" w14:textId="3AF541D9"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&lt;</w:t>
            </w:r>
            <w:r w:rsidR="004C46F5">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.0001</w:t>
            </w:r>
          </w:p>
        </w:tc>
        <w:tc>
          <w:tcPr>
            <w:tcW w:w="893" w:type="pct"/>
            <w:tcBorders>
              <w:left w:val="nil"/>
              <w:bottom w:val="single" w:sz="8" w:space="0" w:color="auto"/>
              <w:right w:val="nil"/>
            </w:tcBorders>
            <w:shd w:val="clear" w:color="auto" w:fill="FFFFFF"/>
            <w:vAlign w:val="center"/>
          </w:tcPr>
          <w:p w14:paraId="72E54DF8" w14:textId="34663778" w:rsidR="001B09E2" w:rsidRPr="00977582" w:rsidRDefault="004C46F5"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$28</w:t>
            </w:r>
            <w:r w:rsidR="001B09E2" w:rsidRPr="00977582">
              <w:rPr>
                <w:rFonts w:ascii="Book Antiqua" w:hAnsi="Book Antiqua" w:cs="Times New Roman"/>
                <w:color w:val="000000" w:themeColor="text1"/>
              </w:rPr>
              <w:t xml:space="preserve">645 </w:t>
            </w:r>
            <w:r w:rsidRPr="00F25512">
              <w:rPr>
                <w:rFonts w:ascii="Book Antiqua" w:hAnsi="Book Antiqua" w:cs="Times New Roman"/>
                <w:color w:val="000000" w:themeColor="text1"/>
                <w:lang w:eastAsia="zh-CN"/>
              </w:rPr>
              <w: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3</w:t>
            </w:r>
            <w:r w:rsidR="001B09E2" w:rsidRPr="00977582">
              <w:rPr>
                <w:rFonts w:ascii="Book Antiqua" w:hAnsi="Book Antiqua" w:cs="Times New Roman"/>
                <w:color w:val="000000" w:themeColor="text1"/>
              </w:rPr>
              <w:t>324.7)</w:t>
            </w:r>
          </w:p>
        </w:tc>
        <w:tc>
          <w:tcPr>
            <w:tcW w:w="395" w:type="pct"/>
            <w:tcBorders>
              <w:left w:val="nil"/>
              <w:bottom w:val="single" w:sz="8" w:space="0" w:color="auto"/>
              <w:right w:val="nil"/>
            </w:tcBorders>
            <w:shd w:val="clear" w:color="auto" w:fill="FFFFFF"/>
            <w:vAlign w:val="center"/>
          </w:tcPr>
          <w:p w14:paraId="72E54DF9" w14:textId="2B1D734D"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 xml:space="preserve"> &lt;</w:t>
            </w:r>
            <w:r w:rsidR="004C46F5">
              <w:rPr>
                <w:rFonts w:ascii="Book Antiqua" w:hAnsi="Book Antiqua" w:cs="Times New Roman" w:hint="eastAsia"/>
                <w:color w:val="000000" w:themeColor="text1"/>
                <w:lang w:eastAsia="zh-CN"/>
              </w:rPr>
              <w:t xml:space="preserve"> 0</w:t>
            </w:r>
            <w:r w:rsidRPr="00977582">
              <w:rPr>
                <w:rFonts w:ascii="Book Antiqua" w:hAnsi="Book Antiqua" w:cs="Times New Roman"/>
                <w:color w:val="000000" w:themeColor="text1"/>
              </w:rPr>
              <w:t>.0001</w:t>
            </w:r>
          </w:p>
        </w:tc>
      </w:tr>
      <w:tr w:rsidR="006E770B" w:rsidRPr="00977582" w14:paraId="72E54DFD" w14:textId="77777777" w:rsidTr="00642397">
        <w:trPr>
          <w:cantSplit/>
          <w:trHeight w:val="402"/>
        </w:trPr>
        <w:tc>
          <w:tcPr>
            <w:tcW w:w="5000" w:type="pct"/>
            <w:gridSpan w:val="7"/>
            <w:tcBorders>
              <w:top w:val="single" w:sz="12" w:space="0" w:color="auto"/>
              <w:left w:val="nil"/>
              <w:bottom w:val="nil"/>
              <w:right w:val="nil"/>
            </w:tcBorders>
            <w:shd w:val="clear" w:color="auto" w:fill="FFFFFF"/>
            <w:tcMar>
              <w:left w:w="96" w:type="dxa"/>
              <w:right w:w="96" w:type="dxa"/>
            </w:tcMar>
          </w:tcPr>
          <w:p w14:paraId="72E54DFC" w14:textId="599D0E88" w:rsidR="001B09E2" w:rsidRPr="004C46F5" w:rsidRDefault="004C46F5" w:rsidP="0041646E">
            <w:pPr>
              <w:adjustRightInd w:val="0"/>
              <w:snapToGrid w:val="0"/>
              <w:spacing w:after="0" w:line="360" w:lineRule="auto"/>
              <w:jc w:val="both"/>
              <w:rPr>
                <w:rFonts w:ascii="Book Antiqua" w:hAnsi="Book Antiqua" w:cs="Times New Roman"/>
                <w:color w:val="000000" w:themeColor="text1"/>
                <w:vertAlign w:val="superscript"/>
                <w:lang w:eastAsia="zh-CN"/>
              </w:rPr>
            </w:pPr>
            <w:r>
              <w:rPr>
                <w:rFonts w:ascii="Book Antiqua" w:hAnsi="Book Antiqua" w:cs="Times New Roman" w:hint="eastAsia"/>
                <w:color w:val="000000" w:themeColor="text1"/>
                <w:vertAlign w:val="superscript"/>
                <w:lang w:eastAsia="zh-CN"/>
              </w:rPr>
              <w:t>1</w:t>
            </w:r>
            <w:r w:rsidR="001B09E2" w:rsidRPr="00977582">
              <w:rPr>
                <w:rFonts w:ascii="Book Antiqua" w:hAnsi="Book Antiqua" w:cs="Times New Roman"/>
                <w:color w:val="000000" w:themeColor="text1"/>
              </w:rPr>
              <w:t>Claims with primary diagnosis of CS, CS-related syndrome, or carcinoid tumor progression</w:t>
            </w:r>
            <w:r>
              <w:rPr>
                <w:rFonts w:ascii="Book Antiqua" w:hAnsi="Book Antiqua" w:cs="Times New Roman" w:hint="eastAsia"/>
                <w:color w:val="000000" w:themeColor="text1"/>
                <w:lang w:eastAsia="zh-CN"/>
              </w:rPr>
              <w:t xml:space="preserve">. </w:t>
            </w:r>
            <w:r w:rsidR="001B09E2" w:rsidRPr="00977582">
              <w:rPr>
                <w:rFonts w:ascii="Book Antiqua" w:hAnsi="Book Antiqua" w:cs="Times New Roman"/>
                <w:color w:val="000000" w:themeColor="text1"/>
              </w:rPr>
              <w:t>CS:</w:t>
            </w:r>
            <w:r w:rsidR="001B09E2" w:rsidRPr="004C46F5">
              <w:rPr>
                <w:rFonts w:ascii="Book Antiqua" w:hAnsi="Book Antiqua" w:cs="Times New Roman"/>
                <w:caps/>
                <w:color w:val="000000" w:themeColor="text1"/>
              </w:rPr>
              <w:t xml:space="preserve"> </w:t>
            </w:r>
            <w:r w:rsidR="00E60048" w:rsidRPr="004C46F5">
              <w:rPr>
                <w:rFonts w:ascii="Book Antiqua" w:hAnsi="Book Antiqua" w:cs="Times New Roman"/>
                <w:caps/>
                <w:color w:val="000000" w:themeColor="text1"/>
              </w:rPr>
              <w:t>c</w:t>
            </w:r>
            <w:r w:rsidR="001B09E2" w:rsidRPr="00977582">
              <w:rPr>
                <w:rFonts w:ascii="Book Antiqua" w:hAnsi="Book Antiqua" w:cs="Times New Roman"/>
                <w:color w:val="000000" w:themeColor="text1"/>
              </w:rPr>
              <w:t xml:space="preserve">arcinoid </w:t>
            </w:r>
            <w:r w:rsidR="00E60048" w:rsidRPr="00977582">
              <w:rPr>
                <w:rFonts w:ascii="Book Antiqua" w:hAnsi="Book Antiqua" w:cs="Times New Roman"/>
                <w:color w:val="000000" w:themeColor="text1"/>
              </w:rPr>
              <w:t>s</w:t>
            </w:r>
            <w:r w:rsidR="001B09E2" w:rsidRPr="00977582">
              <w:rPr>
                <w:rFonts w:ascii="Book Antiqua" w:hAnsi="Book Antiqua" w:cs="Times New Roman"/>
                <w:color w:val="000000" w:themeColor="text1"/>
              </w:rPr>
              <w:t>yndrome</w:t>
            </w:r>
            <w:r>
              <w:rPr>
                <w:rFonts w:ascii="Book Antiqua" w:hAnsi="Book Antiqua" w:cs="Times New Roman" w:hint="eastAsia"/>
                <w:color w:val="000000" w:themeColor="text1"/>
                <w:lang w:eastAsia="zh-CN"/>
              </w:rPr>
              <w:t>.</w:t>
            </w:r>
          </w:p>
        </w:tc>
      </w:tr>
    </w:tbl>
    <w:p w14:paraId="72E54DFE" w14:textId="26E48FE4" w:rsidR="001B09E2" w:rsidRPr="00977582" w:rsidRDefault="001B09E2" w:rsidP="0041646E">
      <w:pPr>
        <w:adjustRightInd w:val="0"/>
        <w:snapToGrid w:val="0"/>
        <w:spacing w:after="0" w:line="360" w:lineRule="auto"/>
        <w:jc w:val="both"/>
        <w:rPr>
          <w:rFonts w:ascii="Book Antiqua" w:hAnsi="Book Antiqua" w:cs="Times New Roman"/>
          <w:b/>
          <w:color w:val="000000" w:themeColor="text1"/>
        </w:rPr>
      </w:pPr>
      <w:r w:rsidRPr="00977582">
        <w:rPr>
          <w:rFonts w:ascii="Book Antiqua" w:hAnsi="Book Antiqua" w:cs="Times New Roman"/>
          <w:color w:val="000000" w:themeColor="text1"/>
        </w:rPr>
        <w:br w:type="page"/>
      </w:r>
      <w:r w:rsidRPr="00977582">
        <w:rPr>
          <w:rFonts w:ascii="Book Antiqua" w:hAnsi="Book Antiqua" w:cs="Times New Roman"/>
          <w:b/>
          <w:color w:val="000000" w:themeColor="text1"/>
        </w:rPr>
        <w:lastRenderedPageBreak/>
        <w:t xml:space="preserve">Table 4 </w:t>
      </w:r>
      <w:r w:rsidR="00FD5206" w:rsidRPr="00AF201A">
        <w:rPr>
          <w:rFonts w:ascii="Book Antiqua" w:hAnsi="Book Antiqua" w:cs="Times New Roman"/>
          <w:b/>
          <w:caps/>
          <w:color w:val="000000" w:themeColor="text1"/>
        </w:rPr>
        <w:t>a</w:t>
      </w:r>
      <w:r w:rsidR="00FD5206" w:rsidRPr="00977582">
        <w:rPr>
          <w:rFonts w:ascii="Book Antiqua" w:hAnsi="Book Antiqua" w:cs="Times New Roman"/>
          <w:b/>
          <w:color w:val="000000" w:themeColor="text1"/>
        </w:rPr>
        <w:t>djusted multivariate analyses of annual overall and carcinoid syndrome-related hospitalization and total co</w:t>
      </w:r>
      <w:r w:rsidRPr="00977582">
        <w:rPr>
          <w:rFonts w:ascii="Book Antiqua" w:hAnsi="Book Antiqua" w:cs="Times New Roman"/>
          <w:b/>
          <w:color w:val="000000" w:themeColor="text1"/>
        </w:rPr>
        <w:t>sts</w:t>
      </w:r>
    </w:p>
    <w:tbl>
      <w:tblPr>
        <w:tblW w:w="4759" w:type="pct"/>
        <w:jc w:val="center"/>
        <w:tblLayout w:type="fixed"/>
        <w:tblCellMar>
          <w:left w:w="0" w:type="dxa"/>
          <w:right w:w="0" w:type="dxa"/>
        </w:tblCellMar>
        <w:tblLook w:val="0000" w:firstRow="0" w:lastRow="0" w:firstColumn="0" w:lastColumn="0" w:noHBand="0" w:noVBand="0"/>
      </w:tblPr>
      <w:tblGrid>
        <w:gridCol w:w="2221"/>
        <w:gridCol w:w="1976"/>
        <w:gridCol w:w="1976"/>
        <w:gridCol w:w="2142"/>
      </w:tblGrid>
      <w:tr w:rsidR="006E770B" w:rsidRPr="00FD11DC" w14:paraId="72E54E05" w14:textId="77777777" w:rsidTr="00327A66">
        <w:trPr>
          <w:cantSplit/>
          <w:trHeight w:val="718"/>
          <w:jc w:val="center"/>
        </w:trPr>
        <w:tc>
          <w:tcPr>
            <w:tcW w:w="1336" w:type="pct"/>
            <w:tcBorders>
              <w:top w:val="single" w:sz="8" w:space="0" w:color="auto"/>
              <w:left w:val="nil"/>
              <w:right w:val="nil"/>
            </w:tcBorders>
            <w:shd w:val="clear" w:color="auto" w:fill="FFFFFF"/>
            <w:tcMar>
              <w:left w:w="96" w:type="dxa"/>
              <w:right w:w="96" w:type="dxa"/>
            </w:tcMar>
          </w:tcPr>
          <w:p w14:paraId="72E54DFF" w14:textId="77777777" w:rsidR="001B09E2" w:rsidRPr="00FD11DC" w:rsidRDefault="001B09E2" w:rsidP="0041646E">
            <w:pPr>
              <w:adjustRightInd w:val="0"/>
              <w:snapToGrid w:val="0"/>
              <w:spacing w:after="0" w:line="360" w:lineRule="auto"/>
              <w:jc w:val="both"/>
              <w:rPr>
                <w:rFonts w:ascii="Book Antiqua" w:hAnsi="Book Antiqua" w:cs="Times New Roman"/>
                <w:b/>
                <w:color w:val="000000" w:themeColor="text1"/>
              </w:rPr>
            </w:pPr>
          </w:p>
        </w:tc>
        <w:tc>
          <w:tcPr>
            <w:tcW w:w="1188" w:type="pct"/>
            <w:tcBorders>
              <w:top w:val="single" w:sz="8" w:space="0" w:color="auto"/>
              <w:left w:val="nil"/>
              <w:bottom w:val="single" w:sz="4" w:space="0" w:color="auto"/>
            </w:tcBorders>
            <w:shd w:val="clear" w:color="auto" w:fill="FFFFFF"/>
            <w:tcMar>
              <w:left w:w="96" w:type="dxa"/>
              <w:right w:w="96" w:type="dxa"/>
            </w:tcMar>
            <w:vAlign w:val="center"/>
          </w:tcPr>
          <w:p w14:paraId="72E54E00" w14:textId="557F71E7" w:rsidR="001B09E2" w:rsidRPr="00FD11DC" w:rsidRDefault="001B09E2" w:rsidP="0041646E">
            <w:pPr>
              <w:adjustRightInd w:val="0"/>
              <w:snapToGrid w:val="0"/>
              <w:spacing w:after="0" w:line="360" w:lineRule="auto"/>
              <w:jc w:val="both"/>
              <w:rPr>
                <w:rFonts w:ascii="Book Antiqua" w:hAnsi="Book Antiqua" w:cs="Times New Roman"/>
                <w:b/>
                <w:color w:val="000000" w:themeColor="text1"/>
                <w:vertAlign w:val="superscript"/>
                <w:lang w:eastAsia="zh-CN"/>
              </w:rPr>
            </w:pPr>
            <w:r w:rsidRPr="00FD11DC">
              <w:rPr>
                <w:rFonts w:ascii="Book Antiqua" w:hAnsi="Book Antiqua" w:cs="Times New Roman"/>
                <w:b/>
                <w:color w:val="000000" w:themeColor="text1"/>
              </w:rPr>
              <w:t>Adju</w:t>
            </w:r>
            <w:r w:rsidR="00327A66" w:rsidRPr="00FD11DC">
              <w:rPr>
                <w:rFonts w:ascii="Book Antiqua" w:hAnsi="Book Antiqua" w:cs="Times New Roman"/>
                <w:b/>
                <w:color w:val="000000" w:themeColor="text1"/>
              </w:rPr>
              <w:t>sted proportion of</w:t>
            </w:r>
            <w:r w:rsidR="00327A66" w:rsidRPr="00FD11DC">
              <w:rPr>
                <w:rFonts w:ascii="Book Antiqua" w:hAnsi="Book Antiqua" w:cs="Times New Roman"/>
                <w:b/>
                <w:i/>
                <w:color w:val="000000" w:themeColor="text1"/>
              </w:rPr>
              <w:t xml:space="preserve"> </w:t>
            </w:r>
            <w:r w:rsidR="00327A66" w:rsidRPr="00FD11DC">
              <w:rPr>
                <w:rFonts w:ascii="Book Antiqua" w:hAnsi="Book Antiqua" w:cs="Times New Roman"/>
                <w:b/>
                <w:color w:val="000000" w:themeColor="text1"/>
              </w:rPr>
              <w:t>patients with any hos</w:t>
            </w:r>
            <w:r w:rsidRPr="00FD11DC">
              <w:rPr>
                <w:rFonts w:ascii="Book Antiqua" w:hAnsi="Book Antiqua" w:cs="Times New Roman"/>
                <w:b/>
                <w:color w:val="000000" w:themeColor="text1"/>
              </w:rPr>
              <w:t>pitalization</w:t>
            </w:r>
            <w:r w:rsidR="00327A66" w:rsidRPr="00FD11DC">
              <w:rPr>
                <w:rFonts w:ascii="Book Antiqua" w:hAnsi="Book Antiqua" w:cs="Times New Roman" w:hint="eastAsia"/>
                <w:b/>
                <w:color w:val="000000" w:themeColor="text1"/>
                <w:vertAlign w:val="superscript"/>
                <w:lang w:eastAsia="zh-CN"/>
              </w:rPr>
              <w:t>1</w:t>
            </w:r>
          </w:p>
        </w:tc>
        <w:tc>
          <w:tcPr>
            <w:tcW w:w="1188" w:type="pct"/>
            <w:tcBorders>
              <w:top w:val="single" w:sz="8" w:space="0" w:color="auto"/>
              <w:left w:val="nil"/>
              <w:bottom w:val="single" w:sz="4" w:space="0" w:color="auto"/>
            </w:tcBorders>
            <w:shd w:val="clear" w:color="auto" w:fill="FFFFFF"/>
            <w:vAlign w:val="center"/>
          </w:tcPr>
          <w:p w14:paraId="72E54E01" w14:textId="1119F9C3" w:rsidR="001B09E2" w:rsidRPr="00FD11DC" w:rsidRDefault="001B09E2" w:rsidP="0041646E">
            <w:pPr>
              <w:adjustRightInd w:val="0"/>
              <w:snapToGrid w:val="0"/>
              <w:spacing w:after="0" w:line="360" w:lineRule="auto"/>
              <w:jc w:val="both"/>
              <w:rPr>
                <w:rFonts w:ascii="Book Antiqua" w:hAnsi="Book Antiqua" w:cs="Times New Roman"/>
                <w:b/>
                <w:color w:val="000000" w:themeColor="text1"/>
              </w:rPr>
            </w:pPr>
            <w:r w:rsidRPr="00FD11DC">
              <w:rPr>
                <w:rFonts w:ascii="Book Antiqua" w:hAnsi="Book Antiqua" w:cs="Times New Roman"/>
                <w:b/>
                <w:color w:val="000000" w:themeColor="text1"/>
              </w:rPr>
              <w:t>Adjus</w:t>
            </w:r>
            <w:r w:rsidR="00327A66" w:rsidRPr="00FD11DC">
              <w:rPr>
                <w:rFonts w:ascii="Book Antiqua" w:hAnsi="Book Antiqua" w:cs="Times New Roman"/>
                <w:b/>
                <w:color w:val="000000" w:themeColor="text1"/>
              </w:rPr>
              <w:t xml:space="preserve">ted proportion of </w:t>
            </w:r>
          </w:p>
          <w:p w14:paraId="72E54E02" w14:textId="15A61A4E" w:rsidR="001B09E2" w:rsidRPr="00FD11DC" w:rsidRDefault="00327A66" w:rsidP="0041646E">
            <w:pPr>
              <w:adjustRightInd w:val="0"/>
              <w:snapToGrid w:val="0"/>
              <w:spacing w:after="0" w:line="360" w:lineRule="auto"/>
              <w:jc w:val="both"/>
              <w:rPr>
                <w:rFonts w:ascii="Book Antiqua" w:hAnsi="Book Antiqua" w:cs="Times New Roman"/>
                <w:b/>
                <w:color w:val="000000" w:themeColor="text1"/>
              </w:rPr>
            </w:pPr>
            <w:r w:rsidRPr="00FD11DC">
              <w:rPr>
                <w:rFonts w:ascii="Book Antiqua" w:hAnsi="Book Antiqua" w:cs="Times New Roman"/>
                <w:b/>
                <w:color w:val="000000" w:themeColor="text1"/>
              </w:rPr>
              <w:t>patients with a</w:t>
            </w:r>
            <w:r w:rsidR="001B09E2" w:rsidRPr="00FD11DC">
              <w:rPr>
                <w:rFonts w:ascii="Book Antiqua" w:hAnsi="Book Antiqua" w:cs="Times New Roman"/>
                <w:b/>
                <w:color w:val="000000" w:themeColor="text1"/>
              </w:rPr>
              <w:t xml:space="preserve">ny </w:t>
            </w:r>
          </w:p>
          <w:p w14:paraId="72E54E03" w14:textId="0CF92265" w:rsidR="001B09E2" w:rsidRPr="00FD11DC" w:rsidRDefault="001B09E2" w:rsidP="0041646E">
            <w:pPr>
              <w:adjustRightInd w:val="0"/>
              <w:snapToGrid w:val="0"/>
              <w:spacing w:after="0" w:line="360" w:lineRule="auto"/>
              <w:jc w:val="both"/>
              <w:rPr>
                <w:rFonts w:ascii="Book Antiqua" w:hAnsi="Book Antiqua" w:cs="Times New Roman"/>
                <w:b/>
                <w:color w:val="000000" w:themeColor="text1"/>
                <w:vertAlign w:val="superscript"/>
                <w:lang w:eastAsia="zh-CN"/>
              </w:rPr>
            </w:pPr>
            <w:r w:rsidRPr="00FD11DC">
              <w:rPr>
                <w:rFonts w:ascii="Book Antiqua" w:hAnsi="Book Antiqua" w:cs="Times New Roman"/>
                <w:b/>
                <w:color w:val="000000" w:themeColor="text1"/>
              </w:rPr>
              <w:t>CS-</w:t>
            </w:r>
            <w:r w:rsidR="00327A66" w:rsidRPr="00FD11DC">
              <w:rPr>
                <w:rFonts w:ascii="Book Antiqua" w:hAnsi="Book Antiqua" w:cs="Times New Roman"/>
                <w:b/>
                <w:color w:val="000000" w:themeColor="text1"/>
              </w:rPr>
              <w:t>related hosp</w:t>
            </w:r>
            <w:r w:rsidRPr="00FD11DC">
              <w:rPr>
                <w:rFonts w:ascii="Book Antiqua" w:hAnsi="Book Antiqua" w:cs="Times New Roman"/>
                <w:b/>
                <w:color w:val="000000" w:themeColor="text1"/>
              </w:rPr>
              <w:t>italization</w:t>
            </w:r>
            <w:r w:rsidR="00327A66" w:rsidRPr="00FD11DC">
              <w:rPr>
                <w:rFonts w:ascii="Book Antiqua" w:hAnsi="Book Antiqua" w:cs="Times New Roman" w:hint="eastAsia"/>
                <w:b/>
                <w:color w:val="000000" w:themeColor="text1"/>
                <w:vertAlign w:val="superscript"/>
                <w:lang w:eastAsia="zh-CN"/>
              </w:rPr>
              <w:t>1,2</w:t>
            </w:r>
          </w:p>
        </w:tc>
        <w:tc>
          <w:tcPr>
            <w:tcW w:w="1288" w:type="pct"/>
            <w:tcBorders>
              <w:top w:val="single" w:sz="8" w:space="0" w:color="auto"/>
              <w:left w:val="nil"/>
              <w:bottom w:val="single" w:sz="4" w:space="0" w:color="auto"/>
              <w:right w:val="nil"/>
            </w:tcBorders>
            <w:shd w:val="clear" w:color="auto" w:fill="FFFFFF"/>
            <w:vAlign w:val="center"/>
          </w:tcPr>
          <w:p w14:paraId="72E54E04" w14:textId="0C1EE8B5" w:rsidR="001B09E2" w:rsidRPr="00FD11DC" w:rsidRDefault="001B09E2" w:rsidP="0041646E">
            <w:pPr>
              <w:adjustRightInd w:val="0"/>
              <w:snapToGrid w:val="0"/>
              <w:spacing w:after="0" w:line="360" w:lineRule="auto"/>
              <w:jc w:val="both"/>
              <w:rPr>
                <w:rFonts w:ascii="Book Antiqua" w:hAnsi="Book Antiqua" w:cs="Times New Roman"/>
                <w:b/>
                <w:color w:val="000000" w:themeColor="text1"/>
                <w:vertAlign w:val="superscript"/>
                <w:lang w:eastAsia="zh-CN"/>
              </w:rPr>
            </w:pPr>
            <w:r w:rsidRPr="00FD11DC">
              <w:rPr>
                <w:rFonts w:ascii="Book Antiqua" w:hAnsi="Book Antiqua" w:cs="Times New Roman"/>
                <w:b/>
                <w:color w:val="000000" w:themeColor="text1"/>
              </w:rPr>
              <w:t xml:space="preserve">Adjusted </w:t>
            </w:r>
            <w:r w:rsidR="00327A66" w:rsidRPr="00FD11DC">
              <w:rPr>
                <w:rFonts w:ascii="Book Antiqua" w:hAnsi="Book Antiqua" w:cs="Times New Roman"/>
                <w:b/>
                <w:color w:val="000000" w:themeColor="text1"/>
              </w:rPr>
              <w:t>to</w:t>
            </w:r>
            <w:r w:rsidRPr="00FD11DC">
              <w:rPr>
                <w:rFonts w:ascii="Book Antiqua" w:hAnsi="Book Antiqua" w:cs="Times New Roman"/>
                <w:b/>
                <w:color w:val="000000" w:themeColor="text1"/>
              </w:rPr>
              <w:t xml:space="preserve">tal </w:t>
            </w:r>
            <w:r w:rsidR="00327A66" w:rsidRPr="00FD11DC">
              <w:rPr>
                <w:rFonts w:ascii="Book Antiqua" w:hAnsi="Book Antiqua" w:cs="Times New Roman"/>
                <w:b/>
                <w:color w:val="000000" w:themeColor="text1"/>
              </w:rPr>
              <w:t>c</w:t>
            </w:r>
            <w:r w:rsidRPr="00FD11DC">
              <w:rPr>
                <w:rFonts w:ascii="Book Antiqua" w:hAnsi="Book Antiqua" w:cs="Times New Roman"/>
                <w:b/>
                <w:color w:val="000000" w:themeColor="text1"/>
              </w:rPr>
              <w:t>ost</w:t>
            </w:r>
            <w:r w:rsidR="00327A66" w:rsidRPr="00FD11DC">
              <w:rPr>
                <w:rFonts w:ascii="Book Antiqua" w:hAnsi="Book Antiqua" w:cs="Times New Roman" w:hint="eastAsia"/>
                <w:b/>
                <w:color w:val="000000" w:themeColor="text1"/>
                <w:vertAlign w:val="superscript"/>
                <w:lang w:eastAsia="zh-CN"/>
              </w:rPr>
              <w:t>1</w:t>
            </w:r>
          </w:p>
        </w:tc>
      </w:tr>
      <w:tr w:rsidR="006E770B" w:rsidRPr="00FD11DC" w14:paraId="72E54E0A" w14:textId="77777777" w:rsidTr="00327A66">
        <w:trPr>
          <w:cantSplit/>
          <w:trHeight w:val="322"/>
          <w:jc w:val="center"/>
        </w:trPr>
        <w:tc>
          <w:tcPr>
            <w:tcW w:w="1336" w:type="pct"/>
            <w:tcBorders>
              <w:left w:val="nil"/>
              <w:bottom w:val="single" w:sz="8" w:space="0" w:color="auto"/>
              <w:right w:val="nil"/>
            </w:tcBorders>
            <w:shd w:val="clear" w:color="auto" w:fill="FFFFFF"/>
            <w:tcMar>
              <w:left w:w="96" w:type="dxa"/>
              <w:right w:w="96" w:type="dxa"/>
            </w:tcMar>
          </w:tcPr>
          <w:p w14:paraId="72E54E06" w14:textId="77777777" w:rsidR="008C0AA2" w:rsidRPr="00FD11DC" w:rsidRDefault="008C0AA2" w:rsidP="0041646E">
            <w:pPr>
              <w:adjustRightInd w:val="0"/>
              <w:snapToGrid w:val="0"/>
              <w:spacing w:after="0" w:line="360" w:lineRule="auto"/>
              <w:jc w:val="both"/>
              <w:rPr>
                <w:rFonts w:ascii="Book Antiqua" w:hAnsi="Book Antiqua" w:cs="Times New Roman"/>
                <w:b/>
                <w:color w:val="000000" w:themeColor="text1"/>
              </w:rPr>
            </w:pPr>
          </w:p>
        </w:tc>
        <w:tc>
          <w:tcPr>
            <w:tcW w:w="1188" w:type="pct"/>
            <w:tcBorders>
              <w:top w:val="single" w:sz="4" w:space="0" w:color="auto"/>
              <w:left w:val="nil"/>
              <w:bottom w:val="single" w:sz="8" w:space="0" w:color="auto"/>
            </w:tcBorders>
            <w:shd w:val="clear" w:color="auto" w:fill="FFFFFF"/>
            <w:tcMar>
              <w:left w:w="96" w:type="dxa"/>
              <w:right w:w="96" w:type="dxa"/>
            </w:tcMar>
            <w:vAlign w:val="center"/>
          </w:tcPr>
          <w:p w14:paraId="72E54E07" w14:textId="02B58CBC" w:rsidR="008C0AA2" w:rsidRPr="00FD11DC" w:rsidRDefault="00327A66" w:rsidP="0041646E">
            <w:pPr>
              <w:adjustRightInd w:val="0"/>
              <w:snapToGrid w:val="0"/>
              <w:spacing w:after="0" w:line="360" w:lineRule="auto"/>
              <w:jc w:val="both"/>
              <w:rPr>
                <w:rFonts w:ascii="Book Antiqua" w:hAnsi="Book Antiqua" w:cs="Times New Roman"/>
                <w:b/>
                <w:color w:val="000000" w:themeColor="text1"/>
              </w:rPr>
            </w:pPr>
            <w:r w:rsidRPr="00FD11DC">
              <w:rPr>
                <w:rFonts w:ascii="Book Antiqua" w:hAnsi="Book Antiqua" w:cs="Times New Roman"/>
                <w:b/>
                <w:color w:val="000000" w:themeColor="text1"/>
              </w:rPr>
              <w:t>% (95%</w:t>
            </w:r>
            <w:r w:rsidR="008C0AA2" w:rsidRPr="00FD11DC">
              <w:rPr>
                <w:rFonts w:ascii="Book Antiqua" w:hAnsi="Book Antiqua" w:cs="Times New Roman"/>
                <w:b/>
                <w:color w:val="000000" w:themeColor="text1"/>
              </w:rPr>
              <w:t>CI)</w:t>
            </w:r>
          </w:p>
        </w:tc>
        <w:tc>
          <w:tcPr>
            <w:tcW w:w="1188" w:type="pct"/>
            <w:tcBorders>
              <w:top w:val="single" w:sz="4" w:space="0" w:color="auto"/>
              <w:left w:val="nil"/>
              <w:bottom w:val="single" w:sz="8" w:space="0" w:color="auto"/>
            </w:tcBorders>
            <w:shd w:val="clear" w:color="auto" w:fill="FFFFFF"/>
            <w:vAlign w:val="center"/>
          </w:tcPr>
          <w:p w14:paraId="72E54E08" w14:textId="23F68FC8" w:rsidR="008C0AA2" w:rsidRPr="00FD11DC" w:rsidRDefault="00327A66" w:rsidP="0041646E">
            <w:pPr>
              <w:adjustRightInd w:val="0"/>
              <w:snapToGrid w:val="0"/>
              <w:spacing w:after="0" w:line="360" w:lineRule="auto"/>
              <w:jc w:val="both"/>
              <w:rPr>
                <w:rFonts w:ascii="Book Antiqua" w:hAnsi="Book Antiqua" w:cs="Times New Roman"/>
                <w:b/>
                <w:color w:val="000000" w:themeColor="text1"/>
              </w:rPr>
            </w:pPr>
            <w:r w:rsidRPr="00FD11DC">
              <w:rPr>
                <w:rFonts w:ascii="Book Antiqua" w:hAnsi="Book Antiqua" w:cs="Times New Roman"/>
                <w:b/>
                <w:color w:val="000000" w:themeColor="text1"/>
              </w:rPr>
              <w:t>% (95%</w:t>
            </w:r>
            <w:r w:rsidR="008C0AA2" w:rsidRPr="00FD11DC">
              <w:rPr>
                <w:rFonts w:ascii="Book Antiqua" w:hAnsi="Book Antiqua" w:cs="Times New Roman"/>
                <w:b/>
                <w:color w:val="000000" w:themeColor="text1"/>
              </w:rPr>
              <w:t>CI)</w:t>
            </w:r>
          </w:p>
        </w:tc>
        <w:tc>
          <w:tcPr>
            <w:tcW w:w="1288" w:type="pct"/>
            <w:tcBorders>
              <w:top w:val="single" w:sz="4" w:space="0" w:color="auto"/>
              <w:left w:val="nil"/>
              <w:bottom w:val="single" w:sz="8" w:space="0" w:color="auto"/>
              <w:right w:val="nil"/>
            </w:tcBorders>
            <w:shd w:val="clear" w:color="auto" w:fill="FFFFFF"/>
            <w:vAlign w:val="center"/>
          </w:tcPr>
          <w:p w14:paraId="72E54E09" w14:textId="1B8963A3" w:rsidR="008C0AA2" w:rsidRPr="00FD11DC" w:rsidRDefault="00327A66" w:rsidP="0041646E">
            <w:pPr>
              <w:adjustRightInd w:val="0"/>
              <w:snapToGrid w:val="0"/>
              <w:spacing w:after="0" w:line="360" w:lineRule="auto"/>
              <w:jc w:val="both"/>
              <w:rPr>
                <w:rFonts w:ascii="Book Antiqua" w:hAnsi="Book Antiqua" w:cs="Times New Roman"/>
                <w:b/>
                <w:color w:val="000000" w:themeColor="text1"/>
              </w:rPr>
            </w:pPr>
            <w:r w:rsidRPr="00FD11DC">
              <w:rPr>
                <w:rFonts w:ascii="Book Antiqua" w:hAnsi="Book Antiqua" w:cs="Times New Roman"/>
                <w:b/>
                <w:color w:val="000000" w:themeColor="text1"/>
              </w:rPr>
              <w:t>mean (95%</w:t>
            </w:r>
            <w:r w:rsidR="008C0AA2" w:rsidRPr="00FD11DC">
              <w:rPr>
                <w:rFonts w:ascii="Book Antiqua" w:hAnsi="Book Antiqua" w:cs="Times New Roman"/>
                <w:b/>
                <w:color w:val="000000" w:themeColor="text1"/>
              </w:rPr>
              <w:t>CI)</w:t>
            </w:r>
          </w:p>
        </w:tc>
      </w:tr>
      <w:tr w:rsidR="006E770B" w:rsidRPr="00977582" w14:paraId="72E54E0D" w14:textId="77777777" w:rsidTr="001B09E2">
        <w:trPr>
          <w:cantSplit/>
          <w:trHeight w:val="169"/>
          <w:jc w:val="center"/>
        </w:trPr>
        <w:tc>
          <w:tcPr>
            <w:tcW w:w="1336" w:type="pct"/>
            <w:tcBorders>
              <w:top w:val="single" w:sz="8" w:space="0" w:color="auto"/>
              <w:left w:val="nil"/>
              <w:right w:val="nil"/>
            </w:tcBorders>
            <w:shd w:val="clear" w:color="auto" w:fill="FFFFFF"/>
            <w:tcMar>
              <w:left w:w="96" w:type="dxa"/>
              <w:right w:w="96" w:type="dxa"/>
            </w:tcMar>
          </w:tcPr>
          <w:p w14:paraId="72E54E0B"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Non-infectious diarrhea</w:t>
            </w:r>
          </w:p>
        </w:tc>
        <w:tc>
          <w:tcPr>
            <w:tcW w:w="3664" w:type="pct"/>
            <w:gridSpan w:val="3"/>
            <w:tcBorders>
              <w:top w:val="single" w:sz="8" w:space="0" w:color="auto"/>
              <w:left w:val="nil"/>
            </w:tcBorders>
            <w:shd w:val="clear" w:color="auto" w:fill="FFFFFF"/>
            <w:tcMar>
              <w:left w:w="96" w:type="dxa"/>
              <w:right w:w="96" w:type="dxa"/>
            </w:tcMar>
            <w:vAlign w:val="center"/>
          </w:tcPr>
          <w:p w14:paraId="72E54E0C"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p>
        </w:tc>
      </w:tr>
      <w:tr w:rsidR="006E770B" w:rsidRPr="00977582" w14:paraId="72E54E12" w14:textId="77777777" w:rsidTr="001B09E2">
        <w:trPr>
          <w:cantSplit/>
          <w:jc w:val="center"/>
        </w:trPr>
        <w:tc>
          <w:tcPr>
            <w:tcW w:w="1336" w:type="pct"/>
            <w:tcBorders>
              <w:top w:val="nil"/>
              <w:left w:val="nil"/>
              <w:bottom w:val="nil"/>
              <w:right w:val="nil"/>
            </w:tcBorders>
            <w:shd w:val="clear" w:color="auto" w:fill="FFFFFF"/>
            <w:tcMar>
              <w:left w:w="96" w:type="dxa"/>
              <w:right w:w="96" w:type="dxa"/>
            </w:tcMar>
          </w:tcPr>
          <w:p w14:paraId="72E54E0E"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Yes</w:t>
            </w:r>
          </w:p>
        </w:tc>
        <w:tc>
          <w:tcPr>
            <w:tcW w:w="1188" w:type="pct"/>
            <w:tcBorders>
              <w:left w:val="nil"/>
            </w:tcBorders>
            <w:shd w:val="clear" w:color="auto" w:fill="FFFFFF"/>
            <w:tcMar>
              <w:left w:w="96" w:type="dxa"/>
              <w:right w:w="96" w:type="dxa"/>
            </w:tcMar>
            <w:vAlign w:val="center"/>
          </w:tcPr>
          <w:p w14:paraId="72E54E0F" w14:textId="3137BAE8"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49.3 (45.0</w:t>
            </w:r>
            <w:r w:rsidR="004C46F5">
              <w:rPr>
                <w:rFonts w:ascii="Book Antiqua" w:hAnsi="Book Antiqua" w:cs="Times New Roman"/>
                <w:color w:val="000000" w:themeColor="text1"/>
              </w:rPr>
              <w:t>-</w:t>
            </w:r>
            <w:r w:rsidRPr="00977582">
              <w:rPr>
                <w:rFonts w:ascii="Book Antiqua" w:hAnsi="Book Antiqua" w:cs="Times New Roman"/>
                <w:color w:val="000000" w:themeColor="text1"/>
              </w:rPr>
              <w:t>53.5)</w:t>
            </w:r>
          </w:p>
        </w:tc>
        <w:tc>
          <w:tcPr>
            <w:tcW w:w="1188" w:type="pct"/>
            <w:tcBorders>
              <w:left w:val="nil"/>
            </w:tcBorders>
            <w:shd w:val="clear" w:color="auto" w:fill="FFFFFF"/>
            <w:vAlign w:val="center"/>
          </w:tcPr>
          <w:p w14:paraId="72E54E10" w14:textId="1A7D971A"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13.8 (11.1</w:t>
            </w:r>
            <w:r w:rsidR="004C46F5">
              <w:rPr>
                <w:rFonts w:ascii="Book Antiqua" w:hAnsi="Book Antiqua" w:cs="Times New Roman"/>
                <w:color w:val="000000" w:themeColor="text1"/>
              </w:rPr>
              <w:t>-</w:t>
            </w:r>
            <w:r w:rsidRPr="00977582">
              <w:rPr>
                <w:rFonts w:ascii="Book Antiqua" w:hAnsi="Book Antiqua" w:cs="Times New Roman"/>
                <w:color w:val="000000" w:themeColor="text1"/>
              </w:rPr>
              <w:t>17.1)</w:t>
            </w:r>
          </w:p>
        </w:tc>
        <w:tc>
          <w:tcPr>
            <w:tcW w:w="1288" w:type="pct"/>
            <w:tcBorders>
              <w:left w:val="nil"/>
              <w:right w:val="nil"/>
            </w:tcBorders>
            <w:shd w:val="clear" w:color="auto" w:fill="FFFFFF"/>
            <w:vAlign w:val="center"/>
          </w:tcPr>
          <w:p w14:paraId="72E54E11" w14:textId="6E258FE7" w:rsidR="001B09E2" w:rsidRPr="00977582" w:rsidRDefault="00327A66"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$80600 ($74</w:t>
            </w:r>
            <w:r w:rsidR="001B09E2" w:rsidRPr="00977582">
              <w:rPr>
                <w:rFonts w:ascii="Book Antiqua" w:hAnsi="Book Antiqua" w:cs="Times New Roman"/>
                <w:color w:val="000000" w:themeColor="text1"/>
              </w:rPr>
              <w:t>740</w:t>
            </w:r>
            <w:r w:rsidR="004C46F5">
              <w:rPr>
                <w:rFonts w:ascii="Book Antiqua" w:hAnsi="Book Antiqua" w:cs="Times New Roman"/>
                <w:color w:val="000000" w:themeColor="text1"/>
              </w:rPr>
              <w:t>-</w:t>
            </w:r>
            <w:r>
              <w:rPr>
                <w:rFonts w:ascii="Book Antiqua" w:hAnsi="Book Antiqua" w:cs="Times New Roman"/>
                <w:color w:val="000000" w:themeColor="text1"/>
              </w:rPr>
              <w:t>$86</w:t>
            </w:r>
            <w:r w:rsidR="001B09E2" w:rsidRPr="00977582">
              <w:rPr>
                <w:rFonts w:ascii="Book Antiqua" w:hAnsi="Book Antiqua" w:cs="Times New Roman"/>
                <w:color w:val="000000" w:themeColor="text1"/>
              </w:rPr>
              <w:t>460)</w:t>
            </w:r>
          </w:p>
        </w:tc>
      </w:tr>
      <w:tr w:rsidR="006E770B" w:rsidRPr="00977582" w14:paraId="72E54E17" w14:textId="77777777" w:rsidTr="001B09E2">
        <w:trPr>
          <w:cantSplit/>
          <w:jc w:val="center"/>
        </w:trPr>
        <w:tc>
          <w:tcPr>
            <w:tcW w:w="1336" w:type="pct"/>
            <w:tcBorders>
              <w:top w:val="nil"/>
              <w:left w:val="nil"/>
              <w:bottom w:val="single" w:sz="12" w:space="0" w:color="auto"/>
              <w:right w:val="nil"/>
            </w:tcBorders>
            <w:shd w:val="clear" w:color="auto" w:fill="FFFFFF"/>
            <w:tcMar>
              <w:left w:w="96" w:type="dxa"/>
              <w:right w:w="96" w:type="dxa"/>
            </w:tcMar>
          </w:tcPr>
          <w:p w14:paraId="72E54E13" w14:textId="77777777"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No</w:t>
            </w:r>
          </w:p>
        </w:tc>
        <w:tc>
          <w:tcPr>
            <w:tcW w:w="1188" w:type="pct"/>
            <w:tcBorders>
              <w:left w:val="nil"/>
              <w:bottom w:val="single" w:sz="12" w:space="0" w:color="auto"/>
            </w:tcBorders>
            <w:shd w:val="clear" w:color="auto" w:fill="FFFFFF"/>
            <w:tcMar>
              <w:left w:w="96" w:type="dxa"/>
              <w:right w:w="96" w:type="dxa"/>
            </w:tcMar>
            <w:vAlign w:val="center"/>
          </w:tcPr>
          <w:p w14:paraId="72E54E14" w14:textId="36449A66"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39.7 (37.7</w:t>
            </w:r>
            <w:r w:rsidR="004C46F5">
              <w:rPr>
                <w:rFonts w:ascii="Book Antiqua" w:hAnsi="Book Antiqua" w:cs="Times New Roman"/>
                <w:color w:val="000000" w:themeColor="text1"/>
              </w:rPr>
              <w:t>-</w:t>
            </w:r>
            <w:r w:rsidRPr="00977582">
              <w:rPr>
                <w:rFonts w:ascii="Book Antiqua" w:hAnsi="Book Antiqua" w:cs="Times New Roman"/>
                <w:color w:val="000000" w:themeColor="text1"/>
              </w:rPr>
              <w:t>41.7)</w:t>
            </w:r>
          </w:p>
        </w:tc>
        <w:tc>
          <w:tcPr>
            <w:tcW w:w="1188" w:type="pct"/>
            <w:tcBorders>
              <w:left w:val="nil"/>
              <w:bottom w:val="single" w:sz="12" w:space="0" w:color="auto"/>
            </w:tcBorders>
            <w:shd w:val="clear" w:color="auto" w:fill="FFFFFF"/>
            <w:vAlign w:val="center"/>
          </w:tcPr>
          <w:p w14:paraId="72E54E15" w14:textId="49784190" w:rsidR="001B09E2" w:rsidRPr="00977582" w:rsidRDefault="001B09E2" w:rsidP="0041646E">
            <w:pPr>
              <w:adjustRightInd w:val="0"/>
              <w:snapToGrid w:val="0"/>
              <w:spacing w:after="0" w:line="360" w:lineRule="auto"/>
              <w:jc w:val="both"/>
              <w:rPr>
                <w:rFonts w:ascii="Book Antiqua" w:hAnsi="Book Antiqua" w:cs="Times New Roman"/>
                <w:color w:val="000000" w:themeColor="text1"/>
              </w:rPr>
            </w:pPr>
            <w:r w:rsidRPr="00977582">
              <w:rPr>
                <w:rFonts w:ascii="Book Antiqua" w:hAnsi="Book Antiqua" w:cs="Times New Roman"/>
                <w:color w:val="000000" w:themeColor="text1"/>
              </w:rPr>
              <w:t>7.0 (6.0</w:t>
            </w:r>
            <w:r w:rsidR="004C46F5">
              <w:rPr>
                <w:rFonts w:ascii="Book Antiqua" w:hAnsi="Book Antiqua" w:cs="Times New Roman"/>
                <w:color w:val="000000" w:themeColor="text1"/>
              </w:rPr>
              <w:t>-</w:t>
            </w:r>
            <w:r w:rsidRPr="00977582">
              <w:rPr>
                <w:rFonts w:ascii="Book Antiqua" w:hAnsi="Book Antiqua" w:cs="Times New Roman"/>
                <w:color w:val="000000" w:themeColor="text1"/>
              </w:rPr>
              <w:t>8.2)</w:t>
            </w:r>
          </w:p>
        </w:tc>
        <w:tc>
          <w:tcPr>
            <w:tcW w:w="1288" w:type="pct"/>
            <w:tcBorders>
              <w:left w:val="nil"/>
              <w:bottom w:val="single" w:sz="12" w:space="0" w:color="auto"/>
              <w:right w:val="nil"/>
            </w:tcBorders>
            <w:shd w:val="clear" w:color="auto" w:fill="FFFFFF"/>
            <w:vAlign w:val="center"/>
          </w:tcPr>
          <w:p w14:paraId="72E54E16" w14:textId="750A5367" w:rsidR="001B09E2" w:rsidRPr="00977582" w:rsidRDefault="00327A66" w:rsidP="0041646E">
            <w:pPr>
              <w:adjustRightInd w:val="0"/>
              <w:snapToGrid w:val="0"/>
              <w:spacing w:after="0" w:line="360" w:lineRule="auto"/>
              <w:jc w:val="both"/>
              <w:rPr>
                <w:rFonts w:ascii="Book Antiqua" w:hAnsi="Book Antiqua" w:cs="Times New Roman"/>
                <w:color w:val="000000" w:themeColor="text1"/>
              </w:rPr>
            </w:pPr>
            <w:r>
              <w:rPr>
                <w:rFonts w:ascii="Book Antiqua" w:hAnsi="Book Antiqua" w:cs="Times New Roman"/>
                <w:color w:val="000000" w:themeColor="text1"/>
              </w:rPr>
              <w:t>$51955 ($49</w:t>
            </w:r>
            <w:r w:rsidR="001B09E2" w:rsidRPr="00977582">
              <w:rPr>
                <w:rFonts w:ascii="Book Antiqua" w:hAnsi="Book Antiqua" w:cs="Times New Roman"/>
                <w:color w:val="000000" w:themeColor="text1"/>
              </w:rPr>
              <w:t>140</w:t>
            </w:r>
            <w:r w:rsidR="004C46F5">
              <w:rPr>
                <w:rFonts w:ascii="Book Antiqua" w:hAnsi="Book Antiqua" w:cs="Times New Roman"/>
                <w:color w:val="000000" w:themeColor="text1"/>
              </w:rPr>
              <w:t>-</w:t>
            </w:r>
            <w:r>
              <w:rPr>
                <w:rFonts w:ascii="Book Antiqua" w:hAnsi="Book Antiqua" w:cs="Times New Roman"/>
                <w:color w:val="000000" w:themeColor="text1"/>
              </w:rPr>
              <w:t>$54</w:t>
            </w:r>
            <w:r w:rsidR="001B09E2" w:rsidRPr="00977582">
              <w:rPr>
                <w:rFonts w:ascii="Book Antiqua" w:hAnsi="Book Antiqua" w:cs="Times New Roman"/>
                <w:color w:val="000000" w:themeColor="text1"/>
              </w:rPr>
              <w:t>770)</w:t>
            </w:r>
          </w:p>
        </w:tc>
      </w:tr>
      <w:tr w:rsidR="006E770B" w:rsidRPr="006E770B" w14:paraId="72E54E1B" w14:textId="77777777" w:rsidTr="001B09E2">
        <w:trPr>
          <w:cantSplit/>
          <w:trHeight w:val="402"/>
          <w:jc w:val="center"/>
        </w:trPr>
        <w:tc>
          <w:tcPr>
            <w:tcW w:w="5000" w:type="pct"/>
            <w:gridSpan w:val="4"/>
            <w:tcBorders>
              <w:top w:val="single" w:sz="12" w:space="0" w:color="auto"/>
              <w:left w:val="nil"/>
              <w:bottom w:val="nil"/>
              <w:right w:val="nil"/>
            </w:tcBorders>
            <w:shd w:val="clear" w:color="auto" w:fill="FFFFFF"/>
            <w:tcMar>
              <w:left w:w="96" w:type="dxa"/>
              <w:right w:w="96" w:type="dxa"/>
            </w:tcMar>
          </w:tcPr>
          <w:p w14:paraId="72E54E1A" w14:textId="64E5E2F3" w:rsidR="001B09E2" w:rsidRPr="006E770B" w:rsidRDefault="00327A66" w:rsidP="0041646E">
            <w:pPr>
              <w:adjustRightInd w:val="0"/>
              <w:snapToGrid w:val="0"/>
              <w:spacing w:after="0" w:line="360" w:lineRule="auto"/>
              <w:jc w:val="both"/>
              <w:rPr>
                <w:rFonts w:ascii="Book Antiqua" w:hAnsi="Book Antiqua" w:cs="Times New Roman"/>
                <w:color w:val="000000" w:themeColor="text1"/>
                <w:lang w:eastAsia="zh-CN"/>
              </w:rPr>
            </w:pPr>
            <w:r>
              <w:rPr>
                <w:rFonts w:ascii="Book Antiqua" w:hAnsi="Book Antiqua" w:cs="Times New Roman" w:hint="eastAsia"/>
                <w:color w:val="000000" w:themeColor="text1"/>
                <w:vertAlign w:val="superscript"/>
                <w:lang w:eastAsia="zh-CN"/>
              </w:rPr>
              <w:t>1</w:t>
            </w:r>
            <w:r w:rsidRPr="00977582">
              <w:rPr>
                <w:rFonts w:ascii="Book Antiqua" w:hAnsi="Book Antiqua" w:cs="Times New Roman"/>
                <w:color w:val="000000" w:themeColor="text1"/>
              </w:rPr>
              <w:t>Adjusted by age, gender, region, and number of chronic conditions</w:t>
            </w:r>
            <w:r>
              <w:rPr>
                <w:rFonts w:ascii="Book Antiqua" w:hAnsi="Book Antiqua" w:cs="Times New Roman" w:hint="eastAsia"/>
                <w:color w:val="000000" w:themeColor="text1"/>
                <w:lang w:eastAsia="zh-CN"/>
              </w:rPr>
              <w:t xml:space="preserve">; </w:t>
            </w:r>
            <w:r>
              <w:rPr>
                <w:rFonts w:ascii="Book Antiqua" w:hAnsi="Book Antiqua" w:cs="Times New Roman" w:hint="eastAsia"/>
                <w:color w:val="000000" w:themeColor="text1"/>
                <w:vertAlign w:val="superscript"/>
                <w:lang w:eastAsia="zh-CN"/>
              </w:rPr>
              <w:t>2</w:t>
            </w:r>
            <w:r w:rsidR="001B09E2" w:rsidRPr="00977582">
              <w:rPr>
                <w:rFonts w:ascii="Book Antiqua" w:hAnsi="Book Antiqua" w:cs="Times New Roman"/>
                <w:color w:val="000000" w:themeColor="text1"/>
              </w:rPr>
              <w:t>Claims with primary diagnosis of CS, CS-related syndrome, or carcinoid tumor progression</w:t>
            </w:r>
            <w:r>
              <w:rPr>
                <w:rFonts w:ascii="Book Antiqua" w:hAnsi="Book Antiqua" w:cs="Times New Roman" w:hint="eastAsia"/>
                <w:color w:val="000000" w:themeColor="text1"/>
                <w:lang w:eastAsia="zh-CN"/>
              </w:rPr>
              <w:t xml:space="preserve">. </w:t>
            </w:r>
            <w:r w:rsidR="001B09E2" w:rsidRPr="00977582">
              <w:rPr>
                <w:rFonts w:ascii="Book Antiqua" w:hAnsi="Book Antiqua" w:cs="Times New Roman"/>
                <w:color w:val="000000" w:themeColor="text1"/>
              </w:rPr>
              <w:t xml:space="preserve">CS: </w:t>
            </w:r>
            <w:r w:rsidR="004546D3" w:rsidRPr="00977582">
              <w:rPr>
                <w:rFonts w:ascii="Book Antiqua" w:hAnsi="Book Antiqua" w:cs="Times New Roman"/>
                <w:color w:val="000000" w:themeColor="text1"/>
              </w:rPr>
              <w:t>carcinoid syndrome</w:t>
            </w:r>
            <w:r>
              <w:rPr>
                <w:rFonts w:ascii="Book Antiqua" w:hAnsi="Book Antiqua" w:cs="Times New Roman" w:hint="eastAsia"/>
                <w:color w:val="000000" w:themeColor="text1"/>
                <w:lang w:eastAsia="zh-CN"/>
              </w:rPr>
              <w:t>.</w:t>
            </w:r>
          </w:p>
        </w:tc>
      </w:tr>
    </w:tbl>
    <w:p w14:paraId="72E54E1C" w14:textId="77777777" w:rsidR="00511239" w:rsidRPr="006E770B" w:rsidRDefault="00511239" w:rsidP="0041646E">
      <w:pPr>
        <w:adjustRightInd w:val="0"/>
        <w:snapToGrid w:val="0"/>
        <w:spacing w:after="0" w:line="360" w:lineRule="auto"/>
        <w:jc w:val="both"/>
        <w:rPr>
          <w:rFonts w:ascii="Times New Roman" w:hAnsi="Times New Roman" w:cs="Times New Roman"/>
          <w:b/>
          <w:color w:val="000000" w:themeColor="text1"/>
        </w:rPr>
      </w:pPr>
    </w:p>
    <w:sectPr w:rsidR="00511239" w:rsidRPr="006E770B" w:rsidSect="00E00A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1A84" w14:textId="77777777" w:rsidR="00AE5D67" w:rsidRDefault="00AE5D67" w:rsidP="00A701C6">
      <w:pPr>
        <w:spacing w:after="0"/>
      </w:pPr>
      <w:r>
        <w:separator/>
      </w:r>
    </w:p>
  </w:endnote>
  <w:endnote w:type="continuationSeparator" w:id="0">
    <w:p w14:paraId="397F4D11" w14:textId="77777777" w:rsidR="00AE5D67" w:rsidRDefault="00AE5D67" w:rsidP="00A701C6">
      <w:pPr>
        <w:spacing w:after="0"/>
      </w:pPr>
      <w:r>
        <w:continuationSeparator/>
      </w:r>
    </w:p>
  </w:endnote>
  <w:endnote w:type="continuationNotice" w:id="1">
    <w:p w14:paraId="4B98F981" w14:textId="77777777" w:rsidR="00AE5D67" w:rsidRDefault="00AE5D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OTNEJMQuadraat">
    <w:altName w:val="Times New Roman"/>
    <w:panose1 w:val="00000000000000000000"/>
    <w:charset w:val="A3"/>
    <w:family w:val="roman"/>
    <w:notTrueType/>
    <w:pitch w:val="default"/>
    <w:sig w:usb0="20000001" w:usb1="00000000" w:usb2="00000000" w:usb3="00000000" w:csb0="00000100" w:csb1="00000000"/>
  </w:font>
  <w:font w:name="OTNEJMQuadraatCap-SC700">
    <w:altName w:val="Times New Roman"/>
    <w:panose1 w:val="00000000000000000000"/>
    <w:charset w:val="A3"/>
    <w:family w:val="roman"/>
    <w:notTrueType/>
    <w:pitch w:val="default"/>
    <w:sig w:usb0="20000001" w:usb1="00000000" w:usb2="00000000" w:usb3="00000000" w:csb0="000001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3181729"/>
      <w:docPartObj>
        <w:docPartGallery w:val="Page Numbers (Bottom of Page)"/>
        <w:docPartUnique/>
      </w:docPartObj>
    </w:sdtPr>
    <w:sdtEndPr>
      <w:rPr>
        <w:noProof/>
      </w:rPr>
    </w:sdtEndPr>
    <w:sdtContent>
      <w:p w14:paraId="72E54E36" w14:textId="77777777" w:rsidR="00EE0A75" w:rsidRPr="00A701C6" w:rsidRDefault="00EE0A75">
        <w:pPr>
          <w:pStyle w:val="Footer"/>
          <w:jc w:val="center"/>
          <w:rPr>
            <w:rFonts w:ascii="Times New Roman" w:hAnsi="Times New Roman" w:cs="Times New Roman"/>
          </w:rPr>
        </w:pPr>
        <w:r w:rsidRPr="00A701C6">
          <w:rPr>
            <w:rFonts w:ascii="Times New Roman" w:hAnsi="Times New Roman" w:cs="Times New Roman"/>
          </w:rPr>
          <w:fldChar w:fldCharType="begin"/>
        </w:r>
        <w:r w:rsidRPr="00A701C6">
          <w:rPr>
            <w:rFonts w:ascii="Times New Roman" w:hAnsi="Times New Roman" w:cs="Times New Roman"/>
          </w:rPr>
          <w:instrText xml:space="preserve"> PAGE   \* MERGEFORMAT </w:instrText>
        </w:r>
        <w:r w:rsidRPr="00A701C6">
          <w:rPr>
            <w:rFonts w:ascii="Times New Roman" w:hAnsi="Times New Roman" w:cs="Times New Roman"/>
          </w:rPr>
          <w:fldChar w:fldCharType="separate"/>
        </w:r>
        <w:r w:rsidR="00E10027">
          <w:rPr>
            <w:rFonts w:ascii="Times New Roman" w:hAnsi="Times New Roman" w:cs="Times New Roman"/>
            <w:noProof/>
          </w:rPr>
          <w:t>1</w:t>
        </w:r>
        <w:r w:rsidRPr="00A701C6">
          <w:rPr>
            <w:rFonts w:ascii="Times New Roman" w:hAnsi="Times New Roman" w:cs="Times New Roman"/>
            <w:noProof/>
          </w:rPr>
          <w:fldChar w:fldCharType="end"/>
        </w:r>
      </w:p>
    </w:sdtContent>
  </w:sdt>
  <w:p w14:paraId="72E54E37" w14:textId="77777777" w:rsidR="00EE0A75" w:rsidRPr="00A701C6" w:rsidRDefault="00EE0A7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66E0" w14:textId="77777777" w:rsidR="00AE5D67" w:rsidRDefault="00AE5D67" w:rsidP="00A701C6">
      <w:pPr>
        <w:spacing w:after="0"/>
      </w:pPr>
      <w:r>
        <w:separator/>
      </w:r>
    </w:p>
  </w:footnote>
  <w:footnote w:type="continuationSeparator" w:id="0">
    <w:p w14:paraId="17A60EF2" w14:textId="77777777" w:rsidR="00AE5D67" w:rsidRDefault="00AE5D67" w:rsidP="00A701C6">
      <w:pPr>
        <w:spacing w:after="0"/>
      </w:pPr>
      <w:r>
        <w:continuationSeparator/>
      </w:r>
    </w:p>
  </w:footnote>
  <w:footnote w:type="continuationNotice" w:id="1">
    <w:p w14:paraId="5CF01F5E" w14:textId="77777777" w:rsidR="00AE5D67" w:rsidRDefault="00AE5D6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4D86"/>
    <w:multiLevelType w:val="hybridMultilevel"/>
    <w:tmpl w:val="8C229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2BF4"/>
    <w:multiLevelType w:val="hybridMultilevel"/>
    <w:tmpl w:val="B6A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E792F"/>
    <w:multiLevelType w:val="hybridMultilevel"/>
    <w:tmpl w:val="CA1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96A8E"/>
    <w:multiLevelType w:val="hybridMultilevel"/>
    <w:tmpl w:val="172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E5F90"/>
    <w:multiLevelType w:val="hybridMultilevel"/>
    <w:tmpl w:val="5268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22211"/>
    <w:multiLevelType w:val="hybridMultilevel"/>
    <w:tmpl w:val="4078C7D2"/>
    <w:lvl w:ilvl="0" w:tplc="CA269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B29CF"/>
    <w:multiLevelType w:val="hybridMultilevel"/>
    <w:tmpl w:val="252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56D"/>
    <w:multiLevelType w:val="hybridMultilevel"/>
    <w:tmpl w:val="378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74"/>
    <w:rsid w:val="00002BD8"/>
    <w:rsid w:val="00003160"/>
    <w:rsid w:val="0001048C"/>
    <w:rsid w:val="000104B9"/>
    <w:rsid w:val="00022494"/>
    <w:rsid w:val="000237FC"/>
    <w:rsid w:val="00032390"/>
    <w:rsid w:val="00032AC7"/>
    <w:rsid w:val="0003483F"/>
    <w:rsid w:val="0005253D"/>
    <w:rsid w:val="0005256F"/>
    <w:rsid w:val="0005394D"/>
    <w:rsid w:val="00056D1E"/>
    <w:rsid w:val="00060EE3"/>
    <w:rsid w:val="00061E5A"/>
    <w:rsid w:val="00065109"/>
    <w:rsid w:val="00065F26"/>
    <w:rsid w:val="00066951"/>
    <w:rsid w:val="00066A18"/>
    <w:rsid w:val="00067800"/>
    <w:rsid w:val="000728E6"/>
    <w:rsid w:val="000736C2"/>
    <w:rsid w:val="0007516F"/>
    <w:rsid w:val="00075187"/>
    <w:rsid w:val="0007625B"/>
    <w:rsid w:val="00086C4A"/>
    <w:rsid w:val="00097986"/>
    <w:rsid w:val="00097BE8"/>
    <w:rsid w:val="000A5D53"/>
    <w:rsid w:val="000A6E9B"/>
    <w:rsid w:val="000B21FF"/>
    <w:rsid w:val="000C49F4"/>
    <w:rsid w:val="000D0777"/>
    <w:rsid w:val="000D6A75"/>
    <w:rsid w:val="000D70E6"/>
    <w:rsid w:val="000E0DB9"/>
    <w:rsid w:val="000E3DFB"/>
    <w:rsid w:val="000E4D4C"/>
    <w:rsid w:val="000F3103"/>
    <w:rsid w:val="000F5200"/>
    <w:rsid w:val="000F7F4A"/>
    <w:rsid w:val="00101155"/>
    <w:rsid w:val="001026BE"/>
    <w:rsid w:val="0010328F"/>
    <w:rsid w:val="00107FD7"/>
    <w:rsid w:val="00113C18"/>
    <w:rsid w:val="001142B1"/>
    <w:rsid w:val="00115B38"/>
    <w:rsid w:val="00127469"/>
    <w:rsid w:val="0013023F"/>
    <w:rsid w:val="00130330"/>
    <w:rsid w:val="00130C54"/>
    <w:rsid w:val="0013227E"/>
    <w:rsid w:val="0013489C"/>
    <w:rsid w:val="001369BA"/>
    <w:rsid w:val="001379C6"/>
    <w:rsid w:val="00141B0A"/>
    <w:rsid w:val="00143BD7"/>
    <w:rsid w:val="001543C5"/>
    <w:rsid w:val="00155655"/>
    <w:rsid w:val="001601E6"/>
    <w:rsid w:val="0016190C"/>
    <w:rsid w:val="00163394"/>
    <w:rsid w:val="00170E16"/>
    <w:rsid w:val="0017677F"/>
    <w:rsid w:val="0017781E"/>
    <w:rsid w:val="00192062"/>
    <w:rsid w:val="001957D3"/>
    <w:rsid w:val="001A3F2C"/>
    <w:rsid w:val="001A7F3B"/>
    <w:rsid w:val="001B09E2"/>
    <w:rsid w:val="001B174B"/>
    <w:rsid w:val="001B30DA"/>
    <w:rsid w:val="001C1CDA"/>
    <w:rsid w:val="001C4925"/>
    <w:rsid w:val="001C6D97"/>
    <w:rsid w:val="001D42B3"/>
    <w:rsid w:val="001D5B02"/>
    <w:rsid w:val="001D684E"/>
    <w:rsid w:val="001E00AF"/>
    <w:rsid w:val="001E148D"/>
    <w:rsid w:val="001E1F3C"/>
    <w:rsid w:val="001E33E8"/>
    <w:rsid w:val="001F43E2"/>
    <w:rsid w:val="001F4806"/>
    <w:rsid w:val="00204786"/>
    <w:rsid w:val="0022589A"/>
    <w:rsid w:val="00226D64"/>
    <w:rsid w:val="00230F57"/>
    <w:rsid w:val="00232474"/>
    <w:rsid w:val="00235942"/>
    <w:rsid w:val="00240447"/>
    <w:rsid w:val="00242527"/>
    <w:rsid w:val="0024620D"/>
    <w:rsid w:val="00252973"/>
    <w:rsid w:val="0026239A"/>
    <w:rsid w:val="00264348"/>
    <w:rsid w:val="002660AF"/>
    <w:rsid w:val="00274019"/>
    <w:rsid w:val="00274059"/>
    <w:rsid w:val="00275904"/>
    <w:rsid w:val="00287AF5"/>
    <w:rsid w:val="00290AAC"/>
    <w:rsid w:val="00291223"/>
    <w:rsid w:val="00294B0E"/>
    <w:rsid w:val="002A477C"/>
    <w:rsid w:val="002A59F6"/>
    <w:rsid w:val="002B273D"/>
    <w:rsid w:val="002B3396"/>
    <w:rsid w:val="002B4B9F"/>
    <w:rsid w:val="002C1851"/>
    <w:rsid w:val="002C63EF"/>
    <w:rsid w:val="002C741B"/>
    <w:rsid w:val="002C7A79"/>
    <w:rsid w:val="002D65F5"/>
    <w:rsid w:val="002E32C4"/>
    <w:rsid w:val="002E6560"/>
    <w:rsid w:val="002F1EDF"/>
    <w:rsid w:val="00302E6D"/>
    <w:rsid w:val="00313038"/>
    <w:rsid w:val="0031583A"/>
    <w:rsid w:val="00317142"/>
    <w:rsid w:val="00317820"/>
    <w:rsid w:val="00323C1E"/>
    <w:rsid w:val="00324704"/>
    <w:rsid w:val="00325E24"/>
    <w:rsid w:val="00327A66"/>
    <w:rsid w:val="00336F8A"/>
    <w:rsid w:val="003400AA"/>
    <w:rsid w:val="0034338B"/>
    <w:rsid w:val="003463B3"/>
    <w:rsid w:val="00347C83"/>
    <w:rsid w:val="003507A2"/>
    <w:rsid w:val="00352317"/>
    <w:rsid w:val="00355A38"/>
    <w:rsid w:val="00362BCE"/>
    <w:rsid w:val="0036346B"/>
    <w:rsid w:val="003729DA"/>
    <w:rsid w:val="00374153"/>
    <w:rsid w:val="003754D6"/>
    <w:rsid w:val="00382B3E"/>
    <w:rsid w:val="0038428C"/>
    <w:rsid w:val="00385A7F"/>
    <w:rsid w:val="00390374"/>
    <w:rsid w:val="00391999"/>
    <w:rsid w:val="00391F4D"/>
    <w:rsid w:val="00396DDB"/>
    <w:rsid w:val="003A1C23"/>
    <w:rsid w:val="003A4223"/>
    <w:rsid w:val="003A42BE"/>
    <w:rsid w:val="003A5B61"/>
    <w:rsid w:val="003A691C"/>
    <w:rsid w:val="003B43EA"/>
    <w:rsid w:val="003B5A7D"/>
    <w:rsid w:val="003B717B"/>
    <w:rsid w:val="003C0CCE"/>
    <w:rsid w:val="003C15F9"/>
    <w:rsid w:val="003C3DE0"/>
    <w:rsid w:val="003D0B3E"/>
    <w:rsid w:val="003D7BD8"/>
    <w:rsid w:val="003E0016"/>
    <w:rsid w:val="003E3EC4"/>
    <w:rsid w:val="003E6447"/>
    <w:rsid w:val="003E72FA"/>
    <w:rsid w:val="003F0F8F"/>
    <w:rsid w:val="003F2F5F"/>
    <w:rsid w:val="00413FDC"/>
    <w:rsid w:val="0041646E"/>
    <w:rsid w:val="00420580"/>
    <w:rsid w:val="00425368"/>
    <w:rsid w:val="0043013F"/>
    <w:rsid w:val="004335FD"/>
    <w:rsid w:val="00433BFE"/>
    <w:rsid w:val="00440996"/>
    <w:rsid w:val="00440AB3"/>
    <w:rsid w:val="00446716"/>
    <w:rsid w:val="00447CC8"/>
    <w:rsid w:val="00451C64"/>
    <w:rsid w:val="004546D3"/>
    <w:rsid w:val="00456173"/>
    <w:rsid w:val="00460E66"/>
    <w:rsid w:val="00462C6F"/>
    <w:rsid w:val="00466E44"/>
    <w:rsid w:val="00470246"/>
    <w:rsid w:val="00472328"/>
    <w:rsid w:val="004733EE"/>
    <w:rsid w:val="00480450"/>
    <w:rsid w:val="00483970"/>
    <w:rsid w:val="00493542"/>
    <w:rsid w:val="00495FFC"/>
    <w:rsid w:val="004B26CF"/>
    <w:rsid w:val="004B3044"/>
    <w:rsid w:val="004C2E36"/>
    <w:rsid w:val="004C46F5"/>
    <w:rsid w:val="004C58A6"/>
    <w:rsid w:val="004C67BC"/>
    <w:rsid w:val="004C69E0"/>
    <w:rsid w:val="004D1A68"/>
    <w:rsid w:val="004D3340"/>
    <w:rsid w:val="004E1041"/>
    <w:rsid w:val="004E393E"/>
    <w:rsid w:val="004E666E"/>
    <w:rsid w:val="004E7E25"/>
    <w:rsid w:val="004F5F4B"/>
    <w:rsid w:val="00503A55"/>
    <w:rsid w:val="00503D74"/>
    <w:rsid w:val="00511239"/>
    <w:rsid w:val="005167D6"/>
    <w:rsid w:val="00524B32"/>
    <w:rsid w:val="005275B1"/>
    <w:rsid w:val="00535D0F"/>
    <w:rsid w:val="005401C4"/>
    <w:rsid w:val="005405E5"/>
    <w:rsid w:val="00543A54"/>
    <w:rsid w:val="005506EF"/>
    <w:rsid w:val="00555119"/>
    <w:rsid w:val="00555CFB"/>
    <w:rsid w:val="00556F9E"/>
    <w:rsid w:val="0055717F"/>
    <w:rsid w:val="00561DEF"/>
    <w:rsid w:val="0057121B"/>
    <w:rsid w:val="005828B2"/>
    <w:rsid w:val="00584E75"/>
    <w:rsid w:val="0058759A"/>
    <w:rsid w:val="005A1569"/>
    <w:rsid w:val="005A4349"/>
    <w:rsid w:val="005A634D"/>
    <w:rsid w:val="005B01D5"/>
    <w:rsid w:val="005B1623"/>
    <w:rsid w:val="005B3AFE"/>
    <w:rsid w:val="005C1163"/>
    <w:rsid w:val="005C45C9"/>
    <w:rsid w:val="005C5A31"/>
    <w:rsid w:val="005C5BC5"/>
    <w:rsid w:val="005C629D"/>
    <w:rsid w:val="005C66A5"/>
    <w:rsid w:val="005C6797"/>
    <w:rsid w:val="005C7CB3"/>
    <w:rsid w:val="005D1CB2"/>
    <w:rsid w:val="005D5A88"/>
    <w:rsid w:val="005E2B6C"/>
    <w:rsid w:val="005E75CF"/>
    <w:rsid w:val="005F6391"/>
    <w:rsid w:val="006114D7"/>
    <w:rsid w:val="00616126"/>
    <w:rsid w:val="00620764"/>
    <w:rsid w:val="006247D1"/>
    <w:rsid w:val="00624B34"/>
    <w:rsid w:val="00626378"/>
    <w:rsid w:val="00626634"/>
    <w:rsid w:val="006270A2"/>
    <w:rsid w:val="00632442"/>
    <w:rsid w:val="006379BE"/>
    <w:rsid w:val="006407C6"/>
    <w:rsid w:val="0064106B"/>
    <w:rsid w:val="00641EBF"/>
    <w:rsid w:val="00642397"/>
    <w:rsid w:val="006435DF"/>
    <w:rsid w:val="0064500A"/>
    <w:rsid w:val="006474E6"/>
    <w:rsid w:val="00652577"/>
    <w:rsid w:val="00652726"/>
    <w:rsid w:val="006543A7"/>
    <w:rsid w:val="006615D5"/>
    <w:rsid w:val="006621DE"/>
    <w:rsid w:val="00663587"/>
    <w:rsid w:val="006730E8"/>
    <w:rsid w:val="00673D5F"/>
    <w:rsid w:val="00676A3C"/>
    <w:rsid w:val="00677A8E"/>
    <w:rsid w:val="00681BB5"/>
    <w:rsid w:val="0068297A"/>
    <w:rsid w:val="00684FE4"/>
    <w:rsid w:val="00685BFB"/>
    <w:rsid w:val="00693456"/>
    <w:rsid w:val="00694041"/>
    <w:rsid w:val="0069560B"/>
    <w:rsid w:val="006A0C3F"/>
    <w:rsid w:val="006A0F6E"/>
    <w:rsid w:val="006A109A"/>
    <w:rsid w:val="006B1390"/>
    <w:rsid w:val="006B2144"/>
    <w:rsid w:val="006B531A"/>
    <w:rsid w:val="006B5A9A"/>
    <w:rsid w:val="006B7F6B"/>
    <w:rsid w:val="006C04AF"/>
    <w:rsid w:val="006C4278"/>
    <w:rsid w:val="006D1DF6"/>
    <w:rsid w:val="006D29C2"/>
    <w:rsid w:val="006D3579"/>
    <w:rsid w:val="006D6B1F"/>
    <w:rsid w:val="006D7A7D"/>
    <w:rsid w:val="006E2C45"/>
    <w:rsid w:val="006E770B"/>
    <w:rsid w:val="006F0B47"/>
    <w:rsid w:val="006F0BCE"/>
    <w:rsid w:val="006F6544"/>
    <w:rsid w:val="006F7CB8"/>
    <w:rsid w:val="00700661"/>
    <w:rsid w:val="00700715"/>
    <w:rsid w:val="00700C3A"/>
    <w:rsid w:val="00701FFD"/>
    <w:rsid w:val="00703E72"/>
    <w:rsid w:val="00717A53"/>
    <w:rsid w:val="00721881"/>
    <w:rsid w:val="00723C77"/>
    <w:rsid w:val="00723D03"/>
    <w:rsid w:val="00730837"/>
    <w:rsid w:val="0073372A"/>
    <w:rsid w:val="00746414"/>
    <w:rsid w:val="00746D2B"/>
    <w:rsid w:val="0074776B"/>
    <w:rsid w:val="00747FE5"/>
    <w:rsid w:val="00756D7C"/>
    <w:rsid w:val="007623EE"/>
    <w:rsid w:val="00764C79"/>
    <w:rsid w:val="00767673"/>
    <w:rsid w:val="0076795C"/>
    <w:rsid w:val="00772F58"/>
    <w:rsid w:val="007765EE"/>
    <w:rsid w:val="00777919"/>
    <w:rsid w:val="00785D36"/>
    <w:rsid w:val="00793971"/>
    <w:rsid w:val="00794E4A"/>
    <w:rsid w:val="007A0251"/>
    <w:rsid w:val="007A04EB"/>
    <w:rsid w:val="007A1C0A"/>
    <w:rsid w:val="007A6208"/>
    <w:rsid w:val="007A7FDB"/>
    <w:rsid w:val="007C1A20"/>
    <w:rsid w:val="007C1C87"/>
    <w:rsid w:val="007C3BC0"/>
    <w:rsid w:val="007C4429"/>
    <w:rsid w:val="007E7B31"/>
    <w:rsid w:val="007F5949"/>
    <w:rsid w:val="007F6322"/>
    <w:rsid w:val="007F7831"/>
    <w:rsid w:val="00806608"/>
    <w:rsid w:val="00807E82"/>
    <w:rsid w:val="00812477"/>
    <w:rsid w:val="008157ED"/>
    <w:rsid w:val="00820F77"/>
    <w:rsid w:val="00827E74"/>
    <w:rsid w:val="008305BC"/>
    <w:rsid w:val="00831809"/>
    <w:rsid w:val="00846CD7"/>
    <w:rsid w:val="00852A2E"/>
    <w:rsid w:val="00853BA2"/>
    <w:rsid w:val="00862547"/>
    <w:rsid w:val="008638C7"/>
    <w:rsid w:val="00866D98"/>
    <w:rsid w:val="0087134C"/>
    <w:rsid w:val="008715E2"/>
    <w:rsid w:val="00876053"/>
    <w:rsid w:val="008770B5"/>
    <w:rsid w:val="00880304"/>
    <w:rsid w:val="008844D8"/>
    <w:rsid w:val="00893CFB"/>
    <w:rsid w:val="008A2F4D"/>
    <w:rsid w:val="008B2008"/>
    <w:rsid w:val="008B364D"/>
    <w:rsid w:val="008C0AA2"/>
    <w:rsid w:val="008C61A9"/>
    <w:rsid w:val="008C6B41"/>
    <w:rsid w:val="008C71EC"/>
    <w:rsid w:val="008D1FFF"/>
    <w:rsid w:val="008D2F3C"/>
    <w:rsid w:val="008D43E2"/>
    <w:rsid w:val="008E0158"/>
    <w:rsid w:val="008E3472"/>
    <w:rsid w:val="008E37C4"/>
    <w:rsid w:val="008E6796"/>
    <w:rsid w:val="008E7D98"/>
    <w:rsid w:val="008F2FE4"/>
    <w:rsid w:val="00901351"/>
    <w:rsid w:val="00901628"/>
    <w:rsid w:val="00901A58"/>
    <w:rsid w:val="00901D67"/>
    <w:rsid w:val="00902335"/>
    <w:rsid w:val="00905B83"/>
    <w:rsid w:val="00913032"/>
    <w:rsid w:val="00914C37"/>
    <w:rsid w:val="00917C3B"/>
    <w:rsid w:val="009265E9"/>
    <w:rsid w:val="00933AF0"/>
    <w:rsid w:val="00935A78"/>
    <w:rsid w:val="009371E7"/>
    <w:rsid w:val="0094287C"/>
    <w:rsid w:val="00945FF6"/>
    <w:rsid w:val="00946950"/>
    <w:rsid w:val="009503AC"/>
    <w:rsid w:val="00954485"/>
    <w:rsid w:val="009550CE"/>
    <w:rsid w:val="009568C9"/>
    <w:rsid w:val="00972811"/>
    <w:rsid w:val="00977582"/>
    <w:rsid w:val="009828BC"/>
    <w:rsid w:val="00983178"/>
    <w:rsid w:val="00983472"/>
    <w:rsid w:val="00992B11"/>
    <w:rsid w:val="009A0313"/>
    <w:rsid w:val="009A0386"/>
    <w:rsid w:val="009A1D87"/>
    <w:rsid w:val="009A5727"/>
    <w:rsid w:val="009B2135"/>
    <w:rsid w:val="009B4069"/>
    <w:rsid w:val="009B57ED"/>
    <w:rsid w:val="009C30FE"/>
    <w:rsid w:val="009C6DF1"/>
    <w:rsid w:val="009D31A1"/>
    <w:rsid w:val="009D4993"/>
    <w:rsid w:val="009D7D7C"/>
    <w:rsid w:val="009E0BB3"/>
    <w:rsid w:val="009F5F4E"/>
    <w:rsid w:val="00A031B6"/>
    <w:rsid w:val="00A04B1A"/>
    <w:rsid w:val="00A2066C"/>
    <w:rsid w:val="00A231A3"/>
    <w:rsid w:val="00A24AE6"/>
    <w:rsid w:val="00A252DF"/>
    <w:rsid w:val="00A27E44"/>
    <w:rsid w:val="00A446AE"/>
    <w:rsid w:val="00A44730"/>
    <w:rsid w:val="00A50D4E"/>
    <w:rsid w:val="00A54002"/>
    <w:rsid w:val="00A5472D"/>
    <w:rsid w:val="00A576A3"/>
    <w:rsid w:val="00A63196"/>
    <w:rsid w:val="00A65A81"/>
    <w:rsid w:val="00A67347"/>
    <w:rsid w:val="00A701C6"/>
    <w:rsid w:val="00A70B79"/>
    <w:rsid w:val="00A75298"/>
    <w:rsid w:val="00A75F80"/>
    <w:rsid w:val="00A76E8A"/>
    <w:rsid w:val="00A80578"/>
    <w:rsid w:val="00A80B11"/>
    <w:rsid w:val="00A80C5D"/>
    <w:rsid w:val="00A8592C"/>
    <w:rsid w:val="00A86DB9"/>
    <w:rsid w:val="00A96AFD"/>
    <w:rsid w:val="00A976FD"/>
    <w:rsid w:val="00AA0579"/>
    <w:rsid w:val="00AA28FF"/>
    <w:rsid w:val="00AA5691"/>
    <w:rsid w:val="00AA6ECC"/>
    <w:rsid w:val="00AA7EC9"/>
    <w:rsid w:val="00AB15BA"/>
    <w:rsid w:val="00AC1489"/>
    <w:rsid w:val="00AC3453"/>
    <w:rsid w:val="00AC556A"/>
    <w:rsid w:val="00AC7085"/>
    <w:rsid w:val="00AC7C16"/>
    <w:rsid w:val="00AD71A3"/>
    <w:rsid w:val="00AE3500"/>
    <w:rsid w:val="00AE5D67"/>
    <w:rsid w:val="00AE79DA"/>
    <w:rsid w:val="00AF0BD1"/>
    <w:rsid w:val="00AF201A"/>
    <w:rsid w:val="00AF2B3A"/>
    <w:rsid w:val="00AF729B"/>
    <w:rsid w:val="00AF77B9"/>
    <w:rsid w:val="00B11077"/>
    <w:rsid w:val="00B23723"/>
    <w:rsid w:val="00B25652"/>
    <w:rsid w:val="00B25E1C"/>
    <w:rsid w:val="00B26ADA"/>
    <w:rsid w:val="00B3186F"/>
    <w:rsid w:val="00B327F2"/>
    <w:rsid w:val="00B33D26"/>
    <w:rsid w:val="00B365D7"/>
    <w:rsid w:val="00B47EF9"/>
    <w:rsid w:val="00B50F67"/>
    <w:rsid w:val="00B638DC"/>
    <w:rsid w:val="00B73FC7"/>
    <w:rsid w:val="00B75242"/>
    <w:rsid w:val="00B77B52"/>
    <w:rsid w:val="00B8652A"/>
    <w:rsid w:val="00B87431"/>
    <w:rsid w:val="00B971E4"/>
    <w:rsid w:val="00BA140C"/>
    <w:rsid w:val="00BA1784"/>
    <w:rsid w:val="00BA29C3"/>
    <w:rsid w:val="00BA309C"/>
    <w:rsid w:val="00BB03F6"/>
    <w:rsid w:val="00BB6062"/>
    <w:rsid w:val="00BB70F7"/>
    <w:rsid w:val="00BB7A20"/>
    <w:rsid w:val="00BC2ABE"/>
    <w:rsid w:val="00BC2CEE"/>
    <w:rsid w:val="00BD05A6"/>
    <w:rsid w:val="00BD1A40"/>
    <w:rsid w:val="00BD3148"/>
    <w:rsid w:val="00BD380F"/>
    <w:rsid w:val="00BD7A35"/>
    <w:rsid w:val="00BE0E12"/>
    <w:rsid w:val="00BE1231"/>
    <w:rsid w:val="00BE300E"/>
    <w:rsid w:val="00BE7EA2"/>
    <w:rsid w:val="00BF0A63"/>
    <w:rsid w:val="00BF1CF4"/>
    <w:rsid w:val="00BF4148"/>
    <w:rsid w:val="00BF4EF6"/>
    <w:rsid w:val="00BF5D45"/>
    <w:rsid w:val="00C00384"/>
    <w:rsid w:val="00C0082B"/>
    <w:rsid w:val="00C0420A"/>
    <w:rsid w:val="00C05B98"/>
    <w:rsid w:val="00C07DC7"/>
    <w:rsid w:val="00C201CE"/>
    <w:rsid w:val="00C2071F"/>
    <w:rsid w:val="00C33199"/>
    <w:rsid w:val="00C34B4C"/>
    <w:rsid w:val="00C37A7D"/>
    <w:rsid w:val="00C43C5E"/>
    <w:rsid w:val="00C53966"/>
    <w:rsid w:val="00C60863"/>
    <w:rsid w:val="00C64437"/>
    <w:rsid w:val="00C66F66"/>
    <w:rsid w:val="00C77AB4"/>
    <w:rsid w:val="00C9134F"/>
    <w:rsid w:val="00C928D5"/>
    <w:rsid w:val="00C94451"/>
    <w:rsid w:val="00CA6D51"/>
    <w:rsid w:val="00CC0B0B"/>
    <w:rsid w:val="00CC3197"/>
    <w:rsid w:val="00CC36C8"/>
    <w:rsid w:val="00CC5053"/>
    <w:rsid w:val="00CC5CD2"/>
    <w:rsid w:val="00CD696B"/>
    <w:rsid w:val="00CD7499"/>
    <w:rsid w:val="00CD7DD6"/>
    <w:rsid w:val="00CE3F0B"/>
    <w:rsid w:val="00CE7495"/>
    <w:rsid w:val="00CE7EFC"/>
    <w:rsid w:val="00CF015E"/>
    <w:rsid w:val="00CF4856"/>
    <w:rsid w:val="00CF64BD"/>
    <w:rsid w:val="00CF6FA9"/>
    <w:rsid w:val="00CF792A"/>
    <w:rsid w:val="00D0359C"/>
    <w:rsid w:val="00D10180"/>
    <w:rsid w:val="00D1240A"/>
    <w:rsid w:val="00D13440"/>
    <w:rsid w:val="00D157B1"/>
    <w:rsid w:val="00D20565"/>
    <w:rsid w:val="00D247CF"/>
    <w:rsid w:val="00D36C47"/>
    <w:rsid w:val="00D444C9"/>
    <w:rsid w:val="00D455CF"/>
    <w:rsid w:val="00D50D8F"/>
    <w:rsid w:val="00D5513E"/>
    <w:rsid w:val="00D56B64"/>
    <w:rsid w:val="00D57E16"/>
    <w:rsid w:val="00D57F37"/>
    <w:rsid w:val="00D641F8"/>
    <w:rsid w:val="00D7167B"/>
    <w:rsid w:val="00D75286"/>
    <w:rsid w:val="00D8075E"/>
    <w:rsid w:val="00D81630"/>
    <w:rsid w:val="00D83220"/>
    <w:rsid w:val="00D847D4"/>
    <w:rsid w:val="00D86D01"/>
    <w:rsid w:val="00D8734C"/>
    <w:rsid w:val="00D87E4B"/>
    <w:rsid w:val="00D90554"/>
    <w:rsid w:val="00D97064"/>
    <w:rsid w:val="00DA12E2"/>
    <w:rsid w:val="00DA5181"/>
    <w:rsid w:val="00DA6E9B"/>
    <w:rsid w:val="00DB0DB1"/>
    <w:rsid w:val="00DB3E90"/>
    <w:rsid w:val="00DB607B"/>
    <w:rsid w:val="00DC3549"/>
    <w:rsid w:val="00DD19A0"/>
    <w:rsid w:val="00DD1E0B"/>
    <w:rsid w:val="00DD4193"/>
    <w:rsid w:val="00DD447A"/>
    <w:rsid w:val="00DD462B"/>
    <w:rsid w:val="00DD4D46"/>
    <w:rsid w:val="00DD5422"/>
    <w:rsid w:val="00DE3289"/>
    <w:rsid w:val="00DE54E6"/>
    <w:rsid w:val="00DF1AE3"/>
    <w:rsid w:val="00DF3ECA"/>
    <w:rsid w:val="00DF4A12"/>
    <w:rsid w:val="00DF7C5A"/>
    <w:rsid w:val="00E00AF4"/>
    <w:rsid w:val="00E02FCD"/>
    <w:rsid w:val="00E050E0"/>
    <w:rsid w:val="00E05D56"/>
    <w:rsid w:val="00E07C86"/>
    <w:rsid w:val="00E10027"/>
    <w:rsid w:val="00E111BA"/>
    <w:rsid w:val="00E13704"/>
    <w:rsid w:val="00E16B93"/>
    <w:rsid w:val="00E20DB9"/>
    <w:rsid w:val="00E326DD"/>
    <w:rsid w:val="00E32ED4"/>
    <w:rsid w:val="00E35C54"/>
    <w:rsid w:val="00E35CA7"/>
    <w:rsid w:val="00E46D5A"/>
    <w:rsid w:val="00E50653"/>
    <w:rsid w:val="00E60048"/>
    <w:rsid w:val="00E623CF"/>
    <w:rsid w:val="00E6504C"/>
    <w:rsid w:val="00E6539E"/>
    <w:rsid w:val="00E65DEB"/>
    <w:rsid w:val="00E6741D"/>
    <w:rsid w:val="00E721F1"/>
    <w:rsid w:val="00E80291"/>
    <w:rsid w:val="00E80499"/>
    <w:rsid w:val="00E80720"/>
    <w:rsid w:val="00E831B9"/>
    <w:rsid w:val="00E9173F"/>
    <w:rsid w:val="00E938B8"/>
    <w:rsid w:val="00E94624"/>
    <w:rsid w:val="00EA0205"/>
    <w:rsid w:val="00EA58FC"/>
    <w:rsid w:val="00EA7496"/>
    <w:rsid w:val="00EA7E59"/>
    <w:rsid w:val="00EB1CD6"/>
    <w:rsid w:val="00EB3B29"/>
    <w:rsid w:val="00EB6F17"/>
    <w:rsid w:val="00EC1CF5"/>
    <w:rsid w:val="00EC4742"/>
    <w:rsid w:val="00EC7821"/>
    <w:rsid w:val="00ED0474"/>
    <w:rsid w:val="00ED159C"/>
    <w:rsid w:val="00ED7B55"/>
    <w:rsid w:val="00EE0380"/>
    <w:rsid w:val="00EE0A75"/>
    <w:rsid w:val="00EF5FE1"/>
    <w:rsid w:val="00EF64B7"/>
    <w:rsid w:val="00F01996"/>
    <w:rsid w:val="00F062B3"/>
    <w:rsid w:val="00F06C10"/>
    <w:rsid w:val="00F07283"/>
    <w:rsid w:val="00F0759B"/>
    <w:rsid w:val="00F225AA"/>
    <w:rsid w:val="00F24230"/>
    <w:rsid w:val="00F25512"/>
    <w:rsid w:val="00F40EFF"/>
    <w:rsid w:val="00F41BE8"/>
    <w:rsid w:val="00F4369A"/>
    <w:rsid w:val="00F43702"/>
    <w:rsid w:val="00F47AD2"/>
    <w:rsid w:val="00F501AF"/>
    <w:rsid w:val="00F51218"/>
    <w:rsid w:val="00F520B6"/>
    <w:rsid w:val="00F52F19"/>
    <w:rsid w:val="00F55F4B"/>
    <w:rsid w:val="00F57BF6"/>
    <w:rsid w:val="00F63502"/>
    <w:rsid w:val="00F661B0"/>
    <w:rsid w:val="00F72676"/>
    <w:rsid w:val="00F81559"/>
    <w:rsid w:val="00F84F0E"/>
    <w:rsid w:val="00F91A28"/>
    <w:rsid w:val="00F96388"/>
    <w:rsid w:val="00FA1E6F"/>
    <w:rsid w:val="00FA33BD"/>
    <w:rsid w:val="00FA46AB"/>
    <w:rsid w:val="00FC620E"/>
    <w:rsid w:val="00FC7AD8"/>
    <w:rsid w:val="00FD11DC"/>
    <w:rsid w:val="00FD2155"/>
    <w:rsid w:val="00FD4E56"/>
    <w:rsid w:val="00FD5206"/>
    <w:rsid w:val="00FD7235"/>
    <w:rsid w:val="00FD7296"/>
    <w:rsid w:val="00FE2A8C"/>
    <w:rsid w:val="00FE30D3"/>
    <w:rsid w:val="00FE4A8B"/>
    <w:rsid w:val="00FE6D70"/>
    <w:rsid w:val="00FF1037"/>
    <w:rsid w:val="00FF203A"/>
    <w:rsid w:val="00FF2B5F"/>
    <w:rsid w:val="00FF381C"/>
    <w:rsid w:val="00FF3E2D"/>
    <w:rsid w:val="00FF4430"/>
    <w:rsid w:val="00FF5EA7"/>
    <w:rsid w:val="00FF7D35"/>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54C25"/>
  <w15:docId w15:val="{ADEC994D-3BBF-4002-B035-843B2F1E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27E74"/>
    <w:pPr>
      <w:spacing w:after="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27E74"/>
    <w:rPr>
      <w:rFonts w:ascii="Cambria" w:eastAsia="Cambria" w:hAnsi="Cambria" w:cs="Times New Roman"/>
      <w:sz w:val="20"/>
      <w:szCs w:val="20"/>
    </w:rPr>
  </w:style>
  <w:style w:type="character" w:customStyle="1" w:styleId="apple-style-span">
    <w:name w:val="apple-style-span"/>
    <w:basedOn w:val="DefaultParagraphFont"/>
    <w:rsid w:val="00827E74"/>
  </w:style>
  <w:style w:type="character" w:styleId="CommentReference">
    <w:name w:val="annotation reference"/>
    <w:basedOn w:val="DefaultParagraphFont"/>
    <w:uiPriority w:val="99"/>
    <w:unhideWhenUsed/>
    <w:rsid w:val="00A54002"/>
    <w:rPr>
      <w:sz w:val="18"/>
      <w:szCs w:val="18"/>
    </w:rPr>
  </w:style>
  <w:style w:type="paragraph" w:styleId="CommentSubject">
    <w:name w:val="annotation subject"/>
    <w:basedOn w:val="CommentText"/>
    <w:next w:val="CommentText"/>
    <w:link w:val="CommentSubjectChar"/>
    <w:uiPriority w:val="99"/>
    <w:semiHidden/>
    <w:unhideWhenUsed/>
    <w:rsid w:val="00A5400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002"/>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5400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4002"/>
    <w:rPr>
      <w:rFonts w:ascii="Lucida Grande" w:hAnsi="Lucida Grande"/>
      <w:sz w:val="18"/>
      <w:szCs w:val="18"/>
    </w:rPr>
  </w:style>
  <w:style w:type="paragraph" w:styleId="Header">
    <w:name w:val="header"/>
    <w:basedOn w:val="Normal"/>
    <w:link w:val="HeaderChar"/>
    <w:uiPriority w:val="99"/>
    <w:unhideWhenUsed/>
    <w:rsid w:val="00A701C6"/>
    <w:pPr>
      <w:tabs>
        <w:tab w:val="center" w:pos="4680"/>
        <w:tab w:val="right" w:pos="9360"/>
      </w:tabs>
      <w:spacing w:after="0"/>
    </w:pPr>
  </w:style>
  <w:style w:type="character" w:customStyle="1" w:styleId="HeaderChar">
    <w:name w:val="Header Char"/>
    <w:basedOn w:val="DefaultParagraphFont"/>
    <w:link w:val="Header"/>
    <w:uiPriority w:val="99"/>
    <w:rsid w:val="00A701C6"/>
  </w:style>
  <w:style w:type="paragraph" w:styleId="Footer">
    <w:name w:val="footer"/>
    <w:basedOn w:val="Normal"/>
    <w:link w:val="FooterChar"/>
    <w:uiPriority w:val="99"/>
    <w:unhideWhenUsed/>
    <w:rsid w:val="00A701C6"/>
    <w:pPr>
      <w:tabs>
        <w:tab w:val="center" w:pos="4680"/>
        <w:tab w:val="right" w:pos="9360"/>
      </w:tabs>
      <w:spacing w:after="0"/>
    </w:pPr>
  </w:style>
  <w:style w:type="character" w:customStyle="1" w:styleId="FooterChar">
    <w:name w:val="Footer Char"/>
    <w:basedOn w:val="DefaultParagraphFont"/>
    <w:link w:val="Footer"/>
    <w:uiPriority w:val="99"/>
    <w:rsid w:val="00A701C6"/>
  </w:style>
  <w:style w:type="paragraph" w:styleId="ListParagraph">
    <w:name w:val="List Paragraph"/>
    <w:basedOn w:val="Normal"/>
    <w:uiPriority w:val="34"/>
    <w:qFormat/>
    <w:rsid w:val="006621DE"/>
    <w:pPr>
      <w:ind w:left="720"/>
      <w:contextualSpacing/>
    </w:pPr>
  </w:style>
  <w:style w:type="table" w:styleId="TableGrid">
    <w:name w:val="Table Grid"/>
    <w:basedOn w:val="TableNormal"/>
    <w:uiPriority w:val="59"/>
    <w:rsid w:val="00503A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D56"/>
    <w:pPr>
      <w:spacing w:before="100" w:beforeAutospacing="1" w:after="100" w:afterAutospacing="1"/>
    </w:pPr>
    <w:rPr>
      <w:rFonts w:ascii="Times" w:eastAsiaTheme="minorEastAsia" w:hAnsi="Times" w:cs="Times New Roman"/>
      <w:sz w:val="20"/>
      <w:szCs w:val="20"/>
    </w:rPr>
  </w:style>
  <w:style w:type="paragraph" w:customStyle="1" w:styleId="PHARParagraph">
    <w:name w:val="PHAR Paragraph"/>
    <w:basedOn w:val="Normal"/>
    <w:qFormat/>
    <w:rsid w:val="00DB0DB1"/>
    <w:pPr>
      <w:widowControl w:val="0"/>
      <w:autoSpaceDE w:val="0"/>
      <w:autoSpaceDN w:val="0"/>
      <w:adjustRightInd w:val="0"/>
      <w:spacing w:after="0" w:line="360" w:lineRule="auto"/>
      <w:textAlignment w:val="center"/>
    </w:pPr>
    <w:rPr>
      <w:rFonts w:ascii="Arial" w:hAnsi="Arial" w:cs="MinionPro-Regular"/>
      <w:color w:val="000000" w:themeColor="text1"/>
      <w:sz w:val="22"/>
    </w:rPr>
  </w:style>
  <w:style w:type="paragraph" w:styleId="FootnoteText">
    <w:name w:val="footnote text"/>
    <w:basedOn w:val="Normal"/>
    <w:link w:val="FootnoteTextChar"/>
    <w:uiPriority w:val="99"/>
    <w:unhideWhenUsed/>
    <w:rsid w:val="001B09E2"/>
    <w:pPr>
      <w:spacing w:after="0"/>
    </w:pPr>
    <w:rPr>
      <w:sz w:val="20"/>
      <w:szCs w:val="20"/>
    </w:rPr>
  </w:style>
  <w:style w:type="character" w:customStyle="1" w:styleId="FootnoteTextChar">
    <w:name w:val="Footnote Text Char"/>
    <w:basedOn w:val="DefaultParagraphFont"/>
    <w:link w:val="FootnoteText"/>
    <w:uiPriority w:val="99"/>
    <w:rsid w:val="001B09E2"/>
    <w:rPr>
      <w:sz w:val="20"/>
      <w:szCs w:val="20"/>
    </w:rPr>
  </w:style>
  <w:style w:type="character" w:styleId="Hyperlink">
    <w:name w:val="Hyperlink"/>
    <w:basedOn w:val="DefaultParagraphFont"/>
    <w:uiPriority w:val="99"/>
    <w:unhideWhenUsed/>
    <w:rsid w:val="00EA58FC"/>
    <w:rPr>
      <w:color w:val="0000FF" w:themeColor="hyperlink"/>
      <w:u w:val="single"/>
    </w:rPr>
  </w:style>
  <w:style w:type="character" w:styleId="Emphasis">
    <w:name w:val="Emphasis"/>
    <w:basedOn w:val="DefaultParagraphFont"/>
    <w:uiPriority w:val="20"/>
    <w:qFormat/>
    <w:rsid w:val="00BF4148"/>
    <w:rPr>
      <w:i/>
      <w:iCs/>
    </w:rPr>
  </w:style>
  <w:style w:type="character" w:customStyle="1" w:styleId="apple-converted-space">
    <w:name w:val="apple-converted-space"/>
    <w:basedOn w:val="DefaultParagraphFont"/>
    <w:rsid w:val="00BF4148"/>
  </w:style>
  <w:style w:type="paragraph" w:customStyle="1" w:styleId="Default">
    <w:name w:val="Default"/>
    <w:rsid w:val="001E148D"/>
    <w:pPr>
      <w:autoSpaceDE w:val="0"/>
      <w:autoSpaceDN w:val="0"/>
      <w:adjustRightInd w:val="0"/>
      <w:spacing w:after="0"/>
    </w:pPr>
    <w:rPr>
      <w:rFonts w:ascii="Arial" w:hAnsi="Arial" w:cs="Arial"/>
      <w:color w:val="000000"/>
    </w:rPr>
  </w:style>
  <w:style w:type="paragraph" w:customStyle="1" w:styleId="ColorfulList-Accent11">
    <w:name w:val="Colorful List - Accent 11"/>
    <w:basedOn w:val="Normal"/>
    <w:qFormat/>
    <w:rsid w:val="00A75298"/>
    <w:pPr>
      <w:spacing w:after="0"/>
      <w:ind w:left="720"/>
      <w:contextualSpacing/>
    </w:pPr>
    <w:rPr>
      <w:rFonts w:ascii="Times New Roman" w:eastAsia="Times New Roman" w:hAnsi="Times New Roman" w:cs="Times New Roman"/>
    </w:rPr>
  </w:style>
  <w:style w:type="character" w:customStyle="1" w:styleId="postbox-detected-content">
    <w:name w:val="__postbox-detected-content"/>
    <w:basedOn w:val="DefaultParagraphFont"/>
    <w:rsid w:val="00A75298"/>
  </w:style>
  <w:style w:type="paragraph" w:customStyle="1" w:styleId="PHARTableTitle">
    <w:name w:val="PHAR Table Title"/>
    <w:link w:val="PHARTableTitleChar"/>
    <w:qFormat/>
    <w:rsid w:val="00853BA2"/>
    <w:pPr>
      <w:spacing w:before="200" w:after="320"/>
      <w:ind w:left="-2160"/>
    </w:pPr>
    <w:rPr>
      <w:rFonts w:asciiTheme="majorHAnsi" w:eastAsiaTheme="majorEastAsia" w:hAnsiTheme="majorHAnsi" w:cstheme="majorBidi"/>
      <w:b/>
      <w:bCs/>
      <w:color w:val="000000" w:themeColor="text1"/>
      <w:szCs w:val="30"/>
    </w:rPr>
  </w:style>
  <w:style w:type="character" w:customStyle="1" w:styleId="PHARTableTitleChar">
    <w:name w:val="PHAR Table Title Char"/>
    <w:basedOn w:val="DefaultParagraphFont"/>
    <w:link w:val="PHARTableTitle"/>
    <w:rsid w:val="00853BA2"/>
    <w:rPr>
      <w:rFonts w:asciiTheme="majorHAnsi" w:eastAsiaTheme="majorEastAsia" w:hAnsiTheme="majorHAnsi" w:cstheme="majorBidi"/>
      <w:b/>
      <w:bCs/>
      <w:color w:val="000000" w:themeColor="text1"/>
      <w:szCs w:val="30"/>
    </w:rPr>
  </w:style>
  <w:style w:type="paragraph" w:styleId="Revision">
    <w:name w:val="Revision"/>
    <w:hidden/>
    <w:uiPriority w:val="99"/>
    <w:semiHidden/>
    <w:rsid w:val="00746D2B"/>
    <w:pPr>
      <w:spacing w:after="0"/>
    </w:pPr>
  </w:style>
  <w:style w:type="paragraph" w:styleId="PlainText">
    <w:name w:val="Plain Text"/>
    <w:basedOn w:val="Normal"/>
    <w:link w:val="PlainTextChar"/>
    <w:uiPriority w:val="99"/>
    <w:unhideWhenUsed/>
    <w:rsid w:val="001C4925"/>
    <w:pPr>
      <w:spacing w:after="0"/>
    </w:pPr>
    <w:rPr>
      <w:rFonts w:ascii="Calibri" w:eastAsiaTheme="minorHAnsi" w:hAnsi="Calibri"/>
      <w:sz w:val="22"/>
      <w:szCs w:val="21"/>
    </w:rPr>
  </w:style>
  <w:style w:type="character" w:customStyle="1" w:styleId="PlainTextChar">
    <w:name w:val="Plain Text Char"/>
    <w:basedOn w:val="DefaultParagraphFont"/>
    <w:link w:val="PlainText"/>
    <w:uiPriority w:val="99"/>
    <w:rsid w:val="001C492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3896">
      <w:bodyDiv w:val="1"/>
      <w:marLeft w:val="0"/>
      <w:marRight w:val="0"/>
      <w:marTop w:val="0"/>
      <w:marBottom w:val="0"/>
      <w:divBdr>
        <w:top w:val="none" w:sz="0" w:space="0" w:color="auto"/>
        <w:left w:val="none" w:sz="0" w:space="0" w:color="auto"/>
        <w:bottom w:val="none" w:sz="0" w:space="0" w:color="auto"/>
        <w:right w:val="none" w:sz="0" w:space="0" w:color="auto"/>
      </w:divBdr>
    </w:div>
    <w:div w:id="593246178">
      <w:bodyDiv w:val="1"/>
      <w:marLeft w:val="0"/>
      <w:marRight w:val="0"/>
      <w:marTop w:val="0"/>
      <w:marBottom w:val="0"/>
      <w:divBdr>
        <w:top w:val="none" w:sz="0" w:space="0" w:color="auto"/>
        <w:left w:val="none" w:sz="0" w:space="0" w:color="auto"/>
        <w:bottom w:val="none" w:sz="0" w:space="0" w:color="auto"/>
        <w:right w:val="none" w:sz="0" w:space="0" w:color="auto"/>
      </w:divBdr>
    </w:div>
    <w:div w:id="1011227176">
      <w:bodyDiv w:val="1"/>
      <w:marLeft w:val="0"/>
      <w:marRight w:val="0"/>
      <w:marTop w:val="0"/>
      <w:marBottom w:val="0"/>
      <w:divBdr>
        <w:top w:val="none" w:sz="0" w:space="0" w:color="auto"/>
        <w:left w:val="none" w:sz="0" w:space="0" w:color="auto"/>
        <w:bottom w:val="none" w:sz="0" w:space="0" w:color="auto"/>
        <w:right w:val="none" w:sz="0" w:space="0" w:color="auto"/>
      </w:divBdr>
    </w:div>
    <w:div w:id="1176967377">
      <w:bodyDiv w:val="1"/>
      <w:marLeft w:val="0"/>
      <w:marRight w:val="0"/>
      <w:marTop w:val="0"/>
      <w:marBottom w:val="0"/>
      <w:divBdr>
        <w:top w:val="none" w:sz="0" w:space="0" w:color="auto"/>
        <w:left w:val="none" w:sz="0" w:space="0" w:color="auto"/>
        <w:bottom w:val="none" w:sz="0" w:space="0" w:color="auto"/>
        <w:right w:val="none" w:sz="0" w:space="0" w:color="auto"/>
      </w:divBdr>
    </w:div>
    <w:div w:id="1295140890">
      <w:bodyDiv w:val="1"/>
      <w:marLeft w:val="0"/>
      <w:marRight w:val="0"/>
      <w:marTop w:val="0"/>
      <w:marBottom w:val="0"/>
      <w:divBdr>
        <w:top w:val="none" w:sz="0" w:space="0" w:color="auto"/>
        <w:left w:val="none" w:sz="0" w:space="0" w:color="auto"/>
        <w:bottom w:val="none" w:sz="0" w:space="0" w:color="auto"/>
        <w:right w:val="none" w:sz="0" w:space="0" w:color="auto"/>
      </w:divBdr>
      <w:divsChild>
        <w:div w:id="600181608">
          <w:marLeft w:val="0"/>
          <w:marRight w:val="0"/>
          <w:marTop w:val="0"/>
          <w:marBottom w:val="0"/>
          <w:divBdr>
            <w:top w:val="none" w:sz="0" w:space="0" w:color="auto"/>
            <w:left w:val="none" w:sz="0" w:space="0" w:color="auto"/>
            <w:bottom w:val="none" w:sz="0" w:space="0" w:color="auto"/>
            <w:right w:val="none" w:sz="0" w:space="0" w:color="auto"/>
          </w:divBdr>
        </w:div>
        <w:div w:id="470562111">
          <w:marLeft w:val="0"/>
          <w:marRight w:val="0"/>
          <w:marTop w:val="0"/>
          <w:marBottom w:val="0"/>
          <w:divBdr>
            <w:top w:val="none" w:sz="0" w:space="0" w:color="auto"/>
            <w:left w:val="none" w:sz="0" w:space="0" w:color="auto"/>
            <w:bottom w:val="none" w:sz="0" w:space="0" w:color="auto"/>
            <w:right w:val="none" w:sz="0" w:space="0" w:color="auto"/>
          </w:divBdr>
        </w:div>
      </w:divsChild>
    </w:div>
    <w:div w:id="1303534445">
      <w:bodyDiv w:val="1"/>
      <w:marLeft w:val="0"/>
      <w:marRight w:val="0"/>
      <w:marTop w:val="0"/>
      <w:marBottom w:val="0"/>
      <w:divBdr>
        <w:top w:val="none" w:sz="0" w:space="0" w:color="auto"/>
        <w:left w:val="none" w:sz="0" w:space="0" w:color="auto"/>
        <w:bottom w:val="none" w:sz="0" w:space="0" w:color="auto"/>
        <w:right w:val="none" w:sz="0" w:space="0" w:color="auto"/>
      </w:divBdr>
    </w:div>
    <w:div w:id="1327516708">
      <w:bodyDiv w:val="1"/>
      <w:marLeft w:val="0"/>
      <w:marRight w:val="0"/>
      <w:marTop w:val="0"/>
      <w:marBottom w:val="0"/>
      <w:divBdr>
        <w:top w:val="none" w:sz="0" w:space="0" w:color="auto"/>
        <w:left w:val="none" w:sz="0" w:space="0" w:color="auto"/>
        <w:bottom w:val="none" w:sz="0" w:space="0" w:color="auto"/>
        <w:right w:val="none" w:sz="0" w:space="0" w:color="auto"/>
      </w:divBdr>
    </w:div>
    <w:div w:id="1332954798">
      <w:bodyDiv w:val="1"/>
      <w:marLeft w:val="0"/>
      <w:marRight w:val="0"/>
      <w:marTop w:val="0"/>
      <w:marBottom w:val="0"/>
      <w:divBdr>
        <w:top w:val="none" w:sz="0" w:space="0" w:color="auto"/>
        <w:left w:val="none" w:sz="0" w:space="0" w:color="auto"/>
        <w:bottom w:val="none" w:sz="0" w:space="0" w:color="auto"/>
        <w:right w:val="none" w:sz="0" w:space="0" w:color="auto"/>
      </w:divBdr>
    </w:div>
    <w:div w:id="1508909779">
      <w:bodyDiv w:val="1"/>
      <w:marLeft w:val="0"/>
      <w:marRight w:val="0"/>
      <w:marTop w:val="0"/>
      <w:marBottom w:val="0"/>
      <w:divBdr>
        <w:top w:val="none" w:sz="0" w:space="0" w:color="auto"/>
        <w:left w:val="none" w:sz="0" w:space="0" w:color="auto"/>
        <w:bottom w:val="none" w:sz="0" w:space="0" w:color="auto"/>
        <w:right w:val="none" w:sz="0" w:space="0" w:color="auto"/>
      </w:divBdr>
    </w:div>
    <w:div w:id="1527409357">
      <w:bodyDiv w:val="1"/>
      <w:marLeft w:val="0"/>
      <w:marRight w:val="0"/>
      <w:marTop w:val="0"/>
      <w:marBottom w:val="0"/>
      <w:divBdr>
        <w:top w:val="none" w:sz="0" w:space="0" w:color="auto"/>
        <w:left w:val="none" w:sz="0" w:space="0" w:color="auto"/>
        <w:bottom w:val="none" w:sz="0" w:space="0" w:color="auto"/>
        <w:right w:val="none" w:sz="0" w:space="0" w:color="auto"/>
      </w:divBdr>
      <w:divsChild>
        <w:div w:id="1833525507">
          <w:marLeft w:val="0"/>
          <w:marRight w:val="1"/>
          <w:marTop w:val="0"/>
          <w:marBottom w:val="0"/>
          <w:divBdr>
            <w:top w:val="none" w:sz="0" w:space="0" w:color="auto"/>
            <w:left w:val="none" w:sz="0" w:space="0" w:color="auto"/>
            <w:bottom w:val="none" w:sz="0" w:space="0" w:color="auto"/>
            <w:right w:val="none" w:sz="0" w:space="0" w:color="auto"/>
          </w:divBdr>
          <w:divsChild>
            <w:div w:id="513350367">
              <w:marLeft w:val="0"/>
              <w:marRight w:val="0"/>
              <w:marTop w:val="0"/>
              <w:marBottom w:val="0"/>
              <w:divBdr>
                <w:top w:val="none" w:sz="0" w:space="0" w:color="auto"/>
                <w:left w:val="none" w:sz="0" w:space="0" w:color="auto"/>
                <w:bottom w:val="none" w:sz="0" w:space="0" w:color="auto"/>
                <w:right w:val="none" w:sz="0" w:space="0" w:color="auto"/>
              </w:divBdr>
              <w:divsChild>
                <w:div w:id="1241136129">
                  <w:marLeft w:val="0"/>
                  <w:marRight w:val="1"/>
                  <w:marTop w:val="0"/>
                  <w:marBottom w:val="0"/>
                  <w:divBdr>
                    <w:top w:val="none" w:sz="0" w:space="0" w:color="auto"/>
                    <w:left w:val="none" w:sz="0" w:space="0" w:color="auto"/>
                    <w:bottom w:val="none" w:sz="0" w:space="0" w:color="auto"/>
                    <w:right w:val="none" w:sz="0" w:space="0" w:color="auto"/>
                  </w:divBdr>
                  <w:divsChild>
                    <w:div w:id="908006547">
                      <w:marLeft w:val="0"/>
                      <w:marRight w:val="0"/>
                      <w:marTop w:val="0"/>
                      <w:marBottom w:val="0"/>
                      <w:divBdr>
                        <w:top w:val="none" w:sz="0" w:space="0" w:color="auto"/>
                        <w:left w:val="none" w:sz="0" w:space="0" w:color="auto"/>
                        <w:bottom w:val="none" w:sz="0" w:space="0" w:color="auto"/>
                        <w:right w:val="none" w:sz="0" w:space="0" w:color="auto"/>
                      </w:divBdr>
                      <w:divsChild>
                        <w:div w:id="823086804">
                          <w:marLeft w:val="0"/>
                          <w:marRight w:val="0"/>
                          <w:marTop w:val="0"/>
                          <w:marBottom w:val="0"/>
                          <w:divBdr>
                            <w:top w:val="none" w:sz="0" w:space="0" w:color="auto"/>
                            <w:left w:val="none" w:sz="0" w:space="0" w:color="auto"/>
                            <w:bottom w:val="none" w:sz="0" w:space="0" w:color="auto"/>
                            <w:right w:val="none" w:sz="0" w:space="0" w:color="auto"/>
                          </w:divBdr>
                          <w:divsChild>
                            <w:div w:id="1620138639">
                              <w:marLeft w:val="0"/>
                              <w:marRight w:val="0"/>
                              <w:marTop w:val="120"/>
                              <w:marBottom w:val="360"/>
                              <w:divBdr>
                                <w:top w:val="none" w:sz="0" w:space="0" w:color="auto"/>
                                <w:left w:val="none" w:sz="0" w:space="0" w:color="auto"/>
                                <w:bottom w:val="none" w:sz="0" w:space="0" w:color="auto"/>
                                <w:right w:val="none" w:sz="0" w:space="0" w:color="auto"/>
                              </w:divBdr>
                              <w:divsChild>
                                <w:div w:id="920068995">
                                  <w:marLeft w:val="0"/>
                                  <w:marRight w:val="0"/>
                                  <w:marTop w:val="0"/>
                                  <w:marBottom w:val="0"/>
                                  <w:divBdr>
                                    <w:top w:val="none" w:sz="0" w:space="0" w:color="auto"/>
                                    <w:left w:val="none" w:sz="0" w:space="0" w:color="auto"/>
                                    <w:bottom w:val="none" w:sz="0" w:space="0" w:color="auto"/>
                                    <w:right w:val="none" w:sz="0" w:space="0" w:color="auto"/>
                                  </w:divBdr>
                                  <w:divsChild>
                                    <w:div w:id="6606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64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oder@PHARLL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orothy_romanus:Downloads:CS%20Diarrhea%20Graph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orothy_romanus:Downloads:CS%20Diarrhea%20Graph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1228192064227"/>
          <c:y val="4.8872180451127803E-2"/>
          <c:w val="0.80628814780505298"/>
          <c:h val="0.74681723995026805"/>
        </c:manualLayout>
      </c:layout>
      <c:barChart>
        <c:barDir val="col"/>
        <c:grouping val="clustered"/>
        <c:varyColors val="0"/>
        <c:ser>
          <c:idx val="0"/>
          <c:order val="0"/>
          <c:tx>
            <c:strRef>
              <c:f>Sheet1!$A$2</c:f>
              <c:strCache>
                <c:ptCount val="1"/>
                <c:pt idx="0">
                  <c:v>With Non-Infectious Diarrhea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Adjusted Proportion of  Patients with Any Hospitalization</c:v>
                </c:pt>
                <c:pt idx="1">
                  <c:v>Adjusted Proportion of  Patients with Any CS-Related Hospitalization</c:v>
                </c:pt>
              </c:strCache>
            </c:strRef>
          </c:cat>
          <c:val>
            <c:numRef>
              <c:f>Sheet1!$B$2:$C$2</c:f>
              <c:numCache>
                <c:formatCode>0.00%</c:formatCode>
                <c:ptCount val="2"/>
                <c:pt idx="0">
                  <c:v>0.49299999999999999</c:v>
                </c:pt>
                <c:pt idx="1">
                  <c:v>0.13800000000000001</c:v>
                </c:pt>
              </c:numCache>
            </c:numRef>
          </c:val>
        </c:ser>
        <c:ser>
          <c:idx val="1"/>
          <c:order val="1"/>
          <c:tx>
            <c:strRef>
              <c:f>Sheet1!$A$3</c:f>
              <c:strCache>
                <c:ptCount val="1"/>
                <c:pt idx="0">
                  <c:v>Without Non-Infectious Diarrhea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Adjusted Proportion of  Patients with Any Hospitalization</c:v>
                </c:pt>
                <c:pt idx="1">
                  <c:v>Adjusted Proportion of  Patients with Any CS-Related Hospitalization</c:v>
                </c:pt>
              </c:strCache>
            </c:strRef>
          </c:cat>
          <c:val>
            <c:numRef>
              <c:f>Sheet1!$B$3:$C$3</c:f>
              <c:numCache>
                <c:formatCode>0.00%</c:formatCode>
                <c:ptCount val="2"/>
                <c:pt idx="0">
                  <c:v>0.39700000000000002</c:v>
                </c:pt>
                <c:pt idx="1">
                  <c:v>7.0000000000000007E-2</c:v>
                </c:pt>
              </c:numCache>
            </c:numRef>
          </c:val>
        </c:ser>
        <c:dLbls>
          <c:showLegendKey val="0"/>
          <c:showVal val="0"/>
          <c:showCatName val="0"/>
          <c:showSerName val="0"/>
          <c:showPercent val="0"/>
          <c:showBubbleSize val="0"/>
        </c:dLbls>
        <c:gapWidth val="150"/>
        <c:axId val="584614512"/>
        <c:axId val="584614904"/>
      </c:barChart>
      <c:catAx>
        <c:axId val="584614512"/>
        <c:scaling>
          <c:orientation val="minMax"/>
        </c:scaling>
        <c:delete val="0"/>
        <c:axPos val="b"/>
        <c:numFmt formatCode="General" sourceLinked="0"/>
        <c:majorTickMark val="out"/>
        <c:minorTickMark val="none"/>
        <c:tickLblPos val="nextTo"/>
        <c:crossAx val="584614904"/>
        <c:crosses val="autoZero"/>
        <c:auto val="1"/>
        <c:lblAlgn val="ctr"/>
        <c:lblOffset val="100"/>
        <c:noMultiLvlLbl val="0"/>
      </c:catAx>
      <c:valAx>
        <c:axId val="584614904"/>
        <c:scaling>
          <c:orientation val="minMax"/>
        </c:scaling>
        <c:delete val="0"/>
        <c:axPos val="l"/>
        <c:majorGridlines>
          <c:spPr>
            <a:ln>
              <a:noFill/>
            </a:ln>
          </c:spPr>
        </c:majorGridlines>
        <c:numFmt formatCode="0.00%" sourceLinked="1"/>
        <c:majorTickMark val="out"/>
        <c:minorTickMark val="none"/>
        <c:tickLblPos val="nextTo"/>
        <c:crossAx val="5846145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Sheet1!$A$7</c:f>
              <c:strCache>
                <c:ptCount val="1"/>
                <c:pt idx="0">
                  <c:v>With Non-Infectious Diarrhea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c:f>
              <c:strCache>
                <c:ptCount val="1"/>
                <c:pt idx="0">
                  <c:v>Adjusted Mean Total Costs</c:v>
                </c:pt>
              </c:strCache>
            </c:strRef>
          </c:cat>
          <c:val>
            <c:numRef>
              <c:f>Sheet1!$B$7</c:f>
              <c:numCache>
                <c:formatCode>"$"#,##0_);[Red]\("$"#,##0\)</c:formatCode>
                <c:ptCount val="1"/>
                <c:pt idx="0">
                  <c:v>80600</c:v>
                </c:pt>
              </c:numCache>
            </c:numRef>
          </c:val>
        </c:ser>
        <c:ser>
          <c:idx val="1"/>
          <c:order val="1"/>
          <c:tx>
            <c:strRef>
              <c:f>Sheet1!$A$8</c:f>
              <c:strCache>
                <c:ptCount val="1"/>
                <c:pt idx="0">
                  <c:v>Without Non-Infectious Diarrhea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c:f>
              <c:strCache>
                <c:ptCount val="1"/>
                <c:pt idx="0">
                  <c:v>Adjusted Mean Total Costs</c:v>
                </c:pt>
              </c:strCache>
            </c:strRef>
          </c:cat>
          <c:val>
            <c:numRef>
              <c:f>Sheet1!$B$8</c:f>
              <c:numCache>
                <c:formatCode>"$"#,##0_);[Red]\("$"#,##0\)</c:formatCode>
                <c:ptCount val="1"/>
                <c:pt idx="0">
                  <c:v>51955</c:v>
                </c:pt>
              </c:numCache>
            </c:numRef>
          </c:val>
        </c:ser>
        <c:dLbls>
          <c:showLegendKey val="0"/>
          <c:showVal val="0"/>
          <c:showCatName val="0"/>
          <c:showSerName val="0"/>
          <c:showPercent val="0"/>
          <c:showBubbleSize val="0"/>
        </c:dLbls>
        <c:gapWidth val="150"/>
        <c:axId val="584616080"/>
        <c:axId val="579263288"/>
      </c:barChart>
      <c:catAx>
        <c:axId val="584616080"/>
        <c:scaling>
          <c:orientation val="minMax"/>
        </c:scaling>
        <c:delete val="0"/>
        <c:axPos val="b"/>
        <c:numFmt formatCode="General" sourceLinked="0"/>
        <c:majorTickMark val="out"/>
        <c:minorTickMark val="none"/>
        <c:tickLblPos val="nextTo"/>
        <c:crossAx val="579263288"/>
        <c:crosses val="autoZero"/>
        <c:auto val="1"/>
        <c:lblAlgn val="ctr"/>
        <c:lblOffset val="100"/>
        <c:noMultiLvlLbl val="0"/>
      </c:catAx>
      <c:valAx>
        <c:axId val="579263288"/>
        <c:scaling>
          <c:orientation val="minMax"/>
        </c:scaling>
        <c:delete val="0"/>
        <c:axPos val="l"/>
        <c:majorGridlines>
          <c:spPr>
            <a:ln>
              <a:noFill/>
            </a:ln>
          </c:spPr>
        </c:majorGridlines>
        <c:numFmt formatCode="&quot;$&quot;#,##0_);[Red]\(&quot;$&quot;#,##0\)" sourceLinked="1"/>
        <c:majorTickMark val="out"/>
        <c:minorTickMark val="none"/>
        <c:tickLblPos val="nextTo"/>
        <c:crossAx val="584616080"/>
        <c:crosses val="autoZero"/>
        <c:crossBetween val="between"/>
      </c:valAx>
    </c:plotArea>
    <c:legend>
      <c:legendPos val="b"/>
      <c:layout>
        <c:manualLayout>
          <c:xMode val="edge"/>
          <c:yMode val="edge"/>
          <c:x val="0"/>
          <c:y val="0.89787283168551402"/>
          <c:w val="0.41861123715467802"/>
          <c:h val="7.5811378840802898E-2"/>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http://schemas.microsoft.com/sharepoint/v3">
      <UserInfo>
        <DisplayName>Dasha Cherepanov</DisplayName>
        <AccountId>20</AccountId>
        <AccountType/>
      </UserInfo>
    </AssignedTo>
    <TaskDueDate xmlns="http://schemas.microsoft.com/sharepoint/v3/fields">2015-11-24T08:00:00+00:00</TaskDueDate>
    <Project_x0020_Code xmlns="c542c023-5adf-453f-8566-f75c56462a02" xsi:nil="true"/>
    <Invoice xmlns="c542c023-5adf-453f-8566-f75c56462a02">NOV210-13</Invoice>
    <Completed_x0020_Date xmlns="c542c023-5adf-453f-8566-f75c56462a02" xsi:nil="true"/>
    <Client_x0020_Contact xmlns="c542c023-5adf-453f-8566-f75c56462a02">Maureen Neary</Client_x0020_Contact>
    <Forum xmlns="c542c023-5adf-453f-8566-f75c56462a02">World Journal of Gastroenterology </Forum>
    <Stage xmlns="c542c023-5adf-453f-8566-f75c56462a02">DRAFT</Stage>
    <Client xmlns="c542c023-5adf-453f-8566-f75c56462a02">NOVARTIS</Client>
    <Product xmlns="c542c023-5adf-453f-8566-f75c56462a02">Sandostatin LAR</Product>
    <Note xmlns="c542c023-5adf-453f-8566-f75c56462a02">11/24: finalized for resubmission. </Note>
    <Contract xmlns="c542c023-5adf-453f-8566-f75c56462a02">SAN2013-02</Contract>
    <Deliv_x002f_Doc_x0020_Type xmlns="c542c023-5adf-453f-8566-f75c56462a02">JOURNAL ARTICLE</Deliv_x002f_Doc_x0020_Type>
    <Status1 xmlns="http://schemas.microsoft.com/sharepoint/v3/fields">ACTIVE</Status1>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634202AE74087C45AD8D81B198088ED6010035CF13D8C63021408C97F79BE3D86D0C" ma:contentTypeVersion="3" ma:contentTypeDescription="" ma:contentTypeScope="" ma:versionID="4198645122d7d88f2f41be13e1bf6f3b">
  <xsd:schema xmlns:xsd="http://www.w3.org/2001/XMLSchema" xmlns:xs="http://www.w3.org/2001/XMLSchema" xmlns:p="http://schemas.microsoft.com/office/2006/metadata/properties" xmlns:ns1="http://schemas.microsoft.com/sharepoint/v3" xmlns:ns2="c542c023-5adf-453f-8566-f75c56462a02" xmlns:ns3="http://schemas.microsoft.com/sharepoint/v3/fields" targetNamespace="http://schemas.microsoft.com/office/2006/metadata/properties" ma:root="true" ma:fieldsID="bb0a861490bbf6af067f2c81860990f5" ns1:_="" ns2:_="" ns3:_="">
    <xsd:import namespace="http://schemas.microsoft.com/sharepoint/v3"/>
    <xsd:import namespace="c542c023-5adf-453f-8566-f75c56462a02"/>
    <xsd:import namespace="http://schemas.microsoft.com/sharepoint/v3/fields"/>
    <xsd:element name="properties">
      <xsd:complexType>
        <xsd:sequence>
          <xsd:element name="documentManagement">
            <xsd:complexType>
              <xsd:all>
                <xsd:element ref="ns2:Note" minOccurs="0"/>
                <xsd:element ref="ns3:TaskDueDate"/>
                <xsd:element ref="ns2:Forum" minOccurs="0"/>
                <xsd:element ref="ns2:Invoice" minOccurs="0"/>
                <xsd:element ref="ns2:Contract" minOccurs="0"/>
                <xsd:element ref="ns3:Status1"/>
                <xsd:element ref="ns2:Client"/>
                <xsd:element ref="ns2:Product"/>
                <xsd:element ref="ns2:Deliv_x002f_Doc_x0020_Type"/>
                <xsd:element ref="ns2:Project_x0020_Code" minOccurs="0"/>
                <xsd:element ref="ns2:Stage"/>
                <xsd:element ref="ns1:AssignedTo" minOccurs="0"/>
                <xsd:element ref="ns2:Completed_x0020_Date" minOccurs="0"/>
                <xsd:element ref="ns2:Clien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2c023-5adf-453f-8566-f75c56462a02"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Text">
          <xsd:maxLength value="255"/>
        </xsd:restriction>
      </xsd:simpleType>
    </xsd:element>
    <xsd:element name="Forum" ma:index="10" nillable="true" ma:displayName="Forum" ma:internalName="Forum">
      <xsd:simpleType>
        <xsd:restriction base="dms:Text">
          <xsd:maxLength value="100"/>
        </xsd:restriction>
      </xsd:simpleType>
    </xsd:element>
    <xsd:element name="Invoice" ma:index="11" nillable="true" ma:displayName="Invoice" ma:internalName="Invoice">
      <xsd:simpleType>
        <xsd:restriction base="dms:Text">
          <xsd:maxLength value="100"/>
        </xsd:restriction>
      </xsd:simpleType>
    </xsd:element>
    <xsd:element name="Contract" ma:index="12" nillable="true" ma:displayName="Contract" ma:internalName="Contract">
      <xsd:simpleType>
        <xsd:restriction base="dms:Text">
          <xsd:maxLength value="100"/>
        </xsd:restriction>
      </xsd:simpleType>
    </xsd:element>
    <xsd:element name="Client" ma:index="14" ma:displayName="Client" ma:format="Dropdown" ma:internalName="Client">
      <xsd:simpleType>
        <xsd:restriction base="dms:Choice">
          <xsd:enumeration value="&lt;&lt;ORGANON&gt;&gt;"/>
          <xsd:enumeration value="ABBOTT"/>
          <xsd:enumeration value="Actelion"/>
          <xsd:enumeration value="ADOLOR"/>
          <xsd:enumeration value="ALLERGAN"/>
          <xsd:enumeration value="AMGEN"/>
          <xsd:enumeration value="AMRITT VENTURES"/>
          <xsd:enumeration value="AMYLIN"/>
          <xsd:enumeration value="APPLIED PROTEOMICS"/>
          <xsd:enumeration value="ASCO"/>
          <xsd:enumeration value="ASTRO"/>
          <xsd:enumeration value="ASTELLAS PHARMA"/>
          <xsd:enumeration value="ASTRAZENECA"/>
          <xsd:enumeration value="Baxter Healthcare Corporation"/>
          <xsd:enumeration value="Biogen Idec"/>
          <xsd:enumeration value="BIOSPHERE"/>
          <xsd:enumeration value="bioTheranostics"/>
          <xsd:enumeration value="bioMarieux"/>
          <xsd:enumeration value="BMS"/>
          <xsd:enumeration value="Boston Scientific"/>
          <xsd:enumeration value="Celgene"/>
          <xsd:enumeration value="Cholangiocarcinoma Foundation"/>
          <xsd:enumeration value="CR Bard"/>
          <xsd:enumeration value="Cubist"/>
          <xsd:enumeration value="Diagnovus"/>
          <xsd:enumeration value="EISAI"/>
          <xsd:enumeration value="ELAN"/>
          <xsd:enumeration value="Eli Lilly"/>
          <xsd:enumeration value="Encore Clinical"/>
          <xsd:enumeration value="ETHICON"/>
          <xsd:enumeration value="ETHICON-ENDOSURGERY"/>
          <xsd:enumeration value="G E HEALTHCARE"/>
          <xsd:enumeration value="GENENTECH"/>
          <xsd:enumeration value="GenomeDx"/>
          <xsd:enumeration value="GENOMIC HEALTH"/>
          <xsd:enumeration value="GENZYME"/>
          <xsd:enumeration value="GLAXOSMITHKLINE"/>
          <xsd:enumeration value="Helsinn"/>
          <xsd:enumeration value="Heron Therapeutics"/>
          <xsd:enumeration value="Interpace"/>
          <xsd:enumeration value="INTRAOP"/>
          <xsd:enumeration value="Incline"/>
          <xsd:enumeration value="Ipsen"/>
          <xsd:enumeration value="Janssen"/>
          <xsd:enumeration value="Jazz"/>
          <xsd:enumeration value="JOHNSON &amp; JOHNSON"/>
          <xsd:enumeration value="Kailos Genetics"/>
          <xsd:enumeration value="Kalyspo"/>
          <xsd:enumeration value="Life Technologies"/>
          <xsd:enumeration value="LifeScan"/>
          <xsd:enumeration value="MDS Foundation"/>
          <xsd:enumeration value="MedAssets"/>
          <xsd:enumeration value="Medtronic"/>
          <xsd:enumeration value="MedMining"/>
          <xsd:enumeration value="Merck"/>
          <xsd:enumeration value="MERRIMACK"/>
          <xsd:enumeration value="NIH"/>
          <xsd:enumeration value="NOVARTIS"/>
          <xsd:enumeration value="Onconova"/>
          <xsd:enumeration value="Otsuka"/>
          <xsd:enumeration value="ORGANON"/>
          <xsd:enumeration value="ORTHO-MCNEIL"/>
          <xsd:enumeration value="PATHWORK"/>
          <xsd:enumeration value="PFIZER"/>
          <xsd:enumeration value="PHAR"/>
          <xsd:enumeration value="PLANNED PARENTHOOD"/>
          <xsd:enumeration value="Quest Diagnostics"/>
          <xsd:enumeration value="ROCHE"/>
          <xsd:enumeration value="Precision Therapeutics"/>
          <xsd:enumeration value="SCHERING-PLOUGH"/>
          <xsd:enumeration value="Shionogi"/>
          <xsd:enumeration value="Shire"/>
          <xsd:enumeration value="Stryker"/>
          <xsd:enumeration value="TAP"/>
          <xsd:enumeration value="UTC Labs"/>
          <xsd:enumeration value="Wisercare"/>
          <xsd:enumeration value="WYETH"/>
        </xsd:restriction>
      </xsd:simpleType>
    </xsd:element>
    <xsd:element name="Product" ma:index="15" ma:displayName="Product" ma:format="Dropdown" ma:internalName="Product">
      <xsd:simpleType>
        <xsd:restriction base="dms:Choice">
          <xsd:enumeration value="2H7"/>
          <xsd:enumeration value="ABILIFY"/>
          <xsd:enumeration value="Abilify Maintena"/>
          <xsd:enumeration value="Abraxane"/>
          <xsd:enumeration value="AcipHex"/>
          <xsd:enumeration value="Actemra"/>
          <xsd:enumeration value="ADVAIR"/>
          <xsd:enumeration value="Afinitor"/>
          <xsd:enumeration value="Akynzeo"/>
          <xsd:enumeration value="Alair"/>
          <xsd:enumeration value="Aloxi"/>
          <xsd:enumeration value="AMG 334"/>
          <xsd:enumeration value="AMG 706"/>
          <xsd:enumeration value="AMG 899"/>
          <xsd:enumeration value="Aricept"/>
          <xsd:enumeration value="ATRIPLA"/>
          <xsd:enumeration value="Banzel"/>
          <xsd:enumeration value="Belviq"/>
          <xsd:enumeration value="Biopatch"/>
          <xsd:enumeration value="BOOSTRIX"/>
          <xsd:enumeration value="Brexpiprazole"/>
          <xsd:enumeration value="Bronchial Thermoplasty"/>
          <xsd:enumeration value="BOTOX"/>
          <xsd:enumeration value="Breast Cancer Index"/>
          <xsd:enumeration value="Brivanib"/>
          <xsd:enumeration value="Bydureon"/>
          <xsd:enumeration value="Byetta"/>
          <xsd:enumeration value="CancerTYPE ID"/>
          <xsd:enumeration value="Daclizumab"/>
          <xsd:enumeration value="Dacogen"/>
          <xsd:enumeration value="Dapagliflozin"/>
          <xsd:enumeration value="DECIPHER"/>
          <xsd:enumeration value="Defibrotide"/>
          <xsd:enumeration value="DENOSUMAB"/>
          <xsd:enumeration value="DERMABOND"/>
          <xsd:enumeration value="Dysport"/>
          <xsd:enumeration value="Elotuzumab"/>
          <xsd:enumeration value="Enbrel"/>
          <xsd:enumeration value="Engauge"/>
          <xsd:enumeration value="ENTEREG"/>
          <xsd:enumeration value="Epogen"/>
          <xsd:enumeration value="Erbitux"/>
          <xsd:enumeration value="Esbriet"/>
          <xsd:enumeration value="Estybon"/>
          <xsd:enumeration value="Etanercept"/>
          <xsd:enumeration value="Evarrest"/>
          <xsd:enumeration value="Evicel"/>
          <xsd:enumeration value="Evolocumab"/>
          <xsd:enumeration value="Evotaz"/>
          <xsd:enumeration value="Exjade"/>
          <xsd:enumeration value="Flair"/>
          <xsd:enumeration value="FRAGMIN"/>
          <xsd:enumeration value="GeneFx Colon"/>
          <xsd:enumeration value="Harmonic"/>
          <xsd:enumeration value="IMPLANON"/>
          <xsd:enumeration value="INTERCEED"/>
          <xsd:enumeration value="Interferon lambda"/>
          <xsd:enumeration value="Intuniv"/>
          <xsd:enumeration value="IONSYS"/>
          <xsd:enumeration value="Istodax"/>
          <xsd:enumeration value="Lampalizumab"/>
          <xsd:enumeration value="Lebrikizumab"/>
          <xsd:enumeration value="Lucentis"/>
          <xsd:enumeration value="LUMIGAN"/>
          <xsd:enumeration value="LUPRON"/>
          <xsd:enumeration value="MOBETRON"/>
          <xsd:enumeration value="MULTIPLE"/>
          <xsd:enumeration value="MYCAMINE"/>
          <xsd:enumeration value="N/A"/>
          <xsd:enumeration value="Neulasta"/>
          <xsd:enumeration value="NONE"/>
          <xsd:enumeration value="Nucynta"/>
          <xsd:enumeration value="NUVARING"/>
          <xsd:enumeration value="Ocrelizumab"/>
          <xsd:enumeration value="ONCOTYPE DX"/>
          <xsd:enumeration value="Oncotype Dx Colon"/>
          <xsd:enumeration value="Oncotype Dx DCIS"/>
          <xsd:enumeration value="Oncotype Dx Invasive Breast"/>
          <xsd:enumeration value="Onglyza"/>
          <xsd:enumeration value="Opdivo"/>
          <xsd:enumeration value="ORENCIA"/>
          <xsd:enumeration value="Panorama"/>
          <xsd:enumeration value="Pasireotide"/>
          <xsd:enumeration value="Perampanel"/>
          <xsd:enumeration value="Pervenio"/>
          <xsd:enumeration value="Phasix"/>
          <xsd:enumeration value="PowerPICC"/>
          <xsd:enumeration value="PowerPort"/>
          <xsd:enumeration value="PROLIFT"/>
          <xsd:enumeration value="Promacta"/>
          <xsd:enumeration value="Pulmozyme"/>
          <xsd:enumeration value="RAPTIVA"/>
          <xsd:enumeration value="Remicade"/>
          <xsd:enumeration value="REYATAZ"/>
          <xsd:enumeration value="REVLIMID"/>
          <xsd:enumeration value="Rigosertib"/>
          <xsd:enumeration value="RITUXAN MS"/>
          <xsd:enumeration value="RITUXAN"/>
          <xsd:enumeration value="RITUXAN RA"/>
          <xsd:enumeration value="RITUXAN SLE"/>
          <xsd:enumeration value="Romosozumab"/>
          <xsd:enumeration value="SAMSCA"/>
          <xsd:enumeration value="Sandostatin LAR"/>
          <xsd:enumeration value="Sentinel"/>
          <xsd:enumeration value="Sherlock 3CG"/>
          <xsd:enumeration value="Somatuline Depot"/>
          <xsd:enumeration value="Sprycel"/>
          <xsd:enumeration value="Surgicel"/>
          <xsd:enumeration value="Surgiflo"/>
          <xsd:enumeration value="Sustol"/>
          <xsd:enumeration value="SYMBICOR"/>
          <xsd:enumeration value="THERMACHOICE"/>
          <xsd:enumeration value="TIBOLONE"/>
          <xsd:enumeration value="Tiotropium"/>
          <xsd:enumeration value="Tracleer"/>
          <xsd:enumeration value="TVT"/>
          <xsd:enumeration value="VICRYL PLUS"/>
          <xsd:enumeration value="WallFlex"/>
          <xsd:enumeration value="Xgeva"/>
          <xsd:enumeration value="XOLAIR"/>
          <xsd:enumeration value="Yervoy"/>
        </xsd:restriction>
      </xsd:simpleType>
    </xsd:element>
    <xsd:element name="Deliv_x002f_Doc_x0020_Type" ma:index="16" ma:displayName="Deliv/Doc Type" ma:format="Dropdown" ma:internalName="Deliv_x002F_Doc_x0020_Type">
      <xsd:simpleType>
        <xsd:restriction base="dms:Choice">
          <xsd:enumeration value="ABSTRACT"/>
          <xsd:enumeration value="ANALYTIC PLAN"/>
          <xsd:enumeration value="CLIENT REPORT"/>
          <xsd:enumeration value="CLIENT SUMMARY"/>
          <xsd:enumeration value="CORRESPONDENCE"/>
          <xsd:enumeration value="EXPERT PANEL"/>
          <xsd:enumeration value="FIGURE/TABLE"/>
          <xsd:enumeration value="INTERNAL DOCUMENT"/>
          <xsd:enumeration value="JOURNAL ARTICLE"/>
          <xsd:enumeration value="MODEL"/>
          <xsd:enumeration value="OTHER PUBLICATION"/>
          <xsd:enumeration value="POSTER"/>
          <xsd:enumeration value="PRESENTATION"/>
          <xsd:enumeration value="PROPOSAL"/>
          <xsd:enumeration value="SOFTWARE"/>
          <xsd:enumeration value="STUDY PROTOCOL"/>
          <xsd:enumeration value="SURVEY"/>
          <xsd:enumeration value="TECHNICAL REPORT"/>
          <xsd:enumeration value="WHITE PAPER"/>
        </xsd:restriction>
      </xsd:simpleType>
    </xsd:element>
    <xsd:element name="Project_x0020_Code" ma:index="17" nillable="true" ma:displayName="Project Code" ma:internalName="Project_x0020_Code" ma:readOnly="false">
      <xsd:simpleType>
        <xsd:restriction base="dms:Text">
          <xsd:maxLength value="5"/>
        </xsd:restriction>
      </xsd:simpleType>
    </xsd:element>
    <xsd:element name="Stage" ma:index="18" ma:displayName="Stage" ma:format="Dropdown" ma:internalName="Stage">
      <xsd:simpleType>
        <xsd:restriction base="dms:Choice">
          <xsd:enumeration value="ACCEPTED"/>
          <xsd:enumeration value="CANCELED"/>
          <xsd:enumeration value="CLIENT REVIEW"/>
          <xsd:enumeration value="COMPLETED"/>
          <xsd:enumeration value="DRAFT"/>
          <xsd:enumeration value="LEAD"/>
          <xsd:enumeration value="LOCKED"/>
          <xsd:enumeration value="PUBLISHED/PRESENTED"/>
          <xsd:enumeration value="REJECTED"/>
          <xsd:enumeration value="REVISING"/>
          <xsd:enumeration value="SUBMITTED"/>
        </xsd:restriction>
      </xsd:simpleType>
    </xsd:element>
    <xsd:element name="Completed_x0020_Date" ma:index="21" nillable="true" ma:displayName="Completed Date" ma:format="DateOnly" ma:internalName="Completed_x0020_Date">
      <xsd:simpleType>
        <xsd:restriction base="dms:DateTime"/>
      </xsd:simpleType>
    </xsd:element>
    <xsd:element name="Client_x0020_Contact" ma:index="22" ma:displayName="Client Contact" ma:internalName="Client_x0020_Contact"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ma:displayName="Action Date" ma:format="DateOnly" ma:internalName="TaskDueDate" ma:readOnly="false">
      <xsd:simpleType>
        <xsd:restriction base="dms:DateTime"/>
      </xsd:simpleType>
    </xsd:element>
    <xsd:element name="Status1" ma:index="13" ma:displayName="Status" ma:format="Dropdown" ma:internalName="Status1">
      <xsd:simpleType>
        <xsd:restriction base="dms:Choice">
          <xsd:enumeration value="ACTIVE"/>
          <xsd:enumeration value="INACTIVE"/>
          <xsd:enumeration value="ON HOLD"/>
          <xsd:enumeration value="FOR DELE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183B-F268-43AC-9233-A232AB51B1D1}">
  <ds:schemaRefs>
    <ds:schemaRef ds:uri="http://schemas.microsoft.com/sharepoint/v3/contenttype/forms"/>
  </ds:schemaRefs>
</ds:datastoreItem>
</file>

<file path=customXml/itemProps2.xml><?xml version="1.0" encoding="utf-8"?>
<ds:datastoreItem xmlns:ds="http://schemas.openxmlformats.org/officeDocument/2006/customXml" ds:itemID="{7C1662A9-CFDF-4B7D-A9B1-3ADD8CB37494}">
  <ds:schemaRefs>
    <ds:schemaRef ds:uri="http://schemas.microsoft.com/office/2006/metadata/properties"/>
    <ds:schemaRef ds:uri="http://schemas.microsoft.com/sharepoint/v3"/>
    <ds:schemaRef ds:uri="http://schemas.microsoft.com/sharepoint/v3/fields"/>
    <ds:schemaRef ds:uri="c542c023-5adf-453f-8566-f75c56462a02"/>
  </ds:schemaRefs>
</ds:datastoreItem>
</file>

<file path=customXml/itemProps3.xml><?xml version="1.0" encoding="utf-8"?>
<ds:datastoreItem xmlns:ds="http://schemas.openxmlformats.org/officeDocument/2006/customXml" ds:itemID="{07F624A2-55A7-452B-ADC4-6EA56F294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2c023-5adf-453f-8566-f75c56462a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75DD3-3EB5-4F7F-9C4C-BAF255F7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Healthcare and Economic Impact of Diarrhea on US Patients with Carcinoid Syndrome</vt:lpstr>
    </vt:vector>
  </TitlesOfParts>
  <Company>Microsoft</Company>
  <LinksUpToDate>false</LinksUpToDate>
  <CharactersWithSpaces>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Healthcare and Economic Impact of Diarrhea on US Patients with Carcinoid Syndrome</dc:title>
  <dc:creator>Gordon Sun</dc:creator>
  <cp:lastModifiedBy>LS Ma</cp:lastModifiedBy>
  <cp:revision>2</cp:revision>
  <cp:lastPrinted>2015-06-16T01:20:00Z</cp:lastPrinted>
  <dcterms:created xsi:type="dcterms:W3CDTF">2015-12-12T01:04:00Z</dcterms:created>
  <dcterms:modified xsi:type="dcterms:W3CDTF">2015-12-12T01:04:00Z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0x010100634202AE74087C45AD8D81B198088ED6010035CF13D8C63021408C97F79BE3D86D0C</vt:lpwstr>
  </property>
  <property fmtid="{D5CDD505-2E9C-101B-9397-08002B2CF9AE}" pid="3" name="Order">
    <vt:r8>177900</vt:r8>
  </property>
  <property fmtid="{D5CDD505-2E9C-101B-9397-08002B2CF9AE}" pid="4" name="xd_ProgID">
    <vt:lpwstr/>
  </property>
  <property fmtid="{D5CDD505-2E9C-101B-9397-08002B2CF9AE}" pid="5" name="Likelihood">
    <vt:lpwstr/>
  </property>
  <property fmtid="{D5CDD505-2E9C-101B-9397-08002B2CF9AE}" pid="6" name="Internal Doc Type">
    <vt:lpwstr/>
  </property>
  <property fmtid="{D5CDD505-2E9C-101B-9397-08002B2CF9AE}" pid="7" name="TemplateUrl">
    <vt:lpwstr/>
  </property>
</Properties>
</file>